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EDED5">
      <w:pPr>
        <w:spacing w:before="2400" w:line="773" w:lineRule="exact"/>
        <w:jc w:val="center"/>
        <w:rPr>
          <w:rFonts w:ascii="宋体" w:hAnsi="宋体" w:eastAsia="宋体" w:cs="宋体"/>
          <w:b/>
          <w:bCs/>
          <w:sz w:val="36"/>
          <w:szCs w:val="36"/>
        </w:rPr>
      </w:pPr>
      <w:r>
        <w:rPr>
          <w:rFonts w:ascii="宋体" w:hAnsi="宋体" w:eastAsia="宋体" w:cs="宋体"/>
          <w:b/>
          <w:bCs/>
          <w:sz w:val="36"/>
          <w:szCs w:val="36"/>
        </w:rPr>
        <w:drawing>
          <wp:inline distT="0" distB="0" distL="0" distR="0">
            <wp:extent cx="2428875" cy="618490"/>
            <wp:effectExtent l="0" t="0" r="0" b="0"/>
            <wp:docPr id="2" name="图片 2" descr="\\szfs\公司文件\董事会办公室\三会文件\董事会\第8届\定期会议\第八届董事会第7次会议（2023年年度报告）\华孚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zfs\公司文件\董事会办公室\三会文件\董事会\第8届\定期会议\第八届董事会第7次会议（2023年年度报告）\华孚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34212" cy="620266"/>
                    </a:xfrm>
                    <a:prstGeom prst="rect">
                      <a:avLst/>
                    </a:prstGeom>
                    <a:noFill/>
                    <a:ln>
                      <a:noFill/>
                    </a:ln>
                  </pic:spPr>
                </pic:pic>
              </a:graphicData>
            </a:graphic>
          </wp:inline>
        </w:drawing>
      </w:r>
    </w:p>
    <w:p w14:paraId="06F09962">
      <w:pPr>
        <w:spacing w:before="312" w:beforeLines="100" w:line="773" w:lineRule="exact"/>
        <w:jc w:val="center"/>
        <w:rPr>
          <w:rFonts w:ascii="宋体" w:hAnsi="宋体" w:eastAsia="宋体" w:cs="宋体"/>
          <w:b/>
          <w:bCs/>
          <w:sz w:val="36"/>
          <w:szCs w:val="36"/>
        </w:rPr>
      </w:pPr>
      <w:r>
        <w:rPr>
          <w:rFonts w:ascii="宋体" w:hAnsi="宋体" w:eastAsia="宋体" w:cs="宋体"/>
          <w:b/>
          <w:bCs/>
          <w:sz w:val="36"/>
          <w:szCs w:val="36"/>
        </w:rPr>
        <w:t>华孚时尚股份有限公司</w:t>
      </w:r>
    </w:p>
    <w:p w14:paraId="5AB8A3D8">
      <w:pPr>
        <w:spacing w:before="312" w:beforeLines="100" w:line="773" w:lineRule="exact"/>
        <w:jc w:val="center"/>
        <w:rPr>
          <w:rFonts w:ascii="宋体" w:hAnsi="宋体" w:eastAsia="宋体" w:cs="宋体"/>
          <w:b/>
          <w:bCs/>
          <w:sz w:val="36"/>
          <w:szCs w:val="36"/>
        </w:rPr>
      </w:pPr>
      <w:r>
        <w:rPr>
          <w:rFonts w:ascii="宋体" w:hAnsi="宋体" w:eastAsia="宋体" w:cs="宋体"/>
          <w:b/>
          <w:bCs/>
          <w:sz w:val="36"/>
          <w:szCs w:val="36"/>
        </w:rPr>
        <w:t>2025年年度报告</w:t>
      </w:r>
    </w:p>
    <w:p w14:paraId="50BDD7FE">
      <w:pPr>
        <w:spacing w:before="312" w:beforeLines="100" w:line="240" w:lineRule="exact"/>
        <w:jc w:val="center"/>
        <w:rPr>
          <w:rFonts w:ascii="宋体" w:hAnsi="宋体" w:eastAsia="宋体" w:cs="宋体"/>
          <w:b/>
          <w:bCs/>
          <w:szCs w:val="21"/>
        </w:rPr>
      </w:pPr>
    </w:p>
    <w:p w14:paraId="608E7C86">
      <w:pPr>
        <w:spacing w:before="1000" w:after="1000" w:line="0" w:lineRule="atLeast"/>
        <w:jc w:val="center"/>
        <w:rPr>
          <w:rFonts w:ascii="Times New Roman" w:hAnsi="Times New Roman" w:eastAsia="宋体" w:cs="Times New Roman"/>
        </w:rPr>
      </w:pPr>
    </w:p>
    <w:p w14:paraId="700242B8">
      <w:pPr>
        <w:spacing w:before="312" w:beforeLines="100" w:line="773" w:lineRule="exact"/>
        <w:jc w:val="center"/>
        <w:rPr>
          <w:rFonts w:ascii="宋体" w:hAnsi="宋体" w:eastAsia="宋体" w:cs="宋体"/>
          <w:b/>
          <w:bCs/>
          <w:sz w:val="36"/>
          <w:szCs w:val="36"/>
        </w:rPr>
      </w:pPr>
      <w:r>
        <w:rPr>
          <w:rFonts w:hint="eastAsia" w:ascii="宋体" w:hAnsi="宋体" w:eastAsia="宋体" w:cs="宋体"/>
          <w:b/>
          <w:bCs/>
          <w:sz w:val="36"/>
          <w:szCs w:val="36"/>
        </w:rPr>
        <w:t>2026年4月</w:t>
      </w:r>
    </w:p>
    <w:p w14:paraId="0EBF2D5D">
      <w:r>
        <w:br w:type="page"/>
      </w:r>
    </w:p>
    <w:p w14:paraId="0C779259">
      <w:pPr>
        <w:spacing w:before="1000" w:after="40" w:line="440" w:lineRule="exact"/>
        <w:jc w:val="center"/>
        <w:rPr>
          <w:rFonts w:ascii="宋体" w:hAnsi="宋体" w:eastAsia="宋体" w:cs="宋体"/>
          <w:b/>
          <w:bCs/>
          <w:sz w:val="44"/>
          <w:szCs w:val="44"/>
        </w:rPr>
      </w:pPr>
      <w:r>
        <w:rPr>
          <w:rFonts w:ascii="宋体" w:hAnsi="宋体" w:eastAsia="宋体" w:cs="宋体"/>
          <w:b/>
          <w:bCs/>
          <w:sz w:val="44"/>
          <w:szCs w:val="44"/>
        </w:rPr>
        <w:t>2025年年度报告</w:t>
      </w:r>
    </w:p>
    <w:p w14:paraId="6E5626B5">
      <w:pPr>
        <w:pStyle w:val="15"/>
        <w:spacing w:before="340" w:after="330" w:line="773" w:lineRule="exact"/>
        <w:jc w:val="center"/>
        <w:rPr>
          <w:rFonts w:ascii="宋体" w:hAnsi="宋体" w:eastAsia="宋体" w:cs="宋体"/>
          <w:b/>
          <w:bCs/>
          <w:sz w:val="32"/>
          <w:szCs w:val="32"/>
        </w:rPr>
      </w:pPr>
      <w:bookmarkStart w:id="0" w:name="_Toc988889"/>
      <w:r>
        <w:rPr>
          <w:rFonts w:ascii="宋体" w:hAnsi="宋体" w:eastAsia="宋体" w:cs="宋体"/>
          <w:b/>
          <w:bCs/>
          <w:sz w:val="32"/>
          <w:szCs w:val="32"/>
        </w:rPr>
        <w:t>第一节 重要提示、目录和释义</w:t>
      </w:r>
      <w:bookmarkEnd w:id="0"/>
    </w:p>
    <w:p w14:paraId="37993D1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b/>
          <w:bCs/>
          <w:sz w:val="28"/>
          <w:szCs w:val="28"/>
        </w:rPr>
      </w:pPr>
      <w:r>
        <w:rPr>
          <w:rFonts w:ascii="宋体" w:hAnsi="宋体" w:eastAsia="宋体" w:cs="宋体"/>
          <w:b/>
          <w:bCs/>
          <w:sz w:val="28"/>
          <w:szCs w:val="28"/>
        </w:rPr>
        <w:t>公司董事会及董事、高级管理人员保证年度报告内容的真实、准确、完整，不存在虚假记载、误导性陈述或重大遗漏，并承担个别和连带的法律责任。</w:t>
      </w:r>
    </w:p>
    <w:p w14:paraId="6E0E9E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b/>
          <w:bCs/>
          <w:sz w:val="28"/>
          <w:szCs w:val="28"/>
        </w:rPr>
      </w:pPr>
      <w:r>
        <w:rPr>
          <w:rFonts w:ascii="宋体" w:hAnsi="宋体" w:eastAsia="宋体" w:cs="宋体"/>
          <w:b/>
          <w:bCs/>
          <w:sz w:val="28"/>
          <w:szCs w:val="28"/>
        </w:rPr>
        <w:t>公司负责人孙伟挺、主管会计工作负责人陈玲芬及会计机构负责人（会计主管人员）王国友声明：保证本年度报告中财务报告的真实、准确、完整。</w:t>
      </w:r>
    </w:p>
    <w:p w14:paraId="1CA908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b/>
          <w:bCs/>
          <w:sz w:val="28"/>
          <w:szCs w:val="28"/>
        </w:rPr>
      </w:pPr>
      <w:r>
        <w:rPr>
          <w:rFonts w:ascii="宋体" w:hAnsi="宋体" w:eastAsia="宋体" w:cs="宋体"/>
          <w:b/>
          <w:bCs/>
          <w:sz w:val="28"/>
          <w:szCs w:val="28"/>
        </w:rPr>
        <w:t>所有董事均已出席了审议本报告的董事会会议。</w:t>
      </w:r>
    </w:p>
    <w:p w14:paraId="7022B4C1">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both"/>
        <w:textAlignment w:val="auto"/>
        <w:rPr>
          <w:b/>
          <w:bCs/>
          <w:sz w:val="28"/>
          <w:szCs w:val="28"/>
        </w:rPr>
      </w:pPr>
      <w:r>
        <w:rPr>
          <w:rFonts w:hint="eastAsia"/>
          <w:b/>
          <w:bCs/>
          <w:sz w:val="28"/>
          <w:szCs w:val="28"/>
        </w:rPr>
        <w:t>公司已在本报告中详细描述了存在的风险事项，敬请投资者查阅本报告“第三节：管理层讨论与分析”，“十一：公司未来发展的展望”中“可能面临的风险”。</w:t>
      </w:r>
    </w:p>
    <w:p w14:paraId="016D61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b/>
          <w:bCs/>
          <w:sz w:val="28"/>
          <w:szCs w:val="28"/>
        </w:rPr>
      </w:pPr>
      <w:r>
        <w:rPr>
          <w:rFonts w:ascii="宋体" w:hAnsi="宋体" w:eastAsia="宋体" w:cs="宋体"/>
          <w:b/>
          <w:bCs/>
          <w:sz w:val="28"/>
          <w:szCs w:val="28"/>
        </w:rPr>
        <w:t>公司经本次董事会审议通过的利润分配预案为：以未来实施利润分配预案时股权登记日的总股本（不含公司回购专户中的股份）为基数，向全体股东每10股派发现金红利0.1150元（含税），送红股0股（含税），不以公积金转增股本。</w:t>
      </w:r>
    </w:p>
    <w:p w14:paraId="3E262476">
      <w:r>
        <w:br w:type="page"/>
      </w:r>
    </w:p>
    <w:p w14:paraId="00F0F33C">
      <w:pPr>
        <w:spacing w:line="720" w:lineRule="exact"/>
        <w:jc w:val="center"/>
        <w:rPr>
          <w:rFonts w:ascii="宋体" w:hAnsi="宋体" w:eastAsia="宋体" w:cs="宋体"/>
          <w:b/>
          <w:bCs/>
          <w:sz w:val="36"/>
          <w:szCs w:val="36"/>
        </w:rPr>
      </w:pPr>
      <w:r>
        <w:rPr>
          <w:rFonts w:ascii="宋体" w:hAnsi="宋体" w:eastAsia="宋体" w:cs="宋体"/>
          <w:b/>
          <w:bCs/>
          <w:sz w:val="36"/>
          <w:szCs w:val="36"/>
        </w:rPr>
        <w:t>目录</w:t>
      </w:r>
    </w:p>
    <w:p w14:paraId="25F4863A">
      <w:pPr>
        <w:pStyle w:val="7"/>
        <w:tabs>
          <w:tab w:val="left" w:leader="dot" w:pos="9469"/>
        </w:tabs>
      </w:pPr>
      <w:r>
        <w:fldChar w:fldCharType="begin"/>
      </w:r>
      <w:r>
        <w:instrText xml:space="preserve"> </w:instrText>
      </w:r>
      <w:r>
        <w:rPr>
          <w:rFonts w:hint="eastAsia" w:ascii="宋体" w:hAnsi="宋体" w:eastAsia="宋体"/>
        </w:rPr>
        <w:instrText xml:space="preserve">TOC \o "1-2" \h \z \u</w:instrText>
      </w:r>
      <w:r>
        <w:instrText xml:space="preserve"> </w:instrText>
      </w:r>
      <w:r>
        <w:fldChar w:fldCharType="separate"/>
      </w:r>
      <w:r>
        <w:fldChar w:fldCharType="begin"/>
      </w:r>
      <w:r>
        <w:instrText xml:space="preserve"> HYPERLINK \l "_Toc988889" </w:instrText>
      </w:r>
      <w:r>
        <w:fldChar w:fldCharType="separate"/>
      </w:r>
      <w:r>
        <w:rPr>
          <w:rFonts w:hint="eastAsia" w:ascii="宋体" w:hAnsi="宋体" w:eastAsia="宋体"/>
          <w:sz w:val="18"/>
        </w:rPr>
        <w:t>第一节 重要提示、目录和释义</w:t>
      </w:r>
      <w:r>
        <w:tab/>
      </w:r>
      <w:r>
        <w:fldChar w:fldCharType="begin"/>
      </w:r>
      <w:r>
        <w:instrText xml:space="preserve"> PAGEREF _Toc988889 \h </w:instrText>
      </w:r>
      <w:r>
        <w:fldChar w:fldCharType="separate"/>
      </w:r>
      <w:r>
        <w:t>2</w:t>
      </w:r>
      <w:r>
        <w:fldChar w:fldCharType="end"/>
      </w:r>
      <w:r>
        <w:fldChar w:fldCharType="end"/>
      </w:r>
    </w:p>
    <w:p w14:paraId="22A172DD">
      <w:pPr>
        <w:pStyle w:val="7"/>
        <w:tabs>
          <w:tab w:val="left" w:leader="dot" w:pos="9469"/>
        </w:tabs>
      </w:pPr>
      <w:r>
        <w:fldChar w:fldCharType="begin"/>
      </w:r>
      <w:r>
        <w:instrText xml:space="preserve"> HYPERLINK \l "_Toc988890" </w:instrText>
      </w:r>
      <w:r>
        <w:fldChar w:fldCharType="separate"/>
      </w:r>
      <w:r>
        <w:rPr>
          <w:rFonts w:hint="eastAsia" w:ascii="宋体" w:hAnsi="宋体" w:eastAsia="宋体"/>
          <w:sz w:val="18"/>
        </w:rPr>
        <w:t>第二节 公司简介和主要财务指标</w:t>
      </w:r>
      <w:r>
        <w:tab/>
      </w:r>
      <w:r>
        <w:fldChar w:fldCharType="begin"/>
      </w:r>
      <w:r>
        <w:instrText xml:space="preserve"> PAGEREF _Toc988890 \h </w:instrText>
      </w:r>
      <w:r>
        <w:fldChar w:fldCharType="separate"/>
      </w:r>
      <w:r>
        <w:t>6</w:t>
      </w:r>
      <w:r>
        <w:fldChar w:fldCharType="end"/>
      </w:r>
      <w:r>
        <w:fldChar w:fldCharType="end"/>
      </w:r>
    </w:p>
    <w:p w14:paraId="727B8E4F">
      <w:pPr>
        <w:pStyle w:val="7"/>
        <w:tabs>
          <w:tab w:val="left" w:leader="dot" w:pos="9469"/>
        </w:tabs>
      </w:pPr>
      <w:r>
        <w:fldChar w:fldCharType="begin"/>
      </w:r>
      <w:r>
        <w:instrText xml:space="preserve"> HYPERLINK \l "_Toc988902" </w:instrText>
      </w:r>
      <w:r>
        <w:fldChar w:fldCharType="separate"/>
      </w:r>
      <w:r>
        <w:rPr>
          <w:rFonts w:hint="eastAsia" w:ascii="宋体" w:hAnsi="宋体" w:eastAsia="宋体"/>
          <w:sz w:val="18"/>
        </w:rPr>
        <w:t>第三节 管理层讨论与分析</w:t>
      </w:r>
      <w:r>
        <w:tab/>
      </w:r>
      <w:r>
        <w:fldChar w:fldCharType="begin"/>
      </w:r>
      <w:r>
        <w:instrText xml:space="preserve"> PAGEREF _Toc988902 \h </w:instrText>
      </w:r>
      <w:r>
        <w:fldChar w:fldCharType="separate"/>
      </w:r>
      <w:r>
        <w:t>10</w:t>
      </w:r>
      <w:r>
        <w:fldChar w:fldCharType="end"/>
      </w:r>
      <w:r>
        <w:fldChar w:fldCharType="end"/>
      </w:r>
    </w:p>
    <w:p w14:paraId="29E34821">
      <w:pPr>
        <w:pStyle w:val="7"/>
        <w:tabs>
          <w:tab w:val="left" w:leader="dot" w:pos="9469"/>
        </w:tabs>
      </w:pPr>
      <w:r>
        <w:fldChar w:fldCharType="begin"/>
      </w:r>
      <w:r>
        <w:instrText xml:space="preserve"> HYPERLINK \l "_Toc988952" </w:instrText>
      </w:r>
      <w:r>
        <w:fldChar w:fldCharType="separate"/>
      </w:r>
      <w:r>
        <w:rPr>
          <w:rFonts w:hint="eastAsia" w:ascii="宋体" w:hAnsi="宋体" w:eastAsia="宋体"/>
          <w:sz w:val="18"/>
        </w:rPr>
        <w:t>第四节 公司治理、环境和社会</w:t>
      </w:r>
      <w:r>
        <w:tab/>
      </w:r>
      <w:r>
        <w:fldChar w:fldCharType="begin"/>
      </w:r>
      <w:r>
        <w:instrText xml:space="preserve"> PAGEREF _Toc988952 \h </w:instrText>
      </w:r>
      <w:r>
        <w:fldChar w:fldCharType="separate"/>
      </w:r>
      <w:r>
        <w:t>29</w:t>
      </w:r>
      <w:r>
        <w:fldChar w:fldCharType="end"/>
      </w:r>
      <w:r>
        <w:fldChar w:fldCharType="end"/>
      </w:r>
      <w:bookmarkStart w:id="657" w:name="_GoBack"/>
      <w:bookmarkEnd w:id="657"/>
    </w:p>
    <w:p w14:paraId="25E78878">
      <w:pPr>
        <w:pStyle w:val="7"/>
        <w:tabs>
          <w:tab w:val="left" w:leader="dot" w:pos="9469"/>
        </w:tabs>
      </w:pPr>
      <w:r>
        <w:fldChar w:fldCharType="begin"/>
      </w:r>
      <w:r>
        <w:instrText xml:space="preserve"> HYPERLINK \l "_Toc988984" </w:instrText>
      </w:r>
      <w:r>
        <w:fldChar w:fldCharType="separate"/>
      </w:r>
      <w:r>
        <w:rPr>
          <w:rFonts w:hint="eastAsia" w:ascii="宋体" w:hAnsi="宋体" w:eastAsia="宋体"/>
          <w:sz w:val="18"/>
        </w:rPr>
        <w:t>第五节 重要事项</w:t>
      </w:r>
      <w:r>
        <w:tab/>
      </w:r>
      <w:r>
        <w:fldChar w:fldCharType="begin"/>
      </w:r>
      <w:r>
        <w:instrText xml:space="preserve"> PAGEREF _Toc988984 \h </w:instrText>
      </w:r>
      <w:r>
        <w:fldChar w:fldCharType="separate"/>
      </w:r>
      <w:r>
        <w:t>42</w:t>
      </w:r>
      <w:r>
        <w:fldChar w:fldCharType="end"/>
      </w:r>
      <w:r>
        <w:fldChar w:fldCharType="end"/>
      </w:r>
    </w:p>
    <w:p w14:paraId="028B17C9">
      <w:pPr>
        <w:pStyle w:val="7"/>
        <w:tabs>
          <w:tab w:val="left" w:leader="dot" w:pos="9469"/>
        </w:tabs>
      </w:pPr>
      <w:r>
        <w:fldChar w:fldCharType="begin"/>
      </w:r>
      <w:r>
        <w:instrText xml:space="preserve"> HYPERLINK \l "_Toc989026" </w:instrText>
      </w:r>
      <w:r>
        <w:fldChar w:fldCharType="separate"/>
      </w:r>
      <w:r>
        <w:rPr>
          <w:rFonts w:hint="eastAsia" w:ascii="宋体" w:hAnsi="宋体" w:eastAsia="宋体"/>
          <w:sz w:val="18"/>
        </w:rPr>
        <w:t>第六节 股份变动及股东情况</w:t>
      </w:r>
      <w:r>
        <w:tab/>
      </w:r>
      <w:r>
        <w:fldChar w:fldCharType="begin"/>
      </w:r>
      <w:r>
        <w:instrText xml:space="preserve"> PAGEREF _Toc989026 \h </w:instrText>
      </w:r>
      <w:r>
        <w:fldChar w:fldCharType="separate"/>
      </w:r>
      <w:r>
        <w:t>51</w:t>
      </w:r>
      <w:r>
        <w:fldChar w:fldCharType="end"/>
      </w:r>
      <w:r>
        <w:fldChar w:fldCharType="end"/>
      </w:r>
    </w:p>
    <w:p w14:paraId="272D4AEF">
      <w:pPr>
        <w:pStyle w:val="7"/>
        <w:tabs>
          <w:tab w:val="left" w:leader="dot" w:pos="9469"/>
        </w:tabs>
      </w:pPr>
      <w:r>
        <w:fldChar w:fldCharType="begin"/>
      </w:r>
      <w:r>
        <w:instrText xml:space="preserve"> HYPERLINK \l "_Toc989043" </w:instrText>
      </w:r>
      <w:r>
        <w:fldChar w:fldCharType="separate"/>
      </w:r>
      <w:r>
        <w:rPr>
          <w:rFonts w:hint="eastAsia" w:ascii="宋体" w:hAnsi="宋体" w:eastAsia="宋体"/>
          <w:sz w:val="18"/>
        </w:rPr>
        <w:t>第七节 债券相关情况</w:t>
      </w:r>
      <w:r>
        <w:tab/>
      </w:r>
      <w:r>
        <w:fldChar w:fldCharType="begin"/>
      </w:r>
      <w:r>
        <w:instrText xml:space="preserve"> PAGEREF _Toc989043 \h </w:instrText>
      </w:r>
      <w:r>
        <w:fldChar w:fldCharType="separate"/>
      </w:r>
      <w:r>
        <w:t>57</w:t>
      </w:r>
      <w:r>
        <w:fldChar w:fldCharType="end"/>
      </w:r>
      <w:r>
        <w:fldChar w:fldCharType="end"/>
      </w:r>
    </w:p>
    <w:p w14:paraId="72088696">
      <w:pPr>
        <w:pStyle w:val="7"/>
        <w:tabs>
          <w:tab w:val="left" w:leader="dot" w:pos="9469"/>
        </w:tabs>
      </w:pPr>
      <w:r>
        <w:fldChar w:fldCharType="begin"/>
      </w:r>
      <w:r>
        <w:instrText xml:space="preserve"> HYPERLINK \l "_Toc989044" </w:instrText>
      </w:r>
      <w:r>
        <w:fldChar w:fldCharType="separate"/>
      </w:r>
      <w:r>
        <w:rPr>
          <w:rFonts w:hint="eastAsia" w:ascii="宋体" w:hAnsi="宋体" w:eastAsia="宋体"/>
          <w:sz w:val="18"/>
        </w:rPr>
        <w:t>第八节 财务报告</w:t>
      </w:r>
      <w:r>
        <w:tab/>
      </w:r>
      <w:r>
        <w:fldChar w:fldCharType="begin"/>
      </w:r>
      <w:r>
        <w:instrText xml:space="preserve"> PAGEREF _Toc989044 \h </w:instrText>
      </w:r>
      <w:r>
        <w:fldChar w:fldCharType="separate"/>
      </w:r>
      <w:r>
        <w:t>58</w:t>
      </w:r>
      <w:r>
        <w:fldChar w:fldCharType="end"/>
      </w:r>
      <w:r>
        <w:fldChar w:fldCharType="end"/>
      </w:r>
      <w:r>
        <w:fldChar w:fldCharType="end"/>
      </w:r>
      <w:r>
        <w:br w:type="page"/>
      </w:r>
    </w:p>
    <w:p w14:paraId="3B5BA639">
      <w:pPr>
        <w:spacing w:line="640" w:lineRule="exact"/>
        <w:jc w:val="center"/>
        <w:rPr>
          <w:rFonts w:ascii="宋体" w:hAnsi="宋体" w:eastAsia="宋体" w:cs="宋体"/>
          <w:b/>
          <w:bCs/>
          <w:sz w:val="32"/>
          <w:szCs w:val="32"/>
        </w:rPr>
      </w:pPr>
      <w:r>
        <w:rPr>
          <w:rFonts w:ascii="宋体" w:hAnsi="宋体" w:eastAsia="宋体" w:cs="宋体"/>
          <w:b/>
          <w:bCs/>
          <w:sz w:val="32"/>
          <w:szCs w:val="32"/>
        </w:rPr>
        <w:t>备查文件目录</w:t>
      </w:r>
    </w:p>
    <w:p w14:paraId="79A74E33">
      <w:pPr>
        <w:pStyle w:val="9"/>
        <w:spacing w:line="560" w:lineRule="atLeast"/>
        <w:ind w:firstLine="408"/>
        <w:rPr>
          <w:sz w:val="18"/>
          <w:szCs w:val="18"/>
        </w:rPr>
      </w:pPr>
      <w:r>
        <w:rPr>
          <w:rFonts w:hint="eastAsia"/>
          <w:sz w:val="18"/>
          <w:szCs w:val="18"/>
        </w:rPr>
        <w:t>（一）载有法定代表人、主管会计工作负责人、会计机构负责人签名并盖章的会计报表。</w:t>
      </w:r>
    </w:p>
    <w:p w14:paraId="4F6F538A">
      <w:pPr>
        <w:pStyle w:val="9"/>
        <w:spacing w:line="560" w:lineRule="atLeast"/>
        <w:ind w:firstLine="408"/>
        <w:rPr>
          <w:sz w:val="18"/>
          <w:szCs w:val="18"/>
        </w:rPr>
      </w:pPr>
      <w:r>
        <w:rPr>
          <w:rFonts w:hint="eastAsia"/>
          <w:sz w:val="18"/>
          <w:szCs w:val="18"/>
        </w:rPr>
        <w:t>（二）载有会计师事务所盖章、注册会计师签名并盖章的审计报告原件。</w:t>
      </w:r>
    </w:p>
    <w:p w14:paraId="73028912">
      <w:pPr>
        <w:pStyle w:val="9"/>
        <w:spacing w:line="560" w:lineRule="atLeast"/>
        <w:ind w:firstLine="408"/>
        <w:rPr>
          <w:sz w:val="18"/>
          <w:szCs w:val="18"/>
        </w:rPr>
      </w:pPr>
      <w:r>
        <w:rPr>
          <w:rFonts w:hint="eastAsia"/>
          <w:sz w:val="18"/>
          <w:szCs w:val="18"/>
        </w:rPr>
        <w:t>（三）报告期内在中国证监会指定报纸上公开披露过的所有公司文件的正本及公告的原稿。</w:t>
      </w:r>
    </w:p>
    <w:p w14:paraId="605A6189">
      <w:pPr>
        <w:pStyle w:val="9"/>
        <w:spacing w:line="560" w:lineRule="atLeast"/>
        <w:ind w:firstLine="408"/>
        <w:rPr>
          <w:sz w:val="18"/>
          <w:szCs w:val="18"/>
        </w:rPr>
      </w:pPr>
      <w:r>
        <w:rPr>
          <w:rFonts w:hint="eastAsia"/>
          <w:sz w:val="18"/>
          <w:szCs w:val="18"/>
        </w:rPr>
        <w:t>（四）载有董事长孙伟挺先生签字的2025年年度报告文件原件。</w:t>
      </w:r>
    </w:p>
    <w:p w14:paraId="1BB5CDA6">
      <w:pPr>
        <w:pStyle w:val="9"/>
        <w:spacing w:line="560" w:lineRule="atLeast"/>
        <w:ind w:firstLine="408"/>
        <w:rPr>
          <w:sz w:val="18"/>
          <w:szCs w:val="18"/>
        </w:rPr>
      </w:pPr>
      <w:r>
        <w:rPr>
          <w:rFonts w:hint="eastAsia"/>
          <w:sz w:val="18"/>
          <w:szCs w:val="18"/>
        </w:rPr>
        <w:t>（五）以上备查文件的备置地点：公司董事会办公室。</w:t>
      </w:r>
    </w:p>
    <w:p w14:paraId="64C716A2">
      <w:r>
        <w:br w:type="page"/>
      </w:r>
    </w:p>
    <w:p w14:paraId="79F6A906">
      <w:pPr>
        <w:spacing w:before="40" w:after="40" w:line="560" w:lineRule="exact"/>
        <w:jc w:val="center"/>
        <w:rPr>
          <w:rFonts w:ascii="宋体" w:hAnsi="宋体" w:eastAsia="宋体" w:cs="宋体"/>
          <w:b/>
          <w:bCs/>
          <w:sz w:val="32"/>
          <w:szCs w:val="32"/>
        </w:rPr>
      </w:pPr>
      <w:r>
        <w:rPr>
          <w:rFonts w:ascii="宋体" w:hAnsi="宋体" w:eastAsia="宋体" w:cs="宋体"/>
          <w:b/>
          <w:bCs/>
          <w:sz w:val="32"/>
          <w:szCs w:val="32"/>
        </w:rPr>
        <w:t>释义</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268"/>
        <w:gridCol w:w="709"/>
        <w:gridCol w:w="6662"/>
      </w:tblGrid>
      <w:tr w14:paraId="385D4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14:paraId="58A2E88C">
            <w:pPr>
              <w:spacing w:before="40" w:after="40" w:line="240" w:lineRule="exact"/>
              <w:jc w:val="center"/>
              <w:rPr>
                <w:rFonts w:ascii="宋体" w:hAnsi="宋体" w:eastAsia="宋体" w:cs="宋体"/>
                <w:sz w:val="18"/>
                <w:szCs w:val="18"/>
              </w:rPr>
            </w:pPr>
            <w:r>
              <w:rPr>
                <w:rFonts w:ascii="宋体" w:hAnsi="宋体" w:eastAsia="宋体" w:cs="宋体"/>
                <w:sz w:val="18"/>
                <w:szCs w:val="18"/>
              </w:rPr>
              <w:t>释义项</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14:paraId="227139E8">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6662" w:type="dxa"/>
            <w:tcBorders>
              <w:top w:val="single" w:color="auto" w:sz="2" w:space="0"/>
              <w:left w:val="single" w:color="auto" w:sz="2" w:space="0"/>
              <w:bottom w:val="single" w:color="auto" w:sz="2" w:space="0"/>
              <w:right w:val="single" w:color="auto" w:sz="2" w:space="0"/>
            </w:tcBorders>
            <w:shd w:val="clear" w:color="auto" w:fill="D3D3D3"/>
            <w:vAlign w:val="center"/>
          </w:tcPr>
          <w:p w14:paraId="34908D5B">
            <w:pPr>
              <w:spacing w:before="40" w:after="40" w:line="240" w:lineRule="exact"/>
              <w:jc w:val="center"/>
              <w:rPr>
                <w:rFonts w:ascii="宋体" w:hAnsi="宋体" w:eastAsia="宋体" w:cs="宋体"/>
                <w:sz w:val="18"/>
                <w:szCs w:val="18"/>
              </w:rPr>
            </w:pPr>
            <w:r>
              <w:rPr>
                <w:rFonts w:ascii="宋体" w:hAnsi="宋体" w:eastAsia="宋体" w:cs="宋体"/>
                <w:sz w:val="18"/>
                <w:szCs w:val="18"/>
              </w:rPr>
              <w:t>释义内容</w:t>
            </w:r>
          </w:p>
        </w:tc>
      </w:tr>
      <w:tr w14:paraId="533D8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14:paraId="541BCAB3">
            <w:pPr>
              <w:spacing w:line="240" w:lineRule="exact"/>
              <w:rPr>
                <w:rFonts w:ascii="宋体" w:hAnsi="宋体" w:eastAsia="宋体" w:cs="宋体"/>
                <w:sz w:val="18"/>
                <w:szCs w:val="18"/>
              </w:rPr>
            </w:pPr>
            <w:r>
              <w:rPr>
                <w:rFonts w:ascii="宋体" w:hAnsi="宋体" w:eastAsia="宋体" w:cs="宋体"/>
                <w:sz w:val="18"/>
                <w:szCs w:val="18"/>
              </w:rPr>
              <w:t>公司、本公司</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14:paraId="111F7354">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6662" w:type="dxa"/>
            <w:tcBorders>
              <w:top w:val="single" w:color="auto" w:sz="2" w:space="0"/>
              <w:left w:val="single" w:color="auto" w:sz="2" w:space="0"/>
              <w:bottom w:val="single" w:color="auto" w:sz="2" w:space="0"/>
              <w:right w:val="single" w:color="auto" w:sz="2" w:space="0"/>
            </w:tcBorders>
            <w:vAlign w:val="center"/>
          </w:tcPr>
          <w:p w14:paraId="6D0BEE78">
            <w:pPr>
              <w:spacing w:line="240" w:lineRule="exact"/>
              <w:rPr>
                <w:rFonts w:ascii="宋体" w:hAnsi="宋体" w:eastAsia="宋体" w:cs="宋体"/>
                <w:sz w:val="18"/>
                <w:szCs w:val="18"/>
              </w:rPr>
            </w:pPr>
            <w:r>
              <w:rPr>
                <w:rFonts w:ascii="宋体" w:hAnsi="宋体" w:eastAsia="宋体" w:cs="宋体"/>
                <w:sz w:val="18"/>
                <w:szCs w:val="18"/>
              </w:rPr>
              <w:t>华孚时尚股份有限公司</w:t>
            </w:r>
          </w:p>
        </w:tc>
      </w:tr>
      <w:tr w14:paraId="6886C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14:paraId="2BCB2971">
            <w:pPr>
              <w:spacing w:line="240" w:lineRule="exact"/>
              <w:rPr>
                <w:rFonts w:ascii="宋体" w:hAnsi="宋体" w:eastAsia="宋体" w:cs="宋体"/>
                <w:sz w:val="18"/>
                <w:szCs w:val="18"/>
              </w:rPr>
            </w:pPr>
            <w:r>
              <w:rPr>
                <w:rFonts w:ascii="宋体" w:hAnsi="宋体" w:eastAsia="宋体" w:cs="宋体"/>
                <w:sz w:val="18"/>
                <w:szCs w:val="18"/>
              </w:rPr>
              <w:t>中国证监会</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14:paraId="11E063D9">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6662" w:type="dxa"/>
            <w:tcBorders>
              <w:top w:val="single" w:color="auto" w:sz="2" w:space="0"/>
              <w:left w:val="single" w:color="auto" w:sz="2" w:space="0"/>
              <w:bottom w:val="single" w:color="auto" w:sz="2" w:space="0"/>
              <w:right w:val="single" w:color="auto" w:sz="2" w:space="0"/>
            </w:tcBorders>
            <w:vAlign w:val="center"/>
          </w:tcPr>
          <w:p w14:paraId="3EDF6CBE">
            <w:pPr>
              <w:spacing w:line="240" w:lineRule="exact"/>
              <w:rPr>
                <w:rFonts w:ascii="宋体" w:hAnsi="宋体" w:eastAsia="宋体" w:cs="宋体"/>
                <w:sz w:val="18"/>
                <w:szCs w:val="18"/>
              </w:rPr>
            </w:pPr>
            <w:r>
              <w:rPr>
                <w:rFonts w:ascii="宋体" w:hAnsi="宋体" w:eastAsia="宋体" w:cs="宋体"/>
                <w:sz w:val="18"/>
                <w:szCs w:val="18"/>
              </w:rPr>
              <w:t>中国证券监督管理委员会</w:t>
            </w:r>
          </w:p>
        </w:tc>
      </w:tr>
      <w:tr w14:paraId="094D6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14:paraId="17B3E956">
            <w:pPr>
              <w:spacing w:line="240" w:lineRule="exact"/>
              <w:rPr>
                <w:rFonts w:ascii="宋体" w:hAnsi="宋体" w:eastAsia="宋体" w:cs="宋体"/>
                <w:sz w:val="18"/>
                <w:szCs w:val="18"/>
              </w:rPr>
            </w:pPr>
            <w:r>
              <w:rPr>
                <w:rFonts w:ascii="宋体" w:hAnsi="宋体" w:eastAsia="宋体" w:cs="宋体"/>
                <w:sz w:val="18"/>
                <w:szCs w:val="18"/>
              </w:rPr>
              <w:t>深交所</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14:paraId="037FF717">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6662" w:type="dxa"/>
            <w:tcBorders>
              <w:top w:val="single" w:color="auto" w:sz="2" w:space="0"/>
              <w:left w:val="single" w:color="auto" w:sz="2" w:space="0"/>
              <w:bottom w:val="single" w:color="auto" w:sz="2" w:space="0"/>
              <w:right w:val="single" w:color="auto" w:sz="2" w:space="0"/>
            </w:tcBorders>
            <w:vAlign w:val="center"/>
          </w:tcPr>
          <w:p w14:paraId="7C3A46E0">
            <w:pPr>
              <w:spacing w:line="240" w:lineRule="exact"/>
              <w:rPr>
                <w:rFonts w:ascii="宋体" w:hAnsi="宋体" w:eastAsia="宋体" w:cs="宋体"/>
                <w:sz w:val="18"/>
                <w:szCs w:val="18"/>
              </w:rPr>
            </w:pPr>
            <w:r>
              <w:rPr>
                <w:rFonts w:ascii="宋体" w:hAnsi="宋体" w:eastAsia="宋体" w:cs="宋体"/>
                <w:sz w:val="18"/>
                <w:szCs w:val="18"/>
              </w:rPr>
              <w:t>深圳证券交易所</w:t>
            </w:r>
          </w:p>
        </w:tc>
      </w:tr>
      <w:tr w14:paraId="771BD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14:paraId="192D5DB7">
            <w:pPr>
              <w:spacing w:line="240" w:lineRule="exact"/>
              <w:rPr>
                <w:rFonts w:ascii="宋体" w:hAnsi="宋体" w:eastAsia="宋体" w:cs="宋体"/>
                <w:sz w:val="18"/>
                <w:szCs w:val="18"/>
              </w:rPr>
            </w:pPr>
            <w:r>
              <w:rPr>
                <w:rFonts w:ascii="宋体" w:hAnsi="宋体" w:eastAsia="宋体" w:cs="宋体"/>
                <w:sz w:val="18"/>
                <w:szCs w:val="18"/>
              </w:rPr>
              <w:t>《证券法》、《公司法》</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14:paraId="2CC4C12D">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6662" w:type="dxa"/>
            <w:tcBorders>
              <w:top w:val="single" w:color="auto" w:sz="2" w:space="0"/>
              <w:left w:val="single" w:color="auto" w:sz="2" w:space="0"/>
              <w:bottom w:val="single" w:color="auto" w:sz="2" w:space="0"/>
              <w:right w:val="single" w:color="auto" w:sz="2" w:space="0"/>
            </w:tcBorders>
            <w:vAlign w:val="center"/>
          </w:tcPr>
          <w:p w14:paraId="703A91ED">
            <w:pPr>
              <w:spacing w:line="240" w:lineRule="exact"/>
              <w:rPr>
                <w:rFonts w:ascii="宋体" w:hAnsi="宋体" w:eastAsia="宋体" w:cs="宋体"/>
                <w:sz w:val="18"/>
                <w:szCs w:val="18"/>
              </w:rPr>
            </w:pPr>
            <w:r>
              <w:rPr>
                <w:rFonts w:ascii="宋体" w:hAnsi="宋体" w:eastAsia="宋体" w:cs="宋体"/>
                <w:sz w:val="18"/>
                <w:szCs w:val="18"/>
              </w:rPr>
              <w:t>《中华人民共和国证券法》、《中华人民共和国公司法》</w:t>
            </w:r>
          </w:p>
        </w:tc>
      </w:tr>
      <w:tr w14:paraId="74951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14:paraId="35B202CD">
            <w:pPr>
              <w:spacing w:line="240" w:lineRule="exact"/>
              <w:rPr>
                <w:rFonts w:ascii="宋体" w:hAnsi="宋体" w:eastAsia="宋体" w:cs="宋体"/>
                <w:sz w:val="18"/>
                <w:szCs w:val="18"/>
              </w:rPr>
            </w:pPr>
            <w:r>
              <w:rPr>
                <w:rFonts w:ascii="宋体" w:hAnsi="宋体" w:eastAsia="宋体" w:cs="宋体"/>
                <w:sz w:val="18"/>
                <w:szCs w:val="18"/>
              </w:rPr>
              <w:t>控股股东、华孚控股</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14:paraId="1CED4001">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6662" w:type="dxa"/>
            <w:tcBorders>
              <w:top w:val="single" w:color="auto" w:sz="2" w:space="0"/>
              <w:left w:val="single" w:color="auto" w:sz="2" w:space="0"/>
              <w:bottom w:val="single" w:color="auto" w:sz="2" w:space="0"/>
              <w:right w:val="single" w:color="auto" w:sz="2" w:space="0"/>
            </w:tcBorders>
            <w:vAlign w:val="center"/>
          </w:tcPr>
          <w:p w14:paraId="5252A2CA">
            <w:pPr>
              <w:spacing w:line="240" w:lineRule="exact"/>
              <w:rPr>
                <w:rFonts w:ascii="宋体" w:hAnsi="宋体" w:eastAsia="宋体" w:cs="宋体"/>
                <w:sz w:val="18"/>
                <w:szCs w:val="18"/>
              </w:rPr>
            </w:pPr>
            <w:r>
              <w:rPr>
                <w:rFonts w:ascii="宋体" w:hAnsi="宋体" w:eastAsia="宋体" w:cs="宋体"/>
                <w:sz w:val="18"/>
                <w:szCs w:val="18"/>
              </w:rPr>
              <w:t>华孚控股有限公司</w:t>
            </w:r>
          </w:p>
        </w:tc>
      </w:tr>
      <w:tr w14:paraId="6BF5C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14:paraId="03045E6B">
            <w:pPr>
              <w:spacing w:line="240" w:lineRule="exact"/>
              <w:rPr>
                <w:rFonts w:ascii="宋体" w:hAnsi="宋体" w:eastAsia="宋体" w:cs="宋体"/>
                <w:sz w:val="18"/>
                <w:szCs w:val="18"/>
              </w:rPr>
            </w:pPr>
            <w:r>
              <w:rPr>
                <w:rFonts w:ascii="宋体" w:hAnsi="宋体" w:eastAsia="宋体" w:cs="宋体"/>
                <w:sz w:val="18"/>
                <w:szCs w:val="18"/>
              </w:rPr>
              <w:t>元、万元</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14:paraId="59DAAC9E">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6662" w:type="dxa"/>
            <w:tcBorders>
              <w:top w:val="single" w:color="auto" w:sz="2" w:space="0"/>
              <w:left w:val="single" w:color="auto" w:sz="2" w:space="0"/>
              <w:bottom w:val="single" w:color="auto" w:sz="2" w:space="0"/>
              <w:right w:val="single" w:color="auto" w:sz="2" w:space="0"/>
            </w:tcBorders>
            <w:vAlign w:val="center"/>
          </w:tcPr>
          <w:p w14:paraId="19C23647">
            <w:pPr>
              <w:spacing w:line="240" w:lineRule="exact"/>
              <w:rPr>
                <w:rFonts w:ascii="宋体" w:hAnsi="宋体" w:eastAsia="宋体" w:cs="宋体"/>
                <w:sz w:val="18"/>
                <w:szCs w:val="18"/>
              </w:rPr>
            </w:pPr>
            <w:r>
              <w:rPr>
                <w:rFonts w:ascii="宋体" w:hAnsi="宋体" w:eastAsia="宋体" w:cs="宋体"/>
                <w:sz w:val="18"/>
                <w:szCs w:val="18"/>
              </w:rPr>
              <w:t>人民币元、万元</w:t>
            </w:r>
          </w:p>
        </w:tc>
      </w:tr>
      <w:tr w14:paraId="2229C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14:paraId="43809959">
            <w:pPr>
              <w:spacing w:line="240" w:lineRule="exact"/>
              <w:rPr>
                <w:rFonts w:ascii="宋体" w:hAnsi="宋体" w:eastAsia="宋体" w:cs="宋体"/>
                <w:sz w:val="18"/>
                <w:szCs w:val="18"/>
              </w:rPr>
            </w:pPr>
            <w:r>
              <w:rPr>
                <w:rFonts w:ascii="宋体" w:hAnsi="宋体" w:eastAsia="宋体" w:cs="宋体"/>
                <w:sz w:val="18"/>
                <w:szCs w:val="18"/>
              </w:rPr>
              <w:t>网链</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14:paraId="5F94B8E0">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6662" w:type="dxa"/>
            <w:tcBorders>
              <w:top w:val="single" w:color="auto" w:sz="2" w:space="0"/>
              <w:left w:val="single" w:color="auto" w:sz="2" w:space="0"/>
              <w:bottom w:val="single" w:color="auto" w:sz="2" w:space="0"/>
              <w:right w:val="single" w:color="auto" w:sz="2" w:space="0"/>
            </w:tcBorders>
            <w:vAlign w:val="center"/>
          </w:tcPr>
          <w:p w14:paraId="7779F44B">
            <w:pPr>
              <w:spacing w:line="240" w:lineRule="exact"/>
              <w:rPr>
                <w:rFonts w:ascii="宋体" w:hAnsi="宋体" w:eastAsia="宋体" w:cs="宋体"/>
                <w:sz w:val="18"/>
                <w:szCs w:val="18"/>
              </w:rPr>
            </w:pPr>
            <w:r>
              <w:rPr>
                <w:rFonts w:ascii="宋体" w:hAnsi="宋体" w:eastAsia="宋体" w:cs="宋体"/>
                <w:sz w:val="18"/>
                <w:szCs w:val="18"/>
              </w:rPr>
              <w:t>公司网链业务是以公司主营纱线为界限，向上游产业和下游产业进行延伸和贯通。前端网链业务包括与产业相关的棉花种植、加工、储运和交易等环节；后端网链包括布料、成衣、品牌和品质等管理。</w:t>
            </w:r>
          </w:p>
        </w:tc>
      </w:tr>
      <w:tr w14:paraId="494D1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14:paraId="0C42F1F9">
            <w:pPr>
              <w:spacing w:line="240" w:lineRule="exact"/>
              <w:rPr>
                <w:rFonts w:ascii="宋体" w:hAnsi="宋体" w:eastAsia="宋体" w:cs="宋体"/>
                <w:sz w:val="18"/>
                <w:szCs w:val="18"/>
              </w:rPr>
            </w:pPr>
            <w:r>
              <w:rPr>
                <w:rFonts w:ascii="宋体" w:hAnsi="宋体" w:eastAsia="宋体" w:cs="宋体"/>
                <w:sz w:val="18"/>
                <w:szCs w:val="18"/>
              </w:rPr>
              <w:t>算力</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14:paraId="45F7382C">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6662" w:type="dxa"/>
            <w:tcBorders>
              <w:top w:val="single" w:color="auto" w:sz="2" w:space="0"/>
              <w:left w:val="single" w:color="auto" w:sz="2" w:space="0"/>
              <w:bottom w:val="single" w:color="auto" w:sz="2" w:space="0"/>
              <w:right w:val="single" w:color="auto" w:sz="2" w:space="0"/>
            </w:tcBorders>
            <w:vAlign w:val="center"/>
          </w:tcPr>
          <w:p w14:paraId="0EAA44B3">
            <w:pPr>
              <w:spacing w:line="240" w:lineRule="exact"/>
              <w:rPr>
                <w:rFonts w:ascii="宋体" w:hAnsi="宋体" w:eastAsia="宋体" w:cs="宋体"/>
                <w:sz w:val="18"/>
                <w:szCs w:val="18"/>
              </w:rPr>
            </w:pPr>
            <w:r>
              <w:rPr>
                <w:rFonts w:ascii="宋体" w:hAnsi="宋体" w:eastAsia="宋体" w:cs="宋体"/>
                <w:sz w:val="18"/>
                <w:szCs w:val="18"/>
              </w:rPr>
              <w:t>算力，即计算能力，是指计算机或数据中心处理和输出数据的能力。它通常通过处理器（如CPU、GPU等）的运算速度、效率和并行处理能力来衡量。</w:t>
            </w:r>
          </w:p>
        </w:tc>
      </w:tr>
      <w:tr w14:paraId="65A5F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14:paraId="3375D966">
            <w:pPr>
              <w:spacing w:line="240" w:lineRule="exact"/>
              <w:rPr>
                <w:rFonts w:ascii="宋体" w:hAnsi="宋体" w:eastAsia="宋体" w:cs="宋体"/>
                <w:sz w:val="18"/>
                <w:szCs w:val="18"/>
              </w:rPr>
            </w:pPr>
            <w:r>
              <w:rPr>
                <w:rFonts w:ascii="宋体" w:hAnsi="宋体" w:eastAsia="宋体" w:cs="宋体"/>
                <w:sz w:val="18"/>
                <w:szCs w:val="18"/>
              </w:rPr>
              <w:t>AIGC</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14:paraId="094981E6">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6662" w:type="dxa"/>
            <w:tcBorders>
              <w:top w:val="single" w:color="auto" w:sz="2" w:space="0"/>
              <w:left w:val="single" w:color="auto" w:sz="2" w:space="0"/>
              <w:bottom w:val="single" w:color="auto" w:sz="2" w:space="0"/>
              <w:right w:val="single" w:color="auto" w:sz="2" w:space="0"/>
            </w:tcBorders>
            <w:vAlign w:val="center"/>
          </w:tcPr>
          <w:p w14:paraId="144B71E8">
            <w:pPr>
              <w:spacing w:line="240" w:lineRule="exact"/>
              <w:rPr>
                <w:rFonts w:ascii="宋体" w:hAnsi="宋体" w:eastAsia="宋体" w:cs="宋体"/>
                <w:sz w:val="18"/>
                <w:szCs w:val="18"/>
              </w:rPr>
            </w:pPr>
            <w:r>
              <w:rPr>
                <w:rFonts w:ascii="宋体" w:hAnsi="宋体" w:eastAsia="宋体" w:cs="宋体"/>
                <w:sz w:val="18"/>
                <w:szCs w:val="18"/>
              </w:rPr>
              <w:t>AIGC是人工智能生成内容（Artificial Intelligence Generated Content）的缩写。它指的是利用人工智能技术，尤其是机器学习和深度学习模型，自动生成各种形式的内容，如文本、图像、音频、视频等。</w:t>
            </w:r>
          </w:p>
        </w:tc>
      </w:tr>
      <w:tr w14:paraId="14251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14:paraId="355C79C3">
            <w:pPr>
              <w:spacing w:line="240" w:lineRule="exact"/>
              <w:rPr>
                <w:rFonts w:ascii="宋体" w:hAnsi="宋体" w:eastAsia="宋体" w:cs="宋体"/>
                <w:sz w:val="18"/>
                <w:szCs w:val="18"/>
              </w:rPr>
            </w:pPr>
            <w:r>
              <w:rPr>
                <w:rFonts w:ascii="宋体" w:hAnsi="宋体" w:eastAsia="宋体" w:cs="宋体"/>
                <w:sz w:val="18"/>
                <w:szCs w:val="18"/>
              </w:rPr>
              <w:t>上虞AIGC智算中心项目</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14:paraId="4EA1FCC1">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6662" w:type="dxa"/>
            <w:tcBorders>
              <w:top w:val="single" w:color="auto" w:sz="2" w:space="0"/>
              <w:left w:val="single" w:color="auto" w:sz="2" w:space="0"/>
              <w:bottom w:val="single" w:color="auto" w:sz="2" w:space="0"/>
              <w:right w:val="single" w:color="auto" w:sz="2" w:space="0"/>
            </w:tcBorders>
            <w:vAlign w:val="center"/>
          </w:tcPr>
          <w:p w14:paraId="1942E3E5">
            <w:pPr>
              <w:spacing w:line="240" w:lineRule="exact"/>
              <w:rPr>
                <w:rFonts w:ascii="宋体" w:hAnsi="宋体" w:eastAsia="宋体" w:cs="宋体"/>
                <w:sz w:val="18"/>
                <w:szCs w:val="18"/>
              </w:rPr>
            </w:pPr>
            <w:r>
              <w:rPr>
                <w:rFonts w:ascii="宋体" w:hAnsi="宋体" w:eastAsia="宋体" w:cs="宋体"/>
                <w:sz w:val="18"/>
                <w:szCs w:val="18"/>
              </w:rPr>
              <w:t>公司全资子公司浙江华孚色纺有限公司计划投资“上虞华尚数智中心 AIGC 智算中心项目”，项目规划建设规模 3000PFLOPS AI 算力，项目一期已经建设完成</w:t>
            </w:r>
          </w:p>
        </w:tc>
      </w:tr>
      <w:tr w14:paraId="58B7C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268" w:type="dxa"/>
            <w:tcBorders>
              <w:top w:val="single" w:color="auto" w:sz="2" w:space="0"/>
              <w:left w:val="single" w:color="auto" w:sz="2" w:space="0"/>
              <w:bottom w:val="single" w:color="auto" w:sz="2" w:space="0"/>
              <w:right w:val="single" w:color="auto" w:sz="2" w:space="0"/>
            </w:tcBorders>
            <w:vAlign w:val="center"/>
          </w:tcPr>
          <w:p w14:paraId="4AC4D6C7">
            <w:pPr>
              <w:spacing w:line="240" w:lineRule="exact"/>
              <w:rPr>
                <w:rFonts w:ascii="宋体" w:hAnsi="宋体" w:eastAsia="宋体" w:cs="宋体"/>
                <w:sz w:val="18"/>
                <w:szCs w:val="18"/>
              </w:rPr>
            </w:pPr>
            <w:r>
              <w:rPr>
                <w:rFonts w:ascii="宋体" w:hAnsi="宋体" w:eastAsia="宋体" w:cs="宋体"/>
                <w:sz w:val="18"/>
                <w:szCs w:val="18"/>
              </w:rPr>
              <w:t>新疆阿克苏城市公共算力平台项目</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14:paraId="1EE87FE3">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6662" w:type="dxa"/>
            <w:tcBorders>
              <w:top w:val="single" w:color="auto" w:sz="2" w:space="0"/>
              <w:left w:val="single" w:color="auto" w:sz="2" w:space="0"/>
              <w:bottom w:val="single" w:color="auto" w:sz="2" w:space="0"/>
              <w:right w:val="single" w:color="auto" w:sz="2" w:space="0"/>
            </w:tcBorders>
            <w:vAlign w:val="center"/>
          </w:tcPr>
          <w:p w14:paraId="6FBDC97B">
            <w:pPr>
              <w:spacing w:line="240" w:lineRule="exact"/>
              <w:rPr>
                <w:rFonts w:ascii="宋体" w:hAnsi="宋体" w:eastAsia="宋体" w:cs="宋体"/>
                <w:sz w:val="18"/>
                <w:szCs w:val="18"/>
              </w:rPr>
            </w:pPr>
            <w:r>
              <w:rPr>
                <w:rFonts w:ascii="宋体" w:hAnsi="宋体" w:eastAsia="宋体" w:cs="宋体"/>
                <w:sz w:val="18"/>
                <w:szCs w:val="18"/>
              </w:rPr>
              <w:t>公司全资子公司拟于新疆阿克苏投资的智算中心项目，其中一期为 10000张智能计算卡，构建以国产下一代高性能计算服务器为主的异构算力集群。</w:t>
            </w:r>
          </w:p>
        </w:tc>
      </w:tr>
    </w:tbl>
    <w:p w14:paraId="09962D9B">
      <w:r>
        <w:br w:type="page"/>
      </w:r>
    </w:p>
    <w:p w14:paraId="7544E3B3">
      <w:pPr>
        <w:pStyle w:val="15"/>
        <w:spacing w:before="340" w:after="330" w:line="773" w:lineRule="exact"/>
        <w:jc w:val="center"/>
        <w:rPr>
          <w:rFonts w:ascii="宋体" w:hAnsi="宋体" w:eastAsia="宋体" w:cs="宋体"/>
          <w:b/>
          <w:bCs/>
          <w:sz w:val="32"/>
          <w:szCs w:val="32"/>
        </w:rPr>
      </w:pPr>
      <w:bookmarkStart w:id="1" w:name="_Toc988890"/>
      <w:r>
        <w:rPr>
          <w:rFonts w:ascii="宋体" w:hAnsi="宋体" w:eastAsia="宋体" w:cs="宋体"/>
          <w:b/>
          <w:bCs/>
          <w:sz w:val="32"/>
          <w:szCs w:val="32"/>
        </w:rPr>
        <w:t>第二节 公司简介和主要财务指标</w:t>
      </w:r>
      <w:bookmarkEnd w:id="1"/>
    </w:p>
    <w:p w14:paraId="1848C4BE">
      <w:pPr>
        <w:pStyle w:val="2"/>
        <w:spacing w:before="300" w:after="300" w:line="320" w:lineRule="exact"/>
        <w:rPr>
          <w:rFonts w:ascii="宋体" w:hAnsi="宋体" w:eastAsia="宋体" w:cs="宋体"/>
          <w:b/>
          <w:bCs/>
          <w:sz w:val="24"/>
          <w:szCs w:val="24"/>
        </w:rPr>
      </w:pPr>
      <w:bookmarkStart w:id="2" w:name="_Toc988891"/>
      <w:r>
        <w:rPr>
          <w:rFonts w:ascii="宋体" w:hAnsi="宋体" w:eastAsia="宋体" w:cs="宋体"/>
          <w:b/>
          <w:bCs/>
          <w:sz w:val="24"/>
          <w:szCs w:val="24"/>
        </w:rPr>
        <w:t>一、公司信息</w:t>
      </w:r>
      <w:bookmarkEnd w:id="2"/>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09"/>
        <w:gridCol w:w="2410"/>
        <w:gridCol w:w="2410"/>
      </w:tblGrid>
      <w:tr w14:paraId="6E3C7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39365E0">
            <w:pPr>
              <w:spacing w:before="40" w:after="40" w:line="240" w:lineRule="exact"/>
              <w:rPr>
                <w:rFonts w:ascii="宋体" w:hAnsi="宋体" w:eastAsia="宋体" w:cs="宋体"/>
                <w:sz w:val="18"/>
                <w:szCs w:val="18"/>
              </w:rPr>
            </w:pPr>
            <w:r>
              <w:rPr>
                <w:rFonts w:ascii="宋体" w:hAnsi="宋体" w:eastAsia="宋体" w:cs="宋体"/>
                <w:sz w:val="18"/>
                <w:szCs w:val="18"/>
              </w:rPr>
              <w:t>股票简称</w:t>
            </w:r>
          </w:p>
        </w:tc>
        <w:tc>
          <w:tcPr>
            <w:tcW w:w="2409" w:type="dxa"/>
            <w:tcBorders>
              <w:top w:val="single" w:color="auto" w:sz="2" w:space="0"/>
              <w:left w:val="single" w:color="auto" w:sz="2" w:space="0"/>
              <w:bottom w:val="single" w:color="auto" w:sz="2" w:space="0"/>
              <w:right w:val="single" w:color="auto" w:sz="2" w:space="0"/>
            </w:tcBorders>
            <w:vAlign w:val="center"/>
          </w:tcPr>
          <w:p w14:paraId="10E0BE9B">
            <w:pPr>
              <w:spacing w:line="240" w:lineRule="exact"/>
              <w:rPr>
                <w:rFonts w:ascii="宋体" w:hAnsi="宋体" w:eastAsia="宋体" w:cs="宋体"/>
                <w:sz w:val="18"/>
                <w:szCs w:val="18"/>
              </w:rPr>
            </w:pPr>
            <w:r>
              <w:rPr>
                <w:rFonts w:ascii="宋体" w:hAnsi="宋体" w:eastAsia="宋体" w:cs="宋体"/>
                <w:sz w:val="18"/>
                <w:szCs w:val="18"/>
              </w:rPr>
              <w:t>华孚时尚</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A8454D7">
            <w:pPr>
              <w:spacing w:before="40" w:after="40" w:line="240" w:lineRule="exact"/>
              <w:rPr>
                <w:rFonts w:ascii="宋体" w:hAnsi="宋体" w:eastAsia="宋体" w:cs="宋体"/>
                <w:sz w:val="18"/>
                <w:szCs w:val="18"/>
              </w:rPr>
            </w:pPr>
            <w:r>
              <w:rPr>
                <w:rFonts w:ascii="宋体" w:hAnsi="宋体" w:eastAsia="宋体" w:cs="宋体"/>
                <w:sz w:val="18"/>
                <w:szCs w:val="18"/>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14:paraId="306FE7A6">
            <w:pPr>
              <w:spacing w:line="240" w:lineRule="exact"/>
              <w:rPr>
                <w:rFonts w:ascii="宋体" w:hAnsi="宋体" w:eastAsia="宋体" w:cs="宋体"/>
                <w:sz w:val="18"/>
                <w:szCs w:val="18"/>
              </w:rPr>
            </w:pPr>
            <w:r>
              <w:rPr>
                <w:rFonts w:ascii="宋体" w:hAnsi="宋体" w:eastAsia="宋体" w:cs="宋体"/>
                <w:sz w:val="18"/>
                <w:szCs w:val="18"/>
              </w:rPr>
              <w:t>002042</w:t>
            </w:r>
          </w:p>
        </w:tc>
      </w:tr>
      <w:tr w14:paraId="35BA1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95DAED2">
            <w:pPr>
              <w:spacing w:before="40" w:after="40" w:line="240" w:lineRule="exact"/>
              <w:rPr>
                <w:rFonts w:ascii="宋体" w:hAnsi="宋体" w:eastAsia="宋体" w:cs="宋体"/>
                <w:sz w:val="18"/>
                <w:szCs w:val="18"/>
              </w:rPr>
            </w:pPr>
            <w:r>
              <w:rPr>
                <w:rFonts w:ascii="宋体" w:hAnsi="宋体" w:eastAsia="宋体" w:cs="宋体"/>
                <w:sz w:val="18"/>
                <w:szCs w:val="18"/>
              </w:rPr>
              <w:t>变更前的股票简称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6633F1A3">
            <w:pPr>
              <w:spacing w:line="240" w:lineRule="exact"/>
              <w:rPr>
                <w:rFonts w:ascii="宋体" w:hAnsi="宋体" w:eastAsia="宋体" w:cs="宋体"/>
                <w:sz w:val="18"/>
                <w:szCs w:val="18"/>
              </w:rPr>
            </w:pPr>
            <w:r>
              <w:rPr>
                <w:rFonts w:ascii="宋体" w:hAnsi="宋体" w:eastAsia="宋体" w:cs="宋体"/>
                <w:sz w:val="18"/>
                <w:szCs w:val="18"/>
              </w:rPr>
              <w:t>无</w:t>
            </w:r>
          </w:p>
        </w:tc>
      </w:tr>
      <w:tr w14:paraId="42D98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D14145B">
            <w:pPr>
              <w:spacing w:before="40" w:after="40" w:line="240" w:lineRule="exact"/>
              <w:rPr>
                <w:rFonts w:ascii="宋体" w:hAnsi="宋体" w:eastAsia="宋体" w:cs="宋体"/>
                <w:sz w:val="18"/>
                <w:szCs w:val="18"/>
              </w:rPr>
            </w:pPr>
            <w:r>
              <w:rPr>
                <w:rFonts w:ascii="宋体" w:hAnsi="宋体" w:eastAsia="宋体" w:cs="宋体"/>
                <w:sz w:val="18"/>
                <w:szCs w:val="18"/>
              </w:rPr>
              <w:t>股票上市证券交易所</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42E16C6B">
            <w:pPr>
              <w:spacing w:line="240" w:lineRule="exact"/>
              <w:rPr>
                <w:rFonts w:ascii="宋体" w:hAnsi="宋体" w:eastAsia="宋体" w:cs="宋体"/>
                <w:sz w:val="18"/>
                <w:szCs w:val="18"/>
              </w:rPr>
            </w:pPr>
            <w:r>
              <w:rPr>
                <w:rFonts w:ascii="宋体" w:hAnsi="宋体" w:eastAsia="宋体" w:cs="宋体"/>
                <w:sz w:val="18"/>
                <w:szCs w:val="18"/>
              </w:rPr>
              <w:t>深圳证券交易所</w:t>
            </w:r>
          </w:p>
        </w:tc>
      </w:tr>
      <w:tr w14:paraId="6A814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7F1C45F">
            <w:pPr>
              <w:spacing w:before="40" w:after="40" w:line="240" w:lineRule="exact"/>
              <w:rPr>
                <w:rFonts w:ascii="宋体" w:hAnsi="宋体" w:eastAsia="宋体" w:cs="宋体"/>
                <w:sz w:val="18"/>
                <w:szCs w:val="18"/>
              </w:rPr>
            </w:pPr>
            <w:r>
              <w:rPr>
                <w:rFonts w:ascii="宋体" w:hAnsi="宋体" w:eastAsia="宋体" w:cs="宋体"/>
                <w:sz w:val="18"/>
                <w:szCs w:val="18"/>
              </w:rPr>
              <w:t>公司的中文名称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0C2EC502">
            <w:pPr>
              <w:spacing w:line="240" w:lineRule="exact"/>
              <w:rPr>
                <w:rFonts w:ascii="宋体" w:hAnsi="宋体" w:eastAsia="宋体" w:cs="宋体"/>
                <w:sz w:val="18"/>
                <w:szCs w:val="18"/>
              </w:rPr>
            </w:pPr>
            <w:r>
              <w:rPr>
                <w:rFonts w:ascii="宋体" w:hAnsi="宋体" w:eastAsia="宋体" w:cs="宋体"/>
                <w:sz w:val="18"/>
                <w:szCs w:val="18"/>
              </w:rPr>
              <w:t>华孚时尚股份有限公司</w:t>
            </w:r>
          </w:p>
        </w:tc>
      </w:tr>
      <w:tr w14:paraId="203FA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B5D008E">
            <w:pPr>
              <w:spacing w:before="40" w:after="40" w:line="240" w:lineRule="exact"/>
              <w:rPr>
                <w:rFonts w:ascii="宋体" w:hAnsi="宋体" w:eastAsia="宋体" w:cs="宋体"/>
                <w:sz w:val="18"/>
                <w:szCs w:val="18"/>
              </w:rPr>
            </w:pPr>
            <w:r>
              <w:rPr>
                <w:rFonts w:ascii="宋体" w:hAnsi="宋体" w:eastAsia="宋体" w:cs="宋体"/>
                <w:sz w:val="18"/>
                <w:szCs w:val="18"/>
              </w:rPr>
              <w:t>公司的中文简称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6D28DA29">
            <w:pPr>
              <w:spacing w:line="240" w:lineRule="exact"/>
              <w:rPr>
                <w:rFonts w:ascii="宋体" w:hAnsi="宋体" w:eastAsia="宋体" w:cs="宋体"/>
                <w:sz w:val="18"/>
                <w:szCs w:val="18"/>
              </w:rPr>
            </w:pPr>
            <w:r>
              <w:rPr>
                <w:rFonts w:ascii="宋体" w:hAnsi="宋体" w:eastAsia="宋体" w:cs="宋体"/>
                <w:sz w:val="18"/>
                <w:szCs w:val="18"/>
              </w:rPr>
              <w:t>华孚时尚</w:t>
            </w:r>
          </w:p>
        </w:tc>
      </w:tr>
      <w:tr w14:paraId="74262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E4643C4">
            <w:pPr>
              <w:spacing w:before="40" w:after="40" w:line="240" w:lineRule="exact"/>
              <w:rPr>
                <w:rFonts w:ascii="宋体" w:hAnsi="宋体" w:eastAsia="宋体" w:cs="宋体"/>
                <w:sz w:val="18"/>
                <w:szCs w:val="18"/>
              </w:rPr>
            </w:pPr>
            <w:r>
              <w:rPr>
                <w:rFonts w:ascii="宋体" w:hAnsi="宋体" w:eastAsia="宋体" w:cs="宋体"/>
                <w:sz w:val="18"/>
                <w:szCs w:val="18"/>
              </w:rPr>
              <w:t>公司的外文名称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427B73E2">
            <w:pPr>
              <w:spacing w:line="240" w:lineRule="exact"/>
              <w:rPr>
                <w:rFonts w:ascii="宋体" w:hAnsi="宋体" w:eastAsia="宋体" w:cs="宋体"/>
                <w:sz w:val="18"/>
                <w:szCs w:val="18"/>
              </w:rPr>
            </w:pPr>
            <w:r>
              <w:rPr>
                <w:rFonts w:ascii="宋体" w:hAnsi="宋体" w:eastAsia="宋体" w:cs="宋体"/>
                <w:sz w:val="18"/>
                <w:szCs w:val="18"/>
              </w:rPr>
              <w:t>HUAFU FASHION CO., LTD.</w:t>
            </w:r>
          </w:p>
        </w:tc>
      </w:tr>
      <w:tr w14:paraId="57BF5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DAA6C06">
            <w:pPr>
              <w:spacing w:before="40" w:after="40" w:line="240" w:lineRule="exact"/>
              <w:rPr>
                <w:rFonts w:ascii="宋体" w:hAnsi="宋体" w:eastAsia="宋体" w:cs="宋体"/>
                <w:sz w:val="18"/>
                <w:szCs w:val="18"/>
              </w:rPr>
            </w:pPr>
            <w:r>
              <w:rPr>
                <w:rFonts w:ascii="宋体" w:hAnsi="宋体" w:eastAsia="宋体" w:cs="宋体"/>
                <w:sz w:val="18"/>
                <w:szCs w:val="18"/>
              </w:rPr>
              <w:t>公司的外文名称缩写</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2EC7D972">
            <w:pPr>
              <w:spacing w:line="240" w:lineRule="exact"/>
              <w:rPr>
                <w:rFonts w:ascii="宋体" w:hAnsi="宋体" w:eastAsia="宋体" w:cs="宋体"/>
                <w:sz w:val="18"/>
                <w:szCs w:val="18"/>
              </w:rPr>
            </w:pPr>
            <w:r>
              <w:rPr>
                <w:rFonts w:ascii="宋体" w:hAnsi="宋体" w:eastAsia="宋体" w:cs="宋体"/>
                <w:sz w:val="18"/>
                <w:szCs w:val="18"/>
              </w:rPr>
              <w:t>HUAFU</w:t>
            </w:r>
          </w:p>
        </w:tc>
      </w:tr>
      <w:tr w14:paraId="3CFEB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71C959B">
            <w:pPr>
              <w:spacing w:before="40" w:after="40" w:line="240" w:lineRule="exact"/>
              <w:rPr>
                <w:rFonts w:ascii="宋体" w:hAnsi="宋体" w:eastAsia="宋体" w:cs="宋体"/>
                <w:sz w:val="18"/>
                <w:szCs w:val="18"/>
              </w:rPr>
            </w:pPr>
            <w:r>
              <w:rPr>
                <w:rFonts w:ascii="宋体" w:hAnsi="宋体" w:eastAsia="宋体" w:cs="宋体"/>
                <w:sz w:val="18"/>
                <w:szCs w:val="18"/>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26239041">
            <w:pPr>
              <w:spacing w:line="240" w:lineRule="exact"/>
              <w:rPr>
                <w:rFonts w:ascii="宋体" w:hAnsi="宋体" w:eastAsia="宋体" w:cs="宋体"/>
                <w:sz w:val="18"/>
                <w:szCs w:val="18"/>
              </w:rPr>
            </w:pPr>
            <w:r>
              <w:rPr>
                <w:rFonts w:ascii="宋体" w:hAnsi="宋体" w:eastAsia="宋体" w:cs="宋体"/>
                <w:sz w:val="18"/>
                <w:szCs w:val="18"/>
              </w:rPr>
              <w:t>孙伟挺</w:t>
            </w:r>
          </w:p>
        </w:tc>
      </w:tr>
      <w:tr w14:paraId="138BE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8BAC5F0">
            <w:pPr>
              <w:spacing w:before="40" w:after="40" w:line="240" w:lineRule="exact"/>
              <w:rPr>
                <w:rFonts w:ascii="宋体" w:hAnsi="宋体" w:eastAsia="宋体" w:cs="宋体"/>
                <w:sz w:val="18"/>
                <w:szCs w:val="18"/>
              </w:rPr>
            </w:pPr>
            <w:r>
              <w:rPr>
                <w:rFonts w:ascii="宋体" w:hAnsi="宋体" w:eastAsia="宋体" w:cs="宋体"/>
                <w:sz w:val="18"/>
                <w:szCs w:val="18"/>
              </w:rPr>
              <w:t>注册地址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1DE927E9">
            <w:pPr>
              <w:spacing w:line="240" w:lineRule="exact"/>
              <w:rPr>
                <w:rFonts w:ascii="宋体" w:hAnsi="宋体" w:eastAsia="宋体" w:cs="宋体"/>
                <w:sz w:val="18"/>
                <w:szCs w:val="18"/>
              </w:rPr>
            </w:pPr>
            <w:r>
              <w:rPr>
                <w:rFonts w:ascii="宋体" w:hAnsi="宋体" w:eastAsia="宋体" w:cs="宋体"/>
                <w:sz w:val="18"/>
                <w:szCs w:val="18"/>
              </w:rPr>
              <w:t>安徽省淮北市经济开发区新区石山路6号</w:t>
            </w:r>
          </w:p>
        </w:tc>
      </w:tr>
      <w:tr w14:paraId="74825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2BABB07">
            <w:pPr>
              <w:spacing w:before="40" w:after="40" w:line="240" w:lineRule="exact"/>
              <w:rPr>
                <w:rFonts w:ascii="宋体" w:hAnsi="宋体" w:eastAsia="宋体" w:cs="宋体"/>
                <w:sz w:val="18"/>
                <w:szCs w:val="18"/>
              </w:rPr>
            </w:pPr>
            <w:r>
              <w:rPr>
                <w:rFonts w:ascii="宋体" w:hAnsi="宋体" w:eastAsia="宋体" w:cs="宋体"/>
                <w:sz w:val="18"/>
                <w:szCs w:val="18"/>
              </w:rPr>
              <w:t>注册地址的邮政编码</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68319CC8">
            <w:pPr>
              <w:spacing w:line="240" w:lineRule="exact"/>
              <w:rPr>
                <w:rFonts w:ascii="宋体" w:hAnsi="宋体" w:eastAsia="宋体" w:cs="宋体"/>
                <w:sz w:val="18"/>
                <w:szCs w:val="18"/>
              </w:rPr>
            </w:pPr>
            <w:r>
              <w:rPr>
                <w:rFonts w:ascii="宋体" w:hAnsi="宋体" w:eastAsia="宋体" w:cs="宋体"/>
                <w:sz w:val="18"/>
                <w:szCs w:val="18"/>
              </w:rPr>
              <w:t>235000</w:t>
            </w:r>
          </w:p>
        </w:tc>
      </w:tr>
      <w:tr w14:paraId="246DA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A7A10B2">
            <w:pPr>
              <w:spacing w:before="40" w:after="40" w:line="240" w:lineRule="exact"/>
              <w:rPr>
                <w:rFonts w:ascii="宋体" w:hAnsi="宋体" w:eastAsia="宋体" w:cs="宋体"/>
                <w:sz w:val="18"/>
                <w:szCs w:val="18"/>
              </w:rPr>
            </w:pPr>
            <w:r>
              <w:rPr>
                <w:rFonts w:ascii="宋体" w:hAnsi="宋体" w:eastAsia="宋体" w:cs="宋体"/>
                <w:sz w:val="18"/>
                <w:szCs w:val="18"/>
              </w:rPr>
              <w:t>公司注册地址历史变更情况</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690BFAAD">
            <w:pPr>
              <w:spacing w:line="240" w:lineRule="exact"/>
              <w:rPr>
                <w:rFonts w:ascii="宋体" w:hAnsi="宋体" w:eastAsia="宋体" w:cs="宋体"/>
                <w:sz w:val="18"/>
                <w:szCs w:val="18"/>
              </w:rPr>
            </w:pPr>
            <w:r>
              <w:rPr>
                <w:rFonts w:ascii="宋体" w:hAnsi="宋体" w:eastAsia="宋体" w:cs="宋体"/>
                <w:sz w:val="18"/>
                <w:szCs w:val="18"/>
              </w:rPr>
              <w:t>无</w:t>
            </w:r>
          </w:p>
        </w:tc>
      </w:tr>
      <w:tr w14:paraId="61B89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1C4B6E4">
            <w:pPr>
              <w:spacing w:before="40" w:after="40" w:line="240" w:lineRule="exact"/>
              <w:rPr>
                <w:rFonts w:ascii="宋体" w:hAnsi="宋体" w:eastAsia="宋体" w:cs="宋体"/>
                <w:sz w:val="18"/>
                <w:szCs w:val="18"/>
              </w:rPr>
            </w:pPr>
            <w:r>
              <w:rPr>
                <w:rFonts w:ascii="宋体" w:hAnsi="宋体" w:eastAsia="宋体" w:cs="宋体"/>
                <w:sz w:val="18"/>
                <w:szCs w:val="18"/>
              </w:rPr>
              <w:t>办公地址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6200C000">
            <w:pPr>
              <w:spacing w:line="240" w:lineRule="exact"/>
              <w:rPr>
                <w:rFonts w:ascii="宋体" w:hAnsi="宋体" w:eastAsia="宋体" w:cs="宋体"/>
                <w:sz w:val="18"/>
                <w:szCs w:val="18"/>
              </w:rPr>
            </w:pPr>
            <w:r>
              <w:rPr>
                <w:rFonts w:ascii="宋体" w:hAnsi="宋体" w:eastAsia="宋体" w:cs="宋体"/>
                <w:sz w:val="18"/>
                <w:szCs w:val="18"/>
              </w:rPr>
              <w:t>广东省深圳市福田区市花路5号长富金茂大厦59楼</w:t>
            </w:r>
          </w:p>
        </w:tc>
      </w:tr>
      <w:tr w14:paraId="42647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DE67273">
            <w:pPr>
              <w:spacing w:before="40" w:after="40" w:line="240" w:lineRule="exact"/>
              <w:rPr>
                <w:rFonts w:ascii="宋体" w:hAnsi="宋体" w:eastAsia="宋体" w:cs="宋体"/>
                <w:sz w:val="18"/>
                <w:szCs w:val="18"/>
              </w:rPr>
            </w:pPr>
            <w:r>
              <w:rPr>
                <w:rFonts w:ascii="宋体" w:hAnsi="宋体" w:eastAsia="宋体" w:cs="宋体"/>
                <w:sz w:val="18"/>
                <w:szCs w:val="18"/>
              </w:rPr>
              <w:t>办公地址的邮政编码</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13FF706A">
            <w:pPr>
              <w:spacing w:line="240" w:lineRule="exact"/>
              <w:rPr>
                <w:rFonts w:ascii="宋体" w:hAnsi="宋体" w:eastAsia="宋体" w:cs="宋体"/>
                <w:sz w:val="18"/>
                <w:szCs w:val="18"/>
              </w:rPr>
            </w:pPr>
            <w:r>
              <w:rPr>
                <w:rFonts w:ascii="宋体" w:hAnsi="宋体" w:eastAsia="宋体" w:cs="宋体"/>
                <w:sz w:val="18"/>
                <w:szCs w:val="18"/>
              </w:rPr>
              <w:t>518045</w:t>
            </w:r>
          </w:p>
        </w:tc>
      </w:tr>
      <w:tr w14:paraId="6AD23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3C5251E">
            <w:pPr>
              <w:spacing w:before="40" w:after="40" w:line="240" w:lineRule="exact"/>
              <w:rPr>
                <w:rFonts w:ascii="宋体" w:hAnsi="宋体" w:eastAsia="宋体" w:cs="宋体"/>
                <w:sz w:val="18"/>
                <w:szCs w:val="18"/>
              </w:rPr>
            </w:pPr>
            <w:r>
              <w:rPr>
                <w:rFonts w:ascii="宋体" w:hAnsi="宋体" w:eastAsia="宋体" w:cs="宋体"/>
                <w:sz w:val="18"/>
                <w:szCs w:val="18"/>
              </w:rPr>
              <w:t>公司网址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68B103F8">
            <w:pPr>
              <w:spacing w:line="240" w:lineRule="exact"/>
              <w:rPr>
                <w:rFonts w:ascii="宋体" w:hAnsi="宋体" w:eastAsia="宋体" w:cs="宋体"/>
                <w:sz w:val="18"/>
                <w:szCs w:val="18"/>
              </w:rPr>
            </w:pPr>
            <w:r>
              <w:rPr>
                <w:rFonts w:ascii="宋体" w:hAnsi="宋体" w:eastAsia="宋体" w:cs="宋体"/>
                <w:sz w:val="18"/>
                <w:szCs w:val="18"/>
              </w:rPr>
              <w:t>http://www.e-huafu.com</w:t>
            </w:r>
          </w:p>
        </w:tc>
      </w:tr>
      <w:tr w14:paraId="3C7D2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6D9A372">
            <w:pPr>
              <w:spacing w:before="40" w:after="40" w:line="240" w:lineRule="exact"/>
              <w:rPr>
                <w:rFonts w:ascii="宋体" w:hAnsi="宋体" w:eastAsia="宋体" w:cs="宋体"/>
                <w:sz w:val="18"/>
                <w:szCs w:val="18"/>
              </w:rPr>
            </w:pPr>
            <w:r>
              <w:rPr>
                <w:rFonts w:ascii="宋体" w:hAnsi="宋体" w:eastAsia="宋体" w:cs="宋体"/>
                <w:sz w:val="18"/>
                <w:szCs w:val="18"/>
              </w:rPr>
              <w:t>电子信箱</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264EE729">
            <w:pPr>
              <w:spacing w:line="240" w:lineRule="exact"/>
              <w:rPr>
                <w:rFonts w:ascii="宋体" w:hAnsi="宋体" w:eastAsia="宋体" w:cs="宋体"/>
                <w:sz w:val="18"/>
                <w:szCs w:val="18"/>
              </w:rPr>
            </w:pPr>
            <w:r>
              <w:rPr>
                <w:rFonts w:ascii="宋体" w:hAnsi="宋体" w:eastAsia="宋体" w:cs="宋体"/>
                <w:sz w:val="18"/>
                <w:szCs w:val="18"/>
              </w:rPr>
              <w:t>dongban@e-huafu.com</w:t>
            </w:r>
          </w:p>
        </w:tc>
      </w:tr>
    </w:tbl>
    <w:p w14:paraId="681BA5B0">
      <w:pPr>
        <w:pStyle w:val="2"/>
        <w:spacing w:before="300" w:after="300" w:line="320" w:lineRule="exact"/>
        <w:rPr>
          <w:rFonts w:ascii="宋体" w:hAnsi="宋体" w:eastAsia="宋体" w:cs="宋体"/>
          <w:b/>
          <w:bCs/>
          <w:sz w:val="24"/>
          <w:szCs w:val="24"/>
        </w:rPr>
      </w:pPr>
      <w:bookmarkStart w:id="3" w:name="_Toc988892"/>
      <w:r>
        <w:rPr>
          <w:rFonts w:ascii="宋体" w:hAnsi="宋体" w:eastAsia="宋体" w:cs="宋体"/>
          <w:b/>
          <w:bCs/>
          <w:sz w:val="24"/>
          <w:szCs w:val="24"/>
        </w:rPr>
        <w:t>二、联系人和联系方式</w:t>
      </w:r>
      <w:bookmarkEnd w:id="3"/>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3"/>
        <w:gridCol w:w="4323"/>
        <w:gridCol w:w="4323"/>
      </w:tblGrid>
      <w:tr w14:paraId="1ED28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14:paraId="3F5508F5"/>
        </w:tc>
        <w:tc>
          <w:tcPr>
            <w:tcW w:w="4323" w:type="dxa"/>
            <w:tcBorders>
              <w:top w:val="single" w:color="auto" w:sz="2" w:space="0"/>
              <w:left w:val="single" w:color="auto" w:sz="2" w:space="0"/>
              <w:bottom w:val="single" w:color="auto" w:sz="2" w:space="0"/>
              <w:right w:val="single" w:color="auto" w:sz="2" w:space="0"/>
            </w:tcBorders>
            <w:shd w:val="clear" w:color="auto" w:fill="D3D3D3"/>
            <w:vAlign w:val="center"/>
          </w:tcPr>
          <w:p w14:paraId="1FE38F02">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4323" w:type="dxa"/>
            <w:tcBorders>
              <w:top w:val="single" w:color="auto" w:sz="2" w:space="0"/>
              <w:left w:val="single" w:color="auto" w:sz="2" w:space="0"/>
              <w:bottom w:val="single" w:color="auto" w:sz="2" w:space="0"/>
              <w:right w:val="single" w:color="auto" w:sz="2" w:space="0"/>
            </w:tcBorders>
            <w:shd w:val="clear" w:color="auto" w:fill="D3D3D3"/>
            <w:vAlign w:val="center"/>
          </w:tcPr>
          <w:p w14:paraId="46FB109C">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14:paraId="2CA81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14:paraId="6B945B02">
            <w:pPr>
              <w:spacing w:before="40" w:after="40" w:line="240" w:lineRule="exact"/>
              <w:rPr>
                <w:rFonts w:ascii="宋体" w:hAnsi="宋体" w:eastAsia="宋体" w:cs="宋体"/>
                <w:sz w:val="18"/>
                <w:szCs w:val="18"/>
              </w:rPr>
            </w:pPr>
            <w:r>
              <w:rPr>
                <w:rFonts w:ascii="宋体" w:hAnsi="宋体" w:eastAsia="宋体" w:cs="宋体"/>
                <w:sz w:val="18"/>
                <w:szCs w:val="18"/>
              </w:rPr>
              <w:t>姓名</w:t>
            </w:r>
          </w:p>
        </w:tc>
        <w:tc>
          <w:tcPr>
            <w:tcW w:w="4323" w:type="dxa"/>
            <w:tcBorders>
              <w:top w:val="single" w:color="auto" w:sz="2" w:space="0"/>
              <w:left w:val="single" w:color="auto" w:sz="2" w:space="0"/>
              <w:bottom w:val="single" w:color="auto" w:sz="2" w:space="0"/>
              <w:right w:val="single" w:color="auto" w:sz="2" w:space="0"/>
            </w:tcBorders>
            <w:vAlign w:val="center"/>
          </w:tcPr>
          <w:p w14:paraId="617B121F">
            <w:pPr>
              <w:spacing w:line="240" w:lineRule="exact"/>
              <w:rPr>
                <w:rFonts w:ascii="宋体" w:hAnsi="宋体" w:eastAsia="宋体" w:cs="宋体"/>
                <w:sz w:val="18"/>
                <w:szCs w:val="18"/>
              </w:rPr>
            </w:pPr>
            <w:r>
              <w:rPr>
                <w:rFonts w:ascii="宋体" w:hAnsi="宋体" w:eastAsia="宋体" w:cs="宋体"/>
                <w:sz w:val="18"/>
                <w:szCs w:val="18"/>
              </w:rPr>
              <w:t>张正</w:t>
            </w:r>
          </w:p>
        </w:tc>
        <w:tc>
          <w:tcPr>
            <w:tcW w:w="4323" w:type="dxa"/>
            <w:tcBorders>
              <w:top w:val="single" w:color="auto" w:sz="2" w:space="0"/>
              <w:left w:val="single" w:color="auto" w:sz="2" w:space="0"/>
              <w:bottom w:val="single" w:color="auto" w:sz="2" w:space="0"/>
              <w:right w:val="single" w:color="auto" w:sz="2" w:space="0"/>
            </w:tcBorders>
            <w:vAlign w:val="center"/>
          </w:tcPr>
          <w:p w14:paraId="6F48B872">
            <w:pPr>
              <w:spacing w:line="240" w:lineRule="exact"/>
              <w:rPr>
                <w:rFonts w:ascii="宋体" w:hAnsi="宋体" w:eastAsia="宋体" w:cs="宋体"/>
                <w:sz w:val="18"/>
                <w:szCs w:val="18"/>
              </w:rPr>
            </w:pPr>
            <w:r>
              <w:rPr>
                <w:rFonts w:ascii="宋体" w:hAnsi="宋体" w:eastAsia="宋体" w:cs="宋体"/>
                <w:sz w:val="18"/>
                <w:szCs w:val="18"/>
              </w:rPr>
              <w:t>孙献</w:t>
            </w:r>
          </w:p>
        </w:tc>
      </w:tr>
      <w:tr w14:paraId="3351C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14:paraId="29EA0109">
            <w:pPr>
              <w:spacing w:before="40" w:after="40" w:line="240" w:lineRule="exact"/>
              <w:rPr>
                <w:rFonts w:ascii="宋体" w:hAnsi="宋体" w:eastAsia="宋体" w:cs="宋体"/>
                <w:sz w:val="18"/>
                <w:szCs w:val="18"/>
              </w:rPr>
            </w:pPr>
            <w:r>
              <w:rPr>
                <w:rFonts w:ascii="宋体" w:hAnsi="宋体" w:eastAsia="宋体" w:cs="宋体"/>
                <w:sz w:val="18"/>
                <w:szCs w:val="18"/>
              </w:rPr>
              <w:t>联系地址</w:t>
            </w:r>
          </w:p>
        </w:tc>
        <w:tc>
          <w:tcPr>
            <w:tcW w:w="4323" w:type="dxa"/>
            <w:tcBorders>
              <w:top w:val="single" w:color="auto" w:sz="2" w:space="0"/>
              <w:left w:val="single" w:color="auto" w:sz="2" w:space="0"/>
              <w:bottom w:val="single" w:color="auto" w:sz="2" w:space="0"/>
              <w:right w:val="single" w:color="auto" w:sz="2" w:space="0"/>
            </w:tcBorders>
            <w:vAlign w:val="center"/>
          </w:tcPr>
          <w:p w14:paraId="7F7A6DD3">
            <w:pPr>
              <w:spacing w:line="240" w:lineRule="exact"/>
              <w:rPr>
                <w:rFonts w:ascii="宋体" w:hAnsi="宋体" w:eastAsia="宋体" w:cs="宋体"/>
                <w:sz w:val="18"/>
                <w:szCs w:val="18"/>
              </w:rPr>
            </w:pPr>
            <w:r>
              <w:rPr>
                <w:rFonts w:ascii="宋体" w:hAnsi="宋体" w:eastAsia="宋体" w:cs="宋体"/>
                <w:sz w:val="18"/>
                <w:szCs w:val="18"/>
              </w:rPr>
              <w:t>广东省深圳市福田区市花路5号长富金茂大厦59楼</w:t>
            </w:r>
          </w:p>
        </w:tc>
        <w:tc>
          <w:tcPr>
            <w:tcW w:w="4323" w:type="dxa"/>
            <w:tcBorders>
              <w:top w:val="single" w:color="auto" w:sz="2" w:space="0"/>
              <w:left w:val="single" w:color="auto" w:sz="2" w:space="0"/>
              <w:bottom w:val="single" w:color="auto" w:sz="2" w:space="0"/>
              <w:right w:val="single" w:color="auto" w:sz="2" w:space="0"/>
            </w:tcBorders>
            <w:vAlign w:val="center"/>
          </w:tcPr>
          <w:p w14:paraId="66A44D7B">
            <w:pPr>
              <w:spacing w:line="240" w:lineRule="exact"/>
              <w:rPr>
                <w:rFonts w:ascii="宋体" w:hAnsi="宋体" w:eastAsia="宋体" w:cs="宋体"/>
                <w:sz w:val="18"/>
                <w:szCs w:val="18"/>
              </w:rPr>
            </w:pPr>
            <w:r>
              <w:rPr>
                <w:rFonts w:ascii="宋体" w:hAnsi="宋体" w:eastAsia="宋体" w:cs="宋体"/>
                <w:sz w:val="18"/>
                <w:szCs w:val="18"/>
              </w:rPr>
              <w:t>广东省深圳市福田区市花路5号长富金茂大厦59楼</w:t>
            </w:r>
          </w:p>
        </w:tc>
      </w:tr>
      <w:tr w14:paraId="78E74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14:paraId="2BE7A0C8">
            <w:pPr>
              <w:spacing w:before="40" w:after="40" w:line="240" w:lineRule="exact"/>
              <w:rPr>
                <w:rFonts w:ascii="宋体" w:hAnsi="宋体" w:eastAsia="宋体" w:cs="宋体"/>
                <w:sz w:val="18"/>
                <w:szCs w:val="18"/>
              </w:rPr>
            </w:pPr>
            <w:r>
              <w:rPr>
                <w:rFonts w:ascii="宋体" w:hAnsi="宋体" w:eastAsia="宋体" w:cs="宋体"/>
                <w:sz w:val="18"/>
                <w:szCs w:val="18"/>
              </w:rPr>
              <w:t>电话</w:t>
            </w:r>
          </w:p>
        </w:tc>
        <w:tc>
          <w:tcPr>
            <w:tcW w:w="4323" w:type="dxa"/>
            <w:tcBorders>
              <w:top w:val="single" w:color="auto" w:sz="2" w:space="0"/>
              <w:left w:val="single" w:color="auto" w:sz="2" w:space="0"/>
              <w:bottom w:val="single" w:color="auto" w:sz="2" w:space="0"/>
              <w:right w:val="single" w:color="auto" w:sz="2" w:space="0"/>
            </w:tcBorders>
            <w:vAlign w:val="center"/>
          </w:tcPr>
          <w:p w14:paraId="40ADCE38">
            <w:pPr>
              <w:spacing w:line="240" w:lineRule="exact"/>
              <w:rPr>
                <w:rFonts w:ascii="宋体" w:hAnsi="宋体" w:eastAsia="宋体" w:cs="宋体"/>
                <w:sz w:val="18"/>
                <w:szCs w:val="18"/>
              </w:rPr>
            </w:pPr>
            <w:r>
              <w:rPr>
                <w:rFonts w:ascii="宋体" w:hAnsi="宋体" w:eastAsia="宋体" w:cs="宋体"/>
                <w:sz w:val="18"/>
                <w:szCs w:val="18"/>
              </w:rPr>
              <w:t>0755-83735593</w:t>
            </w:r>
          </w:p>
        </w:tc>
        <w:tc>
          <w:tcPr>
            <w:tcW w:w="4323" w:type="dxa"/>
            <w:tcBorders>
              <w:top w:val="single" w:color="auto" w:sz="2" w:space="0"/>
              <w:left w:val="single" w:color="auto" w:sz="2" w:space="0"/>
              <w:bottom w:val="single" w:color="auto" w:sz="2" w:space="0"/>
              <w:right w:val="single" w:color="auto" w:sz="2" w:space="0"/>
            </w:tcBorders>
            <w:vAlign w:val="center"/>
          </w:tcPr>
          <w:p w14:paraId="365C712A">
            <w:pPr>
              <w:spacing w:line="240" w:lineRule="exact"/>
              <w:rPr>
                <w:rFonts w:ascii="宋体" w:hAnsi="宋体" w:eastAsia="宋体" w:cs="宋体"/>
                <w:sz w:val="18"/>
                <w:szCs w:val="18"/>
              </w:rPr>
            </w:pPr>
            <w:r>
              <w:rPr>
                <w:rFonts w:ascii="宋体" w:hAnsi="宋体" w:eastAsia="宋体" w:cs="宋体"/>
                <w:sz w:val="18"/>
                <w:szCs w:val="18"/>
              </w:rPr>
              <w:t>0755-83735433</w:t>
            </w:r>
          </w:p>
        </w:tc>
      </w:tr>
      <w:tr w14:paraId="0D666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14:paraId="76EA0353">
            <w:pPr>
              <w:spacing w:before="40" w:after="40" w:line="240" w:lineRule="exact"/>
              <w:rPr>
                <w:rFonts w:ascii="宋体" w:hAnsi="宋体" w:eastAsia="宋体" w:cs="宋体"/>
                <w:sz w:val="18"/>
                <w:szCs w:val="18"/>
              </w:rPr>
            </w:pPr>
            <w:r>
              <w:rPr>
                <w:rFonts w:ascii="宋体" w:hAnsi="宋体" w:eastAsia="宋体" w:cs="宋体"/>
                <w:sz w:val="18"/>
                <w:szCs w:val="18"/>
              </w:rPr>
              <w:t>传真</w:t>
            </w:r>
          </w:p>
        </w:tc>
        <w:tc>
          <w:tcPr>
            <w:tcW w:w="4323" w:type="dxa"/>
            <w:tcBorders>
              <w:top w:val="single" w:color="auto" w:sz="2" w:space="0"/>
              <w:left w:val="single" w:color="auto" w:sz="2" w:space="0"/>
              <w:bottom w:val="single" w:color="auto" w:sz="2" w:space="0"/>
              <w:right w:val="single" w:color="auto" w:sz="2" w:space="0"/>
            </w:tcBorders>
            <w:vAlign w:val="center"/>
          </w:tcPr>
          <w:p w14:paraId="54A7EF7F">
            <w:pPr>
              <w:spacing w:line="240" w:lineRule="exact"/>
              <w:rPr>
                <w:rFonts w:ascii="宋体" w:hAnsi="宋体" w:eastAsia="宋体" w:cs="宋体"/>
                <w:sz w:val="18"/>
                <w:szCs w:val="18"/>
              </w:rPr>
            </w:pPr>
            <w:r>
              <w:rPr>
                <w:rFonts w:ascii="宋体" w:hAnsi="宋体" w:eastAsia="宋体" w:cs="宋体"/>
                <w:sz w:val="18"/>
                <w:szCs w:val="18"/>
              </w:rPr>
              <w:t>0755-83735566</w:t>
            </w:r>
          </w:p>
        </w:tc>
        <w:tc>
          <w:tcPr>
            <w:tcW w:w="4323" w:type="dxa"/>
            <w:tcBorders>
              <w:top w:val="single" w:color="auto" w:sz="2" w:space="0"/>
              <w:left w:val="single" w:color="auto" w:sz="2" w:space="0"/>
              <w:bottom w:val="single" w:color="auto" w:sz="2" w:space="0"/>
              <w:right w:val="single" w:color="auto" w:sz="2" w:space="0"/>
            </w:tcBorders>
            <w:vAlign w:val="center"/>
          </w:tcPr>
          <w:p w14:paraId="732B0B5B">
            <w:pPr>
              <w:spacing w:line="240" w:lineRule="exact"/>
              <w:rPr>
                <w:rFonts w:ascii="宋体" w:hAnsi="宋体" w:eastAsia="宋体" w:cs="宋体"/>
                <w:sz w:val="18"/>
                <w:szCs w:val="18"/>
              </w:rPr>
            </w:pPr>
            <w:r>
              <w:rPr>
                <w:rFonts w:ascii="宋体" w:hAnsi="宋体" w:eastAsia="宋体" w:cs="宋体"/>
                <w:sz w:val="18"/>
                <w:szCs w:val="18"/>
              </w:rPr>
              <w:t>0755-83735566</w:t>
            </w:r>
          </w:p>
        </w:tc>
      </w:tr>
      <w:tr w14:paraId="1E0AF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14:paraId="1AD3E9F0">
            <w:pPr>
              <w:spacing w:before="40" w:after="40" w:line="240" w:lineRule="exact"/>
              <w:rPr>
                <w:rFonts w:ascii="宋体" w:hAnsi="宋体" w:eastAsia="宋体" w:cs="宋体"/>
                <w:sz w:val="18"/>
                <w:szCs w:val="18"/>
              </w:rPr>
            </w:pPr>
            <w:r>
              <w:rPr>
                <w:rFonts w:ascii="宋体" w:hAnsi="宋体" w:eastAsia="宋体" w:cs="宋体"/>
                <w:sz w:val="18"/>
                <w:szCs w:val="18"/>
              </w:rPr>
              <w:t>电子信箱</w:t>
            </w:r>
          </w:p>
        </w:tc>
        <w:tc>
          <w:tcPr>
            <w:tcW w:w="4323" w:type="dxa"/>
            <w:tcBorders>
              <w:top w:val="single" w:color="auto" w:sz="2" w:space="0"/>
              <w:left w:val="single" w:color="auto" w:sz="2" w:space="0"/>
              <w:bottom w:val="single" w:color="auto" w:sz="2" w:space="0"/>
              <w:right w:val="single" w:color="auto" w:sz="2" w:space="0"/>
            </w:tcBorders>
            <w:vAlign w:val="center"/>
          </w:tcPr>
          <w:p w14:paraId="3DE19819">
            <w:pPr>
              <w:spacing w:line="240" w:lineRule="exact"/>
              <w:rPr>
                <w:rFonts w:ascii="宋体" w:hAnsi="宋体" w:eastAsia="宋体" w:cs="宋体"/>
                <w:sz w:val="18"/>
                <w:szCs w:val="18"/>
              </w:rPr>
            </w:pPr>
            <w:r>
              <w:rPr>
                <w:rFonts w:ascii="宋体" w:hAnsi="宋体" w:eastAsia="宋体" w:cs="宋体"/>
                <w:sz w:val="18"/>
                <w:szCs w:val="18"/>
              </w:rPr>
              <w:t>dongban@e-huafu.com</w:t>
            </w:r>
          </w:p>
        </w:tc>
        <w:tc>
          <w:tcPr>
            <w:tcW w:w="4323" w:type="dxa"/>
            <w:tcBorders>
              <w:top w:val="single" w:color="auto" w:sz="2" w:space="0"/>
              <w:left w:val="single" w:color="auto" w:sz="2" w:space="0"/>
              <w:bottom w:val="single" w:color="auto" w:sz="2" w:space="0"/>
              <w:right w:val="single" w:color="auto" w:sz="2" w:space="0"/>
            </w:tcBorders>
            <w:vAlign w:val="center"/>
          </w:tcPr>
          <w:p w14:paraId="1E1564B3">
            <w:pPr>
              <w:spacing w:line="240" w:lineRule="exact"/>
              <w:rPr>
                <w:rFonts w:ascii="宋体" w:hAnsi="宋体" w:eastAsia="宋体" w:cs="宋体"/>
                <w:sz w:val="18"/>
                <w:szCs w:val="18"/>
              </w:rPr>
            </w:pPr>
            <w:r>
              <w:rPr>
                <w:rFonts w:ascii="宋体" w:hAnsi="宋体" w:eastAsia="宋体" w:cs="宋体"/>
                <w:sz w:val="18"/>
                <w:szCs w:val="18"/>
              </w:rPr>
              <w:t>sunx@e-huafu.com</w:t>
            </w:r>
          </w:p>
        </w:tc>
      </w:tr>
    </w:tbl>
    <w:p w14:paraId="78559321">
      <w:pPr>
        <w:pStyle w:val="2"/>
        <w:spacing w:before="300" w:after="300" w:line="320" w:lineRule="exact"/>
        <w:rPr>
          <w:rFonts w:ascii="宋体" w:hAnsi="宋体" w:eastAsia="宋体" w:cs="宋体"/>
          <w:b/>
          <w:bCs/>
          <w:sz w:val="24"/>
          <w:szCs w:val="24"/>
        </w:rPr>
      </w:pPr>
      <w:bookmarkStart w:id="4" w:name="_Toc988893"/>
      <w:r>
        <w:rPr>
          <w:rFonts w:ascii="宋体" w:hAnsi="宋体" w:eastAsia="宋体" w:cs="宋体"/>
          <w:b/>
          <w:bCs/>
          <w:sz w:val="24"/>
          <w:szCs w:val="24"/>
        </w:rPr>
        <w:t>三、信息披露及备置地点</w:t>
      </w:r>
      <w:bookmarkEnd w:id="4"/>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02"/>
        <w:gridCol w:w="6237"/>
      </w:tblGrid>
      <w:tr w14:paraId="188F1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14:paraId="2DBA7F7D">
            <w:pPr>
              <w:spacing w:before="40" w:after="40" w:line="240" w:lineRule="exact"/>
              <w:rPr>
                <w:rFonts w:ascii="宋体" w:hAnsi="宋体" w:eastAsia="宋体" w:cs="宋体"/>
                <w:sz w:val="18"/>
                <w:szCs w:val="18"/>
              </w:rPr>
            </w:pPr>
            <w:r>
              <w:rPr>
                <w:rFonts w:ascii="宋体" w:hAnsi="宋体" w:eastAsia="宋体" w:cs="宋体"/>
                <w:sz w:val="18"/>
                <w:szCs w:val="18"/>
              </w:rPr>
              <w:t>公司披露年度报告的证券交易所网站</w:t>
            </w:r>
          </w:p>
        </w:tc>
        <w:tc>
          <w:tcPr>
            <w:tcW w:w="6237" w:type="dxa"/>
            <w:tcBorders>
              <w:top w:val="single" w:color="auto" w:sz="2" w:space="0"/>
              <w:left w:val="single" w:color="auto" w:sz="2" w:space="0"/>
              <w:bottom w:val="single" w:color="auto" w:sz="2" w:space="0"/>
              <w:right w:val="single" w:color="auto" w:sz="2" w:space="0"/>
            </w:tcBorders>
            <w:vAlign w:val="center"/>
          </w:tcPr>
          <w:p w14:paraId="3E3BCB43">
            <w:pPr>
              <w:spacing w:line="240" w:lineRule="exact"/>
              <w:rPr>
                <w:rFonts w:ascii="宋体" w:hAnsi="宋体" w:eastAsia="宋体" w:cs="宋体"/>
                <w:sz w:val="18"/>
                <w:szCs w:val="18"/>
              </w:rPr>
            </w:pPr>
            <w:r>
              <w:rPr>
                <w:rFonts w:ascii="宋体" w:hAnsi="宋体" w:eastAsia="宋体" w:cs="宋体"/>
                <w:sz w:val="18"/>
                <w:szCs w:val="18"/>
              </w:rPr>
              <w:t>http://www.szse.cn/</w:t>
            </w:r>
          </w:p>
        </w:tc>
      </w:tr>
      <w:tr w14:paraId="37CE3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14:paraId="4304FD3E">
            <w:pPr>
              <w:spacing w:before="40" w:after="40" w:line="240" w:lineRule="exact"/>
              <w:rPr>
                <w:rFonts w:ascii="宋体" w:hAnsi="宋体" w:eastAsia="宋体" w:cs="宋体"/>
                <w:sz w:val="18"/>
                <w:szCs w:val="18"/>
              </w:rPr>
            </w:pPr>
            <w:r>
              <w:rPr>
                <w:rFonts w:ascii="宋体" w:hAnsi="宋体" w:eastAsia="宋体" w:cs="宋体"/>
                <w:sz w:val="18"/>
                <w:szCs w:val="18"/>
              </w:rPr>
              <w:t>公司披露年度报告的媒体名称及网址</w:t>
            </w:r>
          </w:p>
        </w:tc>
        <w:tc>
          <w:tcPr>
            <w:tcW w:w="6237" w:type="dxa"/>
            <w:tcBorders>
              <w:top w:val="single" w:color="auto" w:sz="2" w:space="0"/>
              <w:left w:val="single" w:color="auto" w:sz="2" w:space="0"/>
              <w:bottom w:val="single" w:color="auto" w:sz="2" w:space="0"/>
              <w:right w:val="single" w:color="auto" w:sz="2" w:space="0"/>
            </w:tcBorders>
            <w:vAlign w:val="center"/>
          </w:tcPr>
          <w:p w14:paraId="4BC5E231">
            <w:pPr>
              <w:spacing w:line="240" w:lineRule="exact"/>
              <w:rPr>
                <w:rFonts w:ascii="宋体" w:hAnsi="宋体" w:eastAsia="宋体" w:cs="宋体"/>
                <w:sz w:val="18"/>
                <w:szCs w:val="18"/>
              </w:rPr>
            </w:pPr>
            <w:r>
              <w:rPr>
                <w:rFonts w:ascii="宋体" w:hAnsi="宋体" w:eastAsia="宋体" w:cs="宋体"/>
                <w:sz w:val="18"/>
                <w:szCs w:val="18"/>
              </w:rPr>
              <w:t>《中国证券报》、《证券时报》、巨潮资讯网（http://www.cninfo.com.cn）</w:t>
            </w:r>
          </w:p>
        </w:tc>
      </w:tr>
      <w:tr w14:paraId="3C1A1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14:paraId="6DA4CD39">
            <w:pPr>
              <w:spacing w:before="40" w:after="40" w:line="240" w:lineRule="exact"/>
              <w:rPr>
                <w:rFonts w:ascii="宋体" w:hAnsi="宋体" w:eastAsia="宋体" w:cs="宋体"/>
                <w:sz w:val="18"/>
                <w:szCs w:val="18"/>
              </w:rPr>
            </w:pPr>
            <w:r>
              <w:rPr>
                <w:rFonts w:ascii="宋体" w:hAnsi="宋体" w:eastAsia="宋体" w:cs="宋体"/>
                <w:sz w:val="18"/>
                <w:szCs w:val="18"/>
              </w:rPr>
              <w:t>公司年度报告备置地点</w:t>
            </w:r>
          </w:p>
        </w:tc>
        <w:tc>
          <w:tcPr>
            <w:tcW w:w="6237" w:type="dxa"/>
            <w:tcBorders>
              <w:top w:val="single" w:color="auto" w:sz="2" w:space="0"/>
              <w:left w:val="single" w:color="auto" w:sz="2" w:space="0"/>
              <w:bottom w:val="single" w:color="auto" w:sz="2" w:space="0"/>
              <w:right w:val="single" w:color="auto" w:sz="2" w:space="0"/>
            </w:tcBorders>
            <w:vAlign w:val="center"/>
          </w:tcPr>
          <w:p w14:paraId="60398ADE">
            <w:pPr>
              <w:spacing w:line="240" w:lineRule="exact"/>
              <w:rPr>
                <w:rFonts w:ascii="宋体" w:hAnsi="宋体" w:eastAsia="宋体" w:cs="宋体"/>
                <w:sz w:val="18"/>
                <w:szCs w:val="18"/>
              </w:rPr>
            </w:pPr>
            <w:r>
              <w:rPr>
                <w:rFonts w:ascii="宋体" w:hAnsi="宋体" w:eastAsia="宋体" w:cs="宋体"/>
                <w:sz w:val="18"/>
                <w:szCs w:val="18"/>
              </w:rPr>
              <w:t>公司董事会办公室</w:t>
            </w:r>
          </w:p>
        </w:tc>
      </w:tr>
    </w:tbl>
    <w:p w14:paraId="49EC815F">
      <w:pPr>
        <w:pStyle w:val="2"/>
        <w:spacing w:before="300" w:after="300" w:line="320" w:lineRule="exact"/>
        <w:rPr>
          <w:rFonts w:ascii="宋体" w:hAnsi="宋体" w:eastAsia="宋体" w:cs="宋体"/>
          <w:b/>
          <w:bCs/>
          <w:sz w:val="24"/>
          <w:szCs w:val="24"/>
        </w:rPr>
      </w:pPr>
      <w:bookmarkStart w:id="5" w:name="_Toc988894"/>
      <w:r>
        <w:rPr>
          <w:rFonts w:ascii="宋体" w:hAnsi="宋体" w:eastAsia="宋体" w:cs="宋体"/>
          <w:b/>
          <w:bCs/>
          <w:sz w:val="24"/>
          <w:szCs w:val="24"/>
        </w:rPr>
        <w:t>四、注册变更情况</w:t>
      </w:r>
      <w:bookmarkEnd w:id="5"/>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02"/>
        <w:gridCol w:w="6237"/>
      </w:tblGrid>
      <w:tr w14:paraId="1C6A9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14:paraId="7E030D90">
            <w:pPr>
              <w:spacing w:before="40" w:after="40" w:line="240" w:lineRule="exact"/>
              <w:rPr>
                <w:rFonts w:ascii="宋体" w:hAnsi="宋体" w:eastAsia="宋体" w:cs="宋体"/>
                <w:sz w:val="18"/>
                <w:szCs w:val="18"/>
              </w:rPr>
            </w:pPr>
            <w:r>
              <w:rPr>
                <w:rFonts w:ascii="宋体" w:hAnsi="宋体" w:eastAsia="宋体" w:cs="宋体"/>
                <w:sz w:val="18"/>
                <w:szCs w:val="18"/>
              </w:rPr>
              <w:t>统一社会信用代码</w:t>
            </w:r>
          </w:p>
        </w:tc>
        <w:tc>
          <w:tcPr>
            <w:tcW w:w="6237" w:type="dxa"/>
            <w:tcBorders>
              <w:top w:val="single" w:color="auto" w:sz="2" w:space="0"/>
              <w:left w:val="single" w:color="auto" w:sz="2" w:space="0"/>
              <w:bottom w:val="single" w:color="auto" w:sz="2" w:space="0"/>
              <w:right w:val="single" w:color="auto" w:sz="2" w:space="0"/>
            </w:tcBorders>
            <w:vAlign w:val="center"/>
          </w:tcPr>
          <w:p w14:paraId="0D413CA1">
            <w:pPr>
              <w:spacing w:line="240" w:lineRule="exact"/>
              <w:rPr>
                <w:rFonts w:ascii="宋体" w:hAnsi="宋体" w:eastAsia="宋体" w:cs="宋体"/>
                <w:sz w:val="18"/>
                <w:szCs w:val="18"/>
              </w:rPr>
            </w:pPr>
            <w:r>
              <w:rPr>
                <w:rFonts w:ascii="宋体" w:hAnsi="宋体" w:eastAsia="宋体" w:cs="宋体"/>
                <w:sz w:val="18"/>
                <w:szCs w:val="18"/>
              </w:rPr>
              <w:t>9134060072553187XK</w:t>
            </w:r>
          </w:p>
        </w:tc>
      </w:tr>
      <w:tr w14:paraId="4E6AD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14:paraId="4FF04AE7">
            <w:pPr>
              <w:spacing w:before="40" w:after="40" w:line="240" w:lineRule="exact"/>
              <w:rPr>
                <w:rFonts w:ascii="宋体" w:hAnsi="宋体" w:eastAsia="宋体" w:cs="宋体"/>
                <w:sz w:val="18"/>
                <w:szCs w:val="18"/>
              </w:rPr>
            </w:pPr>
            <w:r>
              <w:rPr>
                <w:rFonts w:ascii="宋体" w:hAnsi="宋体" w:eastAsia="宋体" w:cs="宋体"/>
                <w:sz w:val="18"/>
                <w:szCs w:val="18"/>
              </w:rPr>
              <w:t>公司上市以来主营业务的变化情况</w:t>
            </w:r>
          </w:p>
        </w:tc>
        <w:tc>
          <w:tcPr>
            <w:tcW w:w="6237" w:type="dxa"/>
            <w:tcBorders>
              <w:top w:val="single" w:color="auto" w:sz="2" w:space="0"/>
              <w:left w:val="single" w:color="auto" w:sz="2" w:space="0"/>
              <w:bottom w:val="single" w:color="auto" w:sz="2" w:space="0"/>
              <w:right w:val="single" w:color="auto" w:sz="2" w:space="0"/>
            </w:tcBorders>
            <w:vAlign w:val="center"/>
          </w:tcPr>
          <w:p w14:paraId="4341E490">
            <w:pPr>
              <w:spacing w:line="240" w:lineRule="exact"/>
              <w:rPr>
                <w:rFonts w:ascii="宋体" w:hAnsi="宋体" w:eastAsia="宋体" w:cs="宋体"/>
                <w:sz w:val="18"/>
                <w:szCs w:val="18"/>
              </w:rPr>
            </w:pPr>
            <w:r>
              <w:rPr>
                <w:rFonts w:ascii="宋体" w:hAnsi="宋体" w:eastAsia="宋体" w:cs="宋体"/>
                <w:sz w:val="18"/>
                <w:szCs w:val="18"/>
              </w:rPr>
              <w:t>无</w:t>
            </w:r>
          </w:p>
        </w:tc>
      </w:tr>
      <w:tr w14:paraId="62DE2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14:paraId="01032454">
            <w:pPr>
              <w:spacing w:before="40" w:after="40" w:line="240" w:lineRule="exact"/>
              <w:rPr>
                <w:rFonts w:ascii="宋体" w:hAnsi="宋体" w:eastAsia="宋体" w:cs="宋体"/>
                <w:sz w:val="18"/>
                <w:szCs w:val="18"/>
              </w:rPr>
            </w:pPr>
            <w:r>
              <w:rPr>
                <w:rFonts w:ascii="宋体" w:hAnsi="宋体" w:eastAsia="宋体" w:cs="宋体"/>
                <w:sz w:val="18"/>
                <w:szCs w:val="18"/>
              </w:rPr>
              <w:t>历次控股股东的变更情况</w:t>
            </w:r>
          </w:p>
        </w:tc>
        <w:tc>
          <w:tcPr>
            <w:tcW w:w="6237" w:type="dxa"/>
            <w:tcBorders>
              <w:top w:val="single" w:color="auto" w:sz="2" w:space="0"/>
              <w:left w:val="single" w:color="auto" w:sz="2" w:space="0"/>
              <w:bottom w:val="single" w:color="auto" w:sz="2" w:space="0"/>
              <w:right w:val="single" w:color="auto" w:sz="2" w:space="0"/>
            </w:tcBorders>
            <w:vAlign w:val="center"/>
          </w:tcPr>
          <w:p w14:paraId="4A4EF971">
            <w:pPr>
              <w:spacing w:line="240" w:lineRule="exact"/>
              <w:rPr>
                <w:rFonts w:ascii="宋体" w:hAnsi="宋体" w:eastAsia="宋体" w:cs="宋体"/>
                <w:sz w:val="18"/>
                <w:szCs w:val="18"/>
              </w:rPr>
            </w:pPr>
            <w:r>
              <w:rPr>
                <w:rFonts w:ascii="宋体" w:hAnsi="宋体" w:eastAsia="宋体" w:cs="宋体"/>
                <w:sz w:val="18"/>
                <w:szCs w:val="18"/>
              </w:rPr>
              <w:t>无</w:t>
            </w:r>
          </w:p>
        </w:tc>
      </w:tr>
    </w:tbl>
    <w:p w14:paraId="0009D9EB">
      <w:pPr>
        <w:pStyle w:val="2"/>
        <w:spacing w:before="300" w:after="300" w:line="320" w:lineRule="exact"/>
        <w:rPr>
          <w:rFonts w:ascii="宋体" w:hAnsi="宋体" w:eastAsia="宋体" w:cs="宋体"/>
          <w:b/>
          <w:bCs/>
          <w:sz w:val="24"/>
          <w:szCs w:val="24"/>
        </w:rPr>
      </w:pPr>
      <w:bookmarkStart w:id="6" w:name="_Toc988895"/>
      <w:r>
        <w:rPr>
          <w:rFonts w:ascii="宋体" w:hAnsi="宋体" w:eastAsia="宋体" w:cs="宋体"/>
          <w:b/>
          <w:bCs/>
          <w:sz w:val="24"/>
          <w:szCs w:val="24"/>
        </w:rPr>
        <w:t>五、其他有关资料</w:t>
      </w:r>
      <w:bookmarkEnd w:id="6"/>
    </w:p>
    <w:p w14:paraId="4973522A">
      <w:pPr>
        <w:spacing w:before="100" w:after="100" w:line="240" w:lineRule="exact"/>
        <w:rPr>
          <w:rFonts w:ascii="宋体" w:hAnsi="宋体" w:eastAsia="宋体" w:cs="宋体"/>
          <w:sz w:val="18"/>
          <w:szCs w:val="18"/>
        </w:rPr>
      </w:pPr>
      <w:r>
        <w:rPr>
          <w:rFonts w:ascii="宋体" w:hAnsi="宋体" w:eastAsia="宋体" w:cs="宋体"/>
          <w:sz w:val="18"/>
          <w:szCs w:val="18"/>
        </w:rPr>
        <w:t>公司聘请的会计师事务所</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02"/>
        <w:gridCol w:w="6237"/>
      </w:tblGrid>
      <w:tr w14:paraId="0B4ED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14:paraId="5D3935AC">
            <w:pPr>
              <w:spacing w:before="40" w:after="40" w:line="240" w:lineRule="exact"/>
              <w:rPr>
                <w:rFonts w:ascii="宋体" w:hAnsi="宋体" w:eastAsia="宋体" w:cs="宋体"/>
                <w:sz w:val="18"/>
                <w:szCs w:val="18"/>
              </w:rPr>
            </w:pPr>
            <w:r>
              <w:rPr>
                <w:rFonts w:ascii="宋体" w:hAnsi="宋体" w:eastAsia="宋体" w:cs="宋体"/>
                <w:sz w:val="18"/>
                <w:szCs w:val="18"/>
              </w:rPr>
              <w:t>会计师事务所名称</w:t>
            </w:r>
          </w:p>
        </w:tc>
        <w:tc>
          <w:tcPr>
            <w:tcW w:w="6237" w:type="dxa"/>
            <w:tcBorders>
              <w:top w:val="single" w:color="auto" w:sz="2" w:space="0"/>
              <w:left w:val="single" w:color="auto" w:sz="2" w:space="0"/>
              <w:bottom w:val="single" w:color="auto" w:sz="2" w:space="0"/>
              <w:right w:val="single" w:color="auto" w:sz="2" w:space="0"/>
            </w:tcBorders>
            <w:vAlign w:val="center"/>
          </w:tcPr>
          <w:p w14:paraId="1C6E9D30">
            <w:pPr>
              <w:spacing w:line="240" w:lineRule="exact"/>
              <w:rPr>
                <w:rFonts w:ascii="宋体" w:hAnsi="宋体" w:eastAsia="宋体" w:cs="宋体"/>
                <w:sz w:val="18"/>
                <w:szCs w:val="18"/>
              </w:rPr>
            </w:pPr>
            <w:r>
              <w:rPr>
                <w:rFonts w:ascii="宋体" w:hAnsi="宋体" w:eastAsia="宋体" w:cs="宋体"/>
                <w:sz w:val="18"/>
                <w:szCs w:val="18"/>
              </w:rPr>
              <w:t>政旦志远（深圳）会计师事务所（特殊普通合伙）</w:t>
            </w:r>
          </w:p>
        </w:tc>
      </w:tr>
      <w:tr w14:paraId="7061F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14:paraId="0428D252">
            <w:pPr>
              <w:spacing w:before="40" w:after="40" w:line="240" w:lineRule="exact"/>
              <w:rPr>
                <w:rFonts w:ascii="宋体" w:hAnsi="宋体" w:eastAsia="宋体" w:cs="宋体"/>
                <w:sz w:val="18"/>
                <w:szCs w:val="18"/>
              </w:rPr>
            </w:pPr>
            <w:r>
              <w:rPr>
                <w:rFonts w:ascii="宋体" w:hAnsi="宋体" w:eastAsia="宋体" w:cs="宋体"/>
                <w:sz w:val="18"/>
                <w:szCs w:val="18"/>
              </w:rPr>
              <w:t>会计师事务所办公地址</w:t>
            </w:r>
          </w:p>
        </w:tc>
        <w:tc>
          <w:tcPr>
            <w:tcW w:w="6237" w:type="dxa"/>
            <w:tcBorders>
              <w:top w:val="single" w:color="auto" w:sz="2" w:space="0"/>
              <w:left w:val="single" w:color="auto" w:sz="2" w:space="0"/>
              <w:bottom w:val="single" w:color="auto" w:sz="2" w:space="0"/>
              <w:right w:val="single" w:color="auto" w:sz="2" w:space="0"/>
            </w:tcBorders>
            <w:vAlign w:val="center"/>
          </w:tcPr>
          <w:p w14:paraId="41CD333C">
            <w:pPr>
              <w:spacing w:line="240" w:lineRule="exact"/>
              <w:rPr>
                <w:rFonts w:ascii="宋体" w:hAnsi="宋体" w:eastAsia="宋体" w:cs="宋体"/>
                <w:sz w:val="18"/>
                <w:szCs w:val="18"/>
              </w:rPr>
            </w:pPr>
            <w:r>
              <w:rPr>
                <w:rFonts w:ascii="宋体" w:hAnsi="宋体" w:eastAsia="宋体" w:cs="宋体"/>
                <w:sz w:val="18"/>
                <w:szCs w:val="18"/>
              </w:rPr>
              <w:t>深圳市福田区莲花街道福新社区鹏程一路9号广电金融中心11F</w:t>
            </w:r>
          </w:p>
        </w:tc>
      </w:tr>
      <w:tr w14:paraId="0DDBB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402" w:type="dxa"/>
            <w:tcBorders>
              <w:top w:val="single" w:color="auto" w:sz="2" w:space="0"/>
              <w:left w:val="single" w:color="auto" w:sz="2" w:space="0"/>
              <w:bottom w:val="single" w:color="auto" w:sz="2" w:space="0"/>
              <w:right w:val="single" w:color="auto" w:sz="2" w:space="0"/>
            </w:tcBorders>
            <w:shd w:val="clear" w:color="auto" w:fill="D3D3D3"/>
            <w:vAlign w:val="center"/>
          </w:tcPr>
          <w:p w14:paraId="594D5A2A">
            <w:pPr>
              <w:spacing w:before="40" w:after="40" w:line="240" w:lineRule="exact"/>
              <w:rPr>
                <w:rFonts w:ascii="宋体" w:hAnsi="宋体" w:eastAsia="宋体" w:cs="宋体"/>
                <w:sz w:val="18"/>
                <w:szCs w:val="18"/>
              </w:rPr>
            </w:pPr>
            <w:r>
              <w:rPr>
                <w:rFonts w:ascii="宋体" w:hAnsi="宋体" w:eastAsia="宋体" w:cs="宋体"/>
                <w:sz w:val="18"/>
                <w:szCs w:val="18"/>
              </w:rPr>
              <w:t>签字会计师姓名</w:t>
            </w:r>
          </w:p>
        </w:tc>
        <w:tc>
          <w:tcPr>
            <w:tcW w:w="6237" w:type="dxa"/>
            <w:tcBorders>
              <w:top w:val="single" w:color="auto" w:sz="2" w:space="0"/>
              <w:left w:val="single" w:color="auto" w:sz="2" w:space="0"/>
              <w:bottom w:val="single" w:color="auto" w:sz="2" w:space="0"/>
              <w:right w:val="single" w:color="auto" w:sz="2" w:space="0"/>
            </w:tcBorders>
            <w:vAlign w:val="center"/>
          </w:tcPr>
          <w:p w14:paraId="547CFF00">
            <w:pPr>
              <w:spacing w:line="240" w:lineRule="exact"/>
              <w:rPr>
                <w:rFonts w:ascii="宋体" w:hAnsi="宋体" w:eastAsia="宋体" w:cs="宋体"/>
                <w:sz w:val="18"/>
                <w:szCs w:val="18"/>
              </w:rPr>
            </w:pPr>
            <w:r>
              <w:rPr>
                <w:rFonts w:ascii="宋体" w:hAnsi="宋体" w:eastAsia="宋体" w:cs="宋体"/>
                <w:sz w:val="18"/>
                <w:szCs w:val="18"/>
              </w:rPr>
              <w:t>陈磊、吴泽娜</w:t>
            </w:r>
          </w:p>
        </w:tc>
      </w:tr>
    </w:tbl>
    <w:p w14:paraId="32BA4413">
      <w:pPr>
        <w:spacing w:before="100" w:after="100" w:line="240" w:lineRule="exact"/>
        <w:rPr>
          <w:rFonts w:ascii="宋体" w:hAnsi="宋体" w:eastAsia="宋体" w:cs="宋体"/>
          <w:sz w:val="18"/>
          <w:szCs w:val="18"/>
        </w:rPr>
      </w:pPr>
      <w:r>
        <w:rPr>
          <w:rFonts w:ascii="宋体" w:hAnsi="宋体" w:eastAsia="宋体" w:cs="宋体"/>
          <w:sz w:val="18"/>
          <w:szCs w:val="18"/>
        </w:rPr>
        <w:t>公司聘请的报告期内履行持续督导职责的保荐机构</w:t>
      </w:r>
    </w:p>
    <w:p w14:paraId="62A71F28">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DB96C29">
      <w:pPr>
        <w:spacing w:before="100" w:after="100" w:line="240" w:lineRule="exact"/>
        <w:rPr>
          <w:rFonts w:ascii="宋体" w:hAnsi="宋体" w:eastAsia="宋体" w:cs="宋体"/>
          <w:sz w:val="18"/>
          <w:szCs w:val="18"/>
        </w:rPr>
      </w:pPr>
      <w:r>
        <w:rPr>
          <w:rFonts w:ascii="宋体" w:hAnsi="宋体" w:eastAsia="宋体" w:cs="宋体"/>
          <w:sz w:val="18"/>
          <w:szCs w:val="18"/>
        </w:rPr>
        <w:t>公司聘请的报告期内履行持续督导职责的财务顾问</w:t>
      </w:r>
    </w:p>
    <w:p w14:paraId="0D4C60F5">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3B9CD41">
      <w:pPr>
        <w:pStyle w:val="2"/>
        <w:spacing w:before="300" w:after="300" w:line="320" w:lineRule="exact"/>
        <w:rPr>
          <w:rFonts w:ascii="宋体" w:hAnsi="宋体" w:eastAsia="宋体" w:cs="宋体"/>
          <w:b/>
          <w:bCs/>
          <w:sz w:val="24"/>
          <w:szCs w:val="24"/>
        </w:rPr>
      </w:pPr>
      <w:bookmarkStart w:id="7" w:name="_Toc988896"/>
      <w:r>
        <w:rPr>
          <w:rFonts w:ascii="宋体" w:hAnsi="宋体" w:eastAsia="宋体" w:cs="宋体"/>
          <w:b/>
          <w:bCs/>
          <w:sz w:val="24"/>
          <w:szCs w:val="24"/>
        </w:rPr>
        <w:t>六、主要会计数据和财务指标</w:t>
      </w:r>
      <w:bookmarkEnd w:id="7"/>
    </w:p>
    <w:p w14:paraId="1BE0FE0E">
      <w:pPr>
        <w:spacing w:before="100" w:after="100" w:line="240" w:lineRule="exact"/>
        <w:rPr>
          <w:rFonts w:ascii="宋体" w:hAnsi="宋体" w:eastAsia="宋体" w:cs="宋体"/>
          <w:sz w:val="18"/>
          <w:szCs w:val="18"/>
        </w:rPr>
      </w:pPr>
      <w:r>
        <w:rPr>
          <w:rFonts w:ascii="宋体" w:hAnsi="宋体" w:eastAsia="宋体" w:cs="宋体"/>
          <w:sz w:val="18"/>
          <w:szCs w:val="18"/>
        </w:rPr>
        <w:t>公司是否需追溯调整或重述以前年度会计数据</w:t>
      </w:r>
    </w:p>
    <w:p w14:paraId="51AC0813">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44D85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5E011CA"/>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134FA00">
            <w:pPr>
              <w:spacing w:before="40" w:after="40" w:line="240" w:lineRule="exact"/>
              <w:jc w:val="center"/>
              <w:rPr>
                <w:rFonts w:ascii="宋体" w:hAnsi="宋体" w:eastAsia="宋体" w:cs="宋体"/>
                <w:sz w:val="18"/>
                <w:szCs w:val="18"/>
              </w:rPr>
            </w:pPr>
            <w:r>
              <w:rPr>
                <w:rFonts w:ascii="宋体" w:hAnsi="宋体" w:eastAsia="宋体" w:cs="宋体"/>
                <w:sz w:val="18"/>
                <w:szCs w:val="18"/>
              </w:rPr>
              <w:t>2025年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8EB3D2E">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88655D9">
            <w:pPr>
              <w:spacing w:before="40" w:after="40" w:line="240" w:lineRule="exact"/>
              <w:jc w:val="center"/>
              <w:rPr>
                <w:rFonts w:ascii="宋体" w:hAnsi="宋体" w:eastAsia="宋体" w:cs="宋体"/>
                <w:sz w:val="18"/>
                <w:szCs w:val="18"/>
              </w:rPr>
            </w:pPr>
            <w:r>
              <w:rPr>
                <w:rFonts w:ascii="宋体" w:hAnsi="宋体" w:eastAsia="宋体" w:cs="宋体"/>
                <w:sz w:val="18"/>
                <w:szCs w:val="18"/>
              </w:rPr>
              <w:t>本年比上年增减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371428E">
            <w:pPr>
              <w:spacing w:before="40" w:after="40" w:line="240" w:lineRule="exact"/>
              <w:jc w:val="center"/>
              <w:rPr>
                <w:rFonts w:ascii="宋体" w:hAnsi="宋体" w:eastAsia="宋体" w:cs="宋体"/>
                <w:sz w:val="18"/>
                <w:szCs w:val="18"/>
              </w:rPr>
            </w:pPr>
            <w:r>
              <w:rPr>
                <w:rFonts w:ascii="宋体" w:hAnsi="宋体" w:eastAsia="宋体" w:cs="宋体"/>
                <w:sz w:val="18"/>
                <w:szCs w:val="18"/>
              </w:rPr>
              <w:t>2023年</w:t>
            </w:r>
          </w:p>
        </w:tc>
      </w:tr>
      <w:tr w14:paraId="06181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7BD0CB0">
            <w:pPr>
              <w:spacing w:before="40" w:after="40" w:line="240" w:lineRule="exact"/>
              <w:rPr>
                <w:rFonts w:ascii="宋体" w:hAnsi="宋体" w:eastAsia="宋体" w:cs="宋体"/>
                <w:sz w:val="18"/>
                <w:szCs w:val="18"/>
              </w:rPr>
            </w:pPr>
            <w:r>
              <w:rPr>
                <w:rFonts w:ascii="宋体" w:hAnsi="宋体" w:eastAsia="宋体" w:cs="宋体"/>
                <w:sz w:val="18"/>
                <w:szCs w:val="18"/>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14:paraId="1539356E">
            <w:pPr>
              <w:spacing w:line="240" w:lineRule="exact"/>
              <w:jc w:val="right"/>
              <w:rPr>
                <w:rFonts w:ascii="宋体" w:hAnsi="宋体" w:eastAsia="宋体" w:cs="宋体"/>
                <w:sz w:val="18"/>
                <w:szCs w:val="18"/>
              </w:rPr>
            </w:pPr>
            <w:r>
              <w:rPr>
                <w:rFonts w:ascii="宋体" w:hAnsi="宋体" w:eastAsia="宋体" w:cs="宋体"/>
                <w:sz w:val="18"/>
                <w:szCs w:val="18"/>
              </w:rPr>
              <w:t>8,050,059,722.95</w:t>
            </w:r>
          </w:p>
        </w:tc>
        <w:tc>
          <w:tcPr>
            <w:tcW w:w="1928" w:type="dxa"/>
            <w:tcBorders>
              <w:top w:val="single" w:color="auto" w:sz="2" w:space="0"/>
              <w:left w:val="single" w:color="auto" w:sz="2" w:space="0"/>
              <w:bottom w:val="single" w:color="auto" w:sz="2" w:space="0"/>
              <w:right w:val="single" w:color="auto" w:sz="2" w:space="0"/>
            </w:tcBorders>
            <w:vAlign w:val="center"/>
          </w:tcPr>
          <w:p w14:paraId="555B1AAE">
            <w:pPr>
              <w:spacing w:line="240" w:lineRule="exact"/>
              <w:jc w:val="right"/>
              <w:rPr>
                <w:rFonts w:ascii="宋体" w:hAnsi="宋体" w:eastAsia="宋体" w:cs="宋体"/>
                <w:sz w:val="18"/>
                <w:szCs w:val="18"/>
              </w:rPr>
            </w:pPr>
            <w:r>
              <w:rPr>
                <w:rFonts w:ascii="宋体" w:hAnsi="宋体" w:eastAsia="宋体" w:cs="宋体"/>
                <w:sz w:val="18"/>
                <w:szCs w:val="18"/>
              </w:rPr>
              <w:t>10,761,951,965.32</w:t>
            </w:r>
          </w:p>
        </w:tc>
        <w:tc>
          <w:tcPr>
            <w:tcW w:w="1928" w:type="dxa"/>
            <w:tcBorders>
              <w:top w:val="single" w:color="auto" w:sz="2" w:space="0"/>
              <w:left w:val="single" w:color="auto" w:sz="2" w:space="0"/>
              <w:bottom w:val="single" w:color="auto" w:sz="2" w:space="0"/>
              <w:right w:val="single" w:color="auto" w:sz="2" w:space="0"/>
            </w:tcBorders>
            <w:vAlign w:val="center"/>
          </w:tcPr>
          <w:p w14:paraId="7C992069">
            <w:pPr>
              <w:spacing w:line="240" w:lineRule="exact"/>
              <w:jc w:val="right"/>
              <w:rPr>
                <w:rFonts w:ascii="宋体" w:hAnsi="宋体" w:eastAsia="宋体" w:cs="宋体"/>
                <w:sz w:val="18"/>
                <w:szCs w:val="18"/>
              </w:rPr>
            </w:pPr>
            <w:r>
              <w:rPr>
                <w:rFonts w:ascii="宋体" w:hAnsi="宋体" w:eastAsia="宋体" w:cs="宋体"/>
                <w:sz w:val="18"/>
                <w:szCs w:val="18"/>
              </w:rPr>
              <w:t>-25.20%</w:t>
            </w:r>
          </w:p>
        </w:tc>
        <w:tc>
          <w:tcPr>
            <w:tcW w:w="1928" w:type="dxa"/>
            <w:tcBorders>
              <w:top w:val="single" w:color="auto" w:sz="2" w:space="0"/>
              <w:left w:val="single" w:color="auto" w:sz="2" w:space="0"/>
              <w:bottom w:val="single" w:color="auto" w:sz="2" w:space="0"/>
              <w:right w:val="single" w:color="auto" w:sz="2" w:space="0"/>
            </w:tcBorders>
            <w:vAlign w:val="center"/>
          </w:tcPr>
          <w:p w14:paraId="7C960F42">
            <w:pPr>
              <w:spacing w:line="240" w:lineRule="exact"/>
              <w:jc w:val="right"/>
              <w:rPr>
                <w:rFonts w:ascii="宋体" w:hAnsi="宋体" w:eastAsia="宋体" w:cs="宋体"/>
                <w:sz w:val="18"/>
                <w:szCs w:val="18"/>
              </w:rPr>
            </w:pPr>
            <w:r>
              <w:rPr>
                <w:rFonts w:ascii="宋体" w:hAnsi="宋体" w:eastAsia="宋体" w:cs="宋体"/>
                <w:sz w:val="18"/>
                <w:szCs w:val="18"/>
              </w:rPr>
              <w:t>13,663,469,325.68</w:t>
            </w:r>
          </w:p>
        </w:tc>
      </w:tr>
      <w:tr w14:paraId="0D58D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3AF9BE8">
            <w:pPr>
              <w:spacing w:before="40" w:after="40" w:line="240" w:lineRule="exact"/>
              <w:rPr>
                <w:rFonts w:ascii="宋体" w:hAnsi="宋体" w:eastAsia="宋体" w:cs="宋体"/>
                <w:sz w:val="18"/>
                <w:szCs w:val="18"/>
              </w:rPr>
            </w:pPr>
            <w:r>
              <w:rPr>
                <w:rFonts w:ascii="宋体" w:hAnsi="宋体" w:eastAsia="宋体" w:cs="宋体"/>
                <w:sz w:val="18"/>
                <w:szCs w:val="18"/>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14:paraId="7101A804">
            <w:pPr>
              <w:spacing w:line="240" w:lineRule="exact"/>
              <w:jc w:val="right"/>
              <w:rPr>
                <w:rFonts w:ascii="宋体" w:hAnsi="宋体" w:eastAsia="宋体" w:cs="宋体"/>
                <w:sz w:val="18"/>
                <w:szCs w:val="18"/>
              </w:rPr>
            </w:pPr>
            <w:r>
              <w:rPr>
                <w:rFonts w:ascii="宋体" w:hAnsi="宋体" w:eastAsia="宋体" w:cs="宋体"/>
                <w:sz w:val="18"/>
                <w:szCs w:val="18"/>
              </w:rPr>
              <w:t>57,398,750.92</w:t>
            </w:r>
          </w:p>
        </w:tc>
        <w:tc>
          <w:tcPr>
            <w:tcW w:w="1928" w:type="dxa"/>
            <w:tcBorders>
              <w:top w:val="single" w:color="auto" w:sz="2" w:space="0"/>
              <w:left w:val="single" w:color="auto" w:sz="2" w:space="0"/>
              <w:bottom w:val="single" w:color="auto" w:sz="2" w:space="0"/>
              <w:right w:val="single" w:color="auto" w:sz="2" w:space="0"/>
            </w:tcBorders>
            <w:vAlign w:val="center"/>
          </w:tcPr>
          <w:p w14:paraId="2BD54D5D">
            <w:pPr>
              <w:spacing w:line="240" w:lineRule="exact"/>
              <w:jc w:val="right"/>
              <w:rPr>
                <w:rFonts w:ascii="宋体" w:hAnsi="宋体" w:eastAsia="宋体" w:cs="宋体"/>
                <w:sz w:val="18"/>
                <w:szCs w:val="18"/>
              </w:rPr>
            </w:pPr>
            <w:r>
              <w:rPr>
                <w:rFonts w:ascii="宋体" w:hAnsi="宋体" w:eastAsia="宋体" w:cs="宋体"/>
                <w:sz w:val="18"/>
                <w:szCs w:val="18"/>
              </w:rPr>
              <w:t>-207,764,974.56</w:t>
            </w:r>
          </w:p>
        </w:tc>
        <w:tc>
          <w:tcPr>
            <w:tcW w:w="1928" w:type="dxa"/>
            <w:tcBorders>
              <w:top w:val="single" w:color="auto" w:sz="2" w:space="0"/>
              <w:left w:val="single" w:color="auto" w:sz="2" w:space="0"/>
              <w:bottom w:val="single" w:color="auto" w:sz="2" w:space="0"/>
              <w:right w:val="single" w:color="auto" w:sz="2" w:space="0"/>
            </w:tcBorders>
            <w:vAlign w:val="center"/>
          </w:tcPr>
          <w:p w14:paraId="029841AE">
            <w:pPr>
              <w:spacing w:line="240" w:lineRule="exact"/>
              <w:jc w:val="right"/>
              <w:rPr>
                <w:rFonts w:ascii="宋体" w:hAnsi="宋体" w:eastAsia="宋体" w:cs="宋体"/>
                <w:sz w:val="18"/>
                <w:szCs w:val="18"/>
              </w:rPr>
            </w:pPr>
            <w:r>
              <w:rPr>
                <w:rFonts w:ascii="宋体" w:hAnsi="宋体" w:eastAsia="宋体" w:cs="宋体"/>
                <w:sz w:val="18"/>
                <w:szCs w:val="18"/>
              </w:rPr>
              <w:t>127.63%</w:t>
            </w:r>
          </w:p>
        </w:tc>
        <w:tc>
          <w:tcPr>
            <w:tcW w:w="1928" w:type="dxa"/>
            <w:tcBorders>
              <w:top w:val="single" w:color="auto" w:sz="2" w:space="0"/>
              <w:left w:val="single" w:color="auto" w:sz="2" w:space="0"/>
              <w:bottom w:val="single" w:color="auto" w:sz="2" w:space="0"/>
              <w:right w:val="single" w:color="auto" w:sz="2" w:space="0"/>
            </w:tcBorders>
            <w:vAlign w:val="center"/>
          </w:tcPr>
          <w:p w14:paraId="5459B724">
            <w:pPr>
              <w:spacing w:line="240" w:lineRule="exact"/>
              <w:jc w:val="right"/>
              <w:rPr>
                <w:rFonts w:ascii="宋体" w:hAnsi="宋体" w:eastAsia="宋体" w:cs="宋体"/>
                <w:sz w:val="18"/>
                <w:szCs w:val="18"/>
              </w:rPr>
            </w:pPr>
            <w:r>
              <w:rPr>
                <w:rFonts w:ascii="宋体" w:hAnsi="宋体" w:eastAsia="宋体" w:cs="宋体"/>
                <w:sz w:val="18"/>
                <w:szCs w:val="18"/>
              </w:rPr>
              <w:t>66,782,080.49</w:t>
            </w:r>
          </w:p>
        </w:tc>
      </w:tr>
      <w:tr w14:paraId="64A61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1E26A4D">
            <w:pPr>
              <w:spacing w:before="40" w:after="40" w:line="240" w:lineRule="exac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14:paraId="0DC78973">
            <w:pPr>
              <w:spacing w:line="240" w:lineRule="exact"/>
              <w:jc w:val="right"/>
              <w:rPr>
                <w:rFonts w:ascii="宋体" w:hAnsi="宋体" w:eastAsia="宋体" w:cs="宋体"/>
                <w:sz w:val="18"/>
                <w:szCs w:val="18"/>
              </w:rPr>
            </w:pPr>
            <w:r>
              <w:rPr>
                <w:rFonts w:ascii="宋体" w:hAnsi="宋体" w:eastAsia="宋体" w:cs="宋体"/>
                <w:sz w:val="18"/>
                <w:szCs w:val="18"/>
              </w:rPr>
              <w:t>-73,924,897.10</w:t>
            </w:r>
          </w:p>
        </w:tc>
        <w:tc>
          <w:tcPr>
            <w:tcW w:w="1928" w:type="dxa"/>
            <w:tcBorders>
              <w:top w:val="single" w:color="auto" w:sz="2" w:space="0"/>
              <w:left w:val="single" w:color="auto" w:sz="2" w:space="0"/>
              <w:bottom w:val="single" w:color="auto" w:sz="2" w:space="0"/>
              <w:right w:val="single" w:color="auto" w:sz="2" w:space="0"/>
            </w:tcBorders>
            <w:vAlign w:val="center"/>
          </w:tcPr>
          <w:p w14:paraId="3336A406">
            <w:pPr>
              <w:spacing w:line="240" w:lineRule="exact"/>
              <w:jc w:val="right"/>
              <w:rPr>
                <w:rFonts w:ascii="宋体" w:hAnsi="宋体" w:eastAsia="宋体" w:cs="宋体"/>
                <w:sz w:val="18"/>
                <w:szCs w:val="18"/>
              </w:rPr>
            </w:pPr>
            <w:r>
              <w:rPr>
                <w:rFonts w:ascii="宋体" w:hAnsi="宋体" w:eastAsia="宋体" w:cs="宋体"/>
                <w:sz w:val="18"/>
                <w:szCs w:val="18"/>
              </w:rPr>
              <w:t>-353,226,880.11</w:t>
            </w:r>
          </w:p>
        </w:tc>
        <w:tc>
          <w:tcPr>
            <w:tcW w:w="1928" w:type="dxa"/>
            <w:tcBorders>
              <w:top w:val="single" w:color="auto" w:sz="2" w:space="0"/>
              <w:left w:val="single" w:color="auto" w:sz="2" w:space="0"/>
              <w:bottom w:val="single" w:color="auto" w:sz="2" w:space="0"/>
              <w:right w:val="single" w:color="auto" w:sz="2" w:space="0"/>
            </w:tcBorders>
            <w:vAlign w:val="center"/>
          </w:tcPr>
          <w:p w14:paraId="3367314F">
            <w:pPr>
              <w:spacing w:line="240" w:lineRule="exact"/>
              <w:jc w:val="right"/>
              <w:rPr>
                <w:rFonts w:ascii="宋体" w:hAnsi="宋体" w:eastAsia="宋体" w:cs="宋体"/>
                <w:sz w:val="18"/>
                <w:szCs w:val="18"/>
              </w:rPr>
            </w:pPr>
            <w:r>
              <w:rPr>
                <w:rFonts w:ascii="宋体" w:hAnsi="宋体" w:eastAsia="宋体" w:cs="宋体"/>
                <w:sz w:val="18"/>
                <w:szCs w:val="18"/>
              </w:rPr>
              <w:t>79.07%</w:t>
            </w:r>
          </w:p>
        </w:tc>
        <w:tc>
          <w:tcPr>
            <w:tcW w:w="1928" w:type="dxa"/>
            <w:tcBorders>
              <w:top w:val="single" w:color="auto" w:sz="2" w:space="0"/>
              <w:left w:val="single" w:color="auto" w:sz="2" w:space="0"/>
              <w:bottom w:val="single" w:color="auto" w:sz="2" w:space="0"/>
              <w:right w:val="single" w:color="auto" w:sz="2" w:space="0"/>
            </w:tcBorders>
            <w:vAlign w:val="center"/>
          </w:tcPr>
          <w:p w14:paraId="4AEEAC8B">
            <w:pPr>
              <w:spacing w:line="240" w:lineRule="exact"/>
              <w:jc w:val="right"/>
              <w:rPr>
                <w:rFonts w:ascii="宋体" w:hAnsi="宋体" w:eastAsia="宋体" w:cs="宋体"/>
                <w:sz w:val="18"/>
                <w:szCs w:val="18"/>
              </w:rPr>
            </w:pPr>
            <w:r>
              <w:rPr>
                <w:rFonts w:ascii="宋体" w:hAnsi="宋体" w:eastAsia="宋体" w:cs="宋体"/>
                <w:sz w:val="18"/>
                <w:szCs w:val="18"/>
              </w:rPr>
              <w:t>-249,951,638.68</w:t>
            </w:r>
          </w:p>
        </w:tc>
      </w:tr>
      <w:tr w14:paraId="34364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C6C9CFF">
            <w:pPr>
              <w:spacing w:before="40" w:after="40" w:line="240" w:lineRule="exact"/>
              <w:rPr>
                <w:rFonts w:ascii="宋体" w:hAnsi="宋体" w:eastAsia="宋体" w:cs="宋体"/>
                <w:sz w:val="18"/>
                <w:szCs w:val="18"/>
              </w:rPr>
            </w:pPr>
            <w:r>
              <w:rPr>
                <w:rFonts w:ascii="宋体" w:hAnsi="宋体" w:eastAsia="宋体" w:cs="宋体"/>
                <w:sz w:val="18"/>
                <w:szCs w:val="18"/>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vAlign w:val="center"/>
          </w:tcPr>
          <w:p w14:paraId="4F9890B0">
            <w:pPr>
              <w:spacing w:line="240" w:lineRule="exact"/>
              <w:jc w:val="right"/>
              <w:rPr>
                <w:rFonts w:ascii="宋体" w:hAnsi="宋体" w:eastAsia="宋体" w:cs="宋体"/>
                <w:sz w:val="18"/>
                <w:szCs w:val="18"/>
              </w:rPr>
            </w:pPr>
            <w:r>
              <w:rPr>
                <w:rFonts w:ascii="宋体" w:hAnsi="宋体" w:eastAsia="宋体" w:cs="宋体"/>
                <w:sz w:val="18"/>
                <w:szCs w:val="18"/>
              </w:rPr>
              <w:t>1,468,860,691.85</w:t>
            </w:r>
          </w:p>
        </w:tc>
        <w:tc>
          <w:tcPr>
            <w:tcW w:w="1928" w:type="dxa"/>
            <w:tcBorders>
              <w:top w:val="single" w:color="auto" w:sz="2" w:space="0"/>
              <w:left w:val="single" w:color="auto" w:sz="2" w:space="0"/>
              <w:bottom w:val="single" w:color="auto" w:sz="2" w:space="0"/>
              <w:right w:val="single" w:color="auto" w:sz="2" w:space="0"/>
            </w:tcBorders>
            <w:vAlign w:val="center"/>
          </w:tcPr>
          <w:p w14:paraId="6A8F6195">
            <w:pPr>
              <w:spacing w:line="240" w:lineRule="exact"/>
              <w:jc w:val="right"/>
              <w:rPr>
                <w:rFonts w:ascii="宋体" w:hAnsi="宋体" w:eastAsia="宋体" w:cs="宋体"/>
                <w:sz w:val="18"/>
                <w:szCs w:val="18"/>
              </w:rPr>
            </w:pPr>
            <w:r>
              <w:rPr>
                <w:rFonts w:ascii="宋体" w:hAnsi="宋体" w:eastAsia="宋体" w:cs="宋体"/>
                <w:sz w:val="18"/>
                <w:szCs w:val="18"/>
              </w:rPr>
              <w:t>272,214,435.39</w:t>
            </w:r>
          </w:p>
        </w:tc>
        <w:tc>
          <w:tcPr>
            <w:tcW w:w="1928" w:type="dxa"/>
            <w:tcBorders>
              <w:top w:val="single" w:color="auto" w:sz="2" w:space="0"/>
              <w:left w:val="single" w:color="auto" w:sz="2" w:space="0"/>
              <w:bottom w:val="single" w:color="auto" w:sz="2" w:space="0"/>
              <w:right w:val="single" w:color="auto" w:sz="2" w:space="0"/>
            </w:tcBorders>
            <w:vAlign w:val="center"/>
          </w:tcPr>
          <w:p w14:paraId="3F8A10CB">
            <w:pPr>
              <w:spacing w:line="240" w:lineRule="exact"/>
              <w:jc w:val="right"/>
              <w:rPr>
                <w:rFonts w:ascii="宋体" w:hAnsi="宋体" w:eastAsia="宋体" w:cs="宋体"/>
                <w:sz w:val="18"/>
                <w:szCs w:val="18"/>
              </w:rPr>
            </w:pPr>
            <w:r>
              <w:rPr>
                <w:rFonts w:ascii="宋体" w:hAnsi="宋体" w:eastAsia="宋体" w:cs="宋体"/>
                <w:sz w:val="18"/>
                <w:szCs w:val="18"/>
              </w:rPr>
              <w:t>439.60%</w:t>
            </w:r>
          </w:p>
        </w:tc>
        <w:tc>
          <w:tcPr>
            <w:tcW w:w="1928" w:type="dxa"/>
            <w:tcBorders>
              <w:top w:val="single" w:color="auto" w:sz="2" w:space="0"/>
              <w:left w:val="single" w:color="auto" w:sz="2" w:space="0"/>
              <w:bottom w:val="single" w:color="auto" w:sz="2" w:space="0"/>
              <w:right w:val="single" w:color="auto" w:sz="2" w:space="0"/>
            </w:tcBorders>
            <w:vAlign w:val="center"/>
          </w:tcPr>
          <w:p w14:paraId="46C9686B">
            <w:pPr>
              <w:spacing w:line="240" w:lineRule="exact"/>
              <w:jc w:val="right"/>
              <w:rPr>
                <w:rFonts w:ascii="宋体" w:hAnsi="宋体" w:eastAsia="宋体" w:cs="宋体"/>
                <w:sz w:val="18"/>
                <w:szCs w:val="18"/>
              </w:rPr>
            </w:pPr>
            <w:r>
              <w:rPr>
                <w:rFonts w:ascii="宋体" w:hAnsi="宋体" w:eastAsia="宋体" w:cs="宋体"/>
                <w:sz w:val="18"/>
                <w:szCs w:val="18"/>
              </w:rPr>
              <w:t>857,773,221.39</w:t>
            </w:r>
          </w:p>
        </w:tc>
      </w:tr>
      <w:tr w14:paraId="5ADF8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F1F8AEF">
            <w:pPr>
              <w:spacing w:before="40" w:after="40" w:line="240" w:lineRule="exact"/>
              <w:rPr>
                <w:rFonts w:ascii="宋体" w:hAnsi="宋体" w:eastAsia="宋体" w:cs="宋体"/>
                <w:sz w:val="18"/>
                <w:szCs w:val="18"/>
              </w:rPr>
            </w:pPr>
            <w:r>
              <w:rPr>
                <w:rFonts w:ascii="宋体" w:hAnsi="宋体" w:eastAsia="宋体" w:cs="宋体"/>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14:paraId="2741A189">
            <w:pPr>
              <w:spacing w:line="240" w:lineRule="exact"/>
              <w:jc w:val="right"/>
              <w:rPr>
                <w:rFonts w:ascii="宋体" w:hAnsi="宋体" w:eastAsia="宋体" w:cs="宋体"/>
                <w:sz w:val="18"/>
                <w:szCs w:val="18"/>
              </w:rPr>
            </w:pPr>
            <w:r>
              <w:rPr>
                <w:rFonts w:ascii="宋体" w:hAnsi="宋体" w:eastAsia="宋体" w:cs="宋体"/>
                <w:sz w:val="18"/>
                <w:szCs w:val="18"/>
              </w:rPr>
              <w:t>0.03</w:t>
            </w:r>
          </w:p>
        </w:tc>
        <w:tc>
          <w:tcPr>
            <w:tcW w:w="1928" w:type="dxa"/>
            <w:tcBorders>
              <w:top w:val="single" w:color="auto" w:sz="2" w:space="0"/>
              <w:left w:val="single" w:color="auto" w:sz="2" w:space="0"/>
              <w:bottom w:val="single" w:color="auto" w:sz="2" w:space="0"/>
              <w:right w:val="single" w:color="auto" w:sz="2" w:space="0"/>
            </w:tcBorders>
            <w:vAlign w:val="center"/>
          </w:tcPr>
          <w:p w14:paraId="28F5F683">
            <w:pPr>
              <w:spacing w:line="240" w:lineRule="exact"/>
              <w:jc w:val="right"/>
              <w:rPr>
                <w:rFonts w:ascii="宋体" w:hAnsi="宋体" w:eastAsia="宋体" w:cs="宋体"/>
                <w:sz w:val="18"/>
                <w:szCs w:val="18"/>
              </w:rPr>
            </w:pPr>
            <w:r>
              <w:rPr>
                <w:rFonts w:ascii="宋体" w:hAnsi="宋体" w:eastAsia="宋体" w:cs="宋体"/>
                <w:sz w:val="18"/>
                <w:szCs w:val="18"/>
              </w:rPr>
              <w:t>-0.12</w:t>
            </w:r>
          </w:p>
        </w:tc>
        <w:tc>
          <w:tcPr>
            <w:tcW w:w="1928" w:type="dxa"/>
            <w:tcBorders>
              <w:top w:val="single" w:color="auto" w:sz="2" w:space="0"/>
              <w:left w:val="single" w:color="auto" w:sz="2" w:space="0"/>
              <w:bottom w:val="single" w:color="auto" w:sz="2" w:space="0"/>
              <w:right w:val="single" w:color="auto" w:sz="2" w:space="0"/>
            </w:tcBorders>
            <w:vAlign w:val="center"/>
          </w:tcPr>
          <w:p w14:paraId="1DFE3816">
            <w:pPr>
              <w:spacing w:line="240" w:lineRule="exact"/>
              <w:jc w:val="right"/>
              <w:rPr>
                <w:rFonts w:ascii="宋体" w:hAnsi="宋体" w:eastAsia="宋体" w:cs="宋体"/>
                <w:sz w:val="18"/>
                <w:szCs w:val="18"/>
              </w:rPr>
            </w:pPr>
            <w:r>
              <w:rPr>
                <w:rFonts w:ascii="宋体" w:hAnsi="宋体" w:eastAsia="宋体" w:cs="宋体"/>
                <w:sz w:val="18"/>
                <w:szCs w:val="18"/>
              </w:rPr>
              <w:t>125.00%</w:t>
            </w:r>
          </w:p>
        </w:tc>
        <w:tc>
          <w:tcPr>
            <w:tcW w:w="1928" w:type="dxa"/>
            <w:tcBorders>
              <w:top w:val="single" w:color="auto" w:sz="2" w:space="0"/>
              <w:left w:val="single" w:color="auto" w:sz="2" w:space="0"/>
              <w:bottom w:val="single" w:color="auto" w:sz="2" w:space="0"/>
              <w:right w:val="single" w:color="auto" w:sz="2" w:space="0"/>
            </w:tcBorders>
            <w:vAlign w:val="center"/>
          </w:tcPr>
          <w:p w14:paraId="5E45140C">
            <w:pPr>
              <w:spacing w:line="240" w:lineRule="exact"/>
              <w:jc w:val="right"/>
              <w:rPr>
                <w:rFonts w:ascii="宋体" w:hAnsi="宋体" w:eastAsia="宋体" w:cs="宋体"/>
                <w:sz w:val="18"/>
                <w:szCs w:val="18"/>
              </w:rPr>
            </w:pPr>
            <w:r>
              <w:rPr>
                <w:rFonts w:ascii="宋体" w:hAnsi="宋体" w:eastAsia="宋体" w:cs="宋体"/>
                <w:sz w:val="18"/>
                <w:szCs w:val="18"/>
              </w:rPr>
              <w:t>0.04</w:t>
            </w:r>
          </w:p>
        </w:tc>
      </w:tr>
      <w:tr w14:paraId="0E4DA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2BA4D18">
            <w:pPr>
              <w:spacing w:before="40" w:after="40" w:line="240" w:lineRule="exact"/>
              <w:rPr>
                <w:rFonts w:ascii="宋体" w:hAnsi="宋体" w:eastAsia="宋体" w:cs="宋体"/>
                <w:sz w:val="18"/>
                <w:szCs w:val="18"/>
              </w:rPr>
            </w:pPr>
            <w:r>
              <w:rPr>
                <w:rFonts w:ascii="宋体" w:hAnsi="宋体" w:eastAsia="宋体" w:cs="宋体"/>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14:paraId="669000F5">
            <w:pPr>
              <w:spacing w:line="240" w:lineRule="exact"/>
              <w:jc w:val="right"/>
              <w:rPr>
                <w:rFonts w:ascii="宋体" w:hAnsi="宋体" w:eastAsia="宋体" w:cs="宋体"/>
                <w:sz w:val="18"/>
                <w:szCs w:val="18"/>
              </w:rPr>
            </w:pPr>
            <w:r>
              <w:rPr>
                <w:rFonts w:ascii="宋体" w:hAnsi="宋体" w:eastAsia="宋体" w:cs="宋体"/>
                <w:sz w:val="18"/>
                <w:szCs w:val="18"/>
              </w:rPr>
              <w:t>0.03</w:t>
            </w:r>
          </w:p>
        </w:tc>
        <w:tc>
          <w:tcPr>
            <w:tcW w:w="1928" w:type="dxa"/>
            <w:tcBorders>
              <w:top w:val="single" w:color="auto" w:sz="2" w:space="0"/>
              <w:left w:val="single" w:color="auto" w:sz="2" w:space="0"/>
              <w:bottom w:val="single" w:color="auto" w:sz="2" w:space="0"/>
              <w:right w:val="single" w:color="auto" w:sz="2" w:space="0"/>
            </w:tcBorders>
            <w:vAlign w:val="center"/>
          </w:tcPr>
          <w:p w14:paraId="59AC74BD">
            <w:pPr>
              <w:spacing w:line="240" w:lineRule="exact"/>
              <w:jc w:val="right"/>
              <w:rPr>
                <w:rFonts w:ascii="宋体" w:hAnsi="宋体" w:eastAsia="宋体" w:cs="宋体"/>
                <w:sz w:val="18"/>
                <w:szCs w:val="18"/>
              </w:rPr>
            </w:pPr>
            <w:r>
              <w:rPr>
                <w:rFonts w:ascii="宋体" w:hAnsi="宋体" w:eastAsia="宋体" w:cs="宋体"/>
                <w:sz w:val="18"/>
                <w:szCs w:val="18"/>
              </w:rPr>
              <w:t>-0.12</w:t>
            </w:r>
          </w:p>
        </w:tc>
        <w:tc>
          <w:tcPr>
            <w:tcW w:w="1928" w:type="dxa"/>
            <w:tcBorders>
              <w:top w:val="single" w:color="auto" w:sz="2" w:space="0"/>
              <w:left w:val="single" w:color="auto" w:sz="2" w:space="0"/>
              <w:bottom w:val="single" w:color="auto" w:sz="2" w:space="0"/>
              <w:right w:val="single" w:color="auto" w:sz="2" w:space="0"/>
            </w:tcBorders>
            <w:vAlign w:val="center"/>
          </w:tcPr>
          <w:p w14:paraId="63E02D20">
            <w:pPr>
              <w:spacing w:line="240" w:lineRule="exact"/>
              <w:jc w:val="right"/>
              <w:rPr>
                <w:rFonts w:ascii="宋体" w:hAnsi="宋体" w:eastAsia="宋体" w:cs="宋体"/>
                <w:sz w:val="18"/>
                <w:szCs w:val="18"/>
              </w:rPr>
            </w:pPr>
            <w:r>
              <w:rPr>
                <w:rFonts w:ascii="宋体" w:hAnsi="宋体" w:eastAsia="宋体" w:cs="宋体"/>
                <w:sz w:val="18"/>
                <w:szCs w:val="18"/>
              </w:rPr>
              <w:t>125.00%</w:t>
            </w:r>
          </w:p>
        </w:tc>
        <w:tc>
          <w:tcPr>
            <w:tcW w:w="1928" w:type="dxa"/>
            <w:tcBorders>
              <w:top w:val="single" w:color="auto" w:sz="2" w:space="0"/>
              <w:left w:val="single" w:color="auto" w:sz="2" w:space="0"/>
              <w:bottom w:val="single" w:color="auto" w:sz="2" w:space="0"/>
              <w:right w:val="single" w:color="auto" w:sz="2" w:space="0"/>
            </w:tcBorders>
            <w:vAlign w:val="center"/>
          </w:tcPr>
          <w:p w14:paraId="452F3789">
            <w:pPr>
              <w:spacing w:line="240" w:lineRule="exact"/>
              <w:jc w:val="right"/>
              <w:rPr>
                <w:rFonts w:ascii="宋体" w:hAnsi="宋体" w:eastAsia="宋体" w:cs="宋体"/>
                <w:sz w:val="18"/>
                <w:szCs w:val="18"/>
              </w:rPr>
            </w:pPr>
            <w:r>
              <w:rPr>
                <w:rFonts w:ascii="宋体" w:hAnsi="宋体" w:eastAsia="宋体" w:cs="宋体"/>
                <w:sz w:val="18"/>
                <w:szCs w:val="18"/>
              </w:rPr>
              <w:t>0.04</w:t>
            </w:r>
          </w:p>
        </w:tc>
      </w:tr>
      <w:tr w14:paraId="3945D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8B2323B">
            <w:pPr>
              <w:spacing w:before="40" w:after="40" w:line="240" w:lineRule="exact"/>
              <w:rPr>
                <w:rFonts w:ascii="宋体" w:hAnsi="宋体" w:eastAsia="宋体" w:cs="宋体"/>
                <w:sz w:val="18"/>
                <w:szCs w:val="18"/>
              </w:rPr>
            </w:pPr>
            <w:r>
              <w:rPr>
                <w:rFonts w:ascii="宋体" w:hAnsi="宋体" w:eastAsia="宋体" w:cs="宋体"/>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14:paraId="4111C9BE">
            <w:pPr>
              <w:spacing w:line="240" w:lineRule="exact"/>
              <w:jc w:val="right"/>
              <w:rPr>
                <w:rFonts w:ascii="宋体" w:hAnsi="宋体" w:eastAsia="宋体" w:cs="宋体"/>
                <w:sz w:val="18"/>
                <w:szCs w:val="18"/>
              </w:rPr>
            </w:pPr>
            <w:r>
              <w:rPr>
                <w:rFonts w:ascii="宋体" w:hAnsi="宋体" w:eastAsia="宋体" w:cs="宋体"/>
                <w:sz w:val="18"/>
                <w:szCs w:val="18"/>
              </w:rPr>
              <w:t>0.99%</w:t>
            </w:r>
          </w:p>
        </w:tc>
        <w:tc>
          <w:tcPr>
            <w:tcW w:w="1928" w:type="dxa"/>
            <w:tcBorders>
              <w:top w:val="single" w:color="auto" w:sz="2" w:space="0"/>
              <w:left w:val="single" w:color="auto" w:sz="2" w:space="0"/>
              <w:bottom w:val="single" w:color="auto" w:sz="2" w:space="0"/>
              <w:right w:val="single" w:color="auto" w:sz="2" w:space="0"/>
            </w:tcBorders>
            <w:vAlign w:val="center"/>
          </w:tcPr>
          <w:p w14:paraId="7A250126">
            <w:pPr>
              <w:spacing w:line="240" w:lineRule="exact"/>
              <w:jc w:val="right"/>
              <w:rPr>
                <w:rFonts w:ascii="宋体" w:hAnsi="宋体" w:eastAsia="宋体" w:cs="宋体"/>
                <w:sz w:val="18"/>
                <w:szCs w:val="18"/>
              </w:rPr>
            </w:pPr>
            <w:r>
              <w:rPr>
                <w:rFonts w:ascii="宋体" w:hAnsi="宋体" w:eastAsia="宋体" w:cs="宋体"/>
                <w:sz w:val="18"/>
                <w:szCs w:val="18"/>
              </w:rPr>
              <w:t>-3.48%</w:t>
            </w:r>
          </w:p>
        </w:tc>
        <w:tc>
          <w:tcPr>
            <w:tcW w:w="1928" w:type="dxa"/>
            <w:tcBorders>
              <w:top w:val="single" w:color="auto" w:sz="2" w:space="0"/>
              <w:left w:val="single" w:color="auto" w:sz="2" w:space="0"/>
              <w:bottom w:val="single" w:color="auto" w:sz="2" w:space="0"/>
              <w:right w:val="single" w:color="auto" w:sz="2" w:space="0"/>
            </w:tcBorders>
            <w:vAlign w:val="center"/>
          </w:tcPr>
          <w:p w14:paraId="6D369589">
            <w:pPr>
              <w:spacing w:line="240" w:lineRule="exact"/>
              <w:jc w:val="right"/>
              <w:rPr>
                <w:rFonts w:ascii="宋体" w:hAnsi="宋体" w:eastAsia="宋体" w:cs="宋体"/>
                <w:sz w:val="18"/>
                <w:szCs w:val="18"/>
              </w:rPr>
            </w:pPr>
            <w:r>
              <w:rPr>
                <w:rFonts w:ascii="宋体" w:hAnsi="宋体" w:eastAsia="宋体" w:cs="宋体"/>
                <w:sz w:val="18"/>
                <w:szCs w:val="18"/>
              </w:rPr>
              <w:t>4.47%</w:t>
            </w:r>
          </w:p>
        </w:tc>
        <w:tc>
          <w:tcPr>
            <w:tcW w:w="1928" w:type="dxa"/>
            <w:tcBorders>
              <w:top w:val="single" w:color="auto" w:sz="2" w:space="0"/>
              <w:left w:val="single" w:color="auto" w:sz="2" w:space="0"/>
              <w:bottom w:val="single" w:color="auto" w:sz="2" w:space="0"/>
              <w:right w:val="single" w:color="auto" w:sz="2" w:space="0"/>
            </w:tcBorders>
            <w:vAlign w:val="center"/>
          </w:tcPr>
          <w:p w14:paraId="2DBCF2E3">
            <w:pPr>
              <w:spacing w:line="240" w:lineRule="exact"/>
              <w:jc w:val="right"/>
              <w:rPr>
                <w:rFonts w:ascii="宋体" w:hAnsi="宋体" w:eastAsia="宋体" w:cs="宋体"/>
                <w:sz w:val="18"/>
                <w:szCs w:val="18"/>
              </w:rPr>
            </w:pPr>
            <w:r>
              <w:rPr>
                <w:rFonts w:ascii="宋体" w:hAnsi="宋体" w:eastAsia="宋体" w:cs="宋体"/>
                <w:sz w:val="18"/>
                <w:szCs w:val="18"/>
              </w:rPr>
              <w:t>1.07%</w:t>
            </w:r>
          </w:p>
        </w:tc>
      </w:tr>
      <w:tr w14:paraId="20CD8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334F101"/>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5E642A8">
            <w:pPr>
              <w:spacing w:before="40" w:after="40" w:line="240" w:lineRule="exact"/>
              <w:jc w:val="center"/>
              <w:rPr>
                <w:rFonts w:ascii="宋体" w:hAnsi="宋体" w:eastAsia="宋体" w:cs="宋体"/>
                <w:sz w:val="18"/>
                <w:szCs w:val="18"/>
              </w:rPr>
            </w:pPr>
            <w:r>
              <w:rPr>
                <w:rFonts w:ascii="宋体" w:hAnsi="宋体" w:eastAsia="宋体" w:cs="宋体"/>
                <w:sz w:val="18"/>
                <w:szCs w:val="18"/>
              </w:rPr>
              <w:t>2025年末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27EE287">
            <w:pPr>
              <w:spacing w:before="40" w:after="40" w:line="240" w:lineRule="exact"/>
              <w:jc w:val="center"/>
              <w:rPr>
                <w:rFonts w:ascii="宋体" w:hAnsi="宋体" w:eastAsia="宋体" w:cs="宋体"/>
                <w:sz w:val="18"/>
                <w:szCs w:val="18"/>
              </w:rPr>
            </w:pPr>
            <w:r>
              <w:rPr>
                <w:rFonts w:ascii="宋体" w:hAnsi="宋体" w:eastAsia="宋体" w:cs="宋体"/>
                <w:sz w:val="18"/>
                <w:szCs w:val="18"/>
              </w:rPr>
              <w:t>2024年末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0800B07">
            <w:pPr>
              <w:spacing w:before="40" w:after="40" w:line="240" w:lineRule="exact"/>
              <w:jc w:val="center"/>
              <w:rPr>
                <w:rFonts w:ascii="宋体" w:hAnsi="宋体" w:eastAsia="宋体" w:cs="宋体"/>
                <w:sz w:val="18"/>
                <w:szCs w:val="18"/>
              </w:rPr>
            </w:pPr>
            <w:r>
              <w:rPr>
                <w:rFonts w:ascii="宋体" w:hAnsi="宋体" w:eastAsia="宋体" w:cs="宋体"/>
                <w:sz w:val="18"/>
                <w:szCs w:val="18"/>
              </w:rPr>
              <w:t>本年末比上年末增减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D787C43">
            <w:pPr>
              <w:spacing w:before="40" w:after="40" w:line="240" w:lineRule="exact"/>
              <w:jc w:val="center"/>
              <w:rPr>
                <w:rFonts w:ascii="宋体" w:hAnsi="宋体" w:eastAsia="宋体" w:cs="宋体"/>
                <w:sz w:val="18"/>
                <w:szCs w:val="18"/>
              </w:rPr>
            </w:pPr>
            <w:r>
              <w:rPr>
                <w:rFonts w:ascii="宋体" w:hAnsi="宋体" w:eastAsia="宋体" w:cs="宋体"/>
                <w:sz w:val="18"/>
                <w:szCs w:val="18"/>
              </w:rPr>
              <w:t>2023年末</w:t>
            </w:r>
          </w:p>
        </w:tc>
      </w:tr>
      <w:tr w14:paraId="13154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30244A1">
            <w:pPr>
              <w:spacing w:before="40" w:after="40" w:line="240" w:lineRule="exact"/>
              <w:rPr>
                <w:rFonts w:ascii="宋体" w:hAnsi="宋体" w:eastAsia="宋体" w:cs="宋体"/>
                <w:sz w:val="18"/>
                <w:szCs w:val="18"/>
              </w:rPr>
            </w:pPr>
            <w:r>
              <w:rPr>
                <w:rFonts w:ascii="宋体" w:hAnsi="宋体" w:eastAsia="宋体" w:cs="宋体"/>
                <w:sz w:val="18"/>
                <w:szCs w:val="18"/>
              </w:rPr>
              <w:t>总资产（元）</w:t>
            </w:r>
          </w:p>
        </w:tc>
        <w:tc>
          <w:tcPr>
            <w:tcW w:w="1928" w:type="dxa"/>
            <w:tcBorders>
              <w:top w:val="single" w:color="auto" w:sz="2" w:space="0"/>
              <w:left w:val="single" w:color="auto" w:sz="2" w:space="0"/>
              <w:bottom w:val="single" w:color="auto" w:sz="2" w:space="0"/>
              <w:right w:val="single" w:color="auto" w:sz="2" w:space="0"/>
            </w:tcBorders>
            <w:vAlign w:val="center"/>
          </w:tcPr>
          <w:p w14:paraId="214D084A">
            <w:pPr>
              <w:spacing w:line="240" w:lineRule="exact"/>
              <w:jc w:val="right"/>
              <w:rPr>
                <w:rFonts w:ascii="宋体" w:hAnsi="宋体" w:eastAsia="宋体" w:cs="宋体"/>
                <w:sz w:val="18"/>
                <w:szCs w:val="18"/>
              </w:rPr>
            </w:pPr>
            <w:r>
              <w:rPr>
                <w:rFonts w:ascii="宋体" w:hAnsi="宋体" w:eastAsia="宋体" w:cs="宋体"/>
                <w:sz w:val="18"/>
                <w:szCs w:val="18"/>
              </w:rPr>
              <w:t>15,743,549,746.52</w:t>
            </w:r>
          </w:p>
        </w:tc>
        <w:tc>
          <w:tcPr>
            <w:tcW w:w="1928" w:type="dxa"/>
            <w:tcBorders>
              <w:top w:val="single" w:color="auto" w:sz="2" w:space="0"/>
              <w:left w:val="single" w:color="auto" w:sz="2" w:space="0"/>
              <w:bottom w:val="single" w:color="auto" w:sz="2" w:space="0"/>
              <w:right w:val="single" w:color="auto" w:sz="2" w:space="0"/>
            </w:tcBorders>
            <w:vAlign w:val="center"/>
          </w:tcPr>
          <w:p w14:paraId="6E44D89B">
            <w:pPr>
              <w:spacing w:line="240" w:lineRule="exact"/>
              <w:jc w:val="right"/>
              <w:rPr>
                <w:rFonts w:ascii="宋体" w:hAnsi="宋体" w:eastAsia="宋体" w:cs="宋体"/>
                <w:sz w:val="18"/>
                <w:szCs w:val="18"/>
              </w:rPr>
            </w:pPr>
            <w:r>
              <w:rPr>
                <w:rFonts w:ascii="宋体" w:hAnsi="宋体" w:eastAsia="宋体" w:cs="宋体"/>
                <w:sz w:val="18"/>
                <w:szCs w:val="18"/>
              </w:rPr>
              <w:t>17,179,238,619.93</w:t>
            </w:r>
          </w:p>
        </w:tc>
        <w:tc>
          <w:tcPr>
            <w:tcW w:w="1928" w:type="dxa"/>
            <w:tcBorders>
              <w:top w:val="single" w:color="auto" w:sz="2" w:space="0"/>
              <w:left w:val="single" w:color="auto" w:sz="2" w:space="0"/>
              <w:bottom w:val="single" w:color="auto" w:sz="2" w:space="0"/>
              <w:right w:val="single" w:color="auto" w:sz="2" w:space="0"/>
            </w:tcBorders>
            <w:vAlign w:val="center"/>
          </w:tcPr>
          <w:p w14:paraId="201C02C9">
            <w:pPr>
              <w:spacing w:line="240" w:lineRule="exact"/>
              <w:jc w:val="right"/>
              <w:rPr>
                <w:rFonts w:ascii="宋体" w:hAnsi="宋体" w:eastAsia="宋体" w:cs="宋体"/>
                <w:sz w:val="18"/>
                <w:szCs w:val="18"/>
              </w:rPr>
            </w:pPr>
            <w:r>
              <w:rPr>
                <w:rFonts w:ascii="宋体" w:hAnsi="宋体" w:eastAsia="宋体" w:cs="宋体"/>
                <w:sz w:val="18"/>
                <w:szCs w:val="18"/>
              </w:rPr>
              <w:t>-8.36%</w:t>
            </w:r>
          </w:p>
        </w:tc>
        <w:tc>
          <w:tcPr>
            <w:tcW w:w="1928" w:type="dxa"/>
            <w:tcBorders>
              <w:top w:val="single" w:color="auto" w:sz="2" w:space="0"/>
              <w:left w:val="single" w:color="auto" w:sz="2" w:space="0"/>
              <w:bottom w:val="single" w:color="auto" w:sz="2" w:space="0"/>
              <w:right w:val="single" w:color="auto" w:sz="2" w:space="0"/>
            </w:tcBorders>
            <w:vAlign w:val="center"/>
          </w:tcPr>
          <w:p w14:paraId="510CF985">
            <w:pPr>
              <w:spacing w:line="240" w:lineRule="exact"/>
              <w:jc w:val="right"/>
              <w:rPr>
                <w:rFonts w:ascii="宋体" w:hAnsi="宋体" w:eastAsia="宋体" w:cs="宋体"/>
                <w:sz w:val="18"/>
                <w:szCs w:val="18"/>
              </w:rPr>
            </w:pPr>
            <w:r>
              <w:rPr>
                <w:rFonts w:ascii="宋体" w:hAnsi="宋体" w:eastAsia="宋体" w:cs="宋体"/>
                <w:sz w:val="18"/>
                <w:szCs w:val="18"/>
              </w:rPr>
              <w:t>17,041,273,022.84</w:t>
            </w:r>
          </w:p>
        </w:tc>
      </w:tr>
      <w:tr w14:paraId="5AA00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FF0F89B">
            <w:pPr>
              <w:spacing w:before="40" w:after="40" w:line="240" w:lineRule="exact"/>
              <w:rPr>
                <w:rFonts w:ascii="宋体" w:hAnsi="宋体" w:eastAsia="宋体" w:cs="宋体"/>
                <w:sz w:val="18"/>
                <w:szCs w:val="18"/>
              </w:rPr>
            </w:pPr>
            <w:r>
              <w:rPr>
                <w:rFonts w:ascii="宋体" w:hAnsi="宋体" w:eastAsia="宋体" w:cs="宋体"/>
                <w:sz w:val="18"/>
                <w:szCs w:val="18"/>
              </w:rPr>
              <w:t>归属于上市公司股东的净资产（元）</w:t>
            </w:r>
          </w:p>
        </w:tc>
        <w:tc>
          <w:tcPr>
            <w:tcW w:w="1928" w:type="dxa"/>
            <w:tcBorders>
              <w:top w:val="single" w:color="auto" w:sz="2" w:space="0"/>
              <w:left w:val="single" w:color="auto" w:sz="2" w:space="0"/>
              <w:bottom w:val="single" w:color="auto" w:sz="2" w:space="0"/>
              <w:right w:val="single" w:color="auto" w:sz="2" w:space="0"/>
            </w:tcBorders>
            <w:vAlign w:val="center"/>
          </w:tcPr>
          <w:p w14:paraId="34B55399">
            <w:pPr>
              <w:spacing w:line="240" w:lineRule="exact"/>
              <w:jc w:val="right"/>
              <w:rPr>
                <w:rFonts w:ascii="宋体" w:hAnsi="宋体" w:eastAsia="宋体" w:cs="宋体"/>
                <w:sz w:val="18"/>
                <w:szCs w:val="18"/>
              </w:rPr>
            </w:pPr>
            <w:r>
              <w:rPr>
                <w:rFonts w:ascii="宋体" w:hAnsi="宋体" w:eastAsia="宋体" w:cs="宋体"/>
                <w:sz w:val="18"/>
                <w:szCs w:val="18"/>
              </w:rPr>
              <w:t>5,792,444,692.10</w:t>
            </w:r>
          </w:p>
        </w:tc>
        <w:tc>
          <w:tcPr>
            <w:tcW w:w="1928" w:type="dxa"/>
            <w:tcBorders>
              <w:top w:val="single" w:color="auto" w:sz="2" w:space="0"/>
              <w:left w:val="single" w:color="auto" w:sz="2" w:space="0"/>
              <w:bottom w:val="single" w:color="auto" w:sz="2" w:space="0"/>
              <w:right w:val="single" w:color="auto" w:sz="2" w:space="0"/>
            </w:tcBorders>
            <w:vAlign w:val="center"/>
          </w:tcPr>
          <w:p w14:paraId="089FF36F">
            <w:pPr>
              <w:spacing w:line="240" w:lineRule="exact"/>
              <w:jc w:val="right"/>
              <w:rPr>
                <w:rFonts w:ascii="宋体" w:hAnsi="宋体" w:eastAsia="宋体" w:cs="宋体"/>
                <w:sz w:val="18"/>
                <w:szCs w:val="18"/>
              </w:rPr>
            </w:pPr>
            <w:r>
              <w:rPr>
                <w:rFonts w:ascii="宋体" w:hAnsi="宋体" w:eastAsia="宋体" w:cs="宋体"/>
                <w:sz w:val="18"/>
                <w:szCs w:val="18"/>
              </w:rPr>
              <w:t>5,782,918,783.22</w:t>
            </w:r>
          </w:p>
        </w:tc>
        <w:tc>
          <w:tcPr>
            <w:tcW w:w="1928" w:type="dxa"/>
            <w:tcBorders>
              <w:top w:val="single" w:color="auto" w:sz="2" w:space="0"/>
              <w:left w:val="single" w:color="auto" w:sz="2" w:space="0"/>
              <w:bottom w:val="single" w:color="auto" w:sz="2" w:space="0"/>
              <w:right w:val="single" w:color="auto" w:sz="2" w:space="0"/>
            </w:tcBorders>
            <w:vAlign w:val="center"/>
          </w:tcPr>
          <w:p w14:paraId="1989096B">
            <w:pPr>
              <w:spacing w:line="240" w:lineRule="exact"/>
              <w:jc w:val="right"/>
              <w:rPr>
                <w:rFonts w:ascii="宋体" w:hAnsi="宋体" w:eastAsia="宋体" w:cs="宋体"/>
                <w:sz w:val="18"/>
                <w:szCs w:val="18"/>
              </w:rPr>
            </w:pPr>
            <w:r>
              <w:rPr>
                <w:rFonts w:ascii="宋体" w:hAnsi="宋体" w:eastAsia="宋体" w:cs="宋体"/>
                <w:sz w:val="18"/>
                <w:szCs w:val="18"/>
              </w:rPr>
              <w:t>0.16%</w:t>
            </w:r>
          </w:p>
        </w:tc>
        <w:tc>
          <w:tcPr>
            <w:tcW w:w="1928" w:type="dxa"/>
            <w:tcBorders>
              <w:top w:val="single" w:color="auto" w:sz="2" w:space="0"/>
              <w:left w:val="single" w:color="auto" w:sz="2" w:space="0"/>
              <w:bottom w:val="single" w:color="auto" w:sz="2" w:space="0"/>
              <w:right w:val="single" w:color="auto" w:sz="2" w:space="0"/>
            </w:tcBorders>
            <w:vAlign w:val="center"/>
          </w:tcPr>
          <w:p w14:paraId="7990159C">
            <w:pPr>
              <w:spacing w:line="240" w:lineRule="exact"/>
              <w:jc w:val="right"/>
              <w:rPr>
                <w:rFonts w:ascii="宋体" w:hAnsi="宋体" w:eastAsia="宋体" w:cs="宋体"/>
                <w:sz w:val="18"/>
                <w:szCs w:val="18"/>
              </w:rPr>
            </w:pPr>
            <w:r>
              <w:rPr>
                <w:rFonts w:ascii="宋体" w:hAnsi="宋体" w:eastAsia="宋体" w:cs="宋体"/>
                <w:sz w:val="18"/>
                <w:szCs w:val="18"/>
              </w:rPr>
              <w:t>6,156,565,539.90</w:t>
            </w:r>
          </w:p>
        </w:tc>
      </w:tr>
    </w:tbl>
    <w:p w14:paraId="18B7BE33">
      <w:pPr>
        <w:spacing w:before="100" w:after="100" w:line="240" w:lineRule="exact"/>
        <w:rPr>
          <w:rFonts w:ascii="宋体" w:hAnsi="宋体" w:eastAsia="宋体" w:cs="宋体"/>
          <w:sz w:val="18"/>
          <w:szCs w:val="18"/>
        </w:rPr>
      </w:pPr>
      <w:r>
        <w:rPr>
          <w:rFonts w:ascii="宋体" w:hAnsi="宋体" w:eastAsia="宋体" w:cs="宋体"/>
          <w:sz w:val="18"/>
          <w:szCs w:val="18"/>
        </w:rPr>
        <w:t>公司最近三个会计年度扣除非经常性损益前后净利润孰低者均为负值，且最近一年审计报告显示公司持续经营能力存在不确定性</w:t>
      </w:r>
    </w:p>
    <w:p w14:paraId="41C76F95">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681EC324">
      <w:pPr>
        <w:spacing w:before="100" w:after="100" w:line="240" w:lineRule="exact"/>
        <w:rPr>
          <w:rFonts w:ascii="宋体" w:hAnsi="宋体" w:eastAsia="宋体" w:cs="宋体"/>
          <w:sz w:val="18"/>
          <w:szCs w:val="18"/>
        </w:rPr>
      </w:pPr>
      <w:r>
        <w:rPr>
          <w:rFonts w:ascii="宋体" w:hAnsi="宋体" w:eastAsia="宋体" w:cs="宋体"/>
          <w:sz w:val="18"/>
          <w:szCs w:val="18"/>
        </w:rPr>
        <w:t>公司报告期内经审计利润总额、净利润、扣除非经常性损益后的净利润三者孰低为负值</w:t>
      </w:r>
    </w:p>
    <w:p w14:paraId="33EB141C">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46020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14:paraId="3F163B3A">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5CDAC00">
            <w:pPr>
              <w:spacing w:before="40" w:after="40" w:line="240" w:lineRule="exact"/>
              <w:jc w:val="center"/>
              <w:rPr>
                <w:rFonts w:ascii="宋体" w:hAnsi="宋体" w:eastAsia="宋体" w:cs="宋体"/>
                <w:sz w:val="18"/>
                <w:szCs w:val="18"/>
              </w:rPr>
            </w:pPr>
            <w:r>
              <w:rPr>
                <w:rFonts w:ascii="宋体" w:hAnsi="宋体" w:eastAsia="宋体" w:cs="宋体"/>
                <w:sz w:val="18"/>
                <w:szCs w:val="18"/>
              </w:rPr>
              <w:t>2025年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A8DB4AC">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FCEF152">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r w14:paraId="0C8E7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14:paraId="5D749EEF">
            <w:pPr>
              <w:spacing w:before="40" w:after="40" w:line="240" w:lineRule="exact"/>
              <w:rPr>
                <w:rFonts w:ascii="宋体" w:hAnsi="宋体" w:eastAsia="宋体" w:cs="宋体"/>
                <w:sz w:val="18"/>
                <w:szCs w:val="18"/>
              </w:rPr>
            </w:pPr>
            <w:r>
              <w:rPr>
                <w:rFonts w:ascii="宋体" w:hAnsi="宋体" w:eastAsia="宋体" w:cs="宋体"/>
                <w:sz w:val="18"/>
                <w:szCs w:val="18"/>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14:paraId="059621D6">
            <w:pPr>
              <w:spacing w:line="240" w:lineRule="exact"/>
              <w:jc w:val="right"/>
              <w:rPr>
                <w:rFonts w:ascii="宋体" w:hAnsi="宋体" w:eastAsia="宋体" w:cs="宋体"/>
                <w:sz w:val="18"/>
                <w:szCs w:val="18"/>
              </w:rPr>
            </w:pPr>
            <w:r>
              <w:rPr>
                <w:rFonts w:ascii="宋体" w:hAnsi="宋体" w:eastAsia="宋体" w:cs="宋体"/>
                <w:sz w:val="18"/>
                <w:szCs w:val="18"/>
              </w:rPr>
              <w:t>8,050,059,722.95</w:t>
            </w:r>
          </w:p>
        </w:tc>
        <w:tc>
          <w:tcPr>
            <w:tcW w:w="2410" w:type="dxa"/>
            <w:tcBorders>
              <w:top w:val="single" w:color="auto" w:sz="2" w:space="0"/>
              <w:left w:val="single" w:color="auto" w:sz="2" w:space="0"/>
              <w:bottom w:val="single" w:color="auto" w:sz="2" w:space="0"/>
              <w:right w:val="single" w:color="auto" w:sz="2" w:space="0"/>
            </w:tcBorders>
            <w:vAlign w:val="center"/>
          </w:tcPr>
          <w:p w14:paraId="6D6B4CDD">
            <w:pPr>
              <w:spacing w:line="240" w:lineRule="exact"/>
              <w:jc w:val="right"/>
              <w:rPr>
                <w:rFonts w:ascii="宋体" w:hAnsi="宋体" w:eastAsia="宋体" w:cs="宋体"/>
                <w:sz w:val="18"/>
                <w:szCs w:val="18"/>
              </w:rPr>
            </w:pPr>
            <w:r>
              <w:rPr>
                <w:rFonts w:ascii="宋体" w:hAnsi="宋体" w:eastAsia="宋体" w:cs="宋体"/>
                <w:sz w:val="18"/>
                <w:szCs w:val="18"/>
              </w:rPr>
              <w:t>10,761,951,965.32</w:t>
            </w:r>
          </w:p>
        </w:tc>
        <w:tc>
          <w:tcPr>
            <w:tcW w:w="2410" w:type="dxa"/>
            <w:tcBorders>
              <w:top w:val="single" w:color="auto" w:sz="2" w:space="0"/>
              <w:left w:val="single" w:color="auto" w:sz="2" w:space="0"/>
              <w:bottom w:val="single" w:color="auto" w:sz="2" w:space="0"/>
              <w:right w:val="single" w:color="auto" w:sz="2" w:space="0"/>
            </w:tcBorders>
            <w:vAlign w:val="center"/>
          </w:tcPr>
          <w:p w14:paraId="143EF28B">
            <w:pPr>
              <w:spacing w:line="240" w:lineRule="exact"/>
              <w:rPr>
                <w:rFonts w:ascii="宋体" w:hAnsi="宋体" w:eastAsia="宋体" w:cs="宋体"/>
                <w:sz w:val="18"/>
                <w:szCs w:val="18"/>
              </w:rPr>
            </w:pPr>
            <w:r>
              <w:rPr>
                <w:rFonts w:ascii="宋体" w:hAnsi="宋体" w:eastAsia="宋体" w:cs="宋体"/>
                <w:sz w:val="18"/>
                <w:szCs w:val="18"/>
              </w:rPr>
              <w:t>营业收入</w:t>
            </w:r>
          </w:p>
        </w:tc>
      </w:tr>
      <w:tr w14:paraId="78451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14:paraId="0B4CEB64">
            <w:pPr>
              <w:spacing w:before="40" w:after="40" w:line="240" w:lineRule="exact"/>
              <w:rPr>
                <w:rFonts w:ascii="宋体" w:hAnsi="宋体" w:eastAsia="宋体" w:cs="宋体"/>
                <w:sz w:val="18"/>
                <w:szCs w:val="18"/>
              </w:rPr>
            </w:pPr>
            <w:r>
              <w:rPr>
                <w:rFonts w:ascii="宋体" w:hAnsi="宋体" w:eastAsia="宋体" w:cs="宋体"/>
                <w:sz w:val="18"/>
                <w:szCs w:val="18"/>
              </w:rPr>
              <w:t>营业收入扣除金额（元）</w:t>
            </w:r>
          </w:p>
        </w:tc>
        <w:tc>
          <w:tcPr>
            <w:tcW w:w="2410" w:type="dxa"/>
            <w:tcBorders>
              <w:top w:val="single" w:color="auto" w:sz="2" w:space="0"/>
              <w:left w:val="single" w:color="auto" w:sz="2" w:space="0"/>
              <w:bottom w:val="single" w:color="auto" w:sz="2" w:space="0"/>
              <w:right w:val="single" w:color="auto" w:sz="2" w:space="0"/>
            </w:tcBorders>
            <w:vAlign w:val="center"/>
          </w:tcPr>
          <w:p w14:paraId="700EFDC2">
            <w:pPr>
              <w:spacing w:line="240" w:lineRule="exact"/>
              <w:jc w:val="right"/>
              <w:rPr>
                <w:rFonts w:ascii="宋体" w:hAnsi="宋体" w:eastAsia="宋体" w:cs="宋体"/>
                <w:sz w:val="18"/>
                <w:szCs w:val="18"/>
              </w:rPr>
            </w:pPr>
            <w:r>
              <w:rPr>
                <w:rFonts w:ascii="宋体" w:hAnsi="宋体" w:eastAsia="宋体" w:cs="宋体"/>
                <w:sz w:val="18"/>
                <w:szCs w:val="18"/>
              </w:rPr>
              <w:t>147,444,912.65</w:t>
            </w:r>
          </w:p>
        </w:tc>
        <w:tc>
          <w:tcPr>
            <w:tcW w:w="2410" w:type="dxa"/>
            <w:tcBorders>
              <w:top w:val="single" w:color="auto" w:sz="2" w:space="0"/>
              <w:left w:val="single" w:color="auto" w:sz="2" w:space="0"/>
              <w:bottom w:val="single" w:color="auto" w:sz="2" w:space="0"/>
              <w:right w:val="single" w:color="auto" w:sz="2" w:space="0"/>
            </w:tcBorders>
            <w:vAlign w:val="center"/>
          </w:tcPr>
          <w:p w14:paraId="1C6BAB4B">
            <w:pPr>
              <w:spacing w:line="240" w:lineRule="exact"/>
              <w:jc w:val="right"/>
              <w:rPr>
                <w:rFonts w:ascii="宋体" w:hAnsi="宋体" w:eastAsia="宋体" w:cs="宋体"/>
                <w:sz w:val="18"/>
                <w:szCs w:val="18"/>
              </w:rPr>
            </w:pPr>
            <w:r>
              <w:rPr>
                <w:rFonts w:ascii="宋体" w:hAnsi="宋体" w:eastAsia="宋体" w:cs="宋体"/>
                <w:sz w:val="18"/>
                <w:szCs w:val="18"/>
              </w:rPr>
              <w:t>121,259,013.43</w:t>
            </w:r>
          </w:p>
        </w:tc>
        <w:tc>
          <w:tcPr>
            <w:tcW w:w="2410" w:type="dxa"/>
            <w:tcBorders>
              <w:top w:val="single" w:color="auto" w:sz="2" w:space="0"/>
              <w:left w:val="single" w:color="auto" w:sz="2" w:space="0"/>
              <w:bottom w:val="single" w:color="auto" w:sz="2" w:space="0"/>
              <w:right w:val="single" w:color="auto" w:sz="2" w:space="0"/>
            </w:tcBorders>
            <w:vAlign w:val="center"/>
          </w:tcPr>
          <w:p w14:paraId="1AFC1973">
            <w:pPr>
              <w:spacing w:line="240" w:lineRule="exact"/>
              <w:rPr>
                <w:rFonts w:ascii="宋体" w:hAnsi="宋体" w:eastAsia="宋体" w:cs="宋体"/>
                <w:sz w:val="18"/>
                <w:szCs w:val="18"/>
              </w:rPr>
            </w:pPr>
            <w:r>
              <w:rPr>
                <w:rFonts w:ascii="宋体" w:hAnsi="宋体" w:eastAsia="宋体" w:cs="宋体"/>
                <w:sz w:val="18"/>
                <w:szCs w:val="18"/>
              </w:rPr>
              <w:t>其他业务收入</w:t>
            </w:r>
          </w:p>
        </w:tc>
      </w:tr>
      <w:tr w14:paraId="7DBD6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14:paraId="553EEF93">
            <w:pPr>
              <w:spacing w:before="40" w:after="40" w:line="240" w:lineRule="exact"/>
              <w:rPr>
                <w:rFonts w:ascii="宋体" w:hAnsi="宋体" w:eastAsia="宋体" w:cs="宋体"/>
                <w:sz w:val="18"/>
                <w:szCs w:val="18"/>
              </w:rPr>
            </w:pPr>
            <w:r>
              <w:rPr>
                <w:rFonts w:ascii="宋体" w:hAnsi="宋体" w:eastAsia="宋体" w:cs="宋体"/>
                <w:sz w:val="18"/>
                <w:szCs w:val="18"/>
              </w:rPr>
              <w:t>营业收入扣除后金额（元）</w:t>
            </w:r>
          </w:p>
        </w:tc>
        <w:tc>
          <w:tcPr>
            <w:tcW w:w="2410" w:type="dxa"/>
            <w:tcBorders>
              <w:top w:val="single" w:color="auto" w:sz="2" w:space="0"/>
              <w:left w:val="single" w:color="auto" w:sz="2" w:space="0"/>
              <w:bottom w:val="single" w:color="auto" w:sz="2" w:space="0"/>
              <w:right w:val="single" w:color="auto" w:sz="2" w:space="0"/>
            </w:tcBorders>
            <w:vAlign w:val="center"/>
          </w:tcPr>
          <w:p w14:paraId="6B52D815">
            <w:pPr>
              <w:spacing w:line="240" w:lineRule="exact"/>
              <w:jc w:val="right"/>
              <w:rPr>
                <w:rFonts w:ascii="宋体" w:hAnsi="宋体" w:eastAsia="宋体" w:cs="宋体"/>
                <w:sz w:val="18"/>
                <w:szCs w:val="18"/>
              </w:rPr>
            </w:pPr>
            <w:r>
              <w:rPr>
                <w:rFonts w:ascii="宋体" w:hAnsi="宋体" w:eastAsia="宋体" w:cs="宋体"/>
                <w:sz w:val="18"/>
                <w:szCs w:val="18"/>
              </w:rPr>
              <w:t>7,902,614,810.30</w:t>
            </w:r>
          </w:p>
        </w:tc>
        <w:tc>
          <w:tcPr>
            <w:tcW w:w="2410" w:type="dxa"/>
            <w:tcBorders>
              <w:top w:val="single" w:color="auto" w:sz="2" w:space="0"/>
              <w:left w:val="single" w:color="auto" w:sz="2" w:space="0"/>
              <w:bottom w:val="single" w:color="auto" w:sz="2" w:space="0"/>
              <w:right w:val="single" w:color="auto" w:sz="2" w:space="0"/>
            </w:tcBorders>
            <w:vAlign w:val="center"/>
          </w:tcPr>
          <w:p w14:paraId="76FE7093">
            <w:pPr>
              <w:spacing w:line="240" w:lineRule="exact"/>
              <w:jc w:val="right"/>
              <w:rPr>
                <w:rFonts w:ascii="宋体" w:hAnsi="宋体" w:eastAsia="宋体" w:cs="宋体"/>
                <w:sz w:val="18"/>
                <w:szCs w:val="18"/>
              </w:rPr>
            </w:pPr>
            <w:r>
              <w:rPr>
                <w:rFonts w:ascii="宋体" w:hAnsi="宋体" w:eastAsia="宋体" w:cs="宋体"/>
                <w:sz w:val="18"/>
                <w:szCs w:val="18"/>
              </w:rPr>
              <w:t>10,640,692,951.89</w:t>
            </w:r>
          </w:p>
        </w:tc>
        <w:tc>
          <w:tcPr>
            <w:tcW w:w="2410" w:type="dxa"/>
            <w:tcBorders>
              <w:top w:val="single" w:color="auto" w:sz="2" w:space="0"/>
              <w:left w:val="single" w:color="auto" w:sz="2" w:space="0"/>
              <w:bottom w:val="single" w:color="auto" w:sz="2" w:space="0"/>
              <w:right w:val="single" w:color="auto" w:sz="2" w:space="0"/>
            </w:tcBorders>
            <w:vAlign w:val="center"/>
          </w:tcPr>
          <w:p w14:paraId="3B53590F">
            <w:pPr>
              <w:spacing w:line="240" w:lineRule="exact"/>
              <w:rPr>
                <w:rFonts w:ascii="宋体" w:hAnsi="宋体" w:eastAsia="宋体" w:cs="宋体"/>
                <w:sz w:val="18"/>
                <w:szCs w:val="18"/>
              </w:rPr>
            </w:pPr>
            <w:r>
              <w:rPr>
                <w:rFonts w:ascii="宋体" w:hAnsi="宋体" w:eastAsia="宋体" w:cs="宋体"/>
                <w:sz w:val="18"/>
                <w:szCs w:val="18"/>
              </w:rPr>
              <w:t>主营收入</w:t>
            </w:r>
          </w:p>
        </w:tc>
      </w:tr>
    </w:tbl>
    <w:p w14:paraId="77DC07C2">
      <w:pPr>
        <w:pStyle w:val="2"/>
        <w:spacing w:before="300" w:after="300" w:line="320" w:lineRule="exact"/>
        <w:rPr>
          <w:rFonts w:ascii="宋体" w:hAnsi="宋体" w:eastAsia="宋体" w:cs="宋体"/>
          <w:b/>
          <w:bCs/>
          <w:sz w:val="24"/>
          <w:szCs w:val="24"/>
        </w:rPr>
      </w:pPr>
      <w:bookmarkStart w:id="8" w:name="_Toc988897"/>
      <w:r>
        <w:rPr>
          <w:rFonts w:ascii="宋体" w:hAnsi="宋体" w:eastAsia="宋体" w:cs="宋体"/>
          <w:b/>
          <w:bCs/>
          <w:sz w:val="24"/>
          <w:szCs w:val="24"/>
        </w:rPr>
        <w:t>七、境内外会计准则下会计数据差异</w:t>
      </w:r>
      <w:bookmarkEnd w:id="8"/>
    </w:p>
    <w:p w14:paraId="405993E1">
      <w:pPr>
        <w:pStyle w:val="3"/>
        <w:spacing w:line="280" w:lineRule="exact"/>
        <w:jc w:val="left"/>
        <w:rPr>
          <w:rFonts w:ascii="宋体" w:hAnsi="宋体" w:cs="宋体"/>
          <w:b/>
          <w:bCs/>
        </w:rPr>
      </w:pPr>
      <w:bookmarkStart w:id="9" w:name="_Toc988898"/>
      <w:r>
        <w:rPr>
          <w:rFonts w:ascii="宋体" w:hAnsi="宋体" w:cs="宋体"/>
          <w:b/>
          <w:bCs/>
        </w:rPr>
        <w:t>1、同时按照国际会计准则与按照中国会计准则披露的财务报告中净利润和净资产差异情况</w:t>
      </w:r>
      <w:bookmarkEnd w:id="9"/>
    </w:p>
    <w:p w14:paraId="57EC1591">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A8DB642">
      <w:pPr>
        <w:spacing w:before="100" w:after="100" w:line="240" w:lineRule="exact"/>
        <w:rPr>
          <w:rFonts w:ascii="宋体" w:hAnsi="宋体" w:eastAsia="宋体" w:cs="宋体"/>
          <w:sz w:val="18"/>
          <w:szCs w:val="18"/>
        </w:rPr>
      </w:pPr>
      <w:r>
        <w:rPr>
          <w:rFonts w:ascii="宋体" w:hAnsi="宋体" w:eastAsia="宋体" w:cs="宋体"/>
          <w:sz w:val="18"/>
          <w:szCs w:val="18"/>
        </w:rPr>
        <w:t>公司报告期不存在按照国际会计准则与按照中国会计准则披露的财务报告中净利润和净资产差异情况。</w:t>
      </w:r>
    </w:p>
    <w:p w14:paraId="546D32AB">
      <w:pPr>
        <w:pStyle w:val="3"/>
        <w:spacing w:line="280" w:lineRule="exact"/>
        <w:jc w:val="left"/>
        <w:rPr>
          <w:rFonts w:ascii="宋体" w:hAnsi="宋体" w:cs="宋体"/>
          <w:b/>
          <w:bCs/>
        </w:rPr>
      </w:pPr>
      <w:bookmarkStart w:id="10" w:name="_Toc988899"/>
      <w:r>
        <w:rPr>
          <w:rFonts w:ascii="宋体" w:hAnsi="宋体" w:cs="宋体"/>
          <w:b/>
          <w:bCs/>
        </w:rPr>
        <w:t>2、同时按照境外会计准则与按照中国会计准则披露的财务报告中净利润和净资产差异情况</w:t>
      </w:r>
      <w:bookmarkEnd w:id="10"/>
    </w:p>
    <w:p w14:paraId="139EFCC2">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E61A4F2">
      <w:pPr>
        <w:spacing w:before="100" w:after="100" w:line="240" w:lineRule="exact"/>
        <w:rPr>
          <w:rFonts w:ascii="宋体" w:hAnsi="宋体" w:eastAsia="宋体" w:cs="宋体"/>
          <w:sz w:val="18"/>
          <w:szCs w:val="18"/>
        </w:rPr>
      </w:pPr>
      <w:r>
        <w:rPr>
          <w:rFonts w:ascii="宋体" w:hAnsi="宋体" w:eastAsia="宋体" w:cs="宋体"/>
          <w:sz w:val="18"/>
          <w:szCs w:val="18"/>
        </w:rPr>
        <w:t>公司报告期不存在按照境外会计准则与按照中国会计准则披露的财务报告中净利润和净资产差异情况。</w:t>
      </w:r>
    </w:p>
    <w:p w14:paraId="468C5DE1">
      <w:pPr>
        <w:pStyle w:val="2"/>
        <w:spacing w:before="300" w:after="300" w:line="320" w:lineRule="exact"/>
        <w:rPr>
          <w:rFonts w:ascii="宋体" w:hAnsi="宋体" w:eastAsia="宋体" w:cs="宋体"/>
          <w:b/>
          <w:bCs/>
          <w:sz w:val="24"/>
          <w:szCs w:val="24"/>
        </w:rPr>
      </w:pPr>
      <w:bookmarkStart w:id="11" w:name="_Toc988900"/>
      <w:r>
        <w:rPr>
          <w:rFonts w:ascii="宋体" w:hAnsi="宋体" w:eastAsia="宋体" w:cs="宋体"/>
          <w:b/>
          <w:bCs/>
          <w:sz w:val="24"/>
          <w:szCs w:val="24"/>
        </w:rPr>
        <w:t>八、分季度主要财务指标</w:t>
      </w:r>
      <w:bookmarkEnd w:id="11"/>
    </w:p>
    <w:p w14:paraId="1E14613E">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48798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C335835"/>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49FD172">
            <w:pPr>
              <w:spacing w:before="40" w:after="40" w:line="240" w:lineRule="exact"/>
              <w:jc w:val="center"/>
              <w:rPr>
                <w:rFonts w:ascii="宋体" w:hAnsi="宋体" w:eastAsia="宋体" w:cs="宋体"/>
                <w:sz w:val="18"/>
                <w:szCs w:val="18"/>
              </w:rPr>
            </w:pPr>
            <w:r>
              <w:rPr>
                <w:rFonts w:ascii="宋体" w:hAnsi="宋体" w:eastAsia="宋体" w:cs="宋体"/>
                <w:sz w:val="18"/>
                <w:szCs w:val="18"/>
              </w:rPr>
              <w:t>第一季度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91B4BA2">
            <w:pPr>
              <w:spacing w:before="40" w:after="40" w:line="240" w:lineRule="exact"/>
              <w:jc w:val="center"/>
              <w:rPr>
                <w:rFonts w:ascii="宋体" w:hAnsi="宋体" w:eastAsia="宋体" w:cs="宋体"/>
                <w:sz w:val="18"/>
                <w:szCs w:val="18"/>
              </w:rPr>
            </w:pPr>
            <w:r>
              <w:rPr>
                <w:rFonts w:ascii="宋体" w:hAnsi="宋体" w:eastAsia="宋体" w:cs="宋体"/>
                <w:sz w:val="18"/>
                <w:szCs w:val="18"/>
              </w:rPr>
              <w:t>第二季度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F5BCFAF">
            <w:pPr>
              <w:spacing w:before="40" w:after="40" w:line="240" w:lineRule="exact"/>
              <w:jc w:val="center"/>
              <w:rPr>
                <w:rFonts w:ascii="宋体" w:hAnsi="宋体" w:eastAsia="宋体" w:cs="宋体"/>
                <w:sz w:val="18"/>
                <w:szCs w:val="18"/>
              </w:rPr>
            </w:pPr>
            <w:r>
              <w:rPr>
                <w:rFonts w:ascii="宋体" w:hAnsi="宋体" w:eastAsia="宋体" w:cs="宋体"/>
                <w:sz w:val="18"/>
                <w:szCs w:val="18"/>
              </w:rPr>
              <w:t>第三季度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688ABE8">
            <w:pPr>
              <w:spacing w:before="40" w:after="40" w:line="240" w:lineRule="exact"/>
              <w:jc w:val="center"/>
              <w:rPr>
                <w:rFonts w:ascii="宋体" w:hAnsi="宋体" w:eastAsia="宋体" w:cs="宋体"/>
                <w:sz w:val="18"/>
                <w:szCs w:val="18"/>
              </w:rPr>
            </w:pPr>
            <w:r>
              <w:rPr>
                <w:rFonts w:ascii="宋体" w:hAnsi="宋体" w:eastAsia="宋体" w:cs="宋体"/>
                <w:sz w:val="18"/>
                <w:szCs w:val="18"/>
              </w:rPr>
              <w:t>第四季度</w:t>
            </w:r>
          </w:p>
        </w:tc>
      </w:tr>
      <w:tr w14:paraId="43910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F8CC319">
            <w:pPr>
              <w:spacing w:before="40" w:after="40" w:line="240" w:lineRule="exact"/>
              <w:rPr>
                <w:rFonts w:ascii="宋体" w:hAnsi="宋体" w:eastAsia="宋体" w:cs="宋体"/>
                <w:sz w:val="18"/>
                <w:szCs w:val="18"/>
              </w:rPr>
            </w:pPr>
            <w:r>
              <w:rPr>
                <w:rFonts w:ascii="宋体" w:hAnsi="宋体" w:eastAsia="宋体" w:cs="宋体"/>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14:paraId="234B83B1">
            <w:pPr>
              <w:spacing w:line="240" w:lineRule="exact"/>
              <w:jc w:val="right"/>
              <w:rPr>
                <w:rFonts w:ascii="宋体" w:hAnsi="宋体" w:eastAsia="宋体" w:cs="宋体"/>
                <w:sz w:val="18"/>
                <w:szCs w:val="18"/>
              </w:rPr>
            </w:pPr>
            <w:r>
              <w:rPr>
                <w:rFonts w:ascii="宋体" w:hAnsi="宋体" w:eastAsia="宋体" w:cs="宋体"/>
                <w:sz w:val="18"/>
                <w:szCs w:val="18"/>
              </w:rPr>
              <w:t>2,183,542,036.36</w:t>
            </w:r>
          </w:p>
        </w:tc>
        <w:tc>
          <w:tcPr>
            <w:tcW w:w="1928" w:type="dxa"/>
            <w:tcBorders>
              <w:top w:val="single" w:color="auto" w:sz="2" w:space="0"/>
              <w:left w:val="single" w:color="auto" w:sz="2" w:space="0"/>
              <w:bottom w:val="single" w:color="auto" w:sz="2" w:space="0"/>
              <w:right w:val="single" w:color="auto" w:sz="2" w:space="0"/>
            </w:tcBorders>
            <w:vAlign w:val="center"/>
          </w:tcPr>
          <w:p w14:paraId="08227910">
            <w:pPr>
              <w:spacing w:line="240" w:lineRule="exact"/>
              <w:jc w:val="right"/>
              <w:rPr>
                <w:rFonts w:ascii="宋体" w:hAnsi="宋体" w:eastAsia="宋体" w:cs="宋体"/>
                <w:sz w:val="18"/>
                <w:szCs w:val="18"/>
              </w:rPr>
            </w:pPr>
            <w:r>
              <w:rPr>
                <w:rFonts w:ascii="宋体" w:hAnsi="宋体" w:eastAsia="宋体" w:cs="宋体"/>
                <w:sz w:val="18"/>
                <w:szCs w:val="18"/>
              </w:rPr>
              <w:t>1,915,973,803.49</w:t>
            </w:r>
          </w:p>
        </w:tc>
        <w:tc>
          <w:tcPr>
            <w:tcW w:w="1928" w:type="dxa"/>
            <w:tcBorders>
              <w:top w:val="single" w:color="auto" w:sz="2" w:space="0"/>
              <w:left w:val="single" w:color="auto" w:sz="2" w:space="0"/>
              <w:bottom w:val="single" w:color="auto" w:sz="2" w:space="0"/>
              <w:right w:val="single" w:color="auto" w:sz="2" w:space="0"/>
            </w:tcBorders>
            <w:vAlign w:val="center"/>
          </w:tcPr>
          <w:p w14:paraId="427C35E7">
            <w:pPr>
              <w:spacing w:line="240" w:lineRule="exact"/>
              <w:jc w:val="right"/>
              <w:rPr>
                <w:rFonts w:ascii="宋体" w:hAnsi="宋体" w:eastAsia="宋体" w:cs="宋体"/>
                <w:sz w:val="18"/>
                <w:szCs w:val="18"/>
              </w:rPr>
            </w:pPr>
            <w:r>
              <w:rPr>
                <w:rFonts w:ascii="宋体" w:hAnsi="宋体" w:eastAsia="宋体" w:cs="宋体"/>
                <w:sz w:val="18"/>
                <w:szCs w:val="18"/>
              </w:rPr>
              <w:t>1,664,810,331.41</w:t>
            </w:r>
          </w:p>
        </w:tc>
        <w:tc>
          <w:tcPr>
            <w:tcW w:w="1928" w:type="dxa"/>
            <w:tcBorders>
              <w:top w:val="single" w:color="auto" w:sz="2" w:space="0"/>
              <w:left w:val="single" w:color="auto" w:sz="2" w:space="0"/>
              <w:bottom w:val="single" w:color="auto" w:sz="2" w:space="0"/>
              <w:right w:val="single" w:color="auto" w:sz="2" w:space="0"/>
            </w:tcBorders>
            <w:vAlign w:val="center"/>
          </w:tcPr>
          <w:p w14:paraId="0F40C1B2">
            <w:pPr>
              <w:spacing w:line="240" w:lineRule="exact"/>
              <w:jc w:val="right"/>
              <w:rPr>
                <w:rFonts w:ascii="宋体" w:hAnsi="宋体" w:eastAsia="宋体" w:cs="宋体"/>
                <w:sz w:val="18"/>
                <w:szCs w:val="18"/>
              </w:rPr>
            </w:pPr>
            <w:r>
              <w:rPr>
                <w:rFonts w:ascii="宋体" w:hAnsi="宋体" w:eastAsia="宋体" w:cs="宋体"/>
                <w:sz w:val="18"/>
                <w:szCs w:val="18"/>
              </w:rPr>
              <w:t>2,285,733,551.69</w:t>
            </w:r>
          </w:p>
        </w:tc>
      </w:tr>
      <w:tr w14:paraId="079E8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B42E0E3">
            <w:pPr>
              <w:spacing w:before="40" w:after="40" w:line="240" w:lineRule="exact"/>
              <w:rPr>
                <w:rFonts w:ascii="宋体" w:hAnsi="宋体" w:eastAsia="宋体" w:cs="宋体"/>
                <w:sz w:val="18"/>
                <w:szCs w:val="18"/>
              </w:rPr>
            </w:pPr>
            <w:r>
              <w:rPr>
                <w:rFonts w:ascii="宋体" w:hAnsi="宋体" w:eastAsia="宋体" w:cs="宋体"/>
                <w:sz w:val="18"/>
                <w:szCs w:val="18"/>
              </w:rPr>
              <w:t>归属于上市公司股东的净利润</w:t>
            </w:r>
          </w:p>
        </w:tc>
        <w:tc>
          <w:tcPr>
            <w:tcW w:w="1928" w:type="dxa"/>
            <w:tcBorders>
              <w:top w:val="single" w:color="auto" w:sz="2" w:space="0"/>
              <w:left w:val="single" w:color="auto" w:sz="2" w:space="0"/>
              <w:bottom w:val="single" w:color="auto" w:sz="2" w:space="0"/>
              <w:right w:val="single" w:color="auto" w:sz="2" w:space="0"/>
            </w:tcBorders>
            <w:vAlign w:val="center"/>
          </w:tcPr>
          <w:p w14:paraId="10536143">
            <w:pPr>
              <w:spacing w:line="240" w:lineRule="exact"/>
              <w:jc w:val="right"/>
              <w:rPr>
                <w:rFonts w:ascii="宋体" w:hAnsi="宋体" w:eastAsia="宋体" w:cs="宋体"/>
                <w:sz w:val="18"/>
                <w:szCs w:val="18"/>
              </w:rPr>
            </w:pPr>
            <w:r>
              <w:rPr>
                <w:rFonts w:ascii="宋体" w:hAnsi="宋体" w:eastAsia="宋体" w:cs="宋体"/>
                <w:sz w:val="18"/>
                <w:szCs w:val="18"/>
              </w:rPr>
              <w:t>9,012,232.76</w:t>
            </w:r>
          </w:p>
        </w:tc>
        <w:tc>
          <w:tcPr>
            <w:tcW w:w="1928" w:type="dxa"/>
            <w:tcBorders>
              <w:top w:val="single" w:color="auto" w:sz="2" w:space="0"/>
              <w:left w:val="single" w:color="auto" w:sz="2" w:space="0"/>
              <w:bottom w:val="single" w:color="auto" w:sz="2" w:space="0"/>
              <w:right w:val="single" w:color="auto" w:sz="2" w:space="0"/>
            </w:tcBorders>
            <w:vAlign w:val="center"/>
          </w:tcPr>
          <w:p w14:paraId="34C4BF6D">
            <w:pPr>
              <w:spacing w:line="240" w:lineRule="exact"/>
              <w:jc w:val="right"/>
              <w:rPr>
                <w:rFonts w:ascii="宋体" w:hAnsi="宋体" w:eastAsia="宋体" w:cs="宋体"/>
                <w:sz w:val="18"/>
                <w:szCs w:val="18"/>
              </w:rPr>
            </w:pPr>
            <w:r>
              <w:rPr>
                <w:rFonts w:ascii="宋体" w:hAnsi="宋体" w:eastAsia="宋体" w:cs="宋体"/>
                <w:sz w:val="18"/>
                <w:szCs w:val="18"/>
              </w:rPr>
              <w:t>16,085,538.53</w:t>
            </w:r>
          </w:p>
        </w:tc>
        <w:tc>
          <w:tcPr>
            <w:tcW w:w="1928" w:type="dxa"/>
            <w:tcBorders>
              <w:top w:val="single" w:color="auto" w:sz="2" w:space="0"/>
              <w:left w:val="single" w:color="auto" w:sz="2" w:space="0"/>
              <w:bottom w:val="single" w:color="auto" w:sz="2" w:space="0"/>
              <w:right w:val="single" w:color="auto" w:sz="2" w:space="0"/>
            </w:tcBorders>
            <w:vAlign w:val="center"/>
          </w:tcPr>
          <w:p w14:paraId="5958B33E">
            <w:pPr>
              <w:spacing w:line="240" w:lineRule="exact"/>
              <w:jc w:val="right"/>
              <w:rPr>
                <w:rFonts w:ascii="宋体" w:hAnsi="宋体" w:eastAsia="宋体" w:cs="宋体"/>
                <w:sz w:val="18"/>
                <w:szCs w:val="18"/>
              </w:rPr>
            </w:pPr>
            <w:r>
              <w:rPr>
                <w:rFonts w:ascii="宋体" w:hAnsi="宋体" w:eastAsia="宋体" w:cs="宋体"/>
                <w:sz w:val="18"/>
                <w:szCs w:val="18"/>
              </w:rPr>
              <w:t>27,221,276.17</w:t>
            </w:r>
          </w:p>
        </w:tc>
        <w:tc>
          <w:tcPr>
            <w:tcW w:w="1928" w:type="dxa"/>
            <w:tcBorders>
              <w:top w:val="single" w:color="auto" w:sz="2" w:space="0"/>
              <w:left w:val="single" w:color="auto" w:sz="2" w:space="0"/>
              <w:bottom w:val="single" w:color="auto" w:sz="2" w:space="0"/>
              <w:right w:val="single" w:color="auto" w:sz="2" w:space="0"/>
            </w:tcBorders>
            <w:vAlign w:val="center"/>
          </w:tcPr>
          <w:p w14:paraId="073D9AA7">
            <w:pPr>
              <w:spacing w:line="240" w:lineRule="exact"/>
              <w:jc w:val="right"/>
              <w:rPr>
                <w:rFonts w:ascii="宋体" w:hAnsi="宋体" w:eastAsia="宋体" w:cs="宋体"/>
                <w:sz w:val="18"/>
                <w:szCs w:val="18"/>
              </w:rPr>
            </w:pPr>
            <w:r>
              <w:rPr>
                <w:rFonts w:ascii="宋体" w:hAnsi="宋体" w:eastAsia="宋体" w:cs="宋体"/>
                <w:sz w:val="18"/>
                <w:szCs w:val="18"/>
              </w:rPr>
              <w:t>5,079,703.46</w:t>
            </w:r>
          </w:p>
        </w:tc>
      </w:tr>
      <w:tr w14:paraId="59AA7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F039B25">
            <w:pPr>
              <w:spacing w:before="40" w:after="40" w:line="240" w:lineRule="exact"/>
              <w:rPr>
                <w:rFonts w:ascii="宋体" w:hAnsi="宋体" w:eastAsia="宋体" w:cs="宋体"/>
                <w:sz w:val="18"/>
                <w:szCs w:val="18"/>
              </w:rPr>
            </w:pPr>
            <w:r>
              <w:rPr>
                <w:rFonts w:ascii="宋体" w:hAnsi="宋体" w:eastAsia="宋体" w:cs="宋体"/>
                <w:sz w:val="18"/>
                <w:szCs w:val="18"/>
              </w:rPr>
              <w:t>归属于上市公司股东的扣除非经常性损益的净利润</w:t>
            </w:r>
          </w:p>
        </w:tc>
        <w:tc>
          <w:tcPr>
            <w:tcW w:w="1928" w:type="dxa"/>
            <w:tcBorders>
              <w:top w:val="single" w:color="auto" w:sz="2" w:space="0"/>
              <w:left w:val="single" w:color="auto" w:sz="2" w:space="0"/>
              <w:bottom w:val="single" w:color="auto" w:sz="2" w:space="0"/>
              <w:right w:val="single" w:color="auto" w:sz="2" w:space="0"/>
            </w:tcBorders>
            <w:vAlign w:val="center"/>
          </w:tcPr>
          <w:p w14:paraId="74907919">
            <w:pPr>
              <w:spacing w:line="240" w:lineRule="exact"/>
              <w:jc w:val="right"/>
              <w:rPr>
                <w:rFonts w:ascii="宋体" w:hAnsi="宋体" w:eastAsia="宋体" w:cs="宋体"/>
                <w:sz w:val="18"/>
                <w:szCs w:val="18"/>
              </w:rPr>
            </w:pPr>
            <w:r>
              <w:rPr>
                <w:rFonts w:ascii="宋体" w:hAnsi="宋体" w:eastAsia="宋体" w:cs="宋体"/>
                <w:sz w:val="18"/>
                <w:szCs w:val="18"/>
              </w:rPr>
              <w:t>-4,652,174.14</w:t>
            </w:r>
          </w:p>
        </w:tc>
        <w:tc>
          <w:tcPr>
            <w:tcW w:w="1928" w:type="dxa"/>
            <w:tcBorders>
              <w:top w:val="single" w:color="auto" w:sz="2" w:space="0"/>
              <w:left w:val="single" w:color="auto" w:sz="2" w:space="0"/>
              <w:bottom w:val="single" w:color="auto" w:sz="2" w:space="0"/>
              <w:right w:val="single" w:color="auto" w:sz="2" w:space="0"/>
            </w:tcBorders>
            <w:vAlign w:val="center"/>
          </w:tcPr>
          <w:p w14:paraId="6F3653B7">
            <w:pPr>
              <w:spacing w:line="240" w:lineRule="exact"/>
              <w:jc w:val="right"/>
              <w:rPr>
                <w:rFonts w:ascii="宋体" w:hAnsi="宋体" w:eastAsia="宋体" w:cs="宋体"/>
                <w:sz w:val="18"/>
                <w:szCs w:val="18"/>
              </w:rPr>
            </w:pPr>
            <w:r>
              <w:rPr>
                <w:rFonts w:ascii="宋体" w:hAnsi="宋体" w:eastAsia="宋体" w:cs="宋体"/>
                <w:sz w:val="18"/>
                <w:szCs w:val="18"/>
              </w:rPr>
              <w:t>-49,790,358.84</w:t>
            </w:r>
          </w:p>
        </w:tc>
        <w:tc>
          <w:tcPr>
            <w:tcW w:w="1928" w:type="dxa"/>
            <w:tcBorders>
              <w:top w:val="single" w:color="auto" w:sz="2" w:space="0"/>
              <w:left w:val="single" w:color="auto" w:sz="2" w:space="0"/>
              <w:bottom w:val="single" w:color="auto" w:sz="2" w:space="0"/>
              <w:right w:val="single" w:color="auto" w:sz="2" w:space="0"/>
            </w:tcBorders>
            <w:vAlign w:val="center"/>
          </w:tcPr>
          <w:p w14:paraId="39F84EF4">
            <w:pPr>
              <w:spacing w:line="240" w:lineRule="exact"/>
              <w:jc w:val="right"/>
              <w:rPr>
                <w:rFonts w:ascii="宋体" w:hAnsi="宋体" w:eastAsia="宋体" w:cs="宋体"/>
                <w:sz w:val="18"/>
                <w:szCs w:val="18"/>
              </w:rPr>
            </w:pPr>
            <w:r>
              <w:rPr>
                <w:rFonts w:ascii="宋体" w:hAnsi="宋体" w:eastAsia="宋体" w:cs="宋体"/>
                <w:sz w:val="18"/>
                <w:szCs w:val="18"/>
              </w:rPr>
              <w:t>-41,893,985.61</w:t>
            </w:r>
          </w:p>
        </w:tc>
        <w:tc>
          <w:tcPr>
            <w:tcW w:w="1928" w:type="dxa"/>
            <w:tcBorders>
              <w:top w:val="single" w:color="auto" w:sz="2" w:space="0"/>
              <w:left w:val="single" w:color="auto" w:sz="2" w:space="0"/>
              <w:bottom w:val="single" w:color="auto" w:sz="2" w:space="0"/>
              <w:right w:val="single" w:color="auto" w:sz="2" w:space="0"/>
            </w:tcBorders>
            <w:vAlign w:val="center"/>
          </w:tcPr>
          <w:p w14:paraId="7BE5EF4D">
            <w:pPr>
              <w:spacing w:line="240" w:lineRule="exact"/>
              <w:jc w:val="right"/>
              <w:rPr>
                <w:rFonts w:ascii="宋体" w:hAnsi="宋体" w:eastAsia="宋体" w:cs="宋体"/>
                <w:sz w:val="18"/>
                <w:szCs w:val="18"/>
              </w:rPr>
            </w:pPr>
            <w:r>
              <w:rPr>
                <w:rFonts w:ascii="宋体" w:hAnsi="宋体" w:eastAsia="宋体" w:cs="宋体"/>
                <w:sz w:val="18"/>
                <w:szCs w:val="18"/>
              </w:rPr>
              <w:t>22,411,621.49</w:t>
            </w:r>
          </w:p>
        </w:tc>
      </w:tr>
      <w:tr w14:paraId="7A8D5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FBCEF04">
            <w:pPr>
              <w:spacing w:before="40" w:after="40" w:line="240" w:lineRule="exact"/>
              <w:rPr>
                <w:rFonts w:ascii="宋体" w:hAnsi="宋体" w:eastAsia="宋体" w:cs="宋体"/>
                <w:sz w:val="18"/>
                <w:szCs w:val="18"/>
              </w:rPr>
            </w:pPr>
            <w:r>
              <w:rPr>
                <w:rFonts w:ascii="宋体" w:hAnsi="宋体" w:eastAsia="宋体" w:cs="宋体"/>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14:paraId="3A40EB4F">
            <w:pPr>
              <w:spacing w:line="240" w:lineRule="exact"/>
              <w:jc w:val="right"/>
              <w:rPr>
                <w:rFonts w:ascii="宋体" w:hAnsi="宋体" w:eastAsia="宋体" w:cs="宋体"/>
                <w:sz w:val="18"/>
                <w:szCs w:val="18"/>
              </w:rPr>
            </w:pPr>
            <w:r>
              <w:rPr>
                <w:rFonts w:ascii="宋体" w:hAnsi="宋体" w:eastAsia="宋体" w:cs="宋体"/>
                <w:sz w:val="18"/>
                <w:szCs w:val="18"/>
              </w:rPr>
              <w:t>63,519,105.49</w:t>
            </w:r>
          </w:p>
        </w:tc>
        <w:tc>
          <w:tcPr>
            <w:tcW w:w="1928" w:type="dxa"/>
            <w:tcBorders>
              <w:top w:val="single" w:color="auto" w:sz="2" w:space="0"/>
              <w:left w:val="single" w:color="auto" w:sz="2" w:space="0"/>
              <w:bottom w:val="single" w:color="auto" w:sz="2" w:space="0"/>
              <w:right w:val="single" w:color="auto" w:sz="2" w:space="0"/>
            </w:tcBorders>
            <w:vAlign w:val="center"/>
          </w:tcPr>
          <w:p w14:paraId="083D87F8">
            <w:pPr>
              <w:spacing w:line="240" w:lineRule="exact"/>
              <w:jc w:val="right"/>
              <w:rPr>
                <w:rFonts w:ascii="宋体" w:hAnsi="宋体" w:eastAsia="宋体" w:cs="宋体"/>
                <w:sz w:val="18"/>
                <w:szCs w:val="18"/>
              </w:rPr>
            </w:pPr>
            <w:r>
              <w:rPr>
                <w:rFonts w:ascii="宋体" w:hAnsi="宋体" w:eastAsia="宋体" w:cs="宋体"/>
                <w:sz w:val="18"/>
                <w:szCs w:val="18"/>
              </w:rPr>
              <w:t>1,169,009,710.59</w:t>
            </w:r>
          </w:p>
        </w:tc>
        <w:tc>
          <w:tcPr>
            <w:tcW w:w="1928" w:type="dxa"/>
            <w:tcBorders>
              <w:top w:val="single" w:color="auto" w:sz="2" w:space="0"/>
              <w:left w:val="single" w:color="auto" w:sz="2" w:space="0"/>
              <w:bottom w:val="single" w:color="auto" w:sz="2" w:space="0"/>
              <w:right w:val="single" w:color="auto" w:sz="2" w:space="0"/>
            </w:tcBorders>
            <w:vAlign w:val="center"/>
          </w:tcPr>
          <w:p w14:paraId="16702FFA">
            <w:pPr>
              <w:spacing w:line="240" w:lineRule="exact"/>
              <w:jc w:val="right"/>
              <w:rPr>
                <w:rFonts w:ascii="宋体" w:hAnsi="宋体" w:eastAsia="宋体" w:cs="宋体"/>
                <w:sz w:val="18"/>
                <w:szCs w:val="18"/>
              </w:rPr>
            </w:pPr>
            <w:r>
              <w:rPr>
                <w:rFonts w:ascii="宋体" w:hAnsi="宋体" w:eastAsia="宋体" w:cs="宋体"/>
                <w:sz w:val="18"/>
                <w:szCs w:val="18"/>
              </w:rPr>
              <w:t>390,442,904.03</w:t>
            </w:r>
          </w:p>
        </w:tc>
        <w:tc>
          <w:tcPr>
            <w:tcW w:w="1928" w:type="dxa"/>
            <w:tcBorders>
              <w:top w:val="single" w:color="auto" w:sz="2" w:space="0"/>
              <w:left w:val="single" w:color="auto" w:sz="2" w:space="0"/>
              <w:bottom w:val="single" w:color="auto" w:sz="2" w:space="0"/>
              <w:right w:val="single" w:color="auto" w:sz="2" w:space="0"/>
            </w:tcBorders>
            <w:vAlign w:val="center"/>
          </w:tcPr>
          <w:p w14:paraId="218CD51C">
            <w:pPr>
              <w:spacing w:line="240" w:lineRule="exact"/>
              <w:jc w:val="right"/>
              <w:rPr>
                <w:rFonts w:ascii="宋体" w:hAnsi="宋体" w:eastAsia="宋体" w:cs="宋体"/>
                <w:sz w:val="18"/>
                <w:szCs w:val="18"/>
              </w:rPr>
            </w:pPr>
            <w:r>
              <w:rPr>
                <w:rFonts w:ascii="宋体" w:hAnsi="宋体" w:eastAsia="宋体" w:cs="宋体"/>
                <w:sz w:val="18"/>
                <w:szCs w:val="18"/>
              </w:rPr>
              <w:t>-154,111,028.26</w:t>
            </w:r>
          </w:p>
        </w:tc>
      </w:tr>
    </w:tbl>
    <w:p w14:paraId="73847384">
      <w:pPr>
        <w:spacing w:before="100" w:after="100" w:line="240" w:lineRule="exact"/>
        <w:rPr>
          <w:rFonts w:ascii="宋体" w:hAnsi="宋体" w:eastAsia="宋体" w:cs="宋体"/>
          <w:sz w:val="18"/>
          <w:szCs w:val="18"/>
        </w:rPr>
      </w:pPr>
      <w:r>
        <w:rPr>
          <w:rFonts w:ascii="宋体" w:hAnsi="宋体" w:eastAsia="宋体" w:cs="宋体"/>
          <w:sz w:val="18"/>
          <w:szCs w:val="18"/>
        </w:rPr>
        <w:t>上述财务指标或其加总数是否与公司已披露季度报告、半年度报告相关财务指标存在重大差异</w:t>
      </w:r>
    </w:p>
    <w:p w14:paraId="1E100805">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14:paraId="056ECF91">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sz w:val="18"/>
          <w:szCs w:val="18"/>
        </w:rPr>
      </w:pPr>
      <w:r>
        <w:rPr>
          <w:rFonts w:hint="eastAsia"/>
          <w:sz w:val="18"/>
          <w:szCs w:val="18"/>
        </w:rPr>
        <w:t>公司在近期财务自查及2025年度审计过程中，基于谨慎性原则，将公司部分贸易业务收入确认方法由总额法调整为净额法，对2025年第一季度报告、2025年半年度报告及2025年第三季度报告会计差错进行更正。详见公司于2026年4月29日披露在《证券时报》、《中国证券报》及巨潮资讯网(http://www.cninfo.com.cn)上的《关于前期会计差错更正的公告》</w:t>
      </w:r>
    </w:p>
    <w:p w14:paraId="1836196D">
      <w:pPr>
        <w:pStyle w:val="2"/>
        <w:spacing w:before="300" w:after="300" w:line="320" w:lineRule="exact"/>
        <w:rPr>
          <w:rFonts w:ascii="宋体" w:hAnsi="宋体" w:eastAsia="宋体" w:cs="宋体"/>
          <w:b/>
          <w:bCs/>
          <w:sz w:val="24"/>
          <w:szCs w:val="24"/>
        </w:rPr>
      </w:pPr>
      <w:bookmarkStart w:id="12" w:name="_Toc988901"/>
      <w:r>
        <w:rPr>
          <w:rFonts w:ascii="宋体" w:hAnsi="宋体" w:eastAsia="宋体" w:cs="宋体"/>
          <w:b/>
          <w:bCs/>
          <w:sz w:val="24"/>
          <w:szCs w:val="24"/>
        </w:rPr>
        <w:t>九、非经常性损益项目及金额</w:t>
      </w:r>
      <w:bookmarkEnd w:id="12"/>
    </w:p>
    <w:p w14:paraId="08F89F7D">
      <w:pPr>
        <w:spacing w:before="40" w:after="4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3B5BCD74">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969"/>
        <w:gridCol w:w="1654"/>
        <w:gridCol w:w="1654"/>
        <w:gridCol w:w="1654"/>
        <w:gridCol w:w="708"/>
      </w:tblGrid>
      <w:tr w14:paraId="18F7C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14:paraId="0EADA75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54" w:type="dxa"/>
            <w:tcBorders>
              <w:top w:val="single" w:color="auto" w:sz="2" w:space="0"/>
              <w:left w:val="single" w:color="auto" w:sz="2" w:space="0"/>
              <w:bottom w:val="single" w:color="auto" w:sz="2" w:space="0"/>
              <w:right w:val="single" w:color="auto" w:sz="2" w:space="0"/>
            </w:tcBorders>
            <w:shd w:val="clear" w:color="auto" w:fill="D3D3D3"/>
            <w:vAlign w:val="center"/>
          </w:tcPr>
          <w:p w14:paraId="4149C3BC">
            <w:pPr>
              <w:spacing w:before="40" w:after="40" w:line="240" w:lineRule="exact"/>
              <w:jc w:val="center"/>
              <w:rPr>
                <w:rFonts w:ascii="宋体" w:hAnsi="宋体" w:eastAsia="宋体" w:cs="宋体"/>
                <w:sz w:val="18"/>
                <w:szCs w:val="18"/>
              </w:rPr>
            </w:pPr>
            <w:r>
              <w:rPr>
                <w:rFonts w:ascii="宋体" w:hAnsi="宋体" w:eastAsia="宋体" w:cs="宋体"/>
                <w:sz w:val="18"/>
                <w:szCs w:val="18"/>
              </w:rPr>
              <w:t>2025年金额</w:t>
            </w:r>
          </w:p>
        </w:tc>
        <w:tc>
          <w:tcPr>
            <w:tcW w:w="1654" w:type="dxa"/>
            <w:tcBorders>
              <w:top w:val="single" w:color="auto" w:sz="2" w:space="0"/>
              <w:left w:val="single" w:color="auto" w:sz="2" w:space="0"/>
              <w:bottom w:val="single" w:color="auto" w:sz="2" w:space="0"/>
              <w:right w:val="single" w:color="auto" w:sz="2" w:space="0"/>
            </w:tcBorders>
            <w:shd w:val="clear" w:color="auto" w:fill="D3D3D3"/>
            <w:vAlign w:val="center"/>
          </w:tcPr>
          <w:p w14:paraId="270F589C">
            <w:pPr>
              <w:spacing w:before="40" w:after="40" w:line="240" w:lineRule="exact"/>
              <w:jc w:val="center"/>
              <w:rPr>
                <w:rFonts w:ascii="宋体" w:hAnsi="宋体" w:eastAsia="宋体" w:cs="宋体"/>
                <w:sz w:val="18"/>
                <w:szCs w:val="18"/>
              </w:rPr>
            </w:pPr>
            <w:r>
              <w:rPr>
                <w:rFonts w:ascii="宋体" w:hAnsi="宋体" w:eastAsia="宋体" w:cs="宋体"/>
                <w:sz w:val="18"/>
                <w:szCs w:val="18"/>
              </w:rPr>
              <w:t>2024年金额</w:t>
            </w:r>
          </w:p>
        </w:tc>
        <w:tc>
          <w:tcPr>
            <w:tcW w:w="1654" w:type="dxa"/>
            <w:tcBorders>
              <w:top w:val="single" w:color="auto" w:sz="2" w:space="0"/>
              <w:left w:val="single" w:color="auto" w:sz="2" w:space="0"/>
              <w:bottom w:val="single" w:color="auto" w:sz="2" w:space="0"/>
              <w:right w:val="single" w:color="auto" w:sz="2" w:space="0"/>
            </w:tcBorders>
            <w:shd w:val="clear" w:color="auto" w:fill="D3D3D3"/>
            <w:vAlign w:val="center"/>
          </w:tcPr>
          <w:p w14:paraId="4B4BBE42">
            <w:pPr>
              <w:spacing w:before="40" w:after="40" w:line="240" w:lineRule="exact"/>
              <w:jc w:val="center"/>
              <w:rPr>
                <w:rFonts w:ascii="宋体" w:hAnsi="宋体" w:eastAsia="宋体" w:cs="宋体"/>
                <w:sz w:val="18"/>
                <w:szCs w:val="18"/>
              </w:rPr>
            </w:pPr>
            <w:r>
              <w:rPr>
                <w:rFonts w:ascii="宋体" w:hAnsi="宋体" w:eastAsia="宋体" w:cs="宋体"/>
                <w:sz w:val="18"/>
                <w:szCs w:val="18"/>
              </w:rPr>
              <w:t>2023年金额</w:t>
            </w: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14:paraId="03F58C9F">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14:paraId="60EE6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14:paraId="1A573334">
            <w:pPr>
              <w:spacing w:before="40" w:after="40" w:line="240" w:lineRule="exact"/>
              <w:rPr>
                <w:rFonts w:ascii="宋体" w:hAnsi="宋体" w:eastAsia="宋体" w:cs="宋体"/>
                <w:sz w:val="18"/>
                <w:szCs w:val="18"/>
              </w:rPr>
            </w:pPr>
            <w:r>
              <w:rPr>
                <w:rFonts w:ascii="宋体" w:hAnsi="宋体" w:eastAsia="宋体" w:cs="宋体"/>
                <w:sz w:val="18"/>
                <w:szCs w:val="18"/>
              </w:rPr>
              <w:t>非流动性资产处置损益（包括已计提资产减值准备的冲销部分）</w:t>
            </w:r>
          </w:p>
        </w:tc>
        <w:tc>
          <w:tcPr>
            <w:tcW w:w="1654" w:type="dxa"/>
            <w:tcBorders>
              <w:top w:val="single" w:color="auto" w:sz="2" w:space="0"/>
              <w:left w:val="single" w:color="auto" w:sz="2" w:space="0"/>
              <w:bottom w:val="single" w:color="auto" w:sz="2" w:space="0"/>
              <w:right w:val="single" w:color="auto" w:sz="2" w:space="0"/>
            </w:tcBorders>
            <w:vAlign w:val="center"/>
          </w:tcPr>
          <w:p w14:paraId="5BCF765F">
            <w:pPr>
              <w:spacing w:line="240" w:lineRule="exact"/>
              <w:jc w:val="right"/>
              <w:rPr>
                <w:rFonts w:ascii="宋体" w:hAnsi="宋体" w:eastAsia="宋体" w:cs="宋体"/>
                <w:sz w:val="18"/>
                <w:szCs w:val="18"/>
              </w:rPr>
            </w:pPr>
            <w:r>
              <w:rPr>
                <w:rFonts w:ascii="宋体" w:hAnsi="宋体" w:eastAsia="宋体" w:cs="宋体"/>
                <w:sz w:val="18"/>
                <w:szCs w:val="18"/>
              </w:rPr>
              <w:t>11,425,239.16</w:t>
            </w:r>
          </w:p>
        </w:tc>
        <w:tc>
          <w:tcPr>
            <w:tcW w:w="1654" w:type="dxa"/>
            <w:tcBorders>
              <w:top w:val="single" w:color="auto" w:sz="2" w:space="0"/>
              <w:left w:val="single" w:color="auto" w:sz="2" w:space="0"/>
              <w:bottom w:val="single" w:color="auto" w:sz="2" w:space="0"/>
              <w:right w:val="single" w:color="auto" w:sz="2" w:space="0"/>
            </w:tcBorders>
            <w:vAlign w:val="center"/>
          </w:tcPr>
          <w:p w14:paraId="08F4C77C">
            <w:pPr>
              <w:spacing w:line="240" w:lineRule="exact"/>
              <w:jc w:val="right"/>
              <w:rPr>
                <w:rFonts w:ascii="宋体" w:hAnsi="宋体" w:eastAsia="宋体" w:cs="宋体"/>
                <w:sz w:val="18"/>
                <w:szCs w:val="18"/>
              </w:rPr>
            </w:pPr>
            <w:r>
              <w:rPr>
                <w:rFonts w:ascii="宋体" w:hAnsi="宋体" w:eastAsia="宋体" w:cs="宋体"/>
                <w:sz w:val="18"/>
                <w:szCs w:val="18"/>
              </w:rPr>
              <w:t>40,537,148.81</w:t>
            </w:r>
          </w:p>
        </w:tc>
        <w:tc>
          <w:tcPr>
            <w:tcW w:w="1654" w:type="dxa"/>
            <w:tcBorders>
              <w:top w:val="single" w:color="auto" w:sz="2" w:space="0"/>
              <w:left w:val="single" w:color="auto" w:sz="2" w:space="0"/>
              <w:bottom w:val="single" w:color="auto" w:sz="2" w:space="0"/>
              <w:right w:val="single" w:color="auto" w:sz="2" w:space="0"/>
            </w:tcBorders>
            <w:vAlign w:val="center"/>
          </w:tcPr>
          <w:p w14:paraId="38F2ACA5">
            <w:pPr>
              <w:spacing w:line="240" w:lineRule="exact"/>
              <w:jc w:val="right"/>
              <w:rPr>
                <w:rFonts w:ascii="宋体" w:hAnsi="宋体" w:eastAsia="宋体" w:cs="宋体"/>
                <w:sz w:val="18"/>
                <w:szCs w:val="18"/>
              </w:rPr>
            </w:pPr>
            <w:r>
              <w:rPr>
                <w:rFonts w:ascii="宋体" w:hAnsi="宋体" w:eastAsia="宋体" w:cs="宋体"/>
                <w:sz w:val="18"/>
                <w:szCs w:val="18"/>
              </w:rPr>
              <w:t>174,483,688.35</w:t>
            </w:r>
          </w:p>
        </w:tc>
        <w:tc>
          <w:tcPr>
            <w:tcW w:w="708" w:type="dxa"/>
            <w:tcBorders>
              <w:top w:val="single" w:color="auto" w:sz="2" w:space="0"/>
              <w:left w:val="single" w:color="auto" w:sz="2" w:space="0"/>
              <w:bottom w:val="single" w:color="auto" w:sz="2" w:space="0"/>
              <w:right w:val="single" w:color="auto" w:sz="2" w:space="0"/>
            </w:tcBorders>
            <w:vAlign w:val="center"/>
          </w:tcPr>
          <w:p w14:paraId="61E66C77">
            <w:pPr>
              <w:spacing w:line="240" w:lineRule="exact"/>
              <w:rPr>
                <w:rFonts w:ascii="宋体" w:hAnsi="宋体" w:eastAsia="宋体" w:cs="宋体"/>
                <w:sz w:val="18"/>
                <w:szCs w:val="18"/>
              </w:rPr>
            </w:pPr>
          </w:p>
        </w:tc>
      </w:tr>
      <w:tr w14:paraId="562F9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14:paraId="346A9926">
            <w:pPr>
              <w:spacing w:before="40" w:after="40" w:line="240" w:lineRule="exac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1654" w:type="dxa"/>
            <w:tcBorders>
              <w:top w:val="single" w:color="auto" w:sz="2" w:space="0"/>
              <w:left w:val="single" w:color="auto" w:sz="2" w:space="0"/>
              <w:bottom w:val="single" w:color="auto" w:sz="2" w:space="0"/>
              <w:right w:val="single" w:color="auto" w:sz="2" w:space="0"/>
            </w:tcBorders>
            <w:vAlign w:val="center"/>
          </w:tcPr>
          <w:p w14:paraId="11FDF9FA">
            <w:pPr>
              <w:spacing w:line="240" w:lineRule="exact"/>
              <w:jc w:val="right"/>
              <w:rPr>
                <w:rFonts w:ascii="宋体" w:hAnsi="宋体" w:eastAsia="宋体" w:cs="宋体"/>
                <w:sz w:val="18"/>
                <w:szCs w:val="18"/>
              </w:rPr>
            </w:pPr>
            <w:r>
              <w:rPr>
                <w:rFonts w:ascii="宋体" w:hAnsi="宋体" w:eastAsia="宋体" w:cs="宋体"/>
                <w:sz w:val="18"/>
                <w:szCs w:val="18"/>
              </w:rPr>
              <w:t>90,675,044.44</w:t>
            </w:r>
          </w:p>
        </w:tc>
        <w:tc>
          <w:tcPr>
            <w:tcW w:w="1654" w:type="dxa"/>
            <w:tcBorders>
              <w:top w:val="single" w:color="auto" w:sz="2" w:space="0"/>
              <w:left w:val="single" w:color="auto" w:sz="2" w:space="0"/>
              <w:bottom w:val="single" w:color="auto" w:sz="2" w:space="0"/>
              <w:right w:val="single" w:color="auto" w:sz="2" w:space="0"/>
            </w:tcBorders>
            <w:vAlign w:val="center"/>
          </w:tcPr>
          <w:p w14:paraId="54300136">
            <w:pPr>
              <w:spacing w:line="240" w:lineRule="exact"/>
              <w:jc w:val="right"/>
              <w:rPr>
                <w:rFonts w:ascii="宋体" w:hAnsi="宋体" w:eastAsia="宋体" w:cs="宋体"/>
                <w:sz w:val="18"/>
                <w:szCs w:val="18"/>
              </w:rPr>
            </w:pPr>
            <w:r>
              <w:rPr>
                <w:rFonts w:ascii="宋体" w:hAnsi="宋体" w:eastAsia="宋体" w:cs="宋体"/>
                <w:sz w:val="18"/>
                <w:szCs w:val="18"/>
              </w:rPr>
              <w:t>81,152,685.23</w:t>
            </w:r>
          </w:p>
        </w:tc>
        <w:tc>
          <w:tcPr>
            <w:tcW w:w="1654" w:type="dxa"/>
            <w:tcBorders>
              <w:top w:val="single" w:color="auto" w:sz="2" w:space="0"/>
              <w:left w:val="single" w:color="auto" w:sz="2" w:space="0"/>
              <w:bottom w:val="single" w:color="auto" w:sz="2" w:space="0"/>
              <w:right w:val="single" w:color="auto" w:sz="2" w:space="0"/>
            </w:tcBorders>
            <w:vAlign w:val="center"/>
          </w:tcPr>
          <w:p w14:paraId="4455A6A7">
            <w:pPr>
              <w:spacing w:line="240" w:lineRule="exact"/>
              <w:jc w:val="right"/>
              <w:rPr>
                <w:rFonts w:ascii="宋体" w:hAnsi="宋体" w:eastAsia="宋体" w:cs="宋体"/>
                <w:sz w:val="18"/>
                <w:szCs w:val="18"/>
              </w:rPr>
            </w:pPr>
            <w:r>
              <w:rPr>
                <w:rFonts w:ascii="宋体" w:hAnsi="宋体" w:eastAsia="宋体" w:cs="宋体"/>
                <w:sz w:val="18"/>
                <w:szCs w:val="18"/>
              </w:rPr>
              <w:t>199,259,485.30</w:t>
            </w:r>
          </w:p>
        </w:tc>
        <w:tc>
          <w:tcPr>
            <w:tcW w:w="708" w:type="dxa"/>
            <w:tcBorders>
              <w:top w:val="single" w:color="auto" w:sz="2" w:space="0"/>
              <w:left w:val="single" w:color="auto" w:sz="2" w:space="0"/>
              <w:bottom w:val="single" w:color="auto" w:sz="2" w:space="0"/>
              <w:right w:val="single" w:color="auto" w:sz="2" w:space="0"/>
            </w:tcBorders>
            <w:vAlign w:val="center"/>
          </w:tcPr>
          <w:p w14:paraId="7899726A">
            <w:pPr>
              <w:spacing w:line="240" w:lineRule="exact"/>
              <w:rPr>
                <w:rFonts w:ascii="宋体" w:hAnsi="宋体" w:eastAsia="宋体" w:cs="宋体"/>
                <w:sz w:val="18"/>
                <w:szCs w:val="18"/>
              </w:rPr>
            </w:pPr>
          </w:p>
        </w:tc>
      </w:tr>
      <w:tr w14:paraId="40CFC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14:paraId="09D067B8">
            <w:pPr>
              <w:spacing w:before="40" w:after="40" w:line="240" w:lineRule="exact"/>
              <w:rPr>
                <w:rFonts w:ascii="宋体" w:hAnsi="宋体" w:eastAsia="宋体" w:cs="宋体"/>
                <w:sz w:val="18"/>
                <w:szCs w:val="18"/>
              </w:rPr>
            </w:pPr>
            <w:r>
              <w:rPr>
                <w:rFonts w:ascii="宋体" w:hAnsi="宋体" w:eastAsia="宋体" w:cs="宋体"/>
                <w:sz w:val="18"/>
                <w:szCs w:val="18"/>
              </w:rPr>
              <w:t>除同公司正常经营业务相关的有效套期保值业务外，非金融企业持有金融资产和金融负债产生的公允价值变动损益以及处置金融资产和金融负债产生的损益</w:t>
            </w:r>
          </w:p>
        </w:tc>
        <w:tc>
          <w:tcPr>
            <w:tcW w:w="1654" w:type="dxa"/>
            <w:tcBorders>
              <w:top w:val="single" w:color="auto" w:sz="2" w:space="0"/>
              <w:left w:val="single" w:color="auto" w:sz="2" w:space="0"/>
              <w:bottom w:val="single" w:color="auto" w:sz="2" w:space="0"/>
              <w:right w:val="single" w:color="auto" w:sz="2" w:space="0"/>
            </w:tcBorders>
            <w:vAlign w:val="center"/>
          </w:tcPr>
          <w:p w14:paraId="118A552A">
            <w:pPr>
              <w:spacing w:line="240" w:lineRule="exact"/>
              <w:jc w:val="right"/>
              <w:rPr>
                <w:rFonts w:ascii="宋体" w:hAnsi="宋体" w:eastAsia="宋体" w:cs="宋体"/>
                <w:sz w:val="18"/>
                <w:szCs w:val="18"/>
              </w:rPr>
            </w:pPr>
            <w:r>
              <w:rPr>
                <w:rFonts w:ascii="宋体" w:hAnsi="宋体" w:eastAsia="宋体" w:cs="宋体"/>
                <w:sz w:val="18"/>
                <w:szCs w:val="18"/>
              </w:rPr>
              <w:t>2,471,804.38</w:t>
            </w:r>
          </w:p>
        </w:tc>
        <w:tc>
          <w:tcPr>
            <w:tcW w:w="1654" w:type="dxa"/>
            <w:tcBorders>
              <w:top w:val="single" w:color="auto" w:sz="2" w:space="0"/>
              <w:left w:val="single" w:color="auto" w:sz="2" w:space="0"/>
              <w:bottom w:val="single" w:color="auto" w:sz="2" w:space="0"/>
              <w:right w:val="single" w:color="auto" w:sz="2" w:space="0"/>
            </w:tcBorders>
            <w:vAlign w:val="center"/>
          </w:tcPr>
          <w:p w14:paraId="52756028">
            <w:pPr>
              <w:spacing w:line="240" w:lineRule="exact"/>
              <w:jc w:val="right"/>
              <w:rPr>
                <w:rFonts w:ascii="宋体" w:hAnsi="宋体" w:eastAsia="宋体" w:cs="宋体"/>
                <w:sz w:val="18"/>
                <w:szCs w:val="18"/>
              </w:rPr>
            </w:pPr>
            <w:r>
              <w:rPr>
                <w:rFonts w:ascii="宋体" w:hAnsi="宋体" w:eastAsia="宋体" w:cs="宋体"/>
                <w:sz w:val="18"/>
                <w:szCs w:val="18"/>
              </w:rPr>
              <w:t>207,118.39</w:t>
            </w:r>
          </w:p>
        </w:tc>
        <w:tc>
          <w:tcPr>
            <w:tcW w:w="1654" w:type="dxa"/>
            <w:tcBorders>
              <w:top w:val="single" w:color="auto" w:sz="2" w:space="0"/>
              <w:left w:val="single" w:color="auto" w:sz="2" w:space="0"/>
              <w:bottom w:val="single" w:color="auto" w:sz="2" w:space="0"/>
              <w:right w:val="single" w:color="auto" w:sz="2" w:space="0"/>
            </w:tcBorders>
            <w:vAlign w:val="center"/>
          </w:tcPr>
          <w:p w14:paraId="0C31CE45">
            <w:pPr>
              <w:spacing w:line="240" w:lineRule="exact"/>
              <w:jc w:val="right"/>
              <w:rPr>
                <w:rFonts w:ascii="宋体" w:hAnsi="宋体" w:eastAsia="宋体" w:cs="宋体"/>
                <w:sz w:val="18"/>
                <w:szCs w:val="18"/>
              </w:rPr>
            </w:pPr>
            <w:r>
              <w:rPr>
                <w:rFonts w:ascii="宋体" w:hAnsi="宋体" w:eastAsia="宋体" w:cs="宋体"/>
                <w:sz w:val="18"/>
                <w:szCs w:val="18"/>
              </w:rPr>
              <w:t>-16,425,097.75</w:t>
            </w:r>
          </w:p>
        </w:tc>
        <w:tc>
          <w:tcPr>
            <w:tcW w:w="708" w:type="dxa"/>
            <w:tcBorders>
              <w:top w:val="single" w:color="auto" w:sz="2" w:space="0"/>
              <w:left w:val="single" w:color="auto" w:sz="2" w:space="0"/>
              <w:bottom w:val="single" w:color="auto" w:sz="2" w:space="0"/>
              <w:right w:val="single" w:color="auto" w:sz="2" w:space="0"/>
            </w:tcBorders>
            <w:vAlign w:val="center"/>
          </w:tcPr>
          <w:p w14:paraId="254A092D">
            <w:pPr>
              <w:spacing w:line="240" w:lineRule="exact"/>
              <w:rPr>
                <w:rFonts w:ascii="宋体" w:hAnsi="宋体" w:eastAsia="宋体" w:cs="宋体"/>
                <w:sz w:val="18"/>
                <w:szCs w:val="18"/>
              </w:rPr>
            </w:pPr>
          </w:p>
        </w:tc>
      </w:tr>
      <w:tr w14:paraId="473A7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14:paraId="18CF1B24">
            <w:pPr>
              <w:spacing w:before="40" w:after="40" w:line="240" w:lineRule="exact"/>
              <w:rPr>
                <w:rFonts w:ascii="宋体" w:hAnsi="宋体" w:eastAsia="宋体" w:cs="宋体"/>
                <w:sz w:val="18"/>
                <w:szCs w:val="18"/>
              </w:rPr>
            </w:pPr>
            <w:r>
              <w:rPr>
                <w:rFonts w:ascii="宋体" w:hAnsi="宋体" w:eastAsia="宋体" w:cs="宋体"/>
                <w:sz w:val="18"/>
                <w:szCs w:val="18"/>
              </w:rPr>
              <w:t>委托他人投资或管理资产的损益</w:t>
            </w:r>
          </w:p>
        </w:tc>
        <w:tc>
          <w:tcPr>
            <w:tcW w:w="1654" w:type="dxa"/>
            <w:tcBorders>
              <w:top w:val="single" w:color="auto" w:sz="2" w:space="0"/>
              <w:left w:val="single" w:color="auto" w:sz="2" w:space="0"/>
              <w:bottom w:val="single" w:color="auto" w:sz="2" w:space="0"/>
              <w:right w:val="single" w:color="auto" w:sz="2" w:space="0"/>
            </w:tcBorders>
            <w:vAlign w:val="center"/>
          </w:tcPr>
          <w:p w14:paraId="687B03BF">
            <w:pPr>
              <w:spacing w:line="240" w:lineRule="exact"/>
              <w:jc w:val="right"/>
              <w:rPr>
                <w:rFonts w:ascii="宋体" w:hAnsi="宋体" w:eastAsia="宋体" w:cs="宋体"/>
                <w:sz w:val="18"/>
                <w:szCs w:val="18"/>
              </w:rPr>
            </w:pPr>
            <w:r>
              <w:rPr>
                <w:rFonts w:ascii="宋体" w:hAnsi="宋体" w:eastAsia="宋体" w:cs="宋体"/>
                <w:sz w:val="18"/>
                <w:szCs w:val="18"/>
              </w:rPr>
              <w:t>30,626,421.41</w:t>
            </w:r>
          </w:p>
        </w:tc>
        <w:tc>
          <w:tcPr>
            <w:tcW w:w="1654" w:type="dxa"/>
            <w:tcBorders>
              <w:top w:val="single" w:color="auto" w:sz="2" w:space="0"/>
              <w:left w:val="single" w:color="auto" w:sz="2" w:space="0"/>
              <w:bottom w:val="single" w:color="auto" w:sz="2" w:space="0"/>
              <w:right w:val="single" w:color="auto" w:sz="2" w:space="0"/>
            </w:tcBorders>
            <w:vAlign w:val="center"/>
          </w:tcPr>
          <w:p w14:paraId="5200590C">
            <w:pPr>
              <w:spacing w:line="240" w:lineRule="exact"/>
              <w:jc w:val="right"/>
              <w:rPr>
                <w:rFonts w:ascii="宋体" w:hAnsi="宋体" w:eastAsia="宋体" w:cs="宋体"/>
                <w:sz w:val="18"/>
                <w:szCs w:val="18"/>
              </w:rPr>
            </w:pPr>
            <w:r>
              <w:rPr>
                <w:rFonts w:ascii="宋体" w:hAnsi="宋体" w:eastAsia="宋体" w:cs="宋体"/>
                <w:sz w:val="18"/>
                <w:szCs w:val="18"/>
              </w:rPr>
              <w:t>18,779,634.27</w:t>
            </w:r>
          </w:p>
        </w:tc>
        <w:tc>
          <w:tcPr>
            <w:tcW w:w="1654" w:type="dxa"/>
            <w:tcBorders>
              <w:top w:val="single" w:color="auto" w:sz="2" w:space="0"/>
              <w:left w:val="single" w:color="auto" w:sz="2" w:space="0"/>
              <w:bottom w:val="single" w:color="auto" w:sz="2" w:space="0"/>
              <w:right w:val="single" w:color="auto" w:sz="2" w:space="0"/>
            </w:tcBorders>
            <w:vAlign w:val="center"/>
          </w:tcPr>
          <w:p w14:paraId="09718223">
            <w:pPr>
              <w:spacing w:line="240" w:lineRule="exact"/>
              <w:jc w:val="right"/>
              <w:rPr>
                <w:rFonts w:ascii="宋体" w:hAnsi="宋体" w:eastAsia="宋体" w:cs="宋体"/>
                <w:sz w:val="18"/>
                <w:szCs w:val="18"/>
              </w:rPr>
            </w:pPr>
            <w:r>
              <w:rPr>
                <w:rFonts w:ascii="宋体" w:hAnsi="宋体" w:eastAsia="宋体" w:cs="宋体"/>
                <w:sz w:val="18"/>
                <w:szCs w:val="18"/>
              </w:rPr>
              <w:t>7,098,457.97</w:t>
            </w:r>
          </w:p>
        </w:tc>
        <w:tc>
          <w:tcPr>
            <w:tcW w:w="708" w:type="dxa"/>
            <w:tcBorders>
              <w:top w:val="single" w:color="auto" w:sz="2" w:space="0"/>
              <w:left w:val="single" w:color="auto" w:sz="2" w:space="0"/>
              <w:bottom w:val="single" w:color="auto" w:sz="2" w:space="0"/>
              <w:right w:val="single" w:color="auto" w:sz="2" w:space="0"/>
            </w:tcBorders>
            <w:vAlign w:val="center"/>
          </w:tcPr>
          <w:p w14:paraId="3F20C165">
            <w:pPr>
              <w:spacing w:line="240" w:lineRule="exact"/>
              <w:rPr>
                <w:rFonts w:ascii="宋体" w:hAnsi="宋体" w:eastAsia="宋体" w:cs="宋体"/>
                <w:sz w:val="18"/>
                <w:szCs w:val="18"/>
              </w:rPr>
            </w:pPr>
          </w:p>
        </w:tc>
      </w:tr>
      <w:tr w14:paraId="1DA4C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14:paraId="78CEBC7D">
            <w:pPr>
              <w:spacing w:before="40" w:after="40" w:line="240" w:lineRule="exact"/>
              <w:rPr>
                <w:rFonts w:ascii="宋体" w:hAnsi="宋体" w:eastAsia="宋体" w:cs="宋体"/>
                <w:sz w:val="18"/>
                <w:szCs w:val="18"/>
              </w:rPr>
            </w:pPr>
            <w:r>
              <w:rPr>
                <w:rFonts w:ascii="宋体" w:hAnsi="宋体" w:eastAsia="宋体" w:cs="宋体"/>
                <w:sz w:val="18"/>
                <w:szCs w:val="18"/>
              </w:rPr>
              <w:t>单独进行减值测试的应收款项减值准备转回</w:t>
            </w:r>
          </w:p>
        </w:tc>
        <w:tc>
          <w:tcPr>
            <w:tcW w:w="1654" w:type="dxa"/>
            <w:tcBorders>
              <w:top w:val="single" w:color="auto" w:sz="2" w:space="0"/>
              <w:left w:val="single" w:color="auto" w:sz="2" w:space="0"/>
              <w:bottom w:val="single" w:color="auto" w:sz="2" w:space="0"/>
              <w:right w:val="single" w:color="auto" w:sz="2" w:space="0"/>
            </w:tcBorders>
            <w:vAlign w:val="center"/>
          </w:tcPr>
          <w:p w14:paraId="52DC0DC3">
            <w:pPr>
              <w:spacing w:line="240" w:lineRule="exact"/>
              <w:jc w:val="right"/>
              <w:rPr>
                <w:rFonts w:ascii="宋体" w:hAnsi="宋体" w:eastAsia="宋体" w:cs="宋体"/>
                <w:sz w:val="18"/>
                <w:szCs w:val="18"/>
              </w:rPr>
            </w:pPr>
            <w:r>
              <w:rPr>
                <w:rFonts w:ascii="宋体" w:hAnsi="宋体" w:eastAsia="宋体" w:cs="宋体"/>
                <w:sz w:val="18"/>
                <w:szCs w:val="18"/>
              </w:rPr>
              <w:t>400,000.00</w:t>
            </w:r>
          </w:p>
        </w:tc>
        <w:tc>
          <w:tcPr>
            <w:tcW w:w="1654" w:type="dxa"/>
            <w:tcBorders>
              <w:top w:val="single" w:color="auto" w:sz="2" w:space="0"/>
              <w:left w:val="single" w:color="auto" w:sz="2" w:space="0"/>
              <w:bottom w:val="single" w:color="auto" w:sz="2" w:space="0"/>
              <w:right w:val="single" w:color="auto" w:sz="2" w:space="0"/>
            </w:tcBorders>
            <w:vAlign w:val="center"/>
          </w:tcPr>
          <w:p w14:paraId="45483B3A">
            <w:pPr>
              <w:spacing w:line="240" w:lineRule="exact"/>
              <w:jc w:val="right"/>
              <w:rPr>
                <w:rFonts w:ascii="宋体" w:hAnsi="宋体" w:eastAsia="宋体" w:cs="宋体"/>
                <w:sz w:val="18"/>
                <w:szCs w:val="18"/>
              </w:rPr>
            </w:pPr>
            <w:r>
              <w:rPr>
                <w:rFonts w:ascii="宋体" w:hAnsi="宋体" w:eastAsia="宋体" w:cs="宋体"/>
                <w:sz w:val="18"/>
                <w:szCs w:val="18"/>
              </w:rPr>
              <w:t>626,000.00</w:t>
            </w:r>
          </w:p>
        </w:tc>
        <w:tc>
          <w:tcPr>
            <w:tcW w:w="1654" w:type="dxa"/>
            <w:tcBorders>
              <w:top w:val="single" w:color="auto" w:sz="2" w:space="0"/>
              <w:left w:val="single" w:color="auto" w:sz="2" w:space="0"/>
              <w:bottom w:val="single" w:color="auto" w:sz="2" w:space="0"/>
              <w:right w:val="single" w:color="auto" w:sz="2" w:space="0"/>
            </w:tcBorders>
            <w:vAlign w:val="center"/>
          </w:tcPr>
          <w:p w14:paraId="3D0A46F8">
            <w:pPr>
              <w:spacing w:line="240" w:lineRule="exact"/>
              <w:jc w:val="right"/>
              <w:rPr>
                <w:rFonts w:ascii="宋体" w:hAnsi="宋体" w:eastAsia="宋体" w:cs="宋体"/>
                <w:sz w:val="18"/>
                <w:szCs w:val="18"/>
              </w:rPr>
            </w:pPr>
            <w:r>
              <w:rPr>
                <w:rFonts w:ascii="宋体" w:hAnsi="宋体" w:eastAsia="宋体" w:cs="宋体"/>
                <w:sz w:val="18"/>
                <w:szCs w:val="18"/>
              </w:rPr>
              <w:t>-2,583,115.46</w:t>
            </w:r>
          </w:p>
        </w:tc>
        <w:tc>
          <w:tcPr>
            <w:tcW w:w="708" w:type="dxa"/>
            <w:tcBorders>
              <w:top w:val="single" w:color="auto" w:sz="2" w:space="0"/>
              <w:left w:val="single" w:color="auto" w:sz="2" w:space="0"/>
              <w:bottom w:val="single" w:color="auto" w:sz="2" w:space="0"/>
              <w:right w:val="single" w:color="auto" w:sz="2" w:space="0"/>
            </w:tcBorders>
            <w:vAlign w:val="center"/>
          </w:tcPr>
          <w:p w14:paraId="3A5A24C4">
            <w:pPr>
              <w:spacing w:line="240" w:lineRule="exact"/>
              <w:rPr>
                <w:rFonts w:ascii="宋体" w:hAnsi="宋体" w:eastAsia="宋体" w:cs="宋体"/>
                <w:sz w:val="18"/>
                <w:szCs w:val="18"/>
              </w:rPr>
            </w:pPr>
          </w:p>
        </w:tc>
      </w:tr>
      <w:tr w14:paraId="26CF8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14:paraId="2372A76A">
            <w:pPr>
              <w:spacing w:before="40" w:after="40" w:line="240" w:lineRule="exac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1654" w:type="dxa"/>
            <w:tcBorders>
              <w:top w:val="single" w:color="auto" w:sz="2" w:space="0"/>
              <w:left w:val="single" w:color="auto" w:sz="2" w:space="0"/>
              <w:bottom w:val="single" w:color="auto" w:sz="2" w:space="0"/>
              <w:right w:val="single" w:color="auto" w:sz="2" w:space="0"/>
            </w:tcBorders>
            <w:vAlign w:val="center"/>
          </w:tcPr>
          <w:p w14:paraId="4874754C">
            <w:pPr>
              <w:spacing w:line="240" w:lineRule="exact"/>
              <w:jc w:val="right"/>
              <w:rPr>
                <w:rFonts w:ascii="宋体" w:hAnsi="宋体" w:eastAsia="宋体" w:cs="宋体"/>
                <w:sz w:val="18"/>
                <w:szCs w:val="18"/>
              </w:rPr>
            </w:pPr>
            <w:r>
              <w:rPr>
                <w:rFonts w:ascii="宋体" w:hAnsi="宋体" w:eastAsia="宋体" w:cs="宋体"/>
                <w:sz w:val="18"/>
                <w:szCs w:val="18"/>
              </w:rPr>
              <w:t>1,064,127.99</w:t>
            </w:r>
          </w:p>
        </w:tc>
        <w:tc>
          <w:tcPr>
            <w:tcW w:w="1654" w:type="dxa"/>
            <w:tcBorders>
              <w:top w:val="single" w:color="auto" w:sz="2" w:space="0"/>
              <w:left w:val="single" w:color="auto" w:sz="2" w:space="0"/>
              <w:bottom w:val="single" w:color="auto" w:sz="2" w:space="0"/>
              <w:right w:val="single" w:color="auto" w:sz="2" w:space="0"/>
            </w:tcBorders>
            <w:vAlign w:val="center"/>
          </w:tcPr>
          <w:p w14:paraId="05C1279A">
            <w:pPr>
              <w:spacing w:line="240" w:lineRule="exact"/>
              <w:jc w:val="right"/>
              <w:rPr>
                <w:rFonts w:ascii="宋体" w:hAnsi="宋体" w:eastAsia="宋体" w:cs="宋体"/>
                <w:sz w:val="18"/>
                <w:szCs w:val="18"/>
              </w:rPr>
            </w:pPr>
            <w:r>
              <w:rPr>
                <w:rFonts w:ascii="宋体" w:hAnsi="宋体" w:eastAsia="宋体" w:cs="宋体"/>
                <w:sz w:val="18"/>
                <w:szCs w:val="18"/>
              </w:rPr>
              <w:t>7,417,141.35</w:t>
            </w:r>
          </w:p>
        </w:tc>
        <w:tc>
          <w:tcPr>
            <w:tcW w:w="1654" w:type="dxa"/>
            <w:tcBorders>
              <w:top w:val="single" w:color="auto" w:sz="2" w:space="0"/>
              <w:left w:val="single" w:color="auto" w:sz="2" w:space="0"/>
              <w:bottom w:val="single" w:color="auto" w:sz="2" w:space="0"/>
              <w:right w:val="single" w:color="auto" w:sz="2" w:space="0"/>
            </w:tcBorders>
            <w:vAlign w:val="center"/>
          </w:tcPr>
          <w:p w14:paraId="665DB877">
            <w:pPr>
              <w:spacing w:line="240" w:lineRule="exact"/>
              <w:jc w:val="right"/>
              <w:rPr>
                <w:rFonts w:ascii="宋体" w:hAnsi="宋体" w:eastAsia="宋体" w:cs="宋体"/>
                <w:sz w:val="18"/>
                <w:szCs w:val="18"/>
              </w:rPr>
            </w:pPr>
            <w:r>
              <w:rPr>
                <w:rFonts w:ascii="宋体" w:hAnsi="宋体" w:eastAsia="宋体" w:cs="宋体"/>
                <w:sz w:val="18"/>
                <w:szCs w:val="18"/>
              </w:rPr>
              <w:t>11,050,464.90</w:t>
            </w:r>
          </w:p>
        </w:tc>
        <w:tc>
          <w:tcPr>
            <w:tcW w:w="708" w:type="dxa"/>
            <w:tcBorders>
              <w:top w:val="single" w:color="auto" w:sz="2" w:space="0"/>
              <w:left w:val="single" w:color="auto" w:sz="2" w:space="0"/>
              <w:bottom w:val="single" w:color="auto" w:sz="2" w:space="0"/>
              <w:right w:val="single" w:color="auto" w:sz="2" w:space="0"/>
            </w:tcBorders>
            <w:vAlign w:val="center"/>
          </w:tcPr>
          <w:p w14:paraId="7D83ED94">
            <w:pPr>
              <w:spacing w:line="240" w:lineRule="exact"/>
              <w:rPr>
                <w:rFonts w:ascii="宋体" w:hAnsi="宋体" w:eastAsia="宋体" w:cs="宋体"/>
                <w:sz w:val="18"/>
                <w:szCs w:val="18"/>
              </w:rPr>
            </w:pPr>
          </w:p>
        </w:tc>
      </w:tr>
      <w:tr w14:paraId="546AF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14:paraId="4CB7BEB0">
            <w:pPr>
              <w:spacing w:before="40" w:after="40" w:line="240" w:lineRule="exact"/>
              <w:rPr>
                <w:rFonts w:ascii="宋体" w:hAnsi="宋体" w:eastAsia="宋体" w:cs="宋体"/>
                <w:sz w:val="18"/>
                <w:szCs w:val="18"/>
              </w:rPr>
            </w:pPr>
            <w:r>
              <w:rPr>
                <w:rFonts w:ascii="宋体" w:hAnsi="宋体" w:eastAsia="宋体" w:cs="宋体"/>
                <w:sz w:val="18"/>
                <w:szCs w:val="18"/>
              </w:rPr>
              <w:t>减：所得税影响额</w:t>
            </w:r>
          </w:p>
        </w:tc>
        <w:tc>
          <w:tcPr>
            <w:tcW w:w="1654" w:type="dxa"/>
            <w:tcBorders>
              <w:top w:val="single" w:color="auto" w:sz="2" w:space="0"/>
              <w:left w:val="single" w:color="auto" w:sz="2" w:space="0"/>
              <w:bottom w:val="single" w:color="auto" w:sz="2" w:space="0"/>
              <w:right w:val="single" w:color="auto" w:sz="2" w:space="0"/>
            </w:tcBorders>
            <w:vAlign w:val="center"/>
          </w:tcPr>
          <w:p w14:paraId="2D8E7573">
            <w:pPr>
              <w:spacing w:line="240" w:lineRule="exact"/>
              <w:jc w:val="right"/>
              <w:rPr>
                <w:rFonts w:ascii="宋体" w:hAnsi="宋体" w:eastAsia="宋体" w:cs="宋体"/>
                <w:sz w:val="18"/>
                <w:szCs w:val="18"/>
              </w:rPr>
            </w:pPr>
            <w:r>
              <w:rPr>
                <w:rFonts w:ascii="宋体" w:hAnsi="宋体" w:eastAsia="宋体" w:cs="宋体"/>
                <w:sz w:val="18"/>
                <w:szCs w:val="18"/>
              </w:rPr>
              <w:t>5,338,989.36</w:t>
            </w:r>
          </w:p>
        </w:tc>
        <w:tc>
          <w:tcPr>
            <w:tcW w:w="1654" w:type="dxa"/>
            <w:tcBorders>
              <w:top w:val="single" w:color="auto" w:sz="2" w:space="0"/>
              <w:left w:val="single" w:color="auto" w:sz="2" w:space="0"/>
              <w:bottom w:val="single" w:color="auto" w:sz="2" w:space="0"/>
              <w:right w:val="single" w:color="auto" w:sz="2" w:space="0"/>
            </w:tcBorders>
            <w:vAlign w:val="center"/>
          </w:tcPr>
          <w:p w14:paraId="6B98F8AF">
            <w:pPr>
              <w:spacing w:line="240" w:lineRule="exact"/>
              <w:jc w:val="right"/>
              <w:rPr>
                <w:rFonts w:ascii="宋体" w:hAnsi="宋体" w:eastAsia="宋体" w:cs="宋体"/>
                <w:sz w:val="18"/>
                <w:szCs w:val="18"/>
              </w:rPr>
            </w:pPr>
            <w:r>
              <w:rPr>
                <w:rFonts w:ascii="宋体" w:hAnsi="宋体" w:eastAsia="宋体" w:cs="宋体"/>
                <w:sz w:val="18"/>
                <w:szCs w:val="18"/>
              </w:rPr>
              <w:t>3,297,735.34</w:t>
            </w:r>
          </w:p>
        </w:tc>
        <w:tc>
          <w:tcPr>
            <w:tcW w:w="1654" w:type="dxa"/>
            <w:tcBorders>
              <w:top w:val="single" w:color="auto" w:sz="2" w:space="0"/>
              <w:left w:val="single" w:color="auto" w:sz="2" w:space="0"/>
              <w:bottom w:val="single" w:color="auto" w:sz="2" w:space="0"/>
              <w:right w:val="single" w:color="auto" w:sz="2" w:space="0"/>
            </w:tcBorders>
            <w:vAlign w:val="center"/>
          </w:tcPr>
          <w:p w14:paraId="62481398">
            <w:pPr>
              <w:spacing w:line="240" w:lineRule="exact"/>
              <w:jc w:val="right"/>
              <w:rPr>
                <w:rFonts w:ascii="宋体" w:hAnsi="宋体" w:eastAsia="宋体" w:cs="宋体"/>
                <w:sz w:val="18"/>
                <w:szCs w:val="18"/>
              </w:rPr>
            </w:pPr>
            <w:r>
              <w:rPr>
                <w:rFonts w:ascii="宋体" w:hAnsi="宋体" w:eastAsia="宋体" w:cs="宋体"/>
                <w:sz w:val="18"/>
                <w:szCs w:val="18"/>
              </w:rPr>
              <w:t>51,429,960.93</w:t>
            </w:r>
          </w:p>
        </w:tc>
        <w:tc>
          <w:tcPr>
            <w:tcW w:w="708" w:type="dxa"/>
            <w:tcBorders>
              <w:top w:val="single" w:color="auto" w:sz="2" w:space="0"/>
              <w:left w:val="single" w:color="auto" w:sz="2" w:space="0"/>
              <w:bottom w:val="single" w:color="auto" w:sz="2" w:space="0"/>
              <w:right w:val="single" w:color="auto" w:sz="2" w:space="0"/>
            </w:tcBorders>
            <w:vAlign w:val="center"/>
          </w:tcPr>
          <w:p w14:paraId="47B76064">
            <w:pPr>
              <w:spacing w:line="240" w:lineRule="exact"/>
              <w:rPr>
                <w:rFonts w:ascii="宋体" w:hAnsi="宋体" w:eastAsia="宋体" w:cs="宋体"/>
                <w:sz w:val="18"/>
                <w:szCs w:val="18"/>
              </w:rPr>
            </w:pPr>
          </w:p>
        </w:tc>
      </w:tr>
      <w:tr w14:paraId="41B6B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14:paraId="05D37633">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少数股东权益影响额（税后）</w:t>
            </w:r>
          </w:p>
        </w:tc>
        <w:tc>
          <w:tcPr>
            <w:tcW w:w="1654" w:type="dxa"/>
            <w:tcBorders>
              <w:top w:val="single" w:color="auto" w:sz="2" w:space="0"/>
              <w:left w:val="single" w:color="auto" w:sz="2" w:space="0"/>
              <w:bottom w:val="single" w:color="auto" w:sz="2" w:space="0"/>
              <w:right w:val="single" w:color="auto" w:sz="2" w:space="0"/>
            </w:tcBorders>
            <w:vAlign w:val="center"/>
          </w:tcPr>
          <w:p w14:paraId="70FDC516">
            <w:pPr>
              <w:spacing w:line="240" w:lineRule="exact"/>
              <w:jc w:val="right"/>
              <w:rPr>
                <w:rFonts w:ascii="宋体" w:hAnsi="宋体" w:eastAsia="宋体" w:cs="宋体"/>
                <w:sz w:val="18"/>
                <w:szCs w:val="18"/>
              </w:rPr>
            </w:pPr>
          </w:p>
        </w:tc>
        <w:tc>
          <w:tcPr>
            <w:tcW w:w="1654" w:type="dxa"/>
            <w:tcBorders>
              <w:top w:val="single" w:color="auto" w:sz="2" w:space="0"/>
              <w:left w:val="single" w:color="auto" w:sz="2" w:space="0"/>
              <w:bottom w:val="single" w:color="auto" w:sz="2" w:space="0"/>
              <w:right w:val="single" w:color="auto" w:sz="2" w:space="0"/>
            </w:tcBorders>
            <w:vAlign w:val="center"/>
          </w:tcPr>
          <w:p w14:paraId="6E64D282">
            <w:pPr>
              <w:spacing w:line="240" w:lineRule="exact"/>
              <w:jc w:val="right"/>
              <w:rPr>
                <w:rFonts w:ascii="宋体" w:hAnsi="宋体" w:eastAsia="宋体" w:cs="宋体"/>
                <w:sz w:val="18"/>
                <w:szCs w:val="18"/>
              </w:rPr>
            </w:pPr>
            <w:r>
              <w:rPr>
                <w:rFonts w:ascii="宋体" w:hAnsi="宋体" w:eastAsia="宋体" w:cs="宋体"/>
                <w:sz w:val="18"/>
                <w:szCs w:val="18"/>
              </w:rPr>
              <w:t>-39,912.84</w:t>
            </w:r>
          </w:p>
        </w:tc>
        <w:tc>
          <w:tcPr>
            <w:tcW w:w="1654" w:type="dxa"/>
            <w:tcBorders>
              <w:top w:val="single" w:color="auto" w:sz="2" w:space="0"/>
              <w:left w:val="single" w:color="auto" w:sz="2" w:space="0"/>
              <w:bottom w:val="single" w:color="auto" w:sz="2" w:space="0"/>
              <w:right w:val="single" w:color="auto" w:sz="2" w:space="0"/>
            </w:tcBorders>
            <w:vAlign w:val="center"/>
          </w:tcPr>
          <w:p w14:paraId="75FE2F13">
            <w:pPr>
              <w:spacing w:line="240" w:lineRule="exact"/>
              <w:jc w:val="right"/>
              <w:rPr>
                <w:rFonts w:ascii="宋体" w:hAnsi="宋体" w:eastAsia="宋体" w:cs="宋体"/>
                <w:sz w:val="18"/>
                <w:szCs w:val="18"/>
              </w:rPr>
            </w:pPr>
            <w:r>
              <w:rPr>
                <w:rFonts w:ascii="宋体" w:hAnsi="宋体" w:eastAsia="宋体" w:cs="宋体"/>
                <w:sz w:val="18"/>
                <w:szCs w:val="18"/>
              </w:rPr>
              <w:t>4,720,203.21</w:t>
            </w:r>
          </w:p>
        </w:tc>
        <w:tc>
          <w:tcPr>
            <w:tcW w:w="708" w:type="dxa"/>
            <w:tcBorders>
              <w:top w:val="single" w:color="auto" w:sz="2" w:space="0"/>
              <w:left w:val="single" w:color="auto" w:sz="2" w:space="0"/>
              <w:bottom w:val="single" w:color="auto" w:sz="2" w:space="0"/>
              <w:right w:val="single" w:color="auto" w:sz="2" w:space="0"/>
            </w:tcBorders>
            <w:vAlign w:val="center"/>
          </w:tcPr>
          <w:p w14:paraId="582C8B1F">
            <w:pPr>
              <w:spacing w:line="240" w:lineRule="exact"/>
              <w:rPr>
                <w:rFonts w:ascii="宋体" w:hAnsi="宋体" w:eastAsia="宋体" w:cs="宋体"/>
                <w:sz w:val="18"/>
                <w:szCs w:val="18"/>
              </w:rPr>
            </w:pPr>
          </w:p>
        </w:tc>
      </w:tr>
      <w:tr w14:paraId="57423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14:paraId="669FE427">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654" w:type="dxa"/>
            <w:tcBorders>
              <w:top w:val="single" w:color="auto" w:sz="2" w:space="0"/>
              <w:left w:val="single" w:color="auto" w:sz="2" w:space="0"/>
              <w:bottom w:val="single" w:color="auto" w:sz="2" w:space="0"/>
              <w:right w:val="single" w:color="auto" w:sz="2" w:space="0"/>
            </w:tcBorders>
            <w:vAlign w:val="center"/>
          </w:tcPr>
          <w:p w14:paraId="327C5D05">
            <w:pPr>
              <w:spacing w:line="240" w:lineRule="exact"/>
              <w:jc w:val="right"/>
              <w:rPr>
                <w:rFonts w:ascii="宋体" w:hAnsi="宋体" w:eastAsia="宋体" w:cs="宋体"/>
                <w:sz w:val="18"/>
                <w:szCs w:val="18"/>
              </w:rPr>
            </w:pPr>
            <w:r>
              <w:rPr>
                <w:rFonts w:ascii="宋体" w:hAnsi="宋体" w:eastAsia="宋体" w:cs="宋体"/>
                <w:sz w:val="18"/>
                <w:szCs w:val="18"/>
              </w:rPr>
              <w:t>131,323,648.02</w:t>
            </w:r>
          </w:p>
        </w:tc>
        <w:tc>
          <w:tcPr>
            <w:tcW w:w="1654" w:type="dxa"/>
            <w:tcBorders>
              <w:top w:val="single" w:color="auto" w:sz="2" w:space="0"/>
              <w:left w:val="single" w:color="auto" w:sz="2" w:space="0"/>
              <w:bottom w:val="single" w:color="auto" w:sz="2" w:space="0"/>
              <w:right w:val="single" w:color="auto" w:sz="2" w:space="0"/>
            </w:tcBorders>
            <w:vAlign w:val="center"/>
          </w:tcPr>
          <w:p w14:paraId="3A80CCA8">
            <w:pPr>
              <w:spacing w:line="240" w:lineRule="exact"/>
              <w:jc w:val="right"/>
              <w:rPr>
                <w:rFonts w:ascii="宋体" w:hAnsi="宋体" w:eastAsia="宋体" w:cs="宋体"/>
                <w:sz w:val="18"/>
                <w:szCs w:val="18"/>
              </w:rPr>
            </w:pPr>
            <w:r>
              <w:rPr>
                <w:rFonts w:ascii="宋体" w:hAnsi="宋体" w:eastAsia="宋体" w:cs="宋体"/>
                <w:sz w:val="18"/>
                <w:szCs w:val="18"/>
              </w:rPr>
              <w:t>145,461,905.55</w:t>
            </w:r>
          </w:p>
        </w:tc>
        <w:tc>
          <w:tcPr>
            <w:tcW w:w="1654" w:type="dxa"/>
            <w:tcBorders>
              <w:top w:val="single" w:color="auto" w:sz="2" w:space="0"/>
              <w:left w:val="single" w:color="auto" w:sz="2" w:space="0"/>
              <w:bottom w:val="single" w:color="auto" w:sz="2" w:space="0"/>
              <w:right w:val="single" w:color="auto" w:sz="2" w:space="0"/>
            </w:tcBorders>
            <w:vAlign w:val="center"/>
          </w:tcPr>
          <w:p w14:paraId="28158AB6">
            <w:pPr>
              <w:spacing w:line="240" w:lineRule="exact"/>
              <w:jc w:val="right"/>
              <w:rPr>
                <w:rFonts w:ascii="宋体" w:hAnsi="宋体" w:eastAsia="宋体" w:cs="宋体"/>
                <w:sz w:val="18"/>
                <w:szCs w:val="18"/>
              </w:rPr>
            </w:pPr>
            <w:r>
              <w:rPr>
                <w:rFonts w:ascii="宋体" w:hAnsi="宋体" w:eastAsia="宋体" w:cs="宋体"/>
                <w:sz w:val="18"/>
                <w:szCs w:val="18"/>
              </w:rPr>
              <w:t>316,733,719.17</w:t>
            </w: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14:paraId="28AED770">
            <w:pPr>
              <w:spacing w:before="40" w:after="40" w:line="240" w:lineRule="exact"/>
              <w:jc w:val="center"/>
              <w:rPr>
                <w:rFonts w:ascii="宋体" w:hAnsi="宋体" w:eastAsia="宋体" w:cs="宋体"/>
                <w:sz w:val="18"/>
                <w:szCs w:val="18"/>
                <w:shd w:val="clear" w:color="auto" w:fill="D3D3D3"/>
              </w:rPr>
            </w:pPr>
            <w:r>
              <w:rPr>
                <w:rFonts w:ascii="宋体" w:hAnsi="宋体" w:eastAsia="宋体" w:cs="宋体"/>
                <w:sz w:val="18"/>
                <w:szCs w:val="18"/>
                <w:shd w:val="clear" w:color="auto" w:fill="D3D3D3"/>
              </w:rPr>
              <w:t>--</w:t>
            </w:r>
          </w:p>
        </w:tc>
      </w:tr>
    </w:tbl>
    <w:p w14:paraId="1C8DBD71">
      <w:pPr>
        <w:spacing w:before="100" w:after="100" w:line="240" w:lineRule="exact"/>
        <w:rPr>
          <w:rFonts w:ascii="宋体" w:hAnsi="宋体" w:eastAsia="宋体" w:cs="宋体"/>
          <w:sz w:val="18"/>
          <w:szCs w:val="18"/>
        </w:rPr>
      </w:pPr>
      <w:r>
        <w:rPr>
          <w:rFonts w:ascii="宋体" w:hAnsi="宋体" w:eastAsia="宋体" w:cs="宋体"/>
          <w:sz w:val="18"/>
          <w:szCs w:val="18"/>
        </w:rPr>
        <w:t>其他符合非经常性损益定义的损益项目的具体情况：</w:t>
      </w:r>
    </w:p>
    <w:p w14:paraId="2B90A752">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AA57C6C">
      <w:pPr>
        <w:spacing w:before="100" w:after="100" w:line="240" w:lineRule="exac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14:paraId="4FFD498F">
      <w:pPr>
        <w:spacing w:before="100" w:after="100" w:line="240" w:lineRule="exac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14:paraId="7CDFDDB0">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DE78C7A">
      <w:pPr>
        <w:spacing w:before="100" w:after="100" w:line="240" w:lineRule="exac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14:paraId="633E82C5">
      <w:r>
        <w:br w:type="page"/>
      </w:r>
    </w:p>
    <w:p w14:paraId="03F85E8F">
      <w:pPr>
        <w:pStyle w:val="15"/>
        <w:spacing w:before="340" w:after="330" w:line="773" w:lineRule="exact"/>
        <w:jc w:val="center"/>
        <w:rPr>
          <w:rFonts w:ascii="宋体" w:hAnsi="宋体" w:eastAsia="宋体" w:cs="宋体"/>
          <w:b/>
          <w:bCs/>
          <w:sz w:val="32"/>
          <w:szCs w:val="32"/>
        </w:rPr>
      </w:pPr>
      <w:bookmarkStart w:id="13" w:name="_Toc988902"/>
      <w:r>
        <w:rPr>
          <w:rFonts w:ascii="宋体" w:hAnsi="宋体" w:eastAsia="宋体" w:cs="宋体"/>
          <w:b/>
          <w:bCs/>
          <w:sz w:val="32"/>
          <w:szCs w:val="32"/>
        </w:rPr>
        <w:t>第三节 管理层讨论与分析</w:t>
      </w:r>
      <w:bookmarkEnd w:id="13"/>
    </w:p>
    <w:p w14:paraId="74207EC7">
      <w:pPr>
        <w:pStyle w:val="2"/>
        <w:spacing w:before="300" w:after="300" w:line="320" w:lineRule="exact"/>
        <w:rPr>
          <w:rFonts w:ascii="宋体" w:hAnsi="宋体" w:eastAsia="宋体" w:cs="宋体"/>
          <w:b/>
          <w:bCs/>
          <w:sz w:val="24"/>
          <w:szCs w:val="24"/>
        </w:rPr>
      </w:pPr>
      <w:bookmarkStart w:id="14" w:name="_Toc988903"/>
      <w:r>
        <w:rPr>
          <w:rFonts w:ascii="宋体" w:hAnsi="宋体" w:eastAsia="宋体" w:cs="宋体"/>
          <w:b/>
          <w:bCs/>
          <w:sz w:val="24"/>
          <w:szCs w:val="24"/>
        </w:rPr>
        <w:t>一、报告期内公司从事的主要业务</w:t>
      </w:r>
      <w:bookmarkEnd w:id="14"/>
    </w:p>
    <w:p w14:paraId="499C78C1">
      <w:pPr>
        <w:spacing w:before="100" w:after="100" w:line="240" w:lineRule="exact"/>
        <w:rPr>
          <w:rFonts w:ascii="宋体" w:hAnsi="宋体" w:eastAsia="宋体" w:cs="宋体"/>
          <w:sz w:val="18"/>
          <w:szCs w:val="18"/>
        </w:rPr>
      </w:pPr>
      <w:r>
        <w:rPr>
          <w:rFonts w:ascii="宋体" w:hAnsi="宋体" w:eastAsia="宋体" w:cs="宋体"/>
          <w:sz w:val="18"/>
          <w:szCs w:val="18"/>
        </w:rPr>
        <w:t>公司需遵守《深圳证券交易所上市公司自律监管指引第3号——行业信息披露》中纺织服装相关业的披露要求</w:t>
      </w:r>
    </w:p>
    <w:p w14:paraId="23CE9BA9">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1、公司的主要业务</w:t>
      </w:r>
    </w:p>
    <w:p w14:paraId="75629F59">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公司围绕“坚持主业、共享产业、发展新业”战略主题，做稳纱线主业、做大共享产业、做优新业，作为全球最大的色纺纱制造商和供应商之一，主营中高档色纺纱线，配套提供高档新型的坯纱、染色纱，同时提供流行趋势、原料与产品认证、技术咨询等增值服务。通过色彩、材质、工艺技术的集成创新，为客户提供优质的产品和服务。公司在坚持主业的同时，共享产业，以纱线贯通纺织服装产业，整合棉花种植、棉花加工、仓储物流、花纱交易、纺服供应链，打</w:t>
      </w:r>
      <w:r>
        <w:rPr>
          <w:rFonts w:hint="eastAsia" w:cs="Times New Roman"/>
          <w:sz w:val="18"/>
          <w:szCs w:val="18"/>
          <w:lang w:val="en-US" w:eastAsia="zh-CN"/>
        </w:rPr>
        <w:t>造</w:t>
      </w:r>
      <w:r>
        <w:rPr>
          <w:rFonts w:hint="eastAsia" w:cs="Times New Roman"/>
          <w:sz w:val="18"/>
          <w:szCs w:val="18"/>
        </w:rPr>
        <w:t>从一朵棉花到一双袜子、一件衣服的全供应链业务，实现前后端产业贯通，致力成为全球纺织服装产业时尚营运商。发展新业以智能算力中心为抓手，提供算力租赁服务，同时探索人工智能在纺织服装业务中的应用，助力纺织产业链升级。</w:t>
      </w:r>
    </w:p>
    <w:p w14:paraId="65E855C3">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2、经营模式</w:t>
      </w:r>
    </w:p>
    <w:p w14:paraId="5671455A">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主营纱线方面，目前纱线产能 206 万锭，年产 29 万吨新型纱线，生产基地覆盖中国东部和新疆等地。公司通过产业链协同，统筹市场及订单信息，制定“点（产地）对点（客户）”的供应链计划，分区域、分工厂、分生产线进行规模化定制，公司坚持以客户为本，品质至上，以趋势为方向，通过产品创新提升产品品质及附加值，赢得了客户的信赖。共享产业，以纱线连接棉业、阿大、华尚供应链平台公司，贯通全产业链。棉业立足新疆，选择核心轧花厂、扩大虚拟农业合作社，投资种业科技、开发特色棉种，完善销售渠道、提升贸融能力，将新疆棉花交易市场打造成数字化棉花供应链平台；阿大立足诸暨，包括自主品牌经营、品牌授权经营、贴牌业务经营、纱线经营等业务模式，建立袜业创新、品牌与交易平台，打造纱袜供应链平台。新业围绕“东数西算”，规划“东推西训”上虞和新疆联动模式，以自有算力+调度算力形成完整的算力服务体系，全力打造成为一流的算力综合服务商。华孚科技将人工智能与纺织主业有机结合，在流行趋势分析、新型纺织纤维研发、纺织服装从设计图到工艺图生成等多个核心环节，促进企业自身效能提升，助推传统产业数智化变革。</w:t>
      </w:r>
    </w:p>
    <w:p w14:paraId="3D26ABB9">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3、主营业务分析</w:t>
      </w:r>
    </w:p>
    <w:p w14:paraId="3FADCC20">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报告期内，公司实现营业收入80.50亿元，同比下滑25.20%，主要系公司主动压降前端棉花供应链业务，并基于谨慎从严原则，调整部分棉花贸易业务收入核算口径，不影响实际经营状况与盈利能力；归母净利润5,740万元，实现扭亏为盈。</w:t>
      </w:r>
    </w:p>
    <w:p w14:paraId="469F950F">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sz w:val="18"/>
          <w:szCs w:val="18"/>
        </w:rPr>
      </w:pPr>
      <w:r>
        <w:rPr>
          <w:rFonts w:hint="eastAsia" w:cs="Times New Roman"/>
          <w:sz w:val="18"/>
          <w:szCs w:val="18"/>
        </w:rPr>
        <w:t>2025年纺织行业在复杂环境下有所承压，企业面临需求内生动力仍待恢复、全球经贸风险加剧等带来的挑战。公司持续拓展内循环市场空间，深度挖掘国内供应链客户，抓住产业集中度提升机会，围绕功能科技、时尚快反、可持续发展、高质量发展四条主线，多品类拓展市场，主营纱线业务平稳增长。受国际环境、贸易保护主义、产业安全等问题的持续影响，以及原料供应端冲击和终端有效需求不足的双向挤压，棉花的金融属性及其价格大幅波动对企业运行影响明显，为了规避价格波动的冲击，公司压降前端棉花供应链业务。</w:t>
      </w:r>
    </w:p>
    <w:p w14:paraId="2CFABD57">
      <w:pPr>
        <w:pStyle w:val="2"/>
        <w:spacing w:before="300" w:after="300" w:line="320" w:lineRule="exact"/>
        <w:rPr>
          <w:rFonts w:ascii="宋体" w:hAnsi="宋体" w:eastAsia="宋体" w:cs="宋体"/>
          <w:b/>
          <w:bCs/>
          <w:sz w:val="24"/>
          <w:szCs w:val="24"/>
        </w:rPr>
      </w:pPr>
      <w:bookmarkStart w:id="15" w:name="_Toc988904"/>
      <w:r>
        <w:rPr>
          <w:rFonts w:ascii="宋体" w:hAnsi="宋体" w:eastAsia="宋体" w:cs="宋体"/>
          <w:b/>
          <w:bCs/>
          <w:sz w:val="24"/>
          <w:szCs w:val="24"/>
        </w:rPr>
        <w:t>二、报告期内公司所处行业情况</w:t>
      </w:r>
      <w:bookmarkEnd w:id="15"/>
    </w:p>
    <w:p w14:paraId="07D25D0F">
      <w:pPr>
        <w:spacing w:before="100" w:after="100" w:line="240" w:lineRule="exact"/>
        <w:rPr>
          <w:rFonts w:ascii="宋体" w:hAnsi="宋体" w:eastAsia="宋体" w:cs="宋体"/>
          <w:sz w:val="18"/>
          <w:szCs w:val="18"/>
        </w:rPr>
      </w:pPr>
      <w:r>
        <w:rPr>
          <w:rFonts w:ascii="宋体" w:hAnsi="宋体" w:eastAsia="宋体" w:cs="宋体"/>
          <w:sz w:val="18"/>
          <w:szCs w:val="18"/>
        </w:rPr>
        <w:t>公司需遵守《深圳证券交易所上市公司自律监管指引第3号——行业信息披露》中纺织服装相关业的披露要求</w:t>
      </w:r>
    </w:p>
    <w:p w14:paraId="7216572C">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2025年，纺织行业面临全球经济增长乏力、需求疲弱与竞争加剧的挑战，运行质效有所承压。据国家统计局数据，2025年纺织业规模以上企业营业收入同比下滑6.4%，利润总额同比下滑12.0%。</w:t>
      </w:r>
    </w:p>
    <w:p w14:paraId="44107049">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内销方面，国家推出一系列消费促进措施，激发消费潜力，纺织品服装内销实现温和增长。2025年全国限额以上服装、鞋帽、针纺织品类商品零售总额同比增长3.2%。</w:t>
      </w:r>
    </w:p>
    <w:p w14:paraId="5860A37A">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21"/>
          <w:szCs w:val="21"/>
        </w:rPr>
      </w:pPr>
      <w:r>
        <w:rPr>
          <w:rFonts w:hint="eastAsia" w:cs="Times New Roman"/>
          <w:sz w:val="18"/>
          <w:szCs w:val="18"/>
        </w:rPr>
        <w:t>出口方面，尽管国际经贸环境复杂多变，行业仍彰显一定的发展韧性，出口市场呈现多元分化态势。据海关总署数据，2025年我国纺织品服装出口额2938.1亿美元，同比下降2.4%。结构上看，对美、东盟出口受到部分扰动，但非美发达市场及部分新兴市场彰显潜力。</w:t>
      </w:r>
    </w:p>
    <w:p w14:paraId="237718A7">
      <w:pPr>
        <w:pStyle w:val="2"/>
        <w:spacing w:before="300" w:after="300" w:line="320" w:lineRule="exact"/>
        <w:rPr>
          <w:rFonts w:ascii="宋体" w:hAnsi="宋体" w:eastAsia="宋体" w:cs="宋体"/>
          <w:b/>
          <w:bCs/>
          <w:sz w:val="24"/>
          <w:szCs w:val="24"/>
        </w:rPr>
      </w:pPr>
      <w:bookmarkStart w:id="16" w:name="_Toc988905"/>
      <w:r>
        <w:rPr>
          <w:rFonts w:ascii="宋体" w:hAnsi="宋体" w:eastAsia="宋体" w:cs="宋体"/>
          <w:b/>
          <w:bCs/>
          <w:sz w:val="24"/>
          <w:szCs w:val="24"/>
        </w:rPr>
        <w:t>三、核心竞争力分析</w:t>
      </w:r>
      <w:bookmarkEnd w:id="16"/>
    </w:p>
    <w:p w14:paraId="0FA1BAE4">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21"/>
          <w:szCs w:val="21"/>
        </w:rPr>
      </w:pPr>
      <w:r>
        <w:rPr>
          <w:rFonts w:hint="eastAsia" w:cs="Times New Roman"/>
          <w:sz w:val="18"/>
          <w:szCs w:val="18"/>
        </w:rPr>
        <w:t>1、产业引领者。公司作为全球最大的色纺纱供应商和制造商之一，随着产业集中度的提升和产能扩张、网链战略的实施，产业协同效应的逐步显现，成长空间大。</w:t>
      </w:r>
    </w:p>
    <w:p w14:paraId="746A9576">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21"/>
          <w:szCs w:val="21"/>
        </w:rPr>
      </w:pPr>
      <w:r>
        <w:rPr>
          <w:rFonts w:hint="eastAsia" w:cs="Times New Roman"/>
          <w:sz w:val="18"/>
          <w:szCs w:val="18"/>
        </w:rPr>
        <w:t>2、全球品牌影响力。全球主要服饰名牌的首选纱线，“华孚牌”也是国家驰名商标。“华孚牌”是色纺产业趋势引领者、标准制定者、时尚风向标。</w:t>
      </w:r>
    </w:p>
    <w:p w14:paraId="306B9C57">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21"/>
          <w:szCs w:val="21"/>
        </w:rPr>
      </w:pPr>
      <w:r>
        <w:rPr>
          <w:rFonts w:hint="eastAsia" w:cs="Times New Roman"/>
          <w:sz w:val="18"/>
          <w:szCs w:val="18"/>
        </w:rPr>
        <w:t>3、快速反应能力。随着前端供应链的整合和产能布局的完善，通过 SAPERP/CRM/MES/PDM/ATP 等信息化、智能化手段，实现了集聚订单、灵活染色、柔性生产、快速交货、定制服务的供应链系统。</w:t>
      </w:r>
    </w:p>
    <w:p w14:paraId="2E8DE3E2">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21"/>
          <w:szCs w:val="21"/>
        </w:rPr>
      </w:pPr>
      <w:r>
        <w:rPr>
          <w:rFonts w:hint="eastAsia" w:cs="Times New Roman"/>
          <w:sz w:val="18"/>
          <w:szCs w:val="18"/>
        </w:rPr>
        <w:t>4、产品创新能力。公司加强产业合作，筹建了华孚大学和博士后工作站，建立了趋势、色彩、材质、纺纱、染整、设计、应用、可持续发展等专业研发团队，申报国家专利共计171项，已获国家专利授权125项，其中发明专利59个，实用新型专利66个。专利数量居色纺行业第一，全球领先。</w:t>
      </w:r>
    </w:p>
    <w:p w14:paraId="64324C5A">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21"/>
          <w:szCs w:val="21"/>
        </w:rPr>
      </w:pPr>
      <w:r>
        <w:rPr>
          <w:rFonts w:hint="eastAsia" w:cs="Times New Roman"/>
          <w:sz w:val="18"/>
          <w:szCs w:val="18"/>
        </w:rPr>
        <w:t>5、数智化和网链战略的优势。公司通过推进数智升级战略，在数智工厂建设、产业贯通的数字化平台建设方面具有领先优势；公司通过网链转型战略的实施，前端网链形成了一定的规模，后端网链袜业品类模式取得突破，通过产业互联网的推进产生产业协同效应。</w:t>
      </w:r>
    </w:p>
    <w:p w14:paraId="364B77E4">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21"/>
          <w:szCs w:val="21"/>
        </w:rPr>
      </w:pPr>
      <w:r>
        <w:rPr>
          <w:rFonts w:hint="eastAsia" w:cs="Times New Roman"/>
          <w:sz w:val="18"/>
          <w:szCs w:val="18"/>
        </w:rPr>
        <w:t>6、布局人工智能新赛道。公司在坚持主营业务不动摇的前提下，积极响应国家关于“加快发展新质生产力”的要求，进军智能算力领域，并持续探索纺织+人工智能应用，从而加快公司转型升级步伐，进一步增强企业核心竞争力，培育公司创新发展动能。</w:t>
      </w:r>
    </w:p>
    <w:p w14:paraId="7793E51F">
      <w:pPr>
        <w:pStyle w:val="2"/>
        <w:spacing w:before="300" w:after="300" w:line="320" w:lineRule="exact"/>
        <w:rPr>
          <w:rFonts w:ascii="宋体" w:hAnsi="宋体" w:eastAsia="宋体" w:cs="宋体"/>
          <w:b/>
          <w:bCs/>
          <w:sz w:val="24"/>
          <w:szCs w:val="24"/>
        </w:rPr>
      </w:pPr>
      <w:bookmarkStart w:id="17" w:name="_Toc988906"/>
      <w:r>
        <w:rPr>
          <w:rFonts w:ascii="宋体" w:hAnsi="宋体" w:eastAsia="宋体" w:cs="宋体"/>
          <w:b/>
          <w:bCs/>
          <w:sz w:val="24"/>
          <w:szCs w:val="24"/>
        </w:rPr>
        <w:t>四、主营业务分析</w:t>
      </w:r>
      <w:bookmarkEnd w:id="17"/>
    </w:p>
    <w:p w14:paraId="724E501D">
      <w:pPr>
        <w:pStyle w:val="3"/>
        <w:spacing w:line="280" w:lineRule="exact"/>
        <w:jc w:val="left"/>
        <w:rPr>
          <w:rFonts w:ascii="宋体" w:hAnsi="宋体" w:cs="宋体"/>
          <w:b/>
          <w:bCs/>
        </w:rPr>
      </w:pPr>
      <w:bookmarkStart w:id="18" w:name="_Toc988907"/>
      <w:r>
        <w:rPr>
          <w:rFonts w:ascii="宋体" w:hAnsi="宋体" w:cs="宋体"/>
          <w:b/>
          <w:bCs/>
        </w:rPr>
        <w:t>1、概述</w:t>
      </w:r>
      <w:bookmarkEnd w:id="18"/>
    </w:p>
    <w:p w14:paraId="14369939">
      <w:pPr>
        <w:pStyle w:val="9"/>
        <w:spacing w:before="40" w:beforeAutospacing="0" w:after="40" w:afterAutospacing="0"/>
      </w:pPr>
      <w:r>
        <w:rPr>
          <w:rFonts w:hint="eastAsia"/>
          <w:sz w:val="18"/>
          <w:szCs w:val="18"/>
        </w:rPr>
        <w:t>参见</w:t>
      </w:r>
      <w:r>
        <w:rPr>
          <w:rFonts w:ascii="Times New Roman" w:hAnsi="Times New Roman" w:cs="Times New Roman"/>
          <w:sz w:val="18"/>
          <w:szCs w:val="18"/>
        </w:rPr>
        <w:t>“</w:t>
      </w:r>
      <w:r>
        <w:rPr>
          <w:rFonts w:hint="eastAsia"/>
          <w:sz w:val="18"/>
          <w:szCs w:val="18"/>
        </w:rPr>
        <w:t>经营情况讨论与分析</w:t>
      </w:r>
      <w:r>
        <w:rPr>
          <w:rFonts w:ascii="Times New Roman" w:hAnsi="Times New Roman" w:cs="Times New Roman"/>
          <w:sz w:val="18"/>
          <w:szCs w:val="18"/>
        </w:rPr>
        <w:t>”</w:t>
      </w:r>
      <w:r>
        <w:rPr>
          <w:rFonts w:hint="eastAsia"/>
          <w:sz w:val="18"/>
          <w:szCs w:val="18"/>
        </w:rPr>
        <w:t>中的</w:t>
      </w:r>
      <w:r>
        <w:rPr>
          <w:rFonts w:ascii="Times New Roman" w:hAnsi="Times New Roman" w:cs="Times New Roman"/>
          <w:sz w:val="18"/>
          <w:szCs w:val="18"/>
        </w:rPr>
        <w:t>“</w:t>
      </w:r>
      <w:r>
        <w:rPr>
          <w:rFonts w:hint="eastAsia"/>
          <w:sz w:val="18"/>
          <w:szCs w:val="18"/>
        </w:rPr>
        <w:t>二、报告期内公司从事的主要业务</w:t>
      </w:r>
      <w:r>
        <w:rPr>
          <w:rFonts w:ascii="Times New Roman" w:hAnsi="Times New Roman" w:cs="Times New Roman"/>
          <w:sz w:val="18"/>
          <w:szCs w:val="18"/>
        </w:rPr>
        <w:t>”</w:t>
      </w:r>
      <w:r>
        <w:rPr>
          <w:rFonts w:hint="eastAsia"/>
          <w:sz w:val="18"/>
          <w:szCs w:val="18"/>
        </w:rPr>
        <w:t>相关内容。</w:t>
      </w:r>
    </w:p>
    <w:p w14:paraId="59B8CD7D">
      <w:pPr>
        <w:pStyle w:val="3"/>
        <w:spacing w:line="280" w:lineRule="exact"/>
        <w:jc w:val="left"/>
        <w:rPr>
          <w:rFonts w:ascii="宋体" w:hAnsi="宋体" w:cs="宋体"/>
          <w:b/>
          <w:bCs/>
        </w:rPr>
      </w:pPr>
      <w:bookmarkStart w:id="19" w:name="_Toc988908"/>
      <w:r>
        <w:rPr>
          <w:rFonts w:ascii="宋体" w:hAnsi="宋体" w:cs="宋体"/>
          <w:b/>
          <w:bCs/>
        </w:rPr>
        <w:t>2、收入与成本</w:t>
      </w:r>
      <w:bookmarkEnd w:id="19"/>
    </w:p>
    <w:p w14:paraId="7ADB5DD7">
      <w:pPr>
        <w:keepNext/>
        <w:keepLines/>
        <w:spacing w:before="300" w:after="300" w:line="280" w:lineRule="exact"/>
        <w:outlineLvl w:val="3"/>
        <w:rPr>
          <w:rFonts w:ascii="宋体" w:hAnsi="宋体" w:eastAsia="宋体" w:cs="宋体"/>
          <w:b/>
          <w:bCs/>
          <w:szCs w:val="21"/>
        </w:rPr>
      </w:pPr>
      <w:bookmarkStart w:id="20" w:name="_Toc988909"/>
      <w:r>
        <w:rPr>
          <w:rFonts w:ascii="宋体" w:hAnsi="宋体" w:eastAsia="宋体" w:cs="宋体"/>
          <w:b/>
          <w:bCs/>
          <w:szCs w:val="21"/>
        </w:rPr>
        <w:t>（1） 营业收入构成</w:t>
      </w:r>
      <w:bookmarkEnd w:id="20"/>
    </w:p>
    <w:p w14:paraId="4A96BF2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85"/>
        <w:gridCol w:w="1701"/>
        <w:gridCol w:w="1559"/>
        <w:gridCol w:w="1843"/>
        <w:gridCol w:w="1559"/>
        <w:gridCol w:w="992"/>
      </w:tblGrid>
      <w:tr w14:paraId="42A9D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8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F7DE840"/>
        </w:tc>
        <w:tc>
          <w:tcPr>
            <w:tcW w:w="326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1C08285">
            <w:pPr>
              <w:spacing w:before="40" w:after="40" w:line="240" w:lineRule="exact"/>
              <w:jc w:val="center"/>
              <w:rPr>
                <w:rFonts w:ascii="宋体" w:hAnsi="宋体" w:eastAsia="宋体" w:cs="宋体"/>
                <w:sz w:val="18"/>
                <w:szCs w:val="18"/>
              </w:rPr>
            </w:pPr>
            <w:r>
              <w:rPr>
                <w:rFonts w:ascii="宋体" w:hAnsi="宋体" w:eastAsia="宋体" w:cs="宋体"/>
                <w:sz w:val="18"/>
                <w:szCs w:val="18"/>
              </w:rPr>
              <w:t>2025年</w:t>
            </w:r>
          </w:p>
        </w:tc>
        <w:tc>
          <w:tcPr>
            <w:tcW w:w="340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B027F6F">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99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300C1FF">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14:paraId="535FC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8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E262469"/>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7D93211D">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14:paraId="0312BA69">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14:paraId="313A7ACB">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14:paraId="5359EC87">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99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D7211BF"/>
        </w:tc>
      </w:tr>
      <w:tr w14:paraId="61F43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shd w:val="clear" w:color="auto" w:fill="D3D3D3"/>
            <w:vAlign w:val="center"/>
          </w:tcPr>
          <w:p w14:paraId="6F360D7A">
            <w:pPr>
              <w:spacing w:before="40" w:after="40" w:line="240" w:lineRule="exact"/>
              <w:rPr>
                <w:rFonts w:ascii="宋体" w:hAnsi="宋体" w:eastAsia="宋体" w:cs="宋体"/>
                <w:sz w:val="18"/>
                <w:szCs w:val="18"/>
              </w:rPr>
            </w:pPr>
            <w:r>
              <w:rPr>
                <w:rFonts w:ascii="宋体" w:hAnsi="宋体" w:eastAsia="宋体" w:cs="宋体"/>
                <w:sz w:val="18"/>
                <w:szCs w:val="18"/>
              </w:rPr>
              <w:t>营业收入合计</w:t>
            </w:r>
          </w:p>
        </w:tc>
        <w:tc>
          <w:tcPr>
            <w:tcW w:w="1701" w:type="dxa"/>
            <w:tcBorders>
              <w:top w:val="single" w:color="auto" w:sz="2" w:space="0"/>
              <w:left w:val="single" w:color="auto" w:sz="2" w:space="0"/>
              <w:bottom w:val="single" w:color="auto" w:sz="2" w:space="0"/>
              <w:right w:val="single" w:color="auto" w:sz="2" w:space="0"/>
            </w:tcBorders>
            <w:vAlign w:val="center"/>
          </w:tcPr>
          <w:p w14:paraId="19B8EDFC">
            <w:pPr>
              <w:spacing w:line="240" w:lineRule="exact"/>
              <w:jc w:val="right"/>
              <w:rPr>
                <w:rFonts w:ascii="宋体" w:hAnsi="宋体" w:eastAsia="宋体" w:cs="宋体"/>
                <w:sz w:val="18"/>
                <w:szCs w:val="18"/>
              </w:rPr>
            </w:pPr>
            <w:r>
              <w:rPr>
                <w:rFonts w:ascii="宋体" w:hAnsi="宋体" w:eastAsia="宋体" w:cs="宋体"/>
                <w:sz w:val="18"/>
                <w:szCs w:val="18"/>
              </w:rPr>
              <w:t>8,050,059,722.95</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14:paraId="60DCB2C1">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843" w:type="dxa"/>
            <w:tcBorders>
              <w:top w:val="single" w:color="auto" w:sz="2" w:space="0"/>
              <w:left w:val="single" w:color="auto" w:sz="2" w:space="0"/>
              <w:bottom w:val="single" w:color="auto" w:sz="2" w:space="0"/>
              <w:right w:val="single" w:color="auto" w:sz="2" w:space="0"/>
            </w:tcBorders>
            <w:vAlign w:val="center"/>
          </w:tcPr>
          <w:p w14:paraId="7B3DE850">
            <w:pPr>
              <w:spacing w:line="240" w:lineRule="exact"/>
              <w:jc w:val="right"/>
              <w:rPr>
                <w:rFonts w:ascii="宋体" w:hAnsi="宋体" w:eastAsia="宋体" w:cs="宋体"/>
                <w:sz w:val="18"/>
                <w:szCs w:val="18"/>
              </w:rPr>
            </w:pPr>
            <w:r>
              <w:rPr>
                <w:rFonts w:ascii="宋体" w:hAnsi="宋体" w:eastAsia="宋体" w:cs="宋体"/>
                <w:sz w:val="18"/>
                <w:szCs w:val="18"/>
              </w:rPr>
              <w:t>10,761,951,965.32</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14:paraId="7B572795">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992" w:type="dxa"/>
            <w:tcBorders>
              <w:top w:val="single" w:color="auto" w:sz="2" w:space="0"/>
              <w:left w:val="single" w:color="auto" w:sz="2" w:space="0"/>
              <w:bottom w:val="single" w:color="auto" w:sz="2" w:space="0"/>
              <w:right w:val="single" w:color="auto" w:sz="2" w:space="0"/>
            </w:tcBorders>
            <w:vAlign w:val="center"/>
          </w:tcPr>
          <w:p w14:paraId="0837FFB2">
            <w:pPr>
              <w:spacing w:line="240" w:lineRule="exact"/>
              <w:jc w:val="right"/>
              <w:rPr>
                <w:rFonts w:ascii="宋体" w:hAnsi="宋体" w:eastAsia="宋体" w:cs="宋体"/>
                <w:sz w:val="18"/>
                <w:szCs w:val="18"/>
              </w:rPr>
            </w:pPr>
            <w:r>
              <w:rPr>
                <w:rFonts w:ascii="宋体" w:hAnsi="宋体" w:eastAsia="宋体" w:cs="宋体"/>
                <w:sz w:val="18"/>
                <w:szCs w:val="18"/>
              </w:rPr>
              <w:t>-25.20%</w:t>
            </w:r>
          </w:p>
        </w:tc>
      </w:tr>
      <w:tr w14:paraId="78C40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1B076584">
            <w:pPr>
              <w:spacing w:before="40" w:after="40" w:line="240" w:lineRule="exact"/>
              <w:rPr>
                <w:rFonts w:ascii="宋体" w:hAnsi="宋体" w:eastAsia="宋体" w:cs="宋体"/>
                <w:sz w:val="18"/>
                <w:szCs w:val="18"/>
              </w:rPr>
            </w:pPr>
            <w:r>
              <w:rPr>
                <w:rFonts w:ascii="宋体" w:hAnsi="宋体" w:eastAsia="宋体" w:cs="宋体"/>
                <w:sz w:val="18"/>
                <w:szCs w:val="18"/>
              </w:rPr>
              <w:t>分行业</w:t>
            </w:r>
          </w:p>
        </w:tc>
      </w:tr>
      <w:tr w14:paraId="0D140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14:paraId="7E26B4AA">
            <w:pPr>
              <w:spacing w:line="240" w:lineRule="exact"/>
              <w:rPr>
                <w:rFonts w:ascii="宋体" w:hAnsi="宋体" w:eastAsia="宋体" w:cs="宋体"/>
                <w:sz w:val="18"/>
                <w:szCs w:val="18"/>
              </w:rPr>
            </w:pPr>
            <w:r>
              <w:rPr>
                <w:rFonts w:ascii="宋体" w:hAnsi="宋体" w:eastAsia="宋体" w:cs="宋体"/>
                <w:sz w:val="18"/>
                <w:szCs w:val="18"/>
              </w:rPr>
              <w:t>棉纺行业主营业务收入</w:t>
            </w:r>
          </w:p>
        </w:tc>
        <w:tc>
          <w:tcPr>
            <w:tcW w:w="1701" w:type="dxa"/>
            <w:tcBorders>
              <w:top w:val="single" w:color="auto" w:sz="2" w:space="0"/>
              <w:left w:val="single" w:color="auto" w:sz="2" w:space="0"/>
              <w:bottom w:val="single" w:color="auto" w:sz="2" w:space="0"/>
              <w:right w:val="single" w:color="auto" w:sz="2" w:space="0"/>
            </w:tcBorders>
            <w:vAlign w:val="center"/>
          </w:tcPr>
          <w:p w14:paraId="58BA2B29">
            <w:pPr>
              <w:spacing w:line="240" w:lineRule="exact"/>
              <w:jc w:val="right"/>
              <w:rPr>
                <w:rFonts w:ascii="宋体" w:hAnsi="宋体" w:eastAsia="宋体" w:cs="宋体"/>
                <w:sz w:val="18"/>
                <w:szCs w:val="18"/>
              </w:rPr>
            </w:pPr>
            <w:r>
              <w:rPr>
                <w:rFonts w:ascii="宋体" w:hAnsi="宋体" w:eastAsia="宋体" w:cs="宋体"/>
                <w:sz w:val="18"/>
                <w:szCs w:val="18"/>
              </w:rPr>
              <w:t>7,854,687,268.37</w:t>
            </w:r>
          </w:p>
        </w:tc>
        <w:tc>
          <w:tcPr>
            <w:tcW w:w="1559" w:type="dxa"/>
            <w:tcBorders>
              <w:top w:val="single" w:color="auto" w:sz="2" w:space="0"/>
              <w:left w:val="single" w:color="auto" w:sz="2" w:space="0"/>
              <w:bottom w:val="single" w:color="auto" w:sz="2" w:space="0"/>
              <w:right w:val="single" w:color="auto" w:sz="2" w:space="0"/>
            </w:tcBorders>
            <w:vAlign w:val="center"/>
          </w:tcPr>
          <w:p w14:paraId="3D8E99E7">
            <w:pPr>
              <w:spacing w:line="240" w:lineRule="exact"/>
              <w:jc w:val="right"/>
              <w:rPr>
                <w:rFonts w:ascii="宋体" w:hAnsi="宋体" w:eastAsia="宋体" w:cs="宋体"/>
                <w:sz w:val="18"/>
                <w:szCs w:val="18"/>
              </w:rPr>
            </w:pPr>
            <w:r>
              <w:rPr>
                <w:rFonts w:ascii="宋体" w:hAnsi="宋体" w:eastAsia="宋体" w:cs="宋体"/>
                <w:sz w:val="18"/>
                <w:szCs w:val="18"/>
              </w:rPr>
              <w:t>97.57%</w:t>
            </w:r>
          </w:p>
        </w:tc>
        <w:tc>
          <w:tcPr>
            <w:tcW w:w="1843" w:type="dxa"/>
            <w:tcBorders>
              <w:top w:val="single" w:color="auto" w:sz="2" w:space="0"/>
              <w:left w:val="single" w:color="auto" w:sz="2" w:space="0"/>
              <w:bottom w:val="single" w:color="auto" w:sz="2" w:space="0"/>
              <w:right w:val="single" w:color="auto" w:sz="2" w:space="0"/>
            </w:tcBorders>
            <w:vAlign w:val="center"/>
          </w:tcPr>
          <w:p w14:paraId="09C9D48A">
            <w:pPr>
              <w:spacing w:line="240" w:lineRule="exact"/>
              <w:jc w:val="right"/>
              <w:rPr>
                <w:rFonts w:ascii="宋体" w:hAnsi="宋体" w:eastAsia="宋体" w:cs="宋体"/>
                <w:sz w:val="18"/>
                <w:szCs w:val="18"/>
              </w:rPr>
            </w:pPr>
            <w:r>
              <w:rPr>
                <w:rFonts w:ascii="宋体" w:hAnsi="宋体" w:eastAsia="宋体" w:cs="宋体"/>
                <w:sz w:val="18"/>
                <w:szCs w:val="18"/>
              </w:rPr>
              <w:t>10,614,696,406.15</w:t>
            </w:r>
          </w:p>
        </w:tc>
        <w:tc>
          <w:tcPr>
            <w:tcW w:w="1559" w:type="dxa"/>
            <w:tcBorders>
              <w:top w:val="single" w:color="auto" w:sz="2" w:space="0"/>
              <w:left w:val="single" w:color="auto" w:sz="2" w:space="0"/>
              <w:bottom w:val="single" w:color="auto" w:sz="2" w:space="0"/>
              <w:right w:val="single" w:color="auto" w:sz="2" w:space="0"/>
            </w:tcBorders>
            <w:vAlign w:val="center"/>
          </w:tcPr>
          <w:p w14:paraId="5276F4D0">
            <w:pPr>
              <w:spacing w:line="240" w:lineRule="exact"/>
              <w:jc w:val="right"/>
              <w:rPr>
                <w:rFonts w:ascii="宋体" w:hAnsi="宋体" w:eastAsia="宋体" w:cs="宋体"/>
                <w:sz w:val="18"/>
                <w:szCs w:val="18"/>
              </w:rPr>
            </w:pPr>
            <w:r>
              <w:rPr>
                <w:rFonts w:ascii="宋体" w:hAnsi="宋体" w:eastAsia="宋体" w:cs="宋体"/>
                <w:sz w:val="18"/>
                <w:szCs w:val="18"/>
              </w:rPr>
              <w:t>98.63%</w:t>
            </w:r>
          </w:p>
        </w:tc>
        <w:tc>
          <w:tcPr>
            <w:tcW w:w="992" w:type="dxa"/>
            <w:tcBorders>
              <w:top w:val="single" w:color="auto" w:sz="2" w:space="0"/>
              <w:left w:val="single" w:color="auto" w:sz="2" w:space="0"/>
              <w:bottom w:val="single" w:color="auto" w:sz="2" w:space="0"/>
              <w:right w:val="single" w:color="auto" w:sz="2" w:space="0"/>
            </w:tcBorders>
            <w:vAlign w:val="center"/>
          </w:tcPr>
          <w:p w14:paraId="10077A97">
            <w:pPr>
              <w:spacing w:line="240" w:lineRule="exact"/>
              <w:jc w:val="right"/>
              <w:rPr>
                <w:rFonts w:ascii="宋体" w:hAnsi="宋体" w:eastAsia="宋体" w:cs="宋体"/>
                <w:sz w:val="18"/>
                <w:szCs w:val="18"/>
              </w:rPr>
            </w:pPr>
            <w:r>
              <w:rPr>
                <w:rFonts w:ascii="宋体" w:hAnsi="宋体" w:eastAsia="宋体" w:cs="宋体"/>
                <w:sz w:val="18"/>
                <w:szCs w:val="18"/>
              </w:rPr>
              <w:t>-26.00%</w:t>
            </w:r>
          </w:p>
        </w:tc>
      </w:tr>
      <w:tr w14:paraId="71984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14:paraId="1274B440">
            <w:pPr>
              <w:spacing w:line="240" w:lineRule="exact"/>
              <w:rPr>
                <w:rFonts w:ascii="宋体" w:hAnsi="宋体" w:eastAsia="宋体" w:cs="宋体"/>
                <w:sz w:val="18"/>
                <w:szCs w:val="18"/>
              </w:rPr>
            </w:pPr>
            <w:r>
              <w:rPr>
                <w:rFonts w:ascii="宋体" w:hAnsi="宋体" w:eastAsia="宋体" w:cs="宋体"/>
                <w:sz w:val="18"/>
                <w:szCs w:val="18"/>
              </w:rPr>
              <w:t>棉纺行业其他业务收入</w:t>
            </w:r>
          </w:p>
        </w:tc>
        <w:tc>
          <w:tcPr>
            <w:tcW w:w="1701" w:type="dxa"/>
            <w:tcBorders>
              <w:top w:val="single" w:color="auto" w:sz="2" w:space="0"/>
              <w:left w:val="single" w:color="auto" w:sz="2" w:space="0"/>
              <w:bottom w:val="single" w:color="auto" w:sz="2" w:space="0"/>
              <w:right w:val="single" w:color="auto" w:sz="2" w:space="0"/>
            </w:tcBorders>
            <w:vAlign w:val="center"/>
          </w:tcPr>
          <w:p w14:paraId="56588B39">
            <w:pPr>
              <w:spacing w:line="240" w:lineRule="exact"/>
              <w:jc w:val="right"/>
              <w:rPr>
                <w:rFonts w:ascii="宋体" w:hAnsi="宋体" w:eastAsia="宋体" w:cs="宋体"/>
                <w:sz w:val="18"/>
                <w:szCs w:val="18"/>
              </w:rPr>
            </w:pPr>
            <w:r>
              <w:rPr>
                <w:rFonts w:ascii="宋体" w:hAnsi="宋体" w:eastAsia="宋体" w:cs="宋体"/>
                <w:sz w:val="18"/>
                <w:szCs w:val="18"/>
              </w:rPr>
              <w:t>147,444,912.65</w:t>
            </w:r>
          </w:p>
        </w:tc>
        <w:tc>
          <w:tcPr>
            <w:tcW w:w="1559" w:type="dxa"/>
            <w:tcBorders>
              <w:top w:val="single" w:color="auto" w:sz="2" w:space="0"/>
              <w:left w:val="single" w:color="auto" w:sz="2" w:space="0"/>
              <w:bottom w:val="single" w:color="auto" w:sz="2" w:space="0"/>
              <w:right w:val="single" w:color="auto" w:sz="2" w:space="0"/>
            </w:tcBorders>
            <w:vAlign w:val="center"/>
          </w:tcPr>
          <w:p w14:paraId="5CDD4131">
            <w:pPr>
              <w:spacing w:line="240" w:lineRule="exact"/>
              <w:jc w:val="right"/>
              <w:rPr>
                <w:rFonts w:ascii="宋体" w:hAnsi="宋体" w:eastAsia="宋体" w:cs="宋体"/>
                <w:sz w:val="18"/>
                <w:szCs w:val="18"/>
              </w:rPr>
            </w:pPr>
            <w:r>
              <w:rPr>
                <w:rFonts w:ascii="宋体" w:hAnsi="宋体" w:eastAsia="宋体" w:cs="宋体"/>
                <w:sz w:val="18"/>
                <w:szCs w:val="18"/>
              </w:rPr>
              <w:t>1.83%</w:t>
            </w:r>
          </w:p>
        </w:tc>
        <w:tc>
          <w:tcPr>
            <w:tcW w:w="1843" w:type="dxa"/>
            <w:tcBorders>
              <w:top w:val="single" w:color="auto" w:sz="2" w:space="0"/>
              <w:left w:val="single" w:color="auto" w:sz="2" w:space="0"/>
              <w:bottom w:val="single" w:color="auto" w:sz="2" w:space="0"/>
              <w:right w:val="single" w:color="auto" w:sz="2" w:space="0"/>
            </w:tcBorders>
            <w:vAlign w:val="center"/>
          </w:tcPr>
          <w:p w14:paraId="2B85ADAD">
            <w:pPr>
              <w:spacing w:line="240" w:lineRule="exact"/>
              <w:jc w:val="right"/>
              <w:rPr>
                <w:rFonts w:ascii="宋体" w:hAnsi="宋体" w:eastAsia="宋体" w:cs="宋体"/>
                <w:sz w:val="18"/>
                <w:szCs w:val="18"/>
              </w:rPr>
            </w:pPr>
            <w:r>
              <w:rPr>
                <w:rFonts w:ascii="宋体" w:hAnsi="宋体" w:eastAsia="宋体" w:cs="宋体"/>
                <w:sz w:val="18"/>
                <w:szCs w:val="18"/>
              </w:rPr>
              <w:t>121,259,013.43</w:t>
            </w:r>
          </w:p>
        </w:tc>
        <w:tc>
          <w:tcPr>
            <w:tcW w:w="1559" w:type="dxa"/>
            <w:tcBorders>
              <w:top w:val="single" w:color="auto" w:sz="2" w:space="0"/>
              <w:left w:val="single" w:color="auto" w:sz="2" w:space="0"/>
              <w:bottom w:val="single" w:color="auto" w:sz="2" w:space="0"/>
              <w:right w:val="single" w:color="auto" w:sz="2" w:space="0"/>
            </w:tcBorders>
            <w:vAlign w:val="center"/>
          </w:tcPr>
          <w:p w14:paraId="69277E0A">
            <w:pPr>
              <w:spacing w:line="240" w:lineRule="exact"/>
              <w:jc w:val="right"/>
              <w:rPr>
                <w:rFonts w:ascii="宋体" w:hAnsi="宋体" w:eastAsia="宋体" w:cs="宋体"/>
                <w:sz w:val="18"/>
                <w:szCs w:val="18"/>
              </w:rPr>
            </w:pPr>
            <w:r>
              <w:rPr>
                <w:rFonts w:ascii="宋体" w:hAnsi="宋体" w:eastAsia="宋体" w:cs="宋体"/>
                <w:sz w:val="18"/>
                <w:szCs w:val="18"/>
              </w:rPr>
              <w:t>1.13%</w:t>
            </w:r>
          </w:p>
        </w:tc>
        <w:tc>
          <w:tcPr>
            <w:tcW w:w="992" w:type="dxa"/>
            <w:tcBorders>
              <w:top w:val="single" w:color="auto" w:sz="2" w:space="0"/>
              <w:left w:val="single" w:color="auto" w:sz="2" w:space="0"/>
              <w:bottom w:val="single" w:color="auto" w:sz="2" w:space="0"/>
              <w:right w:val="single" w:color="auto" w:sz="2" w:space="0"/>
            </w:tcBorders>
            <w:vAlign w:val="center"/>
          </w:tcPr>
          <w:p w14:paraId="00AF6858">
            <w:pPr>
              <w:spacing w:line="240" w:lineRule="exact"/>
              <w:jc w:val="right"/>
              <w:rPr>
                <w:rFonts w:ascii="宋体" w:hAnsi="宋体" w:eastAsia="宋体" w:cs="宋体"/>
                <w:sz w:val="18"/>
                <w:szCs w:val="18"/>
              </w:rPr>
            </w:pPr>
            <w:r>
              <w:rPr>
                <w:rFonts w:ascii="宋体" w:hAnsi="宋体" w:eastAsia="宋体" w:cs="宋体"/>
                <w:sz w:val="18"/>
                <w:szCs w:val="18"/>
              </w:rPr>
              <w:t>21.60%</w:t>
            </w:r>
          </w:p>
        </w:tc>
      </w:tr>
      <w:tr w14:paraId="4CD58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14:paraId="7AFD711E">
            <w:pPr>
              <w:spacing w:line="240" w:lineRule="exact"/>
              <w:rPr>
                <w:rFonts w:ascii="宋体" w:hAnsi="宋体" w:eastAsia="宋体" w:cs="宋体"/>
                <w:sz w:val="18"/>
                <w:szCs w:val="18"/>
              </w:rPr>
            </w:pPr>
            <w:r>
              <w:rPr>
                <w:rFonts w:ascii="宋体" w:hAnsi="宋体" w:eastAsia="宋体" w:cs="宋体"/>
                <w:sz w:val="18"/>
                <w:szCs w:val="18"/>
              </w:rPr>
              <w:t>算力</w:t>
            </w:r>
          </w:p>
        </w:tc>
        <w:tc>
          <w:tcPr>
            <w:tcW w:w="1701" w:type="dxa"/>
            <w:tcBorders>
              <w:top w:val="single" w:color="auto" w:sz="2" w:space="0"/>
              <w:left w:val="single" w:color="auto" w:sz="2" w:space="0"/>
              <w:bottom w:val="single" w:color="auto" w:sz="2" w:space="0"/>
              <w:right w:val="single" w:color="auto" w:sz="2" w:space="0"/>
            </w:tcBorders>
            <w:vAlign w:val="center"/>
          </w:tcPr>
          <w:p w14:paraId="2E42BCCF">
            <w:pPr>
              <w:spacing w:line="240" w:lineRule="exact"/>
              <w:jc w:val="right"/>
              <w:rPr>
                <w:rFonts w:ascii="宋体" w:hAnsi="宋体" w:eastAsia="宋体" w:cs="宋体"/>
                <w:sz w:val="18"/>
                <w:szCs w:val="18"/>
              </w:rPr>
            </w:pPr>
            <w:r>
              <w:rPr>
                <w:rFonts w:ascii="宋体" w:hAnsi="宋体" w:eastAsia="宋体" w:cs="宋体"/>
                <w:sz w:val="18"/>
                <w:szCs w:val="18"/>
              </w:rPr>
              <w:t>47,927,541.93</w:t>
            </w:r>
          </w:p>
        </w:tc>
        <w:tc>
          <w:tcPr>
            <w:tcW w:w="1559" w:type="dxa"/>
            <w:tcBorders>
              <w:top w:val="single" w:color="auto" w:sz="2" w:space="0"/>
              <w:left w:val="single" w:color="auto" w:sz="2" w:space="0"/>
              <w:bottom w:val="single" w:color="auto" w:sz="2" w:space="0"/>
              <w:right w:val="single" w:color="auto" w:sz="2" w:space="0"/>
            </w:tcBorders>
            <w:vAlign w:val="center"/>
          </w:tcPr>
          <w:p w14:paraId="5A6A2266">
            <w:pPr>
              <w:spacing w:line="240" w:lineRule="exact"/>
              <w:jc w:val="right"/>
              <w:rPr>
                <w:rFonts w:ascii="宋体" w:hAnsi="宋体" w:eastAsia="宋体" w:cs="宋体"/>
                <w:sz w:val="18"/>
                <w:szCs w:val="18"/>
              </w:rPr>
            </w:pPr>
            <w:r>
              <w:rPr>
                <w:rFonts w:ascii="宋体" w:hAnsi="宋体" w:eastAsia="宋体" w:cs="宋体"/>
                <w:sz w:val="18"/>
                <w:szCs w:val="18"/>
              </w:rPr>
              <w:t>0.60%</w:t>
            </w:r>
          </w:p>
        </w:tc>
        <w:tc>
          <w:tcPr>
            <w:tcW w:w="1843" w:type="dxa"/>
            <w:tcBorders>
              <w:top w:val="single" w:color="auto" w:sz="2" w:space="0"/>
              <w:left w:val="single" w:color="auto" w:sz="2" w:space="0"/>
              <w:bottom w:val="single" w:color="auto" w:sz="2" w:space="0"/>
              <w:right w:val="single" w:color="auto" w:sz="2" w:space="0"/>
            </w:tcBorders>
            <w:vAlign w:val="center"/>
          </w:tcPr>
          <w:p w14:paraId="3FBE4F1F">
            <w:pPr>
              <w:spacing w:line="240" w:lineRule="exact"/>
              <w:jc w:val="right"/>
              <w:rPr>
                <w:rFonts w:ascii="宋体" w:hAnsi="宋体" w:eastAsia="宋体" w:cs="宋体"/>
                <w:sz w:val="18"/>
                <w:szCs w:val="18"/>
              </w:rPr>
            </w:pPr>
            <w:r>
              <w:rPr>
                <w:rFonts w:ascii="宋体" w:hAnsi="宋体" w:eastAsia="宋体" w:cs="宋体"/>
                <w:sz w:val="18"/>
                <w:szCs w:val="18"/>
              </w:rPr>
              <w:t>25,996,545.74</w:t>
            </w:r>
          </w:p>
        </w:tc>
        <w:tc>
          <w:tcPr>
            <w:tcW w:w="1559" w:type="dxa"/>
            <w:tcBorders>
              <w:top w:val="single" w:color="auto" w:sz="2" w:space="0"/>
              <w:left w:val="single" w:color="auto" w:sz="2" w:space="0"/>
              <w:bottom w:val="single" w:color="auto" w:sz="2" w:space="0"/>
              <w:right w:val="single" w:color="auto" w:sz="2" w:space="0"/>
            </w:tcBorders>
            <w:vAlign w:val="center"/>
          </w:tcPr>
          <w:p w14:paraId="2A727126">
            <w:pPr>
              <w:spacing w:line="240" w:lineRule="exact"/>
              <w:jc w:val="right"/>
              <w:rPr>
                <w:rFonts w:ascii="宋体" w:hAnsi="宋体" w:eastAsia="宋体" w:cs="宋体"/>
                <w:sz w:val="18"/>
                <w:szCs w:val="18"/>
              </w:rPr>
            </w:pPr>
            <w:r>
              <w:rPr>
                <w:rFonts w:ascii="宋体" w:hAnsi="宋体" w:eastAsia="宋体" w:cs="宋体"/>
                <w:sz w:val="18"/>
                <w:szCs w:val="18"/>
              </w:rPr>
              <w:t>0.24%</w:t>
            </w:r>
          </w:p>
        </w:tc>
        <w:tc>
          <w:tcPr>
            <w:tcW w:w="992" w:type="dxa"/>
            <w:tcBorders>
              <w:top w:val="single" w:color="auto" w:sz="2" w:space="0"/>
              <w:left w:val="single" w:color="auto" w:sz="2" w:space="0"/>
              <w:bottom w:val="single" w:color="auto" w:sz="2" w:space="0"/>
              <w:right w:val="single" w:color="auto" w:sz="2" w:space="0"/>
            </w:tcBorders>
            <w:vAlign w:val="center"/>
          </w:tcPr>
          <w:p w14:paraId="0D87E597">
            <w:pPr>
              <w:spacing w:line="240" w:lineRule="exact"/>
              <w:jc w:val="right"/>
              <w:rPr>
                <w:rFonts w:ascii="宋体" w:hAnsi="宋体" w:eastAsia="宋体" w:cs="宋体"/>
                <w:sz w:val="18"/>
                <w:szCs w:val="18"/>
              </w:rPr>
            </w:pPr>
            <w:r>
              <w:rPr>
                <w:rFonts w:ascii="宋体" w:hAnsi="宋体" w:eastAsia="宋体" w:cs="宋体"/>
                <w:sz w:val="18"/>
                <w:szCs w:val="18"/>
              </w:rPr>
              <w:t>84.36%</w:t>
            </w:r>
          </w:p>
        </w:tc>
      </w:tr>
      <w:tr w14:paraId="391D9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4FE50010">
            <w:pPr>
              <w:spacing w:before="40" w:after="40" w:line="240" w:lineRule="exact"/>
              <w:rPr>
                <w:rFonts w:ascii="宋体" w:hAnsi="宋体" w:eastAsia="宋体" w:cs="宋体"/>
                <w:sz w:val="18"/>
                <w:szCs w:val="18"/>
              </w:rPr>
            </w:pPr>
            <w:r>
              <w:rPr>
                <w:rFonts w:ascii="宋体" w:hAnsi="宋体" w:eastAsia="宋体" w:cs="宋体"/>
                <w:sz w:val="18"/>
                <w:szCs w:val="18"/>
              </w:rPr>
              <w:t>分产品</w:t>
            </w:r>
          </w:p>
        </w:tc>
      </w:tr>
      <w:tr w14:paraId="3F4B2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14:paraId="0519A1C4">
            <w:pPr>
              <w:spacing w:line="240" w:lineRule="exact"/>
              <w:rPr>
                <w:rFonts w:ascii="宋体" w:hAnsi="宋体" w:eastAsia="宋体" w:cs="宋体"/>
                <w:sz w:val="18"/>
                <w:szCs w:val="18"/>
              </w:rPr>
            </w:pPr>
            <w:r>
              <w:rPr>
                <w:rFonts w:ascii="宋体" w:hAnsi="宋体" w:eastAsia="宋体" w:cs="宋体"/>
                <w:sz w:val="18"/>
                <w:szCs w:val="18"/>
              </w:rPr>
              <w:t>纱线</w:t>
            </w:r>
          </w:p>
        </w:tc>
        <w:tc>
          <w:tcPr>
            <w:tcW w:w="1701" w:type="dxa"/>
            <w:tcBorders>
              <w:top w:val="single" w:color="auto" w:sz="2" w:space="0"/>
              <w:left w:val="single" w:color="auto" w:sz="2" w:space="0"/>
              <w:bottom w:val="single" w:color="auto" w:sz="2" w:space="0"/>
              <w:right w:val="single" w:color="auto" w:sz="2" w:space="0"/>
            </w:tcBorders>
            <w:vAlign w:val="center"/>
          </w:tcPr>
          <w:p w14:paraId="5EBF1E6F">
            <w:pPr>
              <w:spacing w:line="240" w:lineRule="exact"/>
              <w:jc w:val="right"/>
              <w:rPr>
                <w:rFonts w:ascii="宋体" w:hAnsi="宋体" w:eastAsia="宋体" w:cs="宋体"/>
                <w:sz w:val="18"/>
                <w:szCs w:val="18"/>
              </w:rPr>
            </w:pPr>
            <w:r>
              <w:rPr>
                <w:rFonts w:ascii="宋体" w:hAnsi="宋体" w:eastAsia="宋体" w:cs="宋体"/>
                <w:sz w:val="18"/>
                <w:szCs w:val="18"/>
              </w:rPr>
              <w:t>6,346,638,252.32</w:t>
            </w:r>
          </w:p>
        </w:tc>
        <w:tc>
          <w:tcPr>
            <w:tcW w:w="1559" w:type="dxa"/>
            <w:tcBorders>
              <w:top w:val="single" w:color="auto" w:sz="2" w:space="0"/>
              <w:left w:val="single" w:color="auto" w:sz="2" w:space="0"/>
              <w:bottom w:val="single" w:color="auto" w:sz="2" w:space="0"/>
              <w:right w:val="single" w:color="auto" w:sz="2" w:space="0"/>
            </w:tcBorders>
            <w:vAlign w:val="center"/>
          </w:tcPr>
          <w:p w14:paraId="50913B68">
            <w:pPr>
              <w:spacing w:line="240" w:lineRule="exact"/>
              <w:jc w:val="right"/>
              <w:rPr>
                <w:rFonts w:ascii="宋体" w:hAnsi="宋体" w:eastAsia="宋体" w:cs="宋体"/>
                <w:sz w:val="18"/>
                <w:szCs w:val="18"/>
              </w:rPr>
            </w:pPr>
            <w:r>
              <w:rPr>
                <w:rFonts w:ascii="宋体" w:hAnsi="宋体" w:eastAsia="宋体" w:cs="宋体"/>
                <w:sz w:val="18"/>
                <w:szCs w:val="18"/>
              </w:rPr>
              <w:t>78.84%</w:t>
            </w:r>
          </w:p>
        </w:tc>
        <w:tc>
          <w:tcPr>
            <w:tcW w:w="1843" w:type="dxa"/>
            <w:tcBorders>
              <w:top w:val="single" w:color="auto" w:sz="2" w:space="0"/>
              <w:left w:val="single" w:color="auto" w:sz="2" w:space="0"/>
              <w:bottom w:val="single" w:color="auto" w:sz="2" w:space="0"/>
              <w:right w:val="single" w:color="auto" w:sz="2" w:space="0"/>
            </w:tcBorders>
            <w:vAlign w:val="center"/>
          </w:tcPr>
          <w:p w14:paraId="1A4386C3">
            <w:pPr>
              <w:spacing w:line="240" w:lineRule="exact"/>
              <w:jc w:val="right"/>
              <w:rPr>
                <w:rFonts w:ascii="宋体" w:hAnsi="宋体" w:eastAsia="宋体" w:cs="宋体"/>
                <w:sz w:val="18"/>
                <w:szCs w:val="18"/>
              </w:rPr>
            </w:pPr>
            <w:r>
              <w:rPr>
                <w:rFonts w:ascii="宋体" w:hAnsi="宋体" w:eastAsia="宋体" w:cs="宋体"/>
                <w:sz w:val="18"/>
                <w:szCs w:val="18"/>
              </w:rPr>
              <w:t>6,293,478,560.99</w:t>
            </w:r>
          </w:p>
        </w:tc>
        <w:tc>
          <w:tcPr>
            <w:tcW w:w="1559" w:type="dxa"/>
            <w:tcBorders>
              <w:top w:val="single" w:color="auto" w:sz="2" w:space="0"/>
              <w:left w:val="single" w:color="auto" w:sz="2" w:space="0"/>
              <w:bottom w:val="single" w:color="auto" w:sz="2" w:space="0"/>
              <w:right w:val="single" w:color="auto" w:sz="2" w:space="0"/>
            </w:tcBorders>
            <w:vAlign w:val="center"/>
          </w:tcPr>
          <w:p w14:paraId="149D10E0">
            <w:pPr>
              <w:spacing w:line="240" w:lineRule="exact"/>
              <w:jc w:val="right"/>
              <w:rPr>
                <w:rFonts w:ascii="宋体" w:hAnsi="宋体" w:eastAsia="宋体" w:cs="宋体"/>
                <w:sz w:val="18"/>
                <w:szCs w:val="18"/>
              </w:rPr>
            </w:pPr>
            <w:r>
              <w:rPr>
                <w:rFonts w:ascii="宋体" w:hAnsi="宋体" w:eastAsia="宋体" w:cs="宋体"/>
                <w:sz w:val="18"/>
                <w:szCs w:val="18"/>
              </w:rPr>
              <w:t>58.48%</w:t>
            </w:r>
          </w:p>
        </w:tc>
        <w:tc>
          <w:tcPr>
            <w:tcW w:w="992" w:type="dxa"/>
            <w:tcBorders>
              <w:top w:val="single" w:color="auto" w:sz="2" w:space="0"/>
              <w:left w:val="single" w:color="auto" w:sz="2" w:space="0"/>
              <w:bottom w:val="single" w:color="auto" w:sz="2" w:space="0"/>
              <w:right w:val="single" w:color="auto" w:sz="2" w:space="0"/>
            </w:tcBorders>
            <w:vAlign w:val="center"/>
          </w:tcPr>
          <w:p w14:paraId="15812EE7">
            <w:pPr>
              <w:spacing w:line="240" w:lineRule="exact"/>
              <w:jc w:val="right"/>
              <w:rPr>
                <w:rFonts w:ascii="宋体" w:hAnsi="宋体" w:eastAsia="宋体" w:cs="宋体"/>
                <w:sz w:val="18"/>
                <w:szCs w:val="18"/>
              </w:rPr>
            </w:pPr>
            <w:r>
              <w:rPr>
                <w:rFonts w:ascii="宋体" w:hAnsi="宋体" w:eastAsia="宋体" w:cs="宋体"/>
                <w:sz w:val="18"/>
                <w:szCs w:val="18"/>
              </w:rPr>
              <w:t>0.84%</w:t>
            </w:r>
          </w:p>
        </w:tc>
      </w:tr>
      <w:tr w14:paraId="5F731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14:paraId="34AF1C58">
            <w:pPr>
              <w:spacing w:line="240" w:lineRule="exact"/>
              <w:rPr>
                <w:rFonts w:ascii="宋体" w:hAnsi="宋体" w:eastAsia="宋体" w:cs="宋体"/>
                <w:sz w:val="18"/>
                <w:szCs w:val="18"/>
              </w:rPr>
            </w:pPr>
            <w:r>
              <w:rPr>
                <w:rFonts w:ascii="宋体" w:hAnsi="宋体" w:eastAsia="宋体" w:cs="宋体"/>
                <w:sz w:val="18"/>
                <w:szCs w:val="18"/>
              </w:rPr>
              <w:t>棉业</w:t>
            </w:r>
          </w:p>
        </w:tc>
        <w:tc>
          <w:tcPr>
            <w:tcW w:w="1701" w:type="dxa"/>
            <w:tcBorders>
              <w:top w:val="single" w:color="auto" w:sz="2" w:space="0"/>
              <w:left w:val="single" w:color="auto" w:sz="2" w:space="0"/>
              <w:bottom w:val="single" w:color="auto" w:sz="2" w:space="0"/>
              <w:right w:val="single" w:color="auto" w:sz="2" w:space="0"/>
            </w:tcBorders>
            <w:vAlign w:val="center"/>
          </w:tcPr>
          <w:p w14:paraId="561FE2E2">
            <w:pPr>
              <w:spacing w:line="240" w:lineRule="exact"/>
              <w:jc w:val="right"/>
              <w:rPr>
                <w:rFonts w:ascii="宋体" w:hAnsi="宋体" w:eastAsia="宋体" w:cs="宋体"/>
                <w:sz w:val="18"/>
                <w:szCs w:val="18"/>
              </w:rPr>
            </w:pPr>
            <w:r>
              <w:rPr>
                <w:rFonts w:ascii="宋体" w:hAnsi="宋体" w:eastAsia="宋体" w:cs="宋体"/>
                <w:sz w:val="18"/>
                <w:szCs w:val="18"/>
              </w:rPr>
              <w:t>1,221,713,392.00</w:t>
            </w:r>
          </w:p>
        </w:tc>
        <w:tc>
          <w:tcPr>
            <w:tcW w:w="1559" w:type="dxa"/>
            <w:tcBorders>
              <w:top w:val="single" w:color="auto" w:sz="2" w:space="0"/>
              <w:left w:val="single" w:color="auto" w:sz="2" w:space="0"/>
              <w:bottom w:val="single" w:color="auto" w:sz="2" w:space="0"/>
              <w:right w:val="single" w:color="auto" w:sz="2" w:space="0"/>
            </w:tcBorders>
            <w:vAlign w:val="center"/>
          </w:tcPr>
          <w:p w14:paraId="782C4DA0">
            <w:pPr>
              <w:spacing w:line="240" w:lineRule="exact"/>
              <w:jc w:val="right"/>
              <w:rPr>
                <w:rFonts w:ascii="宋体" w:hAnsi="宋体" w:eastAsia="宋体" w:cs="宋体"/>
                <w:sz w:val="18"/>
                <w:szCs w:val="18"/>
              </w:rPr>
            </w:pPr>
            <w:r>
              <w:rPr>
                <w:rFonts w:ascii="宋体" w:hAnsi="宋体" w:eastAsia="宋体" w:cs="宋体"/>
                <w:sz w:val="18"/>
                <w:szCs w:val="18"/>
              </w:rPr>
              <w:t>15.18%</w:t>
            </w:r>
          </w:p>
        </w:tc>
        <w:tc>
          <w:tcPr>
            <w:tcW w:w="1843" w:type="dxa"/>
            <w:tcBorders>
              <w:top w:val="single" w:color="auto" w:sz="2" w:space="0"/>
              <w:left w:val="single" w:color="auto" w:sz="2" w:space="0"/>
              <w:bottom w:val="single" w:color="auto" w:sz="2" w:space="0"/>
              <w:right w:val="single" w:color="auto" w:sz="2" w:space="0"/>
            </w:tcBorders>
            <w:vAlign w:val="center"/>
          </w:tcPr>
          <w:p w14:paraId="2E2F763D">
            <w:pPr>
              <w:spacing w:line="240" w:lineRule="exact"/>
              <w:jc w:val="right"/>
              <w:rPr>
                <w:rFonts w:ascii="宋体" w:hAnsi="宋体" w:eastAsia="宋体" w:cs="宋体"/>
                <w:sz w:val="18"/>
                <w:szCs w:val="18"/>
              </w:rPr>
            </w:pPr>
            <w:r>
              <w:rPr>
                <w:rFonts w:ascii="宋体" w:hAnsi="宋体" w:eastAsia="宋体" w:cs="宋体"/>
                <w:sz w:val="18"/>
                <w:szCs w:val="18"/>
              </w:rPr>
              <w:t>4,085,820,675.73</w:t>
            </w:r>
          </w:p>
        </w:tc>
        <w:tc>
          <w:tcPr>
            <w:tcW w:w="1559" w:type="dxa"/>
            <w:tcBorders>
              <w:top w:val="single" w:color="auto" w:sz="2" w:space="0"/>
              <w:left w:val="single" w:color="auto" w:sz="2" w:space="0"/>
              <w:bottom w:val="single" w:color="auto" w:sz="2" w:space="0"/>
              <w:right w:val="single" w:color="auto" w:sz="2" w:space="0"/>
            </w:tcBorders>
            <w:vAlign w:val="center"/>
          </w:tcPr>
          <w:p w14:paraId="2C63F75D">
            <w:pPr>
              <w:spacing w:line="240" w:lineRule="exact"/>
              <w:jc w:val="right"/>
              <w:rPr>
                <w:rFonts w:ascii="宋体" w:hAnsi="宋体" w:eastAsia="宋体" w:cs="宋体"/>
                <w:sz w:val="18"/>
                <w:szCs w:val="18"/>
              </w:rPr>
            </w:pPr>
            <w:r>
              <w:rPr>
                <w:rFonts w:ascii="宋体" w:hAnsi="宋体" w:eastAsia="宋体" w:cs="宋体"/>
                <w:sz w:val="18"/>
                <w:szCs w:val="18"/>
              </w:rPr>
              <w:t>37.97%</w:t>
            </w:r>
          </w:p>
        </w:tc>
        <w:tc>
          <w:tcPr>
            <w:tcW w:w="992" w:type="dxa"/>
            <w:tcBorders>
              <w:top w:val="single" w:color="auto" w:sz="2" w:space="0"/>
              <w:left w:val="single" w:color="auto" w:sz="2" w:space="0"/>
              <w:bottom w:val="single" w:color="auto" w:sz="2" w:space="0"/>
              <w:right w:val="single" w:color="auto" w:sz="2" w:space="0"/>
            </w:tcBorders>
            <w:vAlign w:val="center"/>
          </w:tcPr>
          <w:p w14:paraId="3A4E4717">
            <w:pPr>
              <w:spacing w:line="240" w:lineRule="exact"/>
              <w:jc w:val="right"/>
              <w:rPr>
                <w:rFonts w:ascii="宋体" w:hAnsi="宋体" w:eastAsia="宋体" w:cs="宋体"/>
                <w:sz w:val="18"/>
                <w:szCs w:val="18"/>
              </w:rPr>
            </w:pPr>
            <w:r>
              <w:rPr>
                <w:rFonts w:ascii="宋体" w:hAnsi="宋体" w:eastAsia="宋体" w:cs="宋体"/>
                <w:sz w:val="18"/>
                <w:szCs w:val="18"/>
              </w:rPr>
              <w:t>-70.10%</w:t>
            </w:r>
          </w:p>
        </w:tc>
      </w:tr>
      <w:tr w14:paraId="76297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14:paraId="3F71F36B">
            <w:pPr>
              <w:spacing w:line="240" w:lineRule="exact"/>
              <w:rPr>
                <w:rFonts w:ascii="宋体" w:hAnsi="宋体" w:eastAsia="宋体" w:cs="宋体"/>
                <w:sz w:val="18"/>
                <w:szCs w:val="18"/>
              </w:rPr>
            </w:pPr>
            <w:r>
              <w:rPr>
                <w:rFonts w:ascii="宋体" w:hAnsi="宋体" w:eastAsia="宋体" w:cs="宋体"/>
                <w:sz w:val="18"/>
                <w:szCs w:val="18"/>
              </w:rPr>
              <w:t>袜业</w:t>
            </w:r>
          </w:p>
        </w:tc>
        <w:tc>
          <w:tcPr>
            <w:tcW w:w="1701" w:type="dxa"/>
            <w:tcBorders>
              <w:top w:val="single" w:color="auto" w:sz="2" w:space="0"/>
              <w:left w:val="single" w:color="auto" w:sz="2" w:space="0"/>
              <w:bottom w:val="single" w:color="auto" w:sz="2" w:space="0"/>
              <w:right w:val="single" w:color="auto" w:sz="2" w:space="0"/>
            </w:tcBorders>
            <w:vAlign w:val="center"/>
          </w:tcPr>
          <w:p w14:paraId="53862013">
            <w:pPr>
              <w:spacing w:line="240" w:lineRule="exact"/>
              <w:jc w:val="right"/>
              <w:rPr>
                <w:rFonts w:ascii="宋体" w:hAnsi="宋体" w:eastAsia="宋体" w:cs="宋体"/>
                <w:sz w:val="18"/>
                <w:szCs w:val="18"/>
              </w:rPr>
            </w:pPr>
            <w:r>
              <w:rPr>
                <w:rFonts w:ascii="宋体" w:hAnsi="宋体" w:eastAsia="宋体" w:cs="宋体"/>
                <w:sz w:val="18"/>
                <w:szCs w:val="18"/>
              </w:rPr>
              <w:t>286,335,624.05</w:t>
            </w:r>
          </w:p>
        </w:tc>
        <w:tc>
          <w:tcPr>
            <w:tcW w:w="1559" w:type="dxa"/>
            <w:tcBorders>
              <w:top w:val="single" w:color="auto" w:sz="2" w:space="0"/>
              <w:left w:val="single" w:color="auto" w:sz="2" w:space="0"/>
              <w:bottom w:val="single" w:color="auto" w:sz="2" w:space="0"/>
              <w:right w:val="single" w:color="auto" w:sz="2" w:space="0"/>
            </w:tcBorders>
            <w:vAlign w:val="center"/>
          </w:tcPr>
          <w:p w14:paraId="0D3F2399">
            <w:pPr>
              <w:spacing w:line="240" w:lineRule="exact"/>
              <w:jc w:val="right"/>
              <w:rPr>
                <w:rFonts w:ascii="宋体" w:hAnsi="宋体" w:eastAsia="宋体" w:cs="宋体"/>
                <w:sz w:val="18"/>
                <w:szCs w:val="18"/>
              </w:rPr>
            </w:pPr>
            <w:r>
              <w:rPr>
                <w:rFonts w:ascii="宋体" w:hAnsi="宋体" w:eastAsia="宋体" w:cs="宋体"/>
                <w:sz w:val="18"/>
                <w:szCs w:val="18"/>
              </w:rPr>
              <w:t>3.56%</w:t>
            </w:r>
          </w:p>
        </w:tc>
        <w:tc>
          <w:tcPr>
            <w:tcW w:w="1843" w:type="dxa"/>
            <w:tcBorders>
              <w:top w:val="single" w:color="auto" w:sz="2" w:space="0"/>
              <w:left w:val="single" w:color="auto" w:sz="2" w:space="0"/>
              <w:bottom w:val="single" w:color="auto" w:sz="2" w:space="0"/>
              <w:right w:val="single" w:color="auto" w:sz="2" w:space="0"/>
            </w:tcBorders>
            <w:vAlign w:val="center"/>
          </w:tcPr>
          <w:p w14:paraId="236A7A9B">
            <w:pPr>
              <w:spacing w:line="240" w:lineRule="exact"/>
              <w:jc w:val="right"/>
              <w:rPr>
                <w:rFonts w:ascii="宋体" w:hAnsi="宋体" w:eastAsia="宋体" w:cs="宋体"/>
                <w:sz w:val="18"/>
                <w:szCs w:val="18"/>
              </w:rPr>
            </w:pPr>
            <w:r>
              <w:rPr>
                <w:rFonts w:ascii="宋体" w:hAnsi="宋体" w:eastAsia="宋体" w:cs="宋体"/>
                <w:sz w:val="18"/>
                <w:szCs w:val="18"/>
              </w:rPr>
              <w:t>235,397,169.43</w:t>
            </w:r>
          </w:p>
        </w:tc>
        <w:tc>
          <w:tcPr>
            <w:tcW w:w="1559" w:type="dxa"/>
            <w:tcBorders>
              <w:top w:val="single" w:color="auto" w:sz="2" w:space="0"/>
              <w:left w:val="single" w:color="auto" w:sz="2" w:space="0"/>
              <w:bottom w:val="single" w:color="auto" w:sz="2" w:space="0"/>
              <w:right w:val="single" w:color="auto" w:sz="2" w:space="0"/>
            </w:tcBorders>
            <w:vAlign w:val="center"/>
          </w:tcPr>
          <w:p w14:paraId="556AAE8B">
            <w:pPr>
              <w:spacing w:line="240" w:lineRule="exact"/>
              <w:jc w:val="right"/>
              <w:rPr>
                <w:rFonts w:ascii="宋体" w:hAnsi="宋体" w:eastAsia="宋体" w:cs="宋体"/>
                <w:sz w:val="18"/>
                <w:szCs w:val="18"/>
              </w:rPr>
            </w:pPr>
            <w:r>
              <w:rPr>
                <w:rFonts w:ascii="宋体" w:hAnsi="宋体" w:eastAsia="宋体" w:cs="宋体"/>
                <w:sz w:val="18"/>
                <w:szCs w:val="18"/>
              </w:rPr>
              <w:t>2.19%</w:t>
            </w:r>
          </w:p>
        </w:tc>
        <w:tc>
          <w:tcPr>
            <w:tcW w:w="992" w:type="dxa"/>
            <w:tcBorders>
              <w:top w:val="single" w:color="auto" w:sz="2" w:space="0"/>
              <w:left w:val="single" w:color="auto" w:sz="2" w:space="0"/>
              <w:bottom w:val="single" w:color="auto" w:sz="2" w:space="0"/>
              <w:right w:val="single" w:color="auto" w:sz="2" w:space="0"/>
            </w:tcBorders>
            <w:vAlign w:val="center"/>
          </w:tcPr>
          <w:p w14:paraId="6AA7AAD2">
            <w:pPr>
              <w:spacing w:line="240" w:lineRule="exact"/>
              <w:jc w:val="right"/>
              <w:rPr>
                <w:rFonts w:ascii="宋体" w:hAnsi="宋体" w:eastAsia="宋体" w:cs="宋体"/>
                <w:sz w:val="18"/>
                <w:szCs w:val="18"/>
              </w:rPr>
            </w:pPr>
            <w:r>
              <w:rPr>
                <w:rFonts w:ascii="宋体" w:hAnsi="宋体" w:eastAsia="宋体" w:cs="宋体"/>
                <w:sz w:val="18"/>
                <w:szCs w:val="18"/>
              </w:rPr>
              <w:t>21.64%</w:t>
            </w:r>
          </w:p>
        </w:tc>
      </w:tr>
      <w:tr w14:paraId="3CBF1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14:paraId="02E744AD">
            <w:pPr>
              <w:spacing w:line="240" w:lineRule="exact"/>
              <w:rPr>
                <w:rFonts w:ascii="宋体" w:hAnsi="宋体" w:eastAsia="宋体" w:cs="宋体"/>
                <w:sz w:val="18"/>
                <w:szCs w:val="18"/>
              </w:rPr>
            </w:pPr>
            <w:r>
              <w:rPr>
                <w:rFonts w:ascii="宋体" w:hAnsi="宋体" w:eastAsia="宋体" w:cs="宋体"/>
                <w:sz w:val="18"/>
                <w:szCs w:val="18"/>
              </w:rPr>
              <w:t>算力及AI</w:t>
            </w:r>
          </w:p>
        </w:tc>
        <w:tc>
          <w:tcPr>
            <w:tcW w:w="1701" w:type="dxa"/>
            <w:tcBorders>
              <w:top w:val="single" w:color="auto" w:sz="2" w:space="0"/>
              <w:left w:val="single" w:color="auto" w:sz="2" w:space="0"/>
              <w:bottom w:val="single" w:color="auto" w:sz="2" w:space="0"/>
              <w:right w:val="single" w:color="auto" w:sz="2" w:space="0"/>
            </w:tcBorders>
            <w:vAlign w:val="center"/>
          </w:tcPr>
          <w:p w14:paraId="40B097ED">
            <w:pPr>
              <w:spacing w:line="240" w:lineRule="exact"/>
              <w:jc w:val="right"/>
              <w:rPr>
                <w:rFonts w:ascii="宋体" w:hAnsi="宋体" w:eastAsia="宋体" w:cs="宋体"/>
                <w:sz w:val="18"/>
                <w:szCs w:val="18"/>
              </w:rPr>
            </w:pPr>
            <w:r>
              <w:rPr>
                <w:rFonts w:ascii="宋体" w:hAnsi="宋体" w:eastAsia="宋体" w:cs="宋体"/>
                <w:sz w:val="18"/>
                <w:szCs w:val="18"/>
              </w:rPr>
              <w:t>47,927,541.93</w:t>
            </w:r>
          </w:p>
        </w:tc>
        <w:tc>
          <w:tcPr>
            <w:tcW w:w="1559" w:type="dxa"/>
            <w:tcBorders>
              <w:top w:val="single" w:color="auto" w:sz="2" w:space="0"/>
              <w:left w:val="single" w:color="auto" w:sz="2" w:space="0"/>
              <w:bottom w:val="single" w:color="auto" w:sz="2" w:space="0"/>
              <w:right w:val="single" w:color="auto" w:sz="2" w:space="0"/>
            </w:tcBorders>
            <w:vAlign w:val="center"/>
          </w:tcPr>
          <w:p w14:paraId="3E899F9E">
            <w:pPr>
              <w:spacing w:line="240" w:lineRule="exact"/>
              <w:jc w:val="right"/>
              <w:rPr>
                <w:rFonts w:ascii="宋体" w:hAnsi="宋体" w:eastAsia="宋体" w:cs="宋体"/>
                <w:sz w:val="18"/>
                <w:szCs w:val="18"/>
              </w:rPr>
            </w:pPr>
            <w:r>
              <w:rPr>
                <w:rFonts w:ascii="宋体" w:hAnsi="宋体" w:eastAsia="宋体" w:cs="宋体"/>
                <w:sz w:val="18"/>
                <w:szCs w:val="18"/>
              </w:rPr>
              <w:t>0.60%</w:t>
            </w:r>
          </w:p>
        </w:tc>
        <w:tc>
          <w:tcPr>
            <w:tcW w:w="1843" w:type="dxa"/>
            <w:tcBorders>
              <w:top w:val="single" w:color="auto" w:sz="2" w:space="0"/>
              <w:left w:val="single" w:color="auto" w:sz="2" w:space="0"/>
              <w:bottom w:val="single" w:color="auto" w:sz="2" w:space="0"/>
              <w:right w:val="single" w:color="auto" w:sz="2" w:space="0"/>
            </w:tcBorders>
            <w:vAlign w:val="center"/>
          </w:tcPr>
          <w:p w14:paraId="5C364A87">
            <w:pPr>
              <w:spacing w:line="240" w:lineRule="exact"/>
              <w:jc w:val="right"/>
              <w:rPr>
                <w:rFonts w:ascii="宋体" w:hAnsi="宋体" w:eastAsia="宋体" w:cs="宋体"/>
                <w:sz w:val="18"/>
                <w:szCs w:val="18"/>
              </w:rPr>
            </w:pPr>
            <w:r>
              <w:rPr>
                <w:rFonts w:ascii="宋体" w:hAnsi="宋体" w:eastAsia="宋体" w:cs="宋体"/>
                <w:sz w:val="18"/>
                <w:szCs w:val="18"/>
              </w:rPr>
              <w:t>25,996,545.74</w:t>
            </w:r>
          </w:p>
        </w:tc>
        <w:tc>
          <w:tcPr>
            <w:tcW w:w="1559" w:type="dxa"/>
            <w:tcBorders>
              <w:top w:val="single" w:color="auto" w:sz="2" w:space="0"/>
              <w:left w:val="single" w:color="auto" w:sz="2" w:space="0"/>
              <w:bottom w:val="single" w:color="auto" w:sz="2" w:space="0"/>
              <w:right w:val="single" w:color="auto" w:sz="2" w:space="0"/>
            </w:tcBorders>
            <w:vAlign w:val="center"/>
          </w:tcPr>
          <w:p w14:paraId="169E5076">
            <w:pPr>
              <w:spacing w:line="240" w:lineRule="exact"/>
              <w:jc w:val="right"/>
              <w:rPr>
                <w:rFonts w:ascii="宋体" w:hAnsi="宋体" w:eastAsia="宋体" w:cs="宋体"/>
                <w:sz w:val="18"/>
                <w:szCs w:val="18"/>
              </w:rPr>
            </w:pPr>
            <w:r>
              <w:rPr>
                <w:rFonts w:ascii="宋体" w:hAnsi="宋体" w:eastAsia="宋体" w:cs="宋体"/>
                <w:sz w:val="18"/>
                <w:szCs w:val="18"/>
              </w:rPr>
              <w:t>0.24%</w:t>
            </w:r>
          </w:p>
        </w:tc>
        <w:tc>
          <w:tcPr>
            <w:tcW w:w="992" w:type="dxa"/>
            <w:tcBorders>
              <w:top w:val="single" w:color="auto" w:sz="2" w:space="0"/>
              <w:left w:val="single" w:color="auto" w:sz="2" w:space="0"/>
              <w:bottom w:val="single" w:color="auto" w:sz="2" w:space="0"/>
              <w:right w:val="single" w:color="auto" w:sz="2" w:space="0"/>
            </w:tcBorders>
            <w:vAlign w:val="center"/>
          </w:tcPr>
          <w:p w14:paraId="1FD99891">
            <w:pPr>
              <w:spacing w:line="240" w:lineRule="exact"/>
              <w:jc w:val="right"/>
              <w:rPr>
                <w:rFonts w:ascii="宋体" w:hAnsi="宋体" w:eastAsia="宋体" w:cs="宋体"/>
                <w:sz w:val="18"/>
                <w:szCs w:val="18"/>
              </w:rPr>
            </w:pPr>
            <w:r>
              <w:rPr>
                <w:rFonts w:ascii="宋体" w:hAnsi="宋体" w:eastAsia="宋体" w:cs="宋体"/>
                <w:sz w:val="18"/>
                <w:szCs w:val="18"/>
              </w:rPr>
              <w:t>84.36%</w:t>
            </w:r>
          </w:p>
        </w:tc>
      </w:tr>
      <w:tr w14:paraId="1C837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14:paraId="14DBD5D3">
            <w:pPr>
              <w:spacing w:line="240" w:lineRule="exact"/>
              <w:rPr>
                <w:rFonts w:ascii="宋体" w:hAnsi="宋体" w:eastAsia="宋体" w:cs="宋体"/>
                <w:sz w:val="18"/>
                <w:szCs w:val="18"/>
              </w:rPr>
            </w:pPr>
            <w:r>
              <w:rPr>
                <w:rFonts w:ascii="宋体" w:hAnsi="宋体" w:eastAsia="宋体" w:cs="宋体"/>
                <w:sz w:val="18"/>
                <w:szCs w:val="18"/>
              </w:rPr>
              <w:t>其他</w:t>
            </w:r>
          </w:p>
        </w:tc>
        <w:tc>
          <w:tcPr>
            <w:tcW w:w="1701" w:type="dxa"/>
            <w:tcBorders>
              <w:top w:val="single" w:color="auto" w:sz="2" w:space="0"/>
              <w:left w:val="single" w:color="auto" w:sz="2" w:space="0"/>
              <w:bottom w:val="single" w:color="auto" w:sz="2" w:space="0"/>
              <w:right w:val="single" w:color="auto" w:sz="2" w:space="0"/>
            </w:tcBorders>
            <w:vAlign w:val="center"/>
          </w:tcPr>
          <w:p w14:paraId="0ED7E837">
            <w:pPr>
              <w:spacing w:line="240" w:lineRule="exact"/>
              <w:jc w:val="right"/>
              <w:rPr>
                <w:rFonts w:ascii="宋体" w:hAnsi="宋体" w:eastAsia="宋体" w:cs="宋体"/>
                <w:sz w:val="18"/>
                <w:szCs w:val="18"/>
              </w:rPr>
            </w:pPr>
            <w:r>
              <w:rPr>
                <w:rFonts w:ascii="宋体" w:hAnsi="宋体" w:eastAsia="宋体" w:cs="宋体"/>
                <w:sz w:val="18"/>
                <w:szCs w:val="18"/>
              </w:rPr>
              <w:t>147,444,912.65</w:t>
            </w:r>
          </w:p>
        </w:tc>
        <w:tc>
          <w:tcPr>
            <w:tcW w:w="1559" w:type="dxa"/>
            <w:tcBorders>
              <w:top w:val="single" w:color="auto" w:sz="2" w:space="0"/>
              <w:left w:val="single" w:color="auto" w:sz="2" w:space="0"/>
              <w:bottom w:val="single" w:color="auto" w:sz="2" w:space="0"/>
              <w:right w:val="single" w:color="auto" w:sz="2" w:space="0"/>
            </w:tcBorders>
            <w:vAlign w:val="center"/>
          </w:tcPr>
          <w:p w14:paraId="10089152">
            <w:pPr>
              <w:spacing w:line="240" w:lineRule="exact"/>
              <w:jc w:val="right"/>
              <w:rPr>
                <w:rFonts w:ascii="宋体" w:hAnsi="宋体" w:eastAsia="宋体" w:cs="宋体"/>
                <w:sz w:val="18"/>
                <w:szCs w:val="18"/>
              </w:rPr>
            </w:pPr>
            <w:r>
              <w:rPr>
                <w:rFonts w:ascii="宋体" w:hAnsi="宋体" w:eastAsia="宋体" w:cs="宋体"/>
                <w:sz w:val="18"/>
                <w:szCs w:val="18"/>
              </w:rPr>
              <w:t>1.83%</w:t>
            </w:r>
          </w:p>
        </w:tc>
        <w:tc>
          <w:tcPr>
            <w:tcW w:w="1843" w:type="dxa"/>
            <w:tcBorders>
              <w:top w:val="single" w:color="auto" w:sz="2" w:space="0"/>
              <w:left w:val="single" w:color="auto" w:sz="2" w:space="0"/>
              <w:bottom w:val="single" w:color="auto" w:sz="2" w:space="0"/>
              <w:right w:val="single" w:color="auto" w:sz="2" w:space="0"/>
            </w:tcBorders>
            <w:vAlign w:val="center"/>
          </w:tcPr>
          <w:p w14:paraId="7996956D">
            <w:pPr>
              <w:spacing w:line="240" w:lineRule="exact"/>
              <w:jc w:val="right"/>
              <w:rPr>
                <w:rFonts w:ascii="宋体" w:hAnsi="宋体" w:eastAsia="宋体" w:cs="宋体"/>
                <w:sz w:val="18"/>
                <w:szCs w:val="18"/>
              </w:rPr>
            </w:pPr>
            <w:r>
              <w:rPr>
                <w:rFonts w:ascii="宋体" w:hAnsi="宋体" w:eastAsia="宋体" w:cs="宋体"/>
                <w:sz w:val="18"/>
                <w:szCs w:val="18"/>
              </w:rPr>
              <w:t>121,259,013.43</w:t>
            </w:r>
          </w:p>
        </w:tc>
        <w:tc>
          <w:tcPr>
            <w:tcW w:w="1559" w:type="dxa"/>
            <w:tcBorders>
              <w:top w:val="single" w:color="auto" w:sz="2" w:space="0"/>
              <w:left w:val="single" w:color="auto" w:sz="2" w:space="0"/>
              <w:bottom w:val="single" w:color="auto" w:sz="2" w:space="0"/>
              <w:right w:val="single" w:color="auto" w:sz="2" w:space="0"/>
            </w:tcBorders>
            <w:vAlign w:val="center"/>
          </w:tcPr>
          <w:p w14:paraId="021D5E35">
            <w:pPr>
              <w:spacing w:line="240" w:lineRule="exact"/>
              <w:jc w:val="right"/>
              <w:rPr>
                <w:rFonts w:ascii="宋体" w:hAnsi="宋体" w:eastAsia="宋体" w:cs="宋体"/>
                <w:sz w:val="18"/>
                <w:szCs w:val="18"/>
              </w:rPr>
            </w:pPr>
            <w:r>
              <w:rPr>
                <w:rFonts w:ascii="宋体" w:hAnsi="宋体" w:eastAsia="宋体" w:cs="宋体"/>
                <w:sz w:val="18"/>
                <w:szCs w:val="18"/>
              </w:rPr>
              <w:t>1.13%</w:t>
            </w:r>
          </w:p>
        </w:tc>
        <w:tc>
          <w:tcPr>
            <w:tcW w:w="992" w:type="dxa"/>
            <w:tcBorders>
              <w:top w:val="single" w:color="auto" w:sz="2" w:space="0"/>
              <w:left w:val="single" w:color="auto" w:sz="2" w:space="0"/>
              <w:bottom w:val="single" w:color="auto" w:sz="2" w:space="0"/>
              <w:right w:val="single" w:color="auto" w:sz="2" w:space="0"/>
            </w:tcBorders>
            <w:vAlign w:val="center"/>
          </w:tcPr>
          <w:p w14:paraId="73781422">
            <w:pPr>
              <w:spacing w:line="240" w:lineRule="exact"/>
              <w:jc w:val="right"/>
              <w:rPr>
                <w:rFonts w:ascii="宋体" w:hAnsi="宋体" w:eastAsia="宋体" w:cs="宋体"/>
                <w:sz w:val="18"/>
                <w:szCs w:val="18"/>
              </w:rPr>
            </w:pPr>
            <w:r>
              <w:rPr>
                <w:rFonts w:ascii="宋体" w:hAnsi="宋体" w:eastAsia="宋体" w:cs="宋体"/>
                <w:sz w:val="18"/>
                <w:szCs w:val="18"/>
              </w:rPr>
              <w:t>21.60%</w:t>
            </w:r>
          </w:p>
        </w:tc>
      </w:tr>
      <w:tr w14:paraId="3BFB6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13AE24BD">
            <w:pPr>
              <w:spacing w:before="40" w:after="40" w:line="240" w:lineRule="exact"/>
              <w:rPr>
                <w:rFonts w:ascii="宋体" w:hAnsi="宋体" w:eastAsia="宋体" w:cs="宋体"/>
                <w:sz w:val="18"/>
                <w:szCs w:val="18"/>
              </w:rPr>
            </w:pPr>
            <w:r>
              <w:rPr>
                <w:rFonts w:ascii="宋体" w:hAnsi="宋体" w:eastAsia="宋体" w:cs="宋体"/>
                <w:sz w:val="18"/>
                <w:szCs w:val="18"/>
              </w:rPr>
              <w:t>分地区</w:t>
            </w:r>
          </w:p>
        </w:tc>
      </w:tr>
      <w:tr w14:paraId="29AE1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14:paraId="2D06F2C0">
            <w:pPr>
              <w:spacing w:line="240" w:lineRule="exact"/>
              <w:rPr>
                <w:rFonts w:ascii="宋体" w:hAnsi="宋体" w:eastAsia="宋体" w:cs="宋体"/>
                <w:sz w:val="18"/>
                <w:szCs w:val="18"/>
              </w:rPr>
            </w:pPr>
            <w:r>
              <w:rPr>
                <w:rFonts w:ascii="宋体" w:hAnsi="宋体" w:eastAsia="宋体" w:cs="宋体"/>
                <w:sz w:val="18"/>
                <w:szCs w:val="18"/>
              </w:rPr>
              <w:t>主营业务境外销售</w:t>
            </w:r>
          </w:p>
        </w:tc>
        <w:tc>
          <w:tcPr>
            <w:tcW w:w="1701" w:type="dxa"/>
            <w:tcBorders>
              <w:top w:val="single" w:color="auto" w:sz="2" w:space="0"/>
              <w:left w:val="single" w:color="auto" w:sz="2" w:space="0"/>
              <w:bottom w:val="single" w:color="auto" w:sz="2" w:space="0"/>
              <w:right w:val="single" w:color="auto" w:sz="2" w:space="0"/>
            </w:tcBorders>
            <w:vAlign w:val="center"/>
          </w:tcPr>
          <w:p w14:paraId="2878BA6D">
            <w:pPr>
              <w:spacing w:line="240" w:lineRule="exact"/>
              <w:jc w:val="right"/>
              <w:rPr>
                <w:rFonts w:ascii="宋体" w:hAnsi="宋体" w:eastAsia="宋体" w:cs="宋体"/>
                <w:sz w:val="18"/>
                <w:szCs w:val="18"/>
              </w:rPr>
            </w:pPr>
            <w:r>
              <w:rPr>
                <w:rFonts w:ascii="宋体" w:hAnsi="宋体" w:eastAsia="宋体" w:cs="宋体"/>
                <w:sz w:val="18"/>
                <w:szCs w:val="18"/>
              </w:rPr>
              <w:t>1,027,434,850.30</w:t>
            </w:r>
          </w:p>
        </w:tc>
        <w:tc>
          <w:tcPr>
            <w:tcW w:w="1559" w:type="dxa"/>
            <w:tcBorders>
              <w:top w:val="single" w:color="auto" w:sz="2" w:space="0"/>
              <w:left w:val="single" w:color="auto" w:sz="2" w:space="0"/>
              <w:bottom w:val="single" w:color="auto" w:sz="2" w:space="0"/>
              <w:right w:val="single" w:color="auto" w:sz="2" w:space="0"/>
            </w:tcBorders>
            <w:vAlign w:val="center"/>
          </w:tcPr>
          <w:p w14:paraId="5350882B">
            <w:pPr>
              <w:spacing w:line="240" w:lineRule="exact"/>
              <w:jc w:val="right"/>
              <w:rPr>
                <w:rFonts w:ascii="宋体" w:hAnsi="宋体" w:eastAsia="宋体" w:cs="宋体"/>
                <w:sz w:val="18"/>
                <w:szCs w:val="18"/>
              </w:rPr>
            </w:pPr>
            <w:r>
              <w:rPr>
                <w:rFonts w:ascii="宋体" w:hAnsi="宋体" w:eastAsia="宋体" w:cs="宋体"/>
                <w:sz w:val="18"/>
                <w:szCs w:val="18"/>
              </w:rPr>
              <w:t>12.76%</w:t>
            </w:r>
          </w:p>
        </w:tc>
        <w:tc>
          <w:tcPr>
            <w:tcW w:w="1843" w:type="dxa"/>
            <w:tcBorders>
              <w:top w:val="single" w:color="auto" w:sz="2" w:space="0"/>
              <w:left w:val="single" w:color="auto" w:sz="2" w:space="0"/>
              <w:bottom w:val="single" w:color="auto" w:sz="2" w:space="0"/>
              <w:right w:val="single" w:color="auto" w:sz="2" w:space="0"/>
            </w:tcBorders>
            <w:vAlign w:val="center"/>
          </w:tcPr>
          <w:p w14:paraId="0BAAA417">
            <w:pPr>
              <w:spacing w:line="240" w:lineRule="exact"/>
              <w:jc w:val="right"/>
              <w:rPr>
                <w:rFonts w:ascii="宋体" w:hAnsi="宋体" w:eastAsia="宋体" w:cs="宋体"/>
                <w:sz w:val="18"/>
                <w:szCs w:val="18"/>
              </w:rPr>
            </w:pPr>
            <w:r>
              <w:rPr>
                <w:rFonts w:ascii="宋体" w:hAnsi="宋体" w:eastAsia="宋体" w:cs="宋体"/>
                <w:sz w:val="18"/>
                <w:szCs w:val="18"/>
              </w:rPr>
              <w:t>1,496,387,347.58</w:t>
            </w:r>
          </w:p>
        </w:tc>
        <w:tc>
          <w:tcPr>
            <w:tcW w:w="1559" w:type="dxa"/>
            <w:tcBorders>
              <w:top w:val="single" w:color="auto" w:sz="2" w:space="0"/>
              <w:left w:val="single" w:color="auto" w:sz="2" w:space="0"/>
              <w:bottom w:val="single" w:color="auto" w:sz="2" w:space="0"/>
              <w:right w:val="single" w:color="auto" w:sz="2" w:space="0"/>
            </w:tcBorders>
            <w:vAlign w:val="center"/>
          </w:tcPr>
          <w:p w14:paraId="44745149">
            <w:pPr>
              <w:spacing w:line="240" w:lineRule="exact"/>
              <w:jc w:val="right"/>
              <w:rPr>
                <w:rFonts w:ascii="宋体" w:hAnsi="宋体" w:eastAsia="宋体" w:cs="宋体"/>
                <w:sz w:val="18"/>
                <w:szCs w:val="18"/>
              </w:rPr>
            </w:pPr>
            <w:r>
              <w:rPr>
                <w:rFonts w:ascii="宋体" w:hAnsi="宋体" w:eastAsia="宋体" w:cs="宋体"/>
                <w:sz w:val="18"/>
                <w:szCs w:val="18"/>
              </w:rPr>
              <w:t>13.90%</w:t>
            </w:r>
          </w:p>
        </w:tc>
        <w:tc>
          <w:tcPr>
            <w:tcW w:w="992" w:type="dxa"/>
            <w:tcBorders>
              <w:top w:val="single" w:color="auto" w:sz="2" w:space="0"/>
              <w:left w:val="single" w:color="auto" w:sz="2" w:space="0"/>
              <w:bottom w:val="single" w:color="auto" w:sz="2" w:space="0"/>
              <w:right w:val="single" w:color="auto" w:sz="2" w:space="0"/>
            </w:tcBorders>
            <w:vAlign w:val="center"/>
          </w:tcPr>
          <w:p w14:paraId="6DDC0499">
            <w:pPr>
              <w:spacing w:line="240" w:lineRule="exact"/>
              <w:jc w:val="right"/>
              <w:rPr>
                <w:rFonts w:ascii="宋体" w:hAnsi="宋体" w:eastAsia="宋体" w:cs="宋体"/>
                <w:sz w:val="18"/>
                <w:szCs w:val="18"/>
              </w:rPr>
            </w:pPr>
            <w:r>
              <w:rPr>
                <w:rFonts w:ascii="宋体" w:hAnsi="宋体" w:eastAsia="宋体" w:cs="宋体"/>
                <w:sz w:val="18"/>
                <w:szCs w:val="18"/>
              </w:rPr>
              <w:t>-31.34%</w:t>
            </w:r>
          </w:p>
        </w:tc>
      </w:tr>
      <w:tr w14:paraId="51261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14:paraId="75BAFB75">
            <w:pPr>
              <w:spacing w:line="240" w:lineRule="exact"/>
              <w:rPr>
                <w:rFonts w:ascii="宋体" w:hAnsi="宋体" w:eastAsia="宋体" w:cs="宋体"/>
                <w:sz w:val="18"/>
                <w:szCs w:val="18"/>
              </w:rPr>
            </w:pPr>
            <w:r>
              <w:rPr>
                <w:rFonts w:ascii="宋体" w:hAnsi="宋体" w:eastAsia="宋体" w:cs="宋体"/>
                <w:sz w:val="18"/>
                <w:szCs w:val="18"/>
              </w:rPr>
              <w:t>主营业务境内销售</w:t>
            </w:r>
          </w:p>
        </w:tc>
        <w:tc>
          <w:tcPr>
            <w:tcW w:w="1701" w:type="dxa"/>
            <w:tcBorders>
              <w:top w:val="single" w:color="auto" w:sz="2" w:space="0"/>
              <w:left w:val="single" w:color="auto" w:sz="2" w:space="0"/>
              <w:bottom w:val="single" w:color="auto" w:sz="2" w:space="0"/>
              <w:right w:val="single" w:color="auto" w:sz="2" w:space="0"/>
            </w:tcBorders>
            <w:vAlign w:val="center"/>
          </w:tcPr>
          <w:p w14:paraId="0FC7C3EF">
            <w:pPr>
              <w:spacing w:line="240" w:lineRule="exact"/>
              <w:jc w:val="right"/>
              <w:rPr>
                <w:rFonts w:ascii="宋体" w:hAnsi="宋体" w:eastAsia="宋体" w:cs="宋体"/>
                <w:sz w:val="18"/>
                <w:szCs w:val="18"/>
              </w:rPr>
            </w:pPr>
            <w:r>
              <w:rPr>
                <w:rFonts w:ascii="宋体" w:hAnsi="宋体" w:eastAsia="宋体" w:cs="宋体"/>
                <w:sz w:val="18"/>
                <w:szCs w:val="18"/>
              </w:rPr>
              <w:t>6,875,179,960.00</w:t>
            </w:r>
          </w:p>
        </w:tc>
        <w:tc>
          <w:tcPr>
            <w:tcW w:w="1559" w:type="dxa"/>
            <w:tcBorders>
              <w:top w:val="single" w:color="auto" w:sz="2" w:space="0"/>
              <w:left w:val="single" w:color="auto" w:sz="2" w:space="0"/>
              <w:bottom w:val="single" w:color="auto" w:sz="2" w:space="0"/>
              <w:right w:val="single" w:color="auto" w:sz="2" w:space="0"/>
            </w:tcBorders>
            <w:vAlign w:val="center"/>
          </w:tcPr>
          <w:p w14:paraId="49F04C5C">
            <w:pPr>
              <w:spacing w:line="240" w:lineRule="exact"/>
              <w:jc w:val="right"/>
              <w:rPr>
                <w:rFonts w:ascii="宋体" w:hAnsi="宋体" w:eastAsia="宋体" w:cs="宋体"/>
                <w:sz w:val="18"/>
                <w:szCs w:val="18"/>
              </w:rPr>
            </w:pPr>
            <w:r>
              <w:rPr>
                <w:rFonts w:ascii="宋体" w:hAnsi="宋体" w:eastAsia="宋体" w:cs="宋体"/>
                <w:sz w:val="18"/>
                <w:szCs w:val="18"/>
              </w:rPr>
              <w:t>85.41%</w:t>
            </w:r>
          </w:p>
        </w:tc>
        <w:tc>
          <w:tcPr>
            <w:tcW w:w="1843" w:type="dxa"/>
            <w:tcBorders>
              <w:top w:val="single" w:color="auto" w:sz="2" w:space="0"/>
              <w:left w:val="single" w:color="auto" w:sz="2" w:space="0"/>
              <w:bottom w:val="single" w:color="auto" w:sz="2" w:space="0"/>
              <w:right w:val="single" w:color="auto" w:sz="2" w:space="0"/>
            </w:tcBorders>
            <w:vAlign w:val="center"/>
          </w:tcPr>
          <w:p w14:paraId="39827379">
            <w:pPr>
              <w:spacing w:line="240" w:lineRule="exact"/>
              <w:jc w:val="right"/>
              <w:rPr>
                <w:rFonts w:ascii="宋体" w:hAnsi="宋体" w:eastAsia="宋体" w:cs="宋体"/>
                <w:sz w:val="18"/>
                <w:szCs w:val="18"/>
              </w:rPr>
            </w:pPr>
            <w:r>
              <w:rPr>
                <w:rFonts w:ascii="宋体" w:hAnsi="宋体" w:eastAsia="宋体" w:cs="宋体"/>
                <w:sz w:val="18"/>
                <w:szCs w:val="18"/>
              </w:rPr>
              <w:t>9,144,305,604.31</w:t>
            </w:r>
          </w:p>
        </w:tc>
        <w:tc>
          <w:tcPr>
            <w:tcW w:w="1559" w:type="dxa"/>
            <w:tcBorders>
              <w:top w:val="single" w:color="auto" w:sz="2" w:space="0"/>
              <w:left w:val="single" w:color="auto" w:sz="2" w:space="0"/>
              <w:bottom w:val="single" w:color="auto" w:sz="2" w:space="0"/>
              <w:right w:val="single" w:color="auto" w:sz="2" w:space="0"/>
            </w:tcBorders>
            <w:vAlign w:val="center"/>
          </w:tcPr>
          <w:p w14:paraId="4F983CB2">
            <w:pPr>
              <w:spacing w:line="240" w:lineRule="exact"/>
              <w:jc w:val="right"/>
              <w:rPr>
                <w:rFonts w:ascii="宋体" w:hAnsi="宋体" w:eastAsia="宋体" w:cs="宋体"/>
                <w:sz w:val="18"/>
                <w:szCs w:val="18"/>
              </w:rPr>
            </w:pPr>
            <w:r>
              <w:rPr>
                <w:rFonts w:ascii="宋体" w:hAnsi="宋体" w:eastAsia="宋体" w:cs="宋体"/>
                <w:sz w:val="18"/>
                <w:szCs w:val="18"/>
              </w:rPr>
              <w:t>84.97%</w:t>
            </w:r>
          </w:p>
        </w:tc>
        <w:tc>
          <w:tcPr>
            <w:tcW w:w="992" w:type="dxa"/>
            <w:tcBorders>
              <w:top w:val="single" w:color="auto" w:sz="2" w:space="0"/>
              <w:left w:val="single" w:color="auto" w:sz="2" w:space="0"/>
              <w:bottom w:val="single" w:color="auto" w:sz="2" w:space="0"/>
              <w:right w:val="single" w:color="auto" w:sz="2" w:space="0"/>
            </w:tcBorders>
            <w:vAlign w:val="center"/>
          </w:tcPr>
          <w:p w14:paraId="30B17AF6">
            <w:pPr>
              <w:spacing w:line="240" w:lineRule="exact"/>
              <w:jc w:val="right"/>
              <w:rPr>
                <w:rFonts w:ascii="宋体" w:hAnsi="宋体" w:eastAsia="宋体" w:cs="宋体"/>
                <w:sz w:val="18"/>
                <w:szCs w:val="18"/>
              </w:rPr>
            </w:pPr>
            <w:r>
              <w:rPr>
                <w:rFonts w:ascii="宋体" w:hAnsi="宋体" w:eastAsia="宋体" w:cs="宋体"/>
                <w:sz w:val="18"/>
                <w:szCs w:val="18"/>
              </w:rPr>
              <w:t>-24.81%</w:t>
            </w:r>
          </w:p>
        </w:tc>
      </w:tr>
      <w:tr w14:paraId="4B02F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14:paraId="42F9B7D7">
            <w:pPr>
              <w:spacing w:line="240" w:lineRule="exact"/>
              <w:rPr>
                <w:rFonts w:ascii="宋体" w:hAnsi="宋体" w:eastAsia="宋体" w:cs="宋体"/>
                <w:sz w:val="18"/>
                <w:szCs w:val="18"/>
              </w:rPr>
            </w:pPr>
            <w:r>
              <w:rPr>
                <w:rFonts w:ascii="宋体" w:hAnsi="宋体" w:eastAsia="宋体" w:cs="宋体"/>
                <w:sz w:val="18"/>
                <w:szCs w:val="18"/>
              </w:rPr>
              <w:t>其他业务境内销售</w:t>
            </w:r>
          </w:p>
        </w:tc>
        <w:tc>
          <w:tcPr>
            <w:tcW w:w="1701" w:type="dxa"/>
            <w:tcBorders>
              <w:top w:val="single" w:color="auto" w:sz="2" w:space="0"/>
              <w:left w:val="single" w:color="auto" w:sz="2" w:space="0"/>
              <w:bottom w:val="single" w:color="auto" w:sz="2" w:space="0"/>
              <w:right w:val="single" w:color="auto" w:sz="2" w:space="0"/>
            </w:tcBorders>
            <w:vAlign w:val="center"/>
          </w:tcPr>
          <w:p w14:paraId="32A0F30A">
            <w:pPr>
              <w:spacing w:line="240" w:lineRule="exact"/>
              <w:jc w:val="right"/>
              <w:rPr>
                <w:rFonts w:ascii="宋体" w:hAnsi="宋体" w:eastAsia="宋体" w:cs="宋体"/>
                <w:sz w:val="18"/>
                <w:szCs w:val="18"/>
              </w:rPr>
            </w:pPr>
            <w:r>
              <w:rPr>
                <w:rFonts w:ascii="宋体" w:hAnsi="宋体" w:eastAsia="宋体" w:cs="宋体"/>
                <w:sz w:val="18"/>
                <w:szCs w:val="18"/>
              </w:rPr>
              <w:t>147,444,912.65</w:t>
            </w:r>
          </w:p>
        </w:tc>
        <w:tc>
          <w:tcPr>
            <w:tcW w:w="1559" w:type="dxa"/>
            <w:tcBorders>
              <w:top w:val="single" w:color="auto" w:sz="2" w:space="0"/>
              <w:left w:val="single" w:color="auto" w:sz="2" w:space="0"/>
              <w:bottom w:val="single" w:color="auto" w:sz="2" w:space="0"/>
              <w:right w:val="single" w:color="auto" w:sz="2" w:space="0"/>
            </w:tcBorders>
            <w:vAlign w:val="center"/>
          </w:tcPr>
          <w:p w14:paraId="4C549278">
            <w:pPr>
              <w:spacing w:line="240" w:lineRule="exact"/>
              <w:jc w:val="right"/>
              <w:rPr>
                <w:rFonts w:ascii="宋体" w:hAnsi="宋体" w:eastAsia="宋体" w:cs="宋体"/>
                <w:sz w:val="18"/>
                <w:szCs w:val="18"/>
              </w:rPr>
            </w:pPr>
            <w:r>
              <w:rPr>
                <w:rFonts w:ascii="宋体" w:hAnsi="宋体" w:eastAsia="宋体" w:cs="宋体"/>
                <w:sz w:val="18"/>
                <w:szCs w:val="18"/>
              </w:rPr>
              <w:t>1.83%</w:t>
            </w:r>
          </w:p>
        </w:tc>
        <w:tc>
          <w:tcPr>
            <w:tcW w:w="1843" w:type="dxa"/>
            <w:tcBorders>
              <w:top w:val="single" w:color="auto" w:sz="2" w:space="0"/>
              <w:left w:val="single" w:color="auto" w:sz="2" w:space="0"/>
              <w:bottom w:val="single" w:color="auto" w:sz="2" w:space="0"/>
              <w:right w:val="single" w:color="auto" w:sz="2" w:space="0"/>
            </w:tcBorders>
            <w:vAlign w:val="center"/>
          </w:tcPr>
          <w:p w14:paraId="393716E7">
            <w:pPr>
              <w:spacing w:line="240" w:lineRule="exact"/>
              <w:jc w:val="right"/>
              <w:rPr>
                <w:rFonts w:ascii="宋体" w:hAnsi="宋体" w:eastAsia="宋体" w:cs="宋体"/>
                <w:sz w:val="18"/>
                <w:szCs w:val="18"/>
              </w:rPr>
            </w:pPr>
            <w:r>
              <w:rPr>
                <w:rFonts w:ascii="宋体" w:hAnsi="宋体" w:eastAsia="宋体" w:cs="宋体"/>
                <w:sz w:val="18"/>
                <w:szCs w:val="18"/>
              </w:rPr>
              <w:t>121,259,013.43</w:t>
            </w:r>
          </w:p>
        </w:tc>
        <w:tc>
          <w:tcPr>
            <w:tcW w:w="1559" w:type="dxa"/>
            <w:tcBorders>
              <w:top w:val="single" w:color="auto" w:sz="2" w:space="0"/>
              <w:left w:val="single" w:color="auto" w:sz="2" w:space="0"/>
              <w:bottom w:val="single" w:color="auto" w:sz="2" w:space="0"/>
              <w:right w:val="single" w:color="auto" w:sz="2" w:space="0"/>
            </w:tcBorders>
            <w:vAlign w:val="center"/>
          </w:tcPr>
          <w:p w14:paraId="72C57231">
            <w:pPr>
              <w:spacing w:line="240" w:lineRule="exact"/>
              <w:jc w:val="right"/>
              <w:rPr>
                <w:rFonts w:ascii="宋体" w:hAnsi="宋体" w:eastAsia="宋体" w:cs="宋体"/>
                <w:sz w:val="18"/>
                <w:szCs w:val="18"/>
              </w:rPr>
            </w:pPr>
            <w:r>
              <w:rPr>
                <w:rFonts w:ascii="宋体" w:hAnsi="宋体" w:eastAsia="宋体" w:cs="宋体"/>
                <w:sz w:val="18"/>
                <w:szCs w:val="18"/>
              </w:rPr>
              <w:t>1.13%</w:t>
            </w:r>
          </w:p>
        </w:tc>
        <w:tc>
          <w:tcPr>
            <w:tcW w:w="992" w:type="dxa"/>
            <w:tcBorders>
              <w:top w:val="single" w:color="auto" w:sz="2" w:space="0"/>
              <w:left w:val="single" w:color="auto" w:sz="2" w:space="0"/>
              <w:bottom w:val="single" w:color="auto" w:sz="2" w:space="0"/>
              <w:right w:val="single" w:color="auto" w:sz="2" w:space="0"/>
            </w:tcBorders>
            <w:vAlign w:val="center"/>
          </w:tcPr>
          <w:p w14:paraId="4106481A">
            <w:pPr>
              <w:spacing w:line="240" w:lineRule="exact"/>
              <w:jc w:val="right"/>
              <w:rPr>
                <w:rFonts w:ascii="宋体" w:hAnsi="宋体" w:eastAsia="宋体" w:cs="宋体"/>
                <w:sz w:val="18"/>
                <w:szCs w:val="18"/>
              </w:rPr>
            </w:pPr>
            <w:r>
              <w:rPr>
                <w:rFonts w:ascii="宋体" w:hAnsi="宋体" w:eastAsia="宋体" w:cs="宋体"/>
                <w:sz w:val="18"/>
                <w:szCs w:val="18"/>
              </w:rPr>
              <w:t>21.60%</w:t>
            </w:r>
          </w:p>
        </w:tc>
      </w:tr>
      <w:tr w14:paraId="3E41A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533CDF73">
            <w:pPr>
              <w:spacing w:before="40" w:after="40" w:line="240" w:lineRule="exact"/>
              <w:rPr>
                <w:rFonts w:ascii="宋体" w:hAnsi="宋体" w:eastAsia="宋体" w:cs="宋体"/>
                <w:sz w:val="18"/>
                <w:szCs w:val="18"/>
              </w:rPr>
            </w:pPr>
            <w:r>
              <w:rPr>
                <w:rFonts w:ascii="宋体" w:hAnsi="宋体" w:eastAsia="宋体" w:cs="宋体"/>
                <w:sz w:val="18"/>
                <w:szCs w:val="18"/>
              </w:rPr>
              <w:t>分销售模式</w:t>
            </w:r>
          </w:p>
        </w:tc>
      </w:tr>
      <w:tr w14:paraId="08494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14:paraId="46A04A78">
            <w:pPr>
              <w:spacing w:line="240" w:lineRule="exact"/>
              <w:rPr>
                <w:rFonts w:ascii="宋体" w:hAnsi="宋体" w:eastAsia="宋体" w:cs="宋体"/>
                <w:sz w:val="18"/>
                <w:szCs w:val="18"/>
              </w:rPr>
            </w:pPr>
            <w:r>
              <w:rPr>
                <w:rFonts w:ascii="宋体" w:hAnsi="宋体" w:eastAsia="宋体" w:cs="宋体"/>
                <w:sz w:val="18"/>
                <w:szCs w:val="18"/>
              </w:rPr>
              <w:t>线上销售</w:t>
            </w:r>
          </w:p>
        </w:tc>
        <w:tc>
          <w:tcPr>
            <w:tcW w:w="1701" w:type="dxa"/>
            <w:tcBorders>
              <w:top w:val="single" w:color="auto" w:sz="2" w:space="0"/>
              <w:left w:val="single" w:color="auto" w:sz="2" w:space="0"/>
              <w:bottom w:val="single" w:color="auto" w:sz="2" w:space="0"/>
              <w:right w:val="single" w:color="auto" w:sz="2" w:space="0"/>
            </w:tcBorders>
            <w:vAlign w:val="center"/>
          </w:tcPr>
          <w:p w14:paraId="6125870C">
            <w:pPr>
              <w:spacing w:line="240" w:lineRule="exact"/>
              <w:jc w:val="right"/>
              <w:rPr>
                <w:rFonts w:ascii="宋体" w:hAnsi="宋体" w:eastAsia="宋体" w:cs="宋体"/>
                <w:sz w:val="18"/>
                <w:szCs w:val="18"/>
              </w:rPr>
            </w:pPr>
            <w:r>
              <w:rPr>
                <w:rFonts w:ascii="宋体" w:hAnsi="宋体" w:eastAsia="宋体" w:cs="宋体"/>
                <w:sz w:val="18"/>
                <w:szCs w:val="18"/>
              </w:rPr>
              <w:t>129,279,434.68</w:t>
            </w:r>
          </w:p>
        </w:tc>
        <w:tc>
          <w:tcPr>
            <w:tcW w:w="1559" w:type="dxa"/>
            <w:tcBorders>
              <w:top w:val="single" w:color="auto" w:sz="2" w:space="0"/>
              <w:left w:val="single" w:color="auto" w:sz="2" w:space="0"/>
              <w:bottom w:val="single" w:color="auto" w:sz="2" w:space="0"/>
              <w:right w:val="single" w:color="auto" w:sz="2" w:space="0"/>
            </w:tcBorders>
            <w:vAlign w:val="center"/>
          </w:tcPr>
          <w:p w14:paraId="3C2482D2">
            <w:pPr>
              <w:spacing w:line="240" w:lineRule="exact"/>
              <w:jc w:val="right"/>
              <w:rPr>
                <w:rFonts w:ascii="宋体" w:hAnsi="宋体" w:eastAsia="宋体" w:cs="宋体"/>
                <w:sz w:val="18"/>
                <w:szCs w:val="18"/>
              </w:rPr>
            </w:pPr>
            <w:r>
              <w:rPr>
                <w:rFonts w:ascii="宋体" w:hAnsi="宋体" w:eastAsia="宋体" w:cs="宋体"/>
                <w:sz w:val="18"/>
                <w:szCs w:val="18"/>
              </w:rPr>
              <w:t>1.61%</w:t>
            </w:r>
          </w:p>
        </w:tc>
        <w:tc>
          <w:tcPr>
            <w:tcW w:w="1843" w:type="dxa"/>
            <w:tcBorders>
              <w:top w:val="single" w:color="auto" w:sz="2" w:space="0"/>
              <w:left w:val="single" w:color="auto" w:sz="2" w:space="0"/>
              <w:bottom w:val="single" w:color="auto" w:sz="2" w:space="0"/>
              <w:right w:val="single" w:color="auto" w:sz="2" w:space="0"/>
            </w:tcBorders>
            <w:vAlign w:val="center"/>
          </w:tcPr>
          <w:p w14:paraId="5386CD2B">
            <w:pPr>
              <w:spacing w:line="240" w:lineRule="exact"/>
              <w:jc w:val="right"/>
              <w:rPr>
                <w:rFonts w:ascii="宋体" w:hAnsi="宋体" w:eastAsia="宋体" w:cs="宋体"/>
                <w:sz w:val="18"/>
                <w:szCs w:val="18"/>
              </w:rPr>
            </w:pPr>
            <w:r>
              <w:rPr>
                <w:rFonts w:ascii="宋体" w:hAnsi="宋体" w:eastAsia="宋体" w:cs="宋体"/>
                <w:sz w:val="18"/>
                <w:szCs w:val="18"/>
              </w:rPr>
              <w:t>122,063,862.95</w:t>
            </w:r>
          </w:p>
        </w:tc>
        <w:tc>
          <w:tcPr>
            <w:tcW w:w="1559" w:type="dxa"/>
            <w:tcBorders>
              <w:top w:val="single" w:color="auto" w:sz="2" w:space="0"/>
              <w:left w:val="single" w:color="auto" w:sz="2" w:space="0"/>
              <w:bottom w:val="single" w:color="auto" w:sz="2" w:space="0"/>
              <w:right w:val="single" w:color="auto" w:sz="2" w:space="0"/>
            </w:tcBorders>
            <w:vAlign w:val="center"/>
          </w:tcPr>
          <w:p w14:paraId="3EBCB096">
            <w:pPr>
              <w:spacing w:line="240" w:lineRule="exact"/>
              <w:jc w:val="right"/>
              <w:rPr>
                <w:rFonts w:ascii="宋体" w:hAnsi="宋体" w:eastAsia="宋体" w:cs="宋体"/>
                <w:sz w:val="18"/>
                <w:szCs w:val="18"/>
              </w:rPr>
            </w:pPr>
            <w:r>
              <w:rPr>
                <w:rFonts w:ascii="宋体" w:hAnsi="宋体" w:eastAsia="宋体" w:cs="宋体"/>
                <w:sz w:val="18"/>
                <w:szCs w:val="18"/>
              </w:rPr>
              <w:t>1.13%</w:t>
            </w:r>
          </w:p>
        </w:tc>
        <w:tc>
          <w:tcPr>
            <w:tcW w:w="992" w:type="dxa"/>
            <w:tcBorders>
              <w:top w:val="single" w:color="auto" w:sz="2" w:space="0"/>
              <w:left w:val="single" w:color="auto" w:sz="2" w:space="0"/>
              <w:bottom w:val="single" w:color="auto" w:sz="2" w:space="0"/>
              <w:right w:val="single" w:color="auto" w:sz="2" w:space="0"/>
            </w:tcBorders>
            <w:vAlign w:val="center"/>
          </w:tcPr>
          <w:p w14:paraId="63B59D8C">
            <w:pPr>
              <w:spacing w:line="240" w:lineRule="exact"/>
              <w:jc w:val="right"/>
              <w:rPr>
                <w:rFonts w:ascii="宋体" w:hAnsi="宋体" w:eastAsia="宋体" w:cs="宋体"/>
                <w:sz w:val="18"/>
                <w:szCs w:val="18"/>
              </w:rPr>
            </w:pPr>
            <w:r>
              <w:rPr>
                <w:rFonts w:ascii="宋体" w:hAnsi="宋体" w:eastAsia="宋体" w:cs="宋体"/>
                <w:sz w:val="18"/>
                <w:szCs w:val="18"/>
              </w:rPr>
              <w:t>5.91%</w:t>
            </w:r>
          </w:p>
        </w:tc>
      </w:tr>
      <w:tr w14:paraId="06B71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85" w:type="dxa"/>
            <w:tcBorders>
              <w:top w:val="single" w:color="auto" w:sz="2" w:space="0"/>
              <w:left w:val="single" w:color="auto" w:sz="2" w:space="0"/>
              <w:bottom w:val="single" w:color="auto" w:sz="2" w:space="0"/>
              <w:right w:val="single" w:color="auto" w:sz="2" w:space="0"/>
            </w:tcBorders>
            <w:vAlign w:val="center"/>
          </w:tcPr>
          <w:p w14:paraId="27F52E58">
            <w:pPr>
              <w:spacing w:line="240" w:lineRule="exact"/>
              <w:rPr>
                <w:rFonts w:ascii="宋体" w:hAnsi="宋体" w:eastAsia="宋体" w:cs="宋体"/>
                <w:sz w:val="18"/>
                <w:szCs w:val="18"/>
              </w:rPr>
            </w:pPr>
            <w:r>
              <w:rPr>
                <w:rFonts w:ascii="宋体" w:hAnsi="宋体" w:eastAsia="宋体" w:cs="宋体"/>
                <w:sz w:val="18"/>
                <w:szCs w:val="18"/>
              </w:rPr>
              <w:t>直营销售</w:t>
            </w:r>
          </w:p>
        </w:tc>
        <w:tc>
          <w:tcPr>
            <w:tcW w:w="1701" w:type="dxa"/>
            <w:tcBorders>
              <w:top w:val="single" w:color="auto" w:sz="2" w:space="0"/>
              <w:left w:val="single" w:color="auto" w:sz="2" w:space="0"/>
              <w:bottom w:val="single" w:color="auto" w:sz="2" w:space="0"/>
              <w:right w:val="single" w:color="auto" w:sz="2" w:space="0"/>
            </w:tcBorders>
            <w:vAlign w:val="center"/>
          </w:tcPr>
          <w:p w14:paraId="45C1C19A">
            <w:pPr>
              <w:spacing w:line="240" w:lineRule="exact"/>
              <w:jc w:val="right"/>
              <w:rPr>
                <w:rFonts w:ascii="宋体" w:hAnsi="宋体" w:eastAsia="宋体" w:cs="宋体"/>
                <w:sz w:val="18"/>
                <w:szCs w:val="18"/>
              </w:rPr>
            </w:pPr>
            <w:r>
              <w:rPr>
                <w:rFonts w:ascii="宋体" w:hAnsi="宋体" w:eastAsia="宋体" w:cs="宋体"/>
                <w:sz w:val="18"/>
                <w:szCs w:val="18"/>
              </w:rPr>
              <w:t>7,920,780,288.27</w:t>
            </w:r>
          </w:p>
        </w:tc>
        <w:tc>
          <w:tcPr>
            <w:tcW w:w="1559" w:type="dxa"/>
            <w:tcBorders>
              <w:top w:val="single" w:color="auto" w:sz="2" w:space="0"/>
              <w:left w:val="single" w:color="auto" w:sz="2" w:space="0"/>
              <w:bottom w:val="single" w:color="auto" w:sz="2" w:space="0"/>
              <w:right w:val="single" w:color="auto" w:sz="2" w:space="0"/>
            </w:tcBorders>
            <w:vAlign w:val="center"/>
          </w:tcPr>
          <w:p w14:paraId="22BF9095">
            <w:pPr>
              <w:spacing w:line="240" w:lineRule="exact"/>
              <w:jc w:val="right"/>
              <w:rPr>
                <w:rFonts w:ascii="宋体" w:hAnsi="宋体" w:eastAsia="宋体" w:cs="宋体"/>
                <w:sz w:val="18"/>
                <w:szCs w:val="18"/>
              </w:rPr>
            </w:pPr>
            <w:r>
              <w:rPr>
                <w:rFonts w:ascii="宋体" w:hAnsi="宋体" w:eastAsia="宋体" w:cs="宋体"/>
                <w:sz w:val="18"/>
                <w:szCs w:val="18"/>
              </w:rPr>
              <w:t>98.39%</w:t>
            </w:r>
          </w:p>
        </w:tc>
        <w:tc>
          <w:tcPr>
            <w:tcW w:w="1843" w:type="dxa"/>
            <w:tcBorders>
              <w:top w:val="single" w:color="auto" w:sz="2" w:space="0"/>
              <w:left w:val="single" w:color="auto" w:sz="2" w:space="0"/>
              <w:bottom w:val="single" w:color="auto" w:sz="2" w:space="0"/>
              <w:right w:val="single" w:color="auto" w:sz="2" w:space="0"/>
            </w:tcBorders>
            <w:vAlign w:val="center"/>
          </w:tcPr>
          <w:p w14:paraId="1FE4208A">
            <w:pPr>
              <w:spacing w:line="240" w:lineRule="exact"/>
              <w:jc w:val="right"/>
              <w:rPr>
                <w:rFonts w:ascii="宋体" w:hAnsi="宋体" w:eastAsia="宋体" w:cs="宋体"/>
                <w:sz w:val="18"/>
                <w:szCs w:val="18"/>
              </w:rPr>
            </w:pPr>
            <w:r>
              <w:rPr>
                <w:rFonts w:ascii="宋体" w:hAnsi="宋体" w:eastAsia="宋体" w:cs="宋体"/>
                <w:sz w:val="18"/>
                <w:szCs w:val="18"/>
              </w:rPr>
              <w:t>10,639,888,102.37</w:t>
            </w:r>
          </w:p>
        </w:tc>
        <w:tc>
          <w:tcPr>
            <w:tcW w:w="1559" w:type="dxa"/>
            <w:tcBorders>
              <w:top w:val="single" w:color="auto" w:sz="2" w:space="0"/>
              <w:left w:val="single" w:color="auto" w:sz="2" w:space="0"/>
              <w:bottom w:val="single" w:color="auto" w:sz="2" w:space="0"/>
              <w:right w:val="single" w:color="auto" w:sz="2" w:space="0"/>
            </w:tcBorders>
            <w:vAlign w:val="center"/>
          </w:tcPr>
          <w:p w14:paraId="2D5DFF48">
            <w:pPr>
              <w:spacing w:line="240" w:lineRule="exact"/>
              <w:jc w:val="right"/>
              <w:rPr>
                <w:rFonts w:ascii="宋体" w:hAnsi="宋体" w:eastAsia="宋体" w:cs="宋体"/>
                <w:sz w:val="18"/>
                <w:szCs w:val="18"/>
              </w:rPr>
            </w:pPr>
            <w:r>
              <w:rPr>
                <w:rFonts w:ascii="宋体" w:hAnsi="宋体" w:eastAsia="宋体" w:cs="宋体"/>
                <w:sz w:val="18"/>
                <w:szCs w:val="18"/>
              </w:rPr>
              <w:t>98.87%</w:t>
            </w:r>
          </w:p>
        </w:tc>
        <w:tc>
          <w:tcPr>
            <w:tcW w:w="992" w:type="dxa"/>
            <w:tcBorders>
              <w:top w:val="single" w:color="auto" w:sz="2" w:space="0"/>
              <w:left w:val="single" w:color="auto" w:sz="2" w:space="0"/>
              <w:bottom w:val="single" w:color="auto" w:sz="2" w:space="0"/>
              <w:right w:val="single" w:color="auto" w:sz="2" w:space="0"/>
            </w:tcBorders>
            <w:vAlign w:val="center"/>
          </w:tcPr>
          <w:p w14:paraId="66E23D4D">
            <w:pPr>
              <w:spacing w:line="240" w:lineRule="exact"/>
              <w:jc w:val="right"/>
              <w:rPr>
                <w:rFonts w:ascii="宋体" w:hAnsi="宋体" w:eastAsia="宋体" w:cs="宋体"/>
                <w:sz w:val="18"/>
                <w:szCs w:val="18"/>
              </w:rPr>
            </w:pPr>
            <w:r>
              <w:rPr>
                <w:rFonts w:ascii="宋体" w:hAnsi="宋体" w:eastAsia="宋体" w:cs="宋体"/>
                <w:sz w:val="18"/>
                <w:szCs w:val="18"/>
              </w:rPr>
              <w:t>-25.56%</w:t>
            </w:r>
          </w:p>
        </w:tc>
      </w:tr>
    </w:tbl>
    <w:p w14:paraId="4773500D">
      <w:pPr>
        <w:keepNext/>
        <w:keepLines/>
        <w:spacing w:before="300" w:after="300" w:line="280" w:lineRule="exact"/>
        <w:outlineLvl w:val="3"/>
        <w:rPr>
          <w:rFonts w:ascii="宋体" w:hAnsi="宋体" w:eastAsia="宋体" w:cs="宋体"/>
          <w:b/>
          <w:bCs/>
          <w:sz w:val="18"/>
          <w:szCs w:val="18"/>
        </w:rPr>
      </w:pPr>
      <w:bookmarkStart w:id="21" w:name="_Toc988910"/>
      <w:r>
        <w:rPr>
          <w:rFonts w:ascii="宋体" w:hAnsi="宋体" w:eastAsia="宋体" w:cs="宋体"/>
          <w:b/>
          <w:bCs/>
          <w:sz w:val="18"/>
          <w:szCs w:val="18"/>
        </w:rPr>
        <w:t>（2） 占公司营业收入或营业利润10%以上的行业、产品、地区、销售模式的情况</w:t>
      </w:r>
      <w:bookmarkEnd w:id="21"/>
    </w:p>
    <w:p w14:paraId="5B5724E4">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502599AF">
      <w:pPr>
        <w:spacing w:before="100" w:after="100" w:line="240" w:lineRule="exact"/>
        <w:rPr>
          <w:rFonts w:ascii="宋体" w:hAnsi="宋体" w:eastAsia="宋体" w:cs="宋体"/>
          <w:sz w:val="18"/>
          <w:szCs w:val="18"/>
        </w:rPr>
      </w:pPr>
      <w:r>
        <w:rPr>
          <w:rFonts w:ascii="宋体" w:hAnsi="宋体" w:eastAsia="宋体" w:cs="宋体"/>
          <w:sz w:val="18"/>
          <w:szCs w:val="18"/>
        </w:rPr>
        <w:t>公司需遵守《深圳证券交易所上市公司自律监管指引第3号——行业信息披露》中纺织服装相关业的披露要求</w:t>
      </w:r>
    </w:p>
    <w:p w14:paraId="4821A883">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76"/>
        <w:gridCol w:w="1701"/>
        <w:gridCol w:w="1701"/>
        <w:gridCol w:w="851"/>
        <w:gridCol w:w="1417"/>
        <w:gridCol w:w="1418"/>
        <w:gridCol w:w="1275"/>
      </w:tblGrid>
      <w:tr w14:paraId="76E70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14:paraId="0284AB73"/>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050364AD">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24FC615C">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14:paraId="144CD5F6">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14:paraId="469BBEDE">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营业收入比上年同期增减</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14:paraId="39290F2D">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营业成本比上年同期增减</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14:paraId="3D60BE05">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毛利率比上年同期增减</w:t>
            </w:r>
          </w:p>
        </w:tc>
      </w:tr>
      <w:tr w14:paraId="240A3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14:paraId="6CD1B4A6">
            <w:pPr>
              <w:spacing w:before="40" w:after="40" w:line="240" w:lineRule="exact"/>
              <w:rPr>
                <w:rFonts w:ascii="宋体" w:hAnsi="宋体" w:eastAsia="宋体" w:cs="宋体"/>
                <w:sz w:val="18"/>
                <w:szCs w:val="18"/>
              </w:rPr>
            </w:pPr>
            <w:r>
              <w:rPr>
                <w:rFonts w:ascii="宋体" w:hAnsi="宋体" w:eastAsia="宋体" w:cs="宋体"/>
                <w:sz w:val="18"/>
                <w:szCs w:val="18"/>
              </w:rPr>
              <w:t>分行业</w:t>
            </w:r>
          </w:p>
        </w:tc>
      </w:tr>
      <w:tr w14:paraId="6A87A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14:paraId="2BEFE5AF">
            <w:pPr>
              <w:spacing w:line="240" w:lineRule="exact"/>
              <w:rPr>
                <w:rFonts w:ascii="宋体" w:hAnsi="宋体" w:eastAsia="宋体" w:cs="宋体"/>
                <w:sz w:val="18"/>
                <w:szCs w:val="18"/>
              </w:rPr>
            </w:pPr>
            <w:r>
              <w:rPr>
                <w:rFonts w:ascii="宋体" w:hAnsi="宋体" w:eastAsia="宋体" w:cs="宋体"/>
                <w:sz w:val="18"/>
                <w:szCs w:val="18"/>
              </w:rPr>
              <w:t>棉纺行业（主营业务）</w:t>
            </w:r>
          </w:p>
        </w:tc>
        <w:tc>
          <w:tcPr>
            <w:tcW w:w="1701" w:type="dxa"/>
            <w:tcBorders>
              <w:top w:val="single" w:color="auto" w:sz="2" w:space="0"/>
              <w:left w:val="single" w:color="auto" w:sz="2" w:space="0"/>
              <w:bottom w:val="single" w:color="auto" w:sz="2" w:space="0"/>
              <w:right w:val="single" w:color="auto" w:sz="2" w:space="0"/>
            </w:tcBorders>
            <w:vAlign w:val="center"/>
          </w:tcPr>
          <w:p w14:paraId="01D3F25B">
            <w:pPr>
              <w:spacing w:line="240" w:lineRule="exact"/>
              <w:jc w:val="right"/>
              <w:rPr>
                <w:rFonts w:ascii="宋体" w:hAnsi="宋体" w:eastAsia="宋体" w:cs="宋体"/>
                <w:sz w:val="18"/>
                <w:szCs w:val="18"/>
              </w:rPr>
            </w:pPr>
            <w:r>
              <w:rPr>
                <w:rFonts w:ascii="宋体" w:hAnsi="宋体" w:eastAsia="宋体" w:cs="宋体"/>
                <w:sz w:val="18"/>
                <w:szCs w:val="18"/>
              </w:rPr>
              <w:t>7,854,687,268.37</w:t>
            </w:r>
          </w:p>
        </w:tc>
        <w:tc>
          <w:tcPr>
            <w:tcW w:w="1701" w:type="dxa"/>
            <w:tcBorders>
              <w:top w:val="single" w:color="auto" w:sz="2" w:space="0"/>
              <w:left w:val="single" w:color="auto" w:sz="2" w:space="0"/>
              <w:bottom w:val="single" w:color="auto" w:sz="2" w:space="0"/>
              <w:right w:val="single" w:color="auto" w:sz="2" w:space="0"/>
            </w:tcBorders>
            <w:vAlign w:val="center"/>
          </w:tcPr>
          <w:p w14:paraId="7544C7FE">
            <w:pPr>
              <w:spacing w:line="240" w:lineRule="exact"/>
              <w:jc w:val="right"/>
              <w:rPr>
                <w:rFonts w:ascii="宋体" w:hAnsi="宋体" w:eastAsia="宋体" w:cs="宋体"/>
                <w:sz w:val="18"/>
                <w:szCs w:val="18"/>
              </w:rPr>
            </w:pPr>
            <w:r>
              <w:rPr>
                <w:rFonts w:ascii="宋体" w:hAnsi="宋体" w:eastAsia="宋体" w:cs="宋体"/>
                <w:sz w:val="18"/>
                <w:szCs w:val="18"/>
              </w:rPr>
              <w:t>7,254,836,265.82</w:t>
            </w:r>
          </w:p>
        </w:tc>
        <w:tc>
          <w:tcPr>
            <w:tcW w:w="851" w:type="dxa"/>
            <w:tcBorders>
              <w:top w:val="single" w:color="auto" w:sz="2" w:space="0"/>
              <w:left w:val="single" w:color="auto" w:sz="2" w:space="0"/>
              <w:bottom w:val="single" w:color="auto" w:sz="2" w:space="0"/>
              <w:right w:val="single" w:color="auto" w:sz="2" w:space="0"/>
            </w:tcBorders>
            <w:vAlign w:val="center"/>
          </w:tcPr>
          <w:p w14:paraId="4AF19549">
            <w:pPr>
              <w:spacing w:line="240" w:lineRule="exact"/>
              <w:jc w:val="right"/>
              <w:rPr>
                <w:rFonts w:ascii="宋体" w:hAnsi="宋体" w:eastAsia="宋体" w:cs="宋体"/>
                <w:sz w:val="18"/>
                <w:szCs w:val="18"/>
              </w:rPr>
            </w:pPr>
            <w:r>
              <w:rPr>
                <w:rFonts w:ascii="宋体" w:hAnsi="宋体" w:eastAsia="宋体" w:cs="宋体"/>
                <w:sz w:val="18"/>
                <w:szCs w:val="18"/>
              </w:rPr>
              <w:t>7.64%</w:t>
            </w:r>
          </w:p>
        </w:tc>
        <w:tc>
          <w:tcPr>
            <w:tcW w:w="1417" w:type="dxa"/>
            <w:tcBorders>
              <w:top w:val="single" w:color="auto" w:sz="2" w:space="0"/>
              <w:left w:val="single" w:color="auto" w:sz="2" w:space="0"/>
              <w:bottom w:val="single" w:color="auto" w:sz="2" w:space="0"/>
              <w:right w:val="single" w:color="auto" w:sz="2" w:space="0"/>
            </w:tcBorders>
            <w:vAlign w:val="center"/>
          </w:tcPr>
          <w:p w14:paraId="1A05641A">
            <w:pPr>
              <w:spacing w:line="240" w:lineRule="exact"/>
              <w:jc w:val="right"/>
              <w:rPr>
                <w:rFonts w:ascii="宋体" w:hAnsi="宋体" w:eastAsia="宋体" w:cs="宋体"/>
                <w:sz w:val="18"/>
                <w:szCs w:val="18"/>
              </w:rPr>
            </w:pPr>
            <w:r>
              <w:rPr>
                <w:rFonts w:ascii="宋体" w:hAnsi="宋体" w:eastAsia="宋体" w:cs="宋体"/>
                <w:sz w:val="18"/>
                <w:szCs w:val="18"/>
              </w:rPr>
              <w:t>-26.00%</w:t>
            </w:r>
          </w:p>
        </w:tc>
        <w:tc>
          <w:tcPr>
            <w:tcW w:w="1418" w:type="dxa"/>
            <w:tcBorders>
              <w:top w:val="single" w:color="auto" w:sz="2" w:space="0"/>
              <w:left w:val="single" w:color="auto" w:sz="2" w:space="0"/>
              <w:bottom w:val="single" w:color="auto" w:sz="2" w:space="0"/>
              <w:right w:val="single" w:color="auto" w:sz="2" w:space="0"/>
            </w:tcBorders>
            <w:vAlign w:val="center"/>
          </w:tcPr>
          <w:p w14:paraId="3F122170">
            <w:pPr>
              <w:spacing w:line="240" w:lineRule="exact"/>
              <w:jc w:val="right"/>
              <w:rPr>
                <w:rFonts w:ascii="宋体" w:hAnsi="宋体" w:eastAsia="宋体" w:cs="宋体"/>
                <w:sz w:val="18"/>
                <w:szCs w:val="18"/>
              </w:rPr>
            </w:pPr>
            <w:r>
              <w:rPr>
                <w:rFonts w:ascii="宋体" w:hAnsi="宋体" w:eastAsia="宋体" w:cs="宋体"/>
                <w:sz w:val="18"/>
                <w:szCs w:val="18"/>
              </w:rPr>
              <w:t>-28.44%</w:t>
            </w:r>
          </w:p>
        </w:tc>
        <w:tc>
          <w:tcPr>
            <w:tcW w:w="1275" w:type="dxa"/>
            <w:tcBorders>
              <w:top w:val="single" w:color="auto" w:sz="2" w:space="0"/>
              <w:left w:val="single" w:color="auto" w:sz="2" w:space="0"/>
              <w:bottom w:val="single" w:color="auto" w:sz="2" w:space="0"/>
              <w:right w:val="single" w:color="auto" w:sz="2" w:space="0"/>
            </w:tcBorders>
            <w:vAlign w:val="center"/>
          </w:tcPr>
          <w:p w14:paraId="288BCFF3">
            <w:pPr>
              <w:spacing w:line="240" w:lineRule="exact"/>
              <w:jc w:val="right"/>
              <w:rPr>
                <w:rFonts w:ascii="宋体" w:hAnsi="宋体" w:eastAsia="宋体" w:cs="宋体"/>
                <w:sz w:val="18"/>
                <w:szCs w:val="18"/>
              </w:rPr>
            </w:pPr>
            <w:r>
              <w:rPr>
                <w:rFonts w:ascii="宋体" w:hAnsi="宋体" w:eastAsia="宋体" w:cs="宋体"/>
                <w:sz w:val="18"/>
                <w:szCs w:val="18"/>
              </w:rPr>
              <w:t>3.15%</w:t>
            </w:r>
          </w:p>
        </w:tc>
      </w:tr>
      <w:tr w14:paraId="6994B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14:paraId="593980C7">
            <w:pPr>
              <w:spacing w:before="40" w:after="40" w:line="240" w:lineRule="exact"/>
              <w:rPr>
                <w:rFonts w:ascii="宋体" w:hAnsi="宋体" w:eastAsia="宋体" w:cs="宋体"/>
                <w:sz w:val="18"/>
                <w:szCs w:val="18"/>
              </w:rPr>
            </w:pPr>
            <w:r>
              <w:rPr>
                <w:rFonts w:ascii="宋体" w:hAnsi="宋体" w:eastAsia="宋体" w:cs="宋体"/>
                <w:sz w:val="18"/>
                <w:szCs w:val="18"/>
              </w:rPr>
              <w:t>分产品</w:t>
            </w:r>
          </w:p>
        </w:tc>
      </w:tr>
      <w:tr w14:paraId="4EBD9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14:paraId="697ED941">
            <w:pPr>
              <w:spacing w:line="240" w:lineRule="exact"/>
              <w:rPr>
                <w:rFonts w:ascii="宋体" w:hAnsi="宋体" w:eastAsia="宋体" w:cs="宋体"/>
                <w:sz w:val="18"/>
                <w:szCs w:val="18"/>
              </w:rPr>
            </w:pPr>
            <w:r>
              <w:rPr>
                <w:rFonts w:ascii="宋体" w:hAnsi="宋体" w:eastAsia="宋体" w:cs="宋体"/>
                <w:sz w:val="18"/>
                <w:szCs w:val="18"/>
              </w:rPr>
              <w:t>纱线</w:t>
            </w:r>
          </w:p>
        </w:tc>
        <w:tc>
          <w:tcPr>
            <w:tcW w:w="1701" w:type="dxa"/>
            <w:tcBorders>
              <w:top w:val="single" w:color="auto" w:sz="2" w:space="0"/>
              <w:left w:val="single" w:color="auto" w:sz="2" w:space="0"/>
              <w:bottom w:val="single" w:color="auto" w:sz="2" w:space="0"/>
              <w:right w:val="single" w:color="auto" w:sz="2" w:space="0"/>
            </w:tcBorders>
            <w:vAlign w:val="center"/>
          </w:tcPr>
          <w:p w14:paraId="714AF7A8">
            <w:pPr>
              <w:spacing w:line="240" w:lineRule="exact"/>
              <w:jc w:val="right"/>
              <w:rPr>
                <w:rFonts w:ascii="宋体" w:hAnsi="宋体" w:eastAsia="宋体" w:cs="宋体"/>
                <w:sz w:val="18"/>
                <w:szCs w:val="18"/>
              </w:rPr>
            </w:pPr>
            <w:r>
              <w:rPr>
                <w:rFonts w:ascii="宋体" w:hAnsi="宋体" w:eastAsia="宋体" w:cs="宋体"/>
                <w:sz w:val="18"/>
                <w:szCs w:val="18"/>
              </w:rPr>
              <w:t>6,346,638,252.32</w:t>
            </w:r>
          </w:p>
        </w:tc>
        <w:tc>
          <w:tcPr>
            <w:tcW w:w="1701" w:type="dxa"/>
            <w:tcBorders>
              <w:top w:val="single" w:color="auto" w:sz="2" w:space="0"/>
              <w:left w:val="single" w:color="auto" w:sz="2" w:space="0"/>
              <w:bottom w:val="single" w:color="auto" w:sz="2" w:space="0"/>
              <w:right w:val="single" w:color="auto" w:sz="2" w:space="0"/>
            </w:tcBorders>
            <w:vAlign w:val="center"/>
          </w:tcPr>
          <w:p w14:paraId="3AE7345D">
            <w:pPr>
              <w:spacing w:line="240" w:lineRule="exact"/>
              <w:jc w:val="right"/>
              <w:rPr>
                <w:rFonts w:ascii="宋体" w:hAnsi="宋体" w:eastAsia="宋体" w:cs="宋体"/>
                <w:sz w:val="18"/>
                <w:szCs w:val="18"/>
              </w:rPr>
            </w:pPr>
            <w:r>
              <w:rPr>
                <w:rFonts w:ascii="宋体" w:hAnsi="宋体" w:eastAsia="宋体" w:cs="宋体"/>
                <w:sz w:val="18"/>
                <w:szCs w:val="18"/>
              </w:rPr>
              <w:t>5,864,956,167.00</w:t>
            </w:r>
          </w:p>
        </w:tc>
        <w:tc>
          <w:tcPr>
            <w:tcW w:w="851" w:type="dxa"/>
            <w:tcBorders>
              <w:top w:val="single" w:color="auto" w:sz="2" w:space="0"/>
              <w:left w:val="single" w:color="auto" w:sz="2" w:space="0"/>
              <w:bottom w:val="single" w:color="auto" w:sz="2" w:space="0"/>
              <w:right w:val="single" w:color="auto" w:sz="2" w:space="0"/>
            </w:tcBorders>
            <w:vAlign w:val="center"/>
          </w:tcPr>
          <w:p w14:paraId="250DA4A8">
            <w:pPr>
              <w:spacing w:line="240" w:lineRule="exact"/>
              <w:jc w:val="right"/>
              <w:rPr>
                <w:rFonts w:ascii="宋体" w:hAnsi="宋体" w:eastAsia="宋体" w:cs="宋体"/>
                <w:sz w:val="18"/>
                <w:szCs w:val="18"/>
              </w:rPr>
            </w:pPr>
            <w:r>
              <w:rPr>
                <w:rFonts w:ascii="宋体" w:hAnsi="宋体" w:eastAsia="宋体" w:cs="宋体"/>
                <w:sz w:val="18"/>
                <w:szCs w:val="18"/>
              </w:rPr>
              <w:t>7.59%</w:t>
            </w:r>
          </w:p>
        </w:tc>
        <w:tc>
          <w:tcPr>
            <w:tcW w:w="1417" w:type="dxa"/>
            <w:tcBorders>
              <w:top w:val="single" w:color="auto" w:sz="2" w:space="0"/>
              <w:left w:val="single" w:color="auto" w:sz="2" w:space="0"/>
              <w:bottom w:val="single" w:color="auto" w:sz="2" w:space="0"/>
              <w:right w:val="single" w:color="auto" w:sz="2" w:space="0"/>
            </w:tcBorders>
            <w:vAlign w:val="center"/>
          </w:tcPr>
          <w:p w14:paraId="0D4A817E">
            <w:pPr>
              <w:spacing w:line="240" w:lineRule="exact"/>
              <w:jc w:val="right"/>
              <w:rPr>
                <w:rFonts w:ascii="宋体" w:hAnsi="宋体" w:eastAsia="宋体" w:cs="宋体"/>
                <w:sz w:val="18"/>
                <w:szCs w:val="18"/>
              </w:rPr>
            </w:pPr>
            <w:r>
              <w:rPr>
                <w:rFonts w:ascii="宋体" w:hAnsi="宋体" w:eastAsia="宋体" w:cs="宋体"/>
                <w:sz w:val="18"/>
                <w:szCs w:val="18"/>
              </w:rPr>
              <w:t>0.84%</w:t>
            </w:r>
          </w:p>
        </w:tc>
        <w:tc>
          <w:tcPr>
            <w:tcW w:w="1418" w:type="dxa"/>
            <w:tcBorders>
              <w:top w:val="single" w:color="auto" w:sz="2" w:space="0"/>
              <w:left w:val="single" w:color="auto" w:sz="2" w:space="0"/>
              <w:bottom w:val="single" w:color="auto" w:sz="2" w:space="0"/>
              <w:right w:val="single" w:color="auto" w:sz="2" w:space="0"/>
            </w:tcBorders>
            <w:vAlign w:val="center"/>
          </w:tcPr>
          <w:p w14:paraId="79471DE3">
            <w:pPr>
              <w:spacing w:line="240" w:lineRule="exact"/>
              <w:jc w:val="right"/>
              <w:rPr>
                <w:rFonts w:ascii="宋体" w:hAnsi="宋体" w:eastAsia="宋体" w:cs="宋体"/>
                <w:sz w:val="18"/>
                <w:szCs w:val="18"/>
              </w:rPr>
            </w:pPr>
            <w:r>
              <w:rPr>
                <w:rFonts w:ascii="宋体" w:hAnsi="宋体" w:eastAsia="宋体" w:cs="宋体"/>
                <w:sz w:val="18"/>
                <w:szCs w:val="18"/>
              </w:rPr>
              <w:t>-1.46%</w:t>
            </w:r>
          </w:p>
        </w:tc>
        <w:tc>
          <w:tcPr>
            <w:tcW w:w="1275" w:type="dxa"/>
            <w:tcBorders>
              <w:top w:val="single" w:color="auto" w:sz="2" w:space="0"/>
              <w:left w:val="single" w:color="auto" w:sz="2" w:space="0"/>
              <w:bottom w:val="single" w:color="auto" w:sz="2" w:space="0"/>
              <w:right w:val="single" w:color="auto" w:sz="2" w:space="0"/>
            </w:tcBorders>
            <w:vAlign w:val="center"/>
          </w:tcPr>
          <w:p w14:paraId="253D3F0C">
            <w:pPr>
              <w:spacing w:line="240" w:lineRule="exact"/>
              <w:jc w:val="right"/>
              <w:rPr>
                <w:rFonts w:ascii="宋体" w:hAnsi="宋体" w:eastAsia="宋体" w:cs="宋体"/>
                <w:sz w:val="18"/>
                <w:szCs w:val="18"/>
              </w:rPr>
            </w:pPr>
            <w:r>
              <w:rPr>
                <w:rFonts w:ascii="宋体" w:hAnsi="宋体" w:eastAsia="宋体" w:cs="宋体"/>
                <w:sz w:val="18"/>
                <w:szCs w:val="18"/>
              </w:rPr>
              <w:t>2.16%</w:t>
            </w:r>
          </w:p>
        </w:tc>
      </w:tr>
      <w:tr w14:paraId="456D1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14:paraId="2C9CF83A">
            <w:pPr>
              <w:spacing w:line="240" w:lineRule="exact"/>
              <w:rPr>
                <w:rFonts w:ascii="宋体" w:hAnsi="宋体" w:eastAsia="宋体" w:cs="宋体"/>
                <w:sz w:val="18"/>
                <w:szCs w:val="18"/>
              </w:rPr>
            </w:pPr>
            <w:r>
              <w:rPr>
                <w:rFonts w:ascii="宋体" w:hAnsi="宋体" w:eastAsia="宋体" w:cs="宋体"/>
                <w:sz w:val="18"/>
                <w:szCs w:val="18"/>
              </w:rPr>
              <w:t>棉业</w:t>
            </w:r>
          </w:p>
        </w:tc>
        <w:tc>
          <w:tcPr>
            <w:tcW w:w="1701" w:type="dxa"/>
            <w:tcBorders>
              <w:top w:val="single" w:color="auto" w:sz="2" w:space="0"/>
              <w:left w:val="single" w:color="auto" w:sz="2" w:space="0"/>
              <w:bottom w:val="single" w:color="auto" w:sz="2" w:space="0"/>
              <w:right w:val="single" w:color="auto" w:sz="2" w:space="0"/>
            </w:tcBorders>
            <w:vAlign w:val="center"/>
          </w:tcPr>
          <w:p w14:paraId="04164D8D">
            <w:pPr>
              <w:spacing w:line="240" w:lineRule="exact"/>
              <w:jc w:val="right"/>
              <w:rPr>
                <w:rFonts w:ascii="宋体" w:hAnsi="宋体" w:eastAsia="宋体" w:cs="宋体"/>
                <w:sz w:val="18"/>
                <w:szCs w:val="18"/>
              </w:rPr>
            </w:pPr>
            <w:r>
              <w:rPr>
                <w:rFonts w:ascii="宋体" w:hAnsi="宋体" w:eastAsia="宋体" w:cs="宋体"/>
                <w:sz w:val="18"/>
                <w:szCs w:val="18"/>
              </w:rPr>
              <w:t>1,221,713,392.00</w:t>
            </w:r>
          </w:p>
        </w:tc>
        <w:tc>
          <w:tcPr>
            <w:tcW w:w="1701" w:type="dxa"/>
            <w:tcBorders>
              <w:top w:val="single" w:color="auto" w:sz="2" w:space="0"/>
              <w:left w:val="single" w:color="auto" w:sz="2" w:space="0"/>
              <w:bottom w:val="single" w:color="auto" w:sz="2" w:space="0"/>
              <w:right w:val="single" w:color="auto" w:sz="2" w:space="0"/>
            </w:tcBorders>
            <w:vAlign w:val="center"/>
          </w:tcPr>
          <w:p w14:paraId="4CB26019">
            <w:pPr>
              <w:spacing w:line="240" w:lineRule="exact"/>
              <w:jc w:val="right"/>
              <w:rPr>
                <w:rFonts w:ascii="宋体" w:hAnsi="宋体" w:eastAsia="宋体" w:cs="宋体"/>
                <w:sz w:val="18"/>
                <w:szCs w:val="18"/>
              </w:rPr>
            </w:pPr>
            <w:r>
              <w:rPr>
                <w:rFonts w:ascii="宋体" w:hAnsi="宋体" w:eastAsia="宋体" w:cs="宋体"/>
                <w:sz w:val="18"/>
                <w:szCs w:val="18"/>
              </w:rPr>
              <w:t>1,171,314,999.86</w:t>
            </w:r>
          </w:p>
        </w:tc>
        <w:tc>
          <w:tcPr>
            <w:tcW w:w="851" w:type="dxa"/>
            <w:tcBorders>
              <w:top w:val="single" w:color="auto" w:sz="2" w:space="0"/>
              <w:left w:val="single" w:color="auto" w:sz="2" w:space="0"/>
              <w:bottom w:val="single" w:color="auto" w:sz="2" w:space="0"/>
              <w:right w:val="single" w:color="auto" w:sz="2" w:space="0"/>
            </w:tcBorders>
            <w:vAlign w:val="center"/>
          </w:tcPr>
          <w:p w14:paraId="1FE5CB67">
            <w:pPr>
              <w:spacing w:line="240" w:lineRule="exact"/>
              <w:jc w:val="right"/>
              <w:rPr>
                <w:rFonts w:ascii="宋体" w:hAnsi="宋体" w:eastAsia="宋体" w:cs="宋体"/>
                <w:sz w:val="18"/>
                <w:szCs w:val="18"/>
              </w:rPr>
            </w:pPr>
            <w:r>
              <w:rPr>
                <w:rFonts w:ascii="宋体" w:hAnsi="宋体" w:eastAsia="宋体" w:cs="宋体"/>
                <w:sz w:val="18"/>
                <w:szCs w:val="18"/>
              </w:rPr>
              <w:t>4.13%</w:t>
            </w:r>
          </w:p>
        </w:tc>
        <w:tc>
          <w:tcPr>
            <w:tcW w:w="1417" w:type="dxa"/>
            <w:tcBorders>
              <w:top w:val="single" w:color="auto" w:sz="2" w:space="0"/>
              <w:left w:val="single" w:color="auto" w:sz="2" w:space="0"/>
              <w:bottom w:val="single" w:color="auto" w:sz="2" w:space="0"/>
              <w:right w:val="single" w:color="auto" w:sz="2" w:space="0"/>
            </w:tcBorders>
            <w:vAlign w:val="center"/>
          </w:tcPr>
          <w:p w14:paraId="777D6BA1">
            <w:pPr>
              <w:spacing w:line="240" w:lineRule="exact"/>
              <w:jc w:val="right"/>
              <w:rPr>
                <w:rFonts w:ascii="宋体" w:hAnsi="宋体" w:eastAsia="宋体" w:cs="宋体"/>
                <w:sz w:val="18"/>
                <w:szCs w:val="18"/>
              </w:rPr>
            </w:pPr>
            <w:r>
              <w:rPr>
                <w:rFonts w:ascii="宋体" w:hAnsi="宋体" w:eastAsia="宋体" w:cs="宋体"/>
                <w:sz w:val="18"/>
                <w:szCs w:val="18"/>
              </w:rPr>
              <w:t>-70.10%</w:t>
            </w:r>
          </w:p>
        </w:tc>
        <w:tc>
          <w:tcPr>
            <w:tcW w:w="1418" w:type="dxa"/>
            <w:tcBorders>
              <w:top w:val="single" w:color="auto" w:sz="2" w:space="0"/>
              <w:left w:val="single" w:color="auto" w:sz="2" w:space="0"/>
              <w:bottom w:val="single" w:color="auto" w:sz="2" w:space="0"/>
              <w:right w:val="single" w:color="auto" w:sz="2" w:space="0"/>
            </w:tcBorders>
            <w:vAlign w:val="center"/>
          </w:tcPr>
          <w:p w14:paraId="6077B77E">
            <w:pPr>
              <w:spacing w:line="240" w:lineRule="exact"/>
              <w:jc w:val="right"/>
              <w:rPr>
                <w:rFonts w:ascii="宋体" w:hAnsi="宋体" w:eastAsia="宋体" w:cs="宋体"/>
                <w:sz w:val="18"/>
                <w:szCs w:val="18"/>
              </w:rPr>
            </w:pPr>
            <w:r>
              <w:rPr>
                <w:rFonts w:ascii="宋体" w:hAnsi="宋体" w:eastAsia="宋体" w:cs="宋体"/>
                <w:sz w:val="18"/>
                <w:szCs w:val="18"/>
              </w:rPr>
              <w:t>-70.83%</w:t>
            </w:r>
          </w:p>
        </w:tc>
        <w:tc>
          <w:tcPr>
            <w:tcW w:w="1275" w:type="dxa"/>
            <w:tcBorders>
              <w:top w:val="single" w:color="auto" w:sz="2" w:space="0"/>
              <w:left w:val="single" w:color="auto" w:sz="2" w:space="0"/>
              <w:bottom w:val="single" w:color="auto" w:sz="2" w:space="0"/>
              <w:right w:val="single" w:color="auto" w:sz="2" w:space="0"/>
            </w:tcBorders>
            <w:vAlign w:val="center"/>
          </w:tcPr>
          <w:p w14:paraId="793D1C80">
            <w:pPr>
              <w:spacing w:line="240" w:lineRule="exact"/>
              <w:jc w:val="right"/>
              <w:rPr>
                <w:rFonts w:ascii="宋体" w:hAnsi="宋体" w:eastAsia="宋体" w:cs="宋体"/>
                <w:sz w:val="18"/>
                <w:szCs w:val="18"/>
              </w:rPr>
            </w:pPr>
            <w:r>
              <w:rPr>
                <w:rFonts w:ascii="宋体" w:hAnsi="宋体" w:eastAsia="宋体" w:cs="宋体"/>
                <w:sz w:val="18"/>
                <w:szCs w:val="18"/>
              </w:rPr>
              <w:t>2.42%</w:t>
            </w:r>
          </w:p>
        </w:tc>
      </w:tr>
      <w:tr w14:paraId="76049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14:paraId="6E63A6AC">
            <w:pPr>
              <w:spacing w:line="240" w:lineRule="exact"/>
              <w:rPr>
                <w:rFonts w:ascii="宋体" w:hAnsi="宋体" w:eastAsia="宋体" w:cs="宋体"/>
                <w:sz w:val="18"/>
                <w:szCs w:val="18"/>
              </w:rPr>
            </w:pPr>
            <w:r>
              <w:rPr>
                <w:rFonts w:ascii="宋体" w:hAnsi="宋体" w:eastAsia="宋体" w:cs="宋体"/>
                <w:sz w:val="18"/>
                <w:szCs w:val="18"/>
              </w:rPr>
              <w:t>袜业</w:t>
            </w:r>
          </w:p>
        </w:tc>
        <w:tc>
          <w:tcPr>
            <w:tcW w:w="1701" w:type="dxa"/>
            <w:tcBorders>
              <w:top w:val="single" w:color="auto" w:sz="2" w:space="0"/>
              <w:left w:val="single" w:color="auto" w:sz="2" w:space="0"/>
              <w:bottom w:val="single" w:color="auto" w:sz="2" w:space="0"/>
              <w:right w:val="single" w:color="auto" w:sz="2" w:space="0"/>
            </w:tcBorders>
            <w:vAlign w:val="center"/>
          </w:tcPr>
          <w:p w14:paraId="5E09A296">
            <w:pPr>
              <w:spacing w:line="240" w:lineRule="exact"/>
              <w:jc w:val="right"/>
              <w:rPr>
                <w:rFonts w:ascii="宋体" w:hAnsi="宋体" w:eastAsia="宋体" w:cs="宋体"/>
                <w:sz w:val="18"/>
                <w:szCs w:val="18"/>
              </w:rPr>
            </w:pPr>
            <w:r>
              <w:rPr>
                <w:rFonts w:ascii="宋体" w:hAnsi="宋体" w:eastAsia="宋体" w:cs="宋体"/>
                <w:sz w:val="18"/>
                <w:szCs w:val="18"/>
              </w:rPr>
              <w:t>286,335,624.05</w:t>
            </w:r>
          </w:p>
        </w:tc>
        <w:tc>
          <w:tcPr>
            <w:tcW w:w="1701" w:type="dxa"/>
            <w:tcBorders>
              <w:top w:val="single" w:color="auto" w:sz="2" w:space="0"/>
              <w:left w:val="single" w:color="auto" w:sz="2" w:space="0"/>
              <w:bottom w:val="single" w:color="auto" w:sz="2" w:space="0"/>
              <w:right w:val="single" w:color="auto" w:sz="2" w:space="0"/>
            </w:tcBorders>
            <w:vAlign w:val="center"/>
          </w:tcPr>
          <w:p w14:paraId="4C30F5A9">
            <w:pPr>
              <w:spacing w:line="240" w:lineRule="exact"/>
              <w:jc w:val="right"/>
              <w:rPr>
                <w:rFonts w:ascii="宋体" w:hAnsi="宋体" w:eastAsia="宋体" w:cs="宋体"/>
                <w:sz w:val="18"/>
                <w:szCs w:val="18"/>
              </w:rPr>
            </w:pPr>
            <w:r>
              <w:rPr>
                <w:rFonts w:ascii="宋体" w:hAnsi="宋体" w:eastAsia="宋体" w:cs="宋体"/>
                <w:sz w:val="18"/>
                <w:szCs w:val="18"/>
              </w:rPr>
              <w:t>218,565,098.96</w:t>
            </w:r>
          </w:p>
        </w:tc>
        <w:tc>
          <w:tcPr>
            <w:tcW w:w="851" w:type="dxa"/>
            <w:tcBorders>
              <w:top w:val="single" w:color="auto" w:sz="2" w:space="0"/>
              <w:left w:val="single" w:color="auto" w:sz="2" w:space="0"/>
              <w:bottom w:val="single" w:color="auto" w:sz="2" w:space="0"/>
              <w:right w:val="single" w:color="auto" w:sz="2" w:space="0"/>
            </w:tcBorders>
            <w:vAlign w:val="center"/>
          </w:tcPr>
          <w:p w14:paraId="5717B56B">
            <w:pPr>
              <w:spacing w:line="240" w:lineRule="exact"/>
              <w:jc w:val="right"/>
              <w:rPr>
                <w:rFonts w:ascii="宋体" w:hAnsi="宋体" w:eastAsia="宋体" w:cs="宋体"/>
                <w:sz w:val="18"/>
                <w:szCs w:val="18"/>
              </w:rPr>
            </w:pPr>
            <w:r>
              <w:rPr>
                <w:rFonts w:ascii="宋体" w:hAnsi="宋体" w:eastAsia="宋体" w:cs="宋体"/>
                <w:sz w:val="18"/>
                <w:szCs w:val="18"/>
              </w:rPr>
              <w:t>23.67%</w:t>
            </w:r>
          </w:p>
        </w:tc>
        <w:tc>
          <w:tcPr>
            <w:tcW w:w="1417" w:type="dxa"/>
            <w:tcBorders>
              <w:top w:val="single" w:color="auto" w:sz="2" w:space="0"/>
              <w:left w:val="single" w:color="auto" w:sz="2" w:space="0"/>
              <w:bottom w:val="single" w:color="auto" w:sz="2" w:space="0"/>
              <w:right w:val="single" w:color="auto" w:sz="2" w:space="0"/>
            </w:tcBorders>
            <w:vAlign w:val="center"/>
          </w:tcPr>
          <w:p w14:paraId="4505BBE9">
            <w:pPr>
              <w:spacing w:line="240" w:lineRule="exact"/>
              <w:jc w:val="right"/>
              <w:rPr>
                <w:rFonts w:ascii="宋体" w:hAnsi="宋体" w:eastAsia="宋体" w:cs="宋体"/>
                <w:sz w:val="18"/>
                <w:szCs w:val="18"/>
              </w:rPr>
            </w:pPr>
            <w:r>
              <w:rPr>
                <w:rFonts w:ascii="宋体" w:hAnsi="宋体" w:eastAsia="宋体" w:cs="宋体"/>
                <w:sz w:val="18"/>
                <w:szCs w:val="18"/>
              </w:rPr>
              <w:t>21.64%</w:t>
            </w:r>
          </w:p>
        </w:tc>
        <w:tc>
          <w:tcPr>
            <w:tcW w:w="1418" w:type="dxa"/>
            <w:tcBorders>
              <w:top w:val="single" w:color="auto" w:sz="2" w:space="0"/>
              <w:left w:val="single" w:color="auto" w:sz="2" w:space="0"/>
              <w:bottom w:val="single" w:color="auto" w:sz="2" w:space="0"/>
              <w:right w:val="single" w:color="auto" w:sz="2" w:space="0"/>
            </w:tcBorders>
            <w:vAlign w:val="center"/>
          </w:tcPr>
          <w:p w14:paraId="495A3DAA">
            <w:pPr>
              <w:spacing w:line="240" w:lineRule="exact"/>
              <w:jc w:val="right"/>
              <w:rPr>
                <w:rFonts w:ascii="宋体" w:hAnsi="宋体" w:eastAsia="宋体" w:cs="宋体"/>
                <w:sz w:val="18"/>
                <w:szCs w:val="18"/>
              </w:rPr>
            </w:pPr>
            <w:r>
              <w:rPr>
                <w:rFonts w:ascii="宋体" w:hAnsi="宋体" w:eastAsia="宋体" w:cs="宋体"/>
                <w:sz w:val="18"/>
                <w:szCs w:val="18"/>
              </w:rPr>
              <w:t>28.17%</w:t>
            </w:r>
          </w:p>
        </w:tc>
        <w:tc>
          <w:tcPr>
            <w:tcW w:w="1275" w:type="dxa"/>
            <w:tcBorders>
              <w:top w:val="single" w:color="auto" w:sz="2" w:space="0"/>
              <w:left w:val="single" w:color="auto" w:sz="2" w:space="0"/>
              <w:bottom w:val="single" w:color="auto" w:sz="2" w:space="0"/>
              <w:right w:val="single" w:color="auto" w:sz="2" w:space="0"/>
            </w:tcBorders>
            <w:vAlign w:val="center"/>
          </w:tcPr>
          <w:p w14:paraId="6EA995AB">
            <w:pPr>
              <w:spacing w:line="240" w:lineRule="exact"/>
              <w:jc w:val="right"/>
              <w:rPr>
                <w:rFonts w:ascii="宋体" w:hAnsi="宋体" w:eastAsia="宋体" w:cs="宋体"/>
                <w:sz w:val="18"/>
                <w:szCs w:val="18"/>
              </w:rPr>
            </w:pPr>
            <w:r>
              <w:rPr>
                <w:rFonts w:ascii="宋体" w:hAnsi="宋体" w:eastAsia="宋体" w:cs="宋体"/>
                <w:sz w:val="18"/>
                <w:szCs w:val="18"/>
              </w:rPr>
              <w:t>-3.89%</w:t>
            </w:r>
          </w:p>
        </w:tc>
      </w:tr>
      <w:tr w14:paraId="7F1E2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14:paraId="31BD4B8F">
            <w:pPr>
              <w:spacing w:before="40" w:after="40" w:line="240" w:lineRule="exact"/>
              <w:rPr>
                <w:rFonts w:ascii="宋体" w:hAnsi="宋体" w:eastAsia="宋体" w:cs="宋体"/>
                <w:sz w:val="18"/>
                <w:szCs w:val="18"/>
              </w:rPr>
            </w:pPr>
            <w:r>
              <w:rPr>
                <w:rFonts w:ascii="宋体" w:hAnsi="宋体" w:eastAsia="宋体" w:cs="宋体"/>
                <w:sz w:val="18"/>
                <w:szCs w:val="18"/>
              </w:rPr>
              <w:t>分地区</w:t>
            </w:r>
          </w:p>
        </w:tc>
      </w:tr>
      <w:tr w14:paraId="1E58E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14:paraId="1438687A">
            <w:pPr>
              <w:spacing w:line="240" w:lineRule="exact"/>
              <w:rPr>
                <w:rFonts w:ascii="宋体" w:hAnsi="宋体" w:eastAsia="宋体" w:cs="宋体"/>
                <w:sz w:val="18"/>
                <w:szCs w:val="18"/>
              </w:rPr>
            </w:pPr>
            <w:r>
              <w:rPr>
                <w:rFonts w:ascii="宋体" w:hAnsi="宋体" w:eastAsia="宋体" w:cs="宋体"/>
                <w:sz w:val="18"/>
                <w:szCs w:val="18"/>
              </w:rPr>
              <w:t>境外销售（主营业务）</w:t>
            </w:r>
          </w:p>
        </w:tc>
        <w:tc>
          <w:tcPr>
            <w:tcW w:w="1701" w:type="dxa"/>
            <w:tcBorders>
              <w:top w:val="single" w:color="auto" w:sz="2" w:space="0"/>
              <w:left w:val="single" w:color="auto" w:sz="2" w:space="0"/>
              <w:bottom w:val="single" w:color="auto" w:sz="2" w:space="0"/>
              <w:right w:val="single" w:color="auto" w:sz="2" w:space="0"/>
            </w:tcBorders>
            <w:vAlign w:val="center"/>
          </w:tcPr>
          <w:p w14:paraId="63C4B1E4">
            <w:pPr>
              <w:spacing w:line="240" w:lineRule="exact"/>
              <w:jc w:val="right"/>
              <w:rPr>
                <w:rFonts w:ascii="宋体" w:hAnsi="宋体" w:eastAsia="宋体" w:cs="宋体"/>
                <w:sz w:val="18"/>
                <w:szCs w:val="18"/>
              </w:rPr>
            </w:pPr>
            <w:r>
              <w:rPr>
                <w:rFonts w:ascii="宋体" w:hAnsi="宋体" w:eastAsia="宋体" w:cs="宋体"/>
                <w:sz w:val="18"/>
                <w:szCs w:val="18"/>
              </w:rPr>
              <w:t>1,027,434,850.30</w:t>
            </w:r>
          </w:p>
        </w:tc>
        <w:tc>
          <w:tcPr>
            <w:tcW w:w="1701" w:type="dxa"/>
            <w:tcBorders>
              <w:top w:val="single" w:color="auto" w:sz="2" w:space="0"/>
              <w:left w:val="single" w:color="auto" w:sz="2" w:space="0"/>
              <w:bottom w:val="single" w:color="auto" w:sz="2" w:space="0"/>
              <w:right w:val="single" w:color="auto" w:sz="2" w:space="0"/>
            </w:tcBorders>
            <w:vAlign w:val="center"/>
          </w:tcPr>
          <w:p w14:paraId="6FCCF560">
            <w:pPr>
              <w:spacing w:line="240" w:lineRule="exact"/>
              <w:jc w:val="right"/>
              <w:rPr>
                <w:rFonts w:ascii="宋体" w:hAnsi="宋体" w:eastAsia="宋体" w:cs="宋体"/>
                <w:sz w:val="18"/>
                <w:szCs w:val="18"/>
              </w:rPr>
            </w:pPr>
            <w:r>
              <w:rPr>
                <w:rFonts w:ascii="宋体" w:hAnsi="宋体" w:eastAsia="宋体" w:cs="宋体"/>
                <w:sz w:val="18"/>
                <w:szCs w:val="18"/>
              </w:rPr>
              <w:t>894,614,070.19</w:t>
            </w:r>
          </w:p>
        </w:tc>
        <w:tc>
          <w:tcPr>
            <w:tcW w:w="851" w:type="dxa"/>
            <w:tcBorders>
              <w:top w:val="single" w:color="auto" w:sz="2" w:space="0"/>
              <w:left w:val="single" w:color="auto" w:sz="2" w:space="0"/>
              <w:bottom w:val="single" w:color="auto" w:sz="2" w:space="0"/>
              <w:right w:val="single" w:color="auto" w:sz="2" w:space="0"/>
            </w:tcBorders>
            <w:vAlign w:val="center"/>
          </w:tcPr>
          <w:p w14:paraId="0A9465EF">
            <w:pPr>
              <w:spacing w:line="240" w:lineRule="exact"/>
              <w:jc w:val="right"/>
              <w:rPr>
                <w:rFonts w:ascii="宋体" w:hAnsi="宋体" w:eastAsia="宋体" w:cs="宋体"/>
                <w:sz w:val="18"/>
                <w:szCs w:val="18"/>
              </w:rPr>
            </w:pPr>
            <w:r>
              <w:rPr>
                <w:rFonts w:ascii="宋体" w:hAnsi="宋体" w:eastAsia="宋体" w:cs="宋体"/>
                <w:sz w:val="18"/>
                <w:szCs w:val="18"/>
              </w:rPr>
              <w:t>12.93%</w:t>
            </w:r>
          </w:p>
        </w:tc>
        <w:tc>
          <w:tcPr>
            <w:tcW w:w="1417" w:type="dxa"/>
            <w:tcBorders>
              <w:top w:val="single" w:color="auto" w:sz="2" w:space="0"/>
              <w:left w:val="single" w:color="auto" w:sz="2" w:space="0"/>
              <w:bottom w:val="single" w:color="auto" w:sz="2" w:space="0"/>
              <w:right w:val="single" w:color="auto" w:sz="2" w:space="0"/>
            </w:tcBorders>
            <w:vAlign w:val="center"/>
          </w:tcPr>
          <w:p w14:paraId="60648E84">
            <w:pPr>
              <w:spacing w:line="240" w:lineRule="exact"/>
              <w:jc w:val="right"/>
              <w:rPr>
                <w:rFonts w:ascii="宋体" w:hAnsi="宋体" w:eastAsia="宋体" w:cs="宋体"/>
                <w:sz w:val="18"/>
                <w:szCs w:val="18"/>
              </w:rPr>
            </w:pPr>
            <w:r>
              <w:rPr>
                <w:rFonts w:ascii="宋体" w:hAnsi="宋体" w:eastAsia="宋体" w:cs="宋体"/>
                <w:sz w:val="18"/>
                <w:szCs w:val="18"/>
              </w:rPr>
              <w:t>-31.34%</w:t>
            </w:r>
          </w:p>
        </w:tc>
        <w:tc>
          <w:tcPr>
            <w:tcW w:w="1418" w:type="dxa"/>
            <w:tcBorders>
              <w:top w:val="single" w:color="auto" w:sz="2" w:space="0"/>
              <w:left w:val="single" w:color="auto" w:sz="2" w:space="0"/>
              <w:bottom w:val="single" w:color="auto" w:sz="2" w:space="0"/>
              <w:right w:val="single" w:color="auto" w:sz="2" w:space="0"/>
            </w:tcBorders>
            <w:vAlign w:val="center"/>
          </w:tcPr>
          <w:p w14:paraId="22356FD7">
            <w:pPr>
              <w:spacing w:line="240" w:lineRule="exact"/>
              <w:jc w:val="right"/>
              <w:rPr>
                <w:rFonts w:ascii="宋体" w:hAnsi="宋体" w:eastAsia="宋体" w:cs="宋体"/>
                <w:sz w:val="18"/>
                <w:szCs w:val="18"/>
              </w:rPr>
            </w:pPr>
            <w:r>
              <w:rPr>
                <w:rFonts w:ascii="宋体" w:hAnsi="宋体" w:eastAsia="宋体" w:cs="宋体"/>
                <w:sz w:val="18"/>
                <w:szCs w:val="18"/>
              </w:rPr>
              <w:t>-32.82%</w:t>
            </w:r>
          </w:p>
        </w:tc>
        <w:tc>
          <w:tcPr>
            <w:tcW w:w="1275" w:type="dxa"/>
            <w:tcBorders>
              <w:top w:val="single" w:color="auto" w:sz="2" w:space="0"/>
              <w:left w:val="single" w:color="auto" w:sz="2" w:space="0"/>
              <w:bottom w:val="single" w:color="auto" w:sz="2" w:space="0"/>
              <w:right w:val="single" w:color="auto" w:sz="2" w:space="0"/>
            </w:tcBorders>
            <w:vAlign w:val="center"/>
          </w:tcPr>
          <w:p w14:paraId="094E774F">
            <w:pPr>
              <w:spacing w:line="240" w:lineRule="exact"/>
              <w:jc w:val="right"/>
              <w:rPr>
                <w:rFonts w:ascii="宋体" w:hAnsi="宋体" w:eastAsia="宋体" w:cs="宋体"/>
                <w:sz w:val="18"/>
                <w:szCs w:val="18"/>
              </w:rPr>
            </w:pPr>
            <w:r>
              <w:rPr>
                <w:rFonts w:ascii="宋体" w:hAnsi="宋体" w:eastAsia="宋体" w:cs="宋体"/>
                <w:sz w:val="18"/>
                <w:szCs w:val="18"/>
              </w:rPr>
              <w:t>1.92%</w:t>
            </w:r>
          </w:p>
        </w:tc>
      </w:tr>
      <w:tr w14:paraId="546A2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14:paraId="252FB46C">
            <w:pPr>
              <w:spacing w:line="240" w:lineRule="exact"/>
              <w:rPr>
                <w:rFonts w:ascii="宋体" w:hAnsi="宋体" w:eastAsia="宋体" w:cs="宋体"/>
                <w:sz w:val="18"/>
                <w:szCs w:val="18"/>
              </w:rPr>
            </w:pPr>
            <w:r>
              <w:rPr>
                <w:rFonts w:ascii="宋体" w:hAnsi="宋体" w:eastAsia="宋体" w:cs="宋体"/>
                <w:sz w:val="18"/>
                <w:szCs w:val="18"/>
              </w:rPr>
              <w:t>境内销售（主营业务）</w:t>
            </w:r>
          </w:p>
        </w:tc>
        <w:tc>
          <w:tcPr>
            <w:tcW w:w="1701" w:type="dxa"/>
            <w:tcBorders>
              <w:top w:val="single" w:color="auto" w:sz="2" w:space="0"/>
              <w:left w:val="single" w:color="auto" w:sz="2" w:space="0"/>
              <w:bottom w:val="single" w:color="auto" w:sz="2" w:space="0"/>
              <w:right w:val="single" w:color="auto" w:sz="2" w:space="0"/>
            </w:tcBorders>
            <w:vAlign w:val="center"/>
          </w:tcPr>
          <w:p w14:paraId="25452007">
            <w:pPr>
              <w:spacing w:line="240" w:lineRule="exact"/>
              <w:jc w:val="right"/>
              <w:rPr>
                <w:rFonts w:ascii="宋体" w:hAnsi="宋体" w:eastAsia="宋体" w:cs="宋体"/>
                <w:sz w:val="18"/>
                <w:szCs w:val="18"/>
              </w:rPr>
            </w:pPr>
            <w:r>
              <w:rPr>
                <w:rFonts w:ascii="宋体" w:hAnsi="宋体" w:eastAsia="宋体" w:cs="宋体"/>
                <w:sz w:val="18"/>
                <w:szCs w:val="18"/>
              </w:rPr>
              <w:t>6,827,252,418.07</w:t>
            </w:r>
          </w:p>
        </w:tc>
        <w:tc>
          <w:tcPr>
            <w:tcW w:w="1701" w:type="dxa"/>
            <w:tcBorders>
              <w:top w:val="single" w:color="auto" w:sz="2" w:space="0"/>
              <w:left w:val="single" w:color="auto" w:sz="2" w:space="0"/>
              <w:bottom w:val="single" w:color="auto" w:sz="2" w:space="0"/>
              <w:right w:val="single" w:color="auto" w:sz="2" w:space="0"/>
            </w:tcBorders>
            <w:vAlign w:val="center"/>
          </w:tcPr>
          <w:p w14:paraId="3E042902">
            <w:pPr>
              <w:spacing w:line="240" w:lineRule="exact"/>
              <w:jc w:val="right"/>
              <w:rPr>
                <w:rFonts w:ascii="宋体" w:hAnsi="宋体" w:eastAsia="宋体" w:cs="宋体"/>
                <w:sz w:val="18"/>
                <w:szCs w:val="18"/>
              </w:rPr>
            </w:pPr>
            <w:r>
              <w:rPr>
                <w:rFonts w:ascii="宋体" w:hAnsi="宋体" w:eastAsia="宋体" w:cs="宋体"/>
                <w:sz w:val="18"/>
                <w:szCs w:val="18"/>
              </w:rPr>
              <w:t>6,360,222,195.63</w:t>
            </w:r>
          </w:p>
        </w:tc>
        <w:tc>
          <w:tcPr>
            <w:tcW w:w="851" w:type="dxa"/>
            <w:tcBorders>
              <w:top w:val="single" w:color="auto" w:sz="2" w:space="0"/>
              <w:left w:val="single" w:color="auto" w:sz="2" w:space="0"/>
              <w:bottom w:val="single" w:color="auto" w:sz="2" w:space="0"/>
              <w:right w:val="single" w:color="auto" w:sz="2" w:space="0"/>
            </w:tcBorders>
            <w:vAlign w:val="center"/>
          </w:tcPr>
          <w:p w14:paraId="4D74FA00">
            <w:pPr>
              <w:spacing w:line="240" w:lineRule="exact"/>
              <w:jc w:val="right"/>
              <w:rPr>
                <w:rFonts w:ascii="宋体" w:hAnsi="宋体" w:eastAsia="宋体" w:cs="宋体"/>
                <w:sz w:val="18"/>
                <w:szCs w:val="18"/>
              </w:rPr>
            </w:pPr>
            <w:r>
              <w:rPr>
                <w:rFonts w:ascii="宋体" w:hAnsi="宋体" w:eastAsia="宋体" w:cs="宋体"/>
                <w:sz w:val="18"/>
                <w:szCs w:val="18"/>
              </w:rPr>
              <w:t>6.84%</w:t>
            </w:r>
          </w:p>
        </w:tc>
        <w:tc>
          <w:tcPr>
            <w:tcW w:w="1417" w:type="dxa"/>
            <w:tcBorders>
              <w:top w:val="single" w:color="auto" w:sz="2" w:space="0"/>
              <w:left w:val="single" w:color="auto" w:sz="2" w:space="0"/>
              <w:bottom w:val="single" w:color="auto" w:sz="2" w:space="0"/>
              <w:right w:val="single" w:color="auto" w:sz="2" w:space="0"/>
            </w:tcBorders>
            <w:vAlign w:val="center"/>
          </w:tcPr>
          <w:p w14:paraId="44741AD2">
            <w:pPr>
              <w:spacing w:line="240" w:lineRule="exact"/>
              <w:jc w:val="right"/>
              <w:rPr>
                <w:rFonts w:ascii="宋体" w:hAnsi="宋体" w:eastAsia="宋体" w:cs="宋体"/>
                <w:sz w:val="18"/>
                <w:szCs w:val="18"/>
              </w:rPr>
            </w:pPr>
            <w:r>
              <w:rPr>
                <w:rFonts w:ascii="宋体" w:hAnsi="宋体" w:eastAsia="宋体" w:cs="宋体"/>
                <w:sz w:val="18"/>
                <w:szCs w:val="18"/>
              </w:rPr>
              <w:t>-25.13%</w:t>
            </w:r>
          </w:p>
        </w:tc>
        <w:tc>
          <w:tcPr>
            <w:tcW w:w="1418" w:type="dxa"/>
            <w:tcBorders>
              <w:top w:val="single" w:color="auto" w:sz="2" w:space="0"/>
              <w:left w:val="single" w:color="auto" w:sz="2" w:space="0"/>
              <w:bottom w:val="single" w:color="auto" w:sz="2" w:space="0"/>
              <w:right w:val="single" w:color="auto" w:sz="2" w:space="0"/>
            </w:tcBorders>
            <w:vAlign w:val="center"/>
          </w:tcPr>
          <w:p w14:paraId="2AF9F873">
            <w:pPr>
              <w:spacing w:line="240" w:lineRule="exact"/>
              <w:jc w:val="right"/>
              <w:rPr>
                <w:rFonts w:ascii="宋体" w:hAnsi="宋体" w:eastAsia="宋体" w:cs="宋体"/>
                <w:sz w:val="18"/>
                <w:szCs w:val="18"/>
              </w:rPr>
            </w:pPr>
            <w:r>
              <w:rPr>
                <w:rFonts w:ascii="宋体" w:hAnsi="宋体" w:eastAsia="宋体" w:cs="宋体"/>
                <w:sz w:val="18"/>
                <w:szCs w:val="18"/>
              </w:rPr>
              <w:t>-27.78%</w:t>
            </w:r>
          </w:p>
        </w:tc>
        <w:tc>
          <w:tcPr>
            <w:tcW w:w="1275" w:type="dxa"/>
            <w:tcBorders>
              <w:top w:val="single" w:color="auto" w:sz="2" w:space="0"/>
              <w:left w:val="single" w:color="auto" w:sz="2" w:space="0"/>
              <w:bottom w:val="single" w:color="auto" w:sz="2" w:space="0"/>
              <w:right w:val="single" w:color="auto" w:sz="2" w:space="0"/>
            </w:tcBorders>
            <w:vAlign w:val="center"/>
          </w:tcPr>
          <w:p w14:paraId="19DAEA17">
            <w:pPr>
              <w:spacing w:line="240" w:lineRule="exact"/>
              <w:jc w:val="right"/>
              <w:rPr>
                <w:rFonts w:ascii="宋体" w:hAnsi="宋体" w:eastAsia="宋体" w:cs="宋体"/>
                <w:sz w:val="18"/>
                <w:szCs w:val="18"/>
              </w:rPr>
            </w:pPr>
            <w:r>
              <w:rPr>
                <w:rFonts w:ascii="宋体" w:hAnsi="宋体" w:eastAsia="宋体" w:cs="宋体"/>
                <w:sz w:val="18"/>
                <w:szCs w:val="18"/>
              </w:rPr>
              <w:t>3.42%</w:t>
            </w:r>
          </w:p>
        </w:tc>
      </w:tr>
      <w:tr w14:paraId="443F4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14:paraId="78A57DD2">
            <w:pPr>
              <w:spacing w:before="40" w:after="40" w:line="240" w:lineRule="exact"/>
              <w:rPr>
                <w:rFonts w:ascii="宋体" w:hAnsi="宋体" w:eastAsia="宋体" w:cs="宋体"/>
                <w:sz w:val="18"/>
                <w:szCs w:val="18"/>
              </w:rPr>
            </w:pPr>
            <w:r>
              <w:rPr>
                <w:rFonts w:ascii="宋体" w:hAnsi="宋体" w:eastAsia="宋体" w:cs="宋体"/>
                <w:sz w:val="18"/>
                <w:szCs w:val="18"/>
              </w:rPr>
              <w:t>分销售模式</w:t>
            </w:r>
          </w:p>
        </w:tc>
      </w:tr>
      <w:tr w14:paraId="336CB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14:paraId="43E0A417">
            <w:pPr>
              <w:spacing w:line="240" w:lineRule="exact"/>
              <w:rPr>
                <w:rFonts w:ascii="宋体" w:hAnsi="宋体" w:eastAsia="宋体" w:cs="宋体"/>
                <w:sz w:val="18"/>
                <w:szCs w:val="18"/>
              </w:rPr>
            </w:pPr>
            <w:r>
              <w:rPr>
                <w:rFonts w:ascii="宋体" w:hAnsi="宋体" w:eastAsia="宋体" w:cs="宋体"/>
                <w:sz w:val="18"/>
                <w:szCs w:val="18"/>
              </w:rPr>
              <w:t>线上销售</w:t>
            </w:r>
          </w:p>
        </w:tc>
        <w:tc>
          <w:tcPr>
            <w:tcW w:w="1701" w:type="dxa"/>
            <w:tcBorders>
              <w:top w:val="single" w:color="auto" w:sz="2" w:space="0"/>
              <w:left w:val="single" w:color="auto" w:sz="2" w:space="0"/>
              <w:bottom w:val="single" w:color="auto" w:sz="2" w:space="0"/>
              <w:right w:val="single" w:color="auto" w:sz="2" w:space="0"/>
            </w:tcBorders>
            <w:vAlign w:val="center"/>
          </w:tcPr>
          <w:p w14:paraId="792EBFFB">
            <w:pPr>
              <w:spacing w:line="240" w:lineRule="exact"/>
              <w:jc w:val="right"/>
              <w:rPr>
                <w:rFonts w:ascii="宋体" w:hAnsi="宋体" w:eastAsia="宋体" w:cs="宋体"/>
                <w:sz w:val="18"/>
                <w:szCs w:val="18"/>
              </w:rPr>
            </w:pPr>
            <w:r>
              <w:rPr>
                <w:rFonts w:ascii="宋体" w:hAnsi="宋体" w:eastAsia="宋体" w:cs="宋体"/>
                <w:sz w:val="18"/>
                <w:szCs w:val="18"/>
              </w:rPr>
              <w:t>129,279,434.68</w:t>
            </w:r>
          </w:p>
        </w:tc>
        <w:tc>
          <w:tcPr>
            <w:tcW w:w="1701" w:type="dxa"/>
            <w:tcBorders>
              <w:top w:val="single" w:color="auto" w:sz="2" w:space="0"/>
              <w:left w:val="single" w:color="auto" w:sz="2" w:space="0"/>
              <w:bottom w:val="single" w:color="auto" w:sz="2" w:space="0"/>
              <w:right w:val="single" w:color="auto" w:sz="2" w:space="0"/>
            </w:tcBorders>
            <w:vAlign w:val="center"/>
          </w:tcPr>
          <w:p w14:paraId="6ADE8CA0">
            <w:pPr>
              <w:spacing w:line="240" w:lineRule="exact"/>
              <w:jc w:val="right"/>
              <w:rPr>
                <w:rFonts w:ascii="宋体" w:hAnsi="宋体" w:eastAsia="宋体" w:cs="宋体"/>
                <w:sz w:val="18"/>
                <w:szCs w:val="18"/>
              </w:rPr>
            </w:pPr>
            <w:r>
              <w:rPr>
                <w:rFonts w:ascii="宋体" w:hAnsi="宋体" w:eastAsia="宋体" w:cs="宋体"/>
                <w:sz w:val="18"/>
                <w:szCs w:val="18"/>
              </w:rPr>
              <w:t>79,916,885.79</w:t>
            </w:r>
          </w:p>
        </w:tc>
        <w:tc>
          <w:tcPr>
            <w:tcW w:w="851" w:type="dxa"/>
            <w:tcBorders>
              <w:top w:val="single" w:color="auto" w:sz="2" w:space="0"/>
              <w:left w:val="single" w:color="auto" w:sz="2" w:space="0"/>
              <w:bottom w:val="single" w:color="auto" w:sz="2" w:space="0"/>
              <w:right w:val="single" w:color="auto" w:sz="2" w:space="0"/>
            </w:tcBorders>
            <w:vAlign w:val="center"/>
          </w:tcPr>
          <w:p w14:paraId="3EE4DA12">
            <w:pPr>
              <w:spacing w:line="240" w:lineRule="exact"/>
              <w:jc w:val="right"/>
              <w:rPr>
                <w:rFonts w:ascii="宋体" w:hAnsi="宋体" w:eastAsia="宋体" w:cs="宋体"/>
                <w:sz w:val="18"/>
                <w:szCs w:val="18"/>
              </w:rPr>
            </w:pPr>
            <w:r>
              <w:rPr>
                <w:rFonts w:ascii="宋体" w:hAnsi="宋体" w:eastAsia="宋体" w:cs="宋体"/>
                <w:sz w:val="18"/>
                <w:szCs w:val="18"/>
              </w:rPr>
              <w:t>38.18%</w:t>
            </w:r>
          </w:p>
        </w:tc>
        <w:tc>
          <w:tcPr>
            <w:tcW w:w="1417" w:type="dxa"/>
            <w:tcBorders>
              <w:top w:val="single" w:color="auto" w:sz="2" w:space="0"/>
              <w:left w:val="single" w:color="auto" w:sz="2" w:space="0"/>
              <w:bottom w:val="single" w:color="auto" w:sz="2" w:space="0"/>
              <w:right w:val="single" w:color="auto" w:sz="2" w:space="0"/>
            </w:tcBorders>
            <w:vAlign w:val="center"/>
          </w:tcPr>
          <w:p w14:paraId="1D11E043">
            <w:pPr>
              <w:spacing w:line="240" w:lineRule="exact"/>
              <w:jc w:val="right"/>
              <w:rPr>
                <w:rFonts w:ascii="宋体" w:hAnsi="宋体" w:eastAsia="宋体" w:cs="宋体"/>
                <w:sz w:val="18"/>
                <w:szCs w:val="18"/>
              </w:rPr>
            </w:pPr>
            <w:r>
              <w:rPr>
                <w:rFonts w:ascii="宋体" w:hAnsi="宋体" w:eastAsia="宋体" w:cs="宋体"/>
                <w:sz w:val="18"/>
                <w:szCs w:val="18"/>
              </w:rPr>
              <w:t>5.91%</w:t>
            </w:r>
          </w:p>
        </w:tc>
        <w:tc>
          <w:tcPr>
            <w:tcW w:w="1418" w:type="dxa"/>
            <w:tcBorders>
              <w:top w:val="single" w:color="auto" w:sz="2" w:space="0"/>
              <w:left w:val="single" w:color="auto" w:sz="2" w:space="0"/>
              <w:bottom w:val="single" w:color="auto" w:sz="2" w:space="0"/>
              <w:right w:val="single" w:color="auto" w:sz="2" w:space="0"/>
            </w:tcBorders>
            <w:vAlign w:val="center"/>
          </w:tcPr>
          <w:p w14:paraId="1E1AB524">
            <w:pPr>
              <w:spacing w:line="240" w:lineRule="exact"/>
              <w:jc w:val="right"/>
              <w:rPr>
                <w:rFonts w:ascii="宋体" w:hAnsi="宋体" w:eastAsia="宋体" w:cs="宋体"/>
                <w:sz w:val="18"/>
                <w:szCs w:val="18"/>
              </w:rPr>
            </w:pPr>
            <w:r>
              <w:rPr>
                <w:rFonts w:ascii="宋体" w:hAnsi="宋体" w:eastAsia="宋体" w:cs="宋体"/>
                <w:sz w:val="18"/>
                <w:szCs w:val="18"/>
              </w:rPr>
              <w:t>16.58%</w:t>
            </w:r>
          </w:p>
        </w:tc>
        <w:tc>
          <w:tcPr>
            <w:tcW w:w="1275" w:type="dxa"/>
            <w:tcBorders>
              <w:top w:val="single" w:color="auto" w:sz="2" w:space="0"/>
              <w:left w:val="single" w:color="auto" w:sz="2" w:space="0"/>
              <w:bottom w:val="single" w:color="auto" w:sz="2" w:space="0"/>
              <w:right w:val="single" w:color="auto" w:sz="2" w:space="0"/>
            </w:tcBorders>
            <w:vAlign w:val="center"/>
          </w:tcPr>
          <w:p w14:paraId="27F6691D">
            <w:pPr>
              <w:spacing w:line="240" w:lineRule="exact"/>
              <w:jc w:val="right"/>
              <w:rPr>
                <w:rFonts w:ascii="宋体" w:hAnsi="宋体" w:eastAsia="宋体" w:cs="宋体"/>
                <w:sz w:val="18"/>
                <w:szCs w:val="18"/>
              </w:rPr>
            </w:pPr>
            <w:r>
              <w:rPr>
                <w:rFonts w:ascii="宋体" w:hAnsi="宋体" w:eastAsia="宋体" w:cs="宋体"/>
                <w:sz w:val="18"/>
                <w:szCs w:val="18"/>
              </w:rPr>
              <w:t>-5.66%</w:t>
            </w:r>
          </w:p>
        </w:tc>
      </w:tr>
      <w:tr w14:paraId="0DD10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76" w:type="dxa"/>
            <w:tcBorders>
              <w:top w:val="single" w:color="auto" w:sz="2" w:space="0"/>
              <w:left w:val="single" w:color="auto" w:sz="2" w:space="0"/>
              <w:bottom w:val="single" w:color="auto" w:sz="2" w:space="0"/>
              <w:right w:val="single" w:color="auto" w:sz="2" w:space="0"/>
            </w:tcBorders>
            <w:vAlign w:val="center"/>
          </w:tcPr>
          <w:p w14:paraId="6BDD4DBD">
            <w:pPr>
              <w:spacing w:line="240" w:lineRule="exact"/>
              <w:rPr>
                <w:rFonts w:ascii="宋体" w:hAnsi="宋体" w:eastAsia="宋体" w:cs="宋体"/>
                <w:sz w:val="18"/>
                <w:szCs w:val="18"/>
              </w:rPr>
            </w:pPr>
            <w:r>
              <w:rPr>
                <w:rFonts w:ascii="宋体" w:hAnsi="宋体" w:eastAsia="宋体" w:cs="宋体"/>
                <w:sz w:val="18"/>
                <w:szCs w:val="18"/>
              </w:rPr>
              <w:t>直营销售</w:t>
            </w:r>
          </w:p>
        </w:tc>
        <w:tc>
          <w:tcPr>
            <w:tcW w:w="1701" w:type="dxa"/>
            <w:tcBorders>
              <w:top w:val="single" w:color="auto" w:sz="2" w:space="0"/>
              <w:left w:val="single" w:color="auto" w:sz="2" w:space="0"/>
              <w:bottom w:val="single" w:color="auto" w:sz="2" w:space="0"/>
              <w:right w:val="single" w:color="auto" w:sz="2" w:space="0"/>
            </w:tcBorders>
            <w:vAlign w:val="center"/>
          </w:tcPr>
          <w:p w14:paraId="0E527239">
            <w:pPr>
              <w:spacing w:line="240" w:lineRule="exact"/>
              <w:jc w:val="right"/>
              <w:rPr>
                <w:rFonts w:ascii="宋体" w:hAnsi="宋体" w:eastAsia="宋体" w:cs="宋体"/>
                <w:sz w:val="18"/>
                <w:szCs w:val="18"/>
              </w:rPr>
            </w:pPr>
            <w:r>
              <w:rPr>
                <w:rFonts w:ascii="宋体" w:hAnsi="宋体" w:eastAsia="宋体" w:cs="宋体"/>
                <w:sz w:val="18"/>
                <w:szCs w:val="18"/>
              </w:rPr>
              <w:t>7,725,407,833.69</w:t>
            </w:r>
          </w:p>
        </w:tc>
        <w:tc>
          <w:tcPr>
            <w:tcW w:w="1701" w:type="dxa"/>
            <w:tcBorders>
              <w:top w:val="single" w:color="auto" w:sz="2" w:space="0"/>
              <w:left w:val="single" w:color="auto" w:sz="2" w:space="0"/>
              <w:bottom w:val="single" w:color="auto" w:sz="2" w:space="0"/>
              <w:right w:val="single" w:color="auto" w:sz="2" w:space="0"/>
            </w:tcBorders>
            <w:vAlign w:val="center"/>
          </w:tcPr>
          <w:p w14:paraId="0DA1526B">
            <w:pPr>
              <w:spacing w:line="240" w:lineRule="exact"/>
              <w:jc w:val="right"/>
              <w:rPr>
                <w:rFonts w:ascii="宋体" w:hAnsi="宋体" w:eastAsia="宋体" w:cs="宋体"/>
                <w:sz w:val="18"/>
                <w:szCs w:val="18"/>
              </w:rPr>
            </w:pPr>
            <w:r>
              <w:rPr>
                <w:rFonts w:ascii="宋体" w:hAnsi="宋体" w:eastAsia="宋体" w:cs="宋体"/>
                <w:sz w:val="18"/>
                <w:szCs w:val="18"/>
              </w:rPr>
              <w:t>7,174,919,380.03</w:t>
            </w:r>
          </w:p>
        </w:tc>
        <w:tc>
          <w:tcPr>
            <w:tcW w:w="851" w:type="dxa"/>
            <w:tcBorders>
              <w:top w:val="single" w:color="auto" w:sz="2" w:space="0"/>
              <w:left w:val="single" w:color="auto" w:sz="2" w:space="0"/>
              <w:bottom w:val="single" w:color="auto" w:sz="2" w:space="0"/>
              <w:right w:val="single" w:color="auto" w:sz="2" w:space="0"/>
            </w:tcBorders>
            <w:vAlign w:val="center"/>
          </w:tcPr>
          <w:p w14:paraId="5362A309">
            <w:pPr>
              <w:spacing w:line="240" w:lineRule="exact"/>
              <w:jc w:val="right"/>
              <w:rPr>
                <w:rFonts w:ascii="宋体" w:hAnsi="宋体" w:eastAsia="宋体" w:cs="宋体"/>
                <w:sz w:val="18"/>
                <w:szCs w:val="18"/>
              </w:rPr>
            </w:pPr>
            <w:r>
              <w:rPr>
                <w:rFonts w:ascii="宋体" w:hAnsi="宋体" w:eastAsia="宋体" w:cs="宋体"/>
                <w:sz w:val="18"/>
                <w:szCs w:val="18"/>
              </w:rPr>
              <w:t>7.13%</w:t>
            </w:r>
          </w:p>
        </w:tc>
        <w:tc>
          <w:tcPr>
            <w:tcW w:w="1417" w:type="dxa"/>
            <w:tcBorders>
              <w:top w:val="single" w:color="auto" w:sz="2" w:space="0"/>
              <w:left w:val="single" w:color="auto" w:sz="2" w:space="0"/>
              <w:bottom w:val="single" w:color="auto" w:sz="2" w:space="0"/>
              <w:right w:val="single" w:color="auto" w:sz="2" w:space="0"/>
            </w:tcBorders>
            <w:vAlign w:val="center"/>
          </w:tcPr>
          <w:p w14:paraId="16926FC4">
            <w:pPr>
              <w:spacing w:line="240" w:lineRule="exact"/>
              <w:jc w:val="right"/>
              <w:rPr>
                <w:rFonts w:ascii="宋体" w:hAnsi="宋体" w:eastAsia="宋体" w:cs="宋体"/>
                <w:sz w:val="18"/>
                <w:szCs w:val="18"/>
              </w:rPr>
            </w:pPr>
            <w:r>
              <w:rPr>
                <w:rFonts w:ascii="宋体" w:hAnsi="宋体" w:eastAsia="宋体" w:cs="宋体"/>
                <w:sz w:val="18"/>
                <w:szCs w:val="18"/>
              </w:rPr>
              <w:t>-26.37%</w:t>
            </w:r>
          </w:p>
        </w:tc>
        <w:tc>
          <w:tcPr>
            <w:tcW w:w="1418" w:type="dxa"/>
            <w:tcBorders>
              <w:top w:val="single" w:color="auto" w:sz="2" w:space="0"/>
              <w:left w:val="single" w:color="auto" w:sz="2" w:space="0"/>
              <w:bottom w:val="single" w:color="auto" w:sz="2" w:space="0"/>
              <w:right w:val="single" w:color="auto" w:sz="2" w:space="0"/>
            </w:tcBorders>
            <w:vAlign w:val="center"/>
          </w:tcPr>
          <w:p w14:paraId="0835094F">
            <w:pPr>
              <w:spacing w:line="240" w:lineRule="exact"/>
              <w:jc w:val="right"/>
              <w:rPr>
                <w:rFonts w:ascii="宋体" w:hAnsi="宋体" w:eastAsia="宋体" w:cs="宋体"/>
                <w:sz w:val="18"/>
                <w:szCs w:val="18"/>
              </w:rPr>
            </w:pPr>
            <w:r>
              <w:rPr>
                <w:rFonts w:ascii="宋体" w:hAnsi="宋体" w:eastAsia="宋体" w:cs="宋体"/>
                <w:sz w:val="18"/>
                <w:szCs w:val="18"/>
              </w:rPr>
              <w:t>-28.75%</w:t>
            </w:r>
          </w:p>
        </w:tc>
        <w:tc>
          <w:tcPr>
            <w:tcW w:w="1275" w:type="dxa"/>
            <w:tcBorders>
              <w:top w:val="single" w:color="auto" w:sz="2" w:space="0"/>
              <w:left w:val="single" w:color="auto" w:sz="2" w:space="0"/>
              <w:bottom w:val="single" w:color="auto" w:sz="2" w:space="0"/>
              <w:right w:val="single" w:color="auto" w:sz="2" w:space="0"/>
            </w:tcBorders>
            <w:vAlign w:val="center"/>
          </w:tcPr>
          <w:p w14:paraId="01749F37">
            <w:pPr>
              <w:spacing w:line="240" w:lineRule="exact"/>
              <w:jc w:val="right"/>
              <w:rPr>
                <w:rFonts w:ascii="宋体" w:hAnsi="宋体" w:eastAsia="宋体" w:cs="宋体"/>
                <w:sz w:val="18"/>
                <w:szCs w:val="18"/>
              </w:rPr>
            </w:pPr>
            <w:r>
              <w:rPr>
                <w:rFonts w:ascii="宋体" w:hAnsi="宋体" w:eastAsia="宋体" w:cs="宋体"/>
                <w:sz w:val="18"/>
                <w:szCs w:val="18"/>
              </w:rPr>
              <w:t>3.10%</w:t>
            </w:r>
          </w:p>
        </w:tc>
      </w:tr>
    </w:tbl>
    <w:p w14:paraId="30F542D2">
      <w:pPr>
        <w:spacing w:before="100" w:after="100" w:line="240" w:lineRule="exact"/>
        <w:rPr>
          <w:rFonts w:ascii="宋体" w:hAnsi="宋体" w:eastAsia="宋体" w:cs="宋体"/>
          <w:sz w:val="18"/>
          <w:szCs w:val="18"/>
        </w:rPr>
      </w:pPr>
      <w:r>
        <w:rPr>
          <w:rFonts w:ascii="宋体" w:hAnsi="宋体" w:eastAsia="宋体" w:cs="宋体"/>
          <w:sz w:val="18"/>
          <w:szCs w:val="18"/>
        </w:rPr>
        <w:t>公司主营业务数据统计口径在报告期发生调整的情况下，公司最近1年按报告期末口径调整后的主营业务数据</w:t>
      </w:r>
    </w:p>
    <w:p w14:paraId="0EF702F8">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A733D56">
      <w:pPr>
        <w:spacing w:before="100" w:after="100" w:line="240" w:lineRule="exact"/>
        <w:rPr>
          <w:rFonts w:ascii="宋体" w:hAnsi="宋体" w:eastAsia="宋体" w:cs="宋体"/>
          <w:sz w:val="18"/>
          <w:szCs w:val="18"/>
        </w:rPr>
      </w:pPr>
      <w:r>
        <w:rPr>
          <w:rFonts w:ascii="宋体" w:hAnsi="宋体" w:eastAsia="宋体" w:cs="宋体"/>
          <w:sz w:val="18"/>
          <w:szCs w:val="18"/>
        </w:rPr>
        <w:t>公司是否有实体门店销售终端</w:t>
      </w:r>
    </w:p>
    <w:p w14:paraId="7ED8AD4C">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2E45D8E6">
      <w:pPr>
        <w:spacing w:before="100" w:after="100" w:line="240" w:lineRule="exact"/>
        <w:rPr>
          <w:rFonts w:ascii="宋体" w:hAnsi="宋体" w:eastAsia="宋体" w:cs="宋体"/>
          <w:sz w:val="18"/>
          <w:szCs w:val="18"/>
        </w:rPr>
      </w:pPr>
      <w:r>
        <w:rPr>
          <w:rFonts w:ascii="宋体" w:hAnsi="宋体" w:eastAsia="宋体" w:cs="宋体"/>
          <w:sz w:val="18"/>
          <w:szCs w:val="18"/>
        </w:rPr>
        <w:t>上市公司新增门店情况</w:t>
      </w:r>
    </w:p>
    <w:p w14:paraId="23C10FF6">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1022A65B">
      <w:pPr>
        <w:spacing w:before="100" w:after="100" w:line="240" w:lineRule="exact"/>
        <w:rPr>
          <w:rFonts w:ascii="宋体" w:hAnsi="宋体" w:eastAsia="宋体" w:cs="宋体"/>
          <w:sz w:val="18"/>
          <w:szCs w:val="18"/>
        </w:rPr>
      </w:pPr>
      <w:r>
        <w:rPr>
          <w:rFonts w:ascii="宋体" w:hAnsi="宋体" w:eastAsia="宋体" w:cs="宋体"/>
          <w:sz w:val="18"/>
          <w:szCs w:val="18"/>
        </w:rPr>
        <w:t>公司是否披露前五大加盟店铺情况</w:t>
      </w:r>
    </w:p>
    <w:p w14:paraId="5C5A65AE">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67E5704D">
      <w:pPr>
        <w:keepNext/>
        <w:keepLines/>
        <w:spacing w:before="300" w:after="300" w:line="280" w:lineRule="exact"/>
        <w:outlineLvl w:val="3"/>
        <w:rPr>
          <w:rFonts w:ascii="宋体" w:hAnsi="宋体" w:eastAsia="宋体" w:cs="宋体"/>
          <w:b/>
          <w:bCs/>
          <w:sz w:val="18"/>
          <w:szCs w:val="18"/>
        </w:rPr>
      </w:pPr>
      <w:bookmarkStart w:id="22" w:name="_Toc988911"/>
      <w:r>
        <w:rPr>
          <w:rFonts w:ascii="宋体" w:hAnsi="宋体" w:eastAsia="宋体" w:cs="宋体"/>
          <w:b/>
          <w:bCs/>
          <w:sz w:val="18"/>
          <w:szCs w:val="18"/>
        </w:rPr>
        <w:t>（3） 公司实物销售收入是否大于劳务收入</w:t>
      </w:r>
      <w:bookmarkEnd w:id="22"/>
    </w:p>
    <w:p w14:paraId="0D361ABC">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14:paraId="3ACAC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4CB052B">
            <w:pPr>
              <w:spacing w:before="40" w:after="40" w:line="240" w:lineRule="exact"/>
              <w:jc w:val="center"/>
              <w:rPr>
                <w:rFonts w:ascii="宋体" w:hAnsi="宋体" w:eastAsia="宋体" w:cs="宋体"/>
                <w:sz w:val="18"/>
                <w:szCs w:val="18"/>
              </w:rPr>
            </w:pPr>
            <w:r>
              <w:rPr>
                <w:rFonts w:ascii="宋体" w:hAnsi="宋体" w:eastAsia="宋体" w:cs="宋体"/>
                <w:sz w:val="18"/>
                <w:szCs w:val="18"/>
              </w:rPr>
              <w:t>行业分类</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DD1EA49">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3997B90">
            <w:pPr>
              <w:spacing w:before="40" w:after="40" w:line="240" w:lineRule="exact"/>
              <w:jc w:val="center"/>
              <w:rPr>
                <w:rFonts w:ascii="宋体" w:hAnsi="宋体" w:eastAsia="宋体" w:cs="宋体"/>
                <w:sz w:val="18"/>
                <w:szCs w:val="18"/>
              </w:rPr>
            </w:pPr>
            <w:r>
              <w:rPr>
                <w:rFonts w:ascii="宋体" w:hAnsi="宋体" w:eastAsia="宋体" w:cs="宋体"/>
                <w:sz w:val="18"/>
                <w:szCs w:val="18"/>
              </w:rPr>
              <w:t>单位</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14:paraId="2AD14322">
            <w:pPr>
              <w:spacing w:before="40" w:after="40" w:line="240" w:lineRule="exact"/>
              <w:jc w:val="center"/>
              <w:rPr>
                <w:rFonts w:ascii="宋体" w:hAnsi="宋体" w:eastAsia="宋体" w:cs="宋体"/>
                <w:sz w:val="18"/>
                <w:szCs w:val="18"/>
              </w:rPr>
            </w:pPr>
            <w:r>
              <w:rPr>
                <w:rFonts w:ascii="宋体" w:hAnsi="宋体" w:eastAsia="宋体" w:cs="宋体"/>
                <w:sz w:val="18"/>
                <w:szCs w:val="18"/>
              </w:rPr>
              <w:t>2025年</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14:paraId="14E5272E">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14:paraId="56FF3AC4">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14:paraId="48961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vAlign w:val="center"/>
          </w:tcPr>
          <w:p w14:paraId="27B50668">
            <w:pPr>
              <w:spacing w:line="240" w:lineRule="exact"/>
              <w:rPr>
                <w:rFonts w:ascii="宋体" w:hAnsi="宋体" w:eastAsia="宋体" w:cs="宋体"/>
                <w:sz w:val="18"/>
                <w:szCs w:val="18"/>
              </w:rPr>
            </w:pPr>
            <w:r>
              <w:rPr>
                <w:rFonts w:ascii="宋体" w:hAnsi="宋体" w:eastAsia="宋体" w:cs="宋体"/>
                <w:sz w:val="18"/>
                <w:szCs w:val="18"/>
              </w:rPr>
              <w:t>纺织行业</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C869A93">
            <w:pPr>
              <w:spacing w:before="40" w:after="40" w:line="240" w:lineRule="exact"/>
              <w:rPr>
                <w:rFonts w:ascii="宋体" w:hAnsi="宋体" w:eastAsia="宋体" w:cs="宋体"/>
                <w:sz w:val="18"/>
                <w:szCs w:val="18"/>
              </w:rPr>
            </w:pPr>
            <w:r>
              <w:rPr>
                <w:rFonts w:ascii="宋体" w:hAnsi="宋体" w:eastAsia="宋体" w:cs="宋体"/>
                <w:sz w:val="18"/>
                <w:szCs w:val="18"/>
              </w:rPr>
              <w:t>销售量</w:t>
            </w:r>
          </w:p>
        </w:tc>
        <w:tc>
          <w:tcPr>
            <w:tcW w:w="1606" w:type="dxa"/>
            <w:tcBorders>
              <w:top w:val="single" w:color="auto" w:sz="2" w:space="0"/>
              <w:left w:val="single" w:color="auto" w:sz="2" w:space="0"/>
              <w:bottom w:val="single" w:color="auto" w:sz="2" w:space="0"/>
              <w:right w:val="single" w:color="auto" w:sz="2" w:space="0"/>
            </w:tcBorders>
            <w:vAlign w:val="center"/>
          </w:tcPr>
          <w:p w14:paraId="60A3B95C">
            <w:pPr>
              <w:spacing w:line="240" w:lineRule="exact"/>
              <w:rPr>
                <w:rFonts w:ascii="宋体" w:hAnsi="宋体" w:eastAsia="宋体" w:cs="宋体"/>
                <w:sz w:val="18"/>
                <w:szCs w:val="18"/>
              </w:rPr>
            </w:pPr>
            <w:r>
              <w:rPr>
                <w:rFonts w:ascii="宋体" w:hAnsi="宋体" w:eastAsia="宋体" w:cs="宋体"/>
                <w:sz w:val="18"/>
                <w:szCs w:val="18"/>
              </w:rPr>
              <w:t>吨</w:t>
            </w:r>
          </w:p>
        </w:tc>
        <w:tc>
          <w:tcPr>
            <w:tcW w:w="1607" w:type="dxa"/>
            <w:tcBorders>
              <w:top w:val="single" w:color="auto" w:sz="2" w:space="0"/>
              <w:left w:val="single" w:color="auto" w:sz="2" w:space="0"/>
              <w:bottom w:val="single" w:color="auto" w:sz="2" w:space="0"/>
              <w:right w:val="single" w:color="auto" w:sz="2" w:space="0"/>
            </w:tcBorders>
            <w:vAlign w:val="center"/>
          </w:tcPr>
          <w:p w14:paraId="68596697">
            <w:pPr>
              <w:spacing w:line="240" w:lineRule="exact"/>
              <w:jc w:val="right"/>
              <w:rPr>
                <w:rFonts w:ascii="宋体" w:hAnsi="宋体" w:eastAsia="宋体" w:cs="宋体"/>
                <w:sz w:val="18"/>
                <w:szCs w:val="18"/>
              </w:rPr>
            </w:pPr>
            <w:r>
              <w:rPr>
                <w:rFonts w:ascii="宋体" w:hAnsi="宋体" w:eastAsia="宋体" w:cs="宋体"/>
                <w:sz w:val="18"/>
                <w:szCs w:val="18"/>
              </w:rPr>
              <w:t>274,807.26</w:t>
            </w:r>
          </w:p>
        </w:tc>
        <w:tc>
          <w:tcPr>
            <w:tcW w:w="1607" w:type="dxa"/>
            <w:tcBorders>
              <w:top w:val="single" w:color="auto" w:sz="2" w:space="0"/>
              <w:left w:val="single" w:color="auto" w:sz="2" w:space="0"/>
              <w:bottom w:val="single" w:color="auto" w:sz="2" w:space="0"/>
              <w:right w:val="single" w:color="auto" w:sz="2" w:space="0"/>
            </w:tcBorders>
            <w:vAlign w:val="center"/>
          </w:tcPr>
          <w:p w14:paraId="10AD4328">
            <w:pPr>
              <w:spacing w:line="240" w:lineRule="exact"/>
              <w:jc w:val="right"/>
              <w:rPr>
                <w:rFonts w:ascii="宋体" w:hAnsi="宋体" w:eastAsia="宋体" w:cs="宋体"/>
                <w:sz w:val="18"/>
                <w:szCs w:val="18"/>
              </w:rPr>
            </w:pPr>
            <w:r>
              <w:rPr>
                <w:rFonts w:ascii="宋体" w:hAnsi="宋体" w:eastAsia="宋体" w:cs="宋体"/>
                <w:sz w:val="18"/>
                <w:szCs w:val="18"/>
              </w:rPr>
              <w:t>263,546.00</w:t>
            </w:r>
          </w:p>
        </w:tc>
        <w:tc>
          <w:tcPr>
            <w:tcW w:w="1607" w:type="dxa"/>
            <w:tcBorders>
              <w:top w:val="single" w:color="auto" w:sz="2" w:space="0"/>
              <w:left w:val="single" w:color="auto" w:sz="2" w:space="0"/>
              <w:bottom w:val="single" w:color="auto" w:sz="2" w:space="0"/>
              <w:right w:val="single" w:color="auto" w:sz="2" w:space="0"/>
            </w:tcBorders>
            <w:vAlign w:val="center"/>
          </w:tcPr>
          <w:p w14:paraId="075B36E2">
            <w:pPr>
              <w:spacing w:line="240" w:lineRule="exact"/>
              <w:jc w:val="right"/>
              <w:rPr>
                <w:rFonts w:ascii="宋体" w:hAnsi="宋体" w:eastAsia="宋体" w:cs="宋体"/>
                <w:sz w:val="18"/>
                <w:szCs w:val="18"/>
              </w:rPr>
            </w:pPr>
            <w:r>
              <w:rPr>
                <w:rFonts w:ascii="宋体" w:hAnsi="宋体" w:eastAsia="宋体" w:cs="宋体"/>
                <w:sz w:val="18"/>
                <w:szCs w:val="18"/>
              </w:rPr>
              <w:t>4.27%</w:t>
            </w:r>
          </w:p>
        </w:tc>
      </w:tr>
      <w:tr w14:paraId="518EB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14:paraId="673C951D">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42F9ABB">
            <w:pPr>
              <w:spacing w:before="40" w:after="40" w:line="240" w:lineRule="exact"/>
              <w:rPr>
                <w:rFonts w:ascii="宋体" w:hAnsi="宋体" w:eastAsia="宋体" w:cs="宋体"/>
                <w:sz w:val="18"/>
                <w:szCs w:val="18"/>
              </w:rPr>
            </w:pPr>
            <w:r>
              <w:rPr>
                <w:rFonts w:ascii="宋体" w:hAnsi="宋体" w:eastAsia="宋体" w:cs="宋体"/>
                <w:sz w:val="18"/>
                <w:szCs w:val="18"/>
              </w:rPr>
              <w:t>生产量</w:t>
            </w:r>
          </w:p>
        </w:tc>
        <w:tc>
          <w:tcPr>
            <w:tcW w:w="1606" w:type="dxa"/>
            <w:tcBorders>
              <w:top w:val="single" w:color="auto" w:sz="2" w:space="0"/>
              <w:left w:val="single" w:color="auto" w:sz="2" w:space="0"/>
              <w:bottom w:val="single" w:color="auto" w:sz="2" w:space="0"/>
              <w:right w:val="single" w:color="auto" w:sz="2" w:space="0"/>
            </w:tcBorders>
            <w:vAlign w:val="center"/>
          </w:tcPr>
          <w:p w14:paraId="460C5B71">
            <w:pPr>
              <w:spacing w:line="240" w:lineRule="exact"/>
              <w:rPr>
                <w:rFonts w:ascii="宋体" w:hAnsi="宋体" w:eastAsia="宋体" w:cs="宋体"/>
                <w:sz w:val="18"/>
                <w:szCs w:val="18"/>
              </w:rPr>
            </w:pPr>
            <w:r>
              <w:rPr>
                <w:rFonts w:ascii="宋体" w:hAnsi="宋体" w:eastAsia="宋体" w:cs="宋体"/>
                <w:sz w:val="18"/>
                <w:szCs w:val="18"/>
              </w:rPr>
              <w:t>吨</w:t>
            </w:r>
          </w:p>
        </w:tc>
        <w:tc>
          <w:tcPr>
            <w:tcW w:w="1607" w:type="dxa"/>
            <w:tcBorders>
              <w:top w:val="single" w:color="auto" w:sz="2" w:space="0"/>
              <w:left w:val="single" w:color="auto" w:sz="2" w:space="0"/>
              <w:bottom w:val="single" w:color="auto" w:sz="2" w:space="0"/>
              <w:right w:val="single" w:color="auto" w:sz="2" w:space="0"/>
            </w:tcBorders>
            <w:vAlign w:val="center"/>
          </w:tcPr>
          <w:p w14:paraId="5A1D6693">
            <w:pPr>
              <w:spacing w:line="240" w:lineRule="exact"/>
              <w:jc w:val="right"/>
              <w:rPr>
                <w:rFonts w:ascii="宋体" w:hAnsi="宋体" w:eastAsia="宋体" w:cs="宋体"/>
                <w:sz w:val="18"/>
                <w:szCs w:val="18"/>
              </w:rPr>
            </w:pPr>
            <w:r>
              <w:rPr>
                <w:rFonts w:ascii="宋体" w:hAnsi="宋体" w:eastAsia="宋体" w:cs="宋体"/>
                <w:sz w:val="18"/>
                <w:szCs w:val="18"/>
              </w:rPr>
              <w:t>264,218.09</w:t>
            </w:r>
          </w:p>
        </w:tc>
        <w:tc>
          <w:tcPr>
            <w:tcW w:w="1607" w:type="dxa"/>
            <w:tcBorders>
              <w:top w:val="single" w:color="auto" w:sz="2" w:space="0"/>
              <w:left w:val="single" w:color="auto" w:sz="2" w:space="0"/>
              <w:bottom w:val="single" w:color="auto" w:sz="2" w:space="0"/>
              <w:right w:val="single" w:color="auto" w:sz="2" w:space="0"/>
            </w:tcBorders>
            <w:vAlign w:val="center"/>
          </w:tcPr>
          <w:p w14:paraId="4689FC0A">
            <w:pPr>
              <w:spacing w:line="240" w:lineRule="exact"/>
              <w:jc w:val="right"/>
              <w:rPr>
                <w:rFonts w:ascii="宋体" w:hAnsi="宋体" w:eastAsia="宋体" w:cs="宋体"/>
                <w:sz w:val="18"/>
                <w:szCs w:val="18"/>
              </w:rPr>
            </w:pPr>
            <w:r>
              <w:rPr>
                <w:rFonts w:ascii="宋体" w:hAnsi="宋体" w:eastAsia="宋体" w:cs="宋体"/>
                <w:sz w:val="18"/>
                <w:szCs w:val="18"/>
              </w:rPr>
              <w:t>256,797.55</w:t>
            </w:r>
          </w:p>
        </w:tc>
        <w:tc>
          <w:tcPr>
            <w:tcW w:w="1607" w:type="dxa"/>
            <w:tcBorders>
              <w:top w:val="single" w:color="auto" w:sz="2" w:space="0"/>
              <w:left w:val="single" w:color="auto" w:sz="2" w:space="0"/>
              <w:bottom w:val="single" w:color="auto" w:sz="2" w:space="0"/>
              <w:right w:val="single" w:color="auto" w:sz="2" w:space="0"/>
            </w:tcBorders>
            <w:vAlign w:val="center"/>
          </w:tcPr>
          <w:p w14:paraId="6B5451A9">
            <w:pPr>
              <w:spacing w:line="240" w:lineRule="exact"/>
              <w:jc w:val="right"/>
              <w:rPr>
                <w:rFonts w:ascii="宋体" w:hAnsi="宋体" w:eastAsia="宋体" w:cs="宋体"/>
                <w:sz w:val="18"/>
                <w:szCs w:val="18"/>
              </w:rPr>
            </w:pPr>
            <w:r>
              <w:rPr>
                <w:rFonts w:ascii="宋体" w:hAnsi="宋体" w:eastAsia="宋体" w:cs="宋体"/>
                <w:sz w:val="18"/>
                <w:szCs w:val="18"/>
              </w:rPr>
              <w:t>2.89%</w:t>
            </w:r>
          </w:p>
        </w:tc>
      </w:tr>
      <w:tr w14:paraId="74B4F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14:paraId="168D303F">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0DF8582">
            <w:pPr>
              <w:spacing w:before="40" w:after="40" w:line="240" w:lineRule="exact"/>
              <w:rPr>
                <w:rFonts w:ascii="宋体" w:hAnsi="宋体" w:eastAsia="宋体" w:cs="宋体"/>
                <w:sz w:val="18"/>
                <w:szCs w:val="18"/>
              </w:rPr>
            </w:pPr>
            <w:r>
              <w:rPr>
                <w:rFonts w:ascii="宋体" w:hAnsi="宋体" w:eastAsia="宋体" w:cs="宋体"/>
                <w:sz w:val="18"/>
                <w:szCs w:val="18"/>
              </w:rPr>
              <w:t>库存量</w:t>
            </w:r>
          </w:p>
        </w:tc>
        <w:tc>
          <w:tcPr>
            <w:tcW w:w="1606" w:type="dxa"/>
            <w:tcBorders>
              <w:top w:val="single" w:color="auto" w:sz="2" w:space="0"/>
              <w:left w:val="single" w:color="auto" w:sz="2" w:space="0"/>
              <w:bottom w:val="single" w:color="auto" w:sz="2" w:space="0"/>
              <w:right w:val="single" w:color="auto" w:sz="2" w:space="0"/>
            </w:tcBorders>
            <w:vAlign w:val="center"/>
          </w:tcPr>
          <w:p w14:paraId="3FE4FB44">
            <w:pPr>
              <w:spacing w:line="240" w:lineRule="exact"/>
              <w:rPr>
                <w:rFonts w:ascii="宋体" w:hAnsi="宋体" w:eastAsia="宋体" w:cs="宋体"/>
                <w:sz w:val="18"/>
                <w:szCs w:val="18"/>
              </w:rPr>
            </w:pPr>
            <w:r>
              <w:rPr>
                <w:rFonts w:ascii="宋体" w:hAnsi="宋体" w:eastAsia="宋体" w:cs="宋体"/>
                <w:sz w:val="18"/>
                <w:szCs w:val="18"/>
              </w:rPr>
              <w:t>吨</w:t>
            </w:r>
          </w:p>
        </w:tc>
        <w:tc>
          <w:tcPr>
            <w:tcW w:w="1607" w:type="dxa"/>
            <w:tcBorders>
              <w:top w:val="single" w:color="auto" w:sz="2" w:space="0"/>
              <w:left w:val="single" w:color="auto" w:sz="2" w:space="0"/>
              <w:bottom w:val="single" w:color="auto" w:sz="2" w:space="0"/>
              <w:right w:val="single" w:color="auto" w:sz="2" w:space="0"/>
            </w:tcBorders>
            <w:vAlign w:val="center"/>
          </w:tcPr>
          <w:p w14:paraId="27125BB9">
            <w:pPr>
              <w:spacing w:line="240" w:lineRule="exact"/>
              <w:jc w:val="right"/>
              <w:rPr>
                <w:rFonts w:ascii="宋体" w:hAnsi="宋体" w:eastAsia="宋体" w:cs="宋体"/>
                <w:sz w:val="18"/>
                <w:szCs w:val="18"/>
              </w:rPr>
            </w:pPr>
            <w:r>
              <w:rPr>
                <w:rFonts w:ascii="宋体" w:hAnsi="宋体" w:eastAsia="宋体" w:cs="宋体"/>
                <w:sz w:val="18"/>
                <w:szCs w:val="18"/>
              </w:rPr>
              <w:t>49,614.83</w:t>
            </w:r>
          </w:p>
        </w:tc>
        <w:tc>
          <w:tcPr>
            <w:tcW w:w="1607" w:type="dxa"/>
            <w:tcBorders>
              <w:top w:val="single" w:color="auto" w:sz="2" w:space="0"/>
              <w:left w:val="single" w:color="auto" w:sz="2" w:space="0"/>
              <w:bottom w:val="single" w:color="auto" w:sz="2" w:space="0"/>
              <w:right w:val="single" w:color="auto" w:sz="2" w:space="0"/>
            </w:tcBorders>
            <w:vAlign w:val="center"/>
          </w:tcPr>
          <w:p w14:paraId="6835FB88">
            <w:pPr>
              <w:spacing w:line="240" w:lineRule="exact"/>
              <w:jc w:val="right"/>
              <w:rPr>
                <w:rFonts w:ascii="宋体" w:hAnsi="宋体" w:eastAsia="宋体" w:cs="宋体"/>
                <w:sz w:val="18"/>
                <w:szCs w:val="18"/>
              </w:rPr>
            </w:pPr>
            <w:r>
              <w:rPr>
                <w:rFonts w:ascii="宋体" w:hAnsi="宋体" w:eastAsia="宋体" w:cs="宋体"/>
                <w:sz w:val="18"/>
                <w:szCs w:val="18"/>
              </w:rPr>
              <w:t>60,204.00</w:t>
            </w:r>
          </w:p>
        </w:tc>
        <w:tc>
          <w:tcPr>
            <w:tcW w:w="1607" w:type="dxa"/>
            <w:tcBorders>
              <w:top w:val="single" w:color="auto" w:sz="2" w:space="0"/>
              <w:left w:val="single" w:color="auto" w:sz="2" w:space="0"/>
              <w:bottom w:val="single" w:color="auto" w:sz="2" w:space="0"/>
              <w:right w:val="single" w:color="auto" w:sz="2" w:space="0"/>
            </w:tcBorders>
            <w:vAlign w:val="center"/>
          </w:tcPr>
          <w:p w14:paraId="2413D43D">
            <w:pPr>
              <w:spacing w:line="240" w:lineRule="exact"/>
              <w:jc w:val="right"/>
              <w:rPr>
                <w:rFonts w:ascii="宋体" w:hAnsi="宋体" w:eastAsia="宋体" w:cs="宋体"/>
                <w:sz w:val="18"/>
                <w:szCs w:val="18"/>
              </w:rPr>
            </w:pPr>
            <w:r>
              <w:rPr>
                <w:rFonts w:ascii="宋体" w:hAnsi="宋体" w:eastAsia="宋体" w:cs="宋体"/>
                <w:sz w:val="18"/>
                <w:szCs w:val="18"/>
              </w:rPr>
              <w:t>-17.59%</w:t>
            </w:r>
          </w:p>
        </w:tc>
      </w:tr>
    </w:tbl>
    <w:p w14:paraId="1868F460">
      <w:pPr>
        <w:spacing w:before="100" w:after="100" w:line="240" w:lineRule="exact"/>
        <w:rPr>
          <w:rFonts w:ascii="宋体" w:hAnsi="宋体" w:eastAsia="宋体" w:cs="宋体"/>
          <w:sz w:val="18"/>
          <w:szCs w:val="18"/>
        </w:rPr>
      </w:pPr>
      <w:r>
        <w:rPr>
          <w:rFonts w:ascii="宋体" w:hAnsi="宋体" w:eastAsia="宋体" w:cs="宋体"/>
          <w:sz w:val="18"/>
          <w:szCs w:val="18"/>
        </w:rPr>
        <w:t>相关数据同比发生变动30%以上的原因说明</w:t>
      </w:r>
    </w:p>
    <w:p w14:paraId="0255564E">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9FDEF8A">
      <w:pPr>
        <w:keepNext/>
        <w:keepLines/>
        <w:spacing w:before="300" w:after="300" w:line="280" w:lineRule="exact"/>
        <w:outlineLvl w:val="3"/>
        <w:rPr>
          <w:rFonts w:ascii="宋体" w:hAnsi="宋体" w:eastAsia="宋体" w:cs="宋体"/>
          <w:b/>
          <w:bCs/>
          <w:sz w:val="18"/>
          <w:szCs w:val="18"/>
        </w:rPr>
      </w:pPr>
      <w:bookmarkStart w:id="23" w:name="_Toc988912"/>
      <w:r>
        <w:rPr>
          <w:rFonts w:ascii="宋体" w:hAnsi="宋体" w:eastAsia="宋体" w:cs="宋体"/>
          <w:b/>
          <w:bCs/>
          <w:sz w:val="18"/>
          <w:szCs w:val="18"/>
        </w:rPr>
        <w:t>（4） 公司已签订的重大销售合同、重大采购合同截至本报告期的履行情况</w:t>
      </w:r>
      <w:bookmarkEnd w:id="23"/>
    </w:p>
    <w:p w14:paraId="14150843">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D3DCD13">
      <w:pPr>
        <w:keepNext/>
        <w:keepLines/>
        <w:spacing w:before="300" w:after="300" w:line="280" w:lineRule="exact"/>
        <w:outlineLvl w:val="3"/>
        <w:rPr>
          <w:rFonts w:ascii="宋体" w:hAnsi="宋体" w:eastAsia="宋体" w:cs="宋体"/>
          <w:b/>
          <w:bCs/>
          <w:sz w:val="18"/>
          <w:szCs w:val="18"/>
        </w:rPr>
      </w:pPr>
      <w:bookmarkStart w:id="24" w:name="_Toc988913"/>
      <w:r>
        <w:rPr>
          <w:rFonts w:ascii="宋体" w:hAnsi="宋体" w:eastAsia="宋体" w:cs="宋体"/>
          <w:b/>
          <w:bCs/>
          <w:sz w:val="18"/>
          <w:szCs w:val="18"/>
        </w:rPr>
        <w:t>（5） 营业成本构成</w:t>
      </w:r>
      <w:bookmarkEnd w:id="24"/>
    </w:p>
    <w:p w14:paraId="58010111">
      <w:pPr>
        <w:spacing w:before="40" w:after="40" w:line="240" w:lineRule="exact"/>
        <w:rPr>
          <w:rFonts w:ascii="宋体" w:hAnsi="宋体" w:eastAsia="宋体" w:cs="宋体"/>
          <w:sz w:val="18"/>
          <w:szCs w:val="18"/>
        </w:rPr>
      </w:pPr>
      <w:r>
        <w:rPr>
          <w:rFonts w:ascii="宋体" w:hAnsi="宋体" w:eastAsia="宋体" w:cs="宋体"/>
          <w:sz w:val="18"/>
          <w:szCs w:val="18"/>
        </w:rPr>
        <w:t>行业和产品分类</w:t>
      </w:r>
    </w:p>
    <w:p w14:paraId="65E8124A">
      <w:pPr>
        <w:spacing w:before="100" w:after="100" w:line="240" w:lineRule="exact"/>
        <w:rPr>
          <w:rFonts w:ascii="宋体" w:hAnsi="宋体" w:eastAsia="宋体" w:cs="宋体"/>
          <w:sz w:val="18"/>
          <w:szCs w:val="18"/>
        </w:rPr>
      </w:pPr>
      <w:r>
        <w:rPr>
          <w:rFonts w:ascii="宋体" w:hAnsi="宋体" w:eastAsia="宋体" w:cs="宋体"/>
          <w:sz w:val="18"/>
          <w:szCs w:val="18"/>
        </w:rPr>
        <w:t>行业和产品分类</w:t>
      </w:r>
    </w:p>
    <w:p w14:paraId="70E0EA23">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458"/>
        <w:gridCol w:w="1701"/>
        <w:gridCol w:w="1276"/>
        <w:gridCol w:w="1701"/>
        <w:gridCol w:w="1134"/>
        <w:gridCol w:w="992"/>
      </w:tblGrid>
      <w:tr w14:paraId="607DF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F86A1F9">
            <w:pPr>
              <w:spacing w:before="40" w:after="40" w:line="240" w:lineRule="exact"/>
              <w:jc w:val="center"/>
              <w:rPr>
                <w:rFonts w:ascii="宋体" w:hAnsi="宋体" w:eastAsia="宋体" w:cs="宋体"/>
                <w:sz w:val="18"/>
                <w:szCs w:val="18"/>
              </w:rPr>
            </w:pPr>
            <w:r>
              <w:rPr>
                <w:rFonts w:ascii="宋体" w:hAnsi="宋体" w:eastAsia="宋体" w:cs="宋体"/>
                <w:sz w:val="18"/>
                <w:szCs w:val="18"/>
              </w:rPr>
              <w:t>行业分类</w:t>
            </w:r>
          </w:p>
        </w:tc>
        <w:tc>
          <w:tcPr>
            <w:tcW w:w="145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21E580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97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784F17F">
            <w:pPr>
              <w:spacing w:before="40" w:after="40" w:line="240" w:lineRule="exact"/>
              <w:jc w:val="center"/>
              <w:rPr>
                <w:rFonts w:ascii="宋体" w:hAnsi="宋体" w:eastAsia="宋体" w:cs="宋体"/>
                <w:sz w:val="18"/>
                <w:szCs w:val="18"/>
              </w:rPr>
            </w:pPr>
            <w:r>
              <w:rPr>
                <w:rFonts w:ascii="宋体" w:hAnsi="宋体" w:eastAsia="宋体" w:cs="宋体"/>
                <w:sz w:val="18"/>
                <w:szCs w:val="18"/>
              </w:rPr>
              <w:t>2025年</w:t>
            </w:r>
          </w:p>
        </w:tc>
        <w:tc>
          <w:tcPr>
            <w:tcW w:w="283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67E0C48">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99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1BE6E62">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14:paraId="348BA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5CFC7E2"/>
        </w:tc>
        <w:tc>
          <w:tcPr>
            <w:tcW w:w="145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6161B69"/>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6C04D515">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14:paraId="2135DAC3">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占营业成本比重</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4663E186">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14:paraId="015719E0">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占营业成本比重</w:t>
            </w:r>
          </w:p>
        </w:tc>
        <w:tc>
          <w:tcPr>
            <w:tcW w:w="99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6CB7ED1"/>
        </w:tc>
      </w:tr>
      <w:tr w14:paraId="201CD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4976B66">
            <w:pPr>
              <w:spacing w:line="240" w:lineRule="exact"/>
              <w:rPr>
                <w:rFonts w:ascii="宋体" w:hAnsi="宋体" w:eastAsia="宋体" w:cs="宋体"/>
                <w:sz w:val="18"/>
                <w:szCs w:val="18"/>
              </w:rPr>
            </w:pPr>
            <w:r>
              <w:rPr>
                <w:rFonts w:ascii="宋体" w:hAnsi="宋体" w:eastAsia="宋体" w:cs="宋体"/>
                <w:sz w:val="18"/>
                <w:szCs w:val="18"/>
              </w:rPr>
              <w:t>棉纺行业</w:t>
            </w:r>
          </w:p>
        </w:tc>
        <w:tc>
          <w:tcPr>
            <w:tcW w:w="1458" w:type="dxa"/>
            <w:tcBorders>
              <w:top w:val="single" w:color="auto" w:sz="2" w:space="0"/>
              <w:left w:val="single" w:color="auto" w:sz="2" w:space="0"/>
              <w:bottom w:val="single" w:color="auto" w:sz="2" w:space="0"/>
              <w:right w:val="single" w:color="auto" w:sz="2" w:space="0"/>
            </w:tcBorders>
            <w:vAlign w:val="center"/>
          </w:tcPr>
          <w:p w14:paraId="456A6020">
            <w:pPr>
              <w:spacing w:line="240" w:lineRule="exact"/>
              <w:rPr>
                <w:rFonts w:ascii="宋体" w:hAnsi="宋体" w:eastAsia="宋体" w:cs="宋体"/>
                <w:sz w:val="18"/>
                <w:szCs w:val="18"/>
              </w:rPr>
            </w:pPr>
            <w:r>
              <w:rPr>
                <w:rFonts w:ascii="宋体" w:hAnsi="宋体" w:eastAsia="宋体" w:cs="宋体"/>
                <w:sz w:val="18"/>
                <w:szCs w:val="18"/>
              </w:rPr>
              <w:t>直接材料</w:t>
            </w:r>
          </w:p>
        </w:tc>
        <w:tc>
          <w:tcPr>
            <w:tcW w:w="1701" w:type="dxa"/>
            <w:tcBorders>
              <w:top w:val="single" w:color="auto" w:sz="2" w:space="0"/>
              <w:left w:val="single" w:color="auto" w:sz="2" w:space="0"/>
              <w:bottom w:val="single" w:color="auto" w:sz="2" w:space="0"/>
              <w:right w:val="single" w:color="auto" w:sz="2" w:space="0"/>
            </w:tcBorders>
            <w:vAlign w:val="center"/>
          </w:tcPr>
          <w:p w14:paraId="08217158">
            <w:pPr>
              <w:spacing w:line="240" w:lineRule="exact"/>
              <w:jc w:val="right"/>
              <w:rPr>
                <w:rFonts w:ascii="宋体" w:hAnsi="宋体" w:eastAsia="宋体" w:cs="宋体"/>
                <w:sz w:val="18"/>
                <w:szCs w:val="18"/>
              </w:rPr>
            </w:pPr>
            <w:r>
              <w:rPr>
                <w:rFonts w:ascii="宋体" w:hAnsi="宋体" w:eastAsia="宋体" w:cs="宋体"/>
                <w:sz w:val="18"/>
                <w:szCs w:val="18"/>
              </w:rPr>
              <w:t>5,430,874,071.73</w:t>
            </w:r>
          </w:p>
        </w:tc>
        <w:tc>
          <w:tcPr>
            <w:tcW w:w="1276" w:type="dxa"/>
            <w:tcBorders>
              <w:top w:val="single" w:color="auto" w:sz="2" w:space="0"/>
              <w:left w:val="single" w:color="auto" w:sz="2" w:space="0"/>
              <w:bottom w:val="single" w:color="auto" w:sz="2" w:space="0"/>
              <w:right w:val="single" w:color="auto" w:sz="2" w:space="0"/>
            </w:tcBorders>
            <w:vAlign w:val="center"/>
          </w:tcPr>
          <w:p w14:paraId="77BD66A5">
            <w:pPr>
              <w:spacing w:line="240" w:lineRule="exact"/>
              <w:jc w:val="right"/>
              <w:rPr>
                <w:rFonts w:ascii="宋体" w:hAnsi="宋体" w:eastAsia="宋体" w:cs="宋体"/>
                <w:sz w:val="18"/>
                <w:szCs w:val="18"/>
              </w:rPr>
            </w:pPr>
            <w:r>
              <w:rPr>
                <w:rFonts w:ascii="宋体" w:hAnsi="宋体" w:eastAsia="宋体" w:cs="宋体"/>
                <w:sz w:val="18"/>
                <w:szCs w:val="18"/>
              </w:rPr>
              <w:t>74.56%</w:t>
            </w:r>
          </w:p>
        </w:tc>
        <w:tc>
          <w:tcPr>
            <w:tcW w:w="1701" w:type="dxa"/>
            <w:tcBorders>
              <w:top w:val="single" w:color="auto" w:sz="2" w:space="0"/>
              <w:left w:val="single" w:color="auto" w:sz="2" w:space="0"/>
              <w:bottom w:val="single" w:color="auto" w:sz="2" w:space="0"/>
              <w:right w:val="single" w:color="auto" w:sz="2" w:space="0"/>
            </w:tcBorders>
            <w:vAlign w:val="center"/>
          </w:tcPr>
          <w:p w14:paraId="654815D3">
            <w:pPr>
              <w:spacing w:line="240" w:lineRule="exact"/>
              <w:jc w:val="right"/>
              <w:rPr>
                <w:rFonts w:ascii="宋体" w:hAnsi="宋体" w:eastAsia="宋体" w:cs="宋体"/>
                <w:sz w:val="18"/>
                <w:szCs w:val="18"/>
              </w:rPr>
            </w:pPr>
            <w:r>
              <w:rPr>
                <w:rFonts w:ascii="宋体" w:hAnsi="宋体" w:eastAsia="宋体" w:cs="宋体"/>
                <w:sz w:val="18"/>
                <w:szCs w:val="18"/>
              </w:rPr>
              <w:t>8,151,166,074.14</w:t>
            </w:r>
          </w:p>
        </w:tc>
        <w:tc>
          <w:tcPr>
            <w:tcW w:w="1134" w:type="dxa"/>
            <w:tcBorders>
              <w:top w:val="single" w:color="auto" w:sz="2" w:space="0"/>
              <w:left w:val="single" w:color="auto" w:sz="2" w:space="0"/>
              <w:bottom w:val="single" w:color="auto" w:sz="2" w:space="0"/>
              <w:right w:val="single" w:color="auto" w:sz="2" w:space="0"/>
            </w:tcBorders>
            <w:vAlign w:val="center"/>
          </w:tcPr>
          <w:p w14:paraId="280D1643">
            <w:pPr>
              <w:spacing w:line="240" w:lineRule="exact"/>
              <w:jc w:val="right"/>
              <w:rPr>
                <w:rFonts w:ascii="宋体" w:hAnsi="宋体" w:eastAsia="宋体" w:cs="宋体"/>
                <w:sz w:val="18"/>
                <w:szCs w:val="18"/>
              </w:rPr>
            </w:pPr>
            <w:r>
              <w:rPr>
                <w:rFonts w:ascii="宋体" w:hAnsi="宋体" w:eastAsia="宋体" w:cs="宋体"/>
                <w:sz w:val="18"/>
                <w:szCs w:val="18"/>
              </w:rPr>
              <w:t>80.24%</w:t>
            </w:r>
          </w:p>
        </w:tc>
        <w:tc>
          <w:tcPr>
            <w:tcW w:w="992" w:type="dxa"/>
            <w:tcBorders>
              <w:top w:val="single" w:color="auto" w:sz="2" w:space="0"/>
              <w:left w:val="single" w:color="auto" w:sz="2" w:space="0"/>
              <w:bottom w:val="single" w:color="auto" w:sz="2" w:space="0"/>
              <w:right w:val="single" w:color="auto" w:sz="2" w:space="0"/>
            </w:tcBorders>
            <w:vAlign w:val="center"/>
          </w:tcPr>
          <w:p w14:paraId="7B78B4E4">
            <w:pPr>
              <w:spacing w:line="240" w:lineRule="exact"/>
              <w:jc w:val="right"/>
              <w:rPr>
                <w:rFonts w:ascii="宋体" w:hAnsi="宋体" w:eastAsia="宋体" w:cs="宋体"/>
                <w:sz w:val="18"/>
                <w:szCs w:val="18"/>
              </w:rPr>
            </w:pPr>
            <w:r>
              <w:rPr>
                <w:rFonts w:ascii="宋体" w:hAnsi="宋体" w:eastAsia="宋体" w:cs="宋体"/>
                <w:sz w:val="18"/>
                <w:szCs w:val="18"/>
              </w:rPr>
              <w:t>-33.37%</w:t>
            </w:r>
          </w:p>
        </w:tc>
      </w:tr>
      <w:tr w14:paraId="7EE8B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F56651E">
            <w:pPr>
              <w:spacing w:line="240" w:lineRule="exact"/>
              <w:rPr>
                <w:rFonts w:ascii="宋体" w:hAnsi="宋体" w:eastAsia="宋体" w:cs="宋体"/>
                <w:sz w:val="18"/>
                <w:szCs w:val="18"/>
              </w:rPr>
            </w:pPr>
            <w:r>
              <w:rPr>
                <w:rFonts w:ascii="宋体" w:hAnsi="宋体" w:eastAsia="宋体" w:cs="宋体"/>
                <w:sz w:val="18"/>
                <w:szCs w:val="18"/>
              </w:rPr>
              <w:t>棉纺行业</w:t>
            </w:r>
          </w:p>
        </w:tc>
        <w:tc>
          <w:tcPr>
            <w:tcW w:w="1458" w:type="dxa"/>
            <w:tcBorders>
              <w:top w:val="single" w:color="auto" w:sz="2" w:space="0"/>
              <w:left w:val="single" w:color="auto" w:sz="2" w:space="0"/>
              <w:bottom w:val="single" w:color="auto" w:sz="2" w:space="0"/>
              <w:right w:val="single" w:color="auto" w:sz="2" w:space="0"/>
            </w:tcBorders>
            <w:vAlign w:val="center"/>
          </w:tcPr>
          <w:p w14:paraId="731FCA1C">
            <w:pPr>
              <w:spacing w:line="240" w:lineRule="exact"/>
              <w:rPr>
                <w:rFonts w:ascii="宋体" w:hAnsi="宋体" w:eastAsia="宋体" w:cs="宋体"/>
                <w:sz w:val="18"/>
                <w:szCs w:val="18"/>
              </w:rPr>
            </w:pPr>
            <w:r>
              <w:rPr>
                <w:rFonts w:ascii="宋体" w:hAnsi="宋体" w:eastAsia="宋体" w:cs="宋体"/>
                <w:sz w:val="18"/>
                <w:szCs w:val="18"/>
              </w:rPr>
              <w:t>直接人工</w:t>
            </w:r>
          </w:p>
        </w:tc>
        <w:tc>
          <w:tcPr>
            <w:tcW w:w="1701" w:type="dxa"/>
            <w:tcBorders>
              <w:top w:val="single" w:color="auto" w:sz="2" w:space="0"/>
              <w:left w:val="single" w:color="auto" w:sz="2" w:space="0"/>
              <w:bottom w:val="single" w:color="auto" w:sz="2" w:space="0"/>
              <w:right w:val="single" w:color="auto" w:sz="2" w:space="0"/>
            </w:tcBorders>
            <w:vAlign w:val="center"/>
          </w:tcPr>
          <w:p w14:paraId="2400609D">
            <w:pPr>
              <w:spacing w:line="240" w:lineRule="exact"/>
              <w:jc w:val="right"/>
              <w:rPr>
                <w:rFonts w:ascii="宋体" w:hAnsi="宋体" w:eastAsia="宋体" w:cs="宋体"/>
                <w:sz w:val="18"/>
                <w:szCs w:val="18"/>
              </w:rPr>
            </w:pPr>
            <w:r>
              <w:rPr>
                <w:rFonts w:ascii="宋体" w:hAnsi="宋体" w:eastAsia="宋体" w:cs="宋体"/>
                <w:sz w:val="18"/>
                <w:szCs w:val="18"/>
              </w:rPr>
              <w:t>594,934,548.16</w:t>
            </w:r>
          </w:p>
        </w:tc>
        <w:tc>
          <w:tcPr>
            <w:tcW w:w="1276" w:type="dxa"/>
            <w:tcBorders>
              <w:top w:val="single" w:color="auto" w:sz="2" w:space="0"/>
              <w:left w:val="single" w:color="auto" w:sz="2" w:space="0"/>
              <w:bottom w:val="single" w:color="auto" w:sz="2" w:space="0"/>
              <w:right w:val="single" w:color="auto" w:sz="2" w:space="0"/>
            </w:tcBorders>
            <w:vAlign w:val="center"/>
          </w:tcPr>
          <w:p w14:paraId="3D29032C">
            <w:pPr>
              <w:spacing w:line="240" w:lineRule="exact"/>
              <w:jc w:val="right"/>
              <w:rPr>
                <w:rFonts w:ascii="宋体" w:hAnsi="宋体" w:eastAsia="宋体" w:cs="宋体"/>
                <w:sz w:val="18"/>
                <w:szCs w:val="18"/>
              </w:rPr>
            </w:pPr>
            <w:r>
              <w:rPr>
                <w:rFonts w:ascii="宋体" w:hAnsi="宋体" w:eastAsia="宋体" w:cs="宋体"/>
                <w:sz w:val="18"/>
                <w:szCs w:val="18"/>
              </w:rPr>
              <w:t>8.17%</w:t>
            </w:r>
          </w:p>
        </w:tc>
        <w:tc>
          <w:tcPr>
            <w:tcW w:w="1701" w:type="dxa"/>
            <w:tcBorders>
              <w:top w:val="single" w:color="auto" w:sz="2" w:space="0"/>
              <w:left w:val="single" w:color="auto" w:sz="2" w:space="0"/>
              <w:bottom w:val="single" w:color="auto" w:sz="2" w:space="0"/>
              <w:right w:val="single" w:color="auto" w:sz="2" w:space="0"/>
            </w:tcBorders>
            <w:vAlign w:val="center"/>
          </w:tcPr>
          <w:p w14:paraId="1251B7F4">
            <w:pPr>
              <w:spacing w:line="240" w:lineRule="exact"/>
              <w:jc w:val="right"/>
              <w:rPr>
                <w:rFonts w:ascii="宋体" w:hAnsi="宋体" w:eastAsia="宋体" w:cs="宋体"/>
                <w:sz w:val="18"/>
                <w:szCs w:val="18"/>
              </w:rPr>
            </w:pPr>
            <w:r>
              <w:rPr>
                <w:rFonts w:ascii="宋体" w:hAnsi="宋体" w:eastAsia="宋体" w:cs="宋体"/>
                <w:sz w:val="18"/>
                <w:szCs w:val="18"/>
              </w:rPr>
              <w:t>786,658,120.71</w:t>
            </w:r>
          </w:p>
        </w:tc>
        <w:tc>
          <w:tcPr>
            <w:tcW w:w="1134" w:type="dxa"/>
            <w:tcBorders>
              <w:top w:val="single" w:color="auto" w:sz="2" w:space="0"/>
              <w:left w:val="single" w:color="auto" w:sz="2" w:space="0"/>
              <w:bottom w:val="single" w:color="auto" w:sz="2" w:space="0"/>
              <w:right w:val="single" w:color="auto" w:sz="2" w:space="0"/>
            </w:tcBorders>
            <w:vAlign w:val="center"/>
          </w:tcPr>
          <w:p w14:paraId="775890FC">
            <w:pPr>
              <w:spacing w:line="240" w:lineRule="exact"/>
              <w:jc w:val="right"/>
              <w:rPr>
                <w:rFonts w:ascii="宋体" w:hAnsi="宋体" w:eastAsia="宋体" w:cs="宋体"/>
                <w:sz w:val="18"/>
                <w:szCs w:val="18"/>
              </w:rPr>
            </w:pPr>
            <w:r>
              <w:rPr>
                <w:rFonts w:ascii="宋体" w:hAnsi="宋体" w:eastAsia="宋体" w:cs="宋体"/>
                <w:sz w:val="18"/>
                <w:szCs w:val="18"/>
              </w:rPr>
              <w:t>7.74%</w:t>
            </w:r>
          </w:p>
        </w:tc>
        <w:tc>
          <w:tcPr>
            <w:tcW w:w="992" w:type="dxa"/>
            <w:tcBorders>
              <w:top w:val="single" w:color="auto" w:sz="2" w:space="0"/>
              <w:left w:val="single" w:color="auto" w:sz="2" w:space="0"/>
              <w:bottom w:val="single" w:color="auto" w:sz="2" w:space="0"/>
              <w:right w:val="single" w:color="auto" w:sz="2" w:space="0"/>
            </w:tcBorders>
            <w:vAlign w:val="center"/>
          </w:tcPr>
          <w:p w14:paraId="6872C66D">
            <w:pPr>
              <w:spacing w:line="240" w:lineRule="exact"/>
              <w:jc w:val="right"/>
              <w:rPr>
                <w:rFonts w:ascii="宋体" w:hAnsi="宋体" w:eastAsia="宋体" w:cs="宋体"/>
                <w:sz w:val="18"/>
                <w:szCs w:val="18"/>
              </w:rPr>
            </w:pPr>
            <w:r>
              <w:rPr>
                <w:rFonts w:ascii="宋体" w:hAnsi="宋体" w:eastAsia="宋体" w:cs="宋体"/>
                <w:sz w:val="18"/>
                <w:szCs w:val="18"/>
              </w:rPr>
              <w:t>-24.37%</w:t>
            </w:r>
          </w:p>
        </w:tc>
      </w:tr>
      <w:tr w14:paraId="64A79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AC6DC00">
            <w:pPr>
              <w:spacing w:line="240" w:lineRule="exact"/>
              <w:rPr>
                <w:rFonts w:ascii="宋体" w:hAnsi="宋体" w:eastAsia="宋体" w:cs="宋体"/>
                <w:sz w:val="18"/>
                <w:szCs w:val="18"/>
              </w:rPr>
            </w:pPr>
            <w:r>
              <w:rPr>
                <w:rFonts w:ascii="宋体" w:hAnsi="宋体" w:eastAsia="宋体" w:cs="宋体"/>
                <w:sz w:val="18"/>
                <w:szCs w:val="18"/>
              </w:rPr>
              <w:t>棉纺行业</w:t>
            </w:r>
          </w:p>
        </w:tc>
        <w:tc>
          <w:tcPr>
            <w:tcW w:w="1458" w:type="dxa"/>
            <w:tcBorders>
              <w:top w:val="single" w:color="auto" w:sz="2" w:space="0"/>
              <w:left w:val="single" w:color="auto" w:sz="2" w:space="0"/>
              <w:bottom w:val="single" w:color="auto" w:sz="2" w:space="0"/>
              <w:right w:val="single" w:color="auto" w:sz="2" w:space="0"/>
            </w:tcBorders>
            <w:vAlign w:val="center"/>
          </w:tcPr>
          <w:p w14:paraId="238D3DAE">
            <w:pPr>
              <w:spacing w:line="240" w:lineRule="exact"/>
              <w:rPr>
                <w:rFonts w:ascii="宋体" w:hAnsi="宋体" w:eastAsia="宋体" w:cs="宋体"/>
                <w:sz w:val="18"/>
                <w:szCs w:val="18"/>
              </w:rPr>
            </w:pPr>
            <w:r>
              <w:rPr>
                <w:rFonts w:ascii="宋体" w:hAnsi="宋体" w:eastAsia="宋体" w:cs="宋体"/>
                <w:sz w:val="18"/>
                <w:szCs w:val="18"/>
              </w:rPr>
              <w:t>折旧</w:t>
            </w:r>
          </w:p>
        </w:tc>
        <w:tc>
          <w:tcPr>
            <w:tcW w:w="1701" w:type="dxa"/>
            <w:tcBorders>
              <w:top w:val="single" w:color="auto" w:sz="2" w:space="0"/>
              <w:left w:val="single" w:color="auto" w:sz="2" w:space="0"/>
              <w:bottom w:val="single" w:color="auto" w:sz="2" w:space="0"/>
              <w:right w:val="single" w:color="auto" w:sz="2" w:space="0"/>
            </w:tcBorders>
            <w:vAlign w:val="center"/>
          </w:tcPr>
          <w:p w14:paraId="71884534">
            <w:pPr>
              <w:spacing w:line="240" w:lineRule="exact"/>
              <w:jc w:val="right"/>
              <w:rPr>
                <w:rFonts w:ascii="宋体" w:hAnsi="宋体" w:eastAsia="宋体" w:cs="宋体"/>
                <w:sz w:val="18"/>
                <w:szCs w:val="18"/>
              </w:rPr>
            </w:pPr>
            <w:r>
              <w:rPr>
                <w:rFonts w:ascii="宋体" w:hAnsi="宋体" w:eastAsia="宋体" w:cs="宋体"/>
                <w:sz w:val="18"/>
                <w:szCs w:val="18"/>
              </w:rPr>
              <w:t>384,905,916.17</w:t>
            </w:r>
          </w:p>
        </w:tc>
        <w:tc>
          <w:tcPr>
            <w:tcW w:w="1276" w:type="dxa"/>
            <w:tcBorders>
              <w:top w:val="single" w:color="auto" w:sz="2" w:space="0"/>
              <w:left w:val="single" w:color="auto" w:sz="2" w:space="0"/>
              <w:bottom w:val="single" w:color="auto" w:sz="2" w:space="0"/>
              <w:right w:val="single" w:color="auto" w:sz="2" w:space="0"/>
            </w:tcBorders>
            <w:vAlign w:val="center"/>
          </w:tcPr>
          <w:p w14:paraId="1C9EFB69">
            <w:pPr>
              <w:spacing w:line="240" w:lineRule="exact"/>
              <w:jc w:val="right"/>
              <w:rPr>
                <w:rFonts w:ascii="宋体" w:hAnsi="宋体" w:eastAsia="宋体" w:cs="宋体"/>
                <w:sz w:val="18"/>
                <w:szCs w:val="18"/>
              </w:rPr>
            </w:pPr>
            <w:r>
              <w:rPr>
                <w:rFonts w:ascii="宋体" w:hAnsi="宋体" w:eastAsia="宋体" w:cs="宋体"/>
                <w:sz w:val="18"/>
                <w:szCs w:val="18"/>
              </w:rPr>
              <w:t>5.28%</w:t>
            </w:r>
          </w:p>
        </w:tc>
        <w:tc>
          <w:tcPr>
            <w:tcW w:w="1701" w:type="dxa"/>
            <w:tcBorders>
              <w:top w:val="single" w:color="auto" w:sz="2" w:space="0"/>
              <w:left w:val="single" w:color="auto" w:sz="2" w:space="0"/>
              <w:bottom w:val="single" w:color="auto" w:sz="2" w:space="0"/>
              <w:right w:val="single" w:color="auto" w:sz="2" w:space="0"/>
            </w:tcBorders>
            <w:vAlign w:val="center"/>
          </w:tcPr>
          <w:p w14:paraId="3A350AC9">
            <w:pPr>
              <w:spacing w:line="240" w:lineRule="exact"/>
              <w:jc w:val="right"/>
              <w:rPr>
                <w:rFonts w:ascii="宋体" w:hAnsi="宋体" w:eastAsia="宋体" w:cs="宋体"/>
                <w:sz w:val="18"/>
                <w:szCs w:val="18"/>
              </w:rPr>
            </w:pPr>
            <w:r>
              <w:rPr>
                <w:rFonts w:ascii="宋体" w:hAnsi="宋体" w:eastAsia="宋体" w:cs="宋体"/>
                <w:sz w:val="18"/>
                <w:szCs w:val="18"/>
              </w:rPr>
              <w:t>440,841,525.01</w:t>
            </w:r>
          </w:p>
        </w:tc>
        <w:tc>
          <w:tcPr>
            <w:tcW w:w="1134" w:type="dxa"/>
            <w:tcBorders>
              <w:top w:val="single" w:color="auto" w:sz="2" w:space="0"/>
              <w:left w:val="single" w:color="auto" w:sz="2" w:space="0"/>
              <w:bottom w:val="single" w:color="auto" w:sz="2" w:space="0"/>
              <w:right w:val="single" w:color="auto" w:sz="2" w:space="0"/>
            </w:tcBorders>
            <w:vAlign w:val="center"/>
          </w:tcPr>
          <w:p w14:paraId="551CC53B">
            <w:pPr>
              <w:spacing w:line="240" w:lineRule="exact"/>
              <w:jc w:val="right"/>
              <w:rPr>
                <w:rFonts w:ascii="宋体" w:hAnsi="宋体" w:eastAsia="宋体" w:cs="宋体"/>
                <w:sz w:val="18"/>
                <w:szCs w:val="18"/>
              </w:rPr>
            </w:pPr>
            <w:r>
              <w:rPr>
                <w:rFonts w:ascii="宋体" w:hAnsi="宋体" w:eastAsia="宋体" w:cs="宋体"/>
                <w:sz w:val="18"/>
                <w:szCs w:val="18"/>
              </w:rPr>
              <w:t>4.34%</w:t>
            </w:r>
          </w:p>
        </w:tc>
        <w:tc>
          <w:tcPr>
            <w:tcW w:w="992" w:type="dxa"/>
            <w:tcBorders>
              <w:top w:val="single" w:color="auto" w:sz="2" w:space="0"/>
              <w:left w:val="single" w:color="auto" w:sz="2" w:space="0"/>
              <w:bottom w:val="single" w:color="auto" w:sz="2" w:space="0"/>
              <w:right w:val="single" w:color="auto" w:sz="2" w:space="0"/>
            </w:tcBorders>
            <w:vAlign w:val="center"/>
          </w:tcPr>
          <w:p w14:paraId="6C76A67E">
            <w:pPr>
              <w:spacing w:line="240" w:lineRule="exact"/>
              <w:jc w:val="right"/>
              <w:rPr>
                <w:rFonts w:ascii="宋体" w:hAnsi="宋体" w:eastAsia="宋体" w:cs="宋体"/>
                <w:sz w:val="18"/>
                <w:szCs w:val="18"/>
              </w:rPr>
            </w:pPr>
            <w:r>
              <w:rPr>
                <w:rFonts w:ascii="宋体" w:hAnsi="宋体" w:eastAsia="宋体" w:cs="宋体"/>
                <w:sz w:val="18"/>
                <w:szCs w:val="18"/>
              </w:rPr>
              <w:t>-12.69%</w:t>
            </w:r>
          </w:p>
        </w:tc>
      </w:tr>
      <w:tr w14:paraId="3EF58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88EB53B">
            <w:pPr>
              <w:spacing w:line="240" w:lineRule="exact"/>
              <w:rPr>
                <w:rFonts w:ascii="宋体" w:hAnsi="宋体" w:eastAsia="宋体" w:cs="宋体"/>
                <w:sz w:val="18"/>
                <w:szCs w:val="18"/>
              </w:rPr>
            </w:pPr>
            <w:r>
              <w:rPr>
                <w:rFonts w:ascii="宋体" w:hAnsi="宋体" w:eastAsia="宋体" w:cs="宋体"/>
                <w:sz w:val="18"/>
                <w:szCs w:val="18"/>
              </w:rPr>
              <w:t>棉纺行业</w:t>
            </w:r>
          </w:p>
        </w:tc>
        <w:tc>
          <w:tcPr>
            <w:tcW w:w="1458" w:type="dxa"/>
            <w:tcBorders>
              <w:top w:val="single" w:color="auto" w:sz="2" w:space="0"/>
              <w:left w:val="single" w:color="auto" w:sz="2" w:space="0"/>
              <w:bottom w:val="single" w:color="auto" w:sz="2" w:space="0"/>
              <w:right w:val="single" w:color="auto" w:sz="2" w:space="0"/>
            </w:tcBorders>
            <w:vAlign w:val="center"/>
          </w:tcPr>
          <w:p w14:paraId="283BB88B">
            <w:pPr>
              <w:spacing w:line="240" w:lineRule="exact"/>
              <w:rPr>
                <w:rFonts w:ascii="宋体" w:hAnsi="宋体" w:eastAsia="宋体" w:cs="宋体"/>
                <w:sz w:val="18"/>
                <w:szCs w:val="18"/>
              </w:rPr>
            </w:pPr>
            <w:r>
              <w:rPr>
                <w:rFonts w:ascii="宋体" w:hAnsi="宋体" w:eastAsia="宋体" w:cs="宋体"/>
                <w:sz w:val="18"/>
                <w:szCs w:val="18"/>
              </w:rPr>
              <w:t>能源和动力</w:t>
            </w:r>
          </w:p>
        </w:tc>
        <w:tc>
          <w:tcPr>
            <w:tcW w:w="1701" w:type="dxa"/>
            <w:tcBorders>
              <w:top w:val="single" w:color="auto" w:sz="2" w:space="0"/>
              <w:left w:val="single" w:color="auto" w:sz="2" w:space="0"/>
              <w:bottom w:val="single" w:color="auto" w:sz="2" w:space="0"/>
              <w:right w:val="single" w:color="auto" w:sz="2" w:space="0"/>
            </w:tcBorders>
            <w:vAlign w:val="center"/>
          </w:tcPr>
          <w:p w14:paraId="7F480F48">
            <w:pPr>
              <w:spacing w:line="240" w:lineRule="exact"/>
              <w:jc w:val="right"/>
              <w:rPr>
                <w:rFonts w:ascii="宋体" w:hAnsi="宋体" w:eastAsia="宋体" w:cs="宋体"/>
                <w:sz w:val="18"/>
                <w:szCs w:val="18"/>
              </w:rPr>
            </w:pPr>
            <w:r>
              <w:rPr>
                <w:rFonts w:ascii="宋体" w:hAnsi="宋体" w:eastAsia="宋体" w:cs="宋体"/>
                <w:sz w:val="18"/>
                <w:szCs w:val="18"/>
              </w:rPr>
              <w:t>422,111,173.99</w:t>
            </w:r>
          </w:p>
        </w:tc>
        <w:tc>
          <w:tcPr>
            <w:tcW w:w="1276" w:type="dxa"/>
            <w:tcBorders>
              <w:top w:val="single" w:color="auto" w:sz="2" w:space="0"/>
              <w:left w:val="single" w:color="auto" w:sz="2" w:space="0"/>
              <w:bottom w:val="single" w:color="auto" w:sz="2" w:space="0"/>
              <w:right w:val="single" w:color="auto" w:sz="2" w:space="0"/>
            </w:tcBorders>
            <w:vAlign w:val="center"/>
          </w:tcPr>
          <w:p w14:paraId="733856EC">
            <w:pPr>
              <w:spacing w:line="240" w:lineRule="exact"/>
              <w:jc w:val="right"/>
              <w:rPr>
                <w:rFonts w:ascii="宋体" w:hAnsi="宋体" w:eastAsia="宋体" w:cs="宋体"/>
                <w:sz w:val="18"/>
                <w:szCs w:val="18"/>
              </w:rPr>
            </w:pPr>
            <w:r>
              <w:rPr>
                <w:rFonts w:ascii="宋体" w:hAnsi="宋体" w:eastAsia="宋体" w:cs="宋体"/>
                <w:sz w:val="18"/>
                <w:szCs w:val="18"/>
              </w:rPr>
              <w:t>5.79%</w:t>
            </w:r>
          </w:p>
        </w:tc>
        <w:tc>
          <w:tcPr>
            <w:tcW w:w="1701" w:type="dxa"/>
            <w:tcBorders>
              <w:top w:val="single" w:color="auto" w:sz="2" w:space="0"/>
              <w:left w:val="single" w:color="auto" w:sz="2" w:space="0"/>
              <w:bottom w:val="single" w:color="auto" w:sz="2" w:space="0"/>
              <w:right w:val="single" w:color="auto" w:sz="2" w:space="0"/>
            </w:tcBorders>
            <w:vAlign w:val="center"/>
          </w:tcPr>
          <w:p w14:paraId="717E9CA2">
            <w:pPr>
              <w:spacing w:line="240" w:lineRule="exact"/>
              <w:jc w:val="right"/>
              <w:rPr>
                <w:rFonts w:ascii="宋体" w:hAnsi="宋体" w:eastAsia="宋体" w:cs="宋体"/>
                <w:sz w:val="18"/>
                <w:szCs w:val="18"/>
              </w:rPr>
            </w:pPr>
            <w:r>
              <w:rPr>
                <w:rFonts w:ascii="宋体" w:hAnsi="宋体" w:eastAsia="宋体" w:cs="宋体"/>
                <w:sz w:val="18"/>
                <w:szCs w:val="18"/>
              </w:rPr>
              <w:t>420,008,241.48</w:t>
            </w:r>
          </w:p>
        </w:tc>
        <w:tc>
          <w:tcPr>
            <w:tcW w:w="1134" w:type="dxa"/>
            <w:tcBorders>
              <w:top w:val="single" w:color="auto" w:sz="2" w:space="0"/>
              <w:left w:val="single" w:color="auto" w:sz="2" w:space="0"/>
              <w:bottom w:val="single" w:color="auto" w:sz="2" w:space="0"/>
              <w:right w:val="single" w:color="auto" w:sz="2" w:space="0"/>
            </w:tcBorders>
            <w:vAlign w:val="center"/>
          </w:tcPr>
          <w:p w14:paraId="541156D4">
            <w:pPr>
              <w:spacing w:line="240" w:lineRule="exact"/>
              <w:jc w:val="right"/>
              <w:rPr>
                <w:rFonts w:ascii="宋体" w:hAnsi="宋体" w:eastAsia="宋体" w:cs="宋体"/>
                <w:sz w:val="18"/>
                <w:szCs w:val="18"/>
              </w:rPr>
            </w:pPr>
            <w:r>
              <w:rPr>
                <w:rFonts w:ascii="宋体" w:hAnsi="宋体" w:eastAsia="宋体" w:cs="宋体"/>
                <w:sz w:val="18"/>
                <w:szCs w:val="18"/>
              </w:rPr>
              <w:t>4.13%</w:t>
            </w:r>
          </w:p>
        </w:tc>
        <w:tc>
          <w:tcPr>
            <w:tcW w:w="992" w:type="dxa"/>
            <w:tcBorders>
              <w:top w:val="single" w:color="auto" w:sz="2" w:space="0"/>
              <w:left w:val="single" w:color="auto" w:sz="2" w:space="0"/>
              <w:bottom w:val="single" w:color="auto" w:sz="2" w:space="0"/>
              <w:right w:val="single" w:color="auto" w:sz="2" w:space="0"/>
            </w:tcBorders>
            <w:vAlign w:val="center"/>
          </w:tcPr>
          <w:p w14:paraId="2EB01C14">
            <w:pPr>
              <w:spacing w:line="240" w:lineRule="exact"/>
              <w:jc w:val="right"/>
              <w:rPr>
                <w:rFonts w:ascii="宋体" w:hAnsi="宋体" w:eastAsia="宋体" w:cs="宋体"/>
                <w:sz w:val="18"/>
                <w:szCs w:val="18"/>
              </w:rPr>
            </w:pPr>
            <w:r>
              <w:rPr>
                <w:rFonts w:ascii="宋体" w:hAnsi="宋体" w:eastAsia="宋体" w:cs="宋体"/>
                <w:sz w:val="18"/>
                <w:szCs w:val="18"/>
              </w:rPr>
              <w:t>0.50%</w:t>
            </w:r>
          </w:p>
        </w:tc>
      </w:tr>
      <w:tr w14:paraId="5AC7E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601474B">
            <w:pPr>
              <w:spacing w:line="240" w:lineRule="exact"/>
              <w:rPr>
                <w:rFonts w:ascii="宋体" w:hAnsi="宋体" w:eastAsia="宋体" w:cs="宋体"/>
                <w:sz w:val="18"/>
                <w:szCs w:val="18"/>
              </w:rPr>
            </w:pPr>
            <w:r>
              <w:rPr>
                <w:rFonts w:ascii="宋体" w:hAnsi="宋体" w:eastAsia="宋体" w:cs="宋体"/>
                <w:sz w:val="18"/>
                <w:szCs w:val="18"/>
              </w:rPr>
              <w:t>棉纺行业</w:t>
            </w:r>
          </w:p>
        </w:tc>
        <w:tc>
          <w:tcPr>
            <w:tcW w:w="1458" w:type="dxa"/>
            <w:tcBorders>
              <w:top w:val="single" w:color="auto" w:sz="2" w:space="0"/>
              <w:left w:val="single" w:color="auto" w:sz="2" w:space="0"/>
              <w:bottom w:val="single" w:color="auto" w:sz="2" w:space="0"/>
              <w:right w:val="single" w:color="auto" w:sz="2" w:space="0"/>
            </w:tcBorders>
            <w:vAlign w:val="center"/>
          </w:tcPr>
          <w:p w14:paraId="65170D4D">
            <w:pPr>
              <w:spacing w:line="240" w:lineRule="exact"/>
              <w:rPr>
                <w:rFonts w:ascii="宋体" w:hAnsi="宋体" w:eastAsia="宋体" w:cs="宋体"/>
                <w:sz w:val="18"/>
                <w:szCs w:val="18"/>
              </w:rPr>
            </w:pPr>
            <w:r>
              <w:rPr>
                <w:rFonts w:ascii="宋体" w:hAnsi="宋体" w:eastAsia="宋体" w:cs="宋体"/>
                <w:sz w:val="18"/>
                <w:szCs w:val="18"/>
              </w:rPr>
              <w:t>销售运费及佣金</w:t>
            </w:r>
          </w:p>
        </w:tc>
        <w:tc>
          <w:tcPr>
            <w:tcW w:w="1701" w:type="dxa"/>
            <w:tcBorders>
              <w:top w:val="single" w:color="auto" w:sz="2" w:space="0"/>
              <w:left w:val="single" w:color="auto" w:sz="2" w:space="0"/>
              <w:bottom w:val="single" w:color="auto" w:sz="2" w:space="0"/>
              <w:right w:val="single" w:color="auto" w:sz="2" w:space="0"/>
            </w:tcBorders>
            <w:vAlign w:val="center"/>
          </w:tcPr>
          <w:p w14:paraId="5AF2AF8B">
            <w:pPr>
              <w:spacing w:line="240" w:lineRule="exact"/>
              <w:jc w:val="right"/>
              <w:rPr>
                <w:rFonts w:ascii="宋体" w:hAnsi="宋体" w:eastAsia="宋体" w:cs="宋体"/>
                <w:sz w:val="18"/>
                <w:szCs w:val="18"/>
              </w:rPr>
            </w:pPr>
            <w:r>
              <w:rPr>
                <w:rFonts w:ascii="宋体" w:hAnsi="宋体" w:eastAsia="宋体" w:cs="宋体"/>
                <w:sz w:val="18"/>
                <w:szCs w:val="18"/>
              </w:rPr>
              <w:t>81,839,524.31</w:t>
            </w:r>
          </w:p>
        </w:tc>
        <w:tc>
          <w:tcPr>
            <w:tcW w:w="1276" w:type="dxa"/>
            <w:tcBorders>
              <w:top w:val="single" w:color="auto" w:sz="2" w:space="0"/>
              <w:left w:val="single" w:color="auto" w:sz="2" w:space="0"/>
              <w:bottom w:val="single" w:color="auto" w:sz="2" w:space="0"/>
              <w:right w:val="single" w:color="auto" w:sz="2" w:space="0"/>
            </w:tcBorders>
            <w:vAlign w:val="center"/>
          </w:tcPr>
          <w:p w14:paraId="5A827B1D">
            <w:pPr>
              <w:spacing w:line="240" w:lineRule="exact"/>
              <w:jc w:val="right"/>
              <w:rPr>
                <w:rFonts w:ascii="宋体" w:hAnsi="宋体" w:eastAsia="宋体" w:cs="宋体"/>
                <w:sz w:val="18"/>
                <w:szCs w:val="18"/>
              </w:rPr>
            </w:pPr>
            <w:r>
              <w:rPr>
                <w:rFonts w:ascii="宋体" w:hAnsi="宋体" w:eastAsia="宋体" w:cs="宋体"/>
                <w:sz w:val="18"/>
                <w:szCs w:val="18"/>
              </w:rPr>
              <w:t>1.12%</w:t>
            </w:r>
          </w:p>
        </w:tc>
        <w:tc>
          <w:tcPr>
            <w:tcW w:w="1701" w:type="dxa"/>
            <w:tcBorders>
              <w:top w:val="single" w:color="auto" w:sz="2" w:space="0"/>
              <w:left w:val="single" w:color="auto" w:sz="2" w:space="0"/>
              <w:bottom w:val="single" w:color="auto" w:sz="2" w:space="0"/>
              <w:right w:val="single" w:color="auto" w:sz="2" w:space="0"/>
            </w:tcBorders>
            <w:vAlign w:val="center"/>
          </w:tcPr>
          <w:p w14:paraId="6DCCDFD0">
            <w:pPr>
              <w:spacing w:line="240" w:lineRule="exact"/>
              <w:jc w:val="right"/>
              <w:rPr>
                <w:rFonts w:ascii="宋体" w:hAnsi="宋体" w:eastAsia="宋体" w:cs="宋体"/>
                <w:sz w:val="18"/>
                <w:szCs w:val="18"/>
              </w:rPr>
            </w:pPr>
            <w:r>
              <w:rPr>
                <w:rFonts w:ascii="宋体" w:hAnsi="宋体" w:eastAsia="宋体" w:cs="宋体"/>
                <w:sz w:val="18"/>
                <w:szCs w:val="18"/>
              </w:rPr>
              <w:t>49,713,071.36</w:t>
            </w:r>
          </w:p>
        </w:tc>
        <w:tc>
          <w:tcPr>
            <w:tcW w:w="1134" w:type="dxa"/>
            <w:tcBorders>
              <w:top w:val="single" w:color="auto" w:sz="2" w:space="0"/>
              <w:left w:val="single" w:color="auto" w:sz="2" w:space="0"/>
              <w:bottom w:val="single" w:color="auto" w:sz="2" w:space="0"/>
              <w:right w:val="single" w:color="auto" w:sz="2" w:space="0"/>
            </w:tcBorders>
            <w:vAlign w:val="center"/>
          </w:tcPr>
          <w:p w14:paraId="46167B90">
            <w:pPr>
              <w:spacing w:line="240" w:lineRule="exact"/>
              <w:jc w:val="right"/>
              <w:rPr>
                <w:rFonts w:ascii="宋体" w:hAnsi="宋体" w:eastAsia="宋体" w:cs="宋体"/>
                <w:sz w:val="18"/>
                <w:szCs w:val="18"/>
              </w:rPr>
            </w:pPr>
            <w:r>
              <w:rPr>
                <w:rFonts w:ascii="宋体" w:hAnsi="宋体" w:eastAsia="宋体" w:cs="宋体"/>
                <w:sz w:val="18"/>
                <w:szCs w:val="18"/>
              </w:rPr>
              <w:t>0.49%</w:t>
            </w:r>
          </w:p>
        </w:tc>
        <w:tc>
          <w:tcPr>
            <w:tcW w:w="992" w:type="dxa"/>
            <w:tcBorders>
              <w:top w:val="single" w:color="auto" w:sz="2" w:space="0"/>
              <w:left w:val="single" w:color="auto" w:sz="2" w:space="0"/>
              <w:bottom w:val="single" w:color="auto" w:sz="2" w:space="0"/>
              <w:right w:val="single" w:color="auto" w:sz="2" w:space="0"/>
            </w:tcBorders>
            <w:vAlign w:val="center"/>
          </w:tcPr>
          <w:p w14:paraId="05BB92F4">
            <w:pPr>
              <w:spacing w:line="240" w:lineRule="exact"/>
              <w:jc w:val="right"/>
              <w:rPr>
                <w:rFonts w:ascii="宋体" w:hAnsi="宋体" w:eastAsia="宋体" w:cs="宋体"/>
                <w:sz w:val="18"/>
                <w:szCs w:val="18"/>
              </w:rPr>
            </w:pPr>
            <w:r>
              <w:rPr>
                <w:rFonts w:ascii="宋体" w:hAnsi="宋体" w:eastAsia="宋体" w:cs="宋体"/>
                <w:sz w:val="18"/>
                <w:szCs w:val="18"/>
              </w:rPr>
              <w:t>64.62%</w:t>
            </w:r>
          </w:p>
        </w:tc>
      </w:tr>
      <w:tr w14:paraId="14785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88DE7E2">
            <w:pPr>
              <w:spacing w:line="240" w:lineRule="exact"/>
              <w:rPr>
                <w:rFonts w:ascii="宋体" w:hAnsi="宋体" w:eastAsia="宋体" w:cs="宋体"/>
                <w:sz w:val="18"/>
                <w:szCs w:val="18"/>
              </w:rPr>
            </w:pPr>
            <w:r>
              <w:rPr>
                <w:rFonts w:ascii="宋体" w:hAnsi="宋体" w:eastAsia="宋体" w:cs="宋体"/>
                <w:sz w:val="18"/>
                <w:szCs w:val="18"/>
              </w:rPr>
              <w:t>棉纺行业</w:t>
            </w:r>
          </w:p>
        </w:tc>
        <w:tc>
          <w:tcPr>
            <w:tcW w:w="1458" w:type="dxa"/>
            <w:tcBorders>
              <w:top w:val="single" w:color="auto" w:sz="2" w:space="0"/>
              <w:left w:val="single" w:color="auto" w:sz="2" w:space="0"/>
              <w:bottom w:val="single" w:color="auto" w:sz="2" w:space="0"/>
              <w:right w:val="single" w:color="auto" w:sz="2" w:space="0"/>
            </w:tcBorders>
            <w:vAlign w:val="center"/>
          </w:tcPr>
          <w:p w14:paraId="197B6A81">
            <w:pPr>
              <w:spacing w:line="240" w:lineRule="exact"/>
              <w:rPr>
                <w:rFonts w:ascii="宋体" w:hAnsi="宋体" w:eastAsia="宋体" w:cs="宋体"/>
                <w:sz w:val="18"/>
                <w:szCs w:val="18"/>
              </w:rPr>
            </w:pPr>
            <w:r>
              <w:rPr>
                <w:rFonts w:ascii="宋体" w:hAnsi="宋体" w:eastAsia="宋体" w:cs="宋体"/>
                <w:sz w:val="18"/>
                <w:szCs w:val="18"/>
              </w:rPr>
              <w:t>其他</w:t>
            </w:r>
          </w:p>
        </w:tc>
        <w:tc>
          <w:tcPr>
            <w:tcW w:w="1701" w:type="dxa"/>
            <w:tcBorders>
              <w:top w:val="single" w:color="auto" w:sz="2" w:space="0"/>
              <w:left w:val="single" w:color="auto" w:sz="2" w:space="0"/>
              <w:bottom w:val="single" w:color="auto" w:sz="2" w:space="0"/>
              <w:right w:val="single" w:color="auto" w:sz="2" w:space="0"/>
            </w:tcBorders>
            <w:vAlign w:val="center"/>
          </w:tcPr>
          <w:p w14:paraId="13F07DB5">
            <w:pPr>
              <w:spacing w:line="240" w:lineRule="exact"/>
              <w:jc w:val="right"/>
              <w:rPr>
                <w:rFonts w:ascii="宋体" w:hAnsi="宋体" w:eastAsia="宋体" w:cs="宋体"/>
                <w:sz w:val="18"/>
                <w:szCs w:val="18"/>
              </w:rPr>
            </w:pPr>
            <w:r>
              <w:rPr>
                <w:rFonts w:ascii="宋体" w:hAnsi="宋体" w:eastAsia="宋体" w:cs="宋体"/>
                <w:sz w:val="18"/>
                <w:szCs w:val="18"/>
              </w:rPr>
              <w:t>340,171,031.46</w:t>
            </w:r>
          </w:p>
        </w:tc>
        <w:tc>
          <w:tcPr>
            <w:tcW w:w="1276" w:type="dxa"/>
            <w:tcBorders>
              <w:top w:val="single" w:color="auto" w:sz="2" w:space="0"/>
              <w:left w:val="single" w:color="auto" w:sz="2" w:space="0"/>
              <w:bottom w:val="single" w:color="auto" w:sz="2" w:space="0"/>
              <w:right w:val="single" w:color="auto" w:sz="2" w:space="0"/>
            </w:tcBorders>
            <w:vAlign w:val="center"/>
          </w:tcPr>
          <w:p w14:paraId="2CC3FE6B">
            <w:pPr>
              <w:spacing w:line="240" w:lineRule="exact"/>
              <w:jc w:val="right"/>
              <w:rPr>
                <w:rFonts w:ascii="宋体" w:hAnsi="宋体" w:eastAsia="宋体" w:cs="宋体"/>
                <w:sz w:val="18"/>
                <w:szCs w:val="18"/>
              </w:rPr>
            </w:pPr>
            <w:r>
              <w:rPr>
                <w:rFonts w:ascii="宋体" w:hAnsi="宋体" w:eastAsia="宋体" w:cs="宋体"/>
                <w:sz w:val="18"/>
                <w:szCs w:val="18"/>
              </w:rPr>
              <w:t>4.67%</w:t>
            </w:r>
          </w:p>
        </w:tc>
        <w:tc>
          <w:tcPr>
            <w:tcW w:w="1701" w:type="dxa"/>
            <w:tcBorders>
              <w:top w:val="single" w:color="auto" w:sz="2" w:space="0"/>
              <w:left w:val="single" w:color="auto" w:sz="2" w:space="0"/>
              <w:bottom w:val="single" w:color="auto" w:sz="2" w:space="0"/>
              <w:right w:val="single" w:color="auto" w:sz="2" w:space="0"/>
            </w:tcBorders>
            <w:vAlign w:val="center"/>
          </w:tcPr>
          <w:p w14:paraId="7374EA10">
            <w:pPr>
              <w:spacing w:line="240" w:lineRule="exact"/>
              <w:jc w:val="right"/>
              <w:rPr>
                <w:rFonts w:ascii="宋体" w:hAnsi="宋体" w:eastAsia="宋体" w:cs="宋体"/>
                <w:sz w:val="18"/>
                <w:szCs w:val="18"/>
              </w:rPr>
            </w:pPr>
            <w:r>
              <w:rPr>
                <w:rFonts w:ascii="宋体" w:hAnsi="宋体" w:eastAsia="宋体" w:cs="宋体"/>
                <w:sz w:val="18"/>
                <w:szCs w:val="18"/>
              </w:rPr>
              <w:t>289,733,452.23</w:t>
            </w:r>
          </w:p>
        </w:tc>
        <w:tc>
          <w:tcPr>
            <w:tcW w:w="1134" w:type="dxa"/>
            <w:tcBorders>
              <w:top w:val="single" w:color="auto" w:sz="2" w:space="0"/>
              <w:left w:val="single" w:color="auto" w:sz="2" w:space="0"/>
              <w:bottom w:val="single" w:color="auto" w:sz="2" w:space="0"/>
              <w:right w:val="single" w:color="auto" w:sz="2" w:space="0"/>
            </w:tcBorders>
            <w:vAlign w:val="center"/>
          </w:tcPr>
          <w:p w14:paraId="0C9F4DBE">
            <w:pPr>
              <w:spacing w:line="240" w:lineRule="exact"/>
              <w:jc w:val="right"/>
              <w:rPr>
                <w:rFonts w:ascii="宋体" w:hAnsi="宋体" w:eastAsia="宋体" w:cs="宋体"/>
                <w:sz w:val="18"/>
                <w:szCs w:val="18"/>
              </w:rPr>
            </w:pPr>
            <w:r>
              <w:rPr>
                <w:rFonts w:ascii="宋体" w:hAnsi="宋体" w:eastAsia="宋体" w:cs="宋体"/>
                <w:sz w:val="18"/>
                <w:szCs w:val="18"/>
              </w:rPr>
              <w:t>2.85%</w:t>
            </w:r>
          </w:p>
        </w:tc>
        <w:tc>
          <w:tcPr>
            <w:tcW w:w="992" w:type="dxa"/>
            <w:tcBorders>
              <w:top w:val="single" w:color="auto" w:sz="2" w:space="0"/>
              <w:left w:val="single" w:color="auto" w:sz="2" w:space="0"/>
              <w:bottom w:val="single" w:color="auto" w:sz="2" w:space="0"/>
              <w:right w:val="single" w:color="auto" w:sz="2" w:space="0"/>
            </w:tcBorders>
            <w:vAlign w:val="center"/>
          </w:tcPr>
          <w:p w14:paraId="510FB032">
            <w:pPr>
              <w:spacing w:line="240" w:lineRule="exact"/>
              <w:jc w:val="right"/>
              <w:rPr>
                <w:rFonts w:ascii="宋体" w:hAnsi="宋体" w:eastAsia="宋体" w:cs="宋体"/>
                <w:sz w:val="18"/>
                <w:szCs w:val="18"/>
              </w:rPr>
            </w:pPr>
            <w:r>
              <w:rPr>
                <w:rFonts w:ascii="宋体" w:hAnsi="宋体" w:eastAsia="宋体" w:cs="宋体"/>
                <w:sz w:val="18"/>
                <w:szCs w:val="18"/>
              </w:rPr>
              <w:t>17.41%</w:t>
            </w:r>
          </w:p>
        </w:tc>
      </w:tr>
      <w:tr w14:paraId="6BCDD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A5C3E18">
            <w:pPr>
              <w:spacing w:line="240" w:lineRule="exact"/>
              <w:rPr>
                <w:rFonts w:ascii="宋体" w:hAnsi="宋体" w:eastAsia="宋体" w:cs="宋体"/>
                <w:sz w:val="18"/>
                <w:szCs w:val="18"/>
              </w:rPr>
            </w:pPr>
            <w:r>
              <w:rPr>
                <w:rFonts w:ascii="宋体" w:hAnsi="宋体" w:eastAsia="宋体" w:cs="宋体"/>
                <w:sz w:val="18"/>
                <w:szCs w:val="18"/>
              </w:rPr>
              <w:t>算力及AI</w:t>
            </w:r>
          </w:p>
        </w:tc>
        <w:tc>
          <w:tcPr>
            <w:tcW w:w="1458" w:type="dxa"/>
            <w:tcBorders>
              <w:top w:val="single" w:color="auto" w:sz="2" w:space="0"/>
              <w:left w:val="single" w:color="auto" w:sz="2" w:space="0"/>
              <w:bottom w:val="single" w:color="auto" w:sz="2" w:space="0"/>
              <w:right w:val="single" w:color="auto" w:sz="2" w:space="0"/>
            </w:tcBorders>
            <w:vAlign w:val="center"/>
          </w:tcPr>
          <w:p w14:paraId="20D90331">
            <w:pPr>
              <w:spacing w:line="240" w:lineRule="exact"/>
              <w:rPr>
                <w:rFonts w:ascii="宋体" w:hAnsi="宋体" w:eastAsia="宋体" w:cs="宋体"/>
                <w:sz w:val="18"/>
                <w:szCs w:val="18"/>
              </w:rPr>
            </w:pPr>
            <w:r>
              <w:rPr>
                <w:rFonts w:ascii="宋体" w:hAnsi="宋体" w:eastAsia="宋体" w:cs="宋体"/>
                <w:sz w:val="18"/>
                <w:szCs w:val="18"/>
              </w:rPr>
              <w:t>算力及AI</w:t>
            </w:r>
          </w:p>
        </w:tc>
        <w:tc>
          <w:tcPr>
            <w:tcW w:w="1701" w:type="dxa"/>
            <w:tcBorders>
              <w:top w:val="single" w:color="auto" w:sz="2" w:space="0"/>
              <w:left w:val="single" w:color="auto" w:sz="2" w:space="0"/>
              <w:bottom w:val="single" w:color="auto" w:sz="2" w:space="0"/>
              <w:right w:val="single" w:color="auto" w:sz="2" w:space="0"/>
            </w:tcBorders>
            <w:vAlign w:val="center"/>
          </w:tcPr>
          <w:p w14:paraId="311E0D62">
            <w:pPr>
              <w:spacing w:line="240" w:lineRule="exact"/>
              <w:jc w:val="right"/>
              <w:rPr>
                <w:rFonts w:ascii="宋体" w:hAnsi="宋体" w:eastAsia="宋体" w:cs="宋体"/>
                <w:sz w:val="18"/>
                <w:szCs w:val="18"/>
              </w:rPr>
            </w:pPr>
            <w:r>
              <w:rPr>
                <w:rFonts w:ascii="宋体" w:hAnsi="宋体" w:eastAsia="宋体" w:cs="宋体"/>
                <w:sz w:val="18"/>
                <w:szCs w:val="18"/>
              </w:rPr>
              <w:t>30,354,058.21</w:t>
            </w:r>
          </w:p>
        </w:tc>
        <w:tc>
          <w:tcPr>
            <w:tcW w:w="1276" w:type="dxa"/>
            <w:tcBorders>
              <w:top w:val="single" w:color="auto" w:sz="2" w:space="0"/>
              <w:left w:val="single" w:color="auto" w:sz="2" w:space="0"/>
              <w:bottom w:val="single" w:color="auto" w:sz="2" w:space="0"/>
              <w:right w:val="single" w:color="auto" w:sz="2" w:space="0"/>
            </w:tcBorders>
            <w:vAlign w:val="center"/>
          </w:tcPr>
          <w:p w14:paraId="171AC53D">
            <w:pPr>
              <w:spacing w:line="240" w:lineRule="exact"/>
              <w:jc w:val="right"/>
              <w:rPr>
                <w:rFonts w:ascii="宋体" w:hAnsi="宋体" w:eastAsia="宋体" w:cs="宋体"/>
                <w:sz w:val="18"/>
                <w:szCs w:val="18"/>
              </w:rPr>
            </w:pPr>
            <w:r>
              <w:rPr>
                <w:rFonts w:ascii="宋体" w:hAnsi="宋体" w:eastAsia="宋体" w:cs="宋体"/>
                <w:sz w:val="18"/>
                <w:szCs w:val="18"/>
              </w:rPr>
              <w:t>0.42%</w:t>
            </w:r>
          </w:p>
        </w:tc>
        <w:tc>
          <w:tcPr>
            <w:tcW w:w="1701" w:type="dxa"/>
            <w:tcBorders>
              <w:top w:val="single" w:color="auto" w:sz="2" w:space="0"/>
              <w:left w:val="single" w:color="auto" w:sz="2" w:space="0"/>
              <w:bottom w:val="single" w:color="auto" w:sz="2" w:space="0"/>
              <w:right w:val="single" w:color="auto" w:sz="2" w:space="0"/>
            </w:tcBorders>
            <w:vAlign w:val="center"/>
          </w:tcPr>
          <w:p w14:paraId="26B448DB">
            <w:pPr>
              <w:spacing w:line="240" w:lineRule="exact"/>
              <w:jc w:val="right"/>
              <w:rPr>
                <w:rFonts w:ascii="宋体" w:hAnsi="宋体" w:eastAsia="宋体" w:cs="宋体"/>
                <w:sz w:val="18"/>
                <w:szCs w:val="18"/>
              </w:rPr>
            </w:pPr>
            <w:r>
              <w:rPr>
                <w:rFonts w:ascii="宋体" w:hAnsi="宋体" w:eastAsia="宋体" w:cs="宋体"/>
                <w:sz w:val="18"/>
                <w:szCs w:val="18"/>
              </w:rPr>
              <w:t>21,431,435.11</w:t>
            </w:r>
          </w:p>
        </w:tc>
        <w:tc>
          <w:tcPr>
            <w:tcW w:w="1134" w:type="dxa"/>
            <w:tcBorders>
              <w:top w:val="single" w:color="auto" w:sz="2" w:space="0"/>
              <w:left w:val="single" w:color="auto" w:sz="2" w:space="0"/>
              <w:bottom w:val="single" w:color="auto" w:sz="2" w:space="0"/>
              <w:right w:val="single" w:color="auto" w:sz="2" w:space="0"/>
            </w:tcBorders>
            <w:vAlign w:val="center"/>
          </w:tcPr>
          <w:p w14:paraId="719B485E">
            <w:pPr>
              <w:spacing w:line="240" w:lineRule="exact"/>
              <w:jc w:val="right"/>
              <w:rPr>
                <w:rFonts w:ascii="宋体" w:hAnsi="宋体" w:eastAsia="宋体" w:cs="宋体"/>
                <w:sz w:val="18"/>
                <w:szCs w:val="18"/>
              </w:rPr>
            </w:pPr>
            <w:r>
              <w:rPr>
                <w:rFonts w:ascii="宋体" w:hAnsi="宋体" w:eastAsia="宋体" w:cs="宋体"/>
                <w:sz w:val="18"/>
                <w:szCs w:val="18"/>
              </w:rPr>
              <w:t>0.21%</w:t>
            </w:r>
          </w:p>
        </w:tc>
        <w:tc>
          <w:tcPr>
            <w:tcW w:w="992" w:type="dxa"/>
            <w:tcBorders>
              <w:top w:val="single" w:color="auto" w:sz="2" w:space="0"/>
              <w:left w:val="single" w:color="auto" w:sz="2" w:space="0"/>
              <w:bottom w:val="single" w:color="auto" w:sz="2" w:space="0"/>
              <w:right w:val="single" w:color="auto" w:sz="2" w:space="0"/>
            </w:tcBorders>
            <w:vAlign w:val="center"/>
          </w:tcPr>
          <w:p w14:paraId="6CFCEE45">
            <w:pPr>
              <w:spacing w:line="240" w:lineRule="exact"/>
              <w:jc w:val="right"/>
              <w:rPr>
                <w:rFonts w:ascii="宋体" w:hAnsi="宋体" w:eastAsia="宋体" w:cs="宋体"/>
                <w:sz w:val="18"/>
                <w:szCs w:val="18"/>
              </w:rPr>
            </w:pPr>
            <w:r>
              <w:rPr>
                <w:rFonts w:ascii="宋体" w:hAnsi="宋体" w:eastAsia="宋体" w:cs="宋体"/>
                <w:sz w:val="18"/>
                <w:szCs w:val="18"/>
              </w:rPr>
              <w:t>41.63%</w:t>
            </w:r>
          </w:p>
        </w:tc>
      </w:tr>
      <w:tr w14:paraId="522FB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6BCDBA2">
            <w:pPr>
              <w:spacing w:line="240" w:lineRule="exact"/>
              <w:rPr>
                <w:rFonts w:ascii="宋体" w:hAnsi="宋体" w:eastAsia="宋体" w:cs="宋体"/>
                <w:sz w:val="18"/>
                <w:szCs w:val="18"/>
              </w:rPr>
            </w:pPr>
            <w:r>
              <w:rPr>
                <w:rFonts w:ascii="宋体" w:hAnsi="宋体" w:eastAsia="宋体" w:cs="宋体"/>
                <w:sz w:val="18"/>
                <w:szCs w:val="18"/>
              </w:rPr>
              <w:t>其他业务成本</w:t>
            </w:r>
          </w:p>
        </w:tc>
        <w:tc>
          <w:tcPr>
            <w:tcW w:w="1458" w:type="dxa"/>
            <w:tcBorders>
              <w:top w:val="single" w:color="auto" w:sz="2" w:space="0"/>
              <w:left w:val="single" w:color="auto" w:sz="2" w:space="0"/>
              <w:bottom w:val="single" w:color="auto" w:sz="2" w:space="0"/>
              <w:right w:val="single" w:color="auto" w:sz="2" w:space="0"/>
            </w:tcBorders>
            <w:vAlign w:val="center"/>
          </w:tcPr>
          <w:p w14:paraId="265F5ADD">
            <w:pPr>
              <w:spacing w:line="240" w:lineRule="exact"/>
              <w:rPr>
                <w:rFonts w:ascii="宋体" w:hAnsi="宋体" w:eastAsia="宋体" w:cs="宋体"/>
                <w:sz w:val="18"/>
                <w:szCs w:val="18"/>
              </w:rPr>
            </w:pPr>
            <w:r>
              <w:rPr>
                <w:rFonts w:ascii="宋体" w:hAnsi="宋体" w:eastAsia="宋体" w:cs="宋体"/>
                <w:sz w:val="18"/>
                <w:szCs w:val="18"/>
              </w:rPr>
              <w:t>其他</w:t>
            </w:r>
          </w:p>
        </w:tc>
        <w:tc>
          <w:tcPr>
            <w:tcW w:w="1701" w:type="dxa"/>
            <w:tcBorders>
              <w:top w:val="single" w:color="auto" w:sz="2" w:space="0"/>
              <w:left w:val="single" w:color="auto" w:sz="2" w:space="0"/>
              <w:bottom w:val="single" w:color="auto" w:sz="2" w:space="0"/>
              <w:right w:val="single" w:color="auto" w:sz="2" w:space="0"/>
            </w:tcBorders>
            <w:vAlign w:val="center"/>
          </w:tcPr>
          <w:p w14:paraId="151C6D0C">
            <w:pPr>
              <w:spacing w:line="240" w:lineRule="exact"/>
              <w:jc w:val="right"/>
              <w:rPr>
                <w:rFonts w:ascii="宋体" w:hAnsi="宋体" w:eastAsia="宋体" w:cs="宋体"/>
                <w:sz w:val="18"/>
                <w:szCs w:val="18"/>
              </w:rPr>
            </w:pPr>
            <w:r>
              <w:rPr>
                <w:rFonts w:ascii="宋体" w:hAnsi="宋体" w:eastAsia="宋体" w:cs="宋体"/>
                <w:sz w:val="18"/>
                <w:szCs w:val="18"/>
              </w:rPr>
              <w:t>23,836,453.39</w:t>
            </w:r>
          </w:p>
        </w:tc>
        <w:tc>
          <w:tcPr>
            <w:tcW w:w="1276" w:type="dxa"/>
            <w:tcBorders>
              <w:top w:val="single" w:color="auto" w:sz="2" w:space="0"/>
              <w:left w:val="single" w:color="auto" w:sz="2" w:space="0"/>
              <w:bottom w:val="single" w:color="auto" w:sz="2" w:space="0"/>
              <w:right w:val="single" w:color="auto" w:sz="2" w:space="0"/>
            </w:tcBorders>
            <w:vAlign w:val="center"/>
          </w:tcPr>
          <w:p w14:paraId="73CBE880">
            <w:pPr>
              <w:spacing w:line="240" w:lineRule="exact"/>
              <w:jc w:val="right"/>
              <w:rPr>
                <w:rFonts w:ascii="宋体" w:hAnsi="宋体" w:eastAsia="宋体" w:cs="宋体"/>
                <w:sz w:val="18"/>
                <w:szCs w:val="18"/>
              </w:rPr>
            </w:pPr>
            <w:r>
              <w:rPr>
                <w:rFonts w:ascii="宋体" w:hAnsi="宋体" w:eastAsia="宋体" w:cs="宋体"/>
                <w:sz w:val="18"/>
                <w:szCs w:val="18"/>
              </w:rPr>
              <w:t>0.33%</w:t>
            </w:r>
          </w:p>
        </w:tc>
        <w:tc>
          <w:tcPr>
            <w:tcW w:w="1701" w:type="dxa"/>
            <w:tcBorders>
              <w:top w:val="single" w:color="auto" w:sz="2" w:space="0"/>
              <w:left w:val="single" w:color="auto" w:sz="2" w:space="0"/>
              <w:bottom w:val="single" w:color="auto" w:sz="2" w:space="0"/>
              <w:right w:val="single" w:color="auto" w:sz="2" w:space="0"/>
            </w:tcBorders>
            <w:vAlign w:val="center"/>
          </w:tcPr>
          <w:p w14:paraId="6A1E18BB">
            <w:pPr>
              <w:spacing w:line="240" w:lineRule="exact"/>
              <w:jc w:val="right"/>
              <w:rPr>
                <w:rFonts w:ascii="宋体" w:hAnsi="宋体" w:eastAsia="宋体" w:cs="宋体"/>
                <w:sz w:val="18"/>
                <w:szCs w:val="18"/>
              </w:rPr>
            </w:pPr>
            <w:r>
              <w:rPr>
                <w:rFonts w:ascii="宋体" w:hAnsi="宋体" w:eastAsia="宋体" w:cs="宋体"/>
                <w:sz w:val="18"/>
                <w:szCs w:val="18"/>
              </w:rPr>
              <w:t>23,559,827.19</w:t>
            </w:r>
          </w:p>
        </w:tc>
        <w:tc>
          <w:tcPr>
            <w:tcW w:w="1134" w:type="dxa"/>
            <w:tcBorders>
              <w:top w:val="single" w:color="auto" w:sz="2" w:space="0"/>
              <w:left w:val="single" w:color="auto" w:sz="2" w:space="0"/>
              <w:bottom w:val="single" w:color="auto" w:sz="2" w:space="0"/>
              <w:right w:val="single" w:color="auto" w:sz="2" w:space="0"/>
            </w:tcBorders>
            <w:vAlign w:val="center"/>
          </w:tcPr>
          <w:p w14:paraId="7A74466D">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992" w:type="dxa"/>
            <w:tcBorders>
              <w:top w:val="single" w:color="auto" w:sz="2" w:space="0"/>
              <w:left w:val="single" w:color="auto" w:sz="2" w:space="0"/>
              <w:bottom w:val="single" w:color="auto" w:sz="2" w:space="0"/>
              <w:right w:val="single" w:color="auto" w:sz="2" w:space="0"/>
            </w:tcBorders>
            <w:vAlign w:val="center"/>
          </w:tcPr>
          <w:p w14:paraId="3871C78B">
            <w:pPr>
              <w:spacing w:line="240" w:lineRule="exact"/>
              <w:jc w:val="right"/>
              <w:rPr>
                <w:rFonts w:ascii="宋体" w:hAnsi="宋体" w:eastAsia="宋体" w:cs="宋体"/>
                <w:sz w:val="18"/>
                <w:szCs w:val="18"/>
              </w:rPr>
            </w:pPr>
            <w:r>
              <w:rPr>
                <w:rFonts w:ascii="宋体" w:hAnsi="宋体" w:eastAsia="宋体" w:cs="宋体"/>
                <w:sz w:val="18"/>
                <w:szCs w:val="18"/>
              </w:rPr>
              <w:t>1.17%</w:t>
            </w:r>
          </w:p>
        </w:tc>
      </w:tr>
    </w:tbl>
    <w:p w14:paraId="4EDE6064">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782"/>
        <w:gridCol w:w="1276"/>
        <w:gridCol w:w="1701"/>
        <w:gridCol w:w="1134"/>
        <w:gridCol w:w="992"/>
      </w:tblGrid>
      <w:tr w14:paraId="60A6A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3BC9246">
            <w:pPr>
              <w:spacing w:before="40" w:after="40" w:line="240" w:lineRule="exact"/>
              <w:jc w:val="center"/>
              <w:rPr>
                <w:rFonts w:ascii="宋体" w:hAnsi="宋体" w:eastAsia="宋体" w:cs="宋体"/>
                <w:sz w:val="18"/>
                <w:szCs w:val="18"/>
              </w:rPr>
            </w:pPr>
            <w:r>
              <w:rPr>
                <w:rFonts w:ascii="宋体" w:hAnsi="宋体" w:eastAsia="宋体" w:cs="宋体"/>
                <w:sz w:val="18"/>
                <w:szCs w:val="18"/>
              </w:rPr>
              <w:t>产品分类</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350247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05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DEA6919">
            <w:pPr>
              <w:spacing w:before="40" w:after="40" w:line="240" w:lineRule="exact"/>
              <w:jc w:val="center"/>
              <w:rPr>
                <w:rFonts w:ascii="宋体" w:hAnsi="宋体" w:eastAsia="宋体" w:cs="宋体"/>
                <w:sz w:val="18"/>
                <w:szCs w:val="18"/>
              </w:rPr>
            </w:pPr>
            <w:r>
              <w:rPr>
                <w:rFonts w:ascii="宋体" w:hAnsi="宋体" w:eastAsia="宋体" w:cs="宋体"/>
                <w:sz w:val="18"/>
                <w:szCs w:val="18"/>
              </w:rPr>
              <w:t>2025年</w:t>
            </w:r>
          </w:p>
        </w:tc>
        <w:tc>
          <w:tcPr>
            <w:tcW w:w="283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4666171">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99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3636428">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14:paraId="21A12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9DA6B69"/>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B67FF4C"/>
        </w:tc>
        <w:tc>
          <w:tcPr>
            <w:tcW w:w="1782" w:type="dxa"/>
            <w:tcBorders>
              <w:top w:val="single" w:color="auto" w:sz="2" w:space="0"/>
              <w:left w:val="single" w:color="auto" w:sz="2" w:space="0"/>
              <w:bottom w:val="single" w:color="auto" w:sz="2" w:space="0"/>
              <w:right w:val="single" w:color="auto" w:sz="2" w:space="0"/>
            </w:tcBorders>
            <w:shd w:val="clear" w:color="auto" w:fill="D3D3D3"/>
            <w:vAlign w:val="center"/>
          </w:tcPr>
          <w:p w14:paraId="68351D90">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14:paraId="6CD5593A">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占营业成本比重</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18BF4E83">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14:paraId="34058C0B">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占营业成本比重</w:t>
            </w:r>
          </w:p>
        </w:tc>
        <w:tc>
          <w:tcPr>
            <w:tcW w:w="99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441A456"/>
        </w:tc>
      </w:tr>
      <w:tr w14:paraId="7E300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976A548">
            <w:pPr>
              <w:spacing w:line="240" w:lineRule="exact"/>
              <w:rPr>
                <w:rFonts w:ascii="宋体" w:hAnsi="宋体" w:eastAsia="宋体" w:cs="宋体"/>
                <w:sz w:val="18"/>
                <w:szCs w:val="18"/>
              </w:rPr>
            </w:pPr>
            <w:r>
              <w:rPr>
                <w:rFonts w:ascii="宋体" w:hAnsi="宋体" w:eastAsia="宋体" w:cs="宋体"/>
                <w:sz w:val="18"/>
                <w:szCs w:val="18"/>
              </w:rPr>
              <w:t>纱线</w:t>
            </w:r>
          </w:p>
        </w:tc>
        <w:tc>
          <w:tcPr>
            <w:tcW w:w="1377" w:type="dxa"/>
            <w:tcBorders>
              <w:top w:val="single" w:color="auto" w:sz="2" w:space="0"/>
              <w:left w:val="single" w:color="auto" w:sz="2" w:space="0"/>
              <w:bottom w:val="single" w:color="auto" w:sz="2" w:space="0"/>
              <w:right w:val="single" w:color="auto" w:sz="2" w:space="0"/>
            </w:tcBorders>
            <w:vAlign w:val="center"/>
          </w:tcPr>
          <w:p w14:paraId="20B90465">
            <w:pPr>
              <w:spacing w:line="240" w:lineRule="exact"/>
              <w:rPr>
                <w:rFonts w:ascii="宋体" w:hAnsi="宋体" w:eastAsia="宋体" w:cs="宋体"/>
                <w:sz w:val="18"/>
                <w:szCs w:val="18"/>
              </w:rPr>
            </w:pPr>
            <w:r>
              <w:rPr>
                <w:rFonts w:ascii="宋体" w:hAnsi="宋体" w:eastAsia="宋体" w:cs="宋体"/>
                <w:sz w:val="18"/>
                <w:szCs w:val="18"/>
              </w:rPr>
              <w:t>直接材料</w:t>
            </w:r>
          </w:p>
        </w:tc>
        <w:tc>
          <w:tcPr>
            <w:tcW w:w="1782" w:type="dxa"/>
            <w:tcBorders>
              <w:top w:val="single" w:color="auto" w:sz="2" w:space="0"/>
              <w:left w:val="single" w:color="auto" w:sz="2" w:space="0"/>
              <w:bottom w:val="single" w:color="auto" w:sz="2" w:space="0"/>
              <w:right w:val="single" w:color="auto" w:sz="2" w:space="0"/>
            </w:tcBorders>
            <w:vAlign w:val="center"/>
          </w:tcPr>
          <w:p w14:paraId="28882552">
            <w:pPr>
              <w:spacing w:line="240" w:lineRule="exact"/>
              <w:jc w:val="right"/>
              <w:rPr>
                <w:rFonts w:ascii="宋体" w:hAnsi="宋体" w:eastAsia="宋体" w:cs="宋体"/>
                <w:sz w:val="18"/>
                <w:szCs w:val="18"/>
              </w:rPr>
            </w:pPr>
            <w:r>
              <w:rPr>
                <w:rFonts w:ascii="宋体" w:hAnsi="宋体" w:eastAsia="宋体" w:cs="宋体"/>
                <w:sz w:val="18"/>
                <w:szCs w:val="18"/>
              </w:rPr>
              <w:t>4,182,655,461.29</w:t>
            </w:r>
          </w:p>
        </w:tc>
        <w:tc>
          <w:tcPr>
            <w:tcW w:w="1276" w:type="dxa"/>
            <w:tcBorders>
              <w:top w:val="single" w:color="auto" w:sz="2" w:space="0"/>
              <w:left w:val="single" w:color="auto" w:sz="2" w:space="0"/>
              <w:bottom w:val="single" w:color="auto" w:sz="2" w:space="0"/>
              <w:right w:val="single" w:color="auto" w:sz="2" w:space="0"/>
            </w:tcBorders>
            <w:vAlign w:val="center"/>
          </w:tcPr>
          <w:p w14:paraId="7E8C56A0">
            <w:pPr>
              <w:spacing w:line="240" w:lineRule="exact"/>
              <w:jc w:val="right"/>
              <w:rPr>
                <w:rFonts w:ascii="宋体" w:hAnsi="宋体" w:eastAsia="宋体" w:cs="宋体"/>
                <w:sz w:val="18"/>
                <w:szCs w:val="18"/>
              </w:rPr>
            </w:pPr>
            <w:r>
              <w:rPr>
                <w:rFonts w:ascii="宋体" w:hAnsi="宋体" w:eastAsia="宋体" w:cs="宋体"/>
                <w:sz w:val="18"/>
                <w:szCs w:val="18"/>
              </w:rPr>
              <w:t>57.24%</w:t>
            </w:r>
          </w:p>
        </w:tc>
        <w:tc>
          <w:tcPr>
            <w:tcW w:w="1701" w:type="dxa"/>
            <w:tcBorders>
              <w:top w:val="single" w:color="auto" w:sz="2" w:space="0"/>
              <w:left w:val="single" w:color="auto" w:sz="2" w:space="0"/>
              <w:bottom w:val="single" w:color="auto" w:sz="2" w:space="0"/>
              <w:right w:val="single" w:color="auto" w:sz="2" w:space="0"/>
            </w:tcBorders>
            <w:vAlign w:val="center"/>
          </w:tcPr>
          <w:p w14:paraId="7DB3B42F">
            <w:pPr>
              <w:spacing w:line="240" w:lineRule="exact"/>
              <w:jc w:val="right"/>
              <w:rPr>
                <w:rFonts w:ascii="宋体" w:hAnsi="宋体" w:eastAsia="宋体" w:cs="宋体"/>
                <w:sz w:val="18"/>
                <w:szCs w:val="18"/>
              </w:rPr>
            </w:pPr>
            <w:r>
              <w:rPr>
                <w:rFonts w:ascii="宋体" w:hAnsi="宋体" w:eastAsia="宋体" w:cs="宋体"/>
                <w:sz w:val="18"/>
                <w:szCs w:val="18"/>
              </w:rPr>
              <w:t>4,220,349,389.34</w:t>
            </w:r>
          </w:p>
        </w:tc>
        <w:tc>
          <w:tcPr>
            <w:tcW w:w="1134" w:type="dxa"/>
            <w:tcBorders>
              <w:top w:val="single" w:color="auto" w:sz="2" w:space="0"/>
              <w:left w:val="single" w:color="auto" w:sz="2" w:space="0"/>
              <w:bottom w:val="single" w:color="auto" w:sz="2" w:space="0"/>
              <w:right w:val="single" w:color="auto" w:sz="2" w:space="0"/>
            </w:tcBorders>
            <w:vAlign w:val="center"/>
          </w:tcPr>
          <w:p w14:paraId="3EDE98DB">
            <w:pPr>
              <w:spacing w:line="240" w:lineRule="exact"/>
              <w:jc w:val="right"/>
              <w:rPr>
                <w:rFonts w:ascii="宋体" w:hAnsi="宋体" w:eastAsia="宋体" w:cs="宋体"/>
                <w:sz w:val="18"/>
                <w:szCs w:val="18"/>
              </w:rPr>
            </w:pPr>
            <w:r>
              <w:rPr>
                <w:rFonts w:ascii="宋体" w:hAnsi="宋体" w:eastAsia="宋体" w:cs="宋体"/>
                <w:sz w:val="18"/>
                <w:szCs w:val="18"/>
              </w:rPr>
              <w:t>41.45%</w:t>
            </w:r>
          </w:p>
        </w:tc>
        <w:tc>
          <w:tcPr>
            <w:tcW w:w="992" w:type="dxa"/>
            <w:tcBorders>
              <w:top w:val="single" w:color="auto" w:sz="2" w:space="0"/>
              <w:left w:val="single" w:color="auto" w:sz="2" w:space="0"/>
              <w:bottom w:val="single" w:color="auto" w:sz="2" w:space="0"/>
              <w:right w:val="single" w:color="auto" w:sz="2" w:space="0"/>
            </w:tcBorders>
            <w:vAlign w:val="center"/>
          </w:tcPr>
          <w:p w14:paraId="085BBC42">
            <w:pPr>
              <w:spacing w:line="240" w:lineRule="exact"/>
              <w:jc w:val="right"/>
              <w:rPr>
                <w:rFonts w:ascii="宋体" w:hAnsi="宋体" w:eastAsia="宋体" w:cs="宋体"/>
                <w:sz w:val="18"/>
                <w:szCs w:val="18"/>
              </w:rPr>
            </w:pPr>
            <w:r>
              <w:rPr>
                <w:rFonts w:ascii="宋体" w:hAnsi="宋体" w:eastAsia="宋体" w:cs="宋体"/>
                <w:sz w:val="18"/>
                <w:szCs w:val="18"/>
              </w:rPr>
              <w:t>-0.89%</w:t>
            </w:r>
          </w:p>
        </w:tc>
      </w:tr>
      <w:tr w14:paraId="75B85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9CB544C">
            <w:pPr>
              <w:spacing w:line="240" w:lineRule="exact"/>
              <w:rPr>
                <w:rFonts w:ascii="宋体" w:hAnsi="宋体" w:eastAsia="宋体" w:cs="宋体"/>
                <w:sz w:val="18"/>
                <w:szCs w:val="18"/>
              </w:rPr>
            </w:pPr>
            <w:r>
              <w:rPr>
                <w:rFonts w:ascii="宋体" w:hAnsi="宋体" w:eastAsia="宋体" w:cs="宋体"/>
                <w:sz w:val="18"/>
                <w:szCs w:val="18"/>
              </w:rPr>
              <w:t>纱线</w:t>
            </w:r>
          </w:p>
        </w:tc>
        <w:tc>
          <w:tcPr>
            <w:tcW w:w="1377" w:type="dxa"/>
            <w:tcBorders>
              <w:top w:val="single" w:color="auto" w:sz="2" w:space="0"/>
              <w:left w:val="single" w:color="auto" w:sz="2" w:space="0"/>
              <w:bottom w:val="single" w:color="auto" w:sz="2" w:space="0"/>
              <w:right w:val="single" w:color="auto" w:sz="2" w:space="0"/>
            </w:tcBorders>
            <w:vAlign w:val="center"/>
          </w:tcPr>
          <w:p w14:paraId="475A2BF7">
            <w:pPr>
              <w:spacing w:line="240" w:lineRule="exact"/>
              <w:rPr>
                <w:rFonts w:ascii="宋体" w:hAnsi="宋体" w:eastAsia="宋体" w:cs="宋体"/>
                <w:sz w:val="18"/>
                <w:szCs w:val="18"/>
              </w:rPr>
            </w:pPr>
            <w:r>
              <w:rPr>
                <w:rFonts w:ascii="宋体" w:hAnsi="宋体" w:eastAsia="宋体" w:cs="宋体"/>
                <w:sz w:val="18"/>
                <w:szCs w:val="18"/>
              </w:rPr>
              <w:t>直接人工</w:t>
            </w:r>
          </w:p>
        </w:tc>
        <w:tc>
          <w:tcPr>
            <w:tcW w:w="1782" w:type="dxa"/>
            <w:tcBorders>
              <w:top w:val="single" w:color="auto" w:sz="2" w:space="0"/>
              <w:left w:val="single" w:color="auto" w:sz="2" w:space="0"/>
              <w:bottom w:val="single" w:color="auto" w:sz="2" w:space="0"/>
              <w:right w:val="single" w:color="auto" w:sz="2" w:space="0"/>
            </w:tcBorders>
            <w:vAlign w:val="center"/>
          </w:tcPr>
          <w:p w14:paraId="7C04F7A1">
            <w:pPr>
              <w:spacing w:line="240" w:lineRule="exact"/>
              <w:jc w:val="right"/>
              <w:rPr>
                <w:rFonts w:ascii="宋体" w:hAnsi="宋体" w:eastAsia="宋体" w:cs="宋体"/>
                <w:sz w:val="18"/>
                <w:szCs w:val="18"/>
              </w:rPr>
            </w:pPr>
            <w:r>
              <w:rPr>
                <w:rFonts w:ascii="宋体" w:hAnsi="宋体" w:eastAsia="宋体" w:cs="宋体"/>
                <w:sz w:val="18"/>
                <w:szCs w:val="18"/>
              </w:rPr>
              <w:t>522,993,998.03</w:t>
            </w:r>
          </w:p>
        </w:tc>
        <w:tc>
          <w:tcPr>
            <w:tcW w:w="1276" w:type="dxa"/>
            <w:tcBorders>
              <w:top w:val="single" w:color="auto" w:sz="2" w:space="0"/>
              <w:left w:val="single" w:color="auto" w:sz="2" w:space="0"/>
              <w:bottom w:val="single" w:color="auto" w:sz="2" w:space="0"/>
              <w:right w:val="single" w:color="auto" w:sz="2" w:space="0"/>
            </w:tcBorders>
            <w:vAlign w:val="center"/>
          </w:tcPr>
          <w:p w14:paraId="2C200EA0">
            <w:pPr>
              <w:spacing w:line="240" w:lineRule="exact"/>
              <w:jc w:val="right"/>
              <w:rPr>
                <w:rFonts w:ascii="宋体" w:hAnsi="宋体" w:eastAsia="宋体" w:cs="宋体"/>
                <w:sz w:val="18"/>
                <w:szCs w:val="18"/>
              </w:rPr>
            </w:pPr>
            <w:r>
              <w:rPr>
                <w:rFonts w:ascii="宋体" w:hAnsi="宋体" w:eastAsia="宋体" w:cs="宋体"/>
                <w:sz w:val="18"/>
                <w:szCs w:val="18"/>
              </w:rPr>
              <w:t>7.16%</w:t>
            </w:r>
          </w:p>
        </w:tc>
        <w:tc>
          <w:tcPr>
            <w:tcW w:w="1701" w:type="dxa"/>
            <w:tcBorders>
              <w:top w:val="single" w:color="auto" w:sz="2" w:space="0"/>
              <w:left w:val="single" w:color="auto" w:sz="2" w:space="0"/>
              <w:bottom w:val="single" w:color="auto" w:sz="2" w:space="0"/>
              <w:right w:val="single" w:color="auto" w:sz="2" w:space="0"/>
            </w:tcBorders>
            <w:vAlign w:val="center"/>
          </w:tcPr>
          <w:p w14:paraId="13D35892">
            <w:pPr>
              <w:spacing w:line="240" w:lineRule="exact"/>
              <w:jc w:val="right"/>
              <w:rPr>
                <w:rFonts w:ascii="宋体" w:hAnsi="宋体" w:eastAsia="宋体" w:cs="宋体"/>
                <w:sz w:val="18"/>
                <w:szCs w:val="18"/>
              </w:rPr>
            </w:pPr>
            <w:r>
              <w:rPr>
                <w:rFonts w:ascii="宋体" w:hAnsi="宋体" w:eastAsia="宋体" w:cs="宋体"/>
                <w:sz w:val="18"/>
                <w:szCs w:val="18"/>
              </w:rPr>
              <w:t>725,512,044.23</w:t>
            </w:r>
          </w:p>
        </w:tc>
        <w:tc>
          <w:tcPr>
            <w:tcW w:w="1134" w:type="dxa"/>
            <w:tcBorders>
              <w:top w:val="single" w:color="auto" w:sz="2" w:space="0"/>
              <w:left w:val="single" w:color="auto" w:sz="2" w:space="0"/>
              <w:bottom w:val="single" w:color="auto" w:sz="2" w:space="0"/>
              <w:right w:val="single" w:color="auto" w:sz="2" w:space="0"/>
            </w:tcBorders>
            <w:vAlign w:val="center"/>
          </w:tcPr>
          <w:p w14:paraId="569D8F2A">
            <w:pPr>
              <w:spacing w:line="240" w:lineRule="exact"/>
              <w:jc w:val="right"/>
              <w:rPr>
                <w:rFonts w:ascii="宋体" w:hAnsi="宋体" w:eastAsia="宋体" w:cs="宋体"/>
                <w:sz w:val="18"/>
                <w:szCs w:val="18"/>
              </w:rPr>
            </w:pPr>
            <w:r>
              <w:rPr>
                <w:rFonts w:ascii="宋体" w:hAnsi="宋体" w:eastAsia="宋体" w:cs="宋体"/>
                <w:sz w:val="18"/>
                <w:szCs w:val="18"/>
              </w:rPr>
              <w:t>7.12%</w:t>
            </w:r>
          </w:p>
        </w:tc>
        <w:tc>
          <w:tcPr>
            <w:tcW w:w="992" w:type="dxa"/>
            <w:tcBorders>
              <w:top w:val="single" w:color="auto" w:sz="2" w:space="0"/>
              <w:left w:val="single" w:color="auto" w:sz="2" w:space="0"/>
              <w:bottom w:val="single" w:color="auto" w:sz="2" w:space="0"/>
              <w:right w:val="single" w:color="auto" w:sz="2" w:space="0"/>
            </w:tcBorders>
            <w:vAlign w:val="center"/>
          </w:tcPr>
          <w:p w14:paraId="2749509A">
            <w:pPr>
              <w:spacing w:line="240" w:lineRule="exact"/>
              <w:jc w:val="right"/>
              <w:rPr>
                <w:rFonts w:ascii="宋体" w:hAnsi="宋体" w:eastAsia="宋体" w:cs="宋体"/>
                <w:sz w:val="18"/>
                <w:szCs w:val="18"/>
              </w:rPr>
            </w:pPr>
            <w:r>
              <w:rPr>
                <w:rFonts w:ascii="宋体" w:hAnsi="宋体" w:eastAsia="宋体" w:cs="宋体"/>
                <w:sz w:val="18"/>
                <w:szCs w:val="18"/>
              </w:rPr>
              <w:t>-27.91%</w:t>
            </w:r>
          </w:p>
        </w:tc>
      </w:tr>
      <w:tr w14:paraId="4E8A1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ADBC45E">
            <w:pPr>
              <w:spacing w:line="240" w:lineRule="exact"/>
              <w:rPr>
                <w:rFonts w:ascii="宋体" w:hAnsi="宋体" w:eastAsia="宋体" w:cs="宋体"/>
                <w:sz w:val="18"/>
                <w:szCs w:val="18"/>
              </w:rPr>
            </w:pPr>
            <w:r>
              <w:rPr>
                <w:rFonts w:ascii="宋体" w:hAnsi="宋体" w:eastAsia="宋体" w:cs="宋体"/>
                <w:sz w:val="18"/>
                <w:szCs w:val="18"/>
              </w:rPr>
              <w:t>纱线</w:t>
            </w:r>
          </w:p>
        </w:tc>
        <w:tc>
          <w:tcPr>
            <w:tcW w:w="1377" w:type="dxa"/>
            <w:tcBorders>
              <w:top w:val="single" w:color="auto" w:sz="2" w:space="0"/>
              <w:left w:val="single" w:color="auto" w:sz="2" w:space="0"/>
              <w:bottom w:val="single" w:color="auto" w:sz="2" w:space="0"/>
              <w:right w:val="single" w:color="auto" w:sz="2" w:space="0"/>
            </w:tcBorders>
            <w:vAlign w:val="center"/>
          </w:tcPr>
          <w:p w14:paraId="32ED7436">
            <w:pPr>
              <w:spacing w:line="240" w:lineRule="exact"/>
              <w:rPr>
                <w:rFonts w:ascii="宋体" w:hAnsi="宋体" w:eastAsia="宋体" w:cs="宋体"/>
                <w:sz w:val="18"/>
                <w:szCs w:val="18"/>
              </w:rPr>
            </w:pPr>
            <w:r>
              <w:rPr>
                <w:rFonts w:ascii="宋体" w:hAnsi="宋体" w:eastAsia="宋体" w:cs="宋体"/>
                <w:sz w:val="18"/>
                <w:szCs w:val="18"/>
              </w:rPr>
              <w:t>折旧</w:t>
            </w:r>
          </w:p>
        </w:tc>
        <w:tc>
          <w:tcPr>
            <w:tcW w:w="1782" w:type="dxa"/>
            <w:tcBorders>
              <w:top w:val="single" w:color="auto" w:sz="2" w:space="0"/>
              <w:left w:val="single" w:color="auto" w:sz="2" w:space="0"/>
              <w:bottom w:val="single" w:color="auto" w:sz="2" w:space="0"/>
              <w:right w:val="single" w:color="auto" w:sz="2" w:space="0"/>
            </w:tcBorders>
            <w:vAlign w:val="center"/>
          </w:tcPr>
          <w:p w14:paraId="25A91A88">
            <w:pPr>
              <w:spacing w:line="240" w:lineRule="exact"/>
              <w:jc w:val="right"/>
              <w:rPr>
                <w:rFonts w:ascii="宋体" w:hAnsi="宋体" w:eastAsia="宋体" w:cs="宋体"/>
                <w:sz w:val="18"/>
                <w:szCs w:val="18"/>
              </w:rPr>
            </w:pPr>
            <w:r>
              <w:rPr>
                <w:rFonts w:ascii="宋体" w:hAnsi="宋体" w:eastAsia="宋体" w:cs="宋体"/>
                <w:sz w:val="18"/>
                <w:szCs w:val="18"/>
              </w:rPr>
              <w:t>367,436,965.71</w:t>
            </w:r>
          </w:p>
        </w:tc>
        <w:tc>
          <w:tcPr>
            <w:tcW w:w="1276" w:type="dxa"/>
            <w:tcBorders>
              <w:top w:val="single" w:color="auto" w:sz="2" w:space="0"/>
              <w:left w:val="single" w:color="auto" w:sz="2" w:space="0"/>
              <w:bottom w:val="single" w:color="auto" w:sz="2" w:space="0"/>
              <w:right w:val="single" w:color="auto" w:sz="2" w:space="0"/>
            </w:tcBorders>
            <w:vAlign w:val="center"/>
          </w:tcPr>
          <w:p w14:paraId="2DB4390E">
            <w:pPr>
              <w:spacing w:line="240" w:lineRule="exact"/>
              <w:jc w:val="right"/>
              <w:rPr>
                <w:rFonts w:ascii="宋体" w:hAnsi="宋体" w:eastAsia="宋体" w:cs="宋体"/>
                <w:sz w:val="18"/>
                <w:szCs w:val="18"/>
              </w:rPr>
            </w:pPr>
            <w:r>
              <w:rPr>
                <w:rFonts w:ascii="宋体" w:hAnsi="宋体" w:eastAsia="宋体" w:cs="宋体"/>
                <w:sz w:val="18"/>
                <w:szCs w:val="18"/>
              </w:rPr>
              <w:t>5.03%</w:t>
            </w:r>
          </w:p>
        </w:tc>
        <w:tc>
          <w:tcPr>
            <w:tcW w:w="1701" w:type="dxa"/>
            <w:tcBorders>
              <w:top w:val="single" w:color="auto" w:sz="2" w:space="0"/>
              <w:left w:val="single" w:color="auto" w:sz="2" w:space="0"/>
              <w:bottom w:val="single" w:color="auto" w:sz="2" w:space="0"/>
              <w:right w:val="single" w:color="auto" w:sz="2" w:space="0"/>
            </w:tcBorders>
            <w:vAlign w:val="center"/>
          </w:tcPr>
          <w:p w14:paraId="33CF8E67">
            <w:pPr>
              <w:spacing w:line="240" w:lineRule="exact"/>
              <w:jc w:val="right"/>
              <w:rPr>
                <w:rFonts w:ascii="宋体" w:hAnsi="宋体" w:eastAsia="宋体" w:cs="宋体"/>
                <w:sz w:val="18"/>
                <w:szCs w:val="18"/>
              </w:rPr>
            </w:pPr>
            <w:r>
              <w:rPr>
                <w:rFonts w:ascii="宋体" w:hAnsi="宋体" w:eastAsia="宋体" w:cs="宋体"/>
                <w:sz w:val="18"/>
                <w:szCs w:val="18"/>
              </w:rPr>
              <w:t>381,503,872.31</w:t>
            </w:r>
          </w:p>
        </w:tc>
        <w:tc>
          <w:tcPr>
            <w:tcW w:w="1134" w:type="dxa"/>
            <w:tcBorders>
              <w:top w:val="single" w:color="auto" w:sz="2" w:space="0"/>
              <w:left w:val="single" w:color="auto" w:sz="2" w:space="0"/>
              <w:bottom w:val="single" w:color="auto" w:sz="2" w:space="0"/>
              <w:right w:val="single" w:color="auto" w:sz="2" w:space="0"/>
            </w:tcBorders>
            <w:vAlign w:val="center"/>
          </w:tcPr>
          <w:p w14:paraId="19E8F9CC">
            <w:pPr>
              <w:spacing w:line="240" w:lineRule="exact"/>
              <w:jc w:val="right"/>
              <w:rPr>
                <w:rFonts w:ascii="宋体" w:hAnsi="宋体" w:eastAsia="宋体" w:cs="宋体"/>
                <w:sz w:val="18"/>
                <w:szCs w:val="18"/>
              </w:rPr>
            </w:pPr>
            <w:r>
              <w:rPr>
                <w:rFonts w:ascii="宋体" w:hAnsi="宋体" w:eastAsia="宋体" w:cs="宋体"/>
                <w:sz w:val="18"/>
                <w:szCs w:val="18"/>
              </w:rPr>
              <w:t>3.75%</w:t>
            </w:r>
          </w:p>
        </w:tc>
        <w:tc>
          <w:tcPr>
            <w:tcW w:w="992" w:type="dxa"/>
            <w:tcBorders>
              <w:top w:val="single" w:color="auto" w:sz="2" w:space="0"/>
              <w:left w:val="single" w:color="auto" w:sz="2" w:space="0"/>
              <w:bottom w:val="single" w:color="auto" w:sz="2" w:space="0"/>
              <w:right w:val="single" w:color="auto" w:sz="2" w:space="0"/>
            </w:tcBorders>
            <w:vAlign w:val="center"/>
          </w:tcPr>
          <w:p w14:paraId="26E1364A">
            <w:pPr>
              <w:spacing w:line="240" w:lineRule="exact"/>
              <w:jc w:val="right"/>
              <w:rPr>
                <w:rFonts w:ascii="宋体" w:hAnsi="宋体" w:eastAsia="宋体" w:cs="宋体"/>
                <w:sz w:val="18"/>
                <w:szCs w:val="18"/>
              </w:rPr>
            </w:pPr>
            <w:r>
              <w:rPr>
                <w:rFonts w:ascii="宋体" w:hAnsi="宋体" w:eastAsia="宋体" w:cs="宋体"/>
                <w:sz w:val="18"/>
                <w:szCs w:val="18"/>
              </w:rPr>
              <w:t>-3.69%</w:t>
            </w:r>
          </w:p>
        </w:tc>
      </w:tr>
      <w:tr w14:paraId="0E303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A3FAAB2">
            <w:pPr>
              <w:spacing w:line="240" w:lineRule="exact"/>
              <w:rPr>
                <w:rFonts w:ascii="宋体" w:hAnsi="宋体" w:eastAsia="宋体" w:cs="宋体"/>
                <w:sz w:val="18"/>
                <w:szCs w:val="18"/>
              </w:rPr>
            </w:pPr>
            <w:r>
              <w:rPr>
                <w:rFonts w:ascii="宋体" w:hAnsi="宋体" w:eastAsia="宋体" w:cs="宋体"/>
                <w:sz w:val="18"/>
                <w:szCs w:val="18"/>
              </w:rPr>
              <w:t>纱线</w:t>
            </w:r>
          </w:p>
        </w:tc>
        <w:tc>
          <w:tcPr>
            <w:tcW w:w="1377" w:type="dxa"/>
            <w:tcBorders>
              <w:top w:val="single" w:color="auto" w:sz="2" w:space="0"/>
              <w:left w:val="single" w:color="auto" w:sz="2" w:space="0"/>
              <w:bottom w:val="single" w:color="auto" w:sz="2" w:space="0"/>
              <w:right w:val="single" w:color="auto" w:sz="2" w:space="0"/>
            </w:tcBorders>
            <w:vAlign w:val="center"/>
          </w:tcPr>
          <w:p w14:paraId="676188C3">
            <w:pPr>
              <w:spacing w:line="240" w:lineRule="exact"/>
              <w:rPr>
                <w:rFonts w:ascii="宋体" w:hAnsi="宋体" w:eastAsia="宋体" w:cs="宋体"/>
                <w:sz w:val="18"/>
                <w:szCs w:val="18"/>
              </w:rPr>
            </w:pPr>
            <w:r>
              <w:rPr>
                <w:rFonts w:ascii="宋体" w:hAnsi="宋体" w:eastAsia="宋体" w:cs="宋体"/>
                <w:sz w:val="18"/>
                <w:szCs w:val="18"/>
              </w:rPr>
              <w:t>能源和动力</w:t>
            </w:r>
          </w:p>
        </w:tc>
        <w:tc>
          <w:tcPr>
            <w:tcW w:w="1782" w:type="dxa"/>
            <w:tcBorders>
              <w:top w:val="single" w:color="auto" w:sz="2" w:space="0"/>
              <w:left w:val="single" w:color="auto" w:sz="2" w:space="0"/>
              <w:bottom w:val="single" w:color="auto" w:sz="2" w:space="0"/>
              <w:right w:val="single" w:color="auto" w:sz="2" w:space="0"/>
            </w:tcBorders>
            <w:vAlign w:val="center"/>
          </w:tcPr>
          <w:p w14:paraId="3CDC2214">
            <w:pPr>
              <w:spacing w:line="240" w:lineRule="exact"/>
              <w:jc w:val="right"/>
              <w:rPr>
                <w:rFonts w:ascii="宋体" w:hAnsi="宋体" w:eastAsia="宋体" w:cs="宋体"/>
                <w:sz w:val="18"/>
                <w:szCs w:val="18"/>
              </w:rPr>
            </w:pPr>
            <w:r>
              <w:rPr>
                <w:rFonts w:ascii="宋体" w:hAnsi="宋体" w:eastAsia="宋体" w:cs="宋体"/>
                <w:sz w:val="18"/>
                <w:szCs w:val="18"/>
              </w:rPr>
              <w:t>409,040,989.18</w:t>
            </w:r>
          </w:p>
        </w:tc>
        <w:tc>
          <w:tcPr>
            <w:tcW w:w="1276" w:type="dxa"/>
            <w:tcBorders>
              <w:top w:val="single" w:color="auto" w:sz="2" w:space="0"/>
              <w:left w:val="single" w:color="auto" w:sz="2" w:space="0"/>
              <w:bottom w:val="single" w:color="auto" w:sz="2" w:space="0"/>
              <w:right w:val="single" w:color="auto" w:sz="2" w:space="0"/>
            </w:tcBorders>
            <w:vAlign w:val="center"/>
          </w:tcPr>
          <w:p w14:paraId="26E1210F">
            <w:pPr>
              <w:spacing w:line="240" w:lineRule="exact"/>
              <w:jc w:val="right"/>
              <w:rPr>
                <w:rFonts w:ascii="宋体" w:hAnsi="宋体" w:eastAsia="宋体" w:cs="宋体"/>
                <w:sz w:val="18"/>
                <w:szCs w:val="18"/>
              </w:rPr>
            </w:pPr>
            <w:r>
              <w:rPr>
                <w:rFonts w:ascii="宋体" w:hAnsi="宋体" w:eastAsia="宋体" w:cs="宋体"/>
                <w:sz w:val="18"/>
                <w:szCs w:val="18"/>
              </w:rPr>
              <w:t>5.60%</w:t>
            </w:r>
          </w:p>
        </w:tc>
        <w:tc>
          <w:tcPr>
            <w:tcW w:w="1701" w:type="dxa"/>
            <w:tcBorders>
              <w:top w:val="single" w:color="auto" w:sz="2" w:space="0"/>
              <w:left w:val="single" w:color="auto" w:sz="2" w:space="0"/>
              <w:bottom w:val="single" w:color="auto" w:sz="2" w:space="0"/>
              <w:right w:val="single" w:color="auto" w:sz="2" w:space="0"/>
            </w:tcBorders>
            <w:vAlign w:val="center"/>
          </w:tcPr>
          <w:p w14:paraId="29ED35CD">
            <w:pPr>
              <w:spacing w:line="240" w:lineRule="exact"/>
              <w:jc w:val="right"/>
              <w:rPr>
                <w:rFonts w:ascii="宋体" w:hAnsi="宋体" w:eastAsia="宋体" w:cs="宋体"/>
                <w:sz w:val="18"/>
                <w:szCs w:val="18"/>
              </w:rPr>
            </w:pPr>
            <w:r>
              <w:rPr>
                <w:rFonts w:ascii="宋体" w:hAnsi="宋体" w:eastAsia="宋体" w:cs="宋体"/>
                <w:sz w:val="18"/>
                <w:szCs w:val="18"/>
              </w:rPr>
              <w:t>394,002,439.11</w:t>
            </w:r>
          </w:p>
        </w:tc>
        <w:tc>
          <w:tcPr>
            <w:tcW w:w="1134" w:type="dxa"/>
            <w:tcBorders>
              <w:top w:val="single" w:color="auto" w:sz="2" w:space="0"/>
              <w:left w:val="single" w:color="auto" w:sz="2" w:space="0"/>
              <w:bottom w:val="single" w:color="auto" w:sz="2" w:space="0"/>
              <w:right w:val="single" w:color="auto" w:sz="2" w:space="0"/>
            </w:tcBorders>
            <w:vAlign w:val="center"/>
          </w:tcPr>
          <w:p w14:paraId="4C64839D">
            <w:pPr>
              <w:spacing w:line="240" w:lineRule="exact"/>
              <w:jc w:val="right"/>
              <w:rPr>
                <w:rFonts w:ascii="宋体" w:hAnsi="宋体" w:eastAsia="宋体" w:cs="宋体"/>
                <w:sz w:val="18"/>
                <w:szCs w:val="18"/>
              </w:rPr>
            </w:pPr>
            <w:r>
              <w:rPr>
                <w:rFonts w:ascii="宋体" w:hAnsi="宋体" w:eastAsia="宋体" w:cs="宋体"/>
                <w:sz w:val="18"/>
                <w:szCs w:val="18"/>
              </w:rPr>
              <w:t>3.87%</w:t>
            </w:r>
          </w:p>
        </w:tc>
        <w:tc>
          <w:tcPr>
            <w:tcW w:w="992" w:type="dxa"/>
            <w:tcBorders>
              <w:top w:val="single" w:color="auto" w:sz="2" w:space="0"/>
              <w:left w:val="single" w:color="auto" w:sz="2" w:space="0"/>
              <w:bottom w:val="single" w:color="auto" w:sz="2" w:space="0"/>
              <w:right w:val="single" w:color="auto" w:sz="2" w:space="0"/>
            </w:tcBorders>
            <w:vAlign w:val="center"/>
          </w:tcPr>
          <w:p w14:paraId="64517B4E">
            <w:pPr>
              <w:spacing w:line="240" w:lineRule="exact"/>
              <w:jc w:val="right"/>
              <w:rPr>
                <w:rFonts w:ascii="宋体" w:hAnsi="宋体" w:eastAsia="宋体" w:cs="宋体"/>
                <w:sz w:val="18"/>
                <w:szCs w:val="18"/>
              </w:rPr>
            </w:pPr>
            <w:r>
              <w:rPr>
                <w:rFonts w:ascii="宋体" w:hAnsi="宋体" w:eastAsia="宋体" w:cs="宋体"/>
                <w:sz w:val="18"/>
                <w:szCs w:val="18"/>
              </w:rPr>
              <w:t>3.82%</w:t>
            </w:r>
          </w:p>
        </w:tc>
      </w:tr>
      <w:tr w14:paraId="459BF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0F89620">
            <w:pPr>
              <w:spacing w:line="240" w:lineRule="exact"/>
              <w:rPr>
                <w:rFonts w:ascii="宋体" w:hAnsi="宋体" w:eastAsia="宋体" w:cs="宋体"/>
                <w:sz w:val="18"/>
                <w:szCs w:val="18"/>
              </w:rPr>
            </w:pPr>
            <w:r>
              <w:rPr>
                <w:rFonts w:ascii="宋体" w:hAnsi="宋体" w:eastAsia="宋体" w:cs="宋体"/>
                <w:sz w:val="18"/>
                <w:szCs w:val="18"/>
              </w:rPr>
              <w:t>纱线</w:t>
            </w:r>
          </w:p>
        </w:tc>
        <w:tc>
          <w:tcPr>
            <w:tcW w:w="1377" w:type="dxa"/>
            <w:tcBorders>
              <w:top w:val="single" w:color="auto" w:sz="2" w:space="0"/>
              <w:left w:val="single" w:color="auto" w:sz="2" w:space="0"/>
              <w:bottom w:val="single" w:color="auto" w:sz="2" w:space="0"/>
              <w:right w:val="single" w:color="auto" w:sz="2" w:space="0"/>
            </w:tcBorders>
            <w:vAlign w:val="center"/>
          </w:tcPr>
          <w:p w14:paraId="24699DB8">
            <w:pPr>
              <w:spacing w:line="240" w:lineRule="exact"/>
              <w:rPr>
                <w:rFonts w:ascii="宋体" w:hAnsi="宋体" w:eastAsia="宋体" w:cs="宋体"/>
                <w:sz w:val="18"/>
                <w:szCs w:val="18"/>
              </w:rPr>
            </w:pPr>
            <w:r>
              <w:rPr>
                <w:rFonts w:ascii="宋体" w:hAnsi="宋体" w:eastAsia="宋体" w:cs="宋体"/>
                <w:sz w:val="18"/>
                <w:szCs w:val="18"/>
              </w:rPr>
              <w:t>销售运费及佣金</w:t>
            </w:r>
          </w:p>
        </w:tc>
        <w:tc>
          <w:tcPr>
            <w:tcW w:w="1782" w:type="dxa"/>
            <w:tcBorders>
              <w:top w:val="single" w:color="auto" w:sz="2" w:space="0"/>
              <w:left w:val="single" w:color="auto" w:sz="2" w:space="0"/>
              <w:bottom w:val="single" w:color="auto" w:sz="2" w:space="0"/>
              <w:right w:val="single" w:color="auto" w:sz="2" w:space="0"/>
            </w:tcBorders>
            <w:vAlign w:val="center"/>
          </w:tcPr>
          <w:p w14:paraId="654A69CF">
            <w:pPr>
              <w:spacing w:line="240" w:lineRule="exact"/>
              <w:jc w:val="right"/>
              <w:rPr>
                <w:rFonts w:ascii="宋体" w:hAnsi="宋体" w:eastAsia="宋体" w:cs="宋体"/>
                <w:sz w:val="18"/>
                <w:szCs w:val="18"/>
              </w:rPr>
            </w:pPr>
            <w:r>
              <w:rPr>
                <w:rFonts w:ascii="宋体" w:hAnsi="宋体" w:eastAsia="宋体" w:cs="宋体"/>
                <w:sz w:val="18"/>
                <w:szCs w:val="18"/>
              </w:rPr>
              <w:t>69,071,837.22</w:t>
            </w:r>
          </w:p>
        </w:tc>
        <w:tc>
          <w:tcPr>
            <w:tcW w:w="1276" w:type="dxa"/>
            <w:tcBorders>
              <w:top w:val="single" w:color="auto" w:sz="2" w:space="0"/>
              <w:left w:val="single" w:color="auto" w:sz="2" w:space="0"/>
              <w:bottom w:val="single" w:color="auto" w:sz="2" w:space="0"/>
              <w:right w:val="single" w:color="auto" w:sz="2" w:space="0"/>
            </w:tcBorders>
            <w:vAlign w:val="center"/>
          </w:tcPr>
          <w:p w14:paraId="630DA9BF">
            <w:pPr>
              <w:spacing w:line="240" w:lineRule="exact"/>
              <w:jc w:val="right"/>
              <w:rPr>
                <w:rFonts w:ascii="宋体" w:hAnsi="宋体" w:eastAsia="宋体" w:cs="宋体"/>
                <w:sz w:val="18"/>
                <w:szCs w:val="18"/>
              </w:rPr>
            </w:pPr>
            <w:r>
              <w:rPr>
                <w:rFonts w:ascii="宋体" w:hAnsi="宋体" w:eastAsia="宋体" w:cs="宋体"/>
                <w:sz w:val="18"/>
                <w:szCs w:val="18"/>
              </w:rPr>
              <w:t>0.95%</w:t>
            </w:r>
          </w:p>
        </w:tc>
        <w:tc>
          <w:tcPr>
            <w:tcW w:w="1701" w:type="dxa"/>
            <w:tcBorders>
              <w:top w:val="single" w:color="auto" w:sz="2" w:space="0"/>
              <w:left w:val="single" w:color="auto" w:sz="2" w:space="0"/>
              <w:bottom w:val="single" w:color="auto" w:sz="2" w:space="0"/>
              <w:right w:val="single" w:color="auto" w:sz="2" w:space="0"/>
            </w:tcBorders>
            <w:vAlign w:val="center"/>
          </w:tcPr>
          <w:p w14:paraId="3E4AB3A2">
            <w:pPr>
              <w:spacing w:line="240" w:lineRule="exact"/>
              <w:jc w:val="right"/>
              <w:rPr>
                <w:rFonts w:ascii="宋体" w:hAnsi="宋体" w:eastAsia="宋体" w:cs="宋体"/>
                <w:sz w:val="18"/>
                <w:szCs w:val="18"/>
              </w:rPr>
            </w:pPr>
            <w:r>
              <w:rPr>
                <w:rFonts w:ascii="宋体" w:hAnsi="宋体" w:eastAsia="宋体" w:cs="宋体"/>
                <w:sz w:val="18"/>
                <w:szCs w:val="18"/>
              </w:rPr>
              <w:t>27,972,982.84</w:t>
            </w:r>
          </w:p>
        </w:tc>
        <w:tc>
          <w:tcPr>
            <w:tcW w:w="1134" w:type="dxa"/>
            <w:tcBorders>
              <w:top w:val="single" w:color="auto" w:sz="2" w:space="0"/>
              <w:left w:val="single" w:color="auto" w:sz="2" w:space="0"/>
              <w:bottom w:val="single" w:color="auto" w:sz="2" w:space="0"/>
              <w:right w:val="single" w:color="auto" w:sz="2" w:space="0"/>
            </w:tcBorders>
            <w:vAlign w:val="center"/>
          </w:tcPr>
          <w:p w14:paraId="131E20DE">
            <w:pPr>
              <w:spacing w:line="240" w:lineRule="exact"/>
              <w:jc w:val="right"/>
              <w:rPr>
                <w:rFonts w:ascii="宋体" w:hAnsi="宋体" w:eastAsia="宋体" w:cs="宋体"/>
                <w:sz w:val="18"/>
                <w:szCs w:val="18"/>
              </w:rPr>
            </w:pPr>
            <w:r>
              <w:rPr>
                <w:rFonts w:ascii="宋体" w:hAnsi="宋体" w:eastAsia="宋体" w:cs="宋体"/>
                <w:sz w:val="18"/>
                <w:szCs w:val="18"/>
              </w:rPr>
              <w:t>0.27%</w:t>
            </w:r>
          </w:p>
        </w:tc>
        <w:tc>
          <w:tcPr>
            <w:tcW w:w="992" w:type="dxa"/>
            <w:tcBorders>
              <w:top w:val="single" w:color="auto" w:sz="2" w:space="0"/>
              <w:left w:val="single" w:color="auto" w:sz="2" w:space="0"/>
              <w:bottom w:val="single" w:color="auto" w:sz="2" w:space="0"/>
              <w:right w:val="single" w:color="auto" w:sz="2" w:space="0"/>
            </w:tcBorders>
            <w:vAlign w:val="center"/>
          </w:tcPr>
          <w:p w14:paraId="2F1002A7">
            <w:pPr>
              <w:spacing w:line="240" w:lineRule="exact"/>
              <w:jc w:val="right"/>
              <w:rPr>
                <w:rFonts w:ascii="宋体" w:hAnsi="宋体" w:eastAsia="宋体" w:cs="宋体"/>
                <w:sz w:val="18"/>
                <w:szCs w:val="18"/>
              </w:rPr>
            </w:pPr>
            <w:r>
              <w:rPr>
                <w:rFonts w:ascii="宋体" w:hAnsi="宋体" w:eastAsia="宋体" w:cs="宋体"/>
                <w:sz w:val="18"/>
                <w:szCs w:val="18"/>
              </w:rPr>
              <w:t>146.92%</w:t>
            </w:r>
          </w:p>
        </w:tc>
      </w:tr>
      <w:tr w14:paraId="459E8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67FE52A">
            <w:pPr>
              <w:spacing w:line="240" w:lineRule="exact"/>
              <w:rPr>
                <w:rFonts w:ascii="宋体" w:hAnsi="宋体" w:eastAsia="宋体" w:cs="宋体"/>
                <w:sz w:val="18"/>
                <w:szCs w:val="18"/>
              </w:rPr>
            </w:pPr>
            <w:r>
              <w:rPr>
                <w:rFonts w:ascii="宋体" w:hAnsi="宋体" w:eastAsia="宋体" w:cs="宋体"/>
                <w:sz w:val="18"/>
                <w:szCs w:val="18"/>
              </w:rPr>
              <w:t>纱线</w:t>
            </w:r>
          </w:p>
        </w:tc>
        <w:tc>
          <w:tcPr>
            <w:tcW w:w="1377" w:type="dxa"/>
            <w:tcBorders>
              <w:top w:val="single" w:color="auto" w:sz="2" w:space="0"/>
              <w:left w:val="single" w:color="auto" w:sz="2" w:space="0"/>
              <w:bottom w:val="single" w:color="auto" w:sz="2" w:space="0"/>
              <w:right w:val="single" w:color="auto" w:sz="2" w:space="0"/>
            </w:tcBorders>
            <w:vAlign w:val="center"/>
          </w:tcPr>
          <w:p w14:paraId="19D4449D">
            <w:pPr>
              <w:spacing w:line="240" w:lineRule="exact"/>
              <w:rPr>
                <w:rFonts w:ascii="宋体" w:hAnsi="宋体" w:eastAsia="宋体" w:cs="宋体"/>
                <w:sz w:val="18"/>
                <w:szCs w:val="18"/>
              </w:rPr>
            </w:pPr>
            <w:r>
              <w:rPr>
                <w:rFonts w:ascii="宋体" w:hAnsi="宋体" w:eastAsia="宋体" w:cs="宋体"/>
                <w:sz w:val="18"/>
                <w:szCs w:val="18"/>
              </w:rPr>
              <w:t>其他</w:t>
            </w:r>
          </w:p>
        </w:tc>
        <w:tc>
          <w:tcPr>
            <w:tcW w:w="1782" w:type="dxa"/>
            <w:tcBorders>
              <w:top w:val="single" w:color="auto" w:sz="2" w:space="0"/>
              <w:left w:val="single" w:color="auto" w:sz="2" w:space="0"/>
              <w:bottom w:val="single" w:color="auto" w:sz="2" w:space="0"/>
              <w:right w:val="single" w:color="auto" w:sz="2" w:space="0"/>
            </w:tcBorders>
            <w:vAlign w:val="center"/>
          </w:tcPr>
          <w:p w14:paraId="114A599D">
            <w:pPr>
              <w:spacing w:line="240" w:lineRule="exact"/>
              <w:jc w:val="right"/>
              <w:rPr>
                <w:rFonts w:ascii="宋体" w:hAnsi="宋体" w:eastAsia="宋体" w:cs="宋体"/>
                <w:sz w:val="18"/>
                <w:szCs w:val="18"/>
              </w:rPr>
            </w:pPr>
            <w:r>
              <w:rPr>
                <w:rFonts w:ascii="宋体" w:hAnsi="宋体" w:eastAsia="宋体" w:cs="宋体"/>
                <w:sz w:val="18"/>
                <w:szCs w:val="18"/>
              </w:rPr>
              <w:t>313,756,915.56</w:t>
            </w:r>
          </w:p>
        </w:tc>
        <w:tc>
          <w:tcPr>
            <w:tcW w:w="1276" w:type="dxa"/>
            <w:tcBorders>
              <w:top w:val="single" w:color="auto" w:sz="2" w:space="0"/>
              <w:left w:val="single" w:color="auto" w:sz="2" w:space="0"/>
              <w:bottom w:val="single" w:color="auto" w:sz="2" w:space="0"/>
              <w:right w:val="single" w:color="auto" w:sz="2" w:space="0"/>
            </w:tcBorders>
            <w:vAlign w:val="center"/>
          </w:tcPr>
          <w:p w14:paraId="0B2128F5">
            <w:pPr>
              <w:spacing w:line="240" w:lineRule="exact"/>
              <w:jc w:val="right"/>
              <w:rPr>
                <w:rFonts w:ascii="宋体" w:hAnsi="宋体" w:eastAsia="宋体" w:cs="宋体"/>
                <w:sz w:val="18"/>
                <w:szCs w:val="18"/>
              </w:rPr>
            </w:pPr>
            <w:r>
              <w:rPr>
                <w:rFonts w:ascii="宋体" w:hAnsi="宋体" w:eastAsia="宋体" w:cs="宋体"/>
                <w:sz w:val="18"/>
                <w:szCs w:val="18"/>
              </w:rPr>
              <w:t>4.29%</w:t>
            </w:r>
          </w:p>
        </w:tc>
        <w:tc>
          <w:tcPr>
            <w:tcW w:w="1701" w:type="dxa"/>
            <w:tcBorders>
              <w:top w:val="single" w:color="auto" w:sz="2" w:space="0"/>
              <w:left w:val="single" w:color="auto" w:sz="2" w:space="0"/>
              <w:bottom w:val="single" w:color="auto" w:sz="2" w:space="0"/>
              <w:right w:val="single" w:color="auto" w:sz="2" w:space="0"/>
            </w:tcBorders>
            <w:vAlign w:val="center"/>
          </w:tcPr>
          <w:p w14:paraId="06027CD3">
            <w:pPr>
              <w:spacing w:line="240" w:lineRule="exact"/>
              <w:jc w:val="right"/>
              <w:rPr>
                <w:rFonts w:ascii="宋体" w:hAnsi="宋体" w:eastAsia="宋体" w:cs="宋体"/>
                <w:sz w:val="18"/>
                <w:szCs w:val="18"/>
              </w:rPr>
            </w:pPr>
            <w:r>
              <w:rPr>
                <w:rFonts w:ascii="宋体" w:hAnsi="宋体" w:eastAsia="宋体" w:cs="宋体"/>
                <w:sz w:val="18"/>
                <w:szCs w:val="18"/>
              </w:rPr>
              <w:t>202,357,748.18</w:t>
            </w:r>
          </w:p>
        </w:tc>
        <w:tc>
          <w:tcPr>
            <w:tcW w:w="1134" w:type="dxa"/>
            <w:tcBorders>
              <w:top w:val="single" w:color="auto" w:sz="2" w:space="0"/>
              <w:left w:val="single" w:color="auto" w:sz="2" w:space="0"/>
              <w:bottom w:val="single" w:color="auto" w:sz="2" w:space="0"/>
              <w:right w:val="single" w:color="auto" w:sz="2" w:space="0"/>
            </w:tcBorders>
            <w:vAlign w:val="center"/>
          </w:tcPr>
          <w:p w14:paraId="24EE21C8">
            <w:pPr>
              <w:spacing w:line="240" w:lineRule="exact"/>
              <w:jc w:val="right"/>
              <w:rPr>
                <w:rFonts w:ascii="宋体" w:hAnsi="宋体" w:eastAsia="宋体" w:cs="宋体"/>
                <w:sz w:val="18"/>
                <w:szCs w:val="18"/>
              </w:rPr>
            </w:pPr>
            <w:r>
              <w:rPr>
                <w:rFonts w:ascii="宋体" w:hAnsi="宋体" w:eastAsia="宋体" w:cs="宋体"/>
                <w:sz w:val="18"/>
                <w:szCs w:val="18"/>
              </w:rPr>
              <w:t>1.99%</w:t>
            </w:r>
          </w:p>
        </w:tc>
        <w:tc>
          <w:tcPr>
            <w:tcW w:w="992" w:type="dxa"/>
            <w:tcBorders>
              <w:top w:val="single" w:color="auto" w:sz="2" w:space="0"/>
              <w:left w:val="single" w:color="auto" w:sz="2" w:space="0"/>
              <w:bottom w:val="single" w:color="auto" w:sz="2" w:space="0"/>
              <w:right w:val="single" w:color="auto" w:sz="2" w:space="0"/>
            </w:tcBorders>
            <w:vAlign w:val="center"/>
          </w:tcPr>
          <w:p w14:paraId="6DCDEC35">
            <w:pPr>
              <w:spacing w:line="240" w:lineRule="exact"/>
              <w:jc w:val="right"/>
              <w:rPr>
                <w:rFonts w:ascii="宋体" w:hAnsi="宋体" w:eastAsia="宋体" w:cs="宋体"/>
                <w:sz w:val="18"/>
                <w:szCs w:val="18"/>
              </w:rPr>
            </w:pPr>
            <w:r>
              <w:rPr>
                <w:rFonts w:ascii="宋体" w:hAnsi="宋体" w:eastAsia="宋体" w:cs="宋体"/>
                <w:sz w:val="18"/>
                <w:szCs w:val="18"/>
              </w:rPr>
              <w:t>55.05%</w:t>
            </w:r>
          </w:p>
        </w:tc>
      </w:tr>
      <w:tr w14:paraId="7AA39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BC9503C">
            <w:pPr>
              <w:spacing w:line="240" w:lineRule="exact"/>
              <w:rPr>
                <w:rFonts w:ascii="宋体" w:hAnsi="宋体" w:eastAsia="宋体" w:cs="宋体"/>
                <w:sz w:val="18"/>
                <w:szCs w:val="18"/>
              </w:rPr>
            </w:pPr>
            <w:r>
              <w:rPr>
                <w:rFonts w:ascii="宋体" w:hAnsi="宋体" w:eastAsia="宋体" w:cs="宋体"/>
                <w:sz w:val="18"/>
                <w:szCs w:val="18"/>
              </w:rPr>
              <w:t>棉业</w:t>
            </w:r>
          </w:p>
        </w:tc>
        <w:tc>
          <w:tcPr>
            <w:tcW w:w="1377" w:type="dxa"/>
            <w:tcBorders>
              <w:top w:val="single" w:color="auto" w:sz="2" w:space="0"/>
              <w:left w:val="single" w:color="auto" w:sz="2" w:space="0"/>
              <w:bottom w:val="single" w:color="auto" w:sz="2" w:space="0"/>
              <w:right w:val="single" w:color="auto" w:sz="2" w:space="0"/>
            </w:tcBorders>
            <w:vAlign w:val="center"/>
          </w:tcPr>
          <w:p w14:paraId="57A91191">
            <w:pPr>
              <w:spacing w:line="240" w:lineRule="exact"/>
              <w:rPr>
                <w:rFonts w:ascii="宋体" w:hAnsi="宋体" w:eastAsia="宋体" w:cs="宋体"/>
                <w:sz w:val="18"/>
                <w:szCs w:val="18"/>
              </w:rPr>
            </w:pPr>
            <w:r>
              <w:rPr>
                <w:rFonts w:ascii="宋体" w:hAnsi="宋体" w:eastAsia="宋体" w:cs="宋体"/>
                <w:sz w:val="18"/>
                <w:szCs w:val="18"/>
              </w:rPr>
              <w:t>直接材料</w:t>
            </w:r>
          </w:p>
        </w:tc>
        <w:tc>
          <w:tcPr>
            <w:tcW w:w="1782" w:type="dxa"/>
            <w:tcBorders>
              <w:top w:val="single" w:color="auto" w:sz="2" w:space="0"/>
              <w:left w:val="single" w:color="auto" w:sz="2" w:space="0"/>
              <w:bottom w:val="single" w:color="auto" w:sz="2" w:space="0"/>
              <w:right w:val="single" w:color="auto" w:sz="2" w:space="0"/>
            </w:tcBorders>
            <w:vAlign w:val="center"/>
          </w:tcPr>
          <w:p w14:paraId="72ECD7F5">
            <w:pPr>
              <w:spacing w:line="240" w:lineRule="exact"/>
              <w:jc w:val="right"/>
              <w:rPr>
                <w:rFonts w:ascii="宋体" w:hAnsi="宋体" w:eastAsia="宋体" w:cs="宋体"/>
                <w:sz w:val="18"/>
                <w:szCs w:val="18"/>
              </w:rPr>
            </w:pPr>
            <w:r>
              <w:rPr>
                <w:rFonts w:ascii="宋体" w:hAnsi="宋体" w:eastAsia="宋体" w:cs="宋体"/>
                <w:sz w:val="18"/>
                <w:szCs w:val="18"/>
              </w:rPr>
              <w:t>1,112,052,553.78</w:t>
            </w:r>
          </w:p>
        </w:tc>
        <w:tc>
          <w:tcPr>
            <w:tcW w:w="1276" w:type="dxa"/>
            <w:tcBorders>
              <w:top w:val="single" w:color="auto" w:sz="2" w:space="0"/>
              <w:left w:val="single" w:color="auto" w:sz="2" w:space="0"/>
              <w:bottom w:val="single" w:color="auto" w:sz="2" w:space="0"/>
              <w:right w:val="single" w:color="auto" w:sz="2" w:space="0"/>
            </w:tcBorders>
            <w:vAlign w:val="center"/>
          </w:tcPr>
          <w:p w14:paraId="251944FA">
            <w:pPr>
              <w:spacing w:line="240" w:lineRule="exact"/>
              <w:jc w:val="right"/>
              <w:rPr>
                <w:rFonts w:ascii="宋体" w:hAnsi="宋体" w:eastAsia="宋体" w:cs="宋体"/>
                <w:sz w:val="18"/>
                <w:szCs w:val="18"/>
              </w:rPr>
            </w:pPr>
            <w:r>
              <w:rPr>
                <w:rFonts w:ascii="宋体" w:hAnsi="宋体" w:eastAsia="宋体" w:cs="宋体"/>
                <w:sz w:val="18"/>
                <w:szCs w:val="18"/>
              </w:rPr>
              <w:t>15.21%</w:t>
            </w:r>
          </w:p>
        </w:tc>
        <w:tc>
          <w:tcPr>
            <w:tcW w:w="1701" w:type="dxa"/>
            <w:tcBorders>
              <w:top w:val="single" w:color="auto" w:sz="2" w:space="0"/>
              <w:left w:val="single" w:color="auto" w:sz="2" w:space="0"/>
              <w:bottom w:val="single" w:color="auto" w:sz="2" w:space="0"/>
              <w:right w:val="single" w:color="auto" w:sz="2" w:space="0"/>
            </w:tcBorders>
            <w:vAlign w:val="center"/>
          </w:tcPr>
          <w:p w14:paraId="04F815B0">
            <w:pPr>
              <w:spacing w:line="240" w:lineRule="exact"/>
              <w:jc w:val="right"/>
              <w:rPr>
                <w:rFonts w:ascii="宋体" w:hAnsi="宋体" w:eastAsia="宋体" w:cs="宋体"/>
                <w:sz w:val="18"/>
                <w:szCs w:val="18"/>
              </w:rPr>
            </w:pPr>
            <w:r>
              <w:rPr>
                <w:rFonts w:ascii="宋体" w:hAnsi="宋体" w:eastAsia="宋体" w:cs="宋体"/>
                <w:sz w:val="18"/>
                <w:szCs w:val="18"/>
              </w:rPr>
              <w:t>3,821,681,589.37</w:t>
            </w:r>
          </w:p>
        </w:tc>
        <w:tc>
          <w:tcPr>
            <w:tcW w:w="1134" w:type="dxa"/>
            <w:tcBorders>
              <w:top w:val="single" w:color="auto" w:sz="2" w:space="0"/>
              <w:left w:val="single" w:color="auto" w:sz="2" w:space="0"/>
              <w:bottom w:val="single" w:color="auto" w:sz="2" w:space="0"/>
              <w:right w:val="single" w:color="auto" w:sz="2" w:space="0"/>
            </w:tcBorders>
            <w:vAlign w:val="center"/>
          </w:tcPr>
          <w:p w14:paraId="62BE3319">
            <w:pPr>
              <w:spacing w:line="240" w:lineRule="exact"/>
              <w:jc w:val="right"/>
              <w:rPr>
                <w:rFonts w:ascii="宋体" w:hAnsi="宋体" w:eastAsia="宋体" w:cs="宋体"/>
                <w:sz w:val="18"/>
                <w:szCs w:val="18"/>
              </w:rPr>
            </w:pPr>
            <w:r>
              <w:rPr>
                <w:rFonts w:ascii="宋体" w:hAnsi="宋体" w:eastAsia="宋体" w:cs="宋体"/>
                <w:sz w:val="18"/>
                <w:szCs w:val="18"/>
              </w:rPr>
              <w:t>37.53%</w:t>
            </w:r>
          </w:p>
        </w:tc>
        <w:tc>
          <w:tcPr>
            <w:tcW w:w="992" w:type="dxa"/>
            <w:tcBorders>
              <w:top w:val="single" w:color="auto" w:sz="2" w:space="0"/>
              <w:left w:val="single" w:color="auto" w:sz="2" w:space="0"/>
              <w:bottom w:val="single" w:color="auto" w:sz="2" w:space="0"/>
              <w:right w:val="single" w:color="auto" w:sz="2" w:space="0"/>
            </w:tcBorders>
            <w:vAlign w:val="center"/>
          </w:tcPr>
          <w:p w14:paraId="7987EB10">
            <w:pPr>
              <w:spacing w:line="240" w:lineRule="exact"/>
              <w:jc w:val="right"/>
              <w:rPr>
                <w:rFonts w:ascii="宋体" w:hAnsi="宋体" w:eastAsia="宋体" w:cs="宋体"/>
                <w:sz w:val="18"/>
                <w:szCs w:val="18"/>
              </w:rPr>
            </w:pPr>
            <w:r>
              <w:rPr>
                <w:rFonts w:ascii="宋体" w:hAnsi="宋体" w:eastAsia="宋体" w:cs="宋体"/>
                <w:sz w:val="18"/>
                <w:szCs w:val="18"/>
              </w:rPr>
              <w:t>-70.90%</w:t>
            </w:r>
          </w:p>
        </w:tc>
      </w:tr>
      <w:tr w14:paraId="68F0B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87272A8">
            <w:pPr>
              <w:spacing w:line="240" w:lineRule="exact"/>
              <w:rPr>
                <w:rFonts w:ascii="宋体" w:hAnsi="宋体" w:eastAsia="宋体" w:cs="宋体"/>
                <w:sz w:val="18"/>
                <w:szCs w:val="18"/>
              </w:rPr>
            </w:pPr>
            <w:r>
              <w:rPr>
                <w:rFonts w:ascii="宋体" w:hAnsi="宋体" w:eastAsia="宋体" w:cs="宋体"/>
                <w:sz w:val="18"/>
                <w:szCs w:val="18"/>
              </w:rPr>
              <w:t>棉业</w:t>
            </w:r>
          </w:p>
        </w:tc>
        <w:tc>
          <w:tcPr>
            <w:tcW w:w="1377" w:type="dxa"/>
            <w:tcBorders>
              <w:top w:val="single" w:color="auto" w:sz="2" w:space="0"/>
              <w:left w:val="single" w:color="auto" w:sz="2" w:space="0"/>
              <w:bottom w:val="single" w:color="auto" w:sz="2" w:space="0"/>
              <w:right w:val="single" w:color="auto" w:sz="2" w:space="0"/>
            </w:tcBorders>
            <w:vAlign w:val="center"/>
          </w:tcPr>
          <w:p w14:paraId="45D61BEE">
            <w:pPr>
              <w:spacing w:line="240" w:lineRule="exact"/>
              <w:rPr>
                <w:rFonts w:ascii="宋体" w:hAnsi="宋体" w:eastAsia="宋体" w:cs="宋体"/>
                <w:sz w:val="18"/>
                <w:szCs w:val="18"/>
              </w:rPr>
            </w:pPr>
            <w:r>
              <w:rPr>
                <w:rFonts w:ascii="宋体" w:hAnsi="宋体" w:eastAsia="宋体" w:cs="宋体"/>
                <w:sz w:val="18"/>
                <w:szCs w:val="18"/>
              </w:rPr>
              <w:t>直接人工</w:t>
            </w:r>
          </w:p>
        </w:tc>
        <w:tc>
          <w:tcPr>
            <w:tcW w:w="1782" w:type="dxa"/>
            <w:tcBorders>
              <w:top w:val="single" w:color="auto" w:sz="2" w:space="0"/>
              <w:left w:val="single" w:color="auto" w:sz="2" w:space="0"/>
              <w:bottom w:val="single" w:color="auto" w:sz="2" w:space="0"/>
              <w:right w:val="single" w:color="auto" w:sz="2" w:space="0"/>
            </w:tcBorders>
            <w:vAlign w:val="center"/>
          </w:tcPr>
          <w:p w14:paraId="1FAC7615">
            <w:pPr>
              <w:spacing w:line="240" w:lineRule="exact"/>
              <w:jc w:val="right"/>
              <w:rPr>
                <w:rFonts w:ascii="宋体" w:hAnsi="宋体" w:eastAsia="宋体" w:cs="宋体"/>
                <w:sz w:val="18"/>
                <w:szCs w:val="18"/>
              </w:rPr>
            </w:pPr>
            <w:r>
              <w:rPr>
                <w:rFonts w:ascii="宋体" w:hAnsi="宋体" w:eastAsia="宋体" w:cs="宋体"/>
                <w:sz w:val="18"/>
                <w:szCs w:val="18"/>
              </w:rPr>
              <w:t>15,769,319.70</w:t>
            </w:r>
          </w:p>
        </w:tc>
        <w:tc>
          <w:tcPr>
            <w:tcW w:w="1276" w:type="dxa"/>
            <w:tcBorders>
              <w:top w:val="single" w:color="auto" w:sz="2" w:space="0"/>
              <w:left w:val="single" w:color="auto" w:sz="2" w:space="0"/>
              <w:bottom w:val="single" w:color="auto" w:sz="2" w:space="0"/>
              <w:right w:val="single" w:color="auto" w:sz="2" w:space="0"/>
            </w:tcBorders>
            <w:vAlign w:val="center"/>
          </w:tcPr>
          <w:p w14:paraId="576F1177">
            <w:pPr>
              <w:spacing w:line="240" w:lineRule="exact"/>
              <w:jc w:val="right"/>
              <w:rPr>
                <w:rFonts w:ascii="宋体" w:hAnsi="宋体" w:eastAsia="宋体" w:cs="宋体"/>
                <w:sz w:val="18"/>
                <w:szCs w:val="18"/>
              </w:rPr>
            </w:pPr>
            <w:r>
              <w:rPr>
                <w:rFonts w:ascii="宋体" w:hAnsi="宋体" w:eastAsia="宋体" w:cs="宋体"/>
                <w:sz w:val="18"/>
                <w:szCs w:val="18"/>
              </w:rPr>
              <w:t>0.22%</w:t>
            </w:r>
          </w:p>
        </w:tc>
        <w:tc>
          <w:tcPr>
            <w:tcW w:w="1701" w:type="dxa"/>
            <w:tcBorders>
              <w:top w:val="single" w:color="auto" w:sz="2" w:space="0"/>
              <w:left w:val="single" w:color="auto" w:sz="2" w:space="0"/>
              <w:bottom w:val="single" w:color="auto" w:sz="2" w:space="0"/>
              <w:right w:val="single" w:color="auto" w:sz="2" w:space="0"/>
            </w:tcBorders>
            <w:vAlign w:val="center"/>
          </w:tcPr>
          <w:p w14:paraId="4B9C8E18">
            <w:pPr>
              <w:spacing w:line="240" w:lineRule="exact"/>
              <w:jc w:val="right"/>
              <w:rPr>
                <w:rFonts w:ascii="宋体" w:hAnsi="宋体" w:eastAsia="宋体" w:cs="宋体"/>
                <w:sz w:val="18"/>
                <w:szCs w:val="18"/>
              </w:rPr>
            </w:pPr>
            <w:r>
              <w:rPr>
                <w:rFonts w:ascii="宋体" w:hAnsi="宋体" w:eastAsia="宋体" w:cs="宋体"/>
                <w:sz w:val="18"/>
                <w:szCs w:val="18"/>
              </w:rPr>
              <w:t>20,220,415.70</w:t>
            </w:r>
          </w:p>
        </w:tc>
        <w:tc>
          <w:tcPr>
            <w:tcW w:w="1134" w:type="dxa"/>
            <w:tcBorders>
              <w:top w:val="single" w:color="auto" w:sz="2" w:space="0"/>
              <w:left w:val="single" w:color="auto" w:sz="2" w:space="0"/>
              <w:bottom w:val="single" w:color="auto" w:sz="2" w:space="0"/>
              <w:right w:val="single" w:color="auto" w:sz="2" w:space="0"/>
            </w:tcBorders>
            <w:vAlign w:val="center"/>
          </w:tcPr>
          <w:p w14:paraId="75D18989">
            <w:pPr>
              <w:spacing w:line="240" w:lineRule="exact"/>
              <w:jc w:val="right"/>
              <w:rPr>
                <w:rFonts w:ascii="宋体" w:hAnsi="宋体" w:eastAsia="宋体" w:cs="宋体"/>
                <w:sz w:val="18"/>
                <w:szCs w:val="18"/>
              </w:rPr>
            </w:pPr>
            <w:r>
              <w:rPr>
                <w:rFonts w:ascii="宋体" w:hAnsi="宋体" w:eastAsia="宋体" w:cs="宋体"/>
                <w:sz w:val="18"/>
                <w:szCs w:val="18"/>
              </w:rPr>
              <w:t>0.20%</w:t>
            </w:r>
          </w:p>
        </w:tc>
        <w:tc>
          <w:tcPr>
            <w:tcW w:w="992" w:type="dxa"/>
            <w:tcBorders>
              <w:top w:val="single" w:color="auto" w:sz="2" w:space="0"/>
              <w:left w:val="single" w:color="auto" w:sz="2" w:space="0"/>
              <w:bottom w:val="single" w:color="auto" w:sz="2" w:space="0"/>
              <w:right w:val="single" w:color="auto" w:sz="2" w:space="0"/>
            </w:tcBorders>
            <w:vAlign w:val="center"/>
          </w:tcPr>
          <w:p w14:paraId="279535A9">
            <w:pPr>
              <w:spacing w:line="240" w:lineRule="exact"/>
              <w:jc w:val="right"/>
              <w:rPr>
                <w:rFonts w:ascii="宋体" w:hAnsi="宋体" w:eastAsia="宋体" w:cs="宋体"/>
                <w:sz w:val="18"/>
                <w:szCs w:val="18"/>
              </w:rPr>
            </w:pPr>
            <w:r>
              <w:rPr>
                <w:rFonts w:ascii="宋体" w:hAnsi="宋体" w:eastAsia="宋体" w:cs="宋体"/>
                <w:sz w:val="18"/>
                <w:szCs w:val="18"/>
              </w:rPr>
              <w:t>-22.01%</w:t>
            </w:r>
          </w:p>
        </w:tc>
      </w:tr>
      <w:tr w14:paraId="2B7AF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6E72413">
            <w:pPr>
              <w:spacing w:line="240" w:lineRule="exact"/>
              <w:rPr>
                <w:rFonts w:ascii="宋体" w:hAnsi="宋体" w:eastAsia="宋体" w:cs="宋体"/>
                <w:sz w:val="18"/>
                <w:szCs w:val="18"/>
              </w:rPr>
            </w:pPr>
            <w:r>
              <w:rPr>
                <w:rFonts w:ascii="宋体" w:hAnsi="宋体" w:eastAsia="宋体" w:cs="宋体"/>
                <w:sz w:val="18"/>
                <w:szCs w:val="18"/>
              </w:rPr>
              <w:t>棉业</w:t>
            </w:r>
          </w:p>
        </w:tc>
        <w:tc>
          <w:tcPr>
            <w:tcW w:w="1377" w:type="dxa"/>
            <w:tcBorders>
              <w:top w:val="single" w:color="auto" w:sz="2" w:space="0"/>
              <w:left w:val="single" w:color="auto" w:sz="2" w:space="0"/>
              <w:bottom w:val="single" w:color="auto" w:sz="2" w:space="0"/>
              <w:right w:val="single" w:color="auto" w:sz="2" w:space="0"/>
            </w:tcBorders>
            <w:vAlign w:val="center"/>
          </w:tcPr>
          <w:p w14:paraId="1EE64209">
            <w:pPr>
              <w:spacing w:line="240" w:lineRule="exact"/>
              <w:rPr>
                <w:rFonts w:ascii="宋体" w:hAnsi="宋体" w:eastAsia="宋体" w:cs="宋体"/>
                <w:sz w:val="18"/>
                <w:szCs w:val="18"/>
              </w:rPr>
            </w:pPr>
            <w:r>
              <w:rPr>
                <w:rFonts w:ascii="宋体" w:hAnsi="宋体" w:eastAsia="宋体" w:cs="宋体"/>
                <w:sz w:val="18"/>
                <w:szCs w:val="18"/>
              </w:rPr>
              <w:t>折旧</w:t>
            </w:r>
          </w:p>
        </w:tc>
        <w:tc>
          <w:tcPr>
            <w:tcW w:w="1782" w:type="dxa"/>
            <w:tcBorders>
              <w:top w:val="single" w:color="auto" w:sz="2" w:space="0"/>
              <w:left w:val="single" w:color="auto" w:sz="2" w:space="0"/>
              <w:bottom w:val="single" w:color="auto" w:sz="2" w:space="0"/>
              <w:right w:val="single" w:color="auto" w:sz="2" w:space="0"/>
            </w:tcBorders>
            <w:vAlign w:val="center"/>
          </w:tcPr>
          <w:p w14:paraId="78321CAF">
            <w:pPr>
              <w:spacing w:line="240" w:lineRule="exact"/>
              <w:jc w:val="right"/>
              <w:rPr>
                <w:rFonts w:ascii="宋体" w:hAnsi="宋体" w:eastAsia="宋体" w:cs="宋体"/>
                <w:sz w:val="18"/>
                <w:szCs w:val="18"/>
              </w:rPr>
            </w:pPr>
            <w:r>
              <w:rPr>
                <w:rFonts w:ascii="宋体" w:hAnsi="宋体" w:eastAsia="宋体" w:cs="宋体"/>
                <w:sz w:val="18"/>
                <w:szCs w:val="18"/>
              </w:rPr>
              <w:t>13,097,648.47</w:t>
            </w:r>
          </w:p>
        </w:tc>
        <w:tc>
          <w:tcPr>
            <w:tcW w:w="1276" w:type="dxa"/>
            <w:tcBorders>
              <w:top w:val="single" w:color="auto" w:sz="2" w:space="0"/>
              <w:left w:val="single" w:color="auto" w:sz="2" w:space="0"/>
              <w:bottom w:val="single" w:color="auto" w:sz="2" w:space="0"/>
              <w:right w:val="single" w:color="auto" w:sz="2" w:space="0"/>
            </w:tcBorders>
            <w:vAlign w:val="center"/>
          </w:tcPr>
          <w:p w14:paraId="442CCD74">
            <w:pPr>
              <w:spacing w:line="240" w:lineRule="exact"/>
              <w:jc w:val="right"/>
              <w:rPr>
                <w:rFonts w:ascii="宋体" w:hAnsi="宋体" w:eastAsia="宋体" w:cs="宋体"/>
                <w:sz w:val="18"/>
                <w:szCs w:val="18"/>
              </w:rPr>
            </w:pPr>
            <w:r>
              <w:rPr>
                <w:rFonts w:ascii="宋体" w:hAnsi="宋体" w:eastAsia="宋体" w:cs="宋体"/>
                <w:sz w:val="18"/>
                <w:szCs w:val="18"/>
              </w:rPr>
              <w:t>0.18%</w:t>
            </w:r>
          </w:p>
        </w:tc>
        <w:tc>
          <w:tcPr>
            <w:tcW w:w="1701" w:type="dxa"/>
            <w:tcBorders>
              <w:top w:val="single" w:color="auto" w:sz="2" w:space="0"/>
              <w:left w:val="single" w:color="auto" w:sz="2" w:space="0"/>
              <w:bottom w:val="single" w:color="auto" w:sz="2" w:space="0"/>
              <w:right w:val="single" w:color="auto" w:sz="2" w:space="0"/>
            </w:tcBorders>
            <w:vAlign w:val="center"/>
          </w:tcPr>
          <w:p w14:paraId="61A1B205">
            <w:pPr>
              <w:spacing w:line="240" w:lineRule="exact"/>
              <w:jc w:val="right"/>
              <w:rPr>
                <w:rFonts w:ascii="宋体" w:hAnsi="宋体" w:eastAsia="宋体" w:cs="宋体"/>
                <w:sz w:val="18"/>
                <w:szCs w:val="18"/>
              </w:rPr>
            </w:pPr>
            <w:r>
              <w:rPr>
                <w:rFonts w:ascii="宋体" w:hAnsi="宋体" w:eastAsia="宋体" w:cs="宋体"/>
                <w:sz w:val="18"/>
                <w:szCs w:val="18"/>
              </w:rPr>
              <w:t>55,927,180.97</w:t>
            </w:r>
          </w:p>
        </w:tc>
        <w:tc>
          <w:tcPr>
            <w:tcW w:w="1134" w:type="dxa"/>
            <w:tcBorders>
              <w:top w:val="single" w:color="auto" w:sz="2" w:space="0"/>
              <w:left w:val="single" w:color="auto" w:sz="2" w:space="0"/>
              <w:bottom w:val="single" w:color="auto" w:sz="2" w:space="0"/>
              <w:right w:val="single" w:color="auto" w:sz="2" w:space="0"/>
            </w:tcBorders>
            <w:vAlign w:val="center"/>
          </w:tcPr>
          <w:p w14:paraId="17CE4385">
            <w:pPr>
              <w:spacing w:line="240" w:lineRule="exact"/>
              <w:jc w:val="right"/>
              <w:rPr>
                <w:rFonts w:ascii="宋体" w:hAnsi="宋体" w:eastAsia="宋体" w:cs="宋体"/>
                <w:sz w:val="18"/>
                <w:szCs w:val="18"/>
              </w:rPr>
            </w:pPr>
            <w:r>
              <w:rPr>
                <w:rFonts w:ascii="宋体" w:hAnsi="宋体" w:eastAsia="宋体" w:cs="宋体"/>
                <w:sz w:val="18"/>
                <w:szCs w:val="18"/>
              </w:rPr>
              <w:t>0.55%</w:t>
            </w:r>
          </w:p>
        </w:tc>
        <w:tc>
          <w:tcPr>
            <w:tcW w:w="992" w:type="dxa"/>
            <w:tcBorders>
              <w:top w:val="single" w:color="auto" w:sz="2" w:space="0"/>
              <w:left w:val="single" w:color="auto" w:sz="2" w:space="0"/>
              <w:bottom w:val="single" w:color="auto" w:sz="2" w:space="0"/>
              <w:right w:val="single" w:color="auto" w:sz="2" w:space="0"/>
            </w:tcBorders>
            <w:vAlign w:val="center"/>
          </w:tcPr>
          <w:p w14:paraId="79B0BAAC">
            <w:pPr>
              <w:spacing w:line="240" w:lineRule="exact"/>
              <w:jc w:val="right"/>
              <w:rPr>
                <w:rFonts w:ascii="宋体" w:hAnsi="宋体" w:eastAsia="宋体" w:cs="宋体"/>
                <w:sz w:val="18"/>
                <w:szCs w:val="18"/>
              </w:rPr>
            </w:pPr>
            <w:r>
              <w:rPr>
                <w:rFonts w:ascii="宋体" w:hAnsi="宋体" w:eastAsia="宋体" w:cs="宋体"/>
                <w:sz w:val="18"/>
                <w:szCs w:val="18"/>
              </w:rPr>
              <w:t>-76.58%</w:t>
            </w:r>
          </w:p>
        </w:tc>
      </w:tr>
      <w:tr w14:paraId="57215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B4191C1">
            <w:pPr>
              <w:spacing w:line="240" w:lineRule="exact"/>
              <w:rPr>
                <w:rFonts w:ascii="宋体" w:hAnsi="宋体" w:eastAsia="宋体" w:cs="宋体"/>
                <w:sz w:val="18"/>
                <w:szCs w:val="18"/>
              </w:rPr>
            </w:pPr>
            <w:r>
              <w:rPr>
                <w:rFonts w:ascii="宋体" w:hAnsi="宋体" w:eastAsia="宋体" w:cs="宋体"/>
                <w:sz w:val="18"/>
                <w:szCs w:val="18"/>
              </w:rPr>
              <w:t>棉业</w:t>
            </w:r>
          </w:p>
        </w:tc>
        <w:tc>
          <w:tcPr>
            <w:tcW w:w="1377" w:type="dxa"/>
            <w:tcBorders>
              <w:top w:val="single" w:color="auto" w:sz="2" w:space="0"/>
              <w:left w:val="single" w:color="auto" w:sz="2" w:space="0"/>
              <w:bottom w:val="single" w:color="auto" w:sz="2" w:space="0"/>
              <w:right w:val="single" w:color="auto" w:sz="2" w:space="0"/>
            </w:tcBorders>
            <w:vAlign w:val="center"/>
          </w:tcPr>
          <w:p w14:paraId="088AEF3E">
            <w:pPr>
              <w:spacing w:line="240" w:lineRule="exact"/>
              <w:rPr>
                <w:rFonts w:ascii="宋体" w:hAnsi="宋体" w:eastAsia="宋体" w:cs="宋体"/>
                <w:sz w:val="18"/>
                <w:szCs w:val="18"/>
              </w:rPr>
            </w:pPr>
            <w:r>
              <w:rPr>
                <w:rFonts w:ascii="宋体" w:hAnsi="宋体" w:eastAsia="宋体" w:cs="宋体"/>
                <w:sz w:val="18"/>
                <w:szCs w:val="18"/>
              </w:rPr>
              <w:t>能源和动力</w:t>
            </w:r>
          </w:p>
        </w:tc>
        <w:tc>
          <w:tcPr>
            <w:tcW w:w="1782" w:type="dxa"/>
            <w:tcBorders>
              <w:top w:val="single" w:color="auto" w:sz="2" w:space="0"/>
              <w:left w:val="single" w:color="auto" w:sz="2" w:space="0"/>
              <w:bottom w:val="single" w:color="auto" w:sz="2" w:space="0"/>
              <w:right w:val="single" w:color="auto" w:sz="2" w:space="0"/>
            </w:tcBorders>
            <w:vAlign w:val="center"/>
          </w:tcPr>
          <w:p w14:paraId="515BB7A4">
            <w:pPr>
              <w:spacing w:line="240" w:lineRule="exact"/>
              <w:jc w:val="right"/>
              <w:rPr>
                <w:rFonts w:ascii="宋体" w:hAnsi="宋体" w:eastAsia="宋体" w:cs="宋体"/>
                <w:sz w:val="18"/>
                <w:szCs w:val="18"/>
              </w:rPr>
            </w:pPr>
            <w:r>
              <w:rPr>
                <w:rFonts w:ascii="宋体" w:hAnsi="宋体" w:eastAsia="宋体" w:cs="宋体"/>
                <w:sz w:val="18"/>
                <w:szCs w:val="18"/>
              </w:rPr>
              <w:t>6,513,231.84</w:t>
            </w:r>
          </w:p>
        </w:tc>
        <w:tc>
          <w:tcPr>
            <w:tcW w:w="1276" w:type="dxa"/>
            <w:tcBorders>
              <w:top w:val="single" w:color="auto" w:sz="2" w:space="0"/>
              <w:left w:val="single" w:color="auto" w:sz="2" w:space="0"/>
              <w:bottom w:val="single" w:color="auto" w:sz="2" w:space="0"/>
              <w:right w:val="single" w:color="auto" w:sz="2" w:space="0"/>
            </w:tcBorders>
            <w:vAlign w:val="center"/>
          </w:tcPr>
          <w:p w14:paraId="5D760F15">
            <w:pPr>
              <w:spacing w:line="240" w:lineRule="exact"/>
              <w:jc w:val="right"/>
              <w:rPr>
                <w:rFonts w:ascii="宋体" w:hAnsi="宋体" w:eastAsia="宋体" w:cs="宋体"/>
                <w:sz w:val="18"/>
                <w:szCs w:val="18"/>
              </w:rPr>
            </w:pPr>
            <w:r>
              <w:rPr>
                <w:rFonts w:ascii="宋体" w:hAnsi="宋体" w:eastAsia="宋体" w:cs="宋体"/>
                <w:sz w:val="18"/>
                <w:szCs w:val="18"/>
              </w:rPr>
              <w:t>0.09%</w:t>
            </w:r>
          </w:p>
        </w:tc>
        <w:tc>
          <w:tcPr>
            <w:tcW w:w="1701" w:type="dxa"/>
            <w:tcBorders>
              <w:top w:val="single" w:color="auto" w:sz="2" w:space="0"/>
              <w:left w:val="single" w:color="auto" w:sz="2" w:space="0"/>
              <w:bottom w:val="single" w:color="auto" w:sz="2" w:space="0"/>
              <w:right w:val="single" w:color="auto" w:sz="2" w:space="0"/>
            </w:tcBorders>
            <w:vAlign w:val="center"/>
          </w:tcPr>
          <w:p w14:paraId="622F4678">
            <w:pPr>
              <w:spacing w:line="240" w:lineRule="exact"/>
              <w:jc w:val="right"/>
              <w:rPr>
                <w:rFonts w:ascii="宋体" w:hAnsi="宋体" w:eastAsia="宋体" w:cs="宋体"/>
                <w:sz w:val="18"/>
                <w:szCs w:val="18"/>
              </w:rPr>
            </w:pPr>
            <w:r>
              <w:rPr>
                <w:rFonts w:ascii="宋体" w:hAnsi="宋体" w:eastAsia="宋体" w:cs="宋体"/>
                <w:sz w:val="18"/>
                <w:szCs w:val="18"/>
              </w:rPr>
              <w:t>20,890,094.77</w:t>
            </w:r>
          </w:p>
        </w:tc>
        <w:tc>
          <w:tcPr>
            <w:tcW w:w="1134" w:type="dxa"/>
            <w:tcBorders>
              <w:top w:val="single" w:color="auto" w:sz="2" w:space="0"/>
              <w:left w:val="single" w:color="auto" w:sz="2" w:space="0"/>
              <w:bottom w:val="single" w:color="auto" w:sz="2" w:space="0"/>
              <w:right w:val="single" w:color="auto" w:sz="2" w:space="0"/>
            </w:tcBorders>
            <w:vAlign w:val="center"/>
          </w:tcPr>
          <w:p w14:paraId="4A136049">
            <w:pPr>
              <w:spacing w:line="240" w:lineRule="exact"/>
              <w:jc w:val="right"/>
              <w:rPr>
                <w:rFonts w:ascii="宋体" w:hAnsi="宋体" w:eastAsia="宋体" w:cs="宋体"/>
                <w:sz w:val="18"/>
                <w:szCs w:val="18"/>
              </w:rPr>
            </w:pPr>
            <w:r>
              <w:rPr>
                <w:rFonts w:ascii="宋体" w:hAnsi="宋体" w:eastAsia="宋体" w:cs="宋体"/>
                <w:sz w:val="18"/>
                <w:szCs w:val="18"/>
              </w:rPr>
              <w:t>0.21%</w:t>
            </w:r>
          </w:p>
        </w:tc>
        <w:tc>
          <w:tcPr>
            <w:tcW w:w="992" w:type="dxa"/>
            <w:tcBorders>
              <w:top w:val="single" w:color="auto" w:sz="2" w:space="0"/>
              <w:left w:val="single" w:color="auto" w:sz="2" w:space="0"/>
              <w:bottom w:val="single" w:color="auto" w:sz="2" w:space="0"/>
              <w:right w:val="single" w:color="auto" w:sz="2" w:space="0"/>
            </w:tcBorders>
            <w:vAlign w:val="center"/>
          </w:tcPr>
          <w:p w14:paraId="5700A1E2">
            <w:pPr>
              <w:spacing w:line="240" w:lineRule="exact"/>
              <w:jc w:val="right"/>
              <w:rPr>
                <w:rFonts w:ascii="宋体" w:hAnsi="宋体" w:eastAsia="宋体" w:cs="宋体"/>
                <w:sz w:val="18"/>
                <w:szCs w:val="18"/>
              </w:rPr>
            </w:pPr>
            <w:r>
              <w:rPr>
                <w:rFonts w:ascii="宋体" w:hAnsi="宋体" w:eastAsia="宋体" w:cs="宋体"/>
                <w:sz w:val="18"/>
                <w:szCs w:val="18"/>
              </w:rPr>
              <w:t>-68.82%</w:t>
            </w:r>
          </w:p>
        </w:tc>
      </w:tr>
      <w:tr w14:paraId="7C139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DD5AF36">
            <w:pPr>
              <w:spacing w:line="240" w:lineRule="exact"/>
              <w:rPr>
                <w:rFonts w:ascii="宋体" w:hAnsi="宋体" w:eastAsia="宋体" w:cs="宋体"/>
                <w:sz w:val="18"/>
                <w:szCs w:val="18"/>
              </w:rPr>
            </w:pPr>
            <w:r>
              <w:rPr>
                <w:rFonts w:ascii="宋体" w:hAnsi="宋体" w:eastAsia="宋体" w:cs="宋体"/>
                <w:sz w:val="18"/>
                <w:szCs w:val="18"/>
              </w:rPr>
              <w:t>棉业</w:t>
            </w:r>
          </w:p>
        </w:tc>
        <w:tc>
          <w:tcPr>
            <w:tcW w:w="1377" w:type="dxa"/>
            <w:tcBorders>
              <w:top w:val="single" w:color="auto" w:sz="2" w:space="0"/>
              <w:left w:val="single" w:color="auto" w:sz="2" w:space="0"/>
              <w:bottom w:val="single" w:color="auto" w:sz="2" w:space="0"/>
              <w:right w:val="single" w:color="auto" w:sz="2" w:space="0"/>
            </w:tcBorders>
            <w:vAlign w:val="center"/>
          </w:tcPr>
          <w:p w14:paraId="5EA2E522">
            <w:pPr>
              <w:spacing w:line="240" w:lineRule="exact"/>
              <w:rPr>
                <w:rFonts w:ascii="宋体" w:hAnsi="宋体" w:eastAsia="宋体" w:cs="宋体"/>
                <w:sz w:val="18"/>
                <w:szCs w:val="18"/>
              </w:rPr>
            </w:pPr>
            <w:r>
              <w:rPr>
                <w:rFonts w:ascii="宋体" w:hAnsi="宋体" w:eastAsia="宋体" w:cs="宋体"/>
                <w:sz w:val="18"/>
                <w:szCs w:val="18"/>
              </w:rPr>
              <w:t>销售运费及佣金</w:t>
            </w:r>
          </w:p>
        </w:tc>
        <w:tc>
          <w:tcPr>
            <w:tcW w:w="1782" w:type="dxa"/>
            <w:tcBorders>
              <w:top w:val="single" w:color="auto" w:sz="2" w:space="0"/>
              <w:left w:val="single" w:color="auto" w:sz="2" w:space="0"/>
              <w:bottom w:val="single" w:color="auto" w:sz="2" w:space="0"/>
              <w:right w:val="single" w:color="auto" w:sz="2" w:space="0"/>
            </w:tcBorders>
            <w:vAlign w:val="center"/>
          </w:tcPr>
          <w:p w14:paraId="4FB32234">
            <w:pPr>
              <w:spacing w:line="240" w:lineRule="exact"/>
              <w:jc w:val="right"/>
              <w:rPr>
                <w:rFonts w:ascii="宋体" w:hAnsi="宋体" w:eastAsia="宋体" w:cs="宋体"/>
                <w:sz w:val="18"/>
                <w:szCs w:val="18"/>
              </w:rPr>
            </w:pPr>
            <w:r>
              <w:rPr>
                <w:rFonts w:ascii="宋体" w:hAnsi="宋体" w:eastAsia="宋体" w:cs="宋体"/>
                <w:sz w:val="18"/>
                <w:szCs w:val="18"/>
              </w:rPr>
              <w:t>746,606.65</w:t>
            </w:r>
          </w:p>
        </w:tc>
        <w:tc>
          <w:tcPr>
            <w:tcW w:w="1276" w:type="dxa"/>
            <w:tcBorders>
              <w:top w:val="single" w:color="auto" w:sz="2" w:space="0"/>
              <w:left w:val="single" w:color="auto" w:sz="2" w:space="0"/>
              <w:bottom w:val="single" w:color="auto" w:sz="2" w:space="0"/>
              <w:right w:val="single" w:color="auto" w:sz="2" w:space="0"/>
            </w:tcBorders>
            <w:vAlign w:val="center"/>
          </w:tcPr>
          <w:p w14:paraId="324AD54B">
            <w:pPr>
              <w:spacing w:line="240" w:lineRule="exact"/>
              <w:jc w:val="right"/>
              <w:rPr>
                <w:rFonts w:ascii="宋体" w:hAnsi="宋体" w:eastAsia="宋体" w:cs="宋体"/>
                <w:sz w:val="18"/>
                <w:szCs w:val="18"/>
              </w:rPr>
            </w:pPr>
            <w:r>
              <w:rPr>
                <w:rFonts w:ascii="宋体" w:hAnsi="宋体" w:eastAsia="宋体" w:cs="宋体"/>
                <w:sz w:val="18"/>
                <w:szCs w:val="18"/>
              </w:rPr>
              <w:t>0.01%</w:t>
            </w:r>
          </w:p>
        </w:tc>
        <w:tc>
          <w:tcPr>
            <w:tcW w:w="1701" w:type="dxa"/>
            <w:tcBorders>
              <w:top w:val="single" w:color="auto" w:sz="2" w:space="0"/>
              <w:left w:val="single" w:color="auto" w:sz="2" w:space="0"/>
              <w:bottom w:val="single" w:color="auto" w:sz="2" w:space="0"/>
              <w:right w:val="single" w:color="auto" w:sz="2" w:space="0"/>
            </w:tcBorders>
            <w:vAlign w:val="center"/>
          </w:tcPr>
          <w:p w14:paraId="622F7ABC">
            <w:pPr>
              <w:spacing w:line="240" w:lineRule="exact"/>
              <w:jc w:val="right"/>
              <w:rPr>
                <w:rFonts w:ascii="宋体" w:hAnsi="宋体" w:eastAsia="宋体" w:cs="宋体"/>
                <w:sz w:val="18"/>
                <w:szCs w:val="18"/>
              </w:rPr>
            </w:pPr>
            <w:r>
              <w:rPr>
                <w:rFonts w:ascii="宋体" w:hAnsi="宋体" w:eastAsia="宋体" w:cs="宋体"/>
                <w:sz w:val="18"/>
                <w:szCs w:val="18"/>
              </w:rPr>
              <w:t>11,508,673.32</w:t>
            </w:r>
          </w:p>
        </w:tc>
        <w:tc>
          <w:tcPr>
            <w:tcW w:w="1134" w:type="dxa"/>
            <w:tcBorders>
              <w:top w:val="single" w:color="auto" w:sz="2" w:space="0"/>
              <w:left w:val="single" w:color="auto" w:sz="2" w:space="0"/>
              <w:bottom w:val="single" w:color="auto" w:sz="2" w:space="0"/>
              <w:right w:val="single" w:color="auto" w:sz="2" w:space="0"/>
            </w:tcBorders>
            <w:vAlign w:val="center"/>
          </w:tcPr>
          <w:p w14:paraId="195E90C1">
            <w:pPr>
              <w:spacing w:line="240" w:lineRule="exact"/>
              <w:jc w:val="right"/>
              <w:rPr>
                <w:rFonts w:ascii="宋体" w:hAnsi="宋体" w:eastAsia="宋体" w:cs="宋体"/>
                <w:sz w:val="18"/>
                <w:szCs w:val="18"/>
              </w:rPr>
            </w:pPr>
            <w:r>
              <w:rPr>
                <w:rFonts w:ascii="宋体" w:hAnsi="宋体" w:eastAsia="宋体" w:cs="宋体"/>
                <w:sz w:val="18"/>
                <w:szCs w:val="18"/>
              </w:rPr>
              <w:t>0.11%</w:t>
            </w:r>
          </w:p>
        </w:tc>
        <w:tc>
          <w:tcPr>
            <w:tcW w:w="992" w:type="dxa"/>
            <w:tcBorders>
              <w:top w:val="single" w:color="auto" w:sz="2" w:space="0"/>
              <w:left w:val="single" w:color="auto" w:sz="2" w:space="0"/>
              <w:bottom w:val="single" w:color="auto" w:sz="2" w:space="0"/>
              <w:right w:val="single" w:color="auto" w:sz="2" w:space="0"/>
            </w:tcBorders>
            <w:vAlign w:val="center"/>
          </w:tcPr>
          <w:p w14:paraId="0DD00470">
            <w:pPr>
              <w:spacing w:line="240" w:lineRule="exact"/>
              <w:jc w:val="right"/>
              <w:rPr>
                <w:rFonts w:ascii="宋体" w:hAnsi="宋体" w:eastAsia="宋体" w:cs="宋体"/>
                <w:sz w:val="18"/>
                <w:szCs w:val="18"/>
              </w:rPr>
            </w:pPr>
            <w:r>
              <w:rPr>
                <w:rFonts w:ascii="宋体" w:hAnsi="宋体" w:eastAsia="宋体" w:cs="宋体"/>
                <w:sz w:val="18"/>
                <w:szCs w:val="18"/>
              </w:rPr>
              <w:t>-93.51%</w:t>
            </w:r>
          </w:p>
        </w:tc>
      </w:tr>
      <w:tr w14:paraId="02325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C60EFF4">
            <w:pPr>
              <w:spacing w:line="240" w:lineRule="exact"/>
              <w:rPr>
                <w:rFonts w:ascii="宋体" w:hAnsi="宋体" w:eastAsia="宋体" w:cs="宋体"/>
                <w:sz w:val="18"/>
                <w:szCs w:val="18"/>
              </w:rPr>
            </w:pPr>
            <w:r>
              <w:rPr>
                <w:rFonts w:ascii="宋体" w:hAnsi="宋体" w:eastAsia="宋体" w:cs="宋体"/>
                <w:sz w:val="18"/>
                <w:szCs w:val="18"/>
              </w:rPr>
              <w:t>棉业</w:t>
            </w:r>
          </w:p>
        </w:tc>
        <w:tc>
          <w:tcPr>
            <w:tcW w:w="1377" w:type="dxa"/>
            <w:tcBorders>
              <w:top w:val="single" w:color="auto" w:sz="2" w:space="0"/>
              <w:left w:val="single" w:color="auto" w:sz="2" w:space="0"/>
              <w:bottom w:val="single" w:color="auto" w:sz="2" w:space="0"/>
              <w:right w:val="single" w:color="auto" w:sz="2" w:space="0"/>
            </w:tcBorders>
            <w:vAlign w:val="center"/>
          </w:tcPr>
          <w:p w14:paraId="010FAFD8">
            <w:pPr>
              <w:spacing w:line="240" w:lineRule="exact"/>
              <w:rPr>
                <w:rFonts w:ascii="宋体" w:hAnsi="宋体" w:eastAsia="宋体" w:cs="宋体"/>
                <w:sz w:val="18"/>
                <w:szCs w:val="18"/>
              </w:rPr>
            </w:pPr>
            <w:r>
              <w:rPr>
                <w:rFonts w:ascii="宋体" w:hAnsi="宋体" w:eastAsia="宋体" w:cs="宋体"/>
                <w:sz w:val="18"/>
                <w:szCs w:val="18"/>
              </w:rPr>
              <w:t>其他</w:t>
            </w:r>
          </w:p>
        </w:tc>
        <w:tc>
          <w:tcPr>
            <w:tcW w:w="1782" w:type="dxa"/>
            <w:tcBorders>
              <w:top w:val="single" w:color="auto" w:sz="2" w:space="0"/>
              <w:left w:val="single" w:color="auto" w:sz="2" w:space="0"/>
              <w:bottom w:val="single" w:color="auto" w:sz="2" w:space="0"/>
              <w:right w:val="single" w:color="auto" w:sz="2" w:space="0"/>
            </w:tcBorders>
            <w:vAlign w:val="center"/>
          </w:tcPr>
          <w:p w14:paraId="0DCAC28C">
            <w:pPr>
              <w:spacing w:line="240" w:lineRule="exact"/>
              <w:jc w:val="right"/>
              <w:rPr>
                <w:rFonts w:ascii="宋体" w:hAnsi="宋体" w:eastAsia="宋体" w:cs="宋体"/>
                <w:sz w:val="18"/>
                <w:szCs w:val="18"/>
              </w:rPr>
            </w:pPr>
            <w:r>
              <w:rPr>
                <w:rFonts w:ascii="宋体" w:hAnsi="宋体" w:eastAsia="宋体" w:cs="宋体"/>
                <w:sz w:val="18"/>
                <w:szCs w:val="18"/>
              </w:rPr>
              <w:t>23,135,639.42</w:t>
            </w:r>
          </w:p>
        </w:tc>
        <w:tc>
          <w:tcPr>
            <w:tcW w:w="1276" w:type="dxa"/>
            <w:tcBorders>
              <w:top w:val="single" w:color="auto" w:sz="2" w:space="0"/>
              <w:left w:val="single" w:color="auto" w:sz="2" w:space="0"/>
              <w:bottom w:val="single" w:color="auto" w:sz="2" w:space="0"/>
              <w:right w:val="single" w:color="auto" w:sz="2" w:space="0"/>
            </w:tcBorders>
            <w:vAlign w:val="center"/>
          </w:tcPr>
          <w:p w14:paraId="723837F9">
            <w:pPr>
              <w:spacing w:line="240" w:lineRule="exact"/>
              <w:jc w:val="right"/>
              <w:rPr>
                <w:rFonts w:ascii="宋体" w:hAnsi="宋体" w:eastAsia="宋体" w:cs="宋体"/>
                <w:sz w:val="18"/>
                <w:szCs w:val="18"/>
              </w:rPr>
            </w:pPr>
            <w:r>
              <w:rPr>
                <w:rFonts w:ascii="宋体" w:hAnsi="宋体" w:eastAsia="宋体" w:cs="宋体"/>
                <w:sz w:val="18"/>
                <w:szCs w:val="18"/>
              </w:rPr>
              <w:t>0.32%</w:t>
            </w:r>
          </w:p>
        </w:tc>
        <w:tc>
          <w:tcPr>
            <w:tcW w:w="1701" w:type="dxa"/>
            <w:tcBorders>
              <w:top w:val="single" w:color="auto" w:sz="2" w:space="0"/>
              <w:left w:val="single" w:color="auto" w:sz="2" w:space="0"/>
              <w:bottom w:val="single" w:color="auto" w:sz="2" w:space="0"/>
              <w:right w:val="single" w:color="auto" w:sz="2" w:space="0"/>
            </w:tcBorders>
            <w:vAlign w:val="center"/>
          </w:tcPr>
          <w:p w14:paraId="6778117F">
            <w:pPr>
              <w:spacing w:line="240" w:lineRule="exact"/>
              <w:jc w:val="right"/>
              <w:rPr>
                <w:rFonts w:ascii="宋体" w:hAnsi="宋体" w:eastAsia="宋体" w:cs="宋体"/>
                <w:sz w:val="18"/>
                <w:szCs w:val="18"/>
              </w:rPr>
            </w:pPr>
            <w:r>
              <w:rPr>
                <w:rFonts w:ascii="宋体" w:hAnsi="宋体" w:eastAsia="宋体" w:cs="宋体"/>
                <w:sz w:val="18"/>
                <w:szCs w:val="18"/>
              </w:rPr>
              <w:t>85,670,468.17</w:t>
            </w:r>
          </w:p>
        </w:tc>
        <w:tc>
          <w:tcPr>
            <w:tcW w:w="1134" w:type="dxa"/>
            <w:tcBorders>
              <w:top w:val="single" w:color="auto" w:sz="2" w:space="0"/>
              <w:left w:val="single" w:color="auto" w:sz="2" w:space="0"/>
              <w:bottom w:val="single" w:color="auto" w:sz="2" w:space="0"/>
              <w:right w:val="single" w:color="auto" w:sz="2" w:space="0"/>
            </w:tcBorders>
            <w:vAlign w:val="center"/>
          </w:tcPr>
          <w:p w14:paraId="643AA0BE">
            <w:pPr>
              <w:spacing w:line="240" w:lineRule="exact"/>
              <w:jc w:val="right"/>
              <w:rPr>
                <w:rFonts w:ascii="宋体" w:hAnsi="宋体" w:eastAsia="宋体" w:cs="宋体"/>
                <w:sz w:val="18"/>
                <w:szCs w:val="18"/>
              </w:rPr>
            </w:pPr>
            <w:r>
              <w:rPr>
                <w:rFonts w:ascii="宋体" w:hAnsi="宋体" w:eastAsia="宋体" w:cs="宋体"/>
                <w:sz w:val="18"/>
                <w:szCs w:val="18"/>
              </w:rPr>
              <w:t>0.84%</w:t>
            </w:r>
          </w:p>
        </w:tc>
        <w:tc>
          <w:tcPr>
            <w:tcW w:w="992" w:type="dxa"/>
            <w:tcBorders>
              <w:top w:val="single" w:color="auto" w:sz="2" w:space="0"/>
              <w:left w:val="single" w:color="auto" w:sz="2" w:space="0"/>
              <w:bottom w:val="single" w:color="auto" w:sz="2" w:space="0"/>
              <w:right w:val="single" w:color="auto" w:sz="2" w:space="0"/>
            </w:tcBorders>
            <w:vAlign w:val="center"/>
          </w:tcPr>
          <w:p w14:paraId="620AD7BC">
            <w:pPr>
              <w:spacing w:line="240" w:lineRule="exact"/>
              <w:jc w:val="right"/>
              <w:rPr>
                <w:rFonts w:ascii="宋体" w:hAnsi="宋体" w:eastAsia="宋体" w:cs="宋体"/>
                <w:sz w:val="18"/>
                <w:szCs w:val="18"/>
              </w:rPr>
            </w:pPr>
            <w:r>
              <w:rPr>
                <w:rFonts w:ascii="宋体" w:hAnsi="宋体" w:eastAsia="宋体" w:cs="宋体"/>
                <w:sz w:val="18"/>
                <w:szCs w:val="18"/>
              </w:rPr>
              <w:t>-72.99%</w:t>
            </w:r>
          </w:p>
        </w:tc>
      </w:tr>
      <w:tr w14:paraId="1E6B8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A7B55CD">
            <w:pPr>
              <w:spacing w:line="240" w:lineRule="exact"/>
              <w:rPr>
                <w:rFonts w:ascii="宋体" w:hAnsi="宋体" w:eastAsia="宋体" w:cs="宋体"/>
                <w:sz w:val="18"/>
                <w:szCs w:val="18"/>
              </w:rPr>
            </w:pPr>
            <w:r>
              <w:rPr>
                <w:rFonts w:ascii="宋体" w:hAnsi="宋体" w:eastAsia="宋体" w:cs="宋体"/>
                <w:sz w:val="18"/>
                <w:szCs w:val="18"/>
              </w:rPr>
              <w:t>袜业</w:t>
            </w:r>
          </w:p>
        </w:tc>
        <w:tc>
          <w:tcPr>
            <w:tcW w:w="1377" w:type="dxa"/>
            <w:tcBorders>
              <w:top w:val="single" w:color="auto" w:sz="2" w:space="0"/>
              <w:left w:val="single" w:color="auto" w:sz="2" w:space="0"/>
              <w:bottom w:val="single" w:color="auto" w:sz="2" w:space="0"/>
              <w:right w:val="single" w:color="auto" w:sz="2" w:space="0"/>
            </w:tcBorders>
            <w:vAlign w:val="center"/>
          </w:tcPr>
          <w:p w14:paraId="29A2CB78">
            <w:pPr>
              <w:spacing w:line="240" w:lineRule="exact"/>
              <w:rPr>
                <w:rFonts w:ascii="宋体" w:hAnsi="宋体" w:eastAsia="宋体" w:cs="宋体"/>
                <w:sz w:val="18"/>
                <w:szCs w:val="18"/>
              </w:rPr>
            </w:pPr>
            <w:r>
              <w:rPr>
                <w:rFonts w:ascii="宋体" w:hAnsi="宋体" w:eastAsia="宋体" w:cs="宋体"/>
                <w:sz w:val="18"/>
                <w:szCs w:val="18"/>
              </w:rPr>
              <w:t>直接材料</w:t>
            </w:r>
          </w:p>
        </w:tc>
        <w:tc>
          <w:tcPr>
            <w:tcW w:w="1782" w:type="dxa"/>
            <w:tcBorders>
              <w:top w:val="single" w:color="auto" w:sz="2" w:space="0"/>
              <w:left w:val="single" w:color="auto" w:sz="2" w:space="0"/>
              <w:bottom w:val="single" w:color="auto" w:sz="2" w:space="0"/>
              <w:right w:val="single" w:color="auto" w:sz="2" w:space="0"/>
            </w:tcBorders>
            <w:vAlign w:val="center"/>
          </w:tcPr>
          <w:p w14:paraId="508116F1">
            <w:pPr>
              <w:spacing w:line="240" w:lineRule="exact"/>
              <w:jc w:val="right"/>
              <w:rPr>
                <w:rFonts w:ascii="宋体" w:hAnsi="宋体" w:eastAsia="宋体" w:cs="宋体"/>
                <w:sz w:val="18"/>
                <w:szCs w:val="18"/>
              </w:rPr>
            </w:pPr>
            <w:r>
              <w:rPr>
                <w:rFonts w:ascii="宋体" w:hAnsi="宋体" w:eastAsia="宋体" w:cs="宋体"/>
                <w:sz w:val="18"/>
                <w:szCs w:val="18"/>
              </w:rPr>
              <w:t>136,166,056.65</w:t>
            </w:r>
          </w:p>
        </w:tc>
        <w:tc>
          <w:tcPr>
            <w:tcW w:w="1276" w:type="dxa"/>
            <w:tcBorders>
              <w:top w:val="single" w:color="auto" w:sz="2" w:space="0"/>
              <w:left w:val="single" w:color="auto" w:sz="2" w:space="0"/>
              <w:bottom w:val="single" w:color="auto" w:sz="2" w:space="0"/>
              <w:right w:val="single" w:color="auto" w:sz="2" w:space="0"/>
            </w:tcBorders>
            <w:vAlign w:val="center"/>
          </w:tcPr>
          <w:p w14:paraId="34014665">
            <w:pPr>
              <w:spacing w:line="240" w:lineRule="exact"/>
              <w:jc w:val="right"/>
              <w:rPr>
                <w:rFonts w:ascii="宋体" w:hAnsi="宋体" w:eastAsia="宋体" w:cs="宋体"/>
                <w:sz w:val="18"/>
                <w:szCs w:val="18"/>
              </w:rPr>
            </w:pPr>
            <w:r>
              <w:rPr>
                <w:rFonts w:ascii="宋体" w:hAnsi="宋体" w:eastAsia="宋体" w:cs="宋体"/>
                <w:sz w:val="18"/>
                <w:szCs w:val="18"/>
              </w:rPr>
              <w:t>1.86%</w:t>
            </w:r>
          </w:p>
        </w:tc>
        <w:tc>
          <w:tcPr>
            <w:tcW w:w="1701" w:type="dxa"/>
            <w:tcBorders>
              <w:top w:val="single" w:color="auto" w:sz="2" w:space="0"/>
              <w:left w:val="single" w:color="auto" w:sz="2" w:space="0"/>
              <w:bottom w:val="single" w:color="auto" w:sz="2" w:space="0"/>
              <w:right w:val="single" w:color="auto" w:sz="2" w:space="0"/>
            </w:tcBorders>
            <w:vAlign w:val="center"/>
          </w:tcPr>
          <w:p w14:paraId="0DDDD704">
            <w:pPr>
              <w:spacing w:line="240" w:lineRule="exact"/>
              <w:jc w:val="right"/>
              <w:rPr>
                <w:rFonts w:ascii="宋体" w:hAnsi="宋体" w:eastAsia="宋体" w:cs="宋体"/>
                <w:sz w:val="18"/>
                <w:szCs w:val="18"/>
              </w:rPr>
            </w:pPr>
            <w:r>
              <w:rPr>
                <w:rFonts w:ascii="宋体" w:hAnsi="宋体" w:eastAsia="宋体" w:cs="宋体"/>
                <w:sz w:val="18"/>
                <w:szCs w:val="18"/>
              </w:rPr>
              <w:t>109,135,095.43</w:t>
            </w:r>
          </w:p>
        </w:tc>
        <w:tc>
          <w:tcPr>
            <w:tcW w:w="1134" w:type="dxa"/>
            <w:tcBorders>
              <w:top w:val="single" w:color="auto" w:sz="2" w:space="0"/>
              <w:left w:val="single" w:color="auto" w:sz="2" w:space="0"/>
              <w:bottom w:val="single" w:color="auto" w:sz="2" w:space="0"/>
              <w:right w:val="single" w:color="auto" w:sz="2" w:space="0"/>
            </w:tcBorders>
            <w:vAlign w:val="center"/>
          </w:tcPr>
          <w:p w14:paraId="6B3754BD">
            <w:pPr>
              <w:spacing w:line="240" w:lineRule="exact"/>
              <w:jc w:val="right"/>
              <w:rPr>
                <w:rFonts w:ascii="宋体" w:hAnsi="宋体" w:eastAsia="宋体" w:cs="宋体"/>
                <w:sz w:val="18"/>
                <w:szCs w:val="18"/>
              </w:rPr>
            </w:pPr>
            <w:r>
              <w:rPr>
                <w:rFonts w:ascii="宋体" w:hAnsi="宋体" w:eastAsia="宋体" w:cs="宋体"/>
                <w:sz w:val="18"/>
                <w:szCs w:val="18"/>
              </w:rPr>
              <w:t>1.07%</w:t>
            </w:r>
          </w:p>
        </w:tc>
        <w:tc>
          <w:tcPr>
            <w:tcW w:w="992" w:type="dxa"/>
            <w:tcBorders>
              <w:top w:val="single" w:color="auto" w:sz="2" w:space="0"/>
              <w:left w:val="single" w:color="auto" w:sz="2" w:space="0"/>
              <w:bottom w:val="single" w:color="auto" w:sz="2" w:space="0"/>
              <w:right w:val="single" w:color="auto" w:sz="2" w:space="0"/>
            </w:tcBorders>
            <w:vAlign w:val="center"/>
          </w:tcPr>
          <w:p w14:paraId="4F13AE65">
            <w:pPr>
              <w:spacing w:line="240" w:lineRule="exact"/>
              <w:jc w:val="right"/>
              <w:rPr>
                <w:rFonts w:ascii="宋体" w:hAnsi="宋体" w:eastAsia="宋体" w:cs="宋体"/>
                <w:sz w:val="18"/>
                <w:szCs w:val="18"/>
              </w:rPr>
            </w:pPr>
            <w:r>
              <w:rPr>
                <w:rFonts w:ascii="宋体" w:hAnsi="宋体" w:eastAsia="宋体" w:cs="宋体"/>
                <w:sz w:val="18"/>
                <w:szCs w:val="18"/>
              </w:rPr>
              <w:t>24.77%</w:t>
            </w:r>
          </w:p>
        </w:tc>
      </w:tr>
      <w:tr w14:paraId="3DBE2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0A388E3">
            <w:pPr>
              <w:spacing w:line="240" w:lineRule="exact"/>
              <w:rPr>
                <w:rFonts w:ascii="宋体" w:hAnsi="宋体" w:eastAsia="宋体" w:cs="宋体"/>
                <w:sz w:val="18"/>
                <w:szCs w:val="18"/>
              </w:rPr>
            </w:pPr>
            <w:r>
              <w:rPr>
                <w:rFonts w:ascii="宋体" w:hAnsi="宋体" w:eastAsia="宋体" w:cs="宋体"/>
                <w:sz w:val="18"/>
                <w:szCs w:val="18"/>
              </w:rPr>
              <w:t>袜业</w:t>
            </w:r>
          </w:p>
        </w:tc>
        <w:tc>
          <w:tcPr>
            <w:tcW w:w="1377" w:type="dxa"/>
            <w:tcBorders>
              <w:top w:val="single" w:color="auto" w:sz="2" w:space="0"/>
              <w:left w:val="single" w:color="auto" w:sz="2" w:space="0"/>
              <w:bottom w:val="single" w:color="auto" w:sz="2" w:space="0"/>
              <w:right w:val="single" w:color="auto" w:sz="2" w:space="0"/>
            </w:tcBorders>
            <w:vAlign w:val="center"/>
          </w:tcPr>
          <w:p w14:paraId="10438B84">
            <w:pPr>
              <w:spacing w:line="240" w:lineRule="exact"/>
              <w:rPr>
                <w:rFonts w:ascii="宋体" w:hAnsi="宋体" w:eastAsia="宋体" w:cs="宋体"/>
                <w:sz w:val="18"/>
                <w:szCs w:val="18"/>
              </w:rPr>
            </w:pPr>
            <w:r>
              <w:rPr>
                <w:rFonts w:ascii="宋体" w:hAnsi="宋体" w:eastAsia="宋体" w:cs="宋体"/>
                <w:sz w:val="18"/>
                <w:szCs w:val="18"/>
              </w:rPr>
              <w:t>直接人工</w:t>
            </w:r>
          </w:p>
        </w:tc>
        <w:tc>
          <w:tcPr>
            <w:tcW w:w="1782" w:type="dxa"/>
            <w:tcBorders>
              <w:top w:val="single" w:color="auto" w:sz="2" w:space="0"/>
              <w:left w:val="single" w:color="auto" w:sz="2" w:space="0"/>
              <w:bottom w:val="single" w:color="auto" w:sz="2" w:space="0"/>
              <w:right w:val="single" w:color="auto" w:sz="2" w:space="0"/>
            </w:tcBorders>
            <w:vAlign w:val="center"/>
          </w:tcPr>
          <w:p w14:paraId="172026F3">
            <w:pPr>
              <w:spacing w:line="240" w:lineRule="exact"/>
              <w:jc w:val="right"/>
              <w:rPr>
                <w:rFonts w:ascii="宋体" w:hAnsi="宋体" w:eastAsia="宋体" w:cs="宋体"/>
                <w:sz w:val="18"/>
                <w:szCs w:val="18"/>
              </w:rPr>
            </w:pPr>
            <w:r>
              <w:rPr>
                <w:rFonts w:ascii="宋体" w:hAnsi="宋体" w:eastAsia="宋体" w:cs="宋体"/>
                <w:sz w:val="18"/>
                <w:szCs w:val="18"/>
              </w:rPr>
              <w:t>56,171,230.43</w:t>
            </w:r>
          </w:p>
        </w:tc>
        <w:tc>
          <w:tcPr>
            <w:tcW w:w="1276" w:type="dxa"/>
            <w:tcBorders>
              <w:top w:val="single" w:color="auto" w:sz="2" w:space="0"/>
              <w:left w:val="single" w:color="auto" w:sz="2" w:space="0"/>
              <w:bottom w:val="single" w:color="auto" w:sz="2" w:space="0"/>
              <w:right w:val="single" w:color="auto" w:sz="2" w:space="0"/>
            </w:tcBorders>
            <w:vAlign w:val="center"/>
          </w:tcPr>
          <w:p w14:paraId="59C184B0">
            <w:pPr>
              <w:spacing w:line="240" w:lineRule="exact"/>
              <w:jc w:val="right"/>
              <w:rPr>
                <w:rFonts w:ascii="宋体" w:hAnsi="宋体" w:eastAsia="宋体" w:cs="宋体"/>
                <w:sz w:val="18"/>
                <w:szCs w:val="18"/>
              </w:rPr>
            </w:pPr>
            <w:r>
              <w:rPr>
                <w:rFonts w:ascii="宋体" w:hAnsi="宋体" w:eastAsia="宋体" w:cs="宋体"/>
                <w:sz w:val="18"/>
                <w:szCs w:val="18"/>
              </w:rPr>
              <w:t>0.77%</w:t>
            </w:r>
          </w:p>
        </w:tc>
        <w:tc>
          <w:tcPr>
            <w:tcW w:w="1701" w:type="dxa"/>
            <w:tcBorders>
              <w:top w:val="single" w:color="auto" w:sz="2" w:space="0"/>
              <w:left w:val="single" w:color="auto" w:sz="2" w:space="0"/>
              <w:bottom w:val="single" w:color="auto" w:sz="2" w:space="0"/>
              <w:right w:val="single" w:color="auto" w:sz="2" w:space="0"/>
            </w:tcBorders>
            <w:vAlign w:val="center"/>
          </w:tcPr>
          <w:p w14:paraId="7C308D26">
            <w:pPr>
              <w:spacing w:line="240" w:lineRule="exact"/>
              <w:jc w:val="right"/>
              <w:rPr>
                <w:rFonts w:ascii="宋体" w:hAnsi="宋体" w:eastAsia="宋体" w:cs="宋体"/>
                <w:sz w:val="18"/>
                <w:szCs w:val="18"/>
              </w:rPr>
            </w:pPr>
            <w:r>
              <w:rPr>
                <w:rFonts w:ascii="宋体" w:hAnsi="宋体" w:eastAsia="宋体" w:cs="宋体"/>
                <w:sz w:val="18"/>
                <w:szCs w:val="18"/>
              </w:rPr>
              <w:t>40,925,660.79</w:t>
            </w:r>
          </w:p>
        </w:tc>
        <w:tc>
          <w:tcPr>
            <w:tcW w:w="1134" w:type="dxa"/>
            <w:tcBorders>
              <w:top w:val="single" w:color="auto" w:sz="2" w:space="0"/>
              <w:left w:val="single" w:color="auto" w:sz="2" w:space="0"/>
              <w:bottom w:val="single" w:color="auto" w:sz="2" w:space="0"/>
              <w:right w:val="single" w:color="auto" w:sz="2" w:space="0"/>
            </w:tcBorders>
            <w:vAlign w:val="center"/>
          </w:tcPr>
          <w:p w14:paraId="22FD7D6F">
            <w:pPr>
              <w:spacing w:line="240" w:lineRule="exact"/>
              <w:jc w:val="right"/>
              <w:rPr>
                <w:rFonts w:ascii="宋体" w:hAnsi="宋体" w:eastAsia="宋体" w:cs="宋体"/>
                <w:sz w:val="18"/>
                <w:szCs w:val="18"/>
              </w:rPr>
            </w:pPr>
            <w:r>
              <w:rPr>
                <w:rFonts w:ascii="宋体" w:hAnsi="宋体" w:eastAsia="宋体" w:cs="宋体"/>
                <w:sz w:val="18"/>
                <w:szCs w:val="18"/>
              </w:rPr>
              <w:t>0.40%</w:t>
            </w:r>
          </w:p>
        </w:tc>
        <w:tc>
          <w:tcPr>
            <w:tcW w:w="992" w:type="dxa"/>
            <w:tcBorders>
              <w:top w:val="single" w:color="auto" w:sz="2" w:space="0"/>
              <w:left w:val="single" w:color="auto" w:sz="2" w:space="0"/>
              <w:bottom w:val="single" w:color="auto" w:sz="2" w:space="0"/>
              <w:right w:val="single" w:color="auto" w:sz="2" w:space="0"/>
            </w:tcBorders>
            <w:vAlign w:val="center"/>
          </w:tcPr>
          <w:p w14:paraId="5368A613">
            <w:pPr>
              <w:spacing w:line="240" w:lineRule="exact"/>
              <w:jc w:val="right"/>
              <w:rPr>
                <w:rFonts w:ascii="宋体" w:hAnsi="宋体" w:eastAsia="宋体" w:cs="宋体"/>
                <w:sz w:val="18"/>
                <w:szCs w:val="18"/>
              </w:rPr>
            </w:pPr>
            <w:r>
              <w:rPr>
                <w:rFonts w:ascii="宋体" w:hAnsi="宋体" w:eastAsia="宋体" w:cs="宋体"/>
                <w:sz w:val="18"/>
                <w:szCs w:val="18"/>
              </w:rPr>
              <w:t>37.25%</w:t>
            </w:r>
          </w:p>
        </w:tc>
      </w:tr>
      <w:tr w14:paraId="0781C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D6CCF50">
            <w:pPr>
              <w:spacing w:line="240" w:lineRule="exact"/>
              <w:rPr>
                <w:rFonts w:ascii="宋体" w:hAnsi="宋体" w:eastAsia="宋体" w:cs="宋体"/>
                <w:sz w:val="18"/>
                <w:szCs w:val="18"/>
              </w:rPr>
            </w:pPr>
            <w:r>
              <w:rPr>
                <w:rFonts w:ascii="宋体" w:hAnsi="宋体" w:eastAsia="宋体" w:cs="宋体"/>
                <w:sz w:val="18"/>
                <w:szCs w:val="18"/>
              </w:rPr>
              <w:t>袜业</w:t>
            </w:r>
          </w:p>
        </w:tc>
        <w:tc>
          <w:tcPr>
            <w:tcW w:w="1377" w:type="dxa"/>
            <w:tcBorders>
              <w:top w:val="single" w:color="auto" w:sz="2" w:space="0"/>
              <w:left w:val="single" w:color="auto" w:sz="2" w:space="0"/>
              <w:bottom w:val="single" w:color="auto" w:sz="2" w:space="0"/>
              <w:right w:val="single" w:color="auto" w:sz="2" w:space="0"/>
            </w:tcBorders>
            <w:vAlign w:val="center"/>
          </w:tcPr>
          <w:p w14:paraId="7647A6A8">
            <w:pPr>
              <w:spacing w:line="240" w:lineRule="exact"/>
              <w:rPr>
                <w:rFonts w:ascii="宋体" w:hAnsi="宋体" w:eastAsia="宋体" w:cs="宋体"/>
                <w:sz w:val="18"/>
                <w:szCs w:val="18"/>
              </w:rPr>
            </w:pPr>
            <w:r>
              <w:rPr>
                <w:rFonts w:ascii="宋体" w:hAnsi="宋体" w:eastAsia="宋体" w:cs="宋体"/>
                <w:sz w:val="18"/>
                <w:szCs w:val="18"/>
              </w:rPr>
              <w:t>折旧</w:t>
            </w:r>
          </w:p>
        </w:tc>
        <w:tc>
          <w:tcPr>
            <w:tcW w:w="1782" w:type="dxa"/>
            <w:tcBorders>
              <w:top w:val="single" w:color="auto" w:sz="2" w:space="0"/>
              <w:left w:val="single" w:color="auto" w:sz="2" w:space="0"/>
              <w:bottom w:val="single" w:color="auto" w:sz="2" w:space="0"/>
              <w:right w:val="single" w:color="auto" w:sz="2" w:space="0"/>
            </w:tcBorders>
            <w:vAlign w:val="center"/>
          </w:tcPr>
          <w:p w14:paraId="0ED17291">
            <w:pPr>
              <w:spacing w:line="240" w:lineRule="exact"/>
              <w:jc w:val="right"/>
              <w:rPr>
                <w:rFonts w:ascii="宋体" w:hAnsi="宋体" w:eastAsia="宋体" w:cs="宋体"/>
                <w:sz w:val="18"/>
                <w:szCs w:val="18"/>
              </w:rPr>
            </w:pPr>
            <w:r>
              <w:rPr>
                <w:rFonts w:ascii="宋体" w:hAnsi="宋体" w:eastAsia="宋体" w:cs="宋体"/>
                <w:sz w:val="18"/>
                <w:szCs w:val="18"/>
              </w:rPr>
              <w:t>4,371,301.98</w:t>
            </w:r>
          </w:p>
        </w:tc>
        <w:tc>
          <w:tcPr>
            <w:tcW w:w="1276" w:type="dxa"/>
            <w:tcBorders>
              <w:top w:val="single" w:color="auto" w:sz="2" w:space="0"/>
              <w:left w:val="single" w:color="auto" w:sz="2" w:space="0"/>
              <w:bottom w:val="single" w:color="auto" w:sz="2" w:space="0"/>
              <w:right w:val="single" w:color="auto" w:sz="2" w:space="0"/>
            </w:tcBorders>
            <w:vAlign w:val="center"/>
          </w:tcPr>
          <w:p w14:paraId="00BAC824">
            <w:pPr>
              <w:spacing w:line="240" w:lineRule="exact"/>
              <w:jc w:val="right"/>
              <w:rPr>
                <w:rFonts w:ascii="宋体" w:hAnsi="宋体" w:eastAsia="宋体" w:cs="宋体"/>
                <w:sz w:val="18"/>
                <w:szCs w:val="18"/>
              </w:rPr>
            </w:pPr>
            <w:r>
              <w:rPr>
                <w:rFonts w:ascii="宋体" w:hAnsi="宋体" w:eastAsia="宋体" w:cs="宋体"/>
                <w:sz w:val="18"/>
                <w:szCs w:val="18"/>
              </w:rPr>
              <w:t>0.06%</w:t>
            </w:r>
          </w:p>
        </w:tc>
        <w:tc>
          <w:tcPr>
            <w:tcW w:w="1701" w:type="dxa"/>
            <w:tcBorders>
              <w:top w:val="single" w:color="auto" w:sz="2" w:space="0"/>
              <w:left w:val="single" w:color="auto" w:sz="2" w:space="0"/>
              <w:bottom w:val="single" w:color="auto" w:sz="2" w:space="0"/>
              <w:right w:val="single" w:color="auto" w:sz="2" w:space="0"/>
            </w:tcBorders>
            <w:vAlign w:val="center"/>
          </w:tcPr>
          <w:p w14:paraId="41ADA6FE">
            <w:pPr>
              <w:spacing w:line="240" w:lineRule="exact"/>
              <w:jc w:val="right"/>
              <w:rPr>
                <w:rFonts w:ascii="宋体" w:hAnsi="宋体" w:eastAsia="宋体" w:cs="宋体"/>
                <w:sz w:val="18"/>
                <w:szCs w:val="18"/>
              </w:rPr>
            </w:pPr>
            <w:r>
              <w:rPr>
                <w:rFonts w:ascii="宋体" w:hAnsi="宋体" w:eastAsia="宋体" w:cs="宋体"/>
                <w:sz w:val="18"/>
                <w:szCs w:val="18"/>
              </w:rPr>
              <w:t>3,410,471.73</w:t>
            </w:r>
          </w:p>
        </w:tc>
        <w:tc>
          <w:tcPr>
            <w:tcW w:w="1134" w:type="dxa"/>
            <w:tcBorders>
              <w:top w:val="single" w:color="auto" w:sz="2" w:space="0"/>
              <w:left w:val="single" w:color="auto" w:sz="2" w:space="0"/>
              <w:bottom w:val="single" w:color="auto" w:sz="2" w:space="0"/>
              <w:right w:val="single" w:color="auto" w:sz="2" w:space="0"/>
            </w:tcBorders>
            <w:vAlign w:val="center"/>
          </w:tcPr>
          <w:p w14:paraId="1464EAC0">
            <w:pPr>
              <w:spacing w:line="240" w:lineRule="exact"/>
              <w:jc w:val="right"/>
              <w:rPr>
                <w:rFonts w:ascii="宋体" w:hAnsi="宋体" w:eastAsia="宋体" w:cs="宋体"/>
                <w:sz w:val="18"/>
                <w:szCs w:val="18"/>
              </w:rPr>
            </w:pPr>
            <w:r>
              <w:rPr>
                <w:rFonts w:ascii="宋体" w:hAnsi="宋体" w:eastAsia="宋体" w:cs="宋体"/>
                <w:sz w:val="18"/>
                <w:szCs w:val="18"/>
              </w:rPr>
              <w:t>0.03%</w:t>
            </w:r>
          </w:p>
        </w:tc>
        <w:tc>
          <w:tcPr>
            <w:tcW w:w="992" w:type="dxa"/>
            <w:tcBorders>
              <w:top w:val="single" w:color="auto" w:sz="2" w:space="0"/>
              <w:left w:val="single" w:color="auto" w:sz="2" w:space="0"/>
              <w:bottom w:val="single" w:color="auto" w:sz="2" w:space="0"/>
              <w:right w:val="single" w:color="auto" w:sz="2" w:space="0"/>
            </w:tcBorders>
            <w:vAlign w:val="center"/>
          </w:tcPr>
          <w:p w14:paraId="647E6C22">
            <w:pPr>
              <w:spacing w:line="240" w:lineRule="exact"/>
              <w:jc w:val="right"/>
              <w:rPr>
                <w:rFonts w:ascii="宋体" w:hAnsi="宋体" w:eastAsia="宋体" w:cs="宋体"/>
                <w:sz w:val="18"/>
                <w:szCs w:val="18"/>
              </w:rPr>
            </w:pPr>
            <w:r>
              <w:rPr>
                <w:rFonts w:ascii="宋体" w:hAnsi="宋体" w:eastAsia="宋体" w:cs="宋体"/>
                <w:sz w:val="18"/>
                <w:szCs w:val="18"/>
              </w:rPr>
              <w:t>28.17%</w:t>
            </w:r>
          </w:p>
        </w:tc>
      </w:tr>
      <w:tr w14:paraId="2A755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98EAA42">
            <w:pPr>
              <w:spacing w:line="240" w:lineRule="exact"/>
              <w:rPr>
                <w:rFonts w:ascii="宋体" w:hAnsi="宋体" w:eastAsia="宋体" w:cs="宋体"/>
                <w:sz w:val="18"/>
                <w:szCs w:val="18"/>
              </w:rPr>
            </w:pPr>
            <w:r>
              <w:rPr>
                <w:rFonts w:ascii="宋体" w:hAnsi="宋体" w:eastAsia="宋体" w:cs="宋体"/>
                <w:sz w:val="18"/>
                <w:szCs w:val="18"/>
              </w:rPr>
              <w:t>袜业</w:t>
            </w:r>
          </w:p>
        </w:tc>
        <w:tc>
          <w:tcPr>
            <w:tcW w:w="1377" w:type="dxa"/>
            <w:tcBorders>
              <w:top w:val="single" w:color="auto" w:sz="2" w:space="0"/>
              <w:left w:val="single" w:color="auto" w:sz="2" w:space="0"/>
              <w:bottom w:val="single" w:color="auto" w:sz="2" w:space="0"/>
              <w:right w:val="single" w:color="auto" w:sz="2" w:space="0"/>
            </w:tcBorders>
            <w:vAlign w:val="center"/>
          </w:tcPr>
          <w:p w14:paraId="717B9BA9">
            <w:pPr>
              <w:spacing w:line="240" w:lineRule="exact"/>
              <w:rPr>
                <w:rFonts w:ascii="宋体" w:hAnsi="宋体" w:eastAsia="宋体" w:cs="宋体"/>
                <w:sz w:val="18"/>
                <w:szCs w:val="18"/>
              </w:rPr>
            </w:pPr>
            <w:r>
              <w:rPr>
                <w:rFonts w:ascii="宋体" w:hAnsi="宋体" w:eastAsia="宋体" w:cs="宋体"/>
                <w:sz w:val="18"/>
                <w:szCs w:val="18"/>
              </w:rPr>
              <w:t>能源和动力</w:t>
            </w:r>
          </w:p>
        </w:tc>
        <w:tc>
          <w:tcPr>
            <w:tcW w:w="1782" w:type="dxa"/>
            <w:tcBorders>
              <w:top w:val="single" w:color="auto" w:sz="2" w:space="0"/>
              <w:left w:val="single" w:color="auto" w:sz="2" w:space="0"/>
              <w:bottom w:val="single" w:color="auto" w:sz="2" w:space="0"/>
              <w:right w:val="single" w:color="auto" w:sz="2" w:space="0"/>
            </w:tcBorders>
            <w:vAlign w:val="center"/>
          </w:tcPr>
          <w:p w14:paraId="01829B86">
            <w:pPr>
              <w:spacing w:line="240" w:lineRule="exact"/>
              <w:jc w:val="right"/>
              <w:rPr>
                <w:rFonts w:ascii="宋体" w:hAnsi="宋体" w:eastAsia="宋体" w:cs="宋体"/>
                <w:sz w:val="18"/>
                <w:szCs w:val="18"/>
              </w:rPr>
            </w:pPr>
            <w:r>
              <w:rPr>
                <w:rFonts w:ascii="宋体" w:hAnsi="宋体" w:eastAsia="宋体" w:cs="宋体"/>
                <w:sz w:val="18"/>
                <w:szCs w:val="18"/>
              </w:rPr>
              <w:t>6,556,952.97</w:t>
            </w:r>
          </w:p>
        </w:tc>
        <w:tc>
          <w:tcPr>
            <w:tcW w:w="1276" w:type="dxa"/>
            <w:tcBorders>
              <w:top w:val="single" w:color="auto" w:sz="2" w:space="0"/>
              <w:left w:val="single" w:color="auto" w:sz="2" w:space="0"/>
              <w:bottom w:val="single" w:color="auto" w:sz="2" w:space="0"/>
              <w:right w:val="single" w:color="auto" w:sz="2" w:space="0"/>
            </w:tcBorders>
            <w:vAlign w:val="center"/>
          </w:tcPr>
          <w:p w14:paraId="6A7F7A00">
            <w:pPr>
              <w:spacing w:line="240" w:lineRule="exact"/>
              <w:jc w:val="right"/>
              <w:rPr>
                <w:rFonts w:ascii="宋体" w:hAnsi="宋体" w:eastAsia="宋体" w:cs="宋体"/>
                <w:sz w:val="18"/>
                <w:szCs w:val="18"/>
              </w:rPr>
            </w:pPr>
            <w:r>
              <w:rPr>
                <w:rFonts w:ascii="宋体" w:hAnsi="宋体" w:eastAsia="宋体" w:cs="宋体"/>
                <w:sz w:val="18"/>
                <w:szCs w:val="18"/>
              </w:rPr>
              <w:t>0.09%</w:t>
            </w:r>
          </w:p>
        </w:tc>
        <w:tc>
          <w:tcPr>
            <w:tcW w:w="1701" w:type="dxa"/>
            <w:tcBorders>
              <w:top w:val="single" w:color="auto" w:sz="2" w:space="0"/>
              <w:left w:val="single" w:color="auto" w:sz="2" w:space="0"/>
              <w:bottom w:val="single" w:color="auto" w:sz="2" w:space="0"/>
              <w:right w:val="single" w:color="auto" w:sz="2" w:space="0"/>
            </w:tcBorders>
            <w:vAlign w:val="center"/>
          </w:tcPr>
          <w:p w14:paraId="302FA693">
            <w:pPr>
              <w:spacing w:line="240" w:lineRule="exact"/>
              <w:jc w:val="right"/>
              <w:rPr>
                <w:rFonts w:ascii="宋体" w:hAnsi="宋体" w:eastAsia="宋体" w:cs="宋体"/>
                <w:sz w:val="18"/>
                <w:szCs w:val="18"/>
              </w:rPr>
            </w:pPr>
            <w:r>
              <w:rPr>
                <w:rFonts w:ascii="宋体" w:hAnsi="宋体" w:eastAsia="宋体" w:cs="宋体"/>
                <w:sz w:val="18"/>
                <w:szCs w:val="18"/>
              </w:rPr>
              <w:t>5,115,707.60</w:t>
            </w:r>
          </w:p>
        </w:tc>
        <w:tc>
          <w:tcPr>
            <w:tcW w:w="1134" w:type="dxa"/>
            <w:tcBorders>
              <w:top w:val="single" w:color="auto" w:sz="2" w:space="0"/>
              <w:left w:val="single" w:color="auto" w:sz="2" w:space="0"/>
              <w:bottom w:val="single" w:color="auto" w:sz="2" w:space="0"/>
              <w:right w:val="single" w:color="auto" w:sz="2" w:space="0"/>
            </w:tcBorders>
            <w:vAlign w:val="center"/>
          </w:tcPr>
          <w:p w14:paraId="396BF3F5">
            <w:pPr>
              <w:spacing w:line="240" w:lineRule="exact"/>
              <w:jc w:val="right"/>
              <w:rPr>
                <w:rFonts w:ascii="宋体" w:hAnsi="宋体" w:eastAsia="宋体" w:cs="宋体"/>
                <w:sz w:val="18"/>
                <w:szCs w:val="18"/>
              </w:rPr>
            </w:pPr>
            <w:r>
              <w:rPr>
                <w:rFonts w:ascii="宋体" w:hAnsi="宋体" w:eastAsia="宋体" w:cs="宋体"/>
                <w:sz w:val="18"/>
                <w:szCs w:val="18"/>
              </w:rPr>
              <w:t>0.05%</w:t>
            </w:r>
          </w:p>
        </w:tc>
        <w:tc>
          <w:tcPr>
            <w:tcW w:w="992" w:type="dxa"/>
            <w:tcBorders>
              <w:top w:val="single" w:color="auto" w:sz="2" w:space="0"/>
              <w:left w:val="single" w:color="auto" w:sz="2" w:space="0"/>
              <w:bottom w:val="single" w:color="auto" w:sz="2" w:space="0"/>
              <w:right w:val="single" w:color="auto" w:sz="2" w:space="0"/>
            </w:tcBorders>
            <w:vAlign w:val="center"/>
          </w:tcPr>
          <w:p w14:paraId="3473021C">
            <w:pPr>
              <w:spacing w:line="240" w:lineRule="exact"/>
              <w:jc w:val="right"/>
              <w:rPr>
                <w:rFonts w:ascii="宋体" w:hAnsi="宋体" w:eastAsia="宋体" w:cs="宋体"/>
                <w:sz w:val="18"/>
                <w:szCs w:val="18"/>
              </w:rPr>
            </w:pPr>
            <w:r>
              <w:rPr>
                <w:rFonts w:ascii="宋体" w:hAnsi="宋体" w:eastAsia="宋体" w:cs="宋体"/>
                <w:sz w:val="18"/>
                <w:szCs w:val="18"/>
              </w:rPr>
              <w:t>28.17%</w:t>
            </w:r>
          </w:p>
        </w:tc>
      </w:tr>
      <w:tr w14:paraId="01FD3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C20A1EB">
            <w:pPr>
              <w:spacing w:line="240" w:lineRule="exact"/>
              <w:rPr>
                <w:rFonts w:ascii="宋体" w:hAnsi="宋体" w:eastAsia="宋体" w:cs="宋体"/>
                <w:sz w:val="18"/>
                <w:szCs w:val="18"/>
              </w:rPr>
            </w:pPr>
            <w:r>
              <w:rPr>
                <w:rFonts w:ascii="宋体" w:hAnsi="宋体" w:eastAsia="宋体" w:cs="宋体"/>
                <w:sz w:val="18"/>
                <w:szCs w:val="18"/>
              </w:rPr>
              <w:t>袜业</w:t>
            </w:r>
          </w:p>
        </w:tc>
        <w:tc>
          <w:tcPr>
            <w:tcW w:w="1377" w:type="dxa"/>
            <w:tcBorders>
              <w:top w:val="single" w:color="auto" w:sz="2" w:space="0"/>
              <w:left w:val="single" w:color="auto" w:sz="2" w:space="0"/>
              <w:bottom w:val="single" w:color="auto" w:sz="2" w:space="0"/>
              <w:right w:val="single" w:color="auto" w:sz="2" w:space="0"/>
            </w:tcBorders>
            <w:vAlign w:val="center"/>
          </w:tcPr>
          <w:p w14:paraId="3E918434">
            <w:pPr>
              <w:spacing w:line="240" w:lineRule="exact"/>
              <w:rPr>
                <w:rFonts w:ascii="宋体" w:hAnsi="宋体" w:eastAsia="宋体" w:cs="宋体"/>
                <w:sz w:val="18"/>
                <w:szCs w:val="18"/>
              </w:rPr>
            </w:pPr>
            <w:r>
              <w:rPr>
                <w:rFonts w:ascii="宋体" w:hAnsi="宋体" w:eastAsia="宋体" w:cs="宋体"/>
                <w:sz w:val="18"/>
                <w:szCs w:val="18"/>
              </w:rPr>
              <w:t>销售运费及佣金</w:t>
            </w:r>
          </w:p>
        </w:tc>
        <w:tc>
          <w:tcPr>
            <w:tcW w:w="1782" w:type="dxa"/>
            <w:tcBorders>
              <w:top w:val="single" w:color="auto" w:sz="2" w:space="0"/>
              <w:left w:val="single" w:color="auto" w:sz="2" w:space="0"/>
              <w:bottom w:val="single" w:color="auto" w:sz="2" w:space="0"/>
              <w:right w:val="single" w:color="auto" w:sz="2" w:space="0"/>
            </w:tcBorders>
            <w:vAlign w:val="center"/>
          </w:tcPr>
          <w:p w14:paraId="3A08DC99">
            <w:pPr>
              <w:spacing w:line="240" w:lineRule="exact"/>
              <w:jc w:val="right"/>
              <w:rPr>
                <w:rFonts w:ascii="宋体" w:hAnsi="宋体" w:eastAsia="宋体" w:cs="宋体"/>
                <w:sz w:val="18"/>
                <w:szCs w:val="18"/>
              </w:rPr>
            </w:pPr>
            <w:r>
              <w:rPr>
                <w:rFonts w:ascii="宋体" w:hAnsi="宋体" w:eastAsia="宋体" w:cs="宋体"/>
                <w:sz w:val="18"/>
                <w:szCs w:val="18"/>
              </w:rPr>
              <w:t>12,021,080.44</w:t>
            </w:r>
          </w:p>
        </w:tc>
        <w:tc>
          <w:tcPr>
            <w:tcW w:w="1276" w:type="dxa"/>
            <w:tcBorders>
              <w:top w:val="single" w:color="auto" w:sz="2" w:space="0"/>
              <w:left w:val="single" w:color="auto" w:sz="2" w:space="0"/>
              <w:bottom w:val="single" w:color="auto" w:sz="2" w:space="0"/>
              <w:right w:val="single" w:color="auto" w:sz="2" w:space="0"/>
            </w:tcBorders>
            <w:vAlign w:val="center"/>
          </w:tcPr>
          <w:p w14:paraId="566AA264">
            <w:pPr>
              <w:spacing w:line="240" w:lineRule="exact"/>
              <w:jc w:val="right"/>
              <w:rPr>
                <w:rFonts w:ascii="宋体" w:hAnsi="宋体" w:eastAsia="宋体" w:cs="宋体"/>
                <w:sz w:val="18"/>
                <w:szCs w:val="18"/>
              </w:rPr>
            </w:pPr>
            <w:r>
              <w:rPr>
                <w:rFonts w:ascii="宋体" w:hAnsi="宋体" w:eastAsia="宋体" w:cs="宋体"/>
                <w:sz w:val="18"/>
                <w:szCs w:val="18"/>
              </w:rPr>
              <w:t>0.16%</w:t>
            </w:r>
          </w:p>
        </w:tc>
        <w:tc>
          <w:tcPr>
            <w:tcW w:w="1701" w:type="dxa"/>
            <w:tcBorders>
              <w:top w:val="single" w:color="auto" w:sz="2" w:space="0"/>
              <w:left w:val="single" w:color="auto" w:sz="2" w:space="0"/>
              <w:bottom w:val="single" w:color="auto" w:sz="2" w:space="0"/>
              <w:right w:val="single" w:color="auto" w:sz="2" w:space="0"/>
            </w:tcBorders>
            <w:vAlign w:val="center"/>
          </w:tcPr>
          <w:p w14:paraId="799AB69C">
            <w:pPr>
              <w:spacing w:line="240" w:lineRule="exact"/>
              <w:jc w:val="right"/>
              <w:rPr>
                <w:rFonts w:ascii="宋体" w:hAnsi="宋体" w:eastAsia="宋体" w:cs="宋体"/>
                <w:sz w:val="18"/>
                <w:szCs w:val="18"/>
              </w:rPr>
            </w:pPr>
            <w:r>
              <w:rPr>
                <w:rFonts w:ascii="宋体" w:hAnsi="宋体" w:eastAsia="宋体" w:cs="宋体"/>
                <w:sz w:val="18"/>
                <w:szCs w:val="18"/>
              </w:rPr>
              <w:t>10,231,415.20</w:t>
            </w:r>
          </w:p>
        </w:tc>
        <w:tc>
          <w:tcPr>
            <w:tcW w:w="1134" w:type="dxa"/>
            <w:tcBorders>
              <w:top w:val="single" w:color="auto" w:sz="2" w:space="0"/>
              <w:left w:val="single" w:color="auto" w:sz="2" w:space="0"/>
              <w:bottom w:val="single" w:color="auto" w:sz="2" w:space="0"/>
              <w:right w:val="single" w:color="auto" w:sz="2" w:space="0"/>
            </w:tcBorders>
            <w:vAlign w:val="center"/>
          </w:tcPr>
          <w:p w14:paraId="24F53A38">
            <w:pPr>
              <w:spacing w:line="240" w:lineRule="exact"/>
              <w:jc w:val="right"/>
              <w:rPr>
                <w:rFonts w:ascii="宋体" w:hAnsi="宋体" w:eastAsia="宋体" w:cs="宋体"/>
                <w:sz w:val="18"/>
                <w:szCs w:val="18"/>
              </w:rPr>
            </w:pPr>
            <w:r>
              <w:rPr>
                <w:rFonts w:ascii="宋体" w:hAnsi="宋体" w:eastAsia="宋体" w:cs="宋体"/>
                <w:sz w:val="18"/>
                <w:szCs w:val="18"/>
              </w:rPr>
              <w:t>0.10%</w:t>
            </w:r>
          </w:p>
        </w:tc>
        <w:tc>
          <w:tcPr>
            <w:tcW w:w="992" w:type="dxa"/>
            <w:tcBorders>
              <w:top w:val="single" w:color="auto" w:sz="2" w:space="0"/>
              <w:left w:val="single" w:color="auto" w:sz="2" w:space="0"/>
              <w:bottom w:val="single" w:color="auto" w:sz="2" w:space="0"/>
              <w:right w:val="single" w:color="auto" w:sz="2" w:space="0"/>
            </w:tcBorders>
            <w:vAlign w:val="center"/>
          </w:tcPr>
          <w:p w14:paraId="5E31AF11">
            <w:pPr>
              <w:spacing w:line="240" w:lineRule="exact"/>
              <w:jc w:val="right"/>
              <w:rPr>
                <w:rFonts w:ascii="宋体" w:hAnsi="宋体" w:eastAsia="宋体" w:cs="宋体"/>
                <w:sz w:val="18"/>
                <w:szCs w:val="18"/>
              </w:rPr>
            </w:pPr>
            <w:r>
              <w:rPr>
                <w:rFonts w:ascii="宋体" w:hAnsi="宋体" w:eastAsia="宋体" w:cs="宋体"/>
                <w:sz w:val="18"/>
                <w:szCs w:val="18"/>
              </w:rPr>
              <w:t>17.49%</w:t>
            </w:r>
          </w:p>
        </w:tc>
      </w:tr>
      <w:tr w14:paraId="655F0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BF8F986">
            <w:pPr>
              <w:spacing w:line="240" w:lineRule="exact"/>
              <w:rPr>
                <w:rFonts w:ascii="宋体" w:hAnsi="宋体" w:eastAsia="宋体" w:cs="宋体"/>
                <w:sz w:val="18"/>
                <w:szCs w:val="18"/>
              </w:rPr>
            </w:pPr>
            <w:r>
              <w:rPr>
                <w:rFonts w:ascii="宋体" w:hAnsi="宋体" w:eastAsia="宋体" w:cs="宋体"/>
                <w:sz w:val="18"/>
                <w:szCs w:val="18"/>
              </w:rPr>
              <w:t>袜业</w:t>
            </w:r>
          </w:p>
        </w:tc>
        <w:tc>
          <w:tcPr>
            <w:tcW w:w="1377" w:type="dxa"/>
            <w:tcBorders>
              <w:top w:val="single" w:color="auto" w:sz="2" w:space="0"/>
              <w:left w:val="single" w:color="auto" w:sz="2" w:space="0"/>
              <w:bottom w:val="single" w:color="auto" w:sz="2" w:space="0"/>
              <w:right w:val="single" w:color="auto" w:sz="2" w:space="0"/>
            </w:tcBorders>
            <w:vAlign w:val="center"/>
          </w:tcPr>
          <w:p w14:paraId="245527A6">
            <w:pPr>
              <w:spacing w:line="240" w:lineRule="exact"/>
              <w:rPr>
                <w:rFonts w:ascii="宋体" w:hAnsi="宋体" w:eastAsia="宋体" w:cs="宋体"/>
                <w:sz w:val="18"/>
                <w:szCs w:val="18"/>
              </w:rPr>
            </w:pPr>
            <w:r>
              <w:rPr>
                <w:rFonts w:ascii="宋体" w:hAnsi="宋体" w:eastAsia="宋体" w:cs="宋体"/>
                <w:sz w:val="18"/>
                <w:szCs w:val="18"/>
              </w:rPr>
              <w:t>其他</w:t>
            </w:r>
          </w:p>
        </w:tc>
        <w:tc>
          <w:tcPr>
            <w:tcW w:w="1782" w:type="dxa"/>
            <w:tcBorders>
              <w:top w:val="single" w:color="auto" w:sz="2" w:space="0"/>
              <w:left w:val="single" w:color="auto" w:sz="2" w:space="0"/>
              <w:bottom w:val="single" w:color="auto" w:sz="2" w:space="0"/>
              <w:right w:val="single" w:color="auto" w:sz="2" w:space="0"/>
            </w:tcBorders>
            <w:vAlign w:val="center"/>
          </w:tcPr>
          <w:p w14:paraId="0F3C3E62">
            <w:pPr>
              <w:spacing w:line="240" w:lineRule="exact"/>
              <w:jc w:val="right"/>
              <w:rPr>
                <w:rFonts w:ascii="宋体" w:hAnsi="宋体" w:eastAsia="宋体" w:cs="宋体"/>
                <w:sz w:val="18"/>
                <w:szCs w:val="18"/>
              </w:rPr>
            </w:pPr>
            <w:r>
              <w:rPr>
                <w:rFonts w:ascii="宋体" w:hAnsi="宋体" w:eastAsia="宋体" w:cs="宋体"/>
                <w:sz w:val="18"/>
                <w:szCs w:val="18"/>
              </w:rPr>
              <w:t>3,278,476.48</w:t>
            </w:r>
          </w:p>
        </w:tc>
        <w:tc>
          <w:tcPr>
            <w:tcW w:w="1276" w:type="dxa"/>
            <w:tcBorders>
              <w:top w:val="single" w:color="auto" w:sz="2" w:space="0"/>
              <w:left w:val="single" w:color="auto" w:sz="2" w:space="0"/>
              <w:bottom w:val="single" w:color="auto" w:sz="2" w:space="0"/>
              <w:right w:val="single" w:color="auto" w:sz="2" w:space="0"/>
            </w:tcBorders>
            <w:vAlign w:val="center"/>
          </w:tcPr>
          <w:p w14:paraId="2ABFE47A">
            <w:pPr>
              <w:spacing w:line="240" w:lineRule="exact"/>
              <w:jc w:val="right"/>
              <w:rPr>
                <w:rFonts w:ascii="宋体" w:hAnsi="宋体" w:eastAsia="宋体" w:cs="宋体"/>
                <w:sz w:val="18"/>
                <w:szCs w:val="18"/>
              </w:rPr>
            </w:pPr>
            <w:r>
              <w:rPr>
                <w:rFonts w:ascii="宋体" w:hAnsi="宋体" w:eastAsia="宋体" w:cs="宋体"/>
                <w:sz w:val="18"/>
                <w:szCs w:val="18"/>
              </w:rPr>
              <w:t>0.04%</w:t>
            </w:r>
          </w:p>
        </w:tc>
        <w:tc>
          <w:tcPr>
            <w:tcW w:w="1701" w:type="dxa"/>
            <w:tcBorders>
              <w:top w:val="single" w:color="auto" w:sz="2" w:space="0"/>
              <w:left w:val="single" w:color="auto" w:sz="2" w:space="0"/>
              <w:bottom w:val="single" w:color="auto" w:sz="2" w:space="0"/>
              <w:right w:val="single" w:color="auto" w:sz="2" w:space="0"/>
            </w:tcBorders>
            <w:vAlign w:val="center"/>
          </w:tcPr>
          <w:p w14:paraId="4BD4A0E2">
            <w:pPr>
              <w:spacing w:line="240" w:lineRule="exact"/>
              <w:jc w:val="right"/>
              <w:rPr>
                <w:rFonts w:ascii="宋体" w:hAnsi="宋体" w:eastAsia="宋体" w:cs="宋体"/>
                <w:sz w:val="18"/>
                <w:szCs w:val="18"/>
              </w:rPr>
            </w:pPr>
            <w:r>
              <w:rPr>
                <w:rFonts w:ascii="宋体" w:hAnsi="宋体" w:eastAsia="宋体" w:cs="宋体"/>
                <w:sz w:val="18"/>
                <w:szCs w:val="18"/>
              </w:rPr>
              <w:t>1,705,235.87</w:t>
            </w:r>
          </w:p>
        </w:tc>
        <w:tc>
          <w:tcPr>
            <w:tcW w:w="1134" w:type="dxa"/>
            <w:tcBorders>
              <w:top w:val="single" w:color="auto" w:sz="2" w:space="0"/>
              <w:left w:val="single" w:color="auto" w:sz="2" w:space="0"/>
              <w:bottom w:val="single" w:color="auto" w:sz="2" w:space="0"/>
              <w:right w:val="single" w:color="auto" w:sz="2" w:space="0"/>
            </w:tcBorders>
            <w:vAlign w:val="center"/>
          </w:tcPr>
          <w:p w14:paraId="3C48E0DB">
            <w:pPr>
              <w:spacing w:line="240" w:lineRule="exact"/>
              <w:jc w:val="right"/>
              <w:rPr>
                <w:rFonts w:ascii="宋体" w:hAnsi="宋体" w:eastAsia="宋体" w:cs="宋体"/>
                <w:sz w:val="18"/>
                <w:szCs w:val="18"/>
              </w:rPr>
            </w:pPr>
            <w:r>
              <w:rPr>
                <w:rFonts w:ascii="宋体" w:hAnsi="宋体" w:eastAsia="宋体" w:cs="宋体"/>
                <w:sz w:val="18"/>
                <w:szCs w:val="18"/>
              </w:rPr>
              <w:t>0.02%</w:t>
            </w:r>
          </w:p>
        </w:tc>
        <w:tc>
          <w:tcPr>
            <w:tcW w:w="992" w:type="dxa"/>
            <w:tcBorders>
              <w:top w:val="single" w:color="auto" w:sz="2" w:space="0"/>
              <w:left w:val="single" w:color="auto" w:sz="2" w:space="0"/>
              <w:bottom w:val="single" w:color="auto" w:sz="2" w:space="0"/>
              <w:right w:val="single" w:color="auto" w:sz="2" w:space="0"/>
            </w:tcBorders>
            <w:vAlign w:val="center"/>
          </w:tcPr>
          <w:p w14:paraId="5FA84E7E">
            <w:pPr>
              <w:spacing w:line="240" w:lineRule="exact"/>
              <w:jc w:val="right"/>
              <w:rPr>
                <w:rFonts w:ascii="宋体" w:hAnsi="宋体" w:eastAsia="宋体" w:cs="宋体"/>
                <w:sz w:val="18"/>
                <w:szCs w:val="18"/>
              </w:rPr>
            </w:pPr>
            <w:r>
              <w:rPr>
                <w:rFonts w:ascii="宋体" w:hAnsi="宋体" w:eastAsia="宋体" w:cs="宋体"/>
                <w:sz w:val="18"/>
                <w:szCs w:val="18"/>
              </w:rPr>
              <w:t>92.26%</w:t>
            </w:r>
          </w:p>
        </w:tc>
      </w:tr>
      <w:tr w14:paraId="0242A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6877EE4">
            <w:pPr>
              <w:spacing w:line="240" w:lineRule="exact"/>
              <w:rPr>
                <w:rFonts w:ascii="宋体" w:hAnsi="宋体" w:eastAsia="宋体" w:cs="宋体"/>
                <w:sz w:val="18"/>
                <w:szCs w:val="18"/>
              </w:rPr>
            </w:pPr>
            <w:r>
              <w:rPr>
                <w:rFonts w:ascii="宋体" w:hAnsi="宋体" w:eastAsia="宋体" w:cs="宋体"/>
                <w:sz w:val="18"/>
                <w:szCs w:val="18"/>
              </w:rPr>
              <w:t>算力及AI</w:t>
            </w:r>
          </w:p>
        </w:tc>
        <w:tc>
          <w:tcPr>
            <w:tcW w:w="1377" w:type="dxa"/>
            <w:tcBorders>
              <w:top w:val="single" w:color="auto" w:sz="2" w:space="0"/>
              <w:left w:val="single" w:color="auto" w:sz="2" w:space="0"/>
              <w:bottom w:val="single" w:color="auto" w:sz="2" w:space="0"/>
              <w:right w:val="single" w:color="auto" w:sz="2" w:space="0"/>
            </w:tcBorders>
            <w:vAlign w:val="center"/>
          </w:tcPr>
          <w:p w14:paraId="25F89713">
            <w:pPr>
              <w:spacing w:line="240" w:lineRule="exact"/>
              <w:rPr>
                <w:rFonts w:ascii="宋体" w:hAnsi="宋体" w:eastAsia="宋体" w:cs="宋体"/>
                <w:sz w:val="18"/>
                <w:szCs w:val="18"/>
              </w:rPr>
            </w:pPr>
            <w:r>
              <w:rPr>
                <w:rFonts w:ascii="宋体" w:hAnsi="宋体" w:eastAsia="宋体" w:cs="宋体"/>
                <w:sz w:val="18"/>
                <w:szCs w:val="18"/>
              </w:rPr>
              <w:t>算力及AI</w:t>
            </w:r>
          </w:p>
        </w:tc>
        <w:tc>
          <w:tcPr>
            <w:tcW w:w="1782" w:type="dxa"/>
            <w:tcBorders>
              <w:top w:val="single" w:color="auto" w:sz="2" w:space="0"/>
              <w:left w:val="single" w:color="auto" w:sz="2" w:space="0"/>
              <w:bottom w:val="single" w:color="auto" w:sz="2" w:space="0"/>
              <w:right w:val="single" w:color="auto" w:sz="2" w:space="0"/>
            </w:tcBorders>
            <w:vAlign w:val="center"/>
          </w:tcPr>
          <w:p w14:paraId="5F577974">
            <w:pPr>
              <w:spacing w:line="240" w:lineRule="exact"/>
              <w:jc w:val="right"/>
              <w:rPr>
                <w:rFonts w:ascii="宋体" w:hAnsi="宋体" w:eastAsia="宋体" w:cs="宋体"/>
                <w:sz w:val="18"/>
                <w:szCs w:val="18"/>
              </w:rPr>
            </w:pPr>
            <w:r>
              <w:rPr>
                <w:rFonts w:ascii="宋体" w:hAnsi="宋体" w:eastAsia="宋体" w:cs="宋体"/>
                <w:sz w:val="18"/>
                <w:szCs w:val="18"/>
              </w:rPr>
              <w:t>30,354,058.21</w:t>
            </w:r>
          </w:p>
        </w:tc>
        <w:tc>
          <w:tcPr>
            <w:tcW w:w="1276" w:type="dxa"/>
            <w:tcBorders>
              <w:top w:val="single" w:color="auto" w:sz="2" w:space="0"/>
              <w:left w:val="single" w:color="auto" w:sz="2" w:space="0"/>
              <w:bottom w:val="single" w:color="auto" w:sz="2" w:space="0"/>
              <w:right w:val="single" w:color="auto" w:sz="2" w:space="0"/>
            </w:tcBorders>
            <w:vAlign w:val="center"/>
          </w:tcPr>
          <w:p w14:paraId="01179AEA">
            <w:pPr>
              <w:spacing w:line="240" w:lineRule="exact"/>
              <w:jc w:val="right"/>
              <w:rPr>
                <w:rFonts w:ascii="宋体" w:hAnsi="宋体" w:eastAsia="宋体" w:cs="宋体"/>
                <w:sz w:val="18"/>
                <w:szCs w:val="18"/>
              </w:rPr>
            </w:pPr>
            <w:r>
              <w:rPr>
                <w:rFonts w:ascii="宋体" w:hAnsi="宋体" w:eastAsia="宋体" w:cs="宋体"/>
                <w:sz w:val="18"/>
                <w:szCs w:val="18"/>
              </w:rPr>
              <w:t>0.42%</w:t>
            </w:r>
          </w:p>
        </w:tc>
        <w:tc>
          <w:tcPr>
            <w:tcW w:w="1701" w:type="dxa"/>
            <w:tcBorders>
              <w:top w:val="single" w:color="auto" w:sz="2" w:space="0"/>
              <w:left w:val="single" w:color="auto" w:sz="2" w:space="0"/>
              <w:bottom w:val="single" w:color="auto" w:sz="2" w:space="0"/>
              <w:right w:val="single" w:color="auto" w:sz="2" w:space="0"/>
            </w:tcBorders>
            <w:vAlign w:val="center"/>
          </w:tcPr>
          <w:p w14:paraId="6CF8A1E7">
            <w:pPr>
              <w:spacing w:line="240" w:lineRule="exact"/>
              <w:jc w:val="right"/>
              <w:rPr>
                <w:rFonts w:ascii="宋体" w:hAnsi="宋体" w:eastAsia="宋体" w:cs="宋体"/>
                <w:sz w:val="18"/>
                <w:szCs w:val="18"/>
              </w:rPr>
            </w:pPr>
            <w:r>
              <w:rPr>
                <w:rFonts w:ascii="宋体" w:hAnsi="宋体" w:eastAsia="宋体" w:cs="宋体"/>
                <w:sz w:val="18"/>
                <w:szCs w:val="18"/>
              </w:rPr>
              <w:t>21,431,435.11</w:t>
            </w:r>
          </w:p>
        </w:tc>
        <w:tc>
          <w:tcPr>
            <w:tcW w:w="1134" w:type="dxa"/>
            <w:tcBorders>
              <w:top w:val="single" w:color="auto" w:sz="2" w:space="0"/>
              <w:left w:val="single" w:color="auto" w:sz="2" w:space="0"/>
              <w:bottom w:val="single" w:color="auto" w:sz="2" w:space="0"/>
              <w:right w:val="single" w:color="auto" w:sz="2" w:space="0"/>
            </w:tcBorders>
            <w:vAlign w:val="center"/>
          </w:tcPr>
          <w:p w14:paraId="175E5C92">
            <w:pPr>
              <w:spacing w:line="240" w:lineRule="exact"/>
              <w:jc w:val="right"/>
              <w:rPr>
                <w:rFonts w:ascii="宋体" w:hAnsi="宋体" w:eastAsia="宋体" w:cs="宋体"/>
                <w:sz w:val="18"/>
                <w:szCs w:val="18"/>
              </w:rPr>
            </w:pPr>
            <w:r>
              <w:rPr>
                <w:rFonts w:ascii="宋体" w:hAnsi="宋体" w:eastAsia="宋体" w:cs="宋体"/>
                <w:sz w:val="18"/>
                <w:szCs w:val="18"/>
              </w:rPr>
              <w:t>0.21%</w:t>
            </w:r>
          </w:p>
        </w:tc>
        <w:tc>
          <w:tcPr>
            <w:tcW w:w="992" w:type="dxa"/>
            <w:tcBorders>
              <w:top w:val="single" w:color="auto" w:sz="2" w:space="0"/>
              <w:left w:val="single" w:color="auto" w:sz="2" w:space="0"/>
              <w:bottom w:val="single" w:color="auto" w:sz="2" w:space="0"/>
              <w:right w:val="single" w:color="auto" w:sz="2" w:space="0"/>
            </w:tcBorders>
            <w:vAlign w:val="center"/>
          </w:tcPr>
          <w:p w14:paraId="2F959FF2">
            <w:pPr>
              <w:spacing w:line="240" w:lineRule="exact"/>
              <w:jc w:val="right"/>
              <w:rPr>
                <w:rFonts w:ascii="宋体" w:hAnsi="宋体" w:eastAsia="宋体" w:cs="宋体"/>
                <w:sz w:val="18"/>
                <w:szCs w:val="18"/>
              </w:rPr>
            </w:pPr>
            <w:r>
              <w:rPr>
                <w:rFonts w:ascii="宋体" w:hAnsi="宋体" w:eastAsia="宋体" w:cs="宋体"/>
                <w:sz w:val="18"/>
                <w:szCs w:val="18"/>
              </w:rPr>
              <w:t>41.63%</w:t>
            </w:r>
          </w:p>
        </w:tc>
      </w:tr>
      <w:tr w14:paraId="3974E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D68A41D">
            <w:pPr>
              <w:spacing w:line="240" w:lineRule="exact"/>
              <w:rPr>
                <w:rFonts w:ascii="宋体" w:hAnsi="宋体" w:eastAsia="宋体" w:cs="宋体"/>
                <w:sz w:val="18"/>
                <w:szCs w:val="18"/>
              </w:rPr>
            </w:pPr>
            <w:r>
              <w:rPr>
                <w:rFonts w:ascii="宋体" w:hAnsi="宋体" w:eastAsia="宋体" w:cs="宋体"/>
                <w:sz w:val="18"/>
                <w:szCs w:val="18"/>
              </w:rPr>
              <w:t>其他业务成本</w:t>
            </w:r>
          </w:p>
        </w:tc>
        <w:tc>
          <w:tcPr>
            <w:tcW w:w="1377" w:type="dxa"/>
            <w:tcBorders>
              <w:top w:val="single" w:color="auto" w:sz="2" w:space="0"/>
              <w:left w:val="single" w:color="auto" w:sz="2" w:space="0"/>
              <w:bottom w:val="single" w:color="auto" w:sz="2" w:space="0"/>
              <w:right w:val="single" w:color="auto" w:sz="2" w:space="0"/>
            </w:tcBorders>
            <w:vAlign w:val="center"/>
          </w:tcPr>
          <w:p w14:paraId="1E9BF27A">
            <w:pPr>
              <w:spacing w:line="240" w:lineRule="exact"/>
              <w:rPr>
                <w:rFonts w:ascii="宋体" w:hAnsi="宋体" w:eastAsia="宋体" w:cs="宋体"/>
                <w:sz w:val="18"/>
                <w:szCs w:val="18"/>
              </w:rPr>
            </w:pPr>
            <w:r>
              <w:rPr>
                <w:rFonts w:ascii="宋体" w:hAnsi="宋体" w:eastAsia="宋体" w:cs="宋体"/>
                <w:sz w:val="18"/>
                <w:szCs w:val="18"/>
              </w:rPr>
              <w:t>其他</w:t>
            </w:r>
          </w:p>
        </w:tc>
        <w:tc>
          <w:tcPr>
            <w:tcW w:w="1782" w:type="dxa"/>
            <w:tcBorders>
              <w:top w:val="single" w:color="auto" w:sz="2" w:space="0"/>
              <w:left w:val="single" w:color="auto" w:sz="2" w:space="0"/>
              <w:bottom w:val="single" w:color="auto" w:sz="2" w:space="0"/>
              <w:right w:val="single" w:color="auto" w:sz="2" w:space="0"/>
            </w:tcBorders>
            <w:vAlign w:val="center"/>
          </w:tcPr>
          <w:p w14:paraId="4A925571">
            <w:pPr>
              <w:spacing w:line="240" w:lineRule="exact"/>
              <w:jc w:val="right"/>
              <w:rPr>
                <w:rFonts w:ascii="宋体" w:hAnsi="宋体" w:eastAsia="宋体" w:cs="宋体"/>
                <w:sz w:val="18"/>
                <w:szCs w:val="18"/>
              </w:rPr>
            </w:pPr>
            <w:r>
              <w:rPr>
                <w:rFonts w:ascii="宋体" w:hAnsi="宋体" w:eastAsia="宋体" w:cs="宋体"/>
                <w:sz w:val="18"/>
                <w:szCs w:val="18"/>
              </w:rPr>
              <w:t>23,836,453.39</w:t>
            </w:r>
          </w:p>
        </w:tc>
        <w:tc>
          <w:tcPr>
            <w:tcW w:w="1276" w:type="dxa"/>
            <w:tcBorders>
              <w:top w:val="single" w:color="auto" w:sz="2" w:space="0"/>
              <w:left w:val="single" w:color="auto" w:sz="2" w:space="0"/>
              <w:bottom w:val="single" w:color="auto" w:sz="2" w:space="0"/>
              <w:right w:val="single" w:color="auto" w:sz="2" w:space="0"/>
            </w:tcBorders>
            <w:vAlign w:val="center"/>
          </w:tcPr>
          <w:p w14:paraId="66D05E6D">
            <w:pPr>
              <w:spacing w:line="240" w:lineRule="exact"/>
              <w:jc w:val="right"/>
              <w:rPr>
                <w:rFonts w:ascii="宋体" w:hAnsi="宋体" w:eastAsia="宋体" w:cs="宋体"/>
                <w:sz w:val="18"/>
                <w:szCs w:val="18"/>
              </w:rPr>
            </w:pPr>
            <w:r>
              <w:rPr>
                <w:rFonts w:ascii="宋体" w:hAnsi="宋体" w:eastAsia="宋体" w:cs="宋体"/>
                <w:sz w:val="18"/>
                <w:szCs w:val="18"/>
              </w:rPr>
              <w:t>0.33%</w:t>
            </w:r>
          </w:p>
        </w:tc>
        <w:tc>
          <w:tcPr>
            <w:tcW w:w="1701" w:type="dxa"/>
            <w:tcBorders>
              <w:top w:val="single" w:color="auto" w:sz="2" w:space="0"/>
              <w:left w:val="single" w:color="auto" w:sz="2" w:space="0"/>
              <w:bottom w:val="single" w:color="auto" w:sz="2" w:space="0"/>
              <w:right w:val="single" w:color="auto" w:sz="2" w:space="0"/>
            </w:tcBorders>
            <w:vAlign w:val="center"/>
          </w:tcPr>
          <w:p w14:paraId="7D280FDC">
            <w:pPr>
              <w:spacing w:line="240" w:lineRule="exact"/>
              <w:jc w:val="right"/>
              <w:rPr>
                <w:rFonts w:ascii="宋体" w:hAnsi="宋体" w:eastAsia="宋体" w:cs="宋体"/>
                <w:sz w:val="18"/>
                <w:szCs w:val="18"/>
              </w:rPr>
            </w:pPr>
            <w:r>
              <w:rPr>
                <w:rFonts w:ascii="宋体" w:hAnsi="宋体" w:eastAsia="宋体" w:cs="宋体"/>
                <w:sz w:val="18"/>
                <w:szCs w:val="18"/>
              </w:rPr>
              <w:t>23,559,827.19</w:t>
            </w:r>
          </w:p>
        </w:tc>
        <w:tc>
          <w:tcPr>
            <w:tcW w:w="1134" w:type="dxa"/>
            <w:tcBorders>
              <w:top w:val="single" w:color="auto" w:sz="2" w:space="0"/>
              <w:left w:val="single" w:color="auto" w:sz="2" w:space="0"/>
              <w:bottom w:val="single" w:color="auto" w:sz="2" w:space="0"/>
              <w:right w:val="single" w:color="auto" w:sz="2" w:space="0"/>
            </w:tcBorders>
            <w:vAlign w:val="center"/>
          </w:tcPr>
          <w:p w14:paraId="01126DF8">
            <w:pPr>
              <w:spacing w:line="240" w:lineRule="exact"/>
              <w:jc w:val="right"/>
              <w:rPr>
                <w:rFonts w:ascii="宋体" w:hAnsi="宋体" w:eastAsia="宋体" w:cs="宋体"/>
                <w:sz w:val="18"/>
                <w:szCs w:val="18"/>
              </w:rPr>
            </w:pPr>
            <w:r>
              <w:rPr>
                <w:rFonts w:ascii="宋体" w:hAnsi="宋体" w:eastAsia="宋体" w:cs="宋体"/>
                <w:sz w:val="18"/>
                <w:szCs w:val="18"/>
              </w:rPr>
              <w:t>0.23%</w:t>
            </w:r>
          </w:p>
        </w:tc>
        <w:tc>
          <w:tcPr>
            <w:tcW w:w="992" w:type="dxa"/>
            <w:tcBorders>
              <w:top w:val="single" w:color="auto" w:sz="2" w:space="0"/>
              <w:left w:val="single" w:color="auto" w:sz="2" w:space="0"/>
              <w:bottom w:val="single" w:color="auto" w:sz="2" w:space="0"/>
              <w:right w:val="single" w:color="auto" w:sz="2" w:space="0"/>
            </w:tcBorders>
            <w:vAlign w:val="center"/>
          </w:tcPr>
          <w:p w14:paraId="6A23C158">
            <w:pPr>
              <w:spacing w:line="240" w:lineRule="exact"/>
              <w:jc w:val="right"/>
              <w:rPr>
                <w:rFonts w:ascii="宋体" w:hAnsi="宋体" w:eastAsia="宋体" w:cs="宋体"/>
                <w:sz w:val="18"/>
                <w:szCs w:val="18"/>
              </w:rPr>
            </w:pPr>
            <w:r>
              <w:rPr>
                <w:rFonts w:ascii="宋体" w:hAnsi="宋体" w:eastAsia="宋体" w:cs="宋体"/>
                <w:sz w:val="18"/>
                <w:szCs w:val="18"/>
              </w:rPr>
              <w:t>1.17%</w:t>
            </w:r>
          </w:p>
        </w:tc>
      </w:tr>
    </w:tbl>
    <w:p w14:paraId="501E9C26">
      <w:pPr>
        <w:keepNext/>
        <w:keepLines/>
        <w:spacing w:before="300" w:after="300" w:line="280" w:lineRule="exact"/>
        <w:outlineLvl w:val="3"/>
        <w:rPr>
          <w:rFonts w:ascii="宋体" w:hAnsi="宋体" w:eastAsia="宋体" w:cs="宋体"/>
          <w:b/>
          <w:bCs/>
          <w:sz w:val="18"/>
          <w:szCs w:val="18"/>
        </w:rPr>
      </w:pPr>
      <w:bookmarkStart w:id="25" w:name="_Toc988914"/>
      <w:r>
        <w:rPr>
          <w:rFonts w:ascii="宋体" w:hAnsi="宋体" w:eastAsia="宋体" w:cs="宋体"/>
          <w:b/>
          <w:bCs/>
          <w:sz w:val="18"/>
          <w:szCs w:val="18"/>
        </w:rPr>
        <w:t>（6） 报告期内合并范围是否发生变动</w:t>
      </w:r>
      <w:bookmarkEnd w:id="25"/>
    </w:p>
    <w:p w14:paraId="2FB44A37">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14:paraId="5319217B">
      <w:pPr>
        <w:pStyle w:val="9"/>
        <w:rPr>
          <w:sz w:val="18"/>
          <w:szCs w:val="18"/>
        </w:rPr>
      </w:pPr>
      <w:r>
        <w:rPr>
          <w:rFonts w:hint="eastAsia"/>
          <w:sz w:val="18"/>
          <w:szCs w:val="18"/>
        </w:rPr>
        <w:t>1、本期新纳入合并范围的子公司</w:t>
      </w:r>
    </w:p>
    <w:tbl>
      <w:tblPr>
        <w:tblStyle w:val="10"/>
        <w:tblW w:w="9600" w:type="dxa"/>
        <w:tblInd w:w="0" w:type="dxa"/>
        <w:tblLayout w:type="fixed"/>
        <w:tblCellMar>
          <w:top w:w="0" w:type="dxa"/>
          <w:left w:w="0" w:type="dxa"/>
          <w:bottom w:w="0" w:type="dxa"/>
          <w:right w:w="0" w:type="dxa"/>
        </w:tblCellMar>
      </w:tblPr>
      <w:tblGrid>
        <w:gridCol w:w="4800"/>
        <w:gridCol w:w="4800"/>
      </w:tblGrid>
      <w:tr w14:paraId="44B94EB4">
        <w:tblPrEx>
          <w:tblCellMar>
            <w:top w:w="0" w:type="dxa"/>
            <w:left w:w="0" w:type="dxa"/>
            <w:bottom w:w="0" w:type="dxa"/>
            <w:right w:w="0" w:type="dxa"/>
          </w:tblCellMar>
        </w:tblPrEx>
        <w:trPr>
          <w:trHeight w:val="278" w:hRule="atLeast"/>
        </w:trPr>
        <w:tc>
          <w:tcPr>
            <w:tcW w:w="48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5292EDAB">
            <w:pPr>
              <w:spacing w:line="240" w:lineRule="exact"/>
              <w:jc w:val="center"/>
              <w:rPr>
                <w:rFonts w:ascii="宋体" w:hAnsi="宋体" w:eastAsia="宋体" w:cs="宋体"/>
                <w:sz w:val="18"/>
                <w:szCs w:val="18"/>
              </w:rPr>
            </w:pPr>
            <w:r>
              <w:rPr>
                <w:rFonts w:hint="eastAsia" w:ascii="宋体" w:hAnsi="宋体" w:eastAsia="宋体" w:cs="宋体"/>
                <w:sz w:val="18"/>
                <w:szCs w:val="18"/>
              </w:rPr>
              <w:t>名称</w:t>
            </w:r>
          </w:p>
        </w:tc>
        <w:tc>
          <w:tcPr>
            <w:tcW w:w="4800"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bottom"/>
          </w:tcPr>
          <w:p w14:paraId="725335E4">
            <w:pPr>
              <w:spacing w:line="240" w:lineRule="exact"/>
              <w:jc w:val="center"/>
              <w:rPr>
                <w:rFonts w:ascii="宋体" w:hAnsi="宋体" w:eastAsia="宋体" w:cs="宋体"/>
                <w:sz w:val="18"/>
                <w:szCs w:val="18"/>
              </w:rPr>
            </w:pPr>
            <w:r>
              <w:rPr>
                <w:rFonts w:hint="eastAsia" w:ascii="宋体" w:hAnsi="宋体" w:eastAsia="宋体" w:cs="宋体"/>
                <w:sz w:val="18"/>
                <w:szCs w:val="18"/>
              </w:rPr>
              <w:t>变更原因</w:t>
            </w:r>
          </w:p>
        </w:tc>
      </w:tr>
      <w:tr w14:paraId="3B29E123">
        <w:tblPrEx>
          <w:tblCellMar>
            <w:top w:w="0" w:type="dxa"/>
            <w:left w:w="0" w:type="dxa"/>
            <w:bottom w:w="0" w:type="dxa"/>
            <w:right w:w="0" w:type="dxa"/>
          </w:tblCellMar>
        </w:tblPrEx>
        <w:trPr>
          <w:trHeight w:val="278" w:hRule="atLeast"/>
        </w:trPr>
        <w:tc>
          <w:tcPr>
            <w:tcW w:w="4800"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bottom"/>
          </w:tcPr>
          <w:p w14:paraId="0E7CDB48">
            <w:pPr>
              <w:spacing w:line="240" w:lineRule="exact"/>
              <w:rPr>
                <w:rFonts w:ascii="宋体" w:hAnsi="宋体" w:eastAsia="宋体" w:cs="宋体"/>
                <w:sz w:val="18"/>
                <w:szCs w:val="18"/>
              </w:rPr>
            </w:pPr>
            <w:r>
              <w:rPr>
                <w:rFonts w:hint="eastAsia" w:ascii="宋体" w:hAnsi="宋体" w:eastAsia="宋体" w:cs="宋体"/>
                <w:sz w:val="18"/>
                <w:szCs w:val="18"/>
              </w:rPr>
              <w:t>新疆硕丰种业有限公司</w:t>
            </w:r>
          </w:p>
        </w:tc>
        <w:tc>
          <w:tcPr>
            <w:tcW w:w="4800" w:type="dxa"/>
            <w:tcBorders>
              <w:top w:val="nil"/>
              <w:left w:val="nil"/>
              <w:bottom w:val="single" w:color="auto" w:sz="8" w:space="0"/>
              <w:right w:val="single" w:color="auto" w:sz="8" w:space="0"/>
            </w:tcBorders>
            <w:tcMar>
              <w:top w:w="15" w:type="dxa"/>
              <w:left w:w="15" w:type="dxa"/>
              <w:bottom w:w="0" w:type="dxa"/>
              <w:right w:w="15" w:type="dxa"/>
            </w:tcMar>
            <w:vAlign w:val="center"/>
          </w:tcPr>
          <w:p w14:paraId="0C19AA7B">
            <w:pPr>
              <w:spacing w:line="240" w:lineRule="exact"/>
              <w:rPr>
                <w:rFonts w:ascii="宋体" w:hAnsi="宋体" w:eastAsia="宋体" w:cs="宋体"/>
                <w:sz w:val="18"/>
                <w:szCs w:val="18"/>
              </w:rPr>
            </w:pPr>
            <w:r>
              <w:rPr>
                <w:rFonts w:hint="eastAsia" w:ascii="宋体" w:hAnsi="宋体" w:eastAsia="宋体" w:cs="宋体"/>
                <w:sz w:val="18"/>
                <w:szCs w:val="18"/>
              </w:rPr>
              <w:t>收购</w:t>
            </w:r>
          </w:p>
        </w:tc>
      </w:tr>
      <w:tr w14:paraId="1AD92EBD">
        <w:tblPrEx>
          <w:tblCellMar>
            <w:top w:w="0" w:type="dxa"/>
            <w:left w:w="0" w:type="dxa"/>
            <w:bottom w:w="0" w:type="dxa"/>
            <w:right w:w="0" w:type="dxa"/>
          </w:tblCellMar>
        </w:tblPrEx>
        <w:trPr>
          <w:trHeight w:val="278" w:hRule="atLeast"/>
        </w:trPr>
        <w:tc>
          <w:tcPr>
            <w:tcW w:w="4800"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bottom"/>
          </w:tcPr>
          <w:p w14:paraId="741F450F">
            <w:pPr>
              <w:spacing w:line="240" w:lineRule="exact"/>
              <w:rPr>
                <w:rFonts w:ascii="宋体" w:hAnsi="宋体" w:eastAsia="宋体" w:cs="宋体"/>
                <w:sz w:val="18"/>
                <w:szCs w:val="18"/>
              </w:rPr>
            </w:pPr>
            <w:r>
              <w:rPr>
                <w:rFonts w:hint="eastAsia" w:ascii="宋体" w:hAnsi="宋体" w:eastAsia="宋体" w:cs="宋体"/>
                <w:sz w:val="18"/>
                <w:szCs w:val="18"/>
              </w:rPr>
              <w:t>阿克苏恒孚医疗科技有限公司</w:t>
            </w:r>
          </w:p>
        </w:tc>
        <w:tc>
          <w:tcPr>
            <w:tcW w:w="4800" w:type="dxa"/>
            <w:tcBorders>
              <w:top w:val="nil"/>
              <w:left w:val="nil"/>
              <w:bottom w:val="single" w:color="auto" w:sz="8" w:space="0"/>
              <w:right w:val="single" w:color="auto" w:sz="8" w:space="0"/>
            </w:tcBorders>
            <w:tcMar>
              <w:top w:w="15" w:type="dxa"/>
              <w:left w:w="15" w:type="dxa"/>
              <w:bottom w:w="0" w:type="dxa"/>
              <w:right w:w="15" w:type="dxa"/>
            </w:tcMar>
            <w:vAlign w:val="center"/>
          </w:tcPr>
          <w:p w14:paraId="741B13DA">
            <w:pPr>
              <w:spacing w:line="240" w:lineRule="exact"/>
              <w:rPr>
                <w:rFonts w:ascii="宋体" w:hAnsi="宋体" w:eastAsia="宋体" w:cs="宋体"/>
                <w:sz w:val="18"/>
                <w:szCs w:val="18"/>
              </w:rPr>
            </w:pPr>
            <w:r>
              <w:rPr>
                <w:rFonts w:hint="eastAsia" w:ascii="宋体" w:hAnsi="宋体" w:eastAsia="宋体" w:cs="宋体"/>
                <w:sz w:val="18"/>
                <w:szCs w:val="18"/>
              </w:rPr>
              <w:t>新设</w:t>
            </w:r>
          </w:p>
        </w:tc>
      </w:tr>
      <w:tr w14:paraId="5921F32C">
        <w:tblPrEx>
          <w:tblCellMar>
            <w:top w:w="0" w:type="dxa"/>
            <w:left w:w="0" w:type="dxa"/>
            <w:bottom w:w="0" w:type="dxa"/>
            <w:right w:w="0" w:type="dxa"/>
          </w:tblCellMar>
        </w:tblPrEx>
        <w:trPr>
          <w:trHeight w:val="278" w:hRule="atLeast"/>
        </w:trPr>
        <w:tc>
          <w:tcPr>
            <w:tcW w:w="4800"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bottom"/>
          </w:tcPr>
          <w:p w14:paraId="2B45B741">
            <w:pPr>
              <w:spacing w:line="240" w:lineRule="exact"/>
              <w:rPr>
                <w:rFonts w:ascii="宋体" w:hAnsi="宋体" w:eastAsia="宋体" w:cs="宋体"/>
                <w:sz w:val="18"/>
                <w:szCs w:val="18"/>
              </w:rPr>
            </w:pPr>
            <w:r>
              <w:rPr>
                <w:rFonts w:hint="eastAsia" w:ascii="宋体" w:hAnsi="宋体" w:eastAsia="宋体" w:cs="宋体"/>
                <w:sz w:val="18"/>
                <w:szCs w:val="18"/>
              </w:rPr>
              <w:t>阿克苏恒鑫棉花有限公司</w:t>
            </w:r>
          </w:p>
        </w:tc>
        <w:tc>
          <w:tcPr>
            <w:tcW w:w="4800" w:type="dxa"/>
            <w:tcBorders>
              <w:top w:val="nil"/>
              <w:left w:val="nil"/>
              <w:bottom w:val="single" w:color="auto" w:sz="8" w:space="0"/>
              <w:right w:val="single" w:color="auto" w:sz="8" w:space="0"/>
            </w:tcBorders>
            <w:tcMar>
              <w:top w:w="15" w:type="dxa"/>
              <w:left w:w="15" w:type="dxa"/>
              <w:bottom w:w="0" w:type="dxa"/>
              <w:right w:w="15" w:type="dxa"/>
            </w:tcMar>
            <w:vAlign w:val="center"/>
          </w:tcPr>
          <w:p w14:paraId="1C4A403B">
            <w:pPr>
              <w:spacing w:line="240" w:lineRule="exact"/>
              <w:rPr>
                <w:rFonts w:ascii="宋体" w:hAnsi="宋体" w:eastAsia="宋体" w:cs="宋体"/>
                <w:sz w:val="18"/>
                <w:szCs w:val="18"/>
              </w:rPr>
            </w:pPr>
            <w:r>
              <w:rPr>
                <w:rFonts w:hint="eastAsia" w:ascii="宋体" w:hAnsi="宋体" w:eastAsia="宋体" w:cs="宋体"/>
                <w:sz w:val="18"/>
                <w:szCs w:val="18"/>
              </w:rPr>
              <w:t>新设</w:t>
            </w:r>
          </w:p>
        </w:tc>
      </w:tr>
    </w:tbl>
    <w:p w14:paraId="68B8B82D">
      <w:pPr>
        <w:pStyle w:val="9"/>
        <w:rPr>
          <w:sz w:val="18"/>
          <w:szCs w:val="18"/>
        </w:rPr>
      </w:pPr>
      <w:r>
        <w:rPr>
          <w:rFonts w:hint="eastAsia"/>
          <w:sz w:val="18"/>
          <w:szCs w:val="18"/>
        </w:rPr>
        <w:t>2、本期不纳入合并范围的子公司</w:t>
      </w:r>
    </w:p>
    <w:tbl>
      <w:tblPr>
        <w:tblStyle w:val="10"/>
        <w:tblW w:w="9585" w:type="dxa"/>
        <w:tblInd w:w="0" w:type="dxa"/>
        <w:tblLayout w:type="fixed"/>
        <w:tblCellMar>
          <w:top w:w="0" w:type="dxa"/>
          <w:left w:w="0" w:type="dxa"/>
          <w:bottom w:w="0" w:type="dxa"/>
          <w:right w:w="0" w:type="dxa"/>
        </w:tblCellMar>
      </w:tblPr>
      <w:tblGrid>
        <w:gridCol w:w="4792"/>
        <w:gridCol w:w="4793"/>
      </w:tblGrid>
      <w:tr w14:paraId="4DE16ACE">
        <w:tblPrEx>
          <w:tblCellMar>
            <w:top w:w="0" w:type="dxa"/>
            <w:left w:w="0" w:type="dxa"/>
            <w:bottom w:w="0" w:type="dxa"/>
            <w:right w:w="0" w:type="dxa"/>
          </w:tblCellMar>
        </w:tblPrEx>
        <w:trPr>
          <w:trHeight w:val="326" w:hRule="atLeast"/>
        </w:trPr>
        <w:tc>
          <w:tcPr>
            <w:tcW w:w="4792"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684F9198">
            <w:pPr>
              <w:spacing w:line="240" w:lineRule="exact"/>
              <w:jc w:val="center"/>
              <w:rPr>
                <w:rFonts w:ascii="宋体" w:hAnsi="宋体" w:eastAsia="宋体" w:cs="宋体"/>
                <w:sz w:val="18"/>
                <w:szCs w:val="18"/>
              </w:rPr>
            </w:pPr>
            <w:r>
              <w:rPr>
                <w:rFonts w:hint="eastAsia" w:ascii="宋体" w:hAnsi="宋体" w:eastAsia="宋体" w:cs="宋体"/>
                <w:sz w:val="18"/>
                <w:szCs w:val="18"/>
              </w:rPr>
              <w:t>名称</w:t>
            </w:r>
          </w:p>
        </w:tc>
        <w:tc>
          <w:tcPr>
            <w:tcW w:w="4793"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bottom"/>
          </w:tcPr>
          <w:p w14:paraId="10BD1ADA">
            <w:pPr>
              <w:spacing w:line="240" w:lineRule="exact"/>
              <w:jc w:val="center"/>
              <w:rPr>
                <w:rFonts w:ascii="宋体" w:hAnsi="宋体" w:eastAsia="宋体" w:cs="宋体"/>
                <w:sz w:val="18"/>
                <w:szCs w:val="18"/>
              </w:rPr>
            </w:pPr>
            <w:r>
              <w:rPr>
                <w:rFonts w:hint="eastAsia" w:ascii="宋体" w:hAnsi="宋体" w:eastAsia="宋体" w:cs="宋体"/>
                <w:sz w:val="18"/>
                <w:szCs w:val="18"/>
              </w:rPr>
              <w:t>变更原因</w:t>
            </w:r>
          </w:p>
        </w:tc>
      </w:tr>
      <w:tr w14:paraId="5A89495A">
        <w:tblPrEx>
          <w:tblCellMar>
            <w:top w:w="0" w:type="dxa"/>
            <w:left w:w="0" w:type="dxa"/>
            <w:bottom w:w="0" w:type="dxa"/>
            <w:right w:w="0" w:type="dxa"/>
          </w:tblCellMar>
        </w:tblPrEx>
        <w:trPr>
          <w:trHeight w:val="326" w:hRule="atLeast"/>
        </w:trPr>
        <w:tc>
          <w:tcPr>
            <w:tcW w:w="4792"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bottom"/>
          </w:tcPr>
          <w:p w14:paraId="4D125945">
            <w:pPr>
              <w:spacing w:line="240" w:lineRule="exact"/>
              <w:rPr>
                <w:rFonts w:ascii="宋体" w:hAnsi="宋体" w:eastAsia="宋体" w:cs="宋体"/>
                <w:sz w:val="18"/>
                <w:szCs w:val="18"/>
              </w:rPr>
            </w:pPr>
            <w:r>
              <w:rPr>
                <w:rFonts w:hint="eastAsia" w:ascii="宋体" w:hAnsi="宋体" w:eastAsia="宋体" w:cs="宋体"/>
                <w:sz w:val="18"/>
                <w:szCs w:val="18"/>
              </w:rPr>
              <w:t>淮北华孚新能源有限公司</w:t>
            </w:r>
          </w:p>
        </w:tc>
        <w:tc>
          <w:tcPr>
            <w:tcW w:w="4793" w:type="dxa"/>
            <w:tcBorders>
              <w:top w:val="nil"/>
              <w:left w:val="nil"/>
              <w:bottom w:val="single" w:color="auto" w:sz="8" w:space="0"/>
              <w:right w:val="single" w:color="auto" w:sz="8" w:space="0"/>
            </w:tcBorders>
            <w:tcMar>
              <w:top w:w="15" w:type="dxa"/>
              <w:left w:w="15" w:type="dxa"/>
              <w:bottom w:w="0" w:type="dxa"/>
              <w:right w:w="15" w:type="dxa"/>
            </w:tcMar>
            <w:vAlign w:val="center"/>
          </w:tcPr>
          <w:p w14:paraId="1548A89B">
            <w:pPr>
              <w:spacing w:line="240" w:lineRule="exact"/>
              <w:rPr>
                <w:rFonts w:ascii="宋体" w:hAnsi="宋体" w:eastAsia="宋体" w:cs="宋体"/>
                <w:sz w:val="18"/>
                <w:szCs w:val="18"/>
              </w:rPr>
            </w:pPr>
            <w:r>
              <w:rPr>
                <w:rFonts w:hint="eastAsia" w:ascii="宋体" w:hAnsi="宋体" w:eastAsia="宋体" w:cs="宋体"/>
                <w:sz w:val="18"/>
                <w:szCs w:val="18"/>
              </w:rPr>
              <w:t>注销</w:t>
            </w:r>
          </w:p>
        </w:tc>
      </w:tr>
    </w:tbl>
    <w:p w14:paraId="18A9FA54">
      <w:pPr>
        <w:keepNext/>
        <w:keepLines/>
        <w:spacing w:before="300" w:after="300" w:line="280" w:lineRule="exact"/>
        <w:outlineLvl w:val="3"/>
        <w:rPr>
          <w:rFonts w:ascii="宋体" w:hAnsi="宋体" w:eastAsia="宋体" w:cs="宋体"/>
          <w:b/>
          <w:bCs/>
          <w:sz w:val="18"/>
          <w:szCs w:val="18"/>
        </w:rPr>
      </w:pPr>
      <w:bookmarkStart w:id="26" w:name="_Toc988915"/>
      <w:r>
        <w:rPr>
          <w:rFonts w:ascii="宋体" w:hAnsi="宋体" w:eastAsia="宋体" w:cs="宋体"/>
          <w:b/>
          <w:bCs/>
          <w:sz w:val="18"/>
          <w:szCs w:val="18"/>
        </w:rPr>
        <w:t>（7） 公司报告期内业务、产品或服务发生重大变化或调整有关情况</w:t>
      </w:r>
      <w:bookmarkEnd w:id="26"/>
    </w:p>
    <w:p w14:paraId="4149C9D0">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74FED81">
      <w:pPr>
        <w:keepNext/>
        <w:keepLines/>
        <w:spacing w:before="300" w:after="300" w:line="280" w:lineRule="exact"/>
        <w:outlineLvl w:val="3"/>
        <w:rPr>
          <w:rFonts w:ascii="宋体" w:hAnsi="宋体" w:eastAsia="宋体" w:cs="宋体"/>
          <w:b/>
          <w:bCs/>
          <w:sz w:val="18"/>
          <w:szCs w:val="18"/>
        </w:rPr>
      </w:pPr>
      <w:bookmarkStart w:id="27" w:name="_Toc988916"/>
      <w:r>
        <w:rPr>
          <w:rFonts w:ascii="宋体" w:hAnsi="宋体" w:eastAsia="宋体" w:cs="宋体"/>
          <w:b/>
          <w:bCs/>
          <w:sz w:val="18"/>
          <w:szCs w:val="18"/>
        </w:rPr>
        <w:t>（8） 主要销售客户和主要供应商情况</w:t>
      </w:r>
      <w:bookmarkEnd w:id="27"/>
    </w:p>
    <w:p w14:paraId="3F87DF2F">
      <w:pPr>
        <w:spacing w:before="100" w:after="100" w:line="240" w:lineRule="exact"/>
        <w:rPr>
          <w:rFonts w:ascii="宋体" w:hAnsi="宋体" w:eastAsia="宋体" w:cs="宋体"/>
          <w:sz w:val="18"/>
          <w:szCs w:val="18"/>
        </w:rPr>
      </w:pPr>
      <w:r>
        <w:rPr>
          <w:rFonts w:ascii="宋体" w:hAnsi="宋体" w:eastAsia="宋体" w:cs="宋体"/>
          <w:sz w:val="18"/>
          <w:szCs w:val="18"/>
        </w:rPr>
        <w:t>公司主要销售客户情况</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14:paraId="44E3C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C971688">
            <w:pPr>
              <w:spacing w:before="40" w:after="40" w:line="240" w:lineRule="exact"/>
              <w:rPr>
                <w:rFonts w:ascii="宋体" w:hAnsi="宋体" w:eastAsia="宋体" w:cs="宋体"/>
                <w:sz w:val="18"/>
                <w:szCs w:val="18"/>
              </w:rPr>
            </w:pPr>
            <w:r>
              <w:rPr>
                <w:rFonts w:ascii="宋体" w:hAnsi="宋体" w:eastAsia="宋体" w:cs="宋体"/>
                <w:sz w:val="18"/>
                <w:szCs w:val="18"/>
              </w:rPr>
              <w:t>前五名客户合计销售金额（元）</w:t>
            </w:r>
          </w:p>
        </w:tc>
        <w:tc>
          <w:tcPr>
            <w:tcW w:w="4820" w:type="dxa"/>
            <w:tcBorders>
              <w:top w:val="single" w:color="auto" w:sz="2" w:space="0"/>
              <w:left w:val="single" w:color="auto" w:sz="2" w:space="0"/>
              <w:bottom w:val="single" w:color="auto" w:sz="2" w:space="0"/>
              <w:right w:val="single" w:color="auto" w:sz="2" w:space="0"/>
            </w:tcBorders>
            <w:vAlign w:val="center"/>
          </w:tcPr>
          <w:p w14:paraId="741D73E3">
            <w:pPr>
              <w:spacing w:line="240" w:lineRule="exact"/>
              <w:jc w:val="right"/>
              <w:rPr>
                <w:rFonts w:ascii="宋体" w:hAnsi="宋体" w:eastAsia="宋体" w:cs="宋体"/>
                <w:sz w:val="18"/>
                <w:szCs w:val="18"/>
              </w:rPr>
            </w:pPr>
            <w:r>
              <w:rPr>
                <w:rFonts w:ascii="宋体" w:hAnsi="宋体" w:eastAsia="宋体" w:cs="宋体"/>
                <w:sz w:val="18"/>
                <w:szCs w:val="18"/>
              </w:rPr>
              <w:t>2,344,885,050.15</w:t>
            </w:r>
          </w:p>
        </w:tc>
      </w:tr>
      <w:tr w14:paraId="66605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C2ED18E">
            <w:pPr>
              <w:spacing w:before="40" w:after="40" w:line="240" w:lineRule="exact"/>
              <w:rPr>
                <w:rFonts w:ascii="宋体" w:hAnsi="宋体" w:eastAsia="宋体" w:cs="宋体"/>
                <w:sz w:val="18"/>
                <w:szCs w:val="18"/>
              </w:rPr>
            </w:pPr>
            <w:r>
              <w:rPr>
                <w:rFonts w:ascii="宋体" w:hAnsi="宋体" w:eastAsia="宋体" w:cs="宋体"/>
                <w:sz w:val="18"/>
                <w:szCs w:val="18"/>
              </w:rPr>
              <w:t>前五名客户合计销售金额占年度销售总额比例</w:t>
            </w:r>
          </w:p>
        </w:tc>
        <w:tc>
          <w:tcPr>
            <w:tcW w:w="4820" w:type="dxa"/>
            <w:tcBorders>
              <w:top w:val="single" w:color="auto" w:sz="2" w:space="0"/>
              <w:left w:val="single" w:color="auto" w:sz="2" w:space="0"/>
              <w:bottom w:val="single" w:color="auto" w:sz="2" w:space="0"/>
              <w:right w:val="single" w:color="auto" w:sz="2" w:space="0"/>
            </w:tcBorders>
            <w:vAlign w:val="center"/>
          </w:tcPr>
          <w:p w14:paraId="74DE7F35">
            <w:pPr>
              <w:spacing w:line="240" w:lineRule="exact"/>
              <w:jc w:val="right"/>
              <w:rPr>
                <w:rFonts w:ascii="宋体" w:hAnsi="宋体" w:eastAsia="宋体" w:cs="宋体"/>
                <w:sz w:val="18"/>
                <w:szCs w:val="18"/>
              </w:rPr>
            </w:pPr>
            <w:r>
              <w:rPr>
                <w:rFonts w:ascii="宋体" w:hAnsi="宋体" w:eastAsia="宋体" w:cs="宋体"/>
                <w:sz w:val="18"/>
                <w:szCs w:val="18"/>
              </w:rPr>
              <w:t>29.13%</w:t>
            </w:r>
          </w:p>
        </w:tc>
      </w:tr>
      <w:tr w14:paraId="77FB0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CD20A71">
            <w:pPr>
              <w:spacing w:before="40" w:after="40" w:line="240" w:lineRule="exact"/>
              <w:rPr>
                <w:rFonts w:ascii="宋体" w:hAnsi="宋体" w:eastAsia="宋体" w:cs="宋体"/>
                <w:sz w:val="18"/>
                <w:szCs w:val="18"/>
              </w:rPr>
            </w:pPr>
            <w:r>
              <w:rPr>
                <w:rFonts w:ascii="宋体" w:hAnsi="宋体" w:eastAsia="宋体" w:cs="宋体"/>
                <w:sz w:val="18"/>
                <w:szCs w:val="18"/>
              </w:rPr>
              <w:t>前五名客户销售额中关联方销售额占年度销售总额比例</w:t>
            </w:r>
          </w:p>
        </w:tc>
        <w:tc>
          <w:tcPr>
            <w:tcW w:w="4820" w:type="dxa"/>
            <w:tcBorders>
              <w:top w:val="single" w:color="auto" w:sz="2" w:space="0"/>
              <w:left w:val="single" w:color="auto" w:sz="2" w:space="0"/>
              <w:bottom w:val="single" w:color="auto" w:sz="2" w:space="0"/>
              <w:right w:val="single" w:color="auto" w:sz="2" w:space="0"/>
            </w:tcBorders>
            <w:vAlign w:val="center"/>
          </w:tcPr>
          <w:p w14:paraId="4E093509">
            <w:pPr>
              <w:spacing w:line="240" w:lineRule="exact"/>
              <w:jc w:val="right"/>
              <w:rPr>
                <w:rFonts w:ascii="宋体" w:hAnsi="宋体" w:eastAsia="宋体" w:cs="宋体"/>
                <w:sz w:val="18"/>
                <w:szCs w:val="18"/>
              </w:rPr>
            </w:pPr>
            <w:r>
              <w:rPr>
                <w:rFonts w:ascii="宋体" w:hAnsi="宋体" w:eastAsia="宋体" w:cs="宋体"/>
                <w:sz w:val="18"/>
                <w:szCs w:val="18"/>
              </w:rPr>
              <w:t>0.00%</w:t>
            </w:r>
          </w:p>
        </w:tc>
      </w:tr>
    </w:tbl>
    <w:p w14:paraId="45C44AC4">
      <w:pPr>
        <w:spacing w:before="100" w:after="100" w:line="240" w:lineRule="exact"/>
        <w:rPr>
          <w:rFonts w:ascii="宋体" w:hAnsi="宋体" w:eastAsia="宋体" w:cs="宋体"/>
          <w:sz w:val="18"/>
          <w:szCs w:val="18"/>
        </w:rPr>
      </w:pPr>
      <w:r>
        <w:rPr>
          <w:rFonts w:ascii="宋体" w:hAnsi="宋体" w:eastAsia="宋体" w:cs="宋体"/>
          <w:sz w:val="18"/>
          <w:szCs w:val="18"/>
        </w:rPr>
        <w:t>公司前5大客户资料</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7C1CA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36078F8">
            <w:pPr>
              <w:spacing w:before="40" w:after="40" w:line="240" w:lineRule="exact"/>
              <w:jc w:val="center"/>
              <w:rPr>
                <w:rFonts w:ascii="宋体" w:hAnsi="宋体" w:eastAsia="宋体" w:cs="宋体"/>
                <w:sz w:val="18"/>
                <w:szCs w:val="18"/>
              </w:rPr>
            </w:pPr>
            <w:r>
              <w:rPr>
                <w:rFonts w:ascii="宋体" w:hAnsi="宋体" w:eastAsia="宋体" w:cs="宋体"/>
                <w:sz w:val="18"/>
                <w:szCs w:val="18"/>
              </w:rPr>
              <w:t>序号</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7B5AD0D">
            <w:pPr>
              <w:spacing w:before="40" w:after="40" w:line="240" w:lineRule="exact"/>
              <w:jc w:val="center"/>
              <w:rPr>
                <w:rFonts w:ascii="宋体" w:hAnsi="宋体" w:eastAsia="宋体" w:cs="宋体"/>
                <w:sz w:val="18"/>
                <w:szCs w:val="18"/>
              </w:rPr>
            </w:pPr>
            <w:r>
              <w:rPr>
                <w:rFonts w:ascii="宋体" w:hAnsi="宋体" w:eastAsia="宋体" w:cs="宋体"/>
                <w:sz w:val="18"/>
                <w:szCs w:val="18"/>
              </w:rPr>
              <w:t>客户名称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B2907C8">
            <w:pPr>
              <w:spacing w:before="40" w:after="40" w:line="240" w:lineRule="exact"/>
              <w:jc w:val="center"/>
              <w:rPr>
                <w:rFonts w:ascii="宋体" w:hAnsi="宋体" w:eastAsia="宋体" w:cs="宋体"/>
                <w:sz w:val="18"/>
                <w:szCs w:val="18"/>
              </w:rPr>
            </w:pPr>
            <w:r>
              <w:rPr>
                <w:rFonts w:ascii="宋体" w:hAnsi="宋体" w:eastAsia="宋体" w:cs="宋体"/>
                <w:sz w:val="18"/>
                <w:szCs w:val="18"/>
              </w:rPr>
              <w:t>销售额（元）</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D56636F">
            <w:pPr>
              <w:spacing w:before="40" w:after="40" w:line="240" w:lineRule="exact"/>
              <w:jc w:val="center"/>
              <w:rPr>
                <w:rFonts w:ascii="宋体" w:hAnsi="宋体" w:eastAsia="宋体" w:cs="宋体"/>
                <w:sz w:val="18"/>
                <w:szCs w:val="18"/>
              </w:rPr>
            </w:pPr>
            <w:r>
              <w:rPr>
                <w:rFonts w:ascii="宋体" w:hAnsi="宋体" w:eastAsia="宋体" w:cs="宋体"/>
                <w:sz w:val="18"/>
                <w:szCs w:val="18"/>
              </w:rPr>
              <w:t>占年度销售总额比例</w:t>
            </w:r>
          </w:p>
        </w:tc>
      </w:tr>
      <w:tr w14:paraId="7CDF5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8D908AC">
            <w:pPr>
              <w:spacing w:before="40" w:after="40" w:line="240" w:lineRule="exact"/>
              <w:jc w:val="center"/>
              <w:rPr>
                <w:rFonts w:ascii="宋体" w:hAnsi="宋体" w:eastAsia="宋体" w:cs="宋体"/>
                <w:sz w:val="18"/>
                <w:szCs w:val="18"/>
              </w:rPr>
            </w:pPr>
            <w:r>
              <w:rPr>
                <w:rFonts w:ascii="宋体" w:hAnsi="宋体" w:eastAsia="宋体" w:cs="宋体"/>
                <w:sz w:val="18"/>
                <w:szCs w:val="18"/>
              </w:rPr>
              <w:t>1</w:t>
            </w:r>
          </w:p>
        </w:tc>
        <w:tc>
          <w:tcPr>
            <w:tcW w:w="2410" w:type="dxa"/>
            <w:tcBorders>
              <w:top w:val="single" w:color="auto" w:sz="2" w:space="0"/>
              <w:left w:val="single" w:color="auto" w:sz="2" w:space="0"/>
              <w:bottom w:val="single" w:color="auto" w:sz="2" w:space="0"/>
              <w:right w:val="single" w:color="auto" w:sz="2" w:space="0"/>
            </w:tcBorders>
            <w:vAlign w:val="center"/>
          </w:tcPr>
          <w:p w14:paraId="6372B300">
            <w:pPr>
              <w:spacing w:line="240" w:lineRule="exact"/>
              <w:rPr>
                <w:rFonts w:ascii="宋体" w:hAnsi="宋体" w:eastAsia="宋体" w:cs="宋体"/>
                <w:sz w:val="18"/>
                <w:szCs w:val="18"/>
              </w:rPr>
            </w:pPr>
            <w:r>
              <w:rPr>
                <w:rFonts w:ascii="宋体" w:hAnsi="宋体" w:eastAsia="宋体" w:cs="宋体"/>
                <w:sz w:val="18"/>
                <w:szCs w:val="18"/>
              </w:rPr>
              <w:t>第一名</w:t>
            </w:r>
          </w:p>
        </w:tc>
        <w:tc>
          <w:tcPr>
            <w:tcW w:w="2410" w:type="dxa"/>
            <w:tcBorders>
              <w:top w:val="single" w:color="auto" w:sz="2" w:space="0"/>
              <w:left w:val="single" w:color="auto" w:sz="2" w:space="0"/>
              <w:bottom w:val="single" w:color="auto" w:sz="2" w:space="0"/>
              <w:right w:val="single" w:color="auto" w:sz="2" w:space="0"/>
            </w:tcBorders>
            <w:vAlign w:val="center"/>
          </w:tcPr>
          <w:p w14:paraId="033A9F87">
            <w:pPr>
              <w:spacing w:line="240" w:lineRule="exact"/>
              <w:jc w:val="right"/>
              <w:rPr>
                <w:rFonts w:ascii="宋体" w:hAnsi="宋体" w:eastAsia="宋体" w:cs="宋体"/>
                <w:sz w:val="18"/>
                <w:szCs w:val="18"/>
              </w:rPr>
            </w:pPr>
            <w:r>
              <w:rPr>
                <w:rFonts w:ascii="宋体" w:hAnsi="宋体" w:eastAsia="宋体" w:cs="宋体"/>
                <w:sz w:val="18"/>
                <w:szCs w:val="18"/>
              </w:rPr>
              <w:t>1,091,786,884.28</w:t>
            </w:r>
          </w:p>
        </w:tc>
        <w:tc>
          <w:tcPr>
            <w:tcW w:w="2410" w:type="dxa"/>
            <w:tcBorders>
              <w:top w:val="single" w:color="auto" w:sz="2" w:space="0"/>
              <w:left w:val="single" w:color="auto" w:sz="2" w:space="0"/>
              <w:bottom w:val="single" w:color="auto" w:sz="2" w:space="0"/>
              <w:right w:val="single" w:color="auto" w:sz="2" w:space="0"/>
            </w:tcBorders>
            <w:vAlign w:val="center"/>
          </w:tcPr>
          <w:p w14:paraId="12F58EAA">
            <w:pPr>
              <w:spacing w:line="240" w:lineRule="exact"/>
              <w:jc w:val="right"/>
              <w:rPr>
                <w:rFonts w:ascii="宋体" w:hAnsi="宋体" w:eastAsia="宋体" w:cs="宋体"/>
                <w:sz w:val="18"/>
                <w:szCs w:val="18"/>
              </w:rPr>
            </w:pPr>
            <w:r>
              <w:rPr>
                <w:rFonts w:ascii="宋体" w:hAnsi="宋体" w:eastAsia="宋体" w:cs="宋体"/>
                <w:sz w:val="18"/>
                <w:szCs w:val="18"/>
              </w:rPr>
              <w:t>13.56%</w:t>
            </w:r>
          </w:p>
        </w:tc>
      </w:tr>
      <w:tr w14:paraId="7EC6C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1A82C2C">
            <w:pPr>
              <w:spacing w:before="40" w:after="40" w:line="240" w:lineRule="exact"/>
              <w:jc w:val="center"/>
              <w:rPr>
                <w:rFonts w:ascii="宋体" w:hAnsi="宋体" w:eastAsia="宋体" w:cs="宋体"/>
                <w:sz w:val="18"/>
                <w:szCs w:val="18"/>
              </w:rPr>
            </w:pPr>
            <w:r>
              <w:rPr>
                <w:rFonts w:ascii="宋体" w:hAnsi="宋体" w:eastAsia="宋体" w:cs="宋体"/>
                <w:sz w:val="18"/>
                <w:szCs w:val="18"/>
              </w:rPr>
              <w:t>2</w:t>
            </w:r>
          </w:p>
        </w:tc>
        <w:tc>
          <w:tcPr>
            <w:tcW w:w="2410" w:type="dxa"/>
            <w:tcBorders>
              <w:top w:val="single" w:color="auto" w:sz="2" w:space="0"/>
              <w:left w:val="single" w:color="auto" w:sz="2" w:space="0"/>
              <w:bottom w:val="single" w:color="auto" w:sz="2" w:space="0"/>
              <w:right w:val="single" w:color="auto" w:sz="2" w:space="0"/>
            </w:tcBorders>
            <w:vAlign w:val="center"/>
          </w:tcPr>
          <w:p w14:paraId="2D225D1D">
            <w:pPr>
              <w:spacing w:line="240" w:lineRule="exact"/>
              <w:rPr>
                <w:rFonts w:ascii="宋体" w:hAnsi="宋体" w:eastAsia="宋体" w:cs="宋体"/>
                <w:sz w:val="18"/>
                <w:szCs w:val="18"/>
              </w:rPr>
            </w:pPr>
            <w:r>
              <w:rPr>
                <w:rFonts w:ascii="宋体" w:hAnsi="宋体" w:eastAsia="宋体" w:cs="宋体"/>
                <w:sz w:val="18"/>
                <w:szCs w:val="18"/>
              </w:rPr>
              <w:t>第二名</w:t>
            </w:r>
          </w:p>
        </w:tc>
        <w:tc>
          <w:tcPr>
            <w:tcW w:w="2410" w:type="dxa"/>
            <w:tcBorders>
              <w:top w:val="single" w:color="auto" w:sz="2" w:space="0"/>
              <w:left w:val="single" w:color="auto" w:sz="2" w:space="0"/>
              <w:bottom w:val="single" w:color="auto" w:sz="2" w:space="0"/>
              <w:right w:val="single" w:color="auto" w:sz="2" w:space="0"/>
            </w:tcBorders>
            <w:vAlign w:val="center"/>
          </w:tcPr>
          <w:p w14:paraId="0E5C05AA">
            <w:pPr>
              <w:spacing w:line="240" w:lineRule="exact"/>
              <w:jc w:val="right"/>
              <w:rPr>
                <w:rFonts w:ascii="宋体" w:hAnsi="宋体" w:eastAsia="宋体" w:cs="宋体"/>
                <w:sz w:val="18"/>
                <w:szCs w:val="18"/>
              </w:rPr>
            </w:pPr>
            <w:r>
              <w:rPr>
                <w:rFonts w:ascii="宋体" w:hAnsi="宋体" w:eastAsia="宋体" w:cs="宋体"/>
                <w:sz w:val="18"/>
                <w:szCs w:val="18"/>
              </w:rPr>
              <w:t>642,070,774.40</w:t>
            </w:r>
          </w:p>
        </w:tc>
        <w:tc>
          <w:tcPr>
            <w:tcW w:w="2410" w:type="dxa"/>
            <w:tcBorders>
              <w:top w:val="single" w:color="auto" w:sz="2" w:space="0"/>
              <w:left w:val="single" w:color="auto" w:sz="2" w:space="0"/>
              <w:bottom w:val="single" w:color="auto" w:sz="2" w:space="0"/>
              <w:right w:val="single" w:color="auto" w:sz="2" w:space="0"/>
            </w:tcBorders>
            <w:vAlign w:val="center"/>
          </w:tcPr>
          <w:p w14:paraId="0419A47A">
            <w:pPr>
              <w:spacing w:line="240" w:lineRule="exact"/>
              <w:jc w:val="right"/>
              <w:rPr>
                <w:rFonts w:ascii="宋体" w:hAnsi="宋体" w:eastAsia="宋体" w:cs="宋体"/>
                <w:sz w:val="18"/>
                <w:szCs w:val="18"/>
              </w:rPr>
            </w:pPr>
            <w:r>
              <w:rPr>
                <w:rFonts w:ascii="宋体" w:hAnsi="宋体" w:eastAsia="宋体" w:cs="宋体"/>
                <w:sz w:val="18"/>
                <w:szCs w:val="18"/>
              </w:rPr>
              <w:t>7.98%</w:t>
            </w:r>
          </w:p>
        </w:tc>
      </w:tr>
      <w:tr w14:paraId="36A67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F79EE22">
            <w:pPr>
              <w:spacing w:before="40" w:after="40" w:line="240" w:lineRule="exact"/>
              <w:jc w:val="center"/>
              <w:rPr>
                <w:rFonts w:ascii="宋体" w:hAnsi="宋体" w:eastAsia="宋体" w:cs="宋体"/>
                <w:sz w:val="18"/>
                <w:szCs w:val="18"/>
              </w:rPr>
            </w:pPr>
            <w:r>
              <w:rPr>
                <w:rFonts w:ascii="宋体" w:hAnsi="宋体" w:eastAsia="宋体" w:cs="宋体"/>
                <w:sz w:val="18"/>
                <w:szCs w:val="18"/>
              </w:rPr>
              <w:t>3</w:t>
            </w:r>
          </w:p>
        </w:tc>
        <w:tc>
          <w:tcPr>
            <w:tcW w:w="2410" w:type="dxa"/>
            <w:tcBorders>
              <w:top w:val="single" w:color="auto" w:sz="2" w:space="0"/>
              <w:left w:val="single" w:color="auto" w:sz="2" w:space="0"/>
              <w:bottom w:val="single" w:color="auto" w:sz="2" w:space="0"/>
              <w:right w:val="single" w:color="auto" w:sz="2" w:space="0"/>
            </w:tcBorders>
            <w:vAlign w:val="center"/>
          </w:tcPr>
          <w:p w14:paraId="022007B2">
            <w:pPr>
              <w:spacing w:line="240" w:lineRule="exact"/>
              <w:rPr>
                <w:rFonts w:ascii="宋体" w:hAnsi="宋体" w:eastAsia="宋体" w:cs="宋体"/>
                <w:sz w:val="18"/>
                <w:szCs w:val="18"/>
              </w:rPr>
            </w:pPr>
            <w:r>
              <w:rPr>
                <w:rFonts w:ascii="宋体" w:hAnsi="宋体" w:eastAsia="宋体" w:cs="宋体"/>
                <w:sz w:val="18"/>
                <w:szCs w:val="18"/>
              </w:rPr>
              <w:t>第三名</w:t>
            </w:r>
          </w:p>
        </w:tc>
        <w:tc>
          <w:tcPr>
            <w:tcW w:w="2410" w:type="dxa"/>
            <w:tcBorders>
              <w:top w:val="single" w:color="auto" w:sz="2" w:space="0"/>
              <w:left w:val="single" w:color="auto" w:sz="2" w:space="0"/>
              <w:bottom w:val="single" w:color="auto" w:sz="2" w:space="0"/>
              <w:right w:val="single" w:color="auto" w:sz="2" w:space="0"/>
            </w:tcBorders>
            <w:vAlign w:val="center"/>
          </w:tcPr>
          <w:p w14:paraId="555A33FA">
            <w:pPr>
              <w:spacing w:line="240" w:lineRule="exact"/>
              <w:jc w:val="right"/>
              <w:rPr>
                <w:rFonts w:ascii="宋体" w:hAnsi="宋体" w:eastAsia="宋体" w:cs="宋体"/>
                <w:sz w:val="18"/>
                <w:szCs w:val="18"/>
              </w:rPr>
            </w:pPr>
            <w:r>
              <w:rPr>
                <w:rFonts w:ascii="宋体" w:hAnsi="宋体" w:eastAsia="宋体" w:cs="宋体"/>
                <w:sz w:val="18"/>
                <w:szCs w:val="18"/>
              </w:rPr>
              <w:t>258,572,698.67</w:t>
            </w:r>
          </w:p>
        </w:tc>
        <w:tc>
          <w:tcPr>
            <w:tcW w:w="2410" w:type="dxa"/>
            <w:tcBorders>
              <w:top w:val="single" w:color="auto" w:sz="2" w:space="0"/>
              <w:left w:val="single" w:color="auto" w:sz="2" w:space="0"/>
              <w:bottom w:val="single" w:color="auto" w:sz="2" w:space="0"/>
              <w:right w:val="single" w:color="auto" w:sz="2" w:space="0"/>
            </w:tcBorders>
            <w:vAlign w:val="center"/>
          </w:tcPr>
          <w:p w14:paraId="729FB60A">
            <w:pPr>
              <w:spacing w:line="240" w:lineRule="exact"/>
              <w:jc w:val="right"/>
              <w:rPr>
                <w:rFonts w:ascii="宋体" w:hAnsi="宋体" w:eastAsia="宋体" w:cs="宋体"/>
                <w:sz w:val="18"/>
                <w:szCs w:val="18"/>
              </w:rPr>
            </w:pPr>
            <w:r>
              <w:rPr>
                <w:rFonts w:ascii="宋体" w:hAnsi="宋体" w:eastAsia="宋体" w:cs="宋体"/>
                <w:sz w:val="18"/>
                <w:szCs w:val="18"/>
              </w:rPr>
              <w:t>3.21%</w:t>
            </w:r>
          </w:p>
        </w:tc>
      </w:tr>
      <w:tr w14:paraId="397AB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DED27D8">
            <w:pPr>
              <w:spacing w:before="40" w:after="40" w:line="240" w:lineRule="exact"/>
              <w:jc w:val="center"/>
              <w:rPr>
                <w:rFonts w:ascii="宋体" w:hAnsi="宋体" w:eastAsia="宋体" w:cs="宋体"/>
                <w:sz w:val="18"/>
                <w:szCs w:val="18"/>
              </w:rPr>
            </w:pPr>
            <w:r>
              <w:rPr>
                <w:rFonts w:ascii="宋体" w:hAnsi="宋体" w:eastAsia="宋体" w:cs="宋体"/>
                <w:sz w:val="18"/>
                <w:szCs w:val="18"/>
              </w:rPr>
              <w:t>4</w:t>
            </w:r>
          </w:p>
        </w:tc>
        <w:tc>
          <w:tcPr>
            <w:tcW w:w="2410" w:type="dxa"/>
            <w:tcBorders>
              <w:top w:val="single" w:color="auto" w:sz="2" w:space="0"/>
              <w:left w:val="single" w:color="auto" w:sz="2" w:space="0"/>
              <w:bottom w:val="single" w:color="auto" w:sz="2" w:space="0"/>
              <w:right w:val="single" w:color="auto" w:sz="2" w:space="0"/>
            </w:tcBorders>
            <w:vAlign w:val="center"/>
          </w:tcPr>
          <w:p w14:paraId="5768611C">
            <w:pPr>
              <w:spacing w:line="240" w:lineRule="exact"/>
              <w:rPr>
                <w:rFonts w:ascii="宋体" w:hAnsi="宋体" w:eastAsia="宋体" w:cs="宋体"/>
                <w:sz w:val="18"/>
                <w:szCs w:val="18"/>
              </w:rPr>
            </w:pPr>
            <w:r>
              <w:rPr>
                <w:rFonts w:ascii="宋体" w:hAnsi="宋体" w:eastAsia="宋体" w:cs="宋体"/>
                <w:sz w:val="18"/>
                <w:szCs w:val="18"/>
              </w:rPr>
              <w:t>第四名</w:t>
            </w:r>
          </w:p>
        </w:tc>
        <w:tc>
          <w:tcPr>
            <w:tcW w:w="2410" w:type="dxa"/>
            <w:tcBorders>
              <w:top w:val="single" w:color="auto" w:sz="2" w:space="0"/>
              <w:left w:val="single" w:color="auto" w:sz="2" w:space="0"/>
              <w:bottom w:val="single" w:color="auto" w:sz="2" w:space="0"/>
              <w:right w:val="single" w:color="auto" w:sz="2" w:space="0"/>
            </w:tcBorders>
            <w:vAlign w:val="center"/>
          </w:tcPr>
          <w:p w14:paraId="2A3B0010">
            <w:pPr>
              <w:spacing w:line="240" w:lineRule="exact"/>
              <w:jc w:val="right"/>
              <w:rPr>
                <w:rFonts w:ascii="宋体" w:hAnsi="宋体" w:eastAsia="宋体" w:cs="宋体"/>
                <w:sz w:val="18"/>
                <w:szCs w:val="18"/>
              </w:rPr>
            </w:pPr>
            <w:r>
              <w:rPr>
                <w:rFonts w:ascii="宋体" w:hAnsi="宋体" w:eastAsia="宋体" w:cs="宋体"/>
                <w:sz w:val="18"/>
                <w:szCs w:val="18"/>
              </w:rPr>
              <w:t>178,207,137.49</w:t>
            </w:r>
          </w:p>
        </w:tc>
        <w:tc>
          <w:tcPr>
            <w:tcW w:w="2410" w:type="dxa"/>
            <w:tcBorders>
              <w:top w:val="single" w:color="auto" w:sz="2" w:space="0"/>
              <w:left w:val="single" w:color="auto" w:sz="2" w:space="0"/>
              <w:bottom w:val="single" w:color="auto" w:sz="2" w:space="0"/>
              <w:right w:val="single" w:color="auto" w:sz="2" w:space="0"/>
            </w:tcBorders>
            <w:vAlign w:val="center"/>
          </w:tcPr>
          <w:p w14:paraId="3E70E3F8">
            <w:pPr>
              <w:spacing w:line="240" w:lineRule="exact"/>
              <w:jc w:val="right"/>
              <w:rPr>
                <w:rFonts w:ascii="宋体" w:hAnsi="宋体" w:eastAsia="宋体" w:cs="宋体"/>
                <w:sz w:val="18"/>
                <w:szCs w:val="18"/>
              </w:rPr>
            </w:pPr>
            <w:r>
              <w:rPr>
                <w:rFonts w:ascii="宋体" w:hAnsi="宋体" w:eastAsia="宋体" w:cs="宋体"/>
                <w:sz w:val="18"/>
                <w:szCs w:val="18"/>
              </w:rPr>
              <w:t>2.21%</w:t>
            </w:r>
          </w:p>
        </w:tc>
      </w:tr>
      <w:tr w14:paraId="4E936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D945081">
            <w:pPr>
              <w:spacing w:before="40" w:after="40" w:line="240" w:lineRule="exact"/>
              <w:jc w:val="center"/>
              <w:rPr>
                <w:rFonts w:ascii="宋体" w:hAnsi="宋体" w:eastAsia="宋体" w:cs="宋体"/>
                <w:sz w:val="18"/>
                <w:szCs w:val="18"/>
              </w:rPr>
            </w:pPr>
            <w:r>
              <w:rPr>
                <w:rFonts w:ascii="宋体" w:hAnsi="宋体" w:eastAsia="宋体" w:cs="宋体"/>
                <w:sz w:val="18"/>
                <w:szCs w:val="18"/>
              </w:rPr>
              <w:t>5</w:t>
            </w:r>
          </w:p>
        </w:tc>
        <w:tc>
          <w:tcPr>
            <w:tcW w:w="2410" w:type="dxa"/>
            <w:tcBorders>
              <w:top w:val="single" w:color="auto" w:sz="2" w:space="0"/>
              <w:left w:val="single" w:color="auto" w:sz="2" w:space="0"/>
              <w:bottom w:val="single" w:color="auto" w:sz="2" w:space="0"/>
              <w:right w:val="single" w:color="auto" w:sz="2" w:space="0"/>
            </w:tcBorders>
            <w:vAlign w:val="center"/>
          </w:tcPr>
          <w:p w14:paraId="418FE63F">
            <w:pPr>
              <w:spacing w:line="240" w:lineRule="exact"/>
              <w:rPr>
                <w:rFonts w:ascii="宋体" w:hAnsi="宋体" w:eastAsia="宋体" w:cs="宋体"/>
                <w:sz w:val="18"/>
                <w:szCs w:val="18"/>
              </w:rPr>
            </w:pPr>
            <w:r>
              <w:rPr>
                <w:rFonts w:ascii="宋体" w:hAnsi="宋体" w:eastAsia="宋体" w:cs="宋体"/>
                <w:sz w:val="18"/>
                <w:szCs w:val="18"/>
              </w:rPr>
              <w:t>第五名</w:t>
            </w:r>
          </w:p>
        </w:tc>
        <w:tc>
          <w:tcPr>
            <w:tcW w:w="2410" w:type="dxa"/>
            <w:tcBorders>
              <w:top w:val="single" w:color="auto" w:sz="2" w:space="0"/>
              <w:left w:val="single" w:color="auto" w:sz="2" w:space="0"/>
              <w:bottom w:val="single" w:color="auto" w:sz="2" w:space="0"/>
              <w:right w:val="single" w:color="auto" w:sz="2" w:space="0"/>
            </w:tcBorders>
            <w:vAlign w:val="center"/>
          </w:tcPr>
          <w:p w14:paraId="2261E9CC">
            <w:pPr>
              <w:spacing w:line="240" w:lineRule="exact"/>
              <w:jc w:val="right"/>
              <w:rPr>
                <w:rFonts w:ascii="宋体" w:hAnsi="宋体" w:eastAsia="宋体" w:cs="宋体"/>
                <w:sz w:val="18"/>
                <w:szCs w:val="18"/>
              </w:rPr>
            </w:pPr>
            <w:r>
              <w:rPr>
                <w:rFonts w:ascii="宋体" w:hAnsi="宋体" w:eastAsia="宋体" w:cs="宋体"/>
                <w:sz w:val="18"/>
                <w:szCs w:val="18"/>
              </w:rPr>
              <w:t>174,247,555.31</w:t>
            </w:r>
          </w:p>
        </w:tc>
        <w:tc>
          <w:tcPr>
            <w:tcW w:w="2410" w:type="dxa"/>
            <w:tcBorders>
              <w:top w:val="single" w:color="auto" w:sz="2" w:space="0"/>
              <w:left w:val="single" w:color="auto" w:sz="2" w:space="0"/>
              <w:bottom w:val="single" w:color="auto" w:sz="2" w:space="0"/>
              <w:right w:val="single" w:color="auto" w:sz="2" w:space="0"/>
            </w:tcBorders>
            <w:vAlign w:val="center"/>
          </w:tcPr>
          <w:p w14:paraId="45889CCF">
            <w:pPr>
              <w:spacing w:line="240" w:lineRule="exact"/>
              <w:jc w:val="right"/>
              <w:rPr>
                <w:rFonts w:ascii="宋体" w:hAnsi="宋体" w:eastAsia="宋体" w:cs="宋体"/>
                <w:sz w:val="18"/>
                <w:szCs w:val="18"/>
              </w:rPr>
            </w:pPr>
            <w:r>
              <w:rPr>
                <w:rFonts w:ascii="宋体" w:hAnsi="宋体" w:eastAsia="宋体" w:cs="宋体"/>
                <w:sz w:val="18"/>
                <w:szCs w:val="18"/>
              </w:rPr>
              <w:t>2.16%</w:t>
            </w:r>
          </w:p>
        </w:tc>
      </w:tr>
      <w:tr w14:paraId="4B500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D5920B4">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0D0CD72">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2410" w:type="dxa"/>
            <w:tcBorders>
              <w:top w:val="single" w:color="auto" w:sz="2" w:space="0"/>
              <w:left w:val="single" w:color="auto" w:sz="2" w:space="0"/>
              <w:bottom w:val="single" w:color="auto" w:sz="2" w:space="0"/>
              <w:right w:val="single" w:color="auto" w:sz="2" w:space="0"/>
            </w:tcBorders>
            <w:vAlign w:val="center"/>
          </w:tcPr>
          <w:p w14:paraId="3307CB72">
            <w:pPr>
              <w:spacing w:line="240" w:lineRule="exact"/>
              <w:jc w:val="right"/>
              <w:rPr>
                <w:rFonts w:ascii="宋体" w:hAnsi="宋体" w:eastAsia="宋体" w:cs="宋体"/>
                <w:sz w:val="18"/>
                <w:szCs w:val="18"/>
              </w:rPr>
            </w:pPr>
            <w:r>
              <w:rPr>
                <w:rFonts w:ascii="宋体" w:hAnsi="宋体" w:eastAsia="宋体" w:cs="宋体"/>
                <w:sz w:val="18"/>
                <w:szCs w:val="18"/>
              </w:rPr>
              <w:t>2,344,885,050.15</w:t>
            </w:r>
          </w:p>
        </w:tc>
        <w:tc>
          <w:tcPr>
            <w:tcW w:w="2410" w:type="dxa"/>
            <w:tcBorders>
              <w:top w:val="single" w:color="auto" w:sz="2" w:space="0"/>
              <w:left w:val="single" w:color="auto" w:sz="2" w:space="0"/>
              <w:bottom w:val="single" w:color="auto" w:sz="2" w:space="0"/>
              <w:right w:val="single" w:color="auto" w:sz="2" w:space="0"/>
            </w:tcBorders>
            <w:vAlign w:val="center"/>
          </w:tcPr>
          <w:p w14:paraId="00BDD40F">
            <w:pPr>
              <w:spacing w:line="240" w:lineRule="exact"/>
              <w:jc w:val="right"/>
              <w:rPr>
                <w:rFonts w:ascii="宋体" w:hAnsi="宋体" w:eastAsia="宋体" w:cs="宋体"/>
                <w:sz w:val="18"/>
                <w:szCs w:val="18"/>
              </w:rPr>
            </w:pPr>
            <w:r>
              <w:rPr>
                <w:rFonts w:ascii="宋体" w:hAnsi="宋体" w:eastAsia="宋体" w:cs="宋体"/>
                <w:sz w:val="18"/>
                <w:szCs w:val="18"/>
              </w:rPr>
              <w:t>29.13%</w:t>
            </w:r>
          </w:p>
        </w:tc>
      </w:tr>
    </w:tbl>
    <w:p w14:paraId="0887C761">
      <w:pPr>
        <w:spacing w:before="100" w:after="100" w:line="240" w:lineRule="exact"/>
        <w:rPr>
          <w:rFonts w:ascii="宋体" w:hAnsi="宋体" w:eastAsia="宋体" w:cs="宋体"/>
          <w:sz w:val="18"/>
          <w:szCs w:val="18"/>
        </w:rPr>
      </w:pPr>
      <w:r>
        <w:rPr>
          <w:rFonts w:ascii="宋体" w:hAnsi="宋体" w:eastAsia="宋体" w:cs="宋体"/>
          <w:sz w:val="18"/>
          <w:szCs w:val="18"/>
        </w:rPr>
        <w:t>主要客户其他情况说明</w:t>
      </w:r>
    </w:p>
    <w:p w14:paraId="3699FF21">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9754DB0">
      <w:pPr>
        <w:spacing w:before="40" w:after="40" w:line="240" w:lineRule="exact"/>
        <w:rPr>
          <w:rFonts w:ascii="宋体" w:hAnsi="宋体" w:eastAsia="宋体" w:cs="宋体"/>
          <w:sz w:val="18"/>
          <w:szCs w:val="18"/>
        </w:rPr>
      </w:pPr>
      <w:r>
        <w:rPr>
          <w:rFonts w:ascii="宋体" w:hAnsi="宋体" w:eastAsia="宋体" w:cs="宋体"/>
          <w:sz w:val="18"/>
          <w:szCs w:val="18"/>
        </w:rPr>
        <w:t>公司主要供应商情况</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14:paraId="2B66C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958DE16">
            <w:pPr>
              <w:spacing w:before="40" w:after="40" w:line="240" w:lineRule="exact"/>
              <w:rPr>
                <w:rFonts w:ascii="宋体" w:hAnsi="宋体" w:eastAsia="宋体" w:cs="宋体"/>
                <w:sz w:val="18"/>
                <w:szCs w:val="18"/>
              </w:rPr>
            </w:pPr>
            <w:r>
              <w:rPr>
                <w:rFonts w:ascii="宋体" w:hAnsi="宋体" w:eastAsia="宋体" w:cs="宋体"/>
                <w:sz w:val="18"/>
                <w:szCs w:val="18"/>
              </w:rPr>
              <w:t>前五名供应商合计采购金额（元）</w:t>
            </w:r>
          </w:p>
        </w:tc>
        <w:tc>
          <w:tcPr>
            <w:tcW w:w="4820" w:type="dxa"/>
            <w:tcBorders>
              <w:top w:val="single" w:color="auto" w:sz="2" w:space="0"/>
              <w:left w:val="single" w:color="auto" w:sz="2" w:space="0"/>
              <w:bottom w:val="single" w:color="auto" w:sz="2" w:space="0"/>
              <w:right w:val="single" w:color="auto" w:sz="2" w:space="0"/>
            </w:tcBorders>
            <w:vAlign w:val="center"/>
          </w:tcPr>
          <w:p w14:paraId="4A6A6C31">
            <w:pPr>
              <w:spacing w:line="240" w:lineRule="exact"/>
              <w:jc w:val="right"/>
              <w:rPr>
                <w:rFonts w:ascii="宋体" w:hAnsi="宋体" w:eastAsia="宋体" w:cs="宋体"/>
                <w:sz w:val="18"/>
                <w:szCs w:val="18"/>
              </w:rPr>
            </w:pPr>
            <w:r>
              <w:rPr>
                <w:rFonts w:ascii="宋体" w:hAnsi="宋体" w:eastAsia="宋体" w:cs="宋体"/>
                <w:sz w:val="18"/>
                <w:szCs w:val="18"/>
              </w:rPr>
              <w:t>1,718,822,992.15</w:t>
            </w:r>
          </w:p>
        </w:tc>
      </w:tr>
      <w:tr w14:paraId="44D08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F661086">
            <w:pPr>
              <w:spacing w:before="40" w:after="40" w:line="240" w:lineRule="exact"/>
              <w:rPr>
                <w:rFonts w:ascii="宋体" w:hAnsi="宋体" w:eastAsia="宋体" w:cs="宋体"/>
                <w:sz w:val="18"/>
                <w:szCs w:val="18"/>
              </w:rPr>
            </w:pPr>
            <w:r>
              <w:rPr>
                <w:rFonts w:ascii="宋体" w:hAnsi="宋体" w:eastAsia="宋体" w:cs="宋体"/>
                <w:sz w:val="18"/>
                <w:szCs w:val="18"/>
              </w:rPr>
              <w:t>前五名供应商合计采购金额占年度采购总额比例</w:t>
            </w:r>
          </w:p>
        </w:tc>
        <w:tc>
          <w:tcPr>
            <w:tcW w:w="4820" w:type="dxa"/>
            <w:tcBorders>
              <w:top w:val="single" w:color="auto" w:sz="2" w:space="0"/>
              <w:left w:val="single" w:color="auto" w:sz="2" w:space="0"/>
              <w:bottom w:val="single" w:color="auto" w:sz="2" w:space="0"/>
              <w:right w:val="single" w:color="auto" w:sz="2" w:space="0"/>
            </w:tcBorders>
            <w:vAlign w:val="center"/>
          </w:tcPr>
          <w:p w14:paraId="1C46F644">
            <w:pPr>
              <w:spacing w:line="240" w:lineRule="exact"/>
              <w:jc w:val="right"/>
              <w:rPr>
                <w:rFonts w:ascii="宋体" w:hAnsi="宋体" w:eastAsia="宋体" w:cs="宋体"/>
                <w:sz w:val="18"/>
                <w:szCs w:val="18"/>
              </w:rPr>
            </w:pPr>
            <w:r>
              <w:rPr>
                <w:rFonts w:ascii="宋体" w:hAnsi="宋体" w:eastAsia="宋体" w:cs="宋体"/>
                <w:sz w:val="18"/>
                <w:szCs w:val="18"/>
              </w:rPr>
              <w:t>23.98%</w:t>
            </w:r>
          </w:p>
        </w:tc>
      </w:tr>
      <w:tr w14:paraId="3AE8E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CFC0447">
            <w:pPr>
              <w:spacing w:before="40" w:after="40" w:line="240" w:lineRule="exact"/>
              <w:rPr>
                <w:rFonts w:ascii="宋体" w:hAnsi="宋体" w:eastAsia="宋体" w:cs="宋体"/>
                <w:sz w:val="18"/>
                <w:szCs w:val="18"/>
              </w:rPr>
            </w:pPr>
            <w:r>
              <w:rPr>
                <w:rFonts w:ascii="宋体" w:hAnsi="宋体" w:eastAsia="宋体" w:cs="宋体"/>
                <w:sz w:val="18"/>
                <w:szCs w:val="18"/>
              </w:rPr>
              <w:t>前五名供应商采购额中关联方采购额占年度采购总额比例</w:t>
            </w:r>
          </w:p>
        </w:tc>
        <w:tc>
          <w:tcPr>
            <w:tcW w:w="4820" w:type="dxa"/>
            <w:tcBorders>
              <w:top w:val="single" w:color="auto" w:sz="2" w:space="0"/>
              <w:left w:val="single" w:color="auto" w:sz="2" w:space="0"/>
              <w:bottom w:val="single" w:color="auto" w:sz="2" w:space="0"/>
              <w:right w:val="single" w:color="auto" w:sz="2" w:space="0"/>
            </w:tcBorders>
            <w:vAlign w:val="center"/>
          </w:tcPr>
          <w:p w14:paraId="328482DE">
            <w:pPr>
              <w:spacing w:line="240" w:lineRule="exact"/>
              <w:jc w:val="right"/>
              <w:rPr>
                <w:rFonts w:ascii="宋体" w:hAnsi="宋体" w:eastAsia="宋体" w:cs="宋体"/>
                <w:sz w:val="18"/>
                <w:szCs w:val="18"/>
              </w:rPr>
            </w:pPr>
            <w:r>
              <w:rPr>
                <w:rFonts w:ascii="宋体" w:hAnsi="宋体" w:eastAsia="宋体" w:cs="宋体"/>
                <w:sz w:val="18"/>
                <w:szCs w:val="18"/>
              </w:rPr>
              <w:t>0.00%</w:t>
            </w:r>
          </w:p>
        </w:tc>
      </w:tr>
    </w:tbl>
    <w:p w14:paraId="4408544D">
      <w:pPr>
        <w:spacing w:before="40" w:after="40" w:line="240" w:lineRule="exact"/>
        <w:rPr>
          <w:rFonts w:ascii="宋体" w:hAnsi="宋体" w:eastAsia="宋体" w:cs="宋体"/>
          <w:sz w:val="18"/>
          <w:szCs w:val="18"/>
        </w:rPr>
      </w:pPr>
      <w:r>
        <w:rPr>
          <w:rFonts w:ascii="宋体" w:hAnsi="宋体" w:eastAsia="宋体" w:cs="宋体"/>
          <w:sz w:val="18"/>
          <w:szCs w:val="18"/>
        </w:rPr>
        <w:t>公司前5名供应商资料</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6E4F8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95920E2">
            <w:pPr>
              <w:spacing w:before="40" w:after="40" w:line="240" w:lineRule="exact"/>
              <w:jc w:val="center"/>
              <w:rPr>
                <w:rFonts w:ascii="宋体" w:hAnsi="宋体" w:eastAsia="宋体" w:cs="宋体"/>
                <w:sz w:val="18"/>
                <w:szCs w:val="18"/>
              </w:rPr>
            </w:pPr>
            <w:r>
              <w:rPr>
                <w:rFonts w:ascii="宋体" w:hAnsi="宋体" w:eastAsia="宋体" w:cs="宋体"/>
                <w:sz w:val="18"/>
                <w:szCs w:val="18"/>
              </w:rPr>
              <w:t>序号</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A4313AE">
            <w:pPr>
              <w:spacing w:before="40" w:after="40" w:line="240" w:lineRule="exact"/>
              <w:jc w:val="center"/>
              <w:rPr>
                <w:rFonts w:ascii="宋体" w:hAnsi="宋体" w:eastAsia="宋体" w:cs="宋体"/>
                <w:sz w:val="18"/>
                <w:szCs w:val="18"/>
              </w:rPr>
            </w:pPr>
            <w:r>
              <w:rPr>
                <w:rFonts w:ascii="宋体" w:hAnsi="宋体" w:eastAsia="宋体" w:cs="宋体"/>
                <w:sz w:val="18"/>
                <w:szCs w:val="18"/>
              </w:rPr>
              <w:t>供应商名称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1364681">
            <w:pPr>
              <w:spacing w:before="40" w:after="40" w:line="240" w:lineRule="exact"/>
              <w:jc w:val="center"/>
              <w:rPr>
                <w:rFonts w:ascii="宋体" w:hAnsi="宋体" w:eastAsia="宋体" w:cs="宋体"/>
                <w:sz w:val="18"/>
                <w:szCs w:val="18"/>
              </w:rPr>
            </w:pPr>
            <w:r>
              <w:rPr>
                <w:rFonts w:ascii="宋体" w:hAnsi="宋体" w:eastAsia="宋体" w:cs="宋体"/>
                <w:sz w:val="18"/>
                <w:szCs w:val="18"/>
              </w:rPr>
              <w:t>采购额（元）</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BF70076">
            <w:pPr>
              <w:spacing w:before="40" w:after="40" w:line="240" w:lineRule="exact"/>
              <w:jc w:val="center"/>
              <w:rPr>
                <w:rFonts w:ascii="宋体" w:hAnsi="宋体" w:eastAsia="宋体" w:cs="宋体"/>
                <w:sz w:val="18"/>
                <w:szCs w:val="18"/>
              </w:rPr>
            </w:pPr>
            <w:r>
              <w:rPr>
                <w:rFonts w:ascii="宋体" w:hAnsi="宋体" w:eastAsia="宋体" w:cs="宋体"/>
                <w:sz w:val="18"/>
                <w:szCs w:val="18"/>
              </w:rPr>
              <w:t>占年度采购总额比例</w:t>
            </w:r>
          </w:p>
        </w:tc>
      </w:tr>
      <w:tr w14:paraId="43AB4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5FC8A40">
            <w:pPr>
              <w:spacing w:before="40" w:after="40" w:line="240" w:lineRule="exact"/>
              <w:jc w:val="center"/>
              <w:rPr>
                <w:rFonts w:ascii="宋体" w:hAnsi="宋体" w:eastAsia="宋体" w:cs="宋体"/>
                <w:sz w:val="18"/>
                <w:szCs w:val="18"/>
              </w:rPr>
            </w:pPr>
            <w:r>
              <w:rPr>
                <w:rFonts w:ascii="宋体" w:hAnsi="宋体" w:eastAsia="宋体" w:cs="宋体"/>
                <w:sz w:val="18"/>
                <w:szCs w:val="18"/>
              </w:rPr>
              <w:t>1</w:t>
            </w:r>
          </w:p>
        </w:tc>
        <w:tc>
          <w:tcPr>
            <w:tcW w:w="2410" w:type="dxa"/>
            <w:tcBorders>
              <w:top w:val="single" w:color="auto" w:sz="2" w:space="0"/>
              <w:left w:val="single" w:color="auto" w:sz="2" w:space="0"/>
              <w:bottom w:val="single" w:color="auto" w:sz="2" w:space="0"/>
              <w:right w:val="single" w:color="auto" w:sz="2" w:space="0"/>
            </w:tcBorders>
            <w:vAlign w:val="center"/>
          </w:tcPr>
          <w:p w14:paraId="55684506">
            <w:pPr>
              <w:spacing w:line="240" w:lineRule="exact"/>
              <w:rPr>
                <w:rFonts w:ascii="宋体" w:hAnsi="宋体" w:eastAsia="宋体" w:cs="宋体"/>
                <w:sz w:val="18"/>
                <w:szCs w:val="18"/>
              </w:rPr>
            </w:pPr>
            <w:r>
              <w:rPr>
                <w:rFonts w:ascii="宋体" w:hAnsi="宋体" w:eastAsia="宋体" w:cs="宋体"/>
                <w:sz w:val="18"/>
                <w:szCs w:val="18"/>
              </w:rPr>
              <w:t>第一名</w:t>
            </w:r>
          </w:p>
        </w:tc>
        <w:tc>
          <w:tcPr>
            <w:tcW w:w="2410" w:type="dxa"/>
            <w:tcBorders>
              <w:top w:val="single" w:color="auto" w:sz="2" w:space="0"/>
              <w:left w:val="single" w:color="auto" w:sz="2" w:space="0"/>
              <w:bottom w:val="single" w:color="auto" w:sz="2" w:space="0"/>
              <w:right w:val="single" w:color="auto" w:sz="2" w:space="0"/>
            </w:tcBorders>
            <w:vAlign w:val="center"/>
          </w:tcPr>
          <w:p w14:paraId="6D3B600B">
            <w:pPr>
              <w:spacing w:line="240" w:lineRule="exact"/>
              <w:jc w:val="right"/>
              <w:rPr>
                <w:rFonts w:ascii="宋体" w:hAnsi="宋体" w:eastAsia="宋体" w:cs="宋体"/>
                <w:sz w:val="18"/>
                <w:szCs w:val="18"/>
              </w:rPr>
            </w:pPr>
            <w:r>
              <w:rPr>
                <w:rFonts w:ascii="宋体" w:hAnsi="宋体" w:eastAsia="宋体" w:cs="宋体"/>
                <w:sz w:val="18"/>
                <w:szCs w:val="18"/>
              </w:rPr>
              <w:t>506,072,415.25</w:t>
            </w:r>
          </w:p>
        </w:tc>
        <w:tc>
          <w:tcPr>
            <w:tcW w:w="2410" w:type="dxa"/>
            <w:tcBorders>
              <w:top w:val="single" w:color="auto" w:sz="2" w:space="0"/>
              <w:left w:val="single" w:color="auto" w:sz="2" w:space="0"/>
              <w:bottom w:val="single" w:color="auto" w:sz="2" w:space="0"/>
              <w:right w:val="single" w:color="auto" w:sz="2" w:space="0"/>
            </w:tcBorders>
            <w:vAlign w:val="center"/>
          </w:tcPr>
          <w:p w14:paraId="014A6A65">
            <w:pPr>
              <w:spacing w:line="240" w:lineRule="exact"/>
              <w:jc w:val="right"/>
              <w:rPr>
                <w:rFonts w:ascii="宋体" w:hAnsi="宋体" w:eastAsia="宋体" w:cs="宋体"/>
                <w:sz w:val="18"/>
                <w:szCs w:val="18"/>
              </w:rPr>
            </w:pPr>
            <w:r>
              <w:rPr>
                <w:rFonts w:ascii="宋体" w:hAnsi="宋体" w:eastAsia="宋体" w:cs="宋体"/>
                <w:sz w:val="18"/>
                <w:szCs w:val="18"/>
              </w:rPr>
              <w:t>7.06%</w:t>
            </w:r>
          </w:p>
        </w:tc>
      </w:tr>
      <w:tr w14:paraId="2B1C7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0CCE6C5">
            <w:pPr>
              <w:spacing w:before="40" w:after="40" w:line="240" w:lineRule="exact"/>
              <w:jc w:val="center"/>
              <w:rPr>
                <w:rFonts w:ascii="宋体" w:hAnsi="宋体" w:eastAsia="宋体" w:cs="宋体"/>
                <w:sz w:val="18"/>
                <w:szCs w:val="18"/>
              </w:rPr>
            </w:pPr>
            <w:r>
              <w:rPr>
                <w:rFonts w:ascii="宋体" w:hAnsi="宋体" w:eastAsia="宋体" w:cs="宋体"/>
                <w:sz w:val="18"/>
                <w:szCs w:val="18"/>
              </w:rPr>
              <w:t>2</w:t>
            </w:r>
          </w:p>
        </w:tc>
        <w:tc>
          <w:tcPr>
            <w:tcW w:w="2410" w:type="dxa"/>
            <w:tcBorders>
              <w:top w:val="single" w:color="auto" w:sz="2" w:space="0"/>
              <w:left w:val="single" w:color="auto" w:sz="2" w:space="0"/>
              <w:bottom w:val="single" w:color="auto" w:sz="2" w:space="0"/>
              <w:right w:val="single" w:color="auto" w:sz="2" w:space="0"/>
            </w:tcBorders>
            <w:vAlign w:val="center"/>
          </w:tcPr>
          <w:p w14:paraId="4F9B175B">
            <w:pPr>
              <w:spacing w:line="240" w:lineRule="exact"/>
              <w:rPr>
                <w:rFonts w:ascii="宋体" w:hAnsi="宋体" w:eastAsia="宋体" w:cs="宋体"/>
                <w:sz w:val="18"/>
                <w:szCs w:val="18"/>
              </w:rPr>
            </w:pPr>
            <w:r>
              <w:rPr>
                <w:rFonts w:ascii="宋体" w:hAnsi="宋体" w:eastAsia="宋体" w:cs="宋体"/>
                <w:sz w:val="18"/>
                <w:szCs w:val="18"/>
              </w:rPr>
              <w:t>第二名</w:t>
            </w:r>
          </w:p>
        </w:tc>
        <w:tc>
          <w:tcPr>
            <w:tcW w:w="2410" w:type="dxa"/>
            <w:tcBorders>
              <w:top w:val="single" w:color="auto" w:sz="2" w:space="0"/>
              <w:left w:val="single" w:color="auto" w:sz="2" w:space="0"/>
              <w:bottom w:val="single" w:color="auto" w:sz="2" w:space="0"/>
              <w:right w:val="single" w:color="auto" w:sz="2" w:space="0"/>
            </w:tcBorders>
            <w:vAlign w:val="center"/>
          </w:tcPr>
          <w:p w14:paraId="1C2336EE">
            <w:pPr>
              <w:spacing w:line="240" w:lineRule="exact"/>
              <w:jc w:val="right"/>
              <w:rPr>
                <w:rFonts w:ascii="宋体" w:hAnsi="宋体" w:eastAsia="宋体" w:cs="宋体"/>
                <w:sz w:val="18"/>
                <w:szCs w:val="18"/>
              </w:rPr>
            </w:pPr>
            <w:r>
              <w:rPr>
                <w:rFonts w:ascii="宋体" w:hAnsi="宋体" w:eastAsia="宋体" w:cs="宋体"/>
                <w:sz w:val="18"/>
                <w:szCs w:val="18"/>
              </w:rPr>
              <w:t>357,601,140.08</w:t>
            </w:r>
          </w:p>
        </w:tc>
        <w:tc>
          <w:tcPr>
            <w:tcW w:w="2410" w:type="dxa"/>
            <w:tcBorders>
              <w:top w:val="single" w:color="auto" w:sz="2" w:space="0"/>
              <w:left w:val="single" w:color="auto" w:sz="2" w:space="0"/>
              <w:bottom w:val="single" w:color="auto" w:sz="2" w:space="0"/>
              <w:right w:val="single" w:color="auto" w:sz="2" w:space="0"/>
            </w:tcBorders>
            <w:vAlign w:val="center"/>
          </w:tcPr>
          <w:p w14:paraId="727FAA90">
            <w:pPr>
              <w:spacing w:line="240" w:lineRule="exact"/>
              <w:jc w:val="right"/>
              <w:rPr>
                <w:rFonts w:ascii="宋体" w:hAnsi="宋体" w:eastAsia="宋体" w:cs="宋体"/>
                <w:sz w:val="18"/>
                <w:szCs w:val="18"/>
              </w:rPr>
            </w:pPr>
            <w:r>
              <w:rPr>
                <w:rFonts w:ascii="宋体" w:hAnsi="宋体" w:eastAsia="宋体" w:cs="宋体"/>
                <w:sz w:val="18"/>
                <w:szCs w:val="18"/>
              </w:rPr>
              <w:t>4.99%</w:t>
            </w:r>
          </w:p>
        </w:tc>
      </w:tr>
      <w:tr w14:paraId="10F4C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530AD23">
            <w:pPr>
              <w:spacing w:before="40" w:after="40" w:line="240" w:lineRule="exact"/>
              <w:jc w:val="center"/>
              <w:rPr>
                <w:rFonts w:ascii="宋体" w:hAnsi="宋体" w:eastAsia="宋体" w:cs="宋体"/>
                <w:sz w:val="18"/>
                <w:szCs w:val="18"/>
              </w:rPr>
            </w:pPr>
            <w:r>
              <w:rPr>
                <w:rFonts w:ascii="宋体" w:hAnsi="宋体" w:eastAsia="宋体" w:cs="宋体"/>
                <w:sz w:val="18"/>
                <w:szCs w:val="18"/>
              </w:rPr>
              <w:t>3</w:t>
            </w:r>
          </w:p>
        </w:tc>
        <w:tc>
          <w:tcPr>
            <w:tcW w:w="2410" w:type="dxa"/>
            <w:tcBorders>
              <w:top w:val="single" w:color="auto" w:sz="2" w:space="0"/>
              <w:left w:val="single" w:color="auto" w:sz="2" w:space="0"/>
              <w:bottom w:val="single" w:color="auto" w:sz="2" w:space="0"/>
              <w:right w:val="single" w:color="auto" w:sz="2" w:space="0"/>
            </w:tcBorders>
            <w:vAlign w:val="center"/>
          </w:tcPr>
          <w:p w14:paraId="002F0F82">
            <w:pPr>
              <w:spacing w:line="240" w:lineRule="exact"/>
              <w:rPr>
                <w:rFonts w:ascii="宋体" w:hAnsi="宋体" w:eastAsia="宋体" w:cs="宋体"/>
                <w:sz w:val="18"/>
                <w:szCs w:val="18"/>
              </w:rPr>
            </w:pPr>
            <w:r>
              <w:rPr>
                <w:rFonts w:ascii="宋体" w:hAnsi="宋体" w:eastAsia="宋体" w:cs="宋体"/>
                <w:sz w:val="18"/>
                <w:szCs w:val="18"/>
              </w:rPr>
              <w:t>第三名</w:t>
            </w:r>
          </w:p>
        </w:tc>
        <w:tc>
          <w:tcPr>
            <w:tcW w:w="2410" w:type="dxa"/>
            <w:tcBorders>
              <w:top w:val="single" w:color="auto" w:sz="2" w:space="0"/>
              <w:left w:val="single" w:color="auto" w:sz="2" w:space="0"/>
              <w:bottom w:val="single" w:color="auto" w:sz="2" w:space="0"/>
              <w:right w:val="single" w:color="auto" w:sz="2" w:space="0"/>
            </w:tcBorders>
            <w:vAlign w:val="center"/>
          </w:tcPr>
          <w:p w14:paraId="5A3EFF64">
            <w:pPr>
              <w:spacing w:line="240" w:lineRule="exact"/>
              <w:jc w:val="right"/>
              <w:rPr>
                <w:rFonts w:ascii="宋体" w:hAnsi="宋体" w:eastAsia="宋体" w:cs="宋体"/>
                <w:sz w:val="18"/>
                <w:szCs w:val="18"/>
              </w:rPr>
            </w:pPr>
            <w:r>
              <w:rPr>
                <w:rFonts w:ascii="宋体" w:hAnsi="宋体" w:eastAsia="宋体" w:cs="宋体"/>
                <w:sz w:val="18"/>
                <w:szCs w:val="18"/>
              </w:rPr>
              <w:t>354,008,852.66</w:t>
            </w:r>
          </w:p>
        </w:tc>
        <w:tc>
          <w:tcPr>
            <w:tcW w:w="2410" w:type="dxa"/>
            <w:tcBorders>
              <w:top w:val="single" w:color="auto" w:sz="2" w:space="0"/>
              <w:left w:val="single" w:color="auto" w:sz="2" w:space="0"/>
              <w:bottom w:val="single" w:color="auto" w:sz="2" w:space="0"/>
              <w:right w:val="single" w:color="auto" w:sz="2" w:space="0"/>
            </w:tcBorders>
            <w:vAlign w:val="center"/>
          </w:tcPr>
          <w:p w14:paraId="44695D60">
            <w:pPr>
              <w:spacing w:line="240" w:lineRule="exact"/>
              <w:jc w:val="right"/>
              <w:rPr>
                <w:rFonts w:ascii="宋体" w:hAnsi="宋体" w:eastAsia="宋体" w:cs="宋体"/>
                <w:sz w:val="18"/>
                <w:szCs w:val="18"/>
              </w:rPr>
            </w:pPr>
            <w:r>
              <w:rPr>
                <w:rFonts w:ascii="宋体" w:hAnsi="宋体" w:eastAsia="宋体" w:cs="宋体"/>
                <w:sz w:val="18"/>
                <w:szCs w:val="18"/>
              </w:rPr>
              <w:t>4.94%</w:t>
            </w:r>
          </w:p>
        </w:tc>
      </w:tr>
      <w:tr w14:paraId="23E12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19CB10F">
            <w:pPr>
              <w:spacing w:before="40" w:after="40" w:line="240" w:lineRule="exact"/>
              <w:jc w:val="center"/>
              <w:rPr>
                <w:rFonts w:ascii="宋体" w:hAnsi="宋体" w:eastAsia="宋体" w:cs="宋体"/>
                <w:sz w:val="18"/>
                <w:szCs w:val="18"/>
              </w:rPr>
            </w:pPr>
            <w:r>
              <w:rPr>
                <w:rFonts w:ascii="宋体" w:hAnsi="宋体" w:eastAsia="宋体" w:cs="宋体"/>
                <w:sz w:val="18"/>
                <w:szCs w:val="18"/>
              </w:rPr>
              <w:t>4</w:t>
            </w:r>
          </w:p>
        </w:tc>
        <w:tc>
          <w:tcPr>
            <w:tcW w:w="2410" w:type="dxa"/>
            <w:tcBorders>
              <w:top w:val="single" w:color="auto" w:sz="2" w:space="0"/>
              <w:left w:val="single" w:color="auto" w:sz="2" w:space="0"/>
              <w:bottom w:val="single" w:color="auto" w:sz="2" w:space="0"/>
              <w:right w:val="single" w:color="auto" w:sz="2" w:space="0"/>
            </w:tcBorders>
            <w:vAlign w:val="center"/>
          </w:tcPr>
          <w:p w14:paraId="0C9A74E7">
            <w:pPr>
              <w:spacing w:line="240" w:lineRule="exact"/>
              <w:rPr>
                <w:rFonts w:ascii="宋体" w:hAnsi="宋体" w:eastAsia="宋体" w:cs="宋体"/>
                <w:sz w:val="18"/>
                <w:szCs w:val="18"/>
              </w:rPr>
            </w:pPr>
            <w:r>
              <w:rPr>
                <w:rFonts w:ascii="宋体" w:hAnsi="宋体" w:eastAsia="宋体" w:cs="宋体"/>
                <w:sz w:val="18"/>
                <w:szCs w:val="18"/>
              </w:rPr>
              <w:t>第四名</w:t>
            </w:r>
          </w:p>
        </w:tc>
        <w:tc>
          <w:tcPr>
            <w:tcW w:w="2410" w:type="dxa"/>
            <w:tcBorders>
              <w:top w:val="single" w:color="auto" w:sz="2" w:space="0"/>
              <w:left w:val="single" w:color="auto" w:sz="2" w:space="0"/>
              <w:bottom w:val="single" w:color="auto" w:sz="2" w:space="0"/>
              <w:right w:val="single" w:color="auto" w:sz="2" w:space="0"/>
            </w:tcBorders>
            <w:vAlign w:val="center"/>
          </w:tcPr>
          <w:p w14:paraId="6BB2A553">
            <w:pPr>
              <w:spacing w:line="240" w:lineRule="exact"/>
              <w:jc w:val="right"/>
              <w:rPr>
                <w:rFonts w:ascii="宋体" w:hAnsi="宋体" w:eastAsia="宋体" w:cs="宋体"/>
                <w:sz w:val="18"/>
                <w:szCs w:val="18"/>
              </w:rPr>
            </w:pPr>
            <w:r>
              <w:rPr>
                <w:rFonts w:ascii="宋体" w:hAnsi="宋体" w:eastAsia="宋体" w:cs="宋体"/>
                <w:sz w:val="18"/>
                <w:szCs w:val="18"/>
              </w:rPr>
              <w:t>262,149,422.73</w:t>
            </w:r>
          </w:p>
        </w:tc>
        <w:tc>
          <w:tcPr>
            <w:tcW w:w="2410" w:type="dxa"/>
            <w:tcBorders>
              <w:top w:val="single" w:color="auto" w:sz="2" w:space="0"/>
              <w:left w:val="single" w:color="auto" w:sz="2" w:space="0"/>
              <w:bottom w:val="single" w:color="auto" w:sz="2" w:space="0"/>
              <w:right w:val="single" w:color="auto" w:sz="2" w:space="0"/>
            </w:tcBorders>
            <w:vAlign w:val="center"/>
          </w:tcPr>
          <w:p w14:paraId="61E1389A">
            <w:pPr>
              <w:spacing w:line="240" w:lineRule="exact"/>
              <w:jc w:val="right"/>
              <w:rPr>
                <w:rFonts w:ascii="宋体" w:hAnsi="宋体" w:eastAsia="宋体" w:cs="宋体"/>
                <w:sz w:val="18"/>
                <w:szCs w:val="18"/>
              </w:rPr>
            </w:pPr>
            <w:r>
              <w:rPr>
                <w:rFonts w:ascii="宋体" w:hAnsi="宋体" w:eastAsia="宋体" w:cs="宋体"/>
                <w:sz w:val="18"/>
                <w:szCs w:val="18"/>
              </w:rPr>
              <w:t>3.66%</w:t>
            </w:r>
          </w:p>
        </w:tc>
      </w:tr>
      <w:tr w14:paraId="4B1E3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E61D908">
            <w:pPr>
              <w:spacing w:before="40" w:after="40" w:line="240" w:lineRule="exact"/>
              <w:jc w:val="center"/>
              <w:rPr>
                <w:rFonts w:ascii="宋体" w:hAnsi="宋体" w:eastAsia="宋体" w:cs="宋体"/>
                <w:sz w:val="18"/>
                <w:szCs w:val="18"/>
              </w:rPr>
            </w:pPr>
            <w:r>
              <w:rPr>
                <w:rFonts w:ascii="宋体" w:hAnsi="宋体" w:eastAsia="宋体" w:cs="宋体"/>
                <w:sz w:val="18"/>
                <w:szCs w:val="18"/>
              </w:rPr>
              <w:t>5</w:t>
            </w:r>
          </w:p>
        </w:tc>
        <w:tc>
          <w:tcPr>
            <w:tcW w:w="2410" w:type="dxa"/>
            <w:tcBorders>
              <w:top w:val="single" w:color="auto" w:sz="2" w:space="0"/>
              <w:left w:val="single" w:color="auto" w:sz="2" w:space="0"/>
              <w:bottom w:val="single" w:color="auto" w:sz="2" w:space="0"/>
              <w:right w:val="single" w:color="auto" w:sz="2" w:space="0"/>
            </w:tcBorders>
            <w:vAlign w:val="center"/>
          </w:tcPr>
          <w:p w14:paraId="16040D0C">
            <w:pPr>
              <w:spacing w:line="240" w:lineRule="exact"/>
              <w:rPr>
                <w:rFonts w:ascii="宋体" w:hAnsi="宋体" w:eastAsia="宋体" w:cs="宋体"/>
                <w:sz w:val="18"/>
                <w:szCs w:val="18"/>
              </w:rPr>
            </w:pPr>
            <w:r>
              <w:rPr>
                <w:rFonts w:ascii="宋体" w:hAnsi="宋体" w:eastAsia="宋体" w:cs="宋体"/>
                <w:sz w:val="18"/>
                <w:szCs w:val="18"/>
              </w:rPr>
              <w:t>第五名</w:t>
            </w:r>
          </w:p>
        </w:tc>
        <w:tc>
          <w:tcPr>
            <w:tcW w:w="2410" w:type="dxa"/>
            <w:tcBorders>
              <w:top w:val="single" w:color="auto" w:sz="2" w:space="0"/>
              <w:left w:val="single" w:color="auto" w:sz="2" w:space="0"/>
              <w:bottom w:val="single" w:color="auto" w:sz="2" w:space="0"/>
              <w:right w:val="single" w:color="auto" w:sz="2" w:space="0"/>
            </w:tcBorders>
            <w:vAlign w:val="center"/>
          </w:tcPr>
          <w:p w14:paraId="545430EF">
            <w:pPr>
              <w:spacing w:line="240" w:lineRule="exact"/>
              <w:jc w:val="right"/>
              <w:rPr>
                <w:rFonts w:ascii="宋体" w:hAnsi="宋体" w:eastAsia="宋体" w:cs="宋体"/>
                <w:sz w:val="18"/>
                <w:szCs w:val="18"/>
              </w:rPr>
            </w:pPr>
            <w:r>
              <w:rPr>
                <w:rFonts w:ascii="宋体" w:hAnsi="宋体" w:eastAsia="宋体" w:cs="宋体"/>
                <w:sz w:val="18"/>
                <w:szCs w:val="18"/>
              </w:rPr>
              <w:t>238,991,161.43</w:t>
            </w:r>
          </w:p>
        </w:tc>
        <w:tc>
          <w:tcPr>
            <w:tcW w:w="2410" w:type="dxa"/>
            <w:tcBorders>
              <w:top w:val="single" w:color="auto" w:sz="2" w:space="0"/>
              <w:left w:val="single" w:color="auto" w:sz="2" w:space="0"/>
              <w:bottom w:val="single" w:color="auto" w:sz="2" w:space="0"/>
              <w:right w:val="single" w:color="auto" w:sz="2" w:space="0"/>
            </w:tcBorders>
            <w:vAlign w:val="center"/>
          </w:tcPr>
          <w:p w14:paraId="7C774FC8">
            <w:pPr>
              <w:spacing w:line="240" w:lineRule="exact"/>
              <w:jc w:val="right"/>
              <w:rPr>
                <w:rFonts w:ascii="宋体" w:hAnsi="宋体" w:eastAsia="宋体" w:cs="宋体"/>
                <w:sz w:val="18"/>
                <w:szCs w:val="18"/>
              </w:rPr>
            </w:pPr>
            <w:r>
              <w:rPr>
                <w:rFonts w:ascii="宋体" w:hAnsi="宋体" w:eastAsia="宋体" w:cs="宋体"/>
                <w:sz w:val="18"/>
                <w:szCs w:val="18"/>
              </w:rPr>
              <w:t>3.33%</w:t>
            </w:r>
          </w:p>
        </w:tc>
      </w:tr>
      <w:tr w14:paraId="4FEE3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2A27899">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BF3D721">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2410" w:type="dxa"/>
            <w:tcBorders>
              <w:top w:val="single" w:color="auto" w:sz="2" w:space="0"/>
              <w:left w:val="single" w:color="auto" w:sz="2" w:space="0"/>
              <w:bottom w:val="single" w:color="auto" w:sz="2" w:space="0"/>
              <w:right w:val="single" w:color="auto" w:sz="2" w:space="0"/>
            </w:tcBorders>
            <w:vAlign w:val="center"/>
          </w:tcPr>
          <w:p w14:paraId="2203A66C">
            <w:pPr>
              <w:spacing w:line="240" w:lineRule="exact"/>
              <w:jc w:val="right"/>
              <w:rPr>
                <w:rFonts w:ascii="宋体" w:hAnsi="宋体" w:eastAsia="宋体" w:cs="宋体"/>
                <w:sz w:val="18"/>
                <w:szCs w:val="18"/>
              </w:rPr>
            </w:pPr>
            <w:r>
              <w:rPr>
                <w:rFonts w:ascii="宋体" w:hAnsi="宋体" w:eastAsia="宋体" w:cs="宋体"/>
                <w:sz w:val="18"/>
                <w:szCs w:val="18"/>
              </w:rPr>
              <w:t>1,718,822,992.15</w:t>
            </w:r>
          </w:p>
        </w:tc>
        <w:tc>
          <w:tcPr>
            <w:tcW w:w="2410" w:type="dxa"/>
            <w:tcBorders>
              <w:top w:val="single" w:color="auto" w:sz="2" w:space="0"/>
              <w:left w:val="single" w:color="auto" w:sz="2" w:space="0"/>
              <w:bottom w:val="single" w:color="auto" w:sz="2" w:space="0"/>
              <w:right w:val="single" w:color="auto" w:sz="2" w:space="0"/>
            </w:tcBorders>
            <w:vAlign w:val="center"/>
          </w:tcPr>
          <w:p w14:paraId="507FD34C">
            <w:pPr>
              <w:spacing w:line="240" w:lineRule="exact"/>
              <w:jc w:val="right"/>
              <w:rPr>
                <w:rFonts w:ascii="宋体" w:hAnsi="宋体" w:eastAsia="宋体" w:cs="宋体"/>
                <w:sz w:val="18"/>
                <w:szCs w:val="18"/>
              </w:rPr>
            </w:pPr>
            <w:r>
              <w:rPr>
                <w:rFonts w:ascii="宋体" w:hAnsi="宋体" w:eastAsia="宋体" w:cs="宋体"/>
                <w:sz w:val="18"/>
                <w:szCs w:val="18"/>
              </w:rPr>
              <w:t>23.98%</w:t>
            </w:r>
          </w:p>
        </w:tc>
      </w:tr>
    </w:tbl>
    <w:p w14:paraId="2CB7D1B7">
      <w:pPr>
        <w:spacing w:before="100" w:after="100" w:line="240" w:lineRule="exact"/>
        <w:rPr>
          <w:rFonts w:ascii="宋体" w:hAnsi="宋体" w:eastAsia="宋体" w:cs="宋体"/>
          <w:sz w:val="18"/>
          <w:szCs w:val="18"/>
        </w:rPr>
      </w:pPr>
      <w:r>
        <w:rPr>
          <w:rFonts w:ascii="宋体" w:hAnsi="宋体" w:eastAsia="宋体" w:cs="宋体"/>
          <w:sz w:val="18"/>
          <w:szCs w:val="18"/>
        </w:rPr>
        <w:t>主要供应商其他情况说明</w:t>
      </w:r>
    </w:p>
    <w:p w14:paraId="23D76169">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1863309">
      <w:pPr>
        <w:spacing w:before="40" w:after="40" w:line="240" w:lineRule="exact"/>
        <w:rPr>
          <w:rFonts w:ascii="宋体" w:hAnsi="宋体" w:eastAsia="宋体" w:cs="宋体"/>
          <w:sz w:val="18"/>
          <w:szCs w:val="18"/>
        </w:rPr>
      </w:pPr>
      <w:r>
        <w:rPr>
          <w:rFonts w:ascii="宋体" w:hAnsi="宋体" w:eastAsia="宋体" w:cs="宋体"/>
          <w:sz w:val="18"/>
          <w:szCs w:val="18"/>
        </w:rPr>
        <w:t>报告期内公司贸易业务收入占营业收入比例超过10%</w:t>
      </w:r>
    </w:p>
    <w:p w14:paraId="4900C94B">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305F4205">
      <w:pPr>
        <w:spacing w:before="40" w:after="40" w:line="240" w:lineRule="exact"/>
        <w:rPr>
          <w:rFonts w:ascii="宋体" w:hAnsi="宋体" w:eastAsia="宋体" w:cs="宋体"/>
          <w:sz w:val="18"/>
          <w:szCs w:val="18"/>
        </w:rPr>
      </w:pPr>
      <w:r>
        <w:rPr>
          <w:rFonts w:ascii="宋体" w:hAnsi="宋体" w:eastAsia="宋体" w:cs="宋体"/>
          <w:sz w:val="18"/>
          <w:szCs w:val="18"/>
        </w:rPr>
        <w:t>贸易业务中公司前5大客户资料</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CCA5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B28B92">
            <w:pPr>
              <w:spacing w:before="40" w:after="40" w:line="240" w:lineRule="exact"/>
              <w:jc w:val="center"/>
              <w:rPr>
                <w:rFonts w:ascii="宋体" w:hAnsi="宋体" w:eastAsia="宋体" w:cs="宋体"/>
                <w:sz w:val="18"/>
                <w:szCs w:val="18"/>
              </w:rPr>
            </w:pPr>
            <w:r>
              <w:rPr>
                <w:rFonts w:ascii="宋体" w:hAnsi="宋体" w:eastAsia="宋体" w:cs="宋体"/>
                <w:sz w:val="18"/>
                <w:szCs w:val="18"/>
              </w:rPr>
              <w:t>序号</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106EAF">
            <w:pPr>
              <w:spacing w:before="40" w:after="40" w:line="240" w:lineRule="exact"/>
              <w:jc w:val="center"/>
              <w:rPr>
                <w:rFonts w:ascii="宋体" w:hAnsi="宋体" w:eastAsia="宋体" w:cs="宋体"/>
                <w:sz w:val="18"/>
                <w:szCs w:val="18"/>
              </w:rPr>
            </w:pPr>
            <w:r>
              <w:rPr>
                <w:rFonts w:ascii="宋体" w:hAnsi="宋体" w:eastAsia="宋体" w:cs="宋体"/>
                <w:sz w:val="18"/>
                <w:szCs w:val="18"/>
              </w:rPr>
              <w:t>客户名称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E5B44D">
            <w:pPr>
              <w:spacing w:before="40" w:after="40" w:line="240" w:lineRule="exact"/>
              <w:jc w:val="center"/>
              <w:rPr>
                <w:rFonts w:ascii="宋体" w:hAnsi="宋体" w:eastAsia="宋体" w:cs="宋体"/>
                <w:sz w:val="18"/>
                <w:szCs w:val="18"/>
              </w:rPr>
            </w:pPr>
            <w:r>
              <w:rPr>
                <w:rFonts w:ascii="宋体" w:hAnsi="宋体" w:eastAsia="宋体" w:cs="宋体"/>
                <w:sz w:val="18"/>
                <w:szCs w:val="18"/>
              </w:rPr>
              <w:t>销售额（元）</w:t>
            </w:r>
          </w:p>
        </w:tc>
      </w:tr>
      <w:tr w14:paraId="41CBD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7BFCDC">
            <w:pPr>
              <w:spacing w:before="40" w:after="40" w:line="240" w:lineRule="exact"/>
              <w:jc w:val="center"/>
              <w:rPr>
                <w:rFonts w:ascii="宋体" w:hAnsi="宋体" w:eastAsia="宋体" w:cs="宋体"/>
                <w:sz w:val="18"/>
                <w:szCs w:val="18"/>
              </w:rPr>
            </w:pPr>
            <w:r>
              <w:rPr>
                <w:rFonts w:ascii="宋体" w:hAnsi="宋体" w:eastAsia="宋体" w:cs="宋体"/>
                <w:sz w:val="18"/>
                <w:szCs w:val="18"/>
              </w:rPr>
              <w:t>1</w:t>
            </w:r>
          </w:p>
        </w:tc>
        <w:tc>
          <w:tcPr>
            <w:tcW w:w="3213" w:type="dxa"/>
            <w:tcBorders>
              <w:top w:val="single" w:color="auto" w:sz="2" w:space="0"/>
              <w:left w:val="single" w:color="auto" w:sz="2" w:space="0"/>
              <w:bottom w:val="single" w:color="auto" w:sz="2" w:space="0"/>
              <w:right w:val="single" w:color="auto" w:sz="2" w:space="0"/>
            </w:tcBorders>
            <w:vAlign w:val="center"/>
          </w:tcPr>
          <w:p w14:paraId="2373B185">
            <w:pPr>
              <w:spacing w:line="240" w:lineRule="exact"/>
              <w:rPr>
                <w:rFonts w:ascii="宋体" w:hAnsi="宋体" w:eastAsia="宋体" w:cs="宋体"/>
                <w:sz w:val="18"/>
                <w:szCs w:val="18"/>
              </w:rPr>
            </w:pPr>
            <w:r>
              <w:rPr>
                <w:rFonts w:ascii="宋体" w:hAnsi="宋体" w:eastAsia="宋体" w:cs="宋体"/>
                <w:sz w:val="18"/>
                <w:szCs w:val="18"/>
              </w:rPr>
              <w:t>第一名</w:t>
            </w:r>
          </w:p>
        </w:tc>
        <w:tc>
          <w:tcPr>
            <w:tcW w:w="3213" w:type="dxa"/>
            <w:tcBorders>
              <w:top w:val="single" w:color="auto" w:sz="2" w:space="0"/>
              <w:left w:val="single" w:color="auto" w:sz="2" w:space="0"/>
              <w:bottom w:val="single" w:color="auto" w:sz="2" w:space="0"/>
              <w:right w:val="single" w:color="auto" w:sz="2" w:space="0"/>
            </w:tcBorders>
            <w:vAlign w:val="center"/>
          </w:tcPr>
          <w:p w14:paraId="1F7ED605">
            <w:pPr>
              <w:spacing w:line="240" w:lineRule="exact"/>
              <w:jc w:val="right"/>
              <w:rPr>
                <w:rFonts w:ascii="宋体" w:hAnsi="宋体" w:eastAsia="宋体" w:cs="宋体"/>
                <w:sz w:val="18"/>
                <w:szCs w:val="18"/>
              </w:rPr>
            </w:pPr>
            <w:r>
              <w:rPr>
                <w:rFonts w:ascii="宋体" w:hAnsi="宋体" w:eastAsia="宋体" w:cs="宋体"/>
                <w:sz w:val="18"/>
                <w:szCs w:val="18"/>
              </w:rPr>
              <w:t>209,061,722.12</w:t>
            </w:r>
          </w:p>
        </w:tc>
      </w:tr>
      <w:tr w14:paraId="2D21C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2960D8">
            <w:pPr>
              <w:spacing w:before="40" w:after="40" w:line="240" w:lineRule="exact"/>
              <w:jc w:val="center"/>
              <w:rPr>
                <w:rFonts w:ascii="宋体" w:hAnsi="宋体" w:eastAsia="宋体" w:cs="宋体"/>
                <w:sz w:val="18"/>
                <w:szCs w:val="18"/>
              </w:rPr>
            </w:pPr>
            <w:r>
              <w:rPr>
                <w:rFonts w:ascii="宋体" w:hAnsi="宋体" w:eastAsia="宋体" w:cs="宋体"/>
                <w:sz w:val="18"/>
                <w:szCs w:val="18"/>
              </w:rPr>
              <w:t>2</w:t>
            </w:r>
          </w:p>
        </w:tc>
        <w:tc>
          <w:tcPr>
            <w:tcW w:w="3213" w:type="dxa"/>
            <w:tcBorders>
              <w:top w:val="single" w:color="auto" w:sz="2" w:space="0"/>
              <w:left w:val="single" w:color="auto" w:sz="2" w:space="0"/>
              <w:bottom w:val="single" w:color="auto" w:sz="2" w:space="0"/>
              <w:right w:val="single" w:color="auto" w:sz="2" w:space="0"/>
            </w:tcBorders>
            <w:vAlign w:val="center"/>
          </w:tcPr>
          <w:p w14:paraId="0460E3B9">
            <w:pPr>
              <w:spacing w:line="240" w:lineRule="exact"/>
              <w:rPr>
                <w:rFonts w:ascii="宋体" w:hAnsi="宋体" w:eastAsia="宋体" w:cs="宋体"/>
                <w:sz w:val="18"/>
                <w:szCs w:val="18"/>
              </w:rPr>
            </w:pPr>
            <w:r>
              <w:rPr>
                <w:rFonts w:ascii="宋体" w:hAnsi="宋体" w:eastAsia="宋体" w:cs="宋体"/>
                <w:sz w:val="18"/>
                <w:szCs w:val="18"/>
              </w:rPr>
              <w:t>第二名</w:t>
            </w:r>
          </w:p>
        </w:tc>
        <w:tc>
          <w:tcPr>
            <w:tcW w:w="3213" w:type="dxa"/>
            <w:tcBorders>
              <w:top w:val="single" w:color="auto" w:sz="2" w:space="0"/>
              <w:left w:val="single" w:color="auto" w:sz="2" w:space="0"/>
              <w:bottom w:val="single" w:color="auto" w:sz="2" w:space="0"/>
              <w:right w:val="single" w:color="auto" w:sz="2" w:space="0"/>
            </w:tcBorders>
            <w:vAlign w:val="center"/>
          </w:tcPr>
          <w:p w14:paraId="7643CEAA">
            <w:pPr>
              <w:spacing w:line="240" w:lineRule="exact"/>
              <w:jc w:val="right"/>
              <w:rPr>
                <w:rFonts w:ascii="宋体" w:hAnsi="宋体" w:eastAsia="宋体" w:cs="宋体"/>
                <w:sz w:val="18"/>
                <w:szCs w:val="18"/>
              </w:rPr>
            </w:pPr>
            <w:r>
              <w:rPr>
                <w:rFonts w:ascii="宋体" w:hAnsi="宋体" w:eastAsia="宋体" w:cs="宋体"/>
                <w:sz w:val="18"/>
                <w:szCs w:val="18"/>
              </w:rPr>
              <w:t>174,144,836.17</w:t>
            </w:r>
          </w:p>
        </w:tc>
      </w:tr>
      <w:tr w14:paraId="64DF3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07C4B5">
            <w:pPr>
              <w:spacing w:before="40" w:after="40" w:line="240" w:lineRule="exact"/>
              <w:jc w:val="center"/>
              <w:rPr>
                <w:rFonts w:ascii="宋体" w:hAnsi="宋体" w:eastAsia="宋体" w:cs="宋体"/>
                <w:sz w:val="18"/>
                <w:szCs w:val="18"/>
              </w:rPr>
            </w:pPr>
            <w:r>
              <w:rPr>
                <w:rFonts w:ascii="宋体" w:hAnsi="宋体" w:eastAsia="宋体" w:cs="宋体"/>
                <w:sz w:val="18"/>
                <w:szCs w:val="18"/>
              </w:rPr>
              <w:t>3</w:t>
            </w:r>
          </w:p>
        </w:tc>
        <w:tc>
          <w:tcPr>
            <w:tcW w:w="3213" w:type="dxa"/>
            <w:tcBorders>
              <w:top w:val="single" w:color="auto" w:sz="2" w:space="0"/>
              <w:left w:val="single" w:color="auto" w:sz="2" w:space="0"/>
              <w:bottom w:val="single" w:color="auto" w:sz="2" w:space="0"/>
              <w:right w:val="single" w:color="auto" w:sz="2" w:space="0"/>
            </w:tcBorders>
            <w:vAlign w:val="center"/>
          </w:tcPr>
          <w:p w14:paraId="0BEDB7B1">
            <w:pPr>
              <w:spacing w:line="240" w:lineRule="exact"/>
              <w:rPr>
                <w:rFonts w:ascii="宋体" w:hAnsi="宋体" w:eastAsia="宋体" w:cs="宋体"/>
                <w:sz w:val="18"/>
                <w:szCs w:val="18"/>
              </w:rPr>
            </w:pPr>
            <w:r>
              <w:rPr>
                <w:rFonts w:ascii="宋体" w:hAnsi="宋体" w:eastAsia="宋体" w:cs="宋体"/>
                <w:sz w:val="18"/>
                <w:szCs w:val="18"/>
              </w:rPr>
              <w:t>第三名</w:t>
            </w:r>
          </w:p>
        </w:tc>
        <w:tc>
          <w:tcPr>
            <w:tcW w:w="3213" w:type="dxa"/>
            <w:tcBorders>
              <w:top w:val="single" w:color="auto" w:sz="2" w:space="0"/>
              <w:left w:val="single" w:color="auto" w:sz="2" w:space="0"/>
              <w:bottom w:val="single" w:color="auto" w:sz="2" w:space="0"/>
              <w:right w:val="single" w:color="auto" w:sz="2" w:space="0"/>
            </w:tcBorders>
            <w:vAlign w:val="center"/>
          </w:tcPr>
          <w:p w14:paraId="3E4E70B2">
            <w:pPr>
              <w:spacing w:line="240" w:lineRule="exact"/>
              <w:jc w:val="right"/>
              <w:rPr>
                <w:rFonts w:ascii="宋体" w:hAnsi="宋体" w:eastAsia="宋体" w:cs="宋体"/>
                <w:sz w:val="18"/>
                <w:szCs w:val="18"/>
              </w:rPr>
            </w:pPr>
            <w:r>
              <w:rPr>
                <w:rFonts w:ascii="宋体" w:hAnsi="宋体" w:eastAsia="宋体" w:cs="宋体"/>
                <w:sz w:val="18"/>
                <w:szCs w:val="18"/>
              </w:rPr>
              <w:t>166,794,490.07</w:t>
            </w:r>
          </w:p>
        </w:tc>
      </w:tr>
      <w:tr w14:paraId="74E6C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CCF624">
            <w:pPr>
              <w:spacing w:before="40" w:after="40" w:line="240" w:lineRule="exact"/>
              <w:jc w:val="center"/>
              <w:rPr>
                <w:rFonts w:ascii="宋体" w:hAnsi="宋体" w:eastAsia="宋体" w:cs="宋体"/>
                <w:sz w:val="18"/>
                <w:szCs w:val="18"/>
              </w:rPr>
            </w:pPr>
            <w:r>
              <w:rPr>
                <w:rFonts w:ascii="宋体" w:hAnsi="宋体" w:eastAsia="宋体" w:cs="宋体"/>
                <w:sz w:val="18"/>
                <w:szCs w:val="18"/>
              </w:rPr>
              <w:t>4</w:t>
            </w:r>
          </w:p>
        </w:tc>
        <w:tc>
          <w:tcPr>
            <w:tcW w:w="3213" w:type="dxa"/>
            <w:tcBorders>
              <w:top w:val="single" w:color="auto" w:sz="2" w:space="0"/>
              <w:left w:val="single" w:color="auto" w:sz="2" w:space="0"/>
              <w:bottom w:val="single" w:color="auto" w:sz="2" w:space="0"/>
              <w:right w:val="single" w:color="auto" w:sz="2" w:space="0"/>
            </w:tcBorders>
            <w:vAlign w:val="center"/>
          </w:tcPr>
          <w:p w14:paraId="6EC8B2DA">
            <w:pPr>
              <w:spacing w:line="240" w:lineRule="exact"/>
              <w:rPr>
                <w:rFonts w:ascii="宋体" w:hAnsi="宋体" w:eastAsia="宋体" w:cs="宋体"/>
                <w:sz w:val="18"/>
                <w:szCs w:val="18"/>
              </w:rPr>
            </w:pPr>
            <w:r>
              <w:rPr>
                <w:rFonts w:ascii="宋体" w:hAnsi="宋体" w:eastAsia="宋体" w:cs="宋体"/>
                <w:sz w:val="18"/>
                <w:szCs w:val="18"/>
              </w:rPr>
              <w:t>第四名</w:t>
            </w:r>
          </w:p>
        </w:tc>
        <w:tc>
          <w:tcPr>
            <w:tcW w:w="3213" w:type="dxa"/>
            <w:tcBorders>
              <w:top w:val="single" w:color="auto" w:sz="2" w:space="0"/>
              <w:left w:val="single" w:color="auto" w:sz="2" w:space="0"/>
              <w:bottom w:val="single" w:color="auto" w:sz="2" w:space="0"/>
              <w:right w:val="single" w:color="auto" w:sz="2" w:space="0"/>
            </w:tcBorders>
            <w:vAlign w:val="center"/>
          </w:tcPr>
          <w:p w14:paraId="7E597107">
            <w:pPr>
              <w:spacing w:line="240" w:lineRule="exact"/>
              <w:jc w:val="right"/>
              <w:rPr>
                <w:rFonts w:ascii="宋体" w:hAnsi="宋体" w:eastAsia="宋体" w:cs="宋体"/>
                <w:sz w:val="18"/>
                <w:szCs w:val="18"/>
              </w:rPr>
            </w:pPr>
            <w:r>
              <w:rPr>
                <w:rFonts w:ascii="宋体" w:hAnsi="宋体" w:eastAsia="宋体" w:cs="宋体"/>
                <w:sz w:val="18"/>
                <w:szCs w:val="18"/>
              </w:rPr>
              <w:t>144,752,313.78</w:t>
            </w:r>
          </w:p>
        </w:tc>
      </w:tr>
      <w:tr w14:paraId="1E256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7FA097">
            <w:pPr>
              <w:spacing w:before="40" w:after="40" w:line="240" w:lineRule="exact"/>
              <w:jc w:val="center"/>
              <w:rPr>
                <w:rFonts w:ascii="宋体" w:hAnsi="宋体" w:eastAsia="宋体" w:cs="宋体"/>
                <w:sz w:val="18"/>
                <w:szCs w:val="18"/>
              </w:rPr>
            </w:pPr>
            <w:r>
              <w:rPr>
                <w:rFonts w:ascii="宋体" w:hAnsi="宋体" w:eastAsia="宋体" w:cs="宋体"/>
                <w:sz w:val="18"/>
                <w:szCs w:val="18"/>
              </w:rPr>
              <w:t>5</w:t>
            </w:r>
          </w:p>
        </w:tc>
        <w:tc>
          <w:tcPr>
            <w:tcW w:w="3213" w:type="dxa"/>
            <w:tcBorders>
              <w:top w:val="single" w:color="auto" w:sz="2" w:space="0"/>
              <w:left w:val="single" w:color="auto" w:sz="2" w:space="0"/>
              <w:bottom w:val="single" w:color="auto" w:sz="2" w:space="0"/>
              <w:right w:val="single" w:color="auto" w:sz="2" w:space="0"/>
            </w:tcBorders>
            <w:vAlign w:val="center"/>
          </w:tcPr>
          <w:p w14:paraId="0C29913A">
            <w:pPr>
              <w:spacing w:line="240" w:lineRule="exact"/>
              <w:rPr>
                <w:rFonts w:ascii="宋体" w:hAnsi="宋体" w:eastAsia="宋体" w:cs="宋体"/>
                <w:sz w:val="18"/>
                <w:szCs w:val="18"/>
              </w:rPr>
            </w:pPr>
            <w:r>
              <w:rPr>
                <w:rFonts w:ascii="宋体" w:hAnsi="宋体" w:eastAsia="宋体" w:cs="宋体"/>
                <w:sz w:val="18"/>
                <w:szCs w:val="18"/>
              </w:rPr>
              <w:t>第五名</w:t>
            </w:r>
          </w:p>
        </w:tc>
        <w:tc>
          <w:tcPr>
            <w:tcW w:w="3213" w:type="dxa"/>
            <w:tcBorders>
              <w:top w:val="single" w:color="auto" w:sz="2" w:space="0"/>
              <w:left w:val="single" w:color="auto" w:sz="2" w:space="0"/>
              <w:bottom w:val="single" w:color="auto" w:sz="2" w:space="0"/>
              <w:right w:val="single" w:color="auto" w:sz="2" w:space="0"/>
            </w:tcBorders>
            <w:vAlign w:val="center"/>
          </w:tcPr>
          <w:p w14:paraId="2148706F">
            <w:pPr>
              <w:spacing w:line="240" w:lineRule="exact"/>
              <w:jc w:val="right"/>
              <w:rPr>
                <w:rFonts w:ascii="宋体" w:hAnsi="宋体" w:eastAsia="宋体" w:cs="宋体"/>
                <w:sz w:val="18"/>
                <w:szCs w:val="18"/>
              </w:rPr>
            </w:pPr>
            <w:r>
              <w:rPr>
                <w:rFonts w:ascii="宋体" w:hAnsi="宋体" w:eastAsia="宋体" w:cs="宋体"/>
                <w:sz w:val="18"/>
                <w:szCs w:val="18"/>
              </w:rPr>
              <w:t>124,602,727.13</w:t>
            </w:r>
          </w:p>
        </w:tc>
      </w:tr>
      <w:tr w14:paraId="4846B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E74C41">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F06AFA">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3213" w:type="dxa"/>
            <w:tcBorders>
              <w:top w:val="single" w:color="auto" w:sz="2" w:space="0"/>
              <w:left w:val="single" w:color="auto" w:sz="2" w:space="0"/>
              <w:bottom w:val="single" w:color="auto" w:sz="2" w:space="0"/>
              <w:right w:val="single" w:color="auto" w:sz="2" w:space="0"/>
            </w:tcBorders>
            <w:vAlign w:val="center"/>
          </w:tcPr>
          <w:p w14:paraId="17C9EC04">
            <w:pPr>
              <w:spacing w:line="240" w:lineRule="exact"/>
              <w:jc w:val="right"/>
              <w:rPr>
                <w:rFonts w:ascii="宋体" w:hAnsi="宋体" w:eastAsia="宋体" w:cs="宋体"/>
                <w:sz w:val="18"/>
                <w:szCs w:val="18"/>
              </w:rPr>
            </w:pPr>
            <w:r>
              <w:rPr>
                <w:rFonts w:ascii="宋体" w:hAnsi="宋体" w:eastAsia="宋体" w:cs="宋体"/>
                <w:sz w:val="18"/>
                <w:szCs w:val="18"/>
              </w:rPr>
              <w:t>819,356,089.27</w:t>
            </w:r>
          </w:p>
        </w:tc>
      </w:tr>
    </w:tbl>
    <w:p w14:paraId="31B17CDA">
      <w:pPr>
        <w:spacing w:before="40" w:after="40" w:line="240" w:lineRule="exact"/>
        <w:rPr>
          <w:rFonts w:ascii="宋体" w:hAnsi="宋体" w:eastAsia="宋体" w:cs="宋体"/>
          <w:sz w:val="18"/>
          <w:szCs w:val="18"/>
        </w:rPr>
      </w:pPr>
      <w:r>
        <w:rPr>
          <w:rFonts w:ascii="宋体" w:hAnsi="宋体" w:eastAsia="宋体" w:cs="宋体"/>
          <w:sz w:val="18"/>
          <w:szCs w:val="18"/>
        </w:rPr>
        <w:t>贸易业务中公司前5大供应商资料</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785F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D019B2">
            <w:pPr>
              <w:spacing w:before="40" w:after="40" w:line="240" w:lineRule="exact"/>
              <w:jc w:val="center"/>
              <w:rPr>
                <w:rFonts w:ascii="宋体" w:hAnsi="宋体" w:eastAsia="宋体" w:cs="宋体"/>
                <w:sz w:val="18"/>
                <w:szCs w:val="18"/>
              </w:rPr>
            </w:pPr>
            <w:r>
              <w:rPr>
                <w:rFonts w:ascii="宋体" w:hAnsi="宋体" w:eastAsia="宋体" w:cs="宋体"/>
                <w:sz w:val="18"/>
                <w:szCs w:val="18"/>
              </w:rPr>
              <w:t>序号</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BFCFAB">
            <w:pPr>
              <w:spacing w:before="40" w:after="40" w:line="240" w:lineRule="exact"/>
              <w:jc w:val="center"/>
              <w:rPr>
                <w:rFonts w:ascii="宋体" w:hAnsi="宋体" w:eastAsia="宋体" w:cs="宋体"/>
                <w:sz w:val="18"/>
                <w:szCs w:val="18"/>
              </w:rPr>
            </w:pPr>
            <w:r>
              <w:rPr>
                <w:rFonts w:ascii="宋体" w:hAnsi="宋体" w:eastAsia="宋体" w:cs="宋体"/>
                <w:sz w:val="18"/>
                <w:szCs w:val="18"/>
              </w:rPr>
              <w:t>供应商名称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AFA54B">
            <w:pPr>
              <w:spacing w:before="40" w:after="40" w:line="240" w:lineRule="exact"/>
              <w:jc w:val="center"/>
              <w:rPr>
                <w:rFonts w:ascii="宋体" w:hAnsi="宋体" w:eastAsia="宋体" w:cs="宋体"/>
                <w:sz w:val="18"/>
                <w:szCs w:val="18"/>
              </w:rPr>
            </w:pPr>
            <w:r>
              <w:rPr>
                <w:rFonts w:ascii="宋体" w:hAnsi="宋体" w:eastAsia="宋体" w:cs="宋体"/>
                <w:sz w:val="18"/>
                <w:szCs w:val="18"/>
              </w:rPr>
              <w:t>采购额（元）</w:t>
            </w:r>
          </w:p>
        </w:tc>
      </w:tr>
      <w:tr w14:paraId="66DF9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F83BC2">
            <w:pPr>
              <w:spacing w:before="40" w:after="40" w:line="240" w:lineRule="exact"/>
              <w:jc w:val="center"/>
              <w:rPr>
                <w:rFonts w:ascii="宋体" w:hAnsi="宋体" w:eastAsia="宋体" w:cs="宋体"/>
                <w:sz w:val="18"/>
                <w:szCs w:val="18"/>
              </w:rPr>
            </w:pPr>
            <w:r>
              <w:rPr>
                <w:rFonts w:ascii="宋体" w:hAnsi="宋体" w:eastAsia="宋体" w:cs="宋体"/>
                <w:sz w:val="18"/>
                <w:szCs w:val="18"/>
              </w:rPr>
              <w:t>1</w:t>
            </w:r>
          </w:p>
        </w:tc>
        <w:tc>
          <w:tcPr>
            <w:tcW w:w="3213" w:type="dxa"/>
            <w:tcBorders>
              <w:top w:val="single" w:color="auto" w:sz="2" w:space="0"/>
              <w:left w:val="single" w:color="auto" w:sz="2" w:space="0"/>
              <w:bottom w:val="single" w:color="auto" w:sz="2" w:space="0"/>
              <w:right w:val="single" w:color="auto" w:sz="2" w:space="0"/>
            </w:tcBorders>
            <w:vAlign w:val="center"/>
          </w:tcPr>
          <w:p w14:paraId="578FE936">
            <w:pPr>
              <w:spacing w:line="240" w:lineRule="exact"/>
              <w:rPr>
                <w:rFonts w:ascii="宋体" w:hAnsi="宋体" w:eastAsia="宋体" w:cs="宋体"/>
                <w:sz w:val="18"/>
                <w:szCs w:val="18"/>
              </w:rPr>
            </w:pPr>
            <w:r>
              <w:rPr>
                <w:rFonts w:ascii="宋体" w:hAnsi="宋体" w:eastAsia="宋体" w:cs="宋体"/>
                <w:sz w:val="18"/>
                <w:szCs w:val="18"/>
              </w:rPr>
              <w:t>第一名</w:t>
            </w:r>
          </w:p>
        </w:tc>
        <w:tc>
          <w:tcPr>
            <w:tcW w:w="3213" w:type="dxa"/>
            <w:tcBorders>
              <w:top w:val="single" w:color="auto" w:sz="2" w:space="0"/>
              <w:left w:val="single" w:color="auto" w:sz="2" w:space="0"/>
              <w:bottom w:val="single" w:color="auto" w:sz="2" w:space="0"/>
              <w:right w:val="single" w:color="auto" w:sz="2" w:space="0"/>
            </w:tcBorders>
            <w:vAlign w:val="center"/>
          </w:tcPr>
          <w:p w14:paraId="2F607053">
            <w:pPr>
              <w:spacing w:line="240" w:lineRule="exact"/>
              <w:jc w:val="right"/>
              <w:rPr>
                <w:rFonts w:ascii="宋体" w:hAnsi="宋体" w:eastAsia="宋体" w:cs="宋体"/>
                <w:sz w:val="18"/>
                <w:szCs w:val="18"/>
              </w:rPr>
            </w:pPr>
            <w:r>
              <w:rPr>
                <w:rFonts w:ascii="宋体" w:hAnsi="宋体" w:eastAsia="宋体" w:cs="宋体"/>
                <w:sz w:val="18"/>
                <w:szCs w:val="18"/>
              </w:rPr>
              <w:t>355,752,088.04</w:t>
            </w:r>
          </w:p>
        </w:tc>
      </w:tr>
      <w:tr w14:paraId="726D8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FC61E3">
            <w:pPr>
              <w:spacing w:before="40" w:after="40" w:line="240" w:lineRule="exact"/>
              <w:jc w:val="center"/>
              <w:rPr>
                <w:rFonts w:ascii="宋体" w:hAnsi="宋体" w:eastAsia="宋体" w:cs="宋体"/>
                <w:sz w:val="18"/>
                <w:szCs w:val="18"/>
              </w:rPr>
            </w:pPr>
            <w:r>
              <w:rPr>
                <w:rFonts w:ascii="宋体" w:hAnsi="宋体" w:eastAsia="宋体" w:cs="宋体"/>
                <w:sz w:val="18"/>
                <w:szCs w:val="18"/>
              </w:rPr>
              <w:t>2</w:t>
            </w:r>
          </w:p>
        </w:tc>
        <w:tc>
          <w:tcPr>
            <w:tcW w:w="3213" w:type="dxa"/>
            <w:tcBorders>
              <w:top w:val="single" w:color="auto" w:sz="2" w:space="0"/>
              <w:left w:val="single" w:color="auto" w:sz="2" w:space="0"/>
              <w:bottom w:val="single" w:color="auto" w:sz="2" w:space="0"/>
              <w:right w:val="single" w:color="auto" w:sz="2" w:space="0"/>
            </w:tcBorders>
            <w:vAlign w:val="center"/>
          </w:tcPr>
          <w:p w14:paraId="6A468C78">
            <w:pPr>
              <w:spacing w:line="240" w:lineRule="exact"/>
              <w:rPr>
                <w:rFonts w:ascii="宋体" w:hAnsi="宋体" w:eastAsia="宋体" w:cs="宋体"/>
                <w:sz w:val="18"/>
                <w:szCs w:val="18"/>
              </w:rPr>
            </w:pPr>
            <w:r>
              <w:rPr>
                <w:rFonts w:ascii="宋体" w:hAnsi="宋体" w:eastAsia="宋体" w:cs="宋体"/>
                <w:sz w:val="18"/>
                <w:szCs w:val="18"/>
              </w:rPr>
              <w:t>第二名</w:t>
            </w:r>
          </w:p>
        </w:tc>
        <w:tc>
          <w:tcPr>
            <w:tcW w:w="3213" w:type="dxa"/>
            <w:tcBorders>
              <w:top w:val="single" w:color="auto" w:sz="2" w:space="0"/>
              <w:left w:val="single" w:color="auto" w:sz="2" w:space="0"/>
              <w:bottom w:val="single" w:color="auto" w:sz="2" w:space="0"/>
              <w:right w:val="single" w:color="auto" w:sz="2" w:space="0"/>
            </w:tcBorders>
            <w:vAlign w:val="center"/>
          </w:tcPr>
          <w:p w14:paraId="1C90D887">
            <w:pPr>
              <w:spacing w:line="240" w:lineRule="exact"/>
              <w:jc w:val="right"/>
              <w:rPr>
                <w:rFonts w:ascii="宋体" w:hAnsi="宋体" w:eastAsia="宋体" w:cs="宋体"/>
                <w:sz w:val="18"/>
                <w:szCs w:val="18"/>
              </w:rPr>
            </w:pPr>
            <w:r>
              <w:rPr>
                <w:rFonts w:ascii="宋体" w:hAnsi="宋体" w:eastAsia="宋体" w:cs="宋体"/>
                <w:sz w:val="18"/>
                <w:szCs w:val="18"/>
              </w:rPr>
              <w:t>312,519,385.51</w:t>
            </w:r>
          </w:p>
        </w:tc>
      </w:tr>
      <w:tr w14:paraId="2C6B0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D530C8">
            <w:pPr>
              <w:spacing w:before="40" w:after="40" w:line="240" w:lineRule="exact"/>
              <w:jc w:val="center"/>
              <w:rPr>
                <w:rFonts w:ascii="宋体" w:hAnsi="宋体" w:eastAsia="宋体" w:cs="宋体"/>
                <w:sz w:val="18"/>
                <w:szCs w:val="18"/>
              </w:rPr>
            </w:pPr>
            <w:r>
              <w:rPr>
                <w:rFonts w:ascii="宋体" w:hAnsi="宋体" w:eastAsia="宋体" w:cs="宋体"/>
                <w:sz w:val="18"/>
                <w:szCs w:val="18"/>
              </w:rPr>
              <w:t>3</w:t>
            </w:r>
          </w:p>
        </w:tc>
        <w:tc>
          <w:tcPr>
            <w:tcW w:w="3213" w:type="dxa"/>
            <w:tcBorders>
              <w:top w:val="single" w:color="auto" w:sz="2" w:space="0"/>
              <w:left w:val="single" w:color="auto" w:sz="2" w:space="0"/>
              <w:bottom w:val="single" w:color="auto" w:sz="2" w:space="0"/>
              <w:right w:val="single" w:color="auto" w:sz="2" w:space="0"/>
            </w:tcBorders>
            <w:vAlign w:val="center"/>
          </w:tcPr>
          <w:p w14:paraId="59A93366">
            <w:pPr>
              <w:spacing w:line="240" w:lineRule="exact"/>
              <w:rPr>
                <w:rFonts w:ascii="宋体" w:hAnsi="宋体" w:eastAsia="宋体" w:cs="宋体"/>
                <w:sz w:val="18"/>
                <w:szCs w:val="18"/>
              </w:rPr>
            </w:pPr>
            <w:r>
              <w:rPr>
                <w:rFonts w:ascii="宋体" w:hAnsi="宋体" w:eastAsia="宋体" w:cs="宋体"/>
                <w:sz w:val="18"/>
                <w:szCs w:val="18"/>
              </w:rPr>
              <w:t>第三名</w:t>
            </w:r>
          </w:p>
        </w:tc>
        <w:tc>
          <w:tcPr>
            <w:tcW w:w="3213" w:type="dxa"/>
            <w:tcBorders>
              <w:top w:val="single" w:color="auto" w:sz="2" w:space="0"/>
              <w:left w:val="single" w:color="auto" w:sz="2" w:space="0"/>
              <w:bottom w:val="single" w:color="auto" w:sz="2" w:space="0"/>
              <w:right w:val="single" w:color="auto" w:sz="2" w:space="0"/>
            </w:tcBorders>
            <w:vAlign w:val="center"/>
          </w:tcPr>
          <w:p w14:paraId="6728E509">
            <w:pPr>
              <w:spacing w:line="240" w:lineRule="exact"/>
              <w:jc w:val="right"/>
              <w:rPr>
                <w:rFonts w:ascii="宋体" w:hAnsi="宋体" w:eastAsia="宋体" w:cs="宋体"/>
                <w:sz w:val="18"/>
                <w:szCs w:val="18"/>
              </w:rPr>
            </w:pPr>
            <w:r>
              <w:rPr>
                <w:rFonts w:ascii="宋体" w:hAnsi="宋体" w:eastAsia="宋体" w:cs="宋体"/>
                <w:sz w:val="18"/>
                <w:szCs w:val="18"/>
              </w:rPr>
              <w:t>296,997,042.97</w:t>
            </w:r>
          </w:p>
        </w:tc>
      </w:tr>
      <w:tr w14:paraId="30525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B1C40A">
            <w:pPr>
              <w:spacing w:before="40" w:after="40" w:line="240" w:lineRule="exact"/>
              <w:jc w:val="center"/>
              <w:rPr>
                <w:rFonts w:ascii="宋体" w:hAnsi="宋体" w:eastAsia="宋体" w:cs="宋体"/>
                <w:sz w:val="18"/>
                <w:szCs w:val="18"/>
              </w:rPr>
            </w:pPr>
            <w:r>
              <w:rPr>
                <w:rFonts w:ascii="宋体" w:hAnsi="宋体" w:eastAsia="宋体" w:cs="宋体"/>
                <w:sz w:val="18"/>
                <w:szCs w:val="18"/>
              </w:rPr>
              <w:t>4</w:t>
            </w:r>
          </w:p>
        </w:tc>
        <w:tc>
          <w:tcPr>
            <w:tcW w:w="3213" w:type="dxa"/>
            <w:tcBorders>
              <w:top w:val="single" w:color="auto" w:sz="2" w:space="0"/>
              <w:left w:val="single" w:color="auto" w:sz="2" w:space="0"/>
              <w:bottom w:val="single" w:color="auto" w:sz="2" w:space="0"/>
              <w:right w:val="single" w:color="auto" w:sz="2" w:space="0"/>
            </w:tcBorders>
            <w:vAlign w:val="center"/>
          </w:tcPr>
          <w:p w14:paraId="07435B79">
            <w:pPr>
              <w:spacing w:line="240" w:lineRule="exact"/>
              <w:rPr>
                <w:rFonts w:ascii="宋体" w:hAnsi="宋体" w:eastAsia="宋体" w:cs="宋体"/>
                <w:sz w:val="18"/>
                <w:szCs w:val="18"/>
              </w:rPr>
            </w:pPr>
            <w:r>
              <w:rPr>
                <w:rFonts w:ascii="宋体" w:hAnsi="宋体" w:eastAsia="宋体" w:cs="宋体"/>
                <w:sz w:val="18"/>
                <w:szCs w:val="18"/>
              </w:rPr>
              <w:t>第四名</w:t>
            </w:r>
          </w:p>
        </w:tc>
        <w:tc>
          <w:tcPr>
            <w:tcW w:w="3213" w:type="dxa"/>
            <w:tcBorders>
              <w:top w:val="single" w:color="auto" w:sz="2" w:space="0"/>
              <w:left w:val="single" w:color="auto" w:sz="2" w:space="0"/>
              <w:bottom w:val="single" w:color="auto" w:sz="2" w:space="0"/>
              <w:right w:val="single" w:color="auto" w:sz="2" w:space="0"/>
            </w:tcBorders>
            <w:vAlign w:val="center"/>
          </w:tcPr>
          <w:p w14:paraId="144B1B72">
            <w:pPr>
              <w:spacing w:line="240" w:lineRule="exact"/>
              <w:jc w:val="right"/>
              <w:rPr>
                <w:rFonts w:ascii="宋体" w:hAnsi="宋体" w:eastAsia="宋体" w:cs="宋体"/>
                <w:sz w:val="18"/>
                <w:szCs w:val="18"/>
              </w:rPr>
            </w:pPr>
            <w:r>
              <w:rPr>
                <w:rFonts w:ascii="宋体" w:hAnsi="宋体" w:eastAsia="宋体" w:cs="宋体"/>
                <w:sz w:val="18"/>
                <w:szCs w:val="18"/>
              </w:rPr>
              <w:t>173,316,907.98</w:t>
            </w:r>
          </w:p>
        </w:tc>
      </w:tr>
      <w:tr w14:paraId="73464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3B3D1C">
            <w:pPr>
              <w:spacing w:before="40" w:after="40" w:line="240" w:lineRule="exact"/>
              <w:jc w:val="center"/>
              <w:rPr>
                <w:rFonts w:ascii="宋体" w:hAnsi="宋体" w:eastAsia="宋体" w:cs="宋体"/>
                <w:sz w:val="18"/>
                <w:szCs w:val="18"/>
              </w:rPr>
            </w:pPr>
            <w:r>
              <w:rPr>
                <w:rFonts w:ascii="宋体" w:hAnsi="宋体" w:eastAsia="宋体" w:cs="宋体"/>
                <w:sz w:val="18"/>
                <w:szCs w:val="18"/>
              </w:rPr>
              <w:t>5</w:t>
            </w:r>
          </w:p>
        </w:tc>
        <w:tc>
          <w:tcPr>
            <w:tcW w:w="3213" w:type="dxa"/>
            <w:tcBorders>
              <w:top w:val="single" w:color="auto" w:sz="2" w:space="0"/>
              <w:left w:val="single" w:color="auto" w:sz="2" w:space="0"/>
              <w:bottom w:val="single" w:color="auto" w:sz="2" w:space="0"/>
              <w:right w:val="single" w:color="auto" w:sz="2" w:space="0"/>
            </w:tcBorders>
            <w:vAlign w:val="center"/>
          </w:tcPr>
          <w:p w14:paraId="0D1A347F">
            <w:pPr>
              <w:spacing w:line="240" w:lineRule="exact"/>
              <w:rPr>
                <w:rFonts w:ascii="宋体" w:hAnsi="宋体" w:eastAsia="宋体" w:cs="宋体"/>
                <w:sz w:val="18"/>
                <w:szCs w:val="18"/>
              </w:rPr>
            </w:pPr>
            <w:r>
              <w:rPr>
                <w:rFonts w:ascii="宋体" w:hAnsi="宋体" w:eastAsia="宋体" w:cs="宋体"/>
                <w:sz w:val="18"/>
                <w:szCs w:val="18"/>
              </w:rPr>
              <w:t>第五名</w:t>
            </w:r>
          </w:p>
        </w:tc>
        <w:tc>
          <w:tcPr>
            <w:tcW w:w="3213" w:type="dxa"/>
            <w:tcBorders>
              <w:top w:val="single" w:color="auto" w:sz="2" w:space="0"/>
              <w:left w:val="single" w:color="auto" w:sz="2" w:space="0"/>
              <w:bottom w:val="single" w:color="auto" w:sz="2" w:space="0"/>
              <w:right w:val="single" w:color="auto" w:sz="2" w:space="0"/>
            </w:tcBorders>
            <w:vAlign w:val="center"/>
          </w:tcPr>
          <w:p w14:paraId="45DE2E83">
            <w:pPr>
              <w:spacing w:line="240" w:lineRule="exact"/>
              <w:jc w:val="right"/>
              <w:rPr>
                <w:rFonts w:ascii="宋体" w:hAnsi="宋体" w:eastAsia="宋体" w:cs="宋体"/>
                <w:sz w:val="18"/>
                <w:szCs w:val="18"/>
              </w:rPr>
            </w:pPr>
            <w:r>
              <w:rPr>
                <w:rFonts w:ascii="宋体" w:hAnsi="宋体" w:eastAsia="宋体" w:cs="宋体"/>
                <w:sz w:val="18"/>
                <w:szCs w:val="18"/>
              </w:rPr>
              <w:t>137,065,109.11</w:t>
            </w:r>
          </w:p>
        </w:tc>
      </w:tr>
      <w:tr w14:paraId="12656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EBEE03">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6B9997">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3213" w:type="dxa"/>
            <w:tcBorders>
              <w:top w:val="single" w:color="auto" w:sz="2" w:space="0"/>
              <w:left w:val="single" w:color="auto" w:sz="2" w:space="0"/>
              <w:bottom w:val="single" w:color="auto" w:sz="2" w:space="0"/>
              <w:right w:val="single" w:color="auto" w:sz="2" w:space="0"/>
            </w:tcBorders>
            <w:vAlign w:val="center"/>
          </w:tcPr>
          <w:p w14:paraId="7727CC3C">
            <w:pPr>
              <w:spacing w:line="240" w:lineRule="exact"/>
              <w:jc w:val="right"/>
              <w:rPr>
                <w:rFonts w:ascii="宋体" w:hAnsi="宋体" w:eastAsia="宋体" w:cs="宋体"/>
                <w:sz w:val="18"/>
                <w:szCs w:val="18"/>
              </w:rPr>
            </w:pPr>
            <w:r>
              <w:rPr>
                <w:rFonts w:ascii="宋体" w:hAnsi="宋体" w:eastAsia="宋体" w:cs="宋体"/>
                <w:sz w:val="18"/>
                <w:szCs w:val="18"/>
              </w:rPr>
              <w:t>1,275,650,533.61</w:t>
            </w:r>
          </w:p>
        </w:tc>
      </w:tr>
    </w:tbl>
    <w:p w14:paraId="7B6414E9">
      <w:pPr>
        <w:pStyle w:val="3"/>
        <w:spacing w:line="280" w:lineRule="exact"/>
        <w:jc w:val="left"/>
        <w:rPr>
          <w:rFonts w:ascii="宋体" w:hAnsi="宋体" w:cs="宋体"/>
          <w:b/>
          <w:bCs/>
        </w:rPr>
      </w:pPr>
      <w:bookmarkStart w:id="28" w:name="_Toc988917"/>
      <w:r>
        <w:rPr>
          <w:rFonts w:ascii="宋体" w:hAnsi="宋体" w:cs="宋体"/>
          <w:b/>
          <w:bCs/>
        </w:rPr>
        <w:t>3、费用</w:t>
      </w:r>
      <w:bookmarkEnd w:id="28"/>
    </w:p>
    <w:p w14:paraId="7E90103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35E75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4D8BC33"/>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DE83B8F">
            <w:pPr>
              <w:spacing w:before="40" w:after="40" w:line="240" w:lineRule="exact"/>
              <w:jc w:val="center"/>
              <w:rPr>
                <w:rFonts w:ascii="宋体" w:hAnsi="宋体" w:eastAsia="宋体" w:cs="宋体"/>
                <w:sz w:val="18"/>
                <w:szCs w:val="18"/>
              </w:rPr>
            </w:pPr>
            <w:r>
              <w:rPr>
                <w:rFonts w:ascii="宋体" w:hAnsi="宋体" w:eastAsia="宋体" w:cs="宋体"/>
                <w:sz w:val="18"/>
                <w:szCs w:val="18"/>
              </w:rPr>
              <w:t>2025年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E0BC027">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305B05C">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780916E">
            <w:pPr>
              <w:spacing w:before="40" w:after="40" w:line="240" w:lineRule="exact"/>
              <w:jc w:val="center"/>
              <w:rPr>
                <w:rFonts w:ascii="宋体" w:hAnsi="宋体" w:eastAsia="宋体" w:cs="宋体"/>
                <w:sz w:val="18"/>
                <w:szCs w:val="18"/>
              </w:rPr>
            </w:pPr>
            <w:r>
              <w:rPr>
                <w:rFonts w:ascii="宋体" w:hAnsi="宋体" w:eastAsia="宋体" w:cs="宋体"/>
                <w:sz w:val="18"/>
                <w:szCs w:val="18"/>
              </w:rPr>
              <w:t>重大变动说明</w:t>
            </w:r>
          </w:p>
        </w:tc>
      </w:tr>
      <w:tr w14:paraId="13B26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A54AA1B">
            <w:pPr>
              <w:spacing w:before="40" w:after="40" w:line="240" w:lineRule="exact"/>
              <w:rPr>
                <w:rFonts w:ascii="宋体" w:hAnsi="宋体" w:eastAsia="宋体" w:cs="宋体"/>
                <w:sz w:val="18"/>
                <w:szCs w:val="18"/>
              </w:rPr>
            </w:pPr>
            <w:r>
              <w:rPr>
                <w:rFonts w:ascii="宋体" w:hAnsi="宋体" w:eastAsia="宋体" w:cs="宋体"/>
                <w:sz w:val="18"/>
                <w:szCs w:val="18"/>
              </w:rPr>
              <w:t>销售费用</w:t>
            </w:r>
          </w:p>
        </w:tc>
        <w:tc>
          <w:tcPr>
            <w:tcW w:w="1928" w:type="dxa"/>
            <w:tcBorders>
              <w:top w:val="single" w:color="auto" w:sz="2" w:space="0"/>
              <w:left w:val="single" w:color="auto" w:sz="2" w:space="0"/>
              <w:bottom w:val="single" w:color="auto" w:sz="2" w:space="0"/>
              <w:right w:val="single" w:color="auto" w:sz="2" w:space="0"/>
            </w:tcBorders>
            <w:vAlign w:val="center"/>
          </w:tcPr>
          <w:p w14:paraId="6AA22870">
            <w:pPr>
              <w:spacing w:line="240" w:lineRule="exact"/>
              <w:jc w:val="right"/>
              <w:rPr>
                <w:rFonts w:ascii="宋体" w:hAnsi="宋体" w:eastAsia="宋体" w:cs="宋体"/>
                <w:sz w:val="18"/>
                <w:szCs w:val="18"/>
              </w:rPr>
            </w:pPr>
            <w:r>
              <w:rPr>
                <w:rFonts w:ascii="宋体" w:hAnsi="宋体" w:eastAsia="宋体" w:cs="宋体"/>
                <w:sz w:val="18"/>
                <w:szCs w:val="18"/>
              </w:rPr>
              <w:t>120,416,797.90</w:t>
            </w:r>
          </w:p>
        </w:tc>
        <w:tc>
          <w:tcPr>
            <w:tcW w:w="1928" w:type="dxa"/>
            <w:tcBorders>
              <w:top w:val="single" w:color="auto" w:sz="2" w:space="0"/>
              <w:left w:val="single" w:color="auto" w:sz="2" w:space="0"/>
              <w:bottom w:val="single" w:color="auto" w:sz="2" w:space="0"/>
              <w:right w:val="single" w:color="auto" w:sz="2" w:space="0"/>
            </w:tcBorders>
            <w:vAlign w:val="center"/>
          </w:tcPr>
          <w:p w14:paraId="67BF0BC1">
            <w:pPr>
              <w:spacing w:line="240" w:lineRule="exact"/>
              <w:jc w:val="right"/>
              <w:rPr>
                <w:rFonts w:ascii="宋体" w:hAnsi="宋体" w:eastAsia="宋体" w:cs="宋体"/>
                <w:sz w:val="18"/>
                <w:szCs w:val="18"/>
              </w:rPr>
            </w:pPr>
            <w:r>
              <w:rPr>
                <w:rFonts w:ascii="宋体" w:hAnsi="宋体" w:eastAsia="宋体" w:cs="宋体"/>
                <w:sz w:val="18"/>
                <w:szCs w:val="18"/>
              </w:rPr>
              <w:t>112,368,503.45</w:t>
            </w:r>
          </w:p>
        </w:tc>
        <w:tc>
          <w:tcPr>
            <w:tcW w:w="1928" w:type="dxa"/>
            <w:tcBorders>
              <w:top w:val="single" w:color="auto" w:sz="2" w:space="0"/>
              <w:left w:val="single" w:color="auto" w:sz="2" w:space="0"/>
              <w:bottom w:val="single" w:color="auto" w:sz="2" w:space="0"/>
              <w:right w:val="single" w:color="auto" w:sz="2" w:space="0"/>
            </w:tcBorders>
            <w:vAlign w:val="center"/>
          </w:tcPr>
          <w:p w14:paraId="29719A38">
            <w:pPr>
              <w:spacing w:line="240" w:lineRule="exact"/>
              <w:jc w:val="right"/>
              <w:rPr>
                <w:rFonts w:ascii="宋体" w:hAnsi="宋体" w:eastAsia="宋体" w:cs="宋体"/>
                <w:sz w:val="18"/>
                <w:szCs w:val="18"/>
              </w:rPr>
            </w:pPr>
            <w:r>
              <w:rPr>
                <w:rFonts w:ascii="宋体" w:hAnsi="宋体" w:eastAsia="宋体" w:cs="宋体"/>
                <w:sz w:val="18"/>
                <w:szCs w:val="18"/>
              </w:rPr>
              <w:t>7.16%</w:t>
            </w:r>
          </w:p>
        </w:tc>
        <w:tc>
          <w:tcPr>
            <w:tcW w:w="1928" w:type="dxa"/>
            <w:tcBorders>
              <w:top w:val="single" w:color="auto" w:sz="2" w:space="0"/>
              <w:left w:val="single" w:color="auto" w:sz="2" w:space="0"/>
              <w:bottom w:val="single" w:color="auto" w:sz="2" w:space="0"/>
              <w:right w:val="single" w:color="auto" w:sz="2" w:space="0"/>
            </w:tcBorders>
            <w:vAlign w:val="center"/>
          </w:tcPr>
          <w:p w14:paraId="158E0EC3">
            <w:pPr>
              <w:spacing w:line="240" w:lineRule="exact"/>
              <w:rPr>
                <w:rFonts w:ascii="宋体" w:hAnsi="宋体" w:eastAsia="宋体" w:cs="宋体"/>
                <w:sz w:val="18"/>
                <w:szCs w:val="18"/>
              </w:rPr>
            </w:pPr>
          </w:p>
        </w:tc>
      </w:tr>
      <w:tr w14:paraId="2D852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959FA9B">
            <w:pPr>
              <w:spacing w:before="40" w:after="40" w:line="240" w:lineRule="exact"/>
              <w:rPr>
                <w:rFonts w:ascii="宋体" w:hAnsi="宋体" w:eastAsia="宋体" w:cs="宋体"/>
                <w:sz w:val="18"/>
                <w:szCs w:val="18"/>
              </w:rPr>
            </w:pPr>
            <w:r>
              <w:rPr>
                <w:rFonts w:ascii="宋体" w:hAnsi="宋体" w:eastAsia="宋体" w:cs="宋体"/>
                <w:sz w:val="18"/>
                <w:szCs w:val="18"/>
              </w:rPr>
              <w:t>管理费用</w:t>
            </w:r>
          </w:p>
        </w:tc>
        <w:tc>
          <w:tcPr>
            <w:tcW w:w="1928" w:type="dxa"/>
            <w:tcBorders>
              <w:top w:val="single" w:color="auto" w:sz="2" w:space="0"/>
              <w:left w:val="single" w:color="auto" w:sz="2" w:space="0"/>
              <w:bottom w:val="single" w:color="auto" w:sz="2" w:space="0"/>
              <w:right w:val="single" w:color="auto" w:sz="2" w:space="0"/>
            </w:tcBorders>
            <w:vAlign w:val="center"/>
          </w:tcPr>
          <w:p w14:paraId="2203E507">
            <w:pPr>
              <w:spacing w:line="240" w:lineRule="exact"/>
              <w:jc w:val="right"/>
              <w:rPr>
                <w:rFonts w:ascii="宋体" w:hAnsi="宋体" w:eastAsia="宋体" w:cs="宋体"/>
                <w:sz w:val="18"/>
                <w:szCs w:val="18"/>
              </w:rPr>
            </w:pPr>
            <w:r>
              <w:rPr>
                <w:rFonts w:ascii="宋体" w:hAnsi="宋体" w:eastAsia="宋体" w:cs="宋体"/>
                <w:sz w:val="18"/>
                <w:szCs w:val="18"/>
              </w:rPr>
              <w:t>316,096,177.33</w:t>
            </w:r>
          </w:p>
        </w:tc>
        <w:tc>
          <w:tcPr>
            <w:tcW w:w="1928" w:type="dxa"/>
            <w:tcBorders>
              <w:top w:val="single" w:color="auto" w:sz="2" w:space="0"/>
              <w:left w:val="single" w:color="auto" w:sz="2" w:space="0"/>
              <w:bottom w:val="single" w:color="auto" w:sz="2" w:space="0"/>
              <w:right w:val="single" w:color="auto" w:sz="2" w:space="0"/>
            </w:tcBorders>
            <w:vAlign w:val="center"/>
          </w:tcPr>
          <w:p w14:paraId="283AE397">
            <w:pPr>
              <w:spacing w:line="240" w:lineRule="exact"/>
              <w:jc w:val="right"/>
              <w:rPr>
                <w:rFonts w:ascii="宋体" w:hAnsi="宋体" w:eastAsia="宋体" w:cs="宋体"/>
                <w:sz w:val="18"/>
                <w:szCs w:val="18"/>
              </w:rPr>
            </w:pPr>
            <w:r>
              <w:rPr>
                <w:rFonts w:ascii="宋体" w:hAnsi="宋体" w:eastAsia="宋体" w:cs="宋体"/>
                <w:sz w:val="18"/>
                <w:szCs w:val="18"/>
              </w:rPr>
              <w:t>319,106,479.61</w:t>
            </w:r>
          </w:p>
        </w:tc>
        <w:tc>
          <w:tcPr>
            <w:tcW w:w="1928" w:type="dxa"/>
            <w:tcBorders>
              <w:top w:val="single" w:color="auto" w:sz="2" w:space="0"/>
              <w:left w:val="single" w:color="auto" w:sz="2" w:space="0"/>
              <w:bottom w:val="single" w:color="auto" w:sz="2" w:space="0"/>
              <w:right w:val="single" w:color="auto" w:sz="2" w:space="0"/>
            </w:tcBorders>
            <w:vAlign w:val="center"/>
          </w:tcPr>
          <w:p w14:paraId="34248CB0">
            <w:pPr>
              <w:spacing w:line="240" w:lineRule="exact"/>
              <w:jc w:val="right"/>
              <w:rPr>
                <w:rFonts w:ascii="宋体" w:hAnsi="宋体" w:eastAsia="宋体" w:cs="宋体"/>
                <w:sz w:val="18"/>
                <w:szCs w:val="18"/>
              </w:rPr>
            </w:pPr>
            <w:r>
              <w:rPr>
                <w:rFonts w:ascii="宋体" w:hAnsi="宋体" w:eastAsia="宋体" w:cs="宋体"/>
                <w:sz w:val="18"/>
                <w:szCs w:val="18"/>
              </w:rPr>
              <w:t>-0.94%</w:t>
            </w:r>
          </w:p>
        </w:tc>
        <w:tc>
          <w:tcPr>
            <w:tcW w:w="1928" w:type="dxa"/>
            <w:tcBorders>
              <w:top w:val="single" w:color="auto" w:sz="2" w:space="0"/>
              <w:left w:val="single" w:color="auto" w:sz="2" w:space="0"/>
              <w:bottom w:val="single" w:color="auto" w:sz="2" w:space="0"/>
              <w:right w:val="single" w:color="auto" w:sz="2" w:space="0"/>
            </w:tcBorders>
            <w:vAlign w:val="center"/>
          </w:tcPr>
          <w:p w14:paraId="5EB5C6BD">
            <w:pPr>
              <w:spacing w:line="240" w:lineRule="exact"/>
              <w:rPr>
                <w:rFonts w:ascii="宋体" w:hAnsi="宋体" w:eastAsia="宋体" w:cs="宋体"/>
                <w:sz w:val="18"/>
                <w:szCs w:val="18"/>
              </w:rPr>
            </w:pPr>
          </w:p>
        </w:tc>
      </w:tr>
      <w:tr w14:paraId="7A995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CE0C361">
            <w:pPr>
              <w:spacing w:before="40" w:after="40" w:line="240" w:lineRule="exact"/>
              <w:rPr>
                <w:rFonts w:ascii="宋体" w:hAnsi="宋体" w:eastAsia="宋体" w:cs="宋体"/>
                <w:sz w:val="18"/>
                <w:szCs w:val="18"/>
              </w:rPr>
            </w:pPr>
            <w:r>
              <w:rPr>
                <w:rFonts w:ascii="宋体" w:hAnsi="宋体" w:eastAsia="宋体" w:cs="宋体"/>
                <w:sz w:val="18"/>
                <w:szCs w:val="18"/>
              </w:rPr>
              <w:t>财务费用</w:t>
            </w:r>
          </w:p>
        </w:tc>
        <w:tc>
          <w:tcPr>
            <w:tcW w:w="1928" w:type="dxa"/>
            <w:tcBorders>
              <w:top w:val="single" w:color="auto" w:sz="2" w:space="0"/>
              <w:left w:val="single" w:color="auto" w:sz="2" w:space="0"/>
              <w:bottom w:val="single" w:color="auto" w:sz="2" w:space="0"/>
              <w:right w:val="single" w:color="auto" w:sz="2" w:space="0"/>
            </w:tcBorders>
            <w:vAlign w:val="center"/>
          </w:tcPr>
          <w:p w14:paraId="597A1C6E">
            <w:pPr>
              <w:spacing w:line="240" w:lineRule="exact"/>
              <w:jc w:val="right"/>
              <w:rPr>
                <w:rFonts w:ascii="宋体" w:hAnsi="宋体" w:eastAsia="宋体" w:cs="宋体"/>
                <w:sz w:val="18"/>
                <w:szCs w:val="18"/>
              </w:rPr>
            </w:pPr>
            <w:r>
              <w:rPr>
                <w:rFonts w:ascii="宋体" w:hAnsi="宋体" w:eastAsia="宋体" w:cs="宋体"/>
                <w:sz w:val="18"/>
                <w:szCs w:val="18"/>
              </w:rPr>
              <w:t>172,841,386.37</w:t>
            </w:r>
          </w:p>
        </w:tc>
        <w:tc>
          <w:tcPr>
            <w:tcW w:w="1928" w:type="dxa"/>
            <w:tcBorders>
              <w:top w:val="single" w:color="auto" w:sz="2" w:space="0"/>
              <w:left w:val="single" w:color="auto" w:sz="2" w:space="0"/>
              <w:bottom w:val="single" w:color="auto" w:sz="2" w:space="0"/>
              <w:right w:val="single" w:color="auto" w:sz="2" w:space="0"/>
            </w:tcBorders>
            <w:vAlign w:val="center"/>
          </w:tcPr>
          <w:p w14:paraId="41C4B646">
            <w:pPr>
              <w:spacing w:line="240" w:lineRule="exact"/>
              <w:jc w:val="right"/>
              <w:rPr>
                <w:rFonts w:ascii="宋体" w:hAnsi="宋体" w:eastAsia="宋体" w:cs="宋体"/>
                <w:sz w:val="18"/>
                <w:szCs w:val="18"/>
              </w:rPr>
            </w:pPr>
            <w:r>
              <w:rPr>
                <w:rFonts w:ascii="宋体" w:hAnsi="宋体" w:eastAsia="宋体" w:cs="宋体"/>
                <w:sz w:val="18"/>
                <w:szCs w:val="18"/>
              </w:rPr>
              <w:t>201,062,000.00</w:t>
            </w:r>
          </w:p>
        </w:tc>
        <w:tc>
          <w:tcPr>
            <w:tcW w:w="1928" w:type="dxa"/>
            <w:tcBorders>
              <w:top w:val="single" w:color="auto" w:sz="2" w:space="0"/>
              <w:left w:val="single" w:color="auto" w:sz="2" w:space="0"/>
              <w:bottom w:val="single" w:color="auto" w:sz="2" w:space="0"/>
              <w:right w:val="single" w:color="auto" w:sz="2" w:space="0"/>
            </w:tcBorders>
            <w:vAlign w:val="center"/>
          </w:tcPr>
          <w:p w14:paraId="50C7D065">
            <w:pPr>
              <w:spacing w:line="240" w:lineRule="exact"/>
              <w:jc w:val="right"/>
              <w:rPr>
                <w:rFonts w:ascii="宋体" w:hAnsi="宋体" w:eastAsia="宋体" w:cs="宋体"/>
                <w:sz w:val="18"/>
                <w:szCs w:val="18"/>
              </w:rPr>
            </w:pPr>
            <w:r>
              <w:rPr>
                <w:rFonts w:ascii="宋体" w:hAnsi="宋体" w:eastAsia="宋体" w:cs="宋体"/>
                <w:sz w:val="18"/>
                <w:szCs w:val="18"/>
              </w:rPr>
              <w:t>-14.04%</w:t>
            </w:r>
          </w:p>
        </w:tc>
        <w:tc>
          <w:tcPr>
            <w:tcW w:w="1928" w:type="dxa"/>
            <w:tcBorders>
              <w:top w:val="single" w:color="auto" w:sz="2" w:space="0"/>
              <w:left w:val="single" w:color="auto" w:sz="2" w:space="0"/>
              <w:bottom w:val="single" w:color="auto" w:sz="2" w:space="0"/>
              <w:right w:val="single" w:color="auto" w:sz="2" w:space="0"/>
            </w:tcBorders>
            <w:vAlign w:val="center"/>
          </w:tcPr>
          <w:p w14:paraId="4DF69711">
            <w:pPr>
              <w:spacing w:line="240" w:lineRule="exact"/>
              <w:rPr>
                <w:rFonts w:ascii="宋体" w:hAnsi="宋体" w:eastAsia="宋体" w:cs="宋体"/>
                <w:sz w:val="18"/>
                <w:szCs w:val="18"/>
              </w:rPr>
            </w:pPr>
          </w:p>
        </w:tc>
      </w:tr>
      <w:tr w14:paraId="4A7D3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F1F1339">
            <w:pPr>
              <w:spacing w:before="40" w:after="40" w:line="240" w:lineRule="exact"/>
              <w:rPr>
                <w:rFonts w:ascii="宋体" w:hAnsi="宋体" w:eastAsia="宋体" w:cs="宋体"/>
                <w:sz w:val="18"/>
                <w:szCs w:val="18"/>
              </w:rPr>
            </w:pPr>
            <w:r>
              <w:rPr>
                <w:rFonts w:ascii="宋体" w:hAnsi="宋体" w:eastAsia="宋体" w:cs="宋体"/>
                <w:sz w:val="18"/>
                <w:szCs w:val="18"/>
              </w:rPr>
              <w:t>研发费用</w:t>
            </w:r>
          </w:p>
        </w:tc>
        <w:tc>
          <w:tcPr>
            <w:tcW w:w="1928" w:type="dxa"/>
            <w:tcBorders>
              <w:top w:val="single" w:color="auto" w:sz="2" w:space="0"/>
              <w:left w:val="single" w:color="auto" w:sz="2" w:space="0"/>
              <w:bottom w:val="single" w:color="auto" w:sz="2" w:space="0"/>
              <w:right w:val="single" w:color="auto" w:sz="2" w:space="0"/>
            </w:tcBorders>
            <w:vAlign w:val="center"/>
          </w:tcPr>
          <w:p w14:paraId="2E6AE773">
            <w:pPr>
              <w:spacing w:line="240" w:lineRule="exact"/>
              <w:jc w:val="right"/>
              <w:rPr>
                <w:rFonts w:ascii="宋体" w:hAnsi="宋体" w:eastAsia="宋体" w:cs="宋体"/>
                <w:sz w:val="18"/>
                <w:szCs w:val="18"/>
              </w:rPr>
            </w:pPr>
            <w:r>
              <w:rPr>
                <w:rFonts w:ascii="宋体" w:hAnsi="宋体" w:eastAsia="宋体" w:cs="宋体"/>
                <w:sz w:val="18"/>
                <w:szCs w:val="18"/>
              </w:rPr>
              <w:t>131,084,877.57</w:t>
            </w:r>
          </w:p>
        </w:tc>
        <w:tc>
          <w:tcPr>
            <w:tcW w:w="1928" w:type="dxa"/>
            <w:tcBorders>
              <w:top w:val="single" w:color="auto" w:sz="2" w:space="0"/>
              <w:left w:val="single" w:color="auto" w:sz="2" w:space="0"/>
              <w:bottom w:val="single" w:color="auto" w:sz="2" w:space="0"/>
              <w:right w:val="single" w:color="auto" w:sz="2" w:space="0"/>
            </w:tcBorders>
            <w:vAlign w:val="center"/>
          </w:tcPr>
          <w:p w14:paraId="760231EC">
            <w:pPr>
              <w:spacing w:line="240" w:lineRule="exact"/>
              <w:jc w:val="right"/>
              <w:rPr>
                <w:rFonts w:ascii="宋体" w:hAnsi="宋体" w:eastAsia="宋体" w:cs="宋体"/>
                <w:sz w:val="18"/>
                <w:szCs w:val="18"/>
              </w:rPr>
            </w:pPr>
            <w:r>
              <w:rPr>
                <w:rFonts w:ascii="宋体" w:hAnsi="宋体" w:eastAsia="宋体" w:cs="宋体"/>
                <w:sz w:val="18"/>
                <w:szCs w:val="18"/>
              </w:rPr>
              <w:t>150,806,512.44</w:t>
            </w:r>
          </w:p>
        </w:tc>
        <w:tc>
          <w:tcPr>
            <w:tcW w:w="1928" w:type="dxa"/>
            <w:tcBorders>
              <w:top w:val="single" w:color="auto" w:sz="2" w:space="0"/>
              <w:left w:val="single" w:color="auto" w:sz="2" w:space="0"/>
              <w:bottom w:val="single" w:color="auto" w:sz="2" w:space="0"/>
              <w:right w:val="single" w:color="auto" w:sz="2" w:space="0"/>
            </w:tcBorders>
            <w:vAlign w:val="center"/>
          </w:tcPr>
          <w:p w14:paraId="5694B155">
            <w:pPr>
              <w:spacing w:line="240" w:lineRule="exact"/>
              <w:jc w:val="right"/>
              <w:rPr>
                <w:rFonts w:ascii="宋体" w:hAnsi="宋体" w:eastAsia="宋体" w:cs="宋体"/>
                <w:sz w:val="18"/>
                <w:szCs w:val="18"/>
              </w:rPr>
            </w:pPr>
            <w:r>
              <w:rPr>
                <w:rFonts w:ascii="宋体" w:hAnsi="宋体" w:eastAsia="宋体" w:cs="宋体"/>
                <w:sz w:val="18"/>
                <w:szCs w:val="18"/>
              </w:rPr>
              <w:t>-13.08%</w:t>
            </w:r>
          </w:p>
        </w:tc>
        <w:tc>
          <w:tcPr>
            <w:tcW w:w="1928" w:type="dxa"/>
            <w:tcBorders>
              <w:top w:val="single" w:color="auto" w:sz="2" w:space="0"/>
              <w:left w:val="single" w:color="auto" w:sz="2" w:space="0"/>
              <w:bottom w:val="single" w:color="auto" w:sz="2" w:space="0"/>
              <w:right w:val="single" w:color="auto" w:sz="2" w:space="0"/>
            </w:tcBorders>
            <w:vAlign w:val="center"/>
          </w:tcPr>
          <w:p w14:paraId="3FCCC5B9">
            <w:pPr>
              <w:spacing w:line="240" w:lineRule="exact"/>
              <w:rPr>
                <w:rFonts w:ascii="宋体" w:hAnsi="宋体" w:eastAsia="宋体" w:cs="宋体"/>
                <w:sz w:val="18"/>
                <w:szCs w:val="18"/>
              </w:rPr>
            </w:pPr>
          </w:p>
        </w:tc>
      </w:tr>
    </w:tbl>
    <w:p w14:paraId="334CA81D">
      <w:pPr>
        <w:spacing w:before="100" w:after="100" w:line="240" w:lineRule="exact"/>
        <w:rPr>
          <w:rFonts w:ascii="宋体" w:hAnsi="宋体" w:eastAsia="宋体" w:cs="宋体"/>
          <w:sz w:val="18"/>
          <w:szCs w:val="18"/>
        </w:rPr>
      </w:pPr>
      <w:r>
        <w:rPr>
          <w:rFonts w:ascii="宋体" w:hAnsi="宋体" w:eastAsia="宋体" w:cs="宋体"/>
          <w:sz w:val="18"/>
          <w:szCs w:val="18"/>
        </w:rPr>
        <w:t>公司需遵守《深圳证券交易所上市公司自律监管指引第3号——行业信息披露》中纺织服装相关业的披露要求</w:t>
      </w:r>
    </w:p>
    <w:p w14:paraId="3762155F">
      <w:pPr>
        <w:pStyle w:val="9"/>
        <w:rPr>
          <w:rFonts w:hint="eastAsia"/>
          <w:sz w:val="18"/>
          <w:szCs w:val="18"/>
        </w:rPr>
      </w:pPr>
      <w:r>
        <w:rPr>
          <w:rFonts w:hint="eastAsia"/>
          <w:sz w:val="18"/>
          <w:szCs w:val="18"/>
        </w:rPr>
        <w:t>销售费用</w:t>
      </w:r>
    </w:p>
    <w:p w14:paraId="53898CD6">
      <w:pPr>
        <w:pStyle w:val="9"/>
        <w:rPr>
          <w:rFonts w:hint="eastAsia"/>
          <w:sz w:val="18"/>
          <w:szCs w:val="18"/>
        </w:rPr>
      </w:pPr>
    </w:p>
    <w:p w14:paraId="0F901E7E">
      <w:pPr>
        <w:pStyle w:val="9"/>
        <w:rPr>
          <w:rFonts w:hint="eastAsia"/>
          <w:sz w:val="18"/>
          <w:szCs w:val="18"/>
        </w:rPr>
      </w:pPr>
    </w:p>
    <w:p w14:paraId="2323EF15">
      <w:pPr>
        <w:pStyle w:val="9"/>
        <w:jc w:val="right"/>
        <w:rPr>
          <w:sz w:val="18"/>
          <w:szCs w:val="18"/>
        </w:rPr>
      </w:pPr>
      <w:r>
        <w:rPr>
          <w:rFonts w:hint="eastAsia"/>
          <w:sz w:val="18"/>
          <w:szCs w:val="18"/>
        </w:rPr>
        <w:t>单位：元</w:t>
      </w:r>
    </w:p>
    <w:tbl>
      <w:tblPr>
        <w:tblStyle w:val="10"/>
        <w:tblW w:w="9747" w:type="dxa"/>
        <w:tblCaption w:val="D:\大华\华孚\2025年度\TB及报告|0-合并TB-华孚时尚股份有限公司-2025年度.xlsx|W附注模板|_jds248|0|desc|||0|1"/>
        <w:tblInd w:w="0" w:type="dxa"/>
        <w:tblLayout w:type="autofit"/>
        <w:tblCellMar>
          <w:top w:w="0" w:type="dxa"/>
          <w:left w:w="0" w:type="dxa"/>
          <w:bottom w:w="0" w:type="dxa"/>
          <w:right w:w="0" w:type="dxa"/>
        </w:tblCellMar>
      </w:tblPr>
      <w:tblGrid>
        <w:gridCol w:w="3249"/>
        <w:gridCol w:w="3249"/>
        <w:gridCol w:w="3249"/>
      </w:tblGrid>
      <w:tr w14:paraId="466A2A4D">
        <w:tblPrEx>
          <w:tblCellMar>
            <w:top w:w="0" w:type="dxa"/>
            <w:left w:w="0" w:type="dxa"/>
            <w:bottom w:w="0" w:type="dxa"/>
            <w:right w:w="0" w:type="dxa"/>
          </w:tblCellMar>
        </w:tblPrEx>
        <w:trPr>
          <w:trHeight w:val="340" w:hRule="atLeast"/>
          <w:tblHeader/>
        </w:trPr>
        <w:tc>
          <w:tcPr>
            <w:tcW w:w="32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5E97E6">
            <w:pPr>
              <w:spacing w:before="40" w:after="40" w:line="240" w:lineRule="exact"/>
              <w:jc w:val="center"/>
              <w:rPr>
                <w:rFonts w:ascii="宋体" w:hAnsi="宋体" w:eastAsia="宋体" w:cs="宋体"/>
                <w:sz w:val="18"/>
                <w:szCs w:val="18"/>
              </w:rPr>
            </w:pPr>
            <w:r>
              <w:rPr>
                <w:rFonts w:hint="eastAsia" w:ascii="宋体" w:hAnsi="宋体" w:eastAsia="宋体" w:cs="宋体"/>
                <w:sz w:val="18"/>
                <w:szCs w:val="18"/>
              </w:rPr>
              <w:t>项目</w:t>
            </w:r>
          </w:p>
        </w:tc>
        <w:tc>
          <w:tcPr>
            <w:tcW w:w="324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0EDC2F">
            <w:pPr>
              <w:spacing w:before="40" w:after="40" w:line="240" w:lineRule="exact"/>
              <w:jc w:val="center"/>
              <w:rPr>
                <w:rFonts w:ascii="宋体" w:hAnsi="宋体" w:eastAsia="宋体" w:cs="宋体"/>
                <w:sz w:val="18"/>
                <w:szCs w:val="18"/>
              </w:rPr>
            </w:pPr>
            <w:r>
              <w:rPr>
                <w:rFonts w:hint="eastAsia" w:ascii="宋体" w:hAnsi="宋体" w:eastAsia="宋体" w:cs="宋体"/>
                <w:sz w:val="18"/>
                <w:szCs w:val="18"/>
              </w:rPr>
              <w:t>本期发生额</w:t>
            </w:r>
          </w:p>
        </w:tc>
        <w:tc>
          <w:tcPr>
            <w:tcW w:w="324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56DE52">
            <w:pPr>
              <w:spacing w:before="40" w:after="40" w:line="240" w:lineRule="exact"/>
              <w:jc w:val="center"/>
              <w:rPr>
                <w:rFonts w:ascii="宋体" w:hAnsi="宋体" w:eastAsia="宋体" w:cs="宋体"/>
                <w:sz w:val="18"/>
                <w:szCs w:val="18"/>
              </w:rPr>
            </w:pPr>
            <w:r>
              <w:rPr>
                <w:rFonts w:hint="eastAsia" w:ascii="宋体" w:hAnsi="宋体" w:eastAsia="宋体" w:cs="宋体"/>
                <w:sz w:val="18"/>
                <w:szCs w:val="18"/>
              </w:rPr>
              <w:t>上期发生额</w:t>
            </w:r>
          </w:p>
        </w:tc>
      </w:tr>
      <w:tr w14:paraId="719B0C8C">
        <w:tblPrEx>
          <w:tblCellMar>
            <w:top w:w="0" w:type="dxa"/>
            <w:left w:w="0" w:type="dxa"/>
            <w:bottom w:w="0" w:type="dxa"/>
            <w:right w:w="0" w:type="dxa"/>
          </w:tblCellMar>
        </w:tblPrEx>
        <w:trPr>
          <w:trHeight w:val="60" w:hRule="atLeast"/>
        </w:trPr>
        <w:tc>
          <w:tcPr>
            <w:tcW w:w="32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D7B1C3">
            <w:pPr>
              <w:spacing w:before="40" w:after="40" w:line="240" w:lineRule="exact"/>
              <w:rPr>
                <w:rFonts w:ascii="宋体" w:hAnsi="宋体" w:eastAsia="宋体" w:cs="宋体"/>
                <w:sz w:val="18"/>
                <w:szCs w:val="18"/>
              </w:rPr>
            </w:pPr>
            <w:r>
              <w:rPr>
                <w:rFonts w:hint="eastAsia" w:ascii="宋体" w:hAnsi="宋体" w:eastAsia="宋体" w:cs="宋体"/>
                <w:sz w:val="18"/>
                <w:szCs w:val="18"/>
              </w:rPr>
              <w:t>工资及相关费用</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79B67BB9">
            <w:pPr>
              <w:spacing w:before="40" w:after="40" w:line="240" w:lineRule="exact"/>
              <w:jc w:val="right"/>
              <w:rPr>
                <w:rFonts w:ascii="宋体" w:hAnsi="宋体" w:eastAsia="宋体" w:cs="宋体"/>
                <w:sz w:val="18"/>
                <w:szCs w:val="18"/>
              </w:rPr>
            </w:pPr>
            <w:r>
              <w:rPr>
                <w:rFonts w:ascii="宋体" w:hAnsi="宋体" w:eastAsia="宋体" w:cs="宋体"/>
                <w:sz w:val="18"/>
                <w:szCs w:val="18"/>
              </w:rPr>
              <w:t>41,212,961.78</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29314927">
            <w:pPr>
              <w:spacing w:before="40" w:after="40" w:line="240" w:lineRule="exact"/>
              <w:jc w:val="right"/>
              <w:rPr>
                <w:rFonts w:ascii="宋体" w:hAnsi="宋体" w:eastAsia="宋体" w:cs="宋体"/>
                <w:sz w:val="18"/>
                <w:szCs w:val="18"/>
              </w:rPr>
            </w:pPr>
            <w:r>
              <w:rPr>
                <w:rFonts w:ascii="宋体" w:hAnsi="宋体" w:eastAsia="宋体" w:cs="宋体"/>
                <w:sz w:val="18"/>
                <w:szCs w:val="18"/>
              </w:rPr>
              <w:t>35,624,592.53</w:t>
            </w:r>
          </w:p>
        </w:tc>
      </w:tr>
      <w:tr w14:paraId="3CB44A4F">
        <w:tblPrEx>
          <w:tblCellMar>
            <w:top w:w="0" w:type="dxa"/>
            <w:left w:w="0" w:type="dxa"/>
            <w:bottom w:w="0" w:type="dxa"/>
            <w:right w:w="0" w:type="dxa"/>
          </w:tblCellMar>
        </w:tblPrEx>
        <w:trPr>
          <w:trHeight w:val="60" w:hRule="atLeast"/>
        </w:trPr>
        <w:tc>
          <w:tcPr>
            <w:tcW w:w="32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5E8DBA">
            <w:pPr>
              <w:spacing w:before="40" w:after="40" w:line="240" w:lineRule="exact"/>
              <w:rPr>
                <w:rFonts w:ascii="宋体" w:hAnsi="宋体" w:eastAsia="宋体" w:cs="宋体"/>
                <w:sz w:val="18"/>
                <w:szCs w:val="18"/>
              </w:rPr>
            </w:pPr>
            <w:r>
              <w:rPr>
                <w:rFonts w:hint="eastAsia" w:ascii="宋体" w:hAnsi="宋体" w:eastAsia="宋体" w:cs="宋体"/>
                <w:sz w:val="18"/>
                <w:szCs w:val="18"/>
              </w:rPr>
              <w:t>办公费用</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737AA003">
            <w:pPr>
              <w:spacing w:before="40" w:after="40" w:line="240" w:lineRule="exact"/>
              <w:jc w:val="right"/>
              <w:rPr>
                <w:rFonts w:ascii="宋体" w:hAnsi="宋体" w:eastAsia="宋体" w:cs="宋体"/>
                <w:sz w:val="18"/>
                <w:szCs w:val="18"/>
              </w:rPr>
            </w:pPr>
            <w:r>
              <w:rPr>
                <w:rFonts w:ascii="宋体" w:hAnsi="宋体" w:eastAsia="宋体" w:cs="宋体"/>
                <w:sz w:val="18"/>
                <w:szCs w:val="18"/>
              </w:rPr>
              <w:t>1,245,201.62</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54B2ADC7">
            <w:pPr>
              <w:spacing w:before="40" w:after="40" w:line="240" w:lineRule="exact"/>
              <w:jc w:val="right"/>
              <w:rPr>
                <w:rFonts w:ascii="宋体" w:hAnsi="宋体" w:eastAsia="宋体" w:cs="宋体"/>
                <w:sz w:val="18"/>
                <w:szCs w:val="18"/>
              </w:rPr>
            </w:pPr>
            <w:r>
              <w:rPr>
                <w:rFonts w:ascii="宋体" w:hAnsi="宋体" w:eastAsia="宋体" w:cs="宋体"/>
                <w:sz w:val="18"/>
                <w:szCs w:val="18"/>
              </w:rPr>
              <w:t>964,192.17</w:t>
            </w:r>
          </w:p>
        </w:tc>
      </w:tr>
      <w:tr w14:paraId="0E10C57F">
        <w:tblPrEx>
          <w:tblCellMar>
            <w:top w:w="0" w:type="dxa"/>
            <w:left w:w="0" w:type="dxa"/>
            <w:bottom w:w="0" w:type="dxa"/>
            <w:right w:w="0" w:type="dxa"/>
          </w:tblCellMar>
        </w:tblPrEx>
        <w:trPr>
          <w:trHeight w:val="60" w:hRule="atLeast"/>
        </w:trPr>
        <w:tc>
          <w:tcPr>
            <w:tcW w:w="32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970E5E">
            <w:pPr>
              <w:spacing w:before="40" w:after="40" w:line="240" w:lineRule="exact"/>
              <w:rPr>
                <w:rFonts w:ascii="宋体" w:hAnsi="宋体" w:eastAsia="宋体" w:cs="宋体"/>
                <w:sz w:val="18"/>
                <w:szCs w:val="18"/>
              </w:rPr>
            </w:pPr>
            <w:r>
              <w:rPr>
                <w:rFonts w:hint="eastAsia" w:ascii="宋体" w:hAnsi="宋体" w:eastAsia="宋体" w:cs="宋体"/>
                <w:sz w:val="18"/>
                <w:szCs w:val="18"/>
              </w:rPr>
              <w:t>租赁费</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604B17B0">
            <w:pPr>
              <w:spacing w:before="40" w:after="40" w:line="240" w:lineRule="exact"/>
              <w:jc w:val="right"/>
              <w:rPr>
                <w:rFonts w:ascii="宋体" w:hAnsi="宋体" w:eastAsia="宋体" w:cs="宋体"/>
                <w:sz w:val="18"/>
                <w:szCs w:val="18"/>
              </w:rPr>
            </w:pPr>
            <w:r>
              <w:rPr>
                <w:rFonts w:ascii="宋体" w:hAnsi="宋体" w:eastAsia="宋体" w:cs="宋体"/>
                <w:sz w:val="18"/>
                <w:szCs w:val="18"/>
              </w:rPr>
              <w:t>27,187,954.16</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46C85AC0">
            <w:pPr>
              <w:spacing w:before="40" w:after="40" w:line="240" w:lineRule="exact"/>
              <w:jc w:val="right"/>
              <w:rPr>
                <w:rFonts w:ascii="宋体" w:hAnsi="宋体" w:eastAsia="宋体" w:cs="宋体"/>
                <w:sz w:val="18"/>
                <w:szCs w:val="18"/>
              </w:rPr>
            </w:pPr>
            <w:r>
              <w:rPr>
                <w:rFonts w:ascii="宋体" w:hAnsi="宋体" w:eastAsia="宋体" w:cs="宋体"/>
                <w:sz w:val="18"/>
                <w:szCs w:val="18"/>
              </w:rPr>
              <w:t>27,105,240.31</w:t>
            </w:r>
          </w:p>
        </w:tc>
      </w:tr>
      <w:tr w14:paraId="6D613ED0">
        <w:tblPrEx>
          <w:tblCellMar>
            <w:top w:w="0" w:type="dxa"/>
            <w:left w:w="0" w:type="dxa"/>
            <w:bottom w:w="0" w:type="dxa"/>
            <w:right w:w="0" w:type="dxa"/>
          </w:tblCellMar>
        </w:tblPrEx>
        <w:trPr>
          <w:trHeight w:val="60" w:hRule="atLeast"/>
        </w:trPr>
        <w:tc>
          <w:tcPr>
            <w:tcW w:w="32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611D1A">
            <w:pPr>
              <w:spacing w:before="40" w:after="40" w:line="240" w:lineRule="exact"/>
              <w:rPr>
                <w:rFonts w:ascii="宋体" w:hAnsi="宋体" w:eastAsia="宋体" w:cs="宋体"/>
                <w:sz w:val="18"/>
                <w:szCs w:val="18"/>
              </w:rPr>
            </w:pPr>
            <w:r>
              <w:rPr>
                <w:rFonts w:hint="eastAsia" w:ascii="宋体" w:hAnsi="宋体" w:eastAsia="宋体" w:cs="宋体"/>
                <w:sz w:val="18"/>
                <w:szCs w:val="18"/>
              </w:rPr>
              <w:t>低值易耗品</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44239CB6">
            <w:pPr>
              <w:spacing w:before="40" w:after="40" w:line="240" w:lineRule="exact"/>
              <w:jc w:val="right"/>
              <w:rPr>
                <w:rFonts w:ascii="宋体" w:hAnsi="宋体" w:eastAsia="宋体" w:cs="宋体"/>
                <w:sz w:val="18"/>
                <w:szCs w:val="18"/>
              </w:rPr>
            </w:pPr>
            <w:r>
              <w:rPr>
                <w:rFonts w:ascii="宋体" w:hAnsi="宋体" w:eastAsia="宋体" w:cs="宋体"/>
                <w:sz w:val="18"/>
                <w:szCs w:val="18"/>
              </w:rPr>
              <w:t>1,308,667.92</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7555E6F6">
            <w:pPr>
              <w:spacing w:before="40" w:after="40" w:line="240" w:lineRule="exact"/>
              <w:jc w:val="right"/>
              <w:rPr>
                <w:rFonts w:ascii="宋体" w:hAnsi="宋体" w:eastAsia="宋体" w:cs="宋体"/>
                <w:sz w:val="18"/>
                <w:szCs w:val="18"/>
              </w:rPr>
            </w:pPr>
            <w:r>
              <w:rPr>
                <w:rFonts w:ascii="宋体" w:hAnsi="宋体" w:eastAsia="宋体" w:cs="宋体"/>
                <w:sz w:val="18"/>
                <w:szCs w:val="18"/>
              </w:rPr>
              <w:t>4,763,809.30</w:t>
            </w:r>
          </w:p>
        </w:tc>
      </w:tr>
      <w:tr w14:paraId="702C37F8">
        <w:tblPrEx>
          <w:tblCellMar>
            <w:top w:w="0" w:type="dxa"/>
            <w:left w:w="0" w:type="dxa"/>
            <w:bottom w:w="0" w:type="dxa"/>
            <w:right w:w="0" w:type="dxa"/>
          </w:tblCellMar>
        </w:tblPrEx>
        <w:trPr>
          <w:trHeight w:val="60" w:hRule="atLeast"/>
        </w:trPr>
        <w:tc>
          <w:tcPr>
            <w:tcW w:w="32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629C68">
            <w:pPr>
              <w:spacing w:before="40" w:after="40" w:line="240" w:lineRule="exact"/>
              <w:rPr>
                <w:rFonts w:ascii="宋体" w:hAnsi="宋体" w:eastAsia="宋体" w:cs="宋体"/>
                <w:sz w:val="18"/>
                <w:szCs w:val="18"/>
              </w:rPr>
            </w:pPr>
            <w:r>
              <w:rPr>
                <w:rFonts w:hint="eastAsia" w:ascii="宋体" w:hAnsi="宋体" w:eastAsia="宋体" w:cs="宋体"/>
                <w:sz w:val="18"/>
                <w:szCs w:val="18"/>
              </w:rPr>
              <w:t>修理费</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72EBC8CF">
            <w:pPr>
              <w:spacing w:before="40" w:after="40" w:line="240" w:lineRule="exact"/>
              <w:jc w:val="right"/>
              <w:rPr>
                <w:rFonts w:ascii="宋体" w:hAnsi="宋体" w:eastAsia="宋体" w:cs="宋体"/>
                <w:sz w:val="18"/>
                <w:szCs w:val="18"/>
              </w:rPr>
            </w:pPr>
            <w:r>
              <w:rPr>
                <w:rFonts w:ascii="宋体" w:hAnsi="宋体" w:eastAsia="宋体" w:cs="宋体"/>
                <w:sz w:val="18"/>
                <w:szCs w:val="18"/>
              </w:rPr>
              <w:t>580,194.83</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55BF994E">
            <w:pPr>
              <w:spacing w:before="40" w:after="40" w:line="240" w:lineRule="exact"/>
              <w:jc w:val="right"/>
              <w:rPr>
                <w:rFonts w:ascii="宋体" w:hAnsi="宋体" w:eastAsia="宋体" w:cs="宋体"/>
                <w:sz w:val="18"/>
                <w:szCs w:val="18"/>
              </w:rPr>
            </w:pPr>
            <w:r>
              <w:rPr>
                <w:rFonts w:ascii="宋体" w:hAnsi="宋体" w:eastAsia="宋体" w:cs="宋体"/>
                <w:sz w:val="18"/>
                <w:szCs w:val="18"/>
              </w:rPr>
              <w:t>742,078.88</w:t>
            </w:r>
          </w:p>
        </w:tc>
      </w:tr>
      <w:tr w14:paraId="1A19E417">
        <w:tblPrEx>
          <w:tblCellMar>
            <w:top w:w="0" w:type="dxa"/>
            <w:left w:w="0" w:type="dxa"/>
            <w:bottom w:w="0" w:type="dxa"/>
            <w:right w:w="0" w:type="dxa"/>
          </w:tblCellMar>
        </w:tblPrEx>
        <w:trPr>
          <w:trHeight w:val="60" w:hRule="atLeast"/>
        </w:trPr>
        <w:tc>
          <w:tcPr>
            <w:tcW w:w="32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E1297B">
            <w:pPr>
              <w:spacing w:before="40" w:after="40" w:line="240" w:lineRule="exact"/>
              <w:rPr>
                <w:rFonts w:ascii="宋体" w:hAnsi="宋体" w:eastAsia="宋体" w:cs="宋体"/>
                <w:sz w:val="18"/>
                <w:szCs w:val="18"/>
              </w:rPr>
            </w:pPr>
            <w:r>
              <w:rPr>
                <w:rFonts w:hint="eastAsia" w:ascii="宋体" w:hAnsi="宋体" w:eastAsia="宋体" w:cs="宋体"/>
                <w:sz w:val="18"/>
                <w:szCs w:val="18"/>
              </w:rPr>
              <w:t>折旧费</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4B4103B7">
            <w:pPr>
              <w:spacing w:before="40" w:after="40" w:line="240" w:lineRule="exact"/>
              <w:jc w:val="right"/>
              <w:rPr>
                <w:rFonts w:ascii="宋体" w:hAnsi="宋体" w:eastAsia="宋体" w:cs="宋体"/>
                <w:sz w:val="18"/>
                <w:szCs w:val="18"/>
              </w:rPr>
            </w:pPr>
            <w:r>
              <w:rPr>
                <w:rFonts w:ascii="宋体" w:hAnsi="宋体" w:eastAsia="宋体" w:cs="宋体"/>
                <w:sz w:val="18"/>
                <w:szCs w:val="18"/>
              </w:rPr>
              <w:t>11,977,826.88</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274C37A0">
            <w:pPr>
              <w:spacing w:before="40" w:after="40" w:line="240" w:lineRule="exact"/>
              <w:jc w:val="right"/>
              <w:rPr>
                <w:rFonts w:ascii="宋体" w:hAnsi="宋体" w:eastAsia="宋体" w:cs="宋体"/>
                <w:sz w:val="18"/>
                <w:szCs w:val="18"/>
              </w:rPr>
            </w:pPr>
            <w:r>
              <w:rPr>
                <w:rFonts w:ascii="宋体" w:hAnsi="宋体" w:eastAsia="宋体" w:cs="宋体"/>
                <w:sz w:val="18"/>
                <w:szCs w:val="18"/>
              </w:rPr>
              <w:t>8,233,901.15</w:t>
            </w:r>
          </w:p>
        </w:tc>
      </w:tr>
      <w:tr w14:paraId="539ADAF0">
        <w:tblPrEx>
          <w:tblCellMar>
            <w:top w:w="0" w:type="dxa"/>
            <w:left w:w="0" w:type="dxa"/>
            <w:bottom w:w="0" w:type="dxa"/>
            <w:right w:w="0" w:type="dxa"/>
          </w:tblCellMar>
        </w:tblPrEx>
        <w:trPr>
          <w:trHeight w:val="340" w:hRule="atLeast"/>
        </w:trPr>
        <w:tc>
          <w:tcPr>
            <w:tcW w:w="32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5D402A8">
            <w:pPr>
              <w:spacing w:before="40" w:after="40" w:line="240" w:lineRule="exact"/>
              <w:rPr>
                <w:rFonts w:ascii="宋体" w:hAnsi="宋体" w:eastAsia="宋体" w:cs="宋体"/>
                <w:sz w:val="18"/>
                <w:szCs w:val="18"/>
              </w:rPr>
            </w:pPr>
            <w:r>
              <w:rPr>
                <w:rFonts w:hint="eastAsia" w:ascii="宋体" w:hAnsi="宋体" w:eastAsia="宋体" w:cs="宋体"/>
                <w:sz w:val="18"/>
                <w:szCs w:val="18"/>
              </w:rPr>
              <w:t>差旅费</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5FB009DD">
            <w:pPr>
              <w:spacing w:before="40" w:after="40" w:line="240" w:lineRule="exact"/>
              <w:jc w:val="right"/>
              <w:rPr>
                <w:rFonts w:ascii="宋体" w:hAnsi="宋体" w:eastAsia="宋体" w:cs="宋体"/>
                <w:sz w:val="18"/>
                <w:szCs w:val="18"/>
              </w:rPr>
            </w:pPr>
            <w:r>
              <w:rPr>
                <w:rFonts w:ascii="宋体" w:hAnsi="宋体" w:eastAsia="宋体" w:cs="宋体"/>
                <w:sz w:val="18"/>
                <w:szCs w:val="18"/>
              </w:rPr>
              <w:t>1,115,362.55</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031FA7CC">
            <w:pPr>
              <w:spacing w:before="40" w:after="40" w:line="240" w:lineRule="exact"/>
              <w:jc w:val="right"/>
              <w:rPr>
                <w:rFonts w:ascii="宋体" w:hAnsi="宋体" w:eastAsia="宋体" w:cs="宋体"/>
                <w:sz w:val="18"/>
                <w:szCs w:val="18"/>
              </w:rPr>
            </w:pPr>
            <w:r>
              <w:rPr>
                <w:rFonts w:ascii="宋体" w:hAnsi="宋体" w:eastAsia="宋体" w:cs="宋体"/>
                <w:sz w:val="18"/>
                <w:szCs w:val="18"/>
              </w:rPr>
              <w:t>1,117,780.25</w:t>
            </w:r>
          </w:p>
        </w:tc>
      </w:tr>
      <w:tr w14:paraId="5BE68929">
        <w:tblPrEx>
          <w:tblCellMar>
            <w:top w:w="0" w:type="dxa"/>
            <w:left w:w="0" w:type="dxa"/>
            <w:bottom w:w="0" w:type="dxa"/>
            <w:right w:w="0" w:type="dxa"/>
          </w:tblCellMar>
        </w:tblPrEx>
        <w:trPr>
          <w:trHeight w:val="60" w:hRule="atLeast"/>
        </w:trPr>
        <w:tc>
          <w:tcPr>
            <w:tcW w:w="32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A4AA8E">
            <w:pPr>
              <w:spacing w:before="40" w:after="40" w:line="240" w:lineRule="exact"/>
              <w:rPr>
                <w:rFonts w:ascii="宋体" w:hAnsi="宋体" w:eastAsia="宋体" w:cs="宋体"/>
                <w:sz w:val="18"/>
                <w:szCs w:val="18"/>
              </w:rPr>
            </w:pPr>
            <w:r>
              <w:rPr>
                <w:rFonts w:hint="eastAsia" w:ascii="宋体" w:hAnsi="宋体" w:eastAsia="宋体" w:cs="宋体"/>
                <w:sz w:val="18"/>
                <w:szCs w:val="18"/>
              </w:rPr>
              <w:t>业务招待费</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335001ED">
            <w:pPr>
              <w:spacing w:before="40" w:after="40" w:line="240" w:lineRule="exact"/>
              <w:jc w:val="right"/>
              <w:rPr>
                <w:rFonts w:ascii="宋体" w:hAnsi="宋体" w:eastAsia="宋体" w:cs="宋体"/>
                <w:sz w:val="18"/>
                <w:szCs w:val="18"/>
              </w:rPr>
            </w:pPr>
            <w:r>
              <w:rPr>
                <w:rFonts w:ascii="宋体" w:hAnsi="宋体" w:eastAsia="宋体" w:cs="宋体"/>
                <w:sz w:val="18"/>
                <w:szCs w:val="18"/>
              </w:rPr>
              <w:t>438,822.06</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07281923">
            <w:pPr>
              <w:spacing w:before="40" w:after="40" w:line="240" w:lineRule="exact"/>
              <w:jc w:val="right"/>
              <w:rPr>
                <w:rFonts w:ascii="宋体" w:hAnsi="宋体" w:eastAsia="宋体" w:cs="宋体"/>
                <w:sz w:val="18"/>
                <w:szCs w:val="18"/>
              </w:rPr>
            </w:pPr>
            <w:r>
              <w:rPr>
                <w:rFonts w:ascii="宋体" w:hAnsi="宋体" w:eastAsia="宋体" w:cs="宋体"/>
                <w:sz w:val="18"/>
                <w:szCs w:val="18"/>
              </w:rPr>
              <w:t>739,698.59</w:t>
            </w:r>
          </w:p>
        </w:tc>
      </w:tr>
      <w:tr w14:paraId="69CCC432">
        <w:tblPrEx>
          <w:tblCellMar>
            <w:top w:w="0" w:type="dxa"/>
            <w:left w:w="0" w:type="dxa"/>
            <w:bottom w:w="0" w:type="dxa"/>
            <w:right w:w="0" w:type="dxa"/>
          </w:tblCellMar>
        </w:tblPrEx>
        <w:trPr>
          <w:trHeight w:val="60" w:hRule="atLeast"/>
        </w:trPr>
        <w:tc>
          <w:tcPr>
            <w:tcW w:w="32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B56198">
            <w:pPr>
              <w:spacing w:before="40" w:after="40" w:line="240" w:lineRule="exact"/>
              <w:rPr>
                <w:rFonts w:ascii="宋体" w:hAnsi="宋体" w:eastAsia="宋体" w:cs="宋体"/>
                <w:sz w:val="18"/>
                <w:szCs w:val="18"/>
              </w:rPr>
            </w:pPr>
            <w:r>
              <w:rPr>
                <w:rFonts w:hint="eastAsia" w:ascii="宋体" w:hAnsi="宋体" w:eastAsia="宋体" w:cs="宋体"/>
                <w:sz w:val="18"/>
                <w:szCs w:val="18"/>
              </w:rPr>
              <w:t>电商平台服务费</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6030ADBD">
            <w:pPr>
              <w:spacing w:before="40" w:after="40" w:line="240" w:lineRule="exact"/>
              <w:jc w:val="right"/>
              <w:rPr>
                <w:rFonts w:ascii="宋体" w:hAnsi="宋体" w:eastAsia="宋体" w:cs="宋体"/>
                <w:sz w:val="18"/>
                <w:szCs w:val="18"/>
              </w:rPr>
            </w:pPr>
            <w:r>
              <w:rPr>
                <w:rFonts w:ascii="宋体" w:hAnsi="宋体" w:eastAsia="宋体" w:cs="宋体"/>
                <w:sz w:val="18"/>
                <w:szCs w:val="18"/>
              </w:rPr>
              <w:t>30,764,729.98</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072969FE">
            <w:pPr>
              <w:spacing w:before="40" w:after="40" w:line="240" w:lineRule="exact"/>
              <w:jc w:val="right"/>
              <w:rPr>
                <w:rFonts w:ascii="宋体" w:hAnsi="宋体" w:eastAsia="宋体" w:cs="宋体"/>
                <w:sz w:val="18"/>
                <w:szCs w:val="18"/>
              </w:rPr>
            </w:pPr>
            <w:r>
              <w:rPr>
                <w:rFonts w:ascii="宋体" w:hAnsi="宋体" w:eastAsia="宋体" w:cs="宋体"/>
                <w:sz w:val="18"/>
                <w:szCs w:val="18"/>
              </w:rPr>
              <w:t>24,335,883.02</w:t>
            </w:r>
          </w:p>
        </w:tc>
      </w:tr>
      <w:tr w14:paraId="38F30799">
        <w:tblPrEx>
          <w:tblCellMar>
            <w:top w:w="0" w:type="dxa"/>
            <w:left w:w="0" w:type="dxa"/>
            <w:bottom w:w="0" w:type="dxa"/>
            <w:right w:w="0" w:type="dxa"/>
          </w:tblCellMar>
        </w:tblPrEx>
        <w:trPr>
          <w:trHeight w:val="60" w:hRule="atLeast"/>
        </w:trPr>
        <w:tc>
          <w:tcPr>
            <w:tcW w:w="32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743977">
            <w:pPr>
              <w:spacing w:before="40" w:after="40" w:line="240" w:lineRule="exact"/>
              <w:rPr>
                <w:rFonts w:ascii="宋体" w:hAnsi="宋体" w:eastAsia="宋体" w:cs="宋体"/>
                <w:sz w:val="18"/>
                <w:szCs w:val="18"/>
              </w:rPr>
            </w:pPr>
            <w:r>
              <w:rPr>
                <w:rFonts w:hint="eastAsia" w:ascii="宋体" w:hAnsi="宋体" w:eastAsia="宋体" w:cs="宋体"/>
                <w:sz w:val="18"/>
                <w:szCs w:val="18"/>
              </w:rPr>
              <w:t>其他</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27E71E6B">
            <w:pPr>
              <w:spacing w:before="40" w:after="40" w:line="240" w:lineRule="exact"/>
              <w:jc w:val="right"/>
              <w:rPr>
                <w:rFonts w:ascii="宋体" w:hAnsi="宋体" w:eastAsia="宋体" w:cs="宋体"/>
                <w:sz w:val="18"/>
                <w:szCs w:val="18"/>
              </w:rPr>
            </w:pPr>
            <w:r>
              <w:rPr>
                <w:rFonts w:ascii="宋体" w:hAnsi="宋体" w:eastAsia="宋体" w:cs="宋体"/>
                <w:sz w:val="18"/>
                <w:szCs w:val="18"/>
              </w:rPr>
              <w:t>4,585,076.12</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197EC69B">
            <w:pPr>
              <w:spacing w:before="40" w:after="40" w:line="240" w:lineRule="exact"/>
              <w:jc w:val="right"/>
              <w:rPr>
                <w:rFonts w:ascii="宋体" w:hAnsi="宋体" w:eastAsia="宋体" w:cs="宋体"/>
                <w:sz w:val="18"/>
                <w:szCs w:val="18"/>
              </w:rPr>
            </w:pPr>
            <w:r>
              <w:rPr>
                <w:rFonts w:ascii="宋体" w:hAnsi="宋体" w:eastAsia="宋体" w:cs="宋体"/>
                <w:sz w:val="18"/>
                <w:szCs w:val="18"/>
              </w:rPr>
              <w:t>8,741,327.25</w:t>
            </w:r>
          </w:p>
        </w:tc>
      </w:tr>
      <w:tr w14:paraId="551FA0D3">
        <w:tblPrEx>
          <w:tblCellMar>
            <w:top w:w="0" w:type="dxa"/>
            <w:left w:w="0" w:type="dxa"/>
            <w:bottom w:w="0" w:type="dxa"/>
            <w:right w:w="0" w:type="dxa"/>
          </w:tblCellMar>
        </w:tblPrEx>
        <w:trPr>
          <w:trHeight w:val="60" w:hRule="atLeast"/>
        </w:trPr>
        <w:tc>
          <w:tcPr>
            <w:tcW w:w="32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986A75">
            <w:pPr>
              <w:spacing w:before="40" w:after="40" w:line="240" w:lineRule="exact"/>
              <w:rPr>
                <w:rFonts w:ascii="宋体" w:hAnsi="宋体" w:eastAsia="宋体" w:cs="宋体"/>
                <w:sz w:val="18"/>
                <w:szCs w:val="18"/>
              </w:rPr>
            </w:pPr>
            <w:r>
              <w:rPr>
                <w:rFonts w:hint="eastAsia" w:ascii="宋体" w:hAnsi="宋体" w:eastAsia="宋体" w:cs="宋体"/>
                <w:sz w:val="18"/>
                <w:szCs w:val="18"/>
              </w:rPr>
              <w:t>合计</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0FF2488E">
            <w:pPr>
              <w:spacing w:before="40" w:after="40" w:line="240" w:lineRule="exact"/>
              <w:jc w:val="right"/>
              <w:rPr>
                <w:rFonts w:ascii="宋体" w:hAnsi="宋体" w:eastAsia="宋体" w:cs="宋体"/>
                <w:sz w:val="18"/>
                <w:szCs w:val="18"/>
              </w:rPr>
            </w:pPr>
            <w:r>
              <w:rPr>
                <w:rFonts w:ascii="宋体" w:hAnsi="宋体" w:eastAsia="宋体" w:cs="宋体"/>
                <w:sz w:val="18"/>
                <w:szCs w:val="18"/>
              </w:rPr>
              <w:t>120,416,797.90</w:t>
            </w:r>
          </w:p>
        </w:tc>
        <w:tc>
          <w:tcPr>
            <w:tcW w:w="3249" w:type="dxa"/>
            <w:tcBorders>
              <w:top w:val="nil"/>
              <w:left w:val="nil"/>
              <w:bottom w:val="single" w:color="auto" w:sz="8" w:space="0"/>
              <w:right w:val="single" w:color="auto" w:sz="8" w:space="0"/>
            </w:tcBorders>
            <w:tcMar>
              <w:top w:w="0" w:type="dxa"/>
              <w:left w:w="108" w:type="dxa"/>
              <w:bottom w:w="0" w:type="dxa"/>
              <w:right w:w="108" w:type="dxa"/>
            </w:tcMar>
            <w:vAlign w:val="center"/>
          </w:tcPr>
          <w:p w14:paraId="0C55317B">
            <w:pPr>
              <w:spacing w:before="40" w:after="40" w:line="240" w:lineRule="exact"/>
              <w:jc w:val="right"/>
              <w:rPr>
                <w:rFonts w:ascii="宋体" w:hAnsi="宋体" w:eastAsia="宋体" w:cs="宋体"/>
                <w:sz w:val="18"/>
                <w:szCs w:val="18"/>
              </w:rPr>
            </w:pPr>
            <w:r>
              <w:rPr>
                <w:rFonts w:ascii="宋体" w:hAnsi="宋体" w:eastAsia="宋体" w:cs="宋体"/>
                <w:sz w:val="18"/>
                <w:szCs w:val="18"/>
              </w:rPr>
              <w:t>112,368,503.45</w:t>
            </w:r>
          </w:p>
        </w:tc>
      </w:tr>
    </w:tbl>
    <w:p w14:paraId="49D11449">
      <w:pPr>
        <w:pStyle w:val="3"/>
        <w:spacing w:line="280" w:lineRule="exact"/>
        <w:jc w:val="left"/>
        <w:rPr>
          <w:rFonts w:ascii="宋体" w:hAnsi="宋体" w:cs="宋体"/>
          <w:b/>
          <w:bCs/>
        </w:rPr>
      </w:pPr>
      <w:bookmarkStart w:id="29" w:name="_Toc988918"/>
      <w:r>
        <w:rPr>
          <w:rFonts w:ascii="宋体" w:hAnsi="宋体" w:cs="宋体"/>
          <w:b/>
          <w:bCs/>
        </w:rPr>
        <w:t>4、纺织服装相关行业信息披露指引要求的其他信息</w:t>
      </w:r>
      <w:bookmarkEnd w:id="29"/>
    </w:p>
    <w:p w14:paraId="0F62646B">
      <w:pPr>
        <w:spacing w:before="100" w:after="100" w:line="240" w:lineRule="exact"/>
        <w:rPr>
          <w:rFonts w:ascii="宋体" w:hAnsi="宋体" w:eastAsia="宋体" w:cs="宋体"/>
          <w:sz w:val="18"/>
          <w:szCs w:val="18"/>
        </w:rPr>
      </w:pPr>
      <w:r>
        <w:rPr>
          <w:rFonts w:ascii="宋体" w:hAnsi="宋体" w:eastAsia="宋体" w:cs="宋体"/>
          <w:sz w:val="18"/>
          <w:szCs w:val="18"/>
        </w:rPr>
        <w:t>公司需遵守《深圳证券交易所上市公司自律监管指引第3号——行业信息披露》中纺织服装相关业的披露要求</w:t>
      </w:r>
    </w:p>
    <w:p w14:paraId="0C33BC92">
      <w:pPr>
        <w:keepNext/>
        <w:keepLines/>
        <w:spacing w:before="300" w:after="300" w:line="280" w:lineRule="exact"/>
        <w:outlineLvl w:val="3"/>
        <w:rPr>
          <w:rFonts w:ascii="宋体" w:hAnsi="宋体" w:eastAsia="宋体" w:cs="宋体"/>
          <w:b/>
          <w:bCs/>
          <w:szCs w:val="21"/>
        </w:rPr>
      </w:pPr>
      <w:bookmarkStart w:id="30" w:name="_Toc988919"/>
      <w:r>
        <w:rPr>
          <w:rFonts w:ascii="宋体" w:hAnsi="宋体" w:eastAsia="宋体" w:cs="宋体"/>
          <w:b/>
          <w:bCs/>
          <w:szCs w:val="21"/>
        </w:rPr>
        <w:t>（1） 产能情况</w:t>
      </w:r>
      <w:bookmarkEnd w:id="30"/>
    </w:p>
    <w:p w14:paraId="6732A9FA">
      <w:pPr>
        <w:spacing w:before="100" w:after="100" w:line="240" w:lineRule="exact"/>
        <w:rPr>
          <w:rFonts w:ascii="宋体" w:hAnsi="宋体" w:eastAsia="宋体" w:cs="宋体"/>
          <w:sz w:val="18"/>
          <w:szCs w:val="18"/>
        </w:rPr>
      </w:pPr>
      <w:r>
        <w:rPr>
          <w:rFonts w:ascii="宋体" w:hAnsi="宋体" w:eastAsia="宋体" w:cs="宋体"/>
          <w:sz w:val="18"/>
          <w:szCs w:val="18"/>
        </w:rPr>
        <w:t>公司自有产能状况</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0053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3B0819"/>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2012FE">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4A7D7E">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r>
      <w:tr w14:paraId="5C2DF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66C481">
            <w:pPr>
              <w:spacing w:before="40" w:after="40" w:line="240" w:lineRule="exact"/>
              <w:rPr>
                <w:rFonts w:ascii="宋体" w:hAnsi="宋体" w:eastAsia="宋体" w:cs="宋体"/>
                <w:sz w:val="18"/>
                <w:szCs w:val="18"/>
              </w:rPr>
            </w:pPr>
            <w:r>
              <w:rPr>
                <w:rFonts w:ascii="宋体" w:hAnsi="宋体" w:eastAsia="宋体" w:cs="宋体"/>
                <w:sz w:val="18"/>
                <w:szCs w:val="18"/>
              </w:rPr>
              <w:t>总产能</w:t>
            </w:r>
          </w:p>
        </w:tc>
        <w:tc>
          <w:tcPr>
            <w:tcW w:w="3213" w:type="dxa"/>
            <w:tcBorders>
              <w:top w:val="single" w:color="auto" w:sz="2" w:space="0"/>
              <w:left w:val="single" w:color="auto" w:sz="2" w:space="0"/>
              <w:bottom w:val="single" w:color="auto" w:sz="2" w:space="0"/>
              <w:right w:val="single" w:color="auto" w:sz="2" w:space="0"/>
            </w:tcBorders>
            <w:vAlign w:val="center"/>
          </w:tcPr>
          <w:p w14:paraId="1316BC4B">
            <w:pPr>
              <w:spacing w:line="240" w:lineRule="exact"/>
              <w:jc w:val="right"/>
              <w:rPr>
                <w:rFonts w:ascii="宋体" w:hAnsi="宋体" w:eastAsia="宋体" w:cs="宋体"/>
                <w:sz w:val="18"/>
                <w:szCs w:val="18"/>
              </w:rPr>
            </w:pPr>
            <w:r>
              <w:rPr>
                <w:rFonts w:ascii="宋体" w:hAnsi="宋体" w:eastAsia="宋体" w:cs="宋体"/>
                <w:sz w:val="18"/>
                <w:szCs w:val="18"/>
              </w:rPr>
              <w:t> 206万锭</w:t>
            </w:r>
          </w:p>
        </w:tc>
        <w:tc>
          <w:tcPr>
            <w:tcW w:w="3213" w:type="dxa"/>
            <w:tcBorders>
              <w:top w:val="single" w:color="auto" w:sz="2" w:space="0"/>
              <w:left w:val="single" w:color="auto" w:sz="2" w:space="0"/>
              <w:bottom w:val="single" w:color="auto" w:sz="2" w:space="0"/>
              <w:right w:val="single" w:color="auto" w:sz="2" w:space="0"/>
            </w:tcBorders>
            <w:vAlign w:val="center"/>
          </w:tcPr>
          <w:p w14:paraId="4D7B1666">
            <w:pPr>
              <w:spacing w:line="240" w:lineRule="exact"/>
              <w:jc w:val="right"/>
              <w:rPr>
                <w:rFonts w:ascii="宋体" w:hAnsi="宋体" w:eastAsia="宋体" w:cs="宋体"/>
                <w:sz w:val="18"/>
                <w:szCs w:val="18"/>
              </w:rPr>
            </w:pPr>
            <w:r>
              <w:rPr>
                <w:rFonts w:ascii="宋体" w:hAnsi="宋体" w:eastAsia="宋体" w:cs="宋体"/>
                <w:sz w:val="18"/>
                <w:szCs w:val="18"/>
              </w:rPr>
              <w:t>206万锭</w:t>
            </w:r>
          </w:p>
        </w:tc>
      </w:tr>
      <w:tr w14:paraId="30E85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F94555">
            <w:pPr>
              <w:spacing w:before="40" w:after="40" w:line="240" w:lineRule="exact"/>
              <w:rPr>
                <w:rFonts w:ascii="宋体" w:hAnsi="宋体" w:eastAsia="宋体" w:cs="宋体"/>
                <w:sz w:val="18"/>
                <w:szCs w:val="18"/>
              </w:rPr>
            </w:pPr>
            <w:r>
              <w:rPr>
                <w:rFonts w:ascii="宋体" w:hAnsi="宋体" w:eastAsia="宋体" w:cs="宋体"/>
                <w:sz w:val="18"/>
                <w:szCs w:val="18"/>
              </w:rPr>
              <w:t>产能利用率</w:t>
            </w:r>
          </w:p>
        </w:tc>
        <w:tc>
          <w:tcPr>
            <w:tcW w:w="3213" w:type="dxa"/>
            <w:tcBorders>
              <w:top w:val="single" w:color="auto" w:sz="2" w:space="0"/>
              <w:left w:val="single" w:color="auto" w:sz="2" w:space="0"/>
              <w:bottom w:val="single" w:color="auto" w:sz="2" w:space="0"/>
              <w:right w:val="single" w:color="auto" w:sz="2" w:space="0"/>
            </w:tcBorders>
            <w:vAlign w:val="center"/>
          </w:tcPr>
          <w:p w14:paraId="5664B254">
            <w:pPr>
              <w:spacing w:line="240" w:lineRule="exact"/>
              <w:jc w:val="right"/>
              <w:rPr>
                <w:rFonts w:ascii="宋体" w:hAnsi="宋体" w:eastAsia="宋体" w:cs="宋体"/>
                <w:sz w:val="18"/>
                <w:szCs w:val="18"/>
              </w:rPr>
            </w:pPr>
            <w:r>
              <w:rPr>
                <w:rFonts w:ascii="宋体" w:hAnsi="宋体" w:eastAsia="宋体" w:cs="宋体"/>
                <w:sz w:val="18"/>
                <w:szCs w:val="18"/>
              </w:rPr>
              <w:t>90.00%</w:t>
            </w:r>
          </w:p>
        </w:tc>
        <w:tc>
          <w:tcPr>
            <w:tcW w:w="3213" w:type="dxa"/>
            <w:tcBorders>
              <w:top w:val="single" w:color="auto" w:sz="2" w:space="0"/>
              <w:left w:val="single" w:color="auto" w:sz="2" w:space="0"/>
              <w:bottom w:val="single" w:color="auto" w:sz="2" w:space="0"/>
              <w:right w:val="single" w:color="auto" w:sz="2" w:space="0"/>
            </w:tcBorders>
            <w:vAlign w:val="center"/>
          </w:tcPr>
          <w:p w14:paraId="3B79636E">
            <w:pPr>
              <w:spacing w:line="240" w:lineRule="exact"/>
              <w:jc w:val="right"/>
              <w:rPr>
                <w:rFonts w:ascii="宋体" w:hAnsi="宋体" w:eastAsia="宋体" w:cs="宋体"/>
                <w:sz w:val="18"/>
                <w:szCs w:val="18"/>
              </w:rPr>
            </w:pPr>
            <w:r>
              <w:rPr>
                <w:rFonts w:ascii="宋体" w:hAnsi="宋体" w:eastAsia="宋体" w:cs="宋体"/>
                <w:sz w:val="18"/>
                <w:szCs w:val="18"/>
              </w:rPr>
              <w:t>88.00%</w:t>
            </w:r>
          </w:p>
        </w:tc>
      </w:tr>
    </w:tbl>
    <w:p w14:paraId="1B7A9628">
      <w:pPr>
        <w:spacing w:before="100" w:after="100" w:line="240" w:lineRule="exact"/>
        <w:rPr>
          <w:rFonts w:ascii="宋体" w:hAnsi="宋体" w:eastAsia="宋体" w:cs="宋体"/>
          <w:sz w:val="18"/>
          <w:szCs w:val="18"/>
        </w:rPr>
      </w:pPr>
      <w:r>
        <w:rPr>
          <w:rFonts w:ascii="宋体" w:hAnsi="宋体" w:eastAsia="宋体" w:cs="宋体"/>
          <w:sz w:val="18"/>
          <w:szCs w:val="18"/>
        </w:rPr>
        <w:t xml:space="preserve">产能利用率同比变动超过10% </w:t>
      </w:r>
    </w:p>
    <w:p w14:paraId="065C30CE">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79BCD40C">
      <w:pPr>
        <w:keepNext/>
        <w:keepLines/>
        <w:spacing w:before="300" w:after="300" w:line="280" w:lineRule="exact"/>
        <w:outlineLvl w:val="3"/>
        <w:rPr>
          <w:rFonts w:ascii="宋体" w:hAnsi="宋体" w:eastAsia="宋体" w:cs="宋体"/>
          <w:b/>
          <w:bCs/>
          <w:szCs w:val="21"/>
        </w:rPr>
      </w:pPr>
      <w:bookmarkStart w:id="31" w:name="_Toc988920"/>
      <w:r>
        <w:rPr>
          <w:rFonts w:ascii="宋体" w:hAnsi="宋体" w:eastAsia="宋体" w:cs="宋体"/>
          <w:b/>
          <w:bCs/>
          <w:szCs w:val="21"/>
        </w:rPr>
        <w:t>（2） 销售模式及渠道情况</w:t>
      </w:r>
      <w:bookmarkEnd w:id="31"/>
    </w:p>
    <w:p w14:paraId="75F65DB0">
      <w:pPr>
        <w:spacing w:before="100" w:after="100" w:line="240" w:lineRule="exact"/>
        <w:rPr>
          <w:rFonts w:ascii="宋体" w:hAnsi="宋体" w:eastAsia="宋体" w:cs="宋体"/>
          <w:sz w:val="18"/>
          <w:szCs w:val="18"/>
        </w:rPr>
      </w:pPr>
      <w:r>
        <w:rPr>
          <w:rFonts w:ascii="宋体" w:hAnsi="宋体" w:eastAsia="宋体" w:cs="宋体"/>
          <w:sz w:val="18"/>
          <w:szCs w:val="18"/>
        </w:rPr>
        <w:t>产品的销售渠道及实际运营方式</w:t>
      </w:r>
    </w:p>
    <w:p w14:paraId="0A5C646F">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3"/>
        <w:gridCol w:w="1842"/>
        <w:gridCol w:w="1843"/>
        <w:gridCol w:w="830"/>
        <w:gridCol w:w="1377"/>
        <w:gridCol w:w="1377"/>
        <w:gridCol w:w="1377"/>
      </w:tblGrid>
      <w:tr w14:paraId="055FF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14:paraId="68159DCB">
            <w:pPr>
              <w:spacing w:before="40" w:after="40" w:line="240" w:lineRule="exact"/>
              <w:jc w:val="center"/>
              <w:rPr>
                <w:rFonts w:ascii="宋体" w:hAnsi="宋体" w:eastAsia="宋体" w:cs="宋体"/>
                <w:sz w:val="18"/>
                <w:szCs w:val="18"/>
              </w:rPr>
            </w:pPr>
            <w:r>
              <w:rPr>
                <w:rFonts w:ascii="宋体" w:hAnsi="宋体" w:eastAsia="宋体" w:cs="宋体"/>
                <w:sz w:val="18"/>
                <w:szCs w:val="18"/>
              </w:rPr>
              <w:t>销售渠道</w:t>
            </w:r>
          </w:p>
        </w:tc>
        <w:tc>
          <w:tcPr>
            <w:tcW w:w="1842" w:type="dxa"/>
            <w:tcBorders>
              <w:top w:val="single" w:color="auto" w:sz="2" w:space="0"/>
              <w:left w:val="single" w:color="auto" w:sz="2" w:space="0"/>
              <w:bottom w:val="single" w:color="auto" w:sz="2" w:space="0"/>
              <w:right w:val="single" w:color="auto" w:sz="2" w:space="0"/>
            </w:tcBorders>
            <w:shd w:val="clear" w:color="auto" w:fill="D3D3D3"/>
            <w:vAlign w:val="center"/>
          </w:tcPr>
          <w:p w14:paraId="418A62AE">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14:paraId="3AF9CA7B">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830" w:type="dxa"/>
            <w:tcBorders>
              <w:top w:val="single" w:color="auto" w:sz="2" w:space="0"/>
              <w:left w:val="single" w:color="auto" w:sz="2" w:space="0"/>
              <w:bottom w:val="single" w:color="auto" w:sz="2" w:space="0"/>
              <w:right w:val="single" w:color="auto" w:sz="2" w:space="0"/>
            </w:tcBorders>
            <w:shd w:val="clear" w:color="auto" w:fill="D3D3D3"/>
            <w:vAlign w:val="center"/>
          </w:tcPr>
          <w:p w14:paraId="76FCD08F">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60468E5">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4842943">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62E9C12">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毛利率比上年同期增减（%）</w:t>
            </w:r>
          </w:p>
        </w:tc>
      </w:tr>
      <w:tr w14:paraId="0AA1D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14:paraId="75573677">
            <w:pPr>
              <w:spacing w:before="40" w:after="40" w:line="240" w:lineRule="exact"/>
              <w:rPr>
                <w:rFonts w:ascii="宋体" w:hAnsi="宋体" w:eastAsia="宋体" w:cs="宋体"/>
                <w:sz w:val="18"/>
                <w:szCs w:val="18"/>
              </w:rPr>
            </w:pPr>
            <w:r>
              <w:rPr>
                <w:rFonts w:ascii="宋体" w:hAnsi="宋体" w:eastAsia="宋体" w:cs="宋体"/>
                <w:sz w:val="18"/>
                <w:szCs w:val="18"/>
              </w:rPr>
              <w:t>线上销售</w:t>
            </w:r>
          </w:p>
        </w:tc>
        <w:tc>
          <w:tcPr>
            <w:tcW w:w="1842" w:type="dxa"/>
            <w:tcBorders>
              <w:top w:val="single" w:color="auto" w:sz="2" w:space="0"/>
              <w:left w:val="single" w:color="auto" w:sz="2" w:space="0"/>
              <w:bottom w:val="single" w:color="auto" w:sz="2" w:space="0"/>
              <w:right w:val="single" w:color="auto" w:sz="2" w:space="0"/>
            </w:tcBorders>
            <w:vAlign w:val="center"/>
          </w:tcPr>
          <w:p w14:paraId="74B172A9">
            <w:pPr>
              <w:spacing w:line="240" w:lineRule="exact"/>
              <w:jc w:val="right"/>
              <w:rPr>
                <w:rFonts w:ascii="宋体" w:hAnsi="宋体" w:eastAsia="宋体" w:cs="宋体"/>
                <w:sz w:val="18"/>
                <w:szCs w:val="18"/>
              </w:rPr>
            </w:pPr>
            <w:r>
              <w:rPr>
                <w:rFonts w:ascii="宋体" w:hAnsi="宋体" w:eastAsia="宋体" w:cs="宋体"/>
                <w:sz w:val="18"/>
                <w:szCs w:val="18"/>
              </w:rPr>
              <w:t>129,279,434.68</w:t>
            </w:r>
          </w:p>
        </w:tc>
        <w:tc>
          <w:tcPr>
            <w:tcW w:w="1843" w:type="dxa"/>
            <w:tcBorders>
              <w:top w:val="single" w:color="auto" w:sz="2" w:space="0"/>
              <w:left w:val="single" w:color="auto" w:sz="2" w:space="0"/>
              <w:bottom w:val="single" w:color="auto" w:sz="2" w:space="0"/>
              <w:right w:val="single" w:color="auto" w:sz="2" w:space="0"/>
            </w:tcBorders>
            <w:vAlign w:val="center"/>
          </w:tcPr>
          <w:p w14:paraId="2607CD8D">
            <w:pPr>
              <w:spacing w:line="240" w:lineRule="exact"/>
              <w:jc w:val="right"/>
              <w:rPr>
                <w:rFonts w:ascii="宋体" w:hAnsi="宋体" w:eastAsia="宋体" w:cs="宋体"/>
                <w:sz w:val="18"/>
                <w:szCs w:val="18"/>
              </w:rPr>
            </w:pPr>
            <w:r>
              <w:rPr>
                <w:rFonts w:ascii="宋体" w:hAnsi="宋体" w:eastAsia="宋体" w:cs="宋体"/>
                <w:sz w:val="18"/>
                <w:szCs w:val="18"/>
              </w:rPr>
              <w:t>79,916,885.79</w:t>
            </w:r>
          </w:p>
        </w:tc>
        <w:tc>
          <w:tcPr>
            <w:tcW w:w="830" w:type="dxa"/>
            <w:tcBorders>
              <w:top w:val="single" w:color="auto" w:sz="2" w:space="0"/>
              <w:left w:val="single" w:color="auto" w:sz="2" w:space="0"/>
              <w:bottom w:val="single" w:color="auto" w:sz="2" w:space="0"/>
              <w:right w:val="single" w:color="auto" w:sz="2" w:space="0"/>
            </w:tcBorders>
            <w:vAlign w:val="center"/>
          </w:tcPr>
          <w:p w14:paraId="3E126E64">
            <w:pPr>
              <w:spacing w:line="240" w:lineRule="exact"/>
              <w:jc w:val="right"/>
              <w:rPr>
                <w:rFonts w:ascii="宋体" w:hAnsi="宋体" w:eastAsia="宋体" w:cs="宋体"/>
                <w:sz w:val="18"/>
                <w:szCs w:val="18"/>
              </w:rPr>
            </w:pPr>
            <w:r>
              <w:rPr>
                <w:rFonts w:ascii="宋体" w:hAnsi="宋体" w:eastAsia="宋体" w:cs="宋体"/>
                <w:sz w:val="18"/>
                <w:szCs w:val="18"/>
              </w:rPr>
              <w:t>38.18%</w:t>
            </w:r>
          </w:p>
        </w:tc>
        <w:tc>
          <w:tcPr>
            <w:tcW w:w="1377" w:type="dxa"/>
            <w:tcBorders>
              <w:top w:val="single" w:color="auto" w:sz="2" w:space="0"/>
              <w:left w:val="single" w:color="auto" w:sz="2" w:space="0"/>
              <w:bottom w:val="single" w:color="auto" w:sz="2" w:space="0"/>
              <w:right w:val="single" w:color="auto" w:sz="2" w:space="0"/>
            </w:tcBorders>
            <w:vAlign w:val="center"/>
          </w:tcPr>
          <w:p w14:paraId="3B601F8E">
            <w:pPr>
              <w:spacing w:line="240" w:lineRule="exact"/>
              <w:jc w:val="right"/>
              <w:rPr>
                <w:rFonts w:ascii="宋体" w:hAnsi="宋体" w:eastAsia="宋体" w:cs="宋体"/>
                <w:sz w:val="18"/>
                <w:szCs w:val="18"/>
              </w:rPr>
            </w:pPr>
            <w:r>
              <w:rPr>
                <w:rFonts w:ascii="宋体" w:hAnsi="宋体" w:eastAsia="宋体" w:cs="宋体"/>
                <w:sz w:val="18"/>
                <w:szCs w:val="18"/>
              </w:rPr>
              <w:t>5.91%</w:t>
            </w:r>
          </w:p>
        </w:tc>
        <w:tc>
          <w:tcPr>
            <w:tcW w:w="1377" w:type="dxa"/>
            <w:tcBorders>
              <w:top w:val="single" w:color="auto" w:sz="2" w:space="0"/>
              <w:left w:val="single" w:color="auto" w:sz="2" w:space="0"/>
              <w:bottom w:val="single" w:color="auto" w:sz="2" w:space="0"/>
              <w:right w:val="single" w:color="auto" w:sz="2" w:space="0"/>
            </w:tcBorders>
            <w:vAlign w:val="center"/>
          </w:tcPr>
          <w:p w14:paraId="24B6DA1B">
            <w:pPr>
              <w:spacing w:line="240" w:lineRule="exact"/>
              <w:jc w:val="right"/>
              <w:rPr>
                <w:rFonts w:ascii="宋体" w:hAnsi="宋体" w:eastAsia="宋体" w:cs="宋体"/>
                <w:sz w:val="18"/>
                <w:szCs w:val="18"/>
              </w:rPr>
            </w:pPr>
            <w:r>
              <w:rPr>
                <w:rFonts w:ascii="宋体" w:hAnsi="宋体" w:eastAsia="宋体" w:cs="宋体"/>
                <w:sz w:val="18"/>
                <w:szCs w:val="18"/>
              </w:rPr>
              <w:t>16.58%</w:t>
            </w:r>
          </w:p>
        </w:tc>
        <w:tc>
          <w:tcPr>
            <w:tcW w:w="1377" w:type="dxa"/>
            <w:tcBorders>
              <w:top w:val="single" w:color="auto" w:sz="2" w:space="0"/>
              <w:left w:val="single" w:color="auto" w:sz="2" w:space="0"/>
              <w:bottom w:val="single" w:color="auto" w:sz="2" w:space="0"/>
              <w:right w:val="single" w:color="auto" w:sz="2" w:space="0"/>
            </w:tcBorders>
            <w:vAlign w:val="center"/>
          </w:tcPr>
          <w:p w14:paraId="6FDA8B3E">
            <w:pPr>
              <w:spacing w:line="240" w:lineRule="exact"/>
              <w:jc w:val="right"/>
              <w:rPr>
                <w:rFonts w:ascii="宋体" w:hAnsi="宋体" w:eastAsia="宋体" w:cs="宋体"/>
                <w:sz w:val="18"/>
                <w:szCs w:val="18"/>
              </w:rPr>
            </w:pPr>
            <w:r>
              <w:rPr>
                <w:rFonts w:ascii="宋体" w:hAnsi="宋体" w:eastAsia="宋体" w:cs="宋体"/>
                <w:sz w:val="18"/>
                <w:szCs w:val="18"/>
              </w:rPr>
              <w:t>-5.66%</w:t>
            </w:r>
          </w:p>
        </w:tc>
      </w:tr>
      <w:tr w14:paraId="080E6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14:paraId="4D5D0166">
            <w:pPr>
              <w:spacing w:before="40" w:after="40" w:line="240" w:lineRule="exact"/>
              <w:rPr>
                <w:rFonts w:ascii="宋体" w:hAnsi="宋体" w:eastAsia="宋体" w:cs="宋体"/>
                <w:sz w:val="18"/>
                <w:szCs w:val="18"/>
              </w:rPr>
            </w:pPr>
            <w:r>
              <w:rPr>
                <w:rFonts w:ascii="宋体" w:hAnsi="宋体" w:eastAsia="宋体" w:cs="宋体"/>
                <w:sz w:val="18"/>
                <w:szCs w:val="18"/>
              </w:rPr>
              <w:t>直营销售</w:t>
            </w:r>
          </w:p>
        </w:tc>
        <w:tc>
          <w:tcPr>
            <w:tcW w:w="1842" w:type="dxa"/>
            <w:tcBorders>
              <w:top w:val="single" w:color="auto" w:sz="2" w:space="0"/>
              <w:left w:val="single" w:color="auto" w:sz="2" w:space="0"/>
              <w:bottom w:val="single" w:color="auto" w:sz="2" w:space="0"/>
              <w:right w:val="single" w:color="auto" w:sz="2" w:space="0"/>
            </w:tcBorders>
            <w:vAlign w:val="center"/>
          </w:tcPr>
          <w:p w14:paraId="018F4977">
            <w:pPr>
              <w:spacing w:line="240" w:lineRule="exact"/>
              <w:jc w:val="right"/>
              <w:rPr>
                <w:rFonts w:ascii="宋体" w:hAnsi="宋体" w:eastAsia="宋体" w:cs="宋体"/>
                <w:sz w:val="18"/>
                <w:szCs w:val="18"/>
              </w:rPr>
            </w:pPr>
            <w:r>
              <w:rPr>
                <w:rFonts w:ascii="宋体" w:hAnsi="宋体" w:eastAsia="宋体" w:cs="宋体"/>
                <w:sz w:val="18"/>
                <w:szCs w:val="18"/>
              </w:rPr>
              <w:t>7,725,407,833.69</w:t>
            </w:r>
          </w:p>
        </w:tc>
        <w:tc>
          <w:tcPr>
            <w:tcW w:w="1843" w:type="dxa"/>
            <w:tcBorders>
              <w:top w:val="single" w:color="auto" w:sz="2" w:space="0"/>
              <w:left w:val="single" w:color="auto" w:sz="2" w:space="0"/>
              <w:bottom w:val="single" w:color="auto" w:sz="2" w:space="0"/>
              <w:right w:val="single" w:color="auto" w:sz="2" w:space="0"/>
            </w:tcBorders>
            <w:vAlign w:val="center"/>
          </w:tcPr>
          <w:p w14:paraId="2CFEBEBE">
            <w:pPr>
              <w:spacing w:line="240" w:lineRule="exact"/>
              <w:jc w:val="right"/>
              <w:rPr>
                <w:rFonts w:ascii="宋体" w:hAnsi="宋体" w:eastAsia="宋体" w:cs="宋体"/>
                <w:sz w:val="18"/>
                <w:szCs w:val="18"/>
              </w:rPr>
            </w:pPr>
            <w:r>
              <w:rPr>
                <w:rFonts w:ascii="宋体" w:hAnsi="宋体" w:eastAsia="宋体" w:cs="宋体"/>
                <w:sz w:val="18"/>
                <w:szCs w:val="18"/>
              </w:rPr>
              <w:t>7,174,919,380.03</w:t>
            </w:r>
          </w:p>
        </w:tc>
        <w:tc>
          <w:tcPr>
            <w:tcW w:w="830" w:type="dxa"/>
            <w:tcBorders>
              <w:top w:val="single" w:color="auto" w:sz="2" w:space="0"/>
              <w:left w:val="single" w:color="auto" w:sz="2" w:space="0"/>
              <w:bottom w:val="single" w:color="auto" w:sz="2" w:space="0"/>
              <w:right w:val="single" w:color="auto" w:sz="2" w:space="0"/>
            </w:tcBorders>
            <w:vAlign w:val="center"/>
          </w:tcPr>
          <w:p w14:paraId="7E374A7A">
            <w:pPr>
              <w:spacing w:line="240" w:lineRule="exact"/>
              <w:jc w:val="right"/>
              <w:rPr>
                <w:rFonts w:ascii="宋体" w:hAnsi="宋体" w:eastAsia="宋体" w:cs="宋体"/>
                <w:sz w:val="18"/>
                <w:szCs w:val="18"/>
              </w:rPr>
            </w:pPr>
            <w:r>
              <w:rPr>
                <w:rFonts w:ascii="宋体" w:hAnsi="宋体" w:eastAsia="宋体" w:cs="宋体"/>
                <w:sz w:val="18"/>
                <w:szCs w:val="18"/>
              </w:rPr>
              <w:t>7.13%</w:t>
            </w:r>
          </w:p>
        </w:tc>
        <w:tc>
          <w:tcPr>
            <w:tcW w:w="1377" w:type="dxa"/>
            <w:tcBorders>
              <w:top w:val="single" w:color="auto" w:sz="2" w:space="0"/>
              <w:left w:val="single" w:color="auto" w:sz="2" w:space="0"/>
              <w:bottom w:val="single" w:color="auto" w:sz="2" w:space="0"/>
              <w:right w:val="single" w:color="auto" w:sz="2" w:space="0"/>
            </w:tcBorders>
            <w:vAlign w:val="center"/>
          </w:tcPr>
          <w:p w14:paraId="09296011">
            <w:pPr>
              <w:spacing w:line="240" w:lineRule="exact"/>
              <w:jc w:val="right"/>
              <w:rPr>
                <w:rFonts w:ascii="宋体" w:hAnsi="宋体" w:eastAsia="宋体" w:cs="宋体"/>
                <w:sz w:val="18"/>
                <w:szCs w:val="18"/>
              </w:rPr>
            </w:pPr>
            <w:r>
              <w:rPr>
                <w:rFonts w:ascii="宋体" w:hAnsi="宋体" w:eastAsia="宋体" w:cs="宋体"/>
                <w:sz w:val="18"/>
                <w:szCs w:val="18"/>
              </w:rPr>
              <w:t>-26.37%</w:t>
            </w:r>
          </w:p>
        </w:tc>
        <w:tc>
          <w:tcPr>
            <w:tcW w:w="1377" w:type="dxa"/>
            <w:tcBorders>
              <w:top w:val="single" w:color="auto" w:sz="2" w:space="0"/>
              <w:left w:val="single" w:color="auto" w:sz="2" w:space="0"/>
              <w:bottom w:val="single" w:color="auto" w:sz="2" w:space="0"/>
              <w:right w:val="single" w:color="auto" w:sz="2" w:space="0"/>
            </w:tcBorders>
            <w:vAlign w:val="center"/>
          </w:tcPr>
          <w:p w14:paraId="3AC4218C">
            <w:pPr>
              <w:spacing w:line="240" w:lineRule="exact"/>
              <w:jc w:val="right"/>
              <w:rPr>
                <w:rFonts w:ascii="宋体" w:hAnsi="宋体" w:eastAsia="宋体" w:cs="宋体"/>
                <w:sz w:val="18"/>
                <w:szCs w:val="18"/>
              </w:rPr>
            </w:pPr>
            <w:r>
              <w:rPr>
                <w:rFonts w:ascii="宋体" w:hAnsi="宋体" w:eastAsia="宋体" w:cs="宋体"/>
                <w:sz w:val="18"/>
                <w:szCs w:val="18"/>
              </w:rPr>
              <w:t>-28.75%</w:t>
            </w:r>
          </w:p>
        </w:tc>
        <w:tc>
          <w:tcPr>
            <w:tcW w:w="1377" w:type="dxa"/>
            <w:tcBorders>
              <w:top w:val="single" w:color="auto" w:sz="2" w:space="0"/>
              <w:left w:val="single" w:color="auto" w:sz="2" w:space="0"/>
              <w:bottom w:val="single" w:color="auto" w:sz="2" w:space="0"/>
              <w:right w:val="single" w:color="auto" w:sz="2" w:space="0"/>
            </w:tcBorders>
            <w:vAlign w:val="center"/>
          </w:tcPr>
          <w:p w14:paraId="1EE0AA0E">
            <w:pPr>
              <w:spacing w:line="240" w:lineRule="exact"/>
              <w:jc w:val="right"/>
              <w:rPr>
                <w:rFonts w:ascii="宋体" w:hAnsi="宋体" w:eastAsia="宋体" w:cs="宋体"/>
                <w:sz w:val="18"/>
                <w:szCs w:val="18"/>
              </w:rPr>
            </w:pPr>
            <w:r>
              <w:rPr>
                <w:rFonts w:ascii="宋体" w:hAnsi="宋体" w:eastAsia="宋体" w:cs="宋体"/>
                <w:sz w:val="18"/>
                <w:szCs w:val="18"/>
              </w:rPr>
              <w:t>3.10%</w:t>
            </w:r>
          </w:p>
        </w:tc>
      </w:tr>
    </w:tbl>
    <w:p w14:paraId="743713EB">
      <w:pPr>
        <w:keepNext/>
        <w:keepLines/>
        <w:spacing w:before="300" w:after="300" w:line="280" w:lineRule="exact"/>
        <w:outlineLvl w:val="3"/>
        <w:rPr>
          <w:rFonts w:ascii="宋体" w:hAnsi="宋体" w:eastAsia="宋体" w:cs="宋体"/>
          <w:b/>
          <w:bCs/>
          <w:szCs w:val="21"/>
        </w:rPr>
      </w:pPr>
      <w:bookmarkStart w:id="32" w:name="_Toc988921"/>
      <w:r>
        <w:rPr>
          <w:rFonts w:ascii="宋体" w:hAnsi="宋体" w:eastAsia="宋体" w:cs="宋体"/>
          <w:b/>
          <w:bCs/>
          <w:szCs w:val="21"/>
        </w:rPr>
        <w:t>（3） 加盟、分销</w:t>
      </w:r>
      <w:bookmarkEnd w:id="32"/>
    </w:p>
    <w:p w14:paraId="4AB25BD1">
      <w:pPr>
        <w:spacing w:before="100" w:after="100" w:line="240" w:lineRule="exact"/>
        <w:rPr>
          <w:rFonts w:ascii="宋体" w:hAnsi="宋体" w:eastAsia="宋体" w:cs="宋体"/>
          <w:sz w:val="18"/>
          <w:szCs w:val="18"/>
        </w:rPr>
      </w:pPr>
      <w:r>
        <w:rPr>
          <w:rFonts w:ascii="宋体" w:hAnsi="宋体" w:eastAsia="宋体" w:cs="宋体"/>
          <w:sz w:val="18"/>
          <w:szCs w:val="18"/>
        </w:rPr>
        <w:t>加盟商、分销商实现销售收入占比超过30%</w:t>
      </w:r>
    </w:p>
    <w:p w14:paraId="0126CF14">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39304FD3">
      <w:pPr>
        <w:keepNext/>
        <w:keepLines/>
        <w:spacing w:before="300" w:after="300" w:line="280" w:lineRule="exact"/>
        <w:outlineLvl w:val="3"/>
        <w:rPr>
          <w:rFonts w:ascii="宋体" w:hAnsi="宋体" w:eastAsia="宋体" w:cs="宋体"/>
          <w:b/>
          <w:bCs/>
          <w:szCs w:val="21"/>
        </w:rPr>
      </w:pPr>
      <w:bookmarkStart w:id="33" w:name="_Toc988922"/>
      <w:r>
        <w:rPr>
          <w:rFonts w:ascii="宋体" w:hAnsi="宋体" w:eastAsia="宋体" w:cs="宋体"/>
          <w:b/>
          <w:bCs/>
          <w:szCs w:val="21"/>
        </w:rPr>
        <w:t>（4） 线上销售</w:t>
      </w:r>
      <w:bookmarkEnd w:id="33"/>
    </w:p>
    <w:p w14:paraId="1F0787E3">
      <w:pPr>
        <w:spacing w:before="100" w:after="100" w:line="240" w:lineRule="exact"/>
        <w:rPr>
          <w:rFonts w:ascii="宋体" w:hAnsi="宋体" w:eastAsia="宋体" w:cs="宋体"/>
          <w:sz w:val="18"/>
          <w:szCs w:val="18"/>
        </w:rPr>
      </w:pPr>
      <w:r>
        <w:rPr>
          <w:rFonts w:ascii="宋体" w:hAnsi="宋体" w:eastAsia="宋体" w:cs="宋体"/>
          <w:sz w:val="18"/>
          <w:szCs w:val="18"/>
        </w:rPr>
        <w:t>线上销售实现销售收入占比超过30%</w:t>
      </w:r>
    </w:p>
    <w:p w14:paraId="0455B999">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71A9223D">
      <w:pPr>
        <w:spacing w:before="100" w:after="100" w:line="240" w:lineRule="exact"/>
        <w:rPr>
          <w:rFonts w:ascii="宋体" w:hAnsi="宋体" w:eastAsia="宋体" w:cs="宋体"/>
          <w:sz w:val="18"/>
          <w:szCs w:val="18"/>
        </w:rPr>
      </w:pPr>
      <w:r>
        <w:rPr>
          <w:rFonts w:ascii="宋体" w:hAnsi="宋体" w:eastAsia="宋体" w:cs="宋体"/>
          <w:sz w:val="18"/>
          <w:szCs w:val="18"/>
        </w:rPr>
        <w:t>是否自建销售平台</w:t>
      </w:r>
    </w:p>
    <w:p w14:paraId="498628FE">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227F9733">
      <w:pPr>
        <w:spacing w:before="100" w:after="100" w:line="240" w:lineRule="exact"/>
        <w:rPr>
          <w:rFonts w:ascii="宋体" w:hAnsi="宋体" w:eastAsia="宋体" w:cs="宋体"/>
          <w:sz w:val="18"/>
          <w:szCs w:val="18"/>
        </w:rPr>
      </w:pPr>
      <w:r>
        <w:rPr>
          <w:rFonts w:ascii="宋体" w:hAnsi="宋体" w:eastAsia="宋体" w:cs="宋体"/>
          <w:sz w:val="18"/>
          <w:szCs w:val="18"/>
        </w:rPr>
        <w:t>是否与第三方销售平台合作</w:t>
      </w:r>
    </w:p>
    <w:p w14:paraId="6F0E5288">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14:paraId="09BDC789">
      <w:pPr>
        <w:spacing w:before="100" w:after="100" w:line="240" w:lineRule="exact"/>
        <w:rPr>
          <w:rFonts w:ascii="宋体" w:hAnsi="宋体" w:eastAsia="宋体" w:cs="宋体"/>
          <w:sz w:val="18"/>
          <w:szCs w:val="18"/>
        </w:rPr>
      </w:pPr>
      <w:r>
        <w:rPr>
          <w:rFonts w:ascii="宋体" w:hAnsi="宋体" w:eastAsia="宋体" w:cs="宋体"/>
          <w:sz w:val="18"/>
          <w:szCs w:val="18"/>
        </w:rPr>
        <w:t>公司开设或关闭线上销售渠道</w:t>
      </w:r>
    </w:p>
    <w:p w14:paraId="10FB348F">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4358193">
      <w:pPr>
        <w:keepNext/>
        <w:keepLines/>
        <w:spacing w:before="300" w:after="300" w:line="280" w:lineRule="exact"/>
        <w:outlineLvl w:val="3"/>
        <w:rPr>
          <w:rFonts w:ascii="宋体" w:hAnsi="宋体" w:eastAsia="宋体" w:cs="宋体"/>
          <w:b/>
          <w:bCs/>
          <w:szCs w:val="21"/>
        </w:rPr>
      </w:pPr>
      <w:bookmarkStart w:id="34" w:name="_Toc988923"/>
      <w:r>
        <w:rPr>
          <w:rFonts w:ascii="宋体" w:hAnsi="宋体" w:eastAsia="宋体" w:cs="宋体"/>
          <w:b/>
          <w:bCs/>
          <w:szCs w:val="21"/>
        </w:rPr>
        <w:t>（5） 代运营模式</w:t>
      </w:r>
      <w:bookmarkEnd w:id="34"/>
    </w:p>
    <w:p w14:paraId="4A4A2D49">
      <w:pPr>
        <w:spacing w:before="100" w:after="100" w:line="240" w:lineRule="exact"/>
        <w:rPr>
          <w:rFonts w:ascii="宋体" w:hAnsi="宋体" w:eastAsia="宋体" w:cs="宋体"/>
          <w:sz w:val="18"/>
          <w:szCs w:val="18"/>
        </w:rPr>
      </w:pPr>
      <w:r>
        <w:rPr>
          <w:rFonts w:ascii="宋体" w:hAnsi="宋体" w:eastAsia="宋体" w:cs="宋体"/>
          <w:sz w:val="18"/>
          <w:szCs w:val="18"/>
        </w:rPr>
        <w:t>是否涉及代运营模式</w:t>
      </w:r>
    </w:p>
    <w:p w14:paraId="32D8DF12">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060F9B0D">
      <w:pPr>
        <w:keepNext/>
        <w:keepLines/>
        <w:spacing w:before="300" w:after="300" w:line="280" w:lineRule="exact"/>
        <w:outlineLvl w:val="3"/>
        <w:rPr>
          <w:rFonts w:ascii="宋体" w:hAnsi="宋体" w:eastAsia="宋体" w:cs="宋体"/>
          <w:b/>
          <w:bCs/>
          <w:szCs w:val="21"/>
        </w:rPr>
      </w:pPr>
      <w:bookmarkStart w:id="35" w:name="_Toc988924"/>
      <w:r>
        <w:rPr>
          <w:rFonts w:ascii="宋体" w:hAnsi="宋体" w:eastAsia="宋体" w:cs="宋体"/>
          <w:b/>
          <w:bCs/>
          <w:szCs w:val="21"/>
        </w:rPr>
        <w:t>（6） 存货情况</w:t>
      </w:r>
      <w:bookmarkEnd w:id="35"/>
    </w:p>
    <w:p w14:paraId="0D4E0D25">
      <w:pPr>
        <w:spacing w:before="100" w:after="100" w:line="240" w:lineRule="exact"/>
        <w:rPr>
          <w:rFonts w:ascii="宋体" w:hAnsi="宋体" w:eastAsia="宋体" w:cs="宋体"/>
          <w:sz w:val="18"/>
          <w:szCs w:val="18"/>
        </w:rPr>
      </w:pPr>
      <w:r>
        <w:rPr>
          <w:rFonts w:ascii="宋体" w:hAnsi="宋体" w:eastAsia="宋体" w:cs="宋体"/>
          <w:sz w:val="18"/>
          <w:szCs w:val="18"/>
        </w:rPr>
        <w:t>存货情况</w:t>
      </w:r>
    </w:p>
    <w:tbl>
      <w:tblPr>
        <w:tblStyle w:val="10"/>
        <w:tblW w:w="9781" w:type="dxa"/>
        <w:tblInd w:w="-3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48"/>
        <w:gridCol w:w="1606"/>
        <w:gridCol w:w="1606"/>
        <w:gridCol w:w="1607"/>
        <w:gridCol w:w="1655"/>
        <w:gridCol w:w="1559"/>
      </w:tblGrid>
      <w:tr w14:paraId="737BA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8" w:type="dxa"/>
            <w:tcBorders>
              <w:top w:val="single" w:color="auto" w:sz="2" w:space="0"/>
              <w:left w:val="single" w:color="auto" w:sz="2" w:space="0"/>
              <w:bottom w:val="single" w:color="auto" w:sz="2" w:space="0"/>
              <w:right w:val="single" w:color="auto" w:sz="2" w:space="0"/>
            </w:tcBorders>
            <w:shd w:val="clear" w:color="auto" w:fill="D3D3D3"/>
            <w:vAlign w:val="center"/>
          </w:tcPr>
          <w:p w14:paraId="1900591E">
            <w:pPr>
              <w:spacing w:before="40" w:after="40" w:line="240" w:lineRule="exact"/>
              <w:jc w:val="center"/>
              <w:rPr>
                <w:rFonts w:ascii="宋体" w:hAnsi="宋体" w:eastAsia="宋体" w:cs="宋体"/>
                <w:sz w:val="18"/>
                <w:szCs w:val="18"/>
              </w:rPr>
            </w:pPr>
            <w:r>
              <w:rPr>
                <w:rFonts w:ascii="宋体" w:hAnsi="宋体" w:eastAsia="宋体" w:cs="宋体"/>
                <w:sz w:val="18"/>
                <w:szCs w:val="18"/>
              </w:rPr>
              <w:t>主要产品</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9B23621">
            <w:pPr>
              <w:spacing w:before="40" w:after="40" w:line="240" w:lineRule="exact"/>
              <w:jc w:val="center"/>
              <w:rPr>
                <w:rFonts w:ascii="宋体" w:hAnsi="宋体" w:eastAsia="宋体" w:cs="宋体"/>
                <w:sz w:val="18"/>
                <w:szCs w:val="18"/>
              </w:rPr>
            </w:pPr>
            <w:r>
              <w:rPr>
                <w:rFonts w:ascii="宋体" w:hAnsi="宋体" w:eastAsia="宋体" w:cs="宋体"/>
                <w:sz w:val="18"/>
                <w:szCs w:val="18"/>
              </w:rPr>
              <w:t>存货周转天数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44D154B">
            <w:pPr>
              <w:spacing w:before="40" w:after="40" w:line="240" w:lineRule="exact"/>
              <w:jc w:val="center"/>
              <w:rPr>
                <w:rFonts w:ascii="宋体" w:hAnsi="宋体" w:eastAsia="宋体" w:cs="宋体"/>
                <w:sz w:val="18"/>
                <w:szCs w:val="18"/>
              </w:rPr>
            </w:pPr>
            <w:r>
              <w:rPr>
                <w:rFonts w:ascii="宋体" w:hAnsi="宋体" w:eastAsia="宋体" w:cs="宋体"/>
                <w:sz w:val="18"/>
                <w:szCs w:val="18"/>
              </w:rPr>
              <w:t>存货数量</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14:paraId="1F28B8CF">
            <w:pPr>
              <w:spacing w:before="40" w:after="40" w:line="240" w:lineRule="exact"/>
              <w:jc w:val="center"/>
              <w:rPr>
                <w:rFonts w:ascii="宋体" w:hAnsi="宋体" w:eastAsia="宋体" w:cs="宋体"/>
                <w:sz w:val="18"/>
                <w:szCs w:val="18"/>
              </w:rPr>
            </w:pPr>
            <w:r>
              <w:rPr>
                <w:rFonts w:ascii="宋体" w:hAnsi="宋体" w:eastAsia="宋体" w:cs="宋体"/>
                <w:sz w:val="18"/>
                <w:szCs w:val="18"/>
              </w:rPr>
              <w:t>存货库龄</w:t>
            </w:r>
          </w:p>
        </w:tc>
        <w:tc>
          <w:tcPr>
            <w:tcW w:w="1655" w:type="dxa"/>
            <w:tcBorders>
              <w:top w:val="single" w:color="auto" w:sz="2" w:space="0"/>
              <w:left w:val="single" w:color="auto" w:sz="2" w:space="0"/>
              <w:bottom w:val="single" w:color="auto" w:sz="2" w:space="0"/>
              <w:right w:val="single" w:color="auto" w:sz="2" w:space="0"/>
            </w:tcBorders>
            <w:shd w:val="clear" w:color="auto" w:fill="D3D3D3"/>
            <w:vAlign w:val="center"/>
          </w:tcPr>
          <w:p w14:paraId="65376D8E">
            <w:pPr>
              <w:spacing w:before="40" w:after="40" w:line="240" w:lineRule="exact"/>
              <w:jc w:val="center"/>
              <w:rPr>
                <w:rFonts w:ascii="宋体" w:hAnsi="宋体" w:eastAsia="宋体" w:cs="宋体"/>
                <w:sz w:val="18"/>
                <w:szCs w:val="18"/>
              </w:rPr>
            </w:pPr>
            <w:r>
              <w:rPr>
                <w:rFonts w:ascii="宋体" w:hAnsi="宋体" w:eastAsia="宋体" w:cs="宋体"/>
                <w:sz w:val="18"/>
                <w:szCs w:val="18"/>
              </w:rPr>
              <w:t>存货余额同比增减情况</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14:paraId="1E61E858">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r w14:paraId="6B92F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8" w:type="dxa"/>
            <w:tcBorders>
              <w:top w:val="single" w:color="auto" w:sz="2" w:space="0"/>
              <w:left w:val="single" w:color="auto" w:sz="2" w:space="0"/>
              <w:bottom w:val="single" w:color="auto" w:sz="2" w:space="0"/>
              <w:right w:val="single" w:color="auto" w:sz="2" w:space="0"/>
            </w:tcBorders>
            <w:vAlign w:val="center"/>
          </w:tcPr>
          <w:p w14:paraId="14CC3979">
            <w:pPr>
              <w:spacing w:line="240" w:lineRule="exact"/>
              <w:rPr>
                <w:rFonts w:ascii="宋体" w:hAnsi="宋体" w:eastAsia="宋体" w:cs="宋体"/>
                <w:sz w:val="18"/>
                <w:szCs w:val="18"/>
              </w:rPr>
            </w:pPr>
            <w:r>
              <w:rPr>
                <w:rFonts w:ascii="宋体" w:hAnsi="宋体" w:eastAsia="宋体" w:cs="宋体"/>
                <w:sz w:val="18"/>
                <w:szCs w:val="18"/>
              </w:rPr>
              <w:t>纱线</w:t>
            </w:r>
          </w:p>
        </w:tc>
        <w:tc>
          <w:tcPr>
            <w:tcW w:w="1606" w:type="dxa"/>
            <w:tcBorders>
              <w:top w:val="single" w:color="auto" w:sz="2" w:space="0"/>
              <w:left w:val="single" w:color="auto" w:sz="2" w:space="0"/>
              <w:bottom w:val="single" w:color="auto" w:sz="2" w:space="0"/>
              <w:right w:val="single" w:color="auto" w:sz="2" w:space="0"/>
            </w:tcBorders>
            <w:vAlign w:val="center"/>
          </w:tcPr>
          <w:p w14:paraId="1BC107FB">
            <w:pPr>
              <w:spacing w:line="240" w:lineRule="exact"/>
              <w:jc w:val="right"/>
              <w:rPr>
                <w:rFonts w:ascii="宋体" w:hAnsi="宋体" w:eastAsia="宋体" w:cs="宋体"/>
                <w:sz w:val="18"/>
                <w:szCs w:val="18"/>
              </w:rPr>
            </w:pPr>
            <w:r>
              <w:rPr>
                <w:rFonts w:ascii="宋体" w:hAnsi="宋体" w:eastAsia="宋体" w:cs="宋体"/>
                <w:sz w:val="18"/>
                <w:szCs w:val="18"/>
              </w:rPr>
              <w:t>105</w:t>
            </w:r>
          </w:p>
        </w:tc>
        <w:tc>
          <w:tcPr>
            <w:tcW w:w="1606" w:type="dxa"/>
            <w:tcBorders>
              <w:top w:val="single" w:color="auto" w:sz="2" w:space="0"/>
              <w:left w:val="single" w:color="auto" w:sz="2" w:space="0"/>
              <w:bottom w:val="single" w:color="auto" w:sz="2" w:space="0"/>
              <w:right w:val="single" w:color="auto" w:sz="2" w:space="0"/>
            </w:tcBorders>
            <w:vAlign w:val="center"/>
          </w:tcPr>
          <w:p w14:paraId="2252810F">
            <w:pPr>
              <w:spacing w:line="240" w:lineRule="exact"/>
              <w:jc w:val="right"/>
              <w:rPr>
                <w:rFonts w:ascii="宋体" w:hAnsi="宋体" w:eastAsia="宋体" w:cs="宋体"/>
                <w:sz w:val="18"/>
                <w:szCs w:val="18"/>
              </w:rPr>
            </w:pPr>
            <w:r>
              <w:rPr>
                <w:rFonts w:ascii="宋体" w:hAnsi="宋体" w:eastAsia="宋体" w:cs="宋体"/>
                <w:sz w:val="18"/>
                <w:szCs w:val="18"/>
              </w:rPr>
              <w:t>49,614.83</w:t>
            </w:r>
          </w:p>
        </w:tc>
        <w:tc>
          <w:tcPr>
            <w:tcW w:w="1607" w:type="dxa"/>
            <w:tcBorders>
              <w:top w:val="single" w:color="auto" w:sz="2" w:space="0"/>
              <w:left w:val="single" w:color="auto" w:sz="2" w:space="0"/>
              <w:bottom w:val="single" w:color="auto" w:sz="2" w:space="0"/>
              <w:right w:val="single" w:color="auto" w:sz="2" w:space="0"/>
            </w:tcBorders>
            <w:vAlign w:val="center"/>
          </w:tcPr>
          <w:p w14:paraId="4F831811">
            <w:pPr>
              <w:spacing w:line="240" w:lineRule="exact"/>
              <w:jc w:val="right"/>
              <w:rPr>
                <w:rFonts w:ascii="宋体" w:hAnsi="宋体" w:eastAsia="宋体" w:cs="宋体"/>
                <w:sz w:val="18"/>
                <w:szCs w:val="18"/>
              </w:rPr>
            </w:pPr>
          </w:p>
        </w:tc>
        <w:tc>
          <w:tcPr>
            <w:tcW w:w="1655" w:type="dxa"/>
            <w:tcBorders>
              <w:top w:val="single" w:color="auto" w:sz="2" w:space="0"/>
              <w:left w:val="single" w:color="auto" w:sz="2" w:space="0"/>
              <w:bottom w:val="single" w:color="auto" w:sz="2" w:space="0"/>
              <w:right w:val="single" w:color="auto" w:sz="2" w:space="0"/>
            </w:tcBorders>
            <w:vAlign w:val="center"/>
          </w:tcPr>
          <w:p w14:paraId="7BB961F5">
            <w:pPr>
              <w:spacing w:line="240" w:lineRule="exact"/>
              <w:rPr>
                <w:rFonts w:ascii="宋体" w:hAnsi="宋体" w:eastAsia="宋体" w:cs="宋体"/>
                <w:sz w:val="18"/>
                <w:szCs w:val="18"/>
              </w:rPr>
            </w:pPr>
            <w:r>
              <w:rPr>
                <w:rFonts w:ascii="宋体" w:hAnsi="宋体" w:eastAsia="宋体" w:cs="宋体"/>
                <w:sz w:val="18"/>
                <w:szCs w:val="18"/>
              </w:rPr>
              <w:t>-6.58%</w:t>
            </w:r>
          </w:p>
        </w:tc>
        <w:tc>
          <w:tcPr>
            <w:tcW w:w="1559" w:type="dxa"/>
            <w:tcBorders>
              <w:top w:val="single" w:color="auto" w:sz="2" w:space="0"/>
              <w:left w:val="single" w:color="auto" w:sz="2" w:space="0"/>
              <w:bottom w:val="single" w:color="auto" w:sz="2" w:space="0"/>
              <w:right w:val="single" w:color="auto" w:sz="2" w:space="0"/>
            </w:tcBorders>
            <w:vAlign w:val="center"/>
          </w:tcPr>
          <w:p w14:paraId="688D51E7">
            <w:pPr>
              <w:spacing w:line="240" w:lineRule="exact"/>
              <w:rPr>
                <w:rFonts w:ascii="宋体" w:hAnsi="宋体" w:eastAsia="宋体" w:cs="宋体"/>
                <w:sz w:val="18"/>
                <w:szCs w:val="18"/>
              </w:rPr>
            </w:pPr>
          </w:p>
        </w:tc>
      </w:tr>
      <w:tr w14:paraId="3D065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48" w:type="dxa"/>
            <w:tcBorders>
              <w:top w:val="single" w:color="auto" w:sz="2" w:space="0"/>
              <w:left w:val="single" w:color="auto" w:sz="2" w:space="0"/>
              <w:bottom w:val="single" w:color="auto" w:sz="2" w:space="0"/>
              <w:right w:val="single" w:color="auto" w:sz="2" w:space="0"/>
            </w:tcBorders>
            <w:vAlign w:val="center"/>
          </w:tcPr>
          <w:p w14:paraId="628C1D6D">
            <w:pPr>
              <w:spacing w:line="240" w:lineRule="exact"/>
              <w:rPr>
                <w:rFonts w:ascii="宋体" w:hAnsi="宋体" w:eastAsia="宋体" w:cs="宋体"/>
                <w:sz w:val="18"/>
                <w:szCs w:val="18"/>
              </w:rPr>
            </w:pPr>
            <w:r>
              <w:rPr>
                <w:rFonts w:ascii="宋体" w:hAnsi="宋体" w:eastAsia="宋体" w:cs="宋体"/>
                <w:sz w:val="18"/>
                <w:szCs w:val="18"/>
              </w:rPr>
              <w:t>棉业</w:t>
            </w:r>
          </w:p>
        </w:tc>
        <w:tc>
          <w:tcPr>
            <w:tcW w:w="1606" w:type="dxa"/>
            <w:tcBorders>
              <w:top w:val="single" w:color="auto" w:sz="2" w:space="0"/>
              <w:left w:val="single" w:color="auto" w:sz="2" w:space="0"/>
              <w:bottom w:val="single" w:color="auto" w:sz="2" w:space="0"/>
              <w:right w:val="single" w:color="auto" w:sz="2" w:space="0"/>
            </w:tcBorders>
            <w:vAlign w:val="center"/>
          </w:tcPr>
          <w:p w14:paraId="25B070BA">
            <w:pPr>
              <w:spacing w:line="240" w:lineRule="exact"/>
              <w:jc w:val="right"/>
              <w:rPr>
                <w:rFonts w:ascii="宋体" w:hAnsi="宋体" w:eastAsia="宋体" w:cs="宋体"/>
                <w:sz w:val="18"/>
                <w:szCs w:val="18"/>
              </w:rPr>
            </w:pPr>
            <w:r>
              <w:rPr>
                <w:rFonts w:ascii="宋体" w:hAnsi="宋体" w:eastAsia="宋体" w:cs="宋体"/>
                <w:sz w:val="18"/>
                <w:szCs w:val="18"/>
              </w:rPr>
              <w:t>120</w:t>
            </w:r>
          </w:p>
        </w:tc>
        <w:tc>
          <w:tcPr>
            <w:tcW w:w="1606" w:type="dxa"/>
            <w:tcBorders>
              <w:top w:val="single" w:color="auto" w:sz="2" w:space="0"/>
              <w:left w:val="single" w:color="auto" w:sz="2" w:space="0"/>
              <w:bottom w:val="single" w:color="auto" w:sz="2" w:space="0"/>
              <w:right w:val="single" w:color="auto" w:sz="2" w:space="0"/>
            </w:tcBorders>
            <w:vAlign w:val="center"/>
          </w:tcPr>
          <w:p w14:paraId="061FB9AD">
            <w:pPr>
              <w:spacing w:line="240" w:lineRule="exact"/>
              <w:jc w:val="right"/>
              <w:rPr>
                <w:rFonts w:ascii="宋体" w:hAnsi="宋体" w:eastAsia="宋体" w:cs="宋体"/>
                <w:sz w:val="18"/>
                <w:szCs w:val="18"/>
              </w:rPr>
            </w:pPr>
            <w:r>
              <w:rPr>
                <w:rFonts w:ascii="宋体" w:hAnsi="宋体" w:eastAsia="宋体" w:cs="宋体"/>
                <w:sz w:val="18"/>
                <w:szCs w:val="18"/>
              </w:rPr>
              <w:t>200,440.73</w:t>
            </w:r>
          </w:p>
        </w:tc>
        <w:tc>
          <w:tcPr>
            <w:tcW w:w="1607" w:type="dxa"/>
            <w:tcBorders>
              <w:top w:val="single" w:color="auto" w:sz="2" w:space="0"/>
              <w:left w:val="single" w:color="auto" w:sz="2" w:space="0"/>
              <w:bottom w:val="single" w:color="auto" w:sz="2" w:space="0"/>
              <w:right w:val="single" w:color="auto" w:sz="2" w:space="0"/>
            </w:tcBorders>
            <w:vAlign w:val="center"/>
          </w:tcPr>
          <w:p w14:paraId="65CA768A">
            <w:pPr>
              <w:spacing w:line="240" w:lineRule="exact"/>
              <w:jc w:val="right"/>
              <w:rPr>
                <w:rFonts w:ascii="宋体" w:hAnsi="宋体" w:eastAsia="宋体" w:cs="宋体"/>
                <w:sz w:val="18"/>
                <w:szCs w:val="18"/>
              </w:rPr>
            </w:pPr>
          </w:p>
        </w:tc>
        <w:tc>
          <w:tcPr>
            <w:tcW w:w="1655" w:type="dxa"/>
            <w:tcBorders>
              <w:top w:val="single" w:color="auto" w:sz="2" w:space="0"/>
              <w:left w:val="single" w:color="auto" w:sz="2" w:space="0"/>
              <w:bottom w:val="single" w:color="auto" w:sz="2" w:space="0"/>
              <w:right w:val="single" w:color="auto" w:sz="2" w:space="0"/>
            </w:tcBorders>
            <w:vAlign w:val="center"/>
          </w:tcPr>
          <w:p w14:paraId="657D646B">
            <w:pPr>
              <w:spacing w:line="240" w:lineRule="exact"/>
              <w:rPr>
                <w:rFonts w:ascii="宋体" w:hAnsi="宋体" w:eastAsia="宋体" w:cs="宋体"/>
                <w:sz w:val="18"/>
                <w:szCs w:val="18"/>
              </w:rPr>
            </w:pPr>
            <w:r>
              <w:rPr>
                <w:rFonts w:ascii="宋体" w:hAnsi="宋体" w:eastAsia="宋体" w:cs="宋体"/>
                <w:sz w:val="18"/>
                <w:szCs w:val="18"/>
              </w:rPr>
              <w:t>-0.91%</w:t>
            </w:r>
          </w:p>
        </w:tc>
        <w:tc>
          <w:tcPr>
            <w:tcW w:w="1559" w:type="dxa"/>
            <w:tcBorders>
              <w:top w:val="single" w:color="auto" w:sz="2" w:space="0"/>
              <w:left w:val="single" w:color="auto" w:sz="2" w:space="0"/>
              <w:bottom w:val="single" w:color="auto" w:sz="2" w:space="0"/>
              <w:right w:val="single" w:color="auto" w:sz="2" w:space="0"/>
            </w:tcBorders>
            <w:vAlign w:val="center"/>
          </w:tcPr>
          <w:p w14:paraId="11A2EC94">
            <w:pPr>
              <w:spacing w:line="240" w:lineRule="exact"/>
              <w:rPr>
                <w:rFonts w:ascii="宋体" w:hAnsi="宋体" w:eastAsia="宋体" w:cs="宋体"/>
                <w:sz w:val="18"/>
                <w:szCs w:val="18"/>
              </w:rPr>
            </w:pPr>
          </w:p>
        </w:tc>
      </w:tr>
    </w:tbl>
    <w:p w14:paraId="0A225E51">
      <w:pPr>
        <w:spacing w:before="100" w:after="100" w:line="240" w:lineRule="exact"/>
        <w:rPr>
          <w:rFonts w:ascii="宋体" w:hAnsi="宋体" w:eastAsia="宋体" w:cs="宋体"/>
          <w:sz w:val="18"/>
          <w:szCs w:val="18"/>
        </w:rPr>
      </w:pPr>
      <w:r>
        <w:rPr>
          <w:rFonts w:ascii="宋体" w:hAnsi="宋体" w:eastAsia="宋体" w:cs="宋体"/>
          <w:sz w:val="18"/>
          <w:szCs w:val="18"/>
        </w:rPr>
        <w:t>存货跌价准备的计提情况</w:t>
      </w:r>
    </w:p>
    <w:tbl>
      <w:tblPr>
        <w:tblStyle w:val="10"/>
        <w:tblW w:w="9747" w:type="dxa"/>
        <w:tblInd w:w="0" w:type="dxa"/>
        <w:tblLayout w:type="autofit"/>
        <w:tblCellMar>
          <w:top w:w="0" w:type="dxa"/>
          <w:left w:w="0" w:type="dxa"/>
          <w:bottom w:w="0" w:type="dxa"/>
          <w:right w:w="0" w:type="dxa"/>
        </w:tblCellMar>
      </w:tblPr>
      <w:tblGrid>
        <w:gridCol w:w="675"/>
        <w:gridCol w:w="1418"/>
        <w:gridCol w:w="1701"/>
        <w:gridCol w:w="668"/>
        <w:gridCol w:w="1296"/>
        <w:gridCol w:w="1296"/>
        <w:gridCol w:w="1140"/>
        <w:gridCol w:w="1553"/>
      </w:tblGrid>
      <w:tr w14:paraId="0C2BCB1A">
        <w:tblPrEx>
          <w:tblCellMar>
            <w:top w:w="0" w:type="dxa"/>
            <w:left w:w="0" w:type="dxa"/>
            <w:bottom w:w="0" w:type="dxa"/>
            <w:right w:w="0" w:type="dxa"/>
          </w:tblCellMar>
        </w:tblPrEx>
        <w:trPr>
          <w:trHeight w:val="340" w:hRule="atLeast"/>
          <w:tblHeader/>
        </w:trPr>
        <w:tc>
          <w:tcPr>
            <w:tcW w:w="675"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B65E64">
            <w:pPr>
              <w:spacing w:line="240" w:lineRule="exact"/>
              <w:rPr>
                <w:rFonts w:ascii="宋体" w:hAnsi="宋体" w:eastAsia="宋体" w:cs="宋体"/>
                <w:sz w:val="18"/>
                <w:szCs w:val="18"/>
              </w:rPr>
            </w:pPr>
            <w:r>
              <w:rPr>
                <w:rFonts w:hint="eastAsia" w:ascii="宋体" w:hAnsi="宋体" w:eastAsia="宋体" w:cs="宋体"/>
                <w:sz w:val="18"/>
                <w:szCs w:val="18"/>
              </w:rPr>
              <w:t>项目</w:t>
            </w:r>
          </w:p>
        </w:tc>
        <w:tc>
          <w:tcPr>
            <w:tcW w:w="141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334A99">
            <w:pPr>
              <w:spacing w:line="240" w:lineRule="exact"/>
              <w:rPr>
                <w:rFonts w:ascii="宋体" w:hAnsi="宋体" w:eastAsia="宋体" w:cs="宋体"/>
                <w:sz w:val="18"/>
                <w:szCs w:val="18"/>
              </w:rPr>
            </w:pPr>
            <w:r>
              <w:rPr>
                <w:rFonts w:hint="eastAsia" w:ascii="宋体" w:hAnsi="宋体" w:eastAsia="宋体" w:cs="宋体"/>
                <w:sz w:val="18"/>
                <w:szCs w:val="18"/>
              </w:rPr>
              <w:t>期初余额</w:t>
            </w:r>
          </w:p>
        </w:tc>
        <w:tc>
          <w:tcPr>
            <w:tcW w:w="2369"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917521F">
            <w:pPr>
              <w:spacing w:line="240" w:lineRule="exact"/>
              <w:rPr>
                <w:rFonts w:ascii="宋体" w:hAnsi="宋体" w:eastAsia="宋体" w:cs="宋体"/>
                <w:sz w:val="18"/>
                <w:szCs w:val="18"/>
              </w:rPr>
            </w:pPr>
            <w:r>
              <w:rPr>
                <w:rFonts w:hint="eastAsia" w:ascii="宋体" w:hAnsi="宋体" w:eastAsia="宋体" w:cs="宋体"/>
                <w:sz w:val="18"/>
                <w:szCs w:val="18"/>
              </w:rPr>
              <w:t>本期增加金额</w:t>
            </w:r>
          </w:p>
        </w:tc>
        <w:tc>
          <w:tcPr>
            <w:tcW w:w="3732"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E2D484C">
            <w:pPr>
              <w:spacing w:line="240" w:lineRule="exact"/>
              <w:rPr>
                <w:rFonts w:ascii="宋体" w:hAnsi="宋体" w:eastAsia="宋体" w:cs="宋体"/>
                <w:sz w:val="18"/>
                <w:szCs w:val="18"/>
              </w:rPr>
            </w:pPr>
            <w:r>
              <w:rPr>
                <w:rFonts w:hint="eastAsia" w:ascii="宋体" w:hAnsi="宋体" w:eastAsia="宋体" w:cs="宋体"/>
                <w:sz w:val="18"/>
                <w:szCs w:val="18"/>
              </w:rPr>
              <w:t>本期减少金额</w:t>
            </w:r>
          </w:p>
        </w:tc>
        <w:tc>
          <w:tcPr>
            <w:tcW w:w="1553"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1F2B327">
            <w:pPr>
              <w:spacing w:line="240" w:lineRule="exact"/>
              <w:rPr>
                <w:rFonts w:ascii="宋体" w:hAnsi="宋体" w:eastAsia="宋体" w:cs="宋体"/>
                <w:sz w:val="18"/>
                <w:szCs w:val="18"/>
              </w:rPr>
            </w:pPr>
            <w:r>
              <w:rPr>
                <w:rFonts w:hint="eastAsia" w:ascii="宋体" w:hAnsi="宋体" w:eastAsia="宋体" w:cs="宋体"/>
                <w:sz w:val="18"/>
                <w:szCs w:val="18"/>
              </w:rPr>
              <w:t>期末余额</w:t>
            </w:r>
          </w:p>
        </w:tc>
      </w:tr>
      <w:tr w14:paraId="0EC54BF1">
        <w:tblPrEx>
          <w:tblCellMar>
            <w:top w:w="0" w:type="dxa"/>
            <w:left w:w="0" w:type="dxa"/>
            <w:bottom w:w="0" w:type="dxa"/>
            <w:right w:w="0" w:type="dxa"/>
          </w:tblCellMar>
        </w:tblPrEx>
        <w:trPr>
          <w:trHeight w:val="340" w:hRule="atLeast"/>
          <w:tblHeader/>
        </w:trPr>
        <w:tc>
          <w:tcPr>
            <w:tcW w:w="675" w:type="dxa"/>
            <w:vMerge w:val="continue"/>
            <w:tcBorders>
              <w:top w:val="single" w:color="auto" w:sz="8" w:space="0"/>
              <w:left w:val="single" w:color="auto" w:sz="8" w:space="0"/>
              <w:bottom w:val="single" w:color="auto" w:sz="8" w:space="0"/>
              <w:right w:val="single" w:color="auto" w:sz="8" w:space="0"/>
            </w:tcBorders>
            <w:vAlign w:val="center"/>
          </w:tcPr>
          <w:p w14:paraId="5911BCFA">
            <w:pPr>
              <w:spacing w:line="240" w:lineRule="exact"/>
              <w:rPr>
                <w:rFonts w:ascii="宋体" w:hAnsi="宋体" w:eastAsia="宋体" w:cs="宋体"/>
                <w:sz w:val="18"/>
                <w:szCs w:val="18"/>
              </w:rPr>
            </w:pPr>
          </w:p>
        </w:tc>
        <w:tc>
          <w:tcPr>
            <w:tcW w:w="1418" w:type="dxa"/>
            <w:vMerge w:val="continue"/>
            <w:tcBorders>
              <w:top w:val="single" w:color="auto" w:sz="8" w:space="0"/>
              <w:left w:val="nil"/>
              <w:bottom w:val="single" w:color="auto" w:sz="8" w:space="0"/>
              <w:right w:val="single" w:color="auto" w:sz="8" w:space="0"/>
            </w:tcBorders>
            <w:vAlign w:val="center"/>
          </w:tcPr>
          <w:p w14:paraId="6AFCB148">
            <w:pPr>
              <w:spacing w:line="240" w:lineRule="exact"/>
              <w:rPr>
                <w:rFonts w:ascii="宋体" w:hAnsi="宋体" w:eastAsia="宋体" w:cs="宋体"/>
                <w:sz w:val="18"/>
                <w:szCs w:val="18"/>
              </w:rPr>
            </w:pPr>
          </w:p>
        </w:tc>
        <w:tc>
          <w:tcPr>
            <w:tcW w:w="17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0B3DF9">
            <w:pPr>
              <w:spacing w:line="240" w:lineRule="exact"/>
              <w:rPr>
                <w:rFonts w:ascii="宋体" w:hAnsi="宋体" w:eastAsia="宋体" w:cs="宋体"/>
                <w:sz w:val="18"/>
                <w:szCs w:val="18"/>
              </w:rPr>
            </w:pPr>
            <w:r>
              <w:rPr>
                <w:rFonts w:hint="eastAsia" w:ascii="宋体" w:hAnsi="宋体" w:eastAsia="宋体" w:cs="宋体"/>
                <w:sz w:val="18"/>
                <w:szCs w:val="18"/>
              </w:rPr>
              <w:t>计提</w:t>
            </w:r>
          </w:p>
        </w:tc>
        <w:tc>
          <w:tcPr>
            <w:tcW w:w="668" w:type="dxa"/>
            <w:tcBorders>
              <w:top w:val="nil"/>
              <w:left w:val="nil"/>
              <w:bottom w:val="single" w:color="auto" w:sz="8" w:space="0"/>
              <w:right w:val="single" w:color="auto" w:sz="8" w:space="0"/>
            </w:tcBorders>
            <w:tcMar>
              <w:top w:w="0" w:type="dxa"/>
              <w:left w:w="108" w:type="dxa"/>
              <w:bottom w:w="0" w:type="dxa"/>
              <w:right w:w="108" w:type="dxa"/>
            </w:tcMar>
            <w:vAlign w:val="center"/>
          </w:tcPr>
          <w:p w14:paraId="483C5C3C">
            <w:pPr>
              <w:spacing w:line="240" w:lineRule="exact"/>
              <w:rPr>
                <w:rFonts w:ascii="宋体" w:hAnsi="宋体" w:eastAsia="宋体" w:cs="宋体"/>
                <w:sz w:val="18"/>
                <w:szCs w:val="18"/>
              </w:rPr>
            </w:pPr>
            <w:r>
              <w:rPr>
                <w:rFonts w:hint="eastAsia" w:ascii="宋体" w:hAnsi="宋体" w:eastAsia="宋体" w:cs="宋体"/>
                <w:sz w:val="18"/>
                <w:szCs w:val="18"/>
              </w:rPr>
              <w:t>其他</w:t>
            </w:r>
          </w:p>
        </w:tc>
        <w:tc>
          <w:tcPr>
            <w:tcW w:w="1296" w:type="dxa"/>
            <w:tcBorders>
              <w:top w:val="nil"/>
              <w:left w:val="nil"/>
              <w:bottom w:val="single" w:color="auto" w:sz="8" w:space="0"/>
              <w:right w:val="single" w:color="auto" w:sz="8" w:space="0"/>
            </w:tcBorders>
            <w:tcMar>
              <w:top w:w="0" w:type="dxa"/>
              <w:left w:w="108" w:type="dxa"/>
              <w:bottom w:w="0" w:type="dxa"/>
              <w:right w:w="108" w:type="dxa"/>
            </w:tcMar>
            <w:vAlign w:val="center"/>
          </w:tcPr>
          <w:p w14:paraId="598DF793">
            <w:pPr>
              <w:spacing w:line="240" w:lineRule="exact"/>
              <w:rPr>
                <w:rFonts w:ascii="宋体" w:hAnsi="宋体" w:eastAsia="宋体" w:cs="宋体"/>
                <w:sz w:val="18"/>
                <w:szCs w:val="18"/>
              </w:rPr>
            </w:pPr>
            <w:r>
              <w:rPr>
                <w:rFonts w:hint="eastAsia" w:ascii="宋体" w:hAnsi="宋体" w:eastAsia="宋体" w:cs="宋体"/>
                <w:sz w:val="18"/>
                <w:szCs w:val="18"/>
              </w:rPr>
              <w:t>转回</w:t>
            </w:r>
          </w:p>
        </w:tc>
        <w:tc>
          <w:tcPr>
            <w:tcW w:w="1296" w:type="dxa"/>
            <w:tcBorders>
              <w:top w:val="nil"/>
              <w:left w:val="nil"/>
              <w:bottom w:val="single" w:color="auto" w:sz="8" w:space="0"/>
              <w:right w:val="single" w:color="auto" w:sz="8" w:space="0"/>
            </w:tcBorders>
            <w:tcMar>
              <w:top w:w="0" w:type="dxa"/>
              <w:left w:w="108" w:type="dxa"/>
              <w:bottom w:w="0" w:type="dxa"/>
              <w:right w:w="108" w:type="dxa"/>
            </w:tcMar>
            <w:vAlign w:val="center"/>
          </w:tcPr>
          <w:p w14:paraId="1911B3BF">
            <w:pPr>
              <w:spacing w:line="240" w:lineRule="exact"/>
              <w:rPr>
                <w:rFonts w:ascii="宋体" w:hAnsi="宋体" w:eastAsia="宋体" w:cs="宋体"/>
                <w:sz w:val="18"/>
                <w:szCs w:val="18"/>
              </w:rPr>
            </w:pPr>
            <w:r>
              <w:rPr>
                <w:rFonts w:hint="eastAsia" w:ascii="宋体" w:hAnsi="宋体" w:eastAsia="宋体" w:cs="宋体"/>
                <w:sz w:val="18"/>
                <w:szCs w:val="18"/>
              </w:rPr>
              <w:t>转销</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center"/>
          </w:tcPr>
          <w:p w14:paraId="63B19B90">
            <w:pPr>
              <w:spacing w:line="240" w:lineRule="exact"/>
              <w:rPr>
                <w:rFonts w:ascii="宋体" w:hAnsi="宋体" w:eastAsia="宋体" w:cs="宋体"/>
                <w:sz w:val="18"/>
                <w:szCs w:val="18"/>
              </w:rPr>
            </w:pPr>
            <w:r>
              <w:rPr>
                <w:rFonts w:hint="eastAsia" w:ascii="宋体" w:hAnsi="宋体" w:eastAsia="宋体" w:cs="宋体"/>
                <w:sz w:val="18"/>
                <w:szCs w:val="18"/>
              </w:rPr>
              <w:t>其他</w:t>
            </w:r>
          </w:p>
        </w:tc>
        <w:tc>
          <w:tcPr>
            <w:tcW w:w="1553" w:type="dxa"/>
            <w:vMerge w:val="continue"/>
            <w:tcBorders>
              <w:top w:val="single" w:color="auto" w:sz="8" w:space="0"/>
              <w:left w:val="nil"/>
              <w:bottom w:val="single" w:color="auto" w:sz="8" w:space="0"/>
              <w:right w:val="single" w:color="auto" w:sz="8" w:space="0"/>
            </w:tcBorders>
            <w:vAlign w:val="center"/>
          </w:tcPr>
          <w:p w14:paraId="1E065409">
            <w:pPr>
              <w:spacing w:line="240" w:lineRule="exact"/>
              <w:rPr>
                <w:rFonts w:ascii="宋体" w:hAnsi="宋体" w:eastAsia="宋体" w:cs="宋体"/>
                <w:sz w:val="18"/>
                <w:szCs w:val="18"/>
              </w:rPr>
            </w:pPr>
          </w:p>
        </w:tc>
      </w:tr>
      <w:tr w14:paraId="183EB35F">
        <w:tblPrEx>
          <w:tblCellMar>
            <w:top w:w="0" w:type="dxa"/>
            <w:left w:w="0" w:type="dxa"/>
            <w:bottom w:w="0" w:type="dxa"/>
            <w:right w:w="0" w:type="dxa"/>
          </w:tblCellMar>
        </w:tblPrEx>
        <w:trPr>
          <w:trHeight w:val="340" w:hRule="atLeast"/>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7F6800">
            <w:pPr>
              <w:spacing w:line="240" w:lineRule="exact"/>
              <w:rPr>
                <w:rFonts w:ascii="宋体" w:hAnsi="宋体" w:eastAsia="宋体" w:cs="宋体"/>
                <w:sz w:val="18"/>
                <w:szCs w:val="18"/>
              </w:rPr>
            </w:pPr>
            <w:r>
              <w:rPr>
                <w:rFonts w:hint="eastAsia" w:ascii="宋体" w:hAnsi="宋体" w:eastAsia="宋体" w:cs="宋体"/>
                <w:sz w:val="18"/>
                <w:szCs w:val="18"/>
              </w:rPr>
              <w:t>原材料</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06BADEAE">
            <w:pPr>
              <w:spacing w:line="240" w:lineRule="exact"/>
              <w:jc w:val="right"/>
              <w:rPr>
                <w:rFonts w:ascii="宋体" w:hAnsi="宋体" w:eastAsia="宋体" w:cs="宋体"/>
                <w:sz w:val="18"/>
                <w:szCs w:val="18"/>
              </w:rPr>
            </w:pPr>
            <w:r>
              <w:rPr>
                <w:rFonts w:ascii="宋体" w:hAnsi="宋体" w:eastAsia="宋体" w:cs="宋体"/>
                <w:sz w:val="18"/>
                <w:szCs w:val="18"/>
              </w:rPr>
              <w:t>5,738,451.24</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14:paraId="0FFC069C">
            <w:pPr>
              <w:spacing w:line="240" w:lineRule="exact"/>
              <w:jc w:val="right"/>
              <w:rPr>
                <w:rFonts w:ascii="宋体" w:hAnsi="宋体" w:eastAsia="宋体" w:cs="宋体"/>
                <w:sz w:val="18"/>
                <w:szCs w:val="18"/>
              </w:rPr>
            </w:pPr>
            <w:r>
              <w:rPr>
                <w:rFonts w:ascii="宋体" w:hAnsi="宋体" w:eastAsia="宋体" w:cs="宋体"/>
                <w:sz w:val="18"/>
                <w:szCs w:val="18"/>
              </w:rPr>
              <w:t> </w:t>
            </w:r>
          </w:p>
        </w:tc>
        <w:tc>
          <w:tcPr>
            <w:tcW w:w="668" w:type="dxa"/>
            <w:tcBorders>
              <w:top w:val="nil"/>
              <w:left w:val="nil"/>
              <w:bottom w:val="single" w:color="auto" w:sz="8" w:space="0"/>
              <w:right w:val="single" w:color="auto" w:sz="8" w:space="0"/>
            </w:tcBorders>
            <w:tcMar>
              <w:top w:w="0" w:type="dxa"/>
              <w:left w:w="108" w:type="dxa"/>
              <w:bottom w:w="0" w:type="dxa"/>
              <w:right w:w="108" w:type="dxa"/>
            </w:tcMar>
            <w:vAlign w:val="center"/>
          </w:tcPr>
          <w:p w14:paraId="1FAE3F30">
            <w:pPr>
              <w:spacing w:line="240" w:lineRule="exact"/>
              <w:jc w:val="right"/>
              <w:rPr>
                <w:rFonts w:ascii="宋体" w:hAnsi="宋体" w:eastAsia="宋体" w:cs="宋体"/>
                <w:sz w:val="18"/>
                <w:szCs w:val="18"/>
              </w:rPr>
            </w:pPr>
            <w:r>
              <w:rPr>
                <w:rFonts w:ascii="宋体" w:hAnsi="宋体" w:eastAsia="宋体" w:cs="宋体"/>
                <w:sz w:val="18"/>
                <w:szCs w:val="18"/>
              </w:rPr>
              <w:t> </w:t>
            </w:r>
          </w:p>
        </w:tc>
        <w:tc>
          <w:tcPr>
            <w:tcW w:w="1296" w:type="dxa"/>
            <w:tcBorders>
              <w:top w:val="nil"/>
              <w:left w:val="nil"/>
              <w:bottom w:val="single" w:color="auto" w:sz="8" w:space="0"/>
              <w:right w:val="single" w:color="auto" w:sz="8" w:space="0"/>
            </w:tcBorders>
            <w:tcMar>
              <w:top w:w="0" w:type="dxa"/>
              <w:left w:w="108" w:type="dxa"/>
              <w:bottom w:w="0" w:type="dxa"/>
              <w:right w:w="108" w:type="dxa"/>
            </w:tcMar>
            <w:vAlign w:val="center"/>
          </w:tcPr>
          <w:p w14:paraId="223B72EF">
            <w:pPr>
              <w:spacing w:line="240" w:lineRule="exact"/>
              <w:jc w:val="right"/>
              <w:rPr>
                <w:rFonts w:ascii="宋体" w:hAnsi="宋体" w:eastAsia="宋体" w:cs="宋体"/>
                <w:sz w:val="18"/>
                <w:szCs w:val="18"/>
              </w:rPr>
            </w:pPr>
            <w:r>
              <w:rPr>
                <w:rFonts w:ascii="宋体" w:hAnsi="宋体" w:eastAsia="宋体" w:cs="宋体"/>
                <w:sz w:val="18"/>
                <w:szCs w:val="18"/>
              </w:rPr>
              <w:t>5,179,609.33</w:t>
            </w:r>
          </w:p>
        </w:tc>
        <w:tc>
          <w:tcPr>
            <w:tcW w:w="1296" w:type="dxa"/>
            <w:tcBorders>
              <w:top w:val="nil"/>
              <w:left w:val="nil"/>
              <w:bottom w:val="single" w:color="auto" w:sz="8" w:space="0"/>
              <w:right w:val="single" w:color="auto" w:sz="8" w:space="0"/>
            </w:tcBorders>
            <w:tcMar>
              <w:top w:w="0" w:type="dxa"/>
              <w:left w:w="108" w:type="dxa"/>
              <w:bottom w:w="0" w:type="dxa"/>
              <w:right w:w="108" w:type="dxa"/>
            </w:tcMar>
            <w:vAlign w:val="center"/>
          </w:tcPr>
          <w:p w14:paraId="71ADB652">
            <w:pPr>
              <w:spacing w:line="240" w:lineRule="exact"/>
              <w:jc w:val="right"/>
              <w:rPr>
                <w:rFonts w:ascii="宋体" w:hAnsi="宋体" w:eastAsia="宋体" w:cs="宋体"/>
                <w:sz w:val="18"/>
                <w:szCs w:val="18"/>
              </w:rPr>
            </w:pPr>
            <w:r>
              <w:rPr>
                <w:rFonts w:ascii="宋体" w:hAnsi="宋体" w:eastAsia="宋体" w:cs="宋体"/>
                <w:sz w:val="18"/>
                <w:szCs w:val="18"/>
              </w:rPr>
              <w:t> </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center"/>
          </w:tcPr>
          <w:p w14:paraId="0B5E2AB7">
            <w:pPr>
              <w:spacing w:line="240" w:lineRule="exact"/>
              <w:jc w:val="right"/>
              <w:rPr>
                <w:rFonts w:ascii="宋体" w:hAnsi="宋体" w:eastAsia="宋体" w:cs="宋体"/>
                <w:sz w:val="18"/>
                <w:szCs w:val="18"/>
              </w:rPr>
            </w:pPr>
            <w:r>
              <w:rPr>
                <w:rFonts w:ascii="宋体" w:hAnsi="宋体" w:eastAsia="宋体" w:cs="宋体"/>
                <w:sz w:val="18"/>
                <w:szCs w:val="18"/>
              </w:rPr>
              <w:t>269.97</w:t>
            </w:r>
          </w:p>
        </w:tc>
        <w:tc>
          <w:tcPr>
            <w:tcW w:w="1553" w:type="dxa"/>
            <w:tcBorders>
              <w:top w:val="nil"/>
              <w:left w:val="nil"/>
              <w:bottom w:val="single" w:color="auto" w:sz="8" w:space="0"/>
              <w:right w:val="single" w:color="auto" w:sz="8" w:space="0"/>
            </w:tcBorders>
            <w:tcMar>
              <w:top w:w="0" w:type="dxa"/>
              <w:left w:w="108" w:type="dxa"/>
              <w:bottom w:w="0" w:type="dxa"/>
              <w:right w:w="108" w:type="dxa"/>
            </w:tcMar>
            <w:vAlign w:val="center"/>
          </w:tcPr>
          <w:p w14:paraId="01A3BE9A">
            <w:pPr>
              <w:spacing w:line="240" w:lineRule="exact"/>
              <w:jc w:val="right"/>
              <w:rPr>
                <w:rFonts w:ascii="宋体" w:hAnsi="宋体" w:eastAsia="宋体" w:cs="宋体"/>
                <w:sz w:val="18"/>
                <w:szCs w:val="18"/>
              </w:rPr>
            </w:pPr>
            <w:r>
              <w:rPr>
                <w:rFonts w:ascii="宋体" w:hAnsi="宋体" w:eastAsia="宋体" w:cs="宋体"/>
                <w:sz w:val="18"/>
                <w:szCs w:val="18"/>
              </w:rPr>
              <w:t>558,571.94</w:t>
            </w:r>
          </w:p>
        </w:tc>
      </w:tr>
      <w:tr w14:paraId="6119882A">
        <w:tblPrEx>
          <w:tblCellMar>
            <w:top w:w="0" w:type="dxa"/>
            <w:left w:w="0" w:type="dxa"/>
            <w:bottom w:w="0" w:type="dxa"/>
            <w:right w:w="0" w:type="dxa"/>
          </w:tblCellMar>
        </w:tblPrEx>
        <w:trPr>
          <w:trHeight w:val="340" w:hRule="atLeast"/>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138892">
            <w:pPr>
              <w:spacing w:line="240" w:lineRule="exact"/>
              <w:rPr>
                <w:rFonts w:ascii="宋体" w:hAnsi="宋体" w:eastAsia="宋体" w:cs="宋体"/>
                <w:sz w:val="18"/>
                <w:szCs w:val="18"/>
              </w:rPr>
            </w:pPr>
            <w:r>
              <w:rPr>
                <w:rFonts w:hint="eastAsia" w:ascii="宋体" w:hAnsi="宋体" w:eastAsia="宋体" w:cs="宋体"/>
                <w:sz w:val="18"/>
                <w:szCs w:val="18"/>
              </w:rPr>
              <w:t>在产品</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39CC60B4">
            <w:pPr>
              <w:spacing w:line="240" w:lineRule="exact"/>
              <w:jc w:val="right"/>
              <w:rPr>
                <w:rFonts w:ascii="宋体" w:hAnsi="宋体" w:eastAsia="宋体" w:cs="宋体"/>
                <w:sz w:val="18"/>
                <w:szCs w:val="18"/>
              </w:rPr>
            </w:pPr>
            <w:r>
              <w:rPr>
                <w:rFonts w:ascii="宋体" w:hAnsi="宋体" w:eastAsia="宋体" w:cs="宋体"/>
                <w:sz w:val="18"/>
                <w:szCs w:val="18"/>
              </w:rPr>
              <w:t>4,868,046.91</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14:paraId="363AD832">
            <w:pPr>
              <w:spacing w:line="240" w:lineRule="exact"/>
              <w:jc w:val="right"/>
              <w:rPr>
                <w:rFonts w:ascii="宋体" w:hAnsi="宋体" w:eastAsia="宋体" w:cs="宋体"/>
                <w:sz w:val="18"/>
                <w:szCs w:val="18"/>
              </w:rPr>
            </w:pPr>
            <w:r>
              <w:rPr>
                <w:rFonts w:ascii="宋体" w:hAnsi="宋体" w:eastAsia="宋体" w:cs="宋体"/>
                <w:sz w:val="18"/>
                <w:szCs w:val="18"/>
              </w:rPr>
              <w:t>1,501,479.51</w:t>
            </w:r>
          </w:p>
        </w:tc>
        <w:tc>
          <w:tcPr>
            <w:tcW w:w="668" w:type="dxa"/>
            <w:tcBorders>
              <w:top w:val="nil"/>
              <w:left w:val="nil"/>
              <w:bottom w:val="single" w:color="auto" w:sz="8" w:space="0"/>
              <w:right w:val="single" w:color="auto" w:sz="8" w:space="0"/>
            </w:tcBorders>
            <w:tcMar>
              <w:top w:w="0" w:type="dxa"/>
              <w:left w:w="108" w:type="dxa"/>
              <w:bottom w:w="0" w:type="dxa"/>
              <w:right w:w="108" w:type="dxa"/>
            </w:tcMar>
            <w:vAlign w:val="center"/>
          </w:tcPr>
          <w:p w14:paraId="53BD7C33">
            <w:pPr>
              <w:spacing w:line="240" w:lineRule="exact"/>
              <w:jc w:val="right"/>
              <w:rPr>
                <w:rFonts w:ascii="宋体" w:hAnsi="宋体" w:eastAsia="宋体" w:cs="宋体"/>
                <w:sz w:val="18"/>
                <w:szCs w:val="18"/>
              </w:rPr>
            </w:pPr>
            <w:r>
              <w:rPr>
                <w:rFonts w:ascii="宋体" w:hAnsi="宋体" w:eastAsia="宋体" w:cs="宋体"/>
                <w:sz w:val="18"/>
                <w:szCs w:val="18"/>
              </w:rPr>
              <w:t> </w:t>
            </w:r>
          </w:p>
        </w:tc>
        <w:tc>
          <w:tcPr>
            <w:tcW w:w="1296" w:type="dxa"/>
            <w:tcBorders>
              <w:top w:val="nil"/>
              <w:left w:val="nil"/>
              <w:bottom w:val="single" w:color="auto" w:sz="8" w:space="0"/>
              <w:right w:val="single" w:color="auto" w:sz="8" w:space="0"/>
            </w:tcBorders>
            <w:tcMar>
              <w:top w:w="0" w:type="dxa"/>
              <w:left w:w="108" w:type="dxa"/>
              <w:bottom w:w="0" w:type="dxa"/>
              <w:right w:w="108" w:type="dxa"/>
            </w:tcMar>
            <w:vAlign w:val="center"/>
          </w:tcPr>
          <w:p w14:paraId="15866731">
            <w:pPr>
              <w:spacing w:line="240" w:lineRule="exact"/>
              <w:jc w:val="right"/>
              <w:rPr>
                <w:rFonts w:ascii="宋体" w:hAnsi="宋体" w:eastAsia="宋体" w:cs="宋体"/>
                <w:sz w:val="18"/>
                <w:szCs w:val="18"/>
              </w:rPr>
            </w:pPr>
            <w:r>
              <w:rPr>
                <w:rFonts w:ascii="宋体" w:hAnsi="宋体" w:eastAsia="宋体" w:cs="宋体"/>
                <w:sz w:val="18"/>
                <w:szCs w:val="18"/>
              </w:rPr>
              <w:t> </w:t>
            </w:r>
          </w:p>
        </w:tc>
        <w:tc>
          <w:tcPr>
            <w:tcW w:w="1296" w:type="dxa"/>
            <w:tcBorders>
              <w:top w:val="nil"/>
              <w:left w:val="nil"/>
              <w:bottom w:val="single" w:color="auto" w:sz="8" w:space="0"/>
              <w:right w:val="single" w:color="auto" w:sz="8" w:space="0"/>
            </w:tcBorders>
            <w:tcMar>
              <w:top w:w="0" w:type="dxa"/>
              <w:left w:w="108" w:type="dxa"/>
              <w:bottom w:w="0" w:type="dxa"/>
              <w:right w:w="108" w:type="dxa"/>
            </w:tcMar>
            <w:vAlign w:val="center"/>
          </w:tcPr>
          <w:p w14:paraId="7C29FFD1">
            <w:pPr>
              <w:spacing w:line="240" w:lineRule="exact"/>
              <w:jc w:val="right"/>
              <w:rPr>
                <w:rFonts w:ascii="宋体" w:hAnsi="宋体" w:eastAsia="宋体" w:cs="宋体"/>
                <w:sz w:val="18"/>
                <w:szCs w:val="18"/>
              </w:rPr>
            </w:pPr>
            <w:r>
              <w:rPr>
                <w:rFonts w:ascii="宋体" w:hAnsi="宋体" w:eastAsia="宋体" w:cs="宋体"/>
                <w:sz w:val="18"/>
                <w:szCs w:val="18"/>
              </w:rPr>
              <w:t>499,409.57</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center"/>
          </w:tcPr>
          <w:p w14:paraId="2463E0F3">
            <w:pPr>
              <w:spacing w:line="240" w:lineRule="exact"/>
              <w:jc w:val="right"/>
              <w:rPr>
                <w:rFonts w:ascii="宋体" w:hAnsi="宋体" w:eastAsia="宋体" w:cs="宋体"/>
                <w:sz w:val="18"/>
                <w:szCs w:val="18"/>
              </w:rPr>
            </w:pPr>
            <w:r>
              <w:rPr>
                <w:rFonts w:ascii="宋体" w:hAnsi="宋体" w:eastAsia="宋体" w:cs="宋体"/>
                <w:sz w:val="18"/>
                <w:szCs w:val="18"/>
              </w:rPr>
              <w:t>14,822.23</w:t>
            </w:r>
          </w:p>
        </w:tc>
        <w:tc>
          <w:tcPr>
            <w:tcW w:w="1553" w:type="dxa"/>
            <w:tcBorders>
              <w:top w:val="nil"/>
              <w:left w:val="nil"/>
              <w:bottom w:val="single" w:color="auto" w:sz="8" w:space="0"/>
              <w:right w:val="single" w:color="auto" w:sz="8" w:space="0"/>
            </w:tcBorders>
            <w:tcMar>
              <w:top w:w="0" w:type="dxa"/>
              <w:left w:w="108" w:type="dxa"/>
              <w:bottom w:w="0" w:type="dxa"/>
              <w:right w:w="108" w:type="dxa"/>
            </w:tcMar>
            <w:vAlign w:val="center"/>
          </w:tcPr>
          <w:p w14:paraId="36FB745C">
            <w:pPr>
              <w:spacing w:line="240" w:lineRule="exact"/>
              <w:jc w:val="right"/>
              <w:rPr>
                <w:rFonts w:ascii="宋体" w:hAnsi="宋体" w:eastAsia="宋体" w:cs="宋体"/>
                <w:sz w:val="18"/>
                <w:szCs w:val="18"/>
              </w:rPr>
            </w:pPr>
            <w:r>
              <w:rPr>
                <w:rFonts w:ascii="宋体" w:hAnsi="宋体" w:eastAsia="宋体" w:cs="宋体"/>
                <w:sz w:val="18"/>
                <w:szCs w:val="18"/>
              </w:rPr>
              <w:t>5,855,294.62</w:t>
            </w:r>
          </w:p>
        </w:tc>
      </w:tr>
      <w:tr w14:paraId="0F714C13">
        <w:tblPrEx>
          <w:tblCellMar>
            <w:top w:w="0" w:type="dxa"/>
            <w:left w:w="0" w:type="dxa"/>
            <w:bottom w:w="0" w:type="dxa"/>
            <w:right w:w="0" w:type="dxa"/>
          </w:tblCellMar>
        </w:tblPrEx>
        <w:trPr>
          <w:trHeight w:val="340" w:hRule="atLeast"/>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8DE071">
            <w:pPr>
              <w:spacing w:line="240" w:lineRule="exact"/>
              <w:rPr>
                <w:rFonts w:ascii="宋体" w:hAnsi="宋体" w:eastAsia="宋体" w:cs="宋体"/>
                <w:sz w:val="18"/>
                <w:szCs w:val="18"/>
              </w:rPr>
            </w:pPr>
            <w:r>
              <w:rPr>
                <w:rFonts w:hint="eastAsia" w:ascii="宋体" w:hAnsi="宋体" w:eastAsia="宋体" w:cs="宋体"/>
                <w:sz w:val="18"/>
                <w:szCs w:val="18"/>
              </w:rPr>
              <w:t>库存商品</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4BB61E03">
            <w:pPr>
              <w:spacing w:line="240" w:lineRule="exact"/>
              <w:jc w:val="right"/>
              <w:rPr>
                <w:rFonts w:ascii="宋体" w:hAnsi="宋体" w:eastAsia="宋体" w:cs="宋体"/>
                <w:sz w:val="18"/>
                <w:szCs w:val="18"/>
              </w:rPr>
            </w:pPr>
            <w:r>
              <w:rPr>
                <w:rFonts w:ascii="宋体" w:hAnsi="宋体" w:eastAsia="宋体" w:cs="宋体"/>
                <w:sz w:val="18"/>
                <w:szCs w:val="18"/>
              </w:rPr>
              <w:t>75,380,632.68</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14:paraId="4961B1AA">
            <w:pPr>
              <w:spacing w:line="240" w:lineRule="exact"/>
              <w:jc w:val="right"/>
              <w:rPr>
                <w:rFonts w:ascii="宋体" w:hAnsi="宋体" w:eastAsia="宋体" w:cs="宋体"/>
                <w:sz w:val="18"/>
                <w:szCs w:val="18"/>
              </w:rPr>
            </w:pPr>
            <w:r>
              <w:rPr>
                <w:rFonts w:ascii="宋体" w:hAnsi="宋体" w:eastAsia="宋体" w:cs="宋体"/>
                <w:sz w:val="18"/>
                <w:szCs w:val="18"/>
              </w:rPr>
              <w:t>8,820,000.90</w:t>
            </w:r>
          </w:p>
        </w:tc>
        <w:tc>
          <w:tcPr>
            <w:tcW w:w="668" w:type="dxa"/>
            <w:tcBorders>
              <w:top w:val="nil"/>
              <w:left w:val="nil"/>
              <w:bottom w:val="single" w:color="auto" w:sz="8" w:space="0"/>
              <w:right w:val="single" w:color="auto" w:sz="8" w:space="0"/>
            </w:tcBorders>
            <w:tcMar>
              <w:top w:w="0" w:type="dxa"/>
              <w:left w:w="108" w:type="dxa"/>
              <w:bottom w:w="0" w:type="dxa"/>
              <w:right w:w="108" w:type="dxa"/>
            </w:tcMar>
            <w:vAlign w:val="center"/>
          </w:tcPr>
          <w:p w14:paraId="47378B43">
            <w:pPr>
              <w:spacing w:line="240" w:lineRule="exact"/>
              <w:jc w:val="right"/>
              <w:rPr>
                <w:rFonts w:ascii="宋体" w:hAnsi="宋体" w:eastAsia="宋体" w:cs="宋体"/>
                <w:sz w:val="18"/>
                <w:szCs w:val="18"/>
              </w:rPr>
            </w:pPr>
            <w:r>
              <w:rPr>
                <w:rFonts w:ascii="宋体" w:hAnsi="宋体" w:eastAsia="宋体" w:cs="宋体"/>
                <w:sz w:val="18"/>
                <w:szCs w:val="18"/>
              </w:rPr>
              <w:t> </w:t>
            </w:r>
          </w:p>
        </w:tc>
        <w:tc>
          <w:tcPr>
            <w:tcW w:w="1296" w:type="dxa"/>
            <w:tcBorders>
              <w:top w:val="nil"/>
              <w:left w:val="nil"/>
              <w:bottom w:val="single" w:color="auto" w:sz="8" w:space="0"/>
              <w:right w:val="single" w:color="auto" w:sz="8" w:space="0"/>
            </w:tcBorders>
            <w:tcMar>
              <w:top w:w="0" w:type="dxa"/>
              <w:left w:w="108" w:type="dxa"/>
              <w:bottom w:w="0" w:type="dxa"/>
              <w:right w:w="108" w:type="dxa"/>
            </w:tcMar>
            <w:vAlign w:val="center"/>
          </w:tcPr>
          <w:p w14:paraId="5395A92F">
            <w:pPr>
              <w:spacing w:line="240" w:lineRule="exact"/>
              <w:jc w:val="right"/>
              <w:rPr>
                <w:rFonts w:ascii="宋体" w:hAnsi="宋体" w:eastAsia="宋体" w:cs="宋体"/>
                <w:sz w:val="18"/>
                <w:szCs w:val="18"/>
              </w:rPr>
            </w:pPr>
            <w:r>
              <w:rPr>
                <w:rFonts w:ascii="宋体" w:hAnsi="宋体" w:eastAsia="宋体" w:cs="宋体"/>
                <w:sz w:val="18"/>
                <w:szCs w:val="18"/>
              </w:rPr>
              <w:t> </w:t>
            </w:r>
          </w:p>
        </w:tc>
        <w:tc>
          <w:tcPr>
            <w:tcW w:w="1296" w:type="dxa"/>
            <w:tcBorders>
              <w:top w:val="nil"/>
              <w:left w:val="nil"/>
              <w:bottom w:val="single" w:color="auto" w:sz="8" w:space="0"/>
              <w:right w:val="single" w:color="auto" w:sz="8" w:space="0"/>
            </w:tcBorders>
            <w:tcMar>
              <w:top w:w="0" w:type="dxa"/>
              <w:left w:w="108" w:type="dxa"/>
              <w:bottom w:w="0" w:type="dxa"/>
              <w:right w:w="108" w:type="dxa"/>
            </w:tcMar>
            <w:vAlign w:val="center"/>
          </w:tcPr>
          <w:p w14:paraId="58AE5BFD">
            <w:pPr>
              <w:spacing w:line="240" w:lineRule="exact"/>
              <w:jc w:val="right"/>
              <w:rPr>
                <w:rFonts w:ascii="宋体" w:hAnsi="宋体" w:eastAsia="宋体" w:cs="宋体"/>
                <w:sz w:val="18"/>
                <w:szCs w:val="18"/>
              </w:rPr>
            </w:pPr>
            <w:r>
              <w:rPr>
                <w:rFonts w:ascii="宋体" w:hAnsi="宋体" w:eastAsia="宋体" w:cs="宋体"/>
                <w:sz w:val="18"/>
                <w:szCs w:val="18"/>
              </w:rPr>
              <w:t>7,401,563.61</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center"/>
          </w:tcPr>
          <w:p w14:paraId="59909C91">
            <w:pPr>
              <w:spacing w:line="240" w:lineRule="exact"/>
              <w:jc w:val="right"/>
              <w:rPr>
                <w:rFonts w:ascii="宋体" w:hAnsi="宋体" w:eastAsia="宋体" w:cs="宋体"/>
                <w:sz w:val="18"/>
                <w:szCs w:val="18"/>
              </w:rPr>
            </w:pPr>
            <w:r>
              <w:rPr>
                <w:rFonts w:ascii="宋体" w:hAnsi="宋体" w:eastAsia="宋体" w:cs="宋体"/>
                <w:sz w:val="18"/>
                <w:szCs w:val="18"/>
              </w:rPr>
              <w:t>651,275.70</w:t>
            </w:r>
          </w:p>
        </w:tc>
        <w:tc>
          <w:tcPr>
            <w:tcW w:w="1553" w:type="dxa"/>
            <w:tcBorders>
              <w:top w:val="nil"/>
              <w:left w:val="nil"/>
              <w:bottom w:val="single" w:color="auto" w:sz="8" w:space="0"/>
              <w:right w:val="single" w:color="auto" w:sz="8" w:space="0"/>
            </w:tcBorders>
            <w:tcMar>
              <w:top w:w="0" w:type="dxa"/>
              <w:left w:w="108" w:type="dxa"/>
              <w:bottom w:w="0" w:type="dxa"/>
              <w:right w:w="108" w:type="dxa"/>
            </w:tcMar>
            <w:vAlign w:val="center"/>
          </w:tcPr>
          <w:p w14:paraId="36BC2DDA">
            <w:pPr>
              <w:spacing w:line="240" w:lineRule="exact"/>
              <w:jc w:val="right"/>
              <w:rPr>
                <w:rFonts w:ascii="宋体" w:hAnsi="宋体" w:eastAsia="宋体" w:cs="宋体"/>
                <w:sz w:val="18"/>
                <w:szCs w:val="18"/>
              </w:rPr>
            </w:pPr>
            <w:r>
              <w:rPr>
                <w:rFonts w:ascii="宋体" w:hAnsi="宋体" w:eastAsia="宋体" w:cs="宋体"/>
                <w:sz w:val="18"/>
                <w:szCs w:val="18"/>
              </w:rPr>
              <w:t>76,147,794.27</w:t>
            </w:r>
          </w:p>
        </w:tc>
      </w:tr>
      <w:tr w14:paraId="40731B59">
        <w:tblPrEx>
          <w:tblCellMar>
            <w:top w:w="0" w:type="dxa"/>
            <w:left w:w="0" w:type="dxa"/>
            <w:bottom w:w="0" w:type="dxa"/>
            <w:right w:w="0" w:type="dxa"/>
          </w:tblCellMar>
        </w:tblPrEx>
        <w:trPr>
          <w:trHeight w:val="340" w:hRule="atLeast"/>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F89A56">
            <w:pPr>
              <w:spacing w:line="240" w:lineRule="exact"/>
              <w:rPr>
                <w:rFonts w:ascii="宋体" w:hAnsi="宋体" w:eastAsia="宋体" w:cs="宋体"/>
                <w:sz w:val="18"/>
                <w:szCs w:val="18"/>
              </w:rPr>
            </w:pPr>
            <w:r>
              <w:rPr>
                <w:rFonts w:hint="eastAsia" w:ascii="宋体" w:hAnsi="宋体" w:eastAsia="宋体" w:cs="宋体"/>
                <w:sz w:val="18"/>
                <w:szCs w:val="18"/>
              </w:rPr>
              <w:t>合计</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14:paraId="796A7B06">
            <w:pPr>
              <w:spacing w:line="240" w:lineRule="exact"/>
              <w:jc w:val="right"/>
              <w:rPr>
                <w:rFonts w:ascii="宋体" w:hAnsi="宋体" w:eastAsia="宋体" w:cs="宋体"/>
                <w:sz w:val="18"/>
                <w:szCs w:val="18"/>
              </w:rPr>
            </w:pPr>
            <w:r>
              <w:rPr>
                <w:rFonts w:ascii="宋体" w:hAnsi="宋体" w:eastAsia="宋体" w:cs="宋体"/>
                <w:sz w:val="18"/>
                <w:szCs w:val="18"/>
              </w:rPr>
              <w:t>85,987,130.83</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14:paraId="217604D4">
            <w:pPr>
              <w:spacing w:line="240" w:lineRule="exact"/>
              <w:jc w:val="right"/>
              <w:rPr>
                <w:rFonts w:ascii="宋体" w:hAnsi="宋体" w:eastAsia="宋体" w:cs="宋体"/>
                <w:sz w:val="18"/>
                <w:szCs w:val="18"/>
              </w:rPr>
            </w:pPr>
            <w:r>
              <w:rPr>
                <w:rFonts w:ascii="宋体" w:hAnsi="宋体" w:eastAsia="宋体" w:cs="宋体"/>
                <w:sz w:val="18"/>
                <w:szCs w:val="18"/>
              </w:rPr>
              <w:t>10,321,480.41</w:t>
            </w:r>
          </w:p>
        </w:tc>
        <w:tc>
          <w:tcPr>
            <w:tcW w:w="668" w:type="dxa"/>
            <w:tcBorders>
              <w:top w:val="nil"/>
              <w:left w:val="nil"/>
              <w:bottom w:val="single" w:color="auto" w:sz="8" w:space="0"/>
              <w:right w:val="single" w:color="auto" w:sz="8" w:space="0"/>
            </w:tcBorders>
            <w:tcMar>
              <w:top w:w="0" w:type="dxa"/>
              <w:left w:w="108" w:type="dxa"/>
              <w:bottom w:w="0" w:type="dxa"/>
              <w:right w:w="108" w:type="dxa"/>
            </w:tcMar>
            <w:vAlign w:val="center"/>
          </w:tcPr>
          <w:p w14:paraId="5481D648">
            <w:pPr>
              <w:spacing w:line="240" w:lineRule="exact"/>
              <w:jc w:val="right"/>
              <w:rPr>
                <w:rFonts w:ascii="宋体" w:hAnsi="宋体" w:eastAsia="宋体" w:cs="宋体"/>
                <w:sz w:val="18"/>
                <w:szCs w:val="18"/>
              </w:rPr>
            </w:pPr>
            <w:r>
              <w:rPr>
                <w:rFonts w:ascii="宋体" w:hAnsi="宋体" w:eastAsia="宋体" w:cs="宋体"/>
                <w:sz w:val="18"/>
                <w:szCs w:val="18"/>
              </w:rPr>
              <w:t> </w:t>
            </w:r>
          </w:p>
        </w:tc>
        <w:tc>
          <w:tcPr>
            <w:tcW w:w="1296" w:type="dxa"/>
            <w:tcBorders>
              <w:top w:val="nil"/>
              <w:left w:val="nil"/>
              <w:bottom w:val="single" w:color="auto" w:sz="8" w:space="0"/>
              <w:right w:val="single" w:color="auto" w:sz="8" w:space="0"/>
            </w:tcBorders>
            <w:tcMar>
              <w:top w:w="0" w:type="dxa"/>
              <w:left w:w="108" w:type="dxa"/>
              <w:bottom w:w="0" w:type="dxa"/>
              <w:right w:w="108" w:type="dxa"/>
            </w:tcMar>
            <w:vAlign w:val="center"/>
          </w:tcPr>
          <w:p w14:paraId="4014F22A">
            <w:pPr>
              <w:spacing w:line="240" w:lineRule="exact"/>
              <w:jc w:val="right"/>
              <w:rPr>
                <w:rFonts w:ascii="宋体" w:hAnsi="宋体" w:eastAsia="宋体" w:cs="宋体"/>
                <w:sz w:val="18"/>
                <w:szCs w:val="18"/>
              </w:rPr>
            </w:pPr>
            <w:r>
              <w:rPr>
                <w:rFonts w:ascii="宋体" w:hAnsi="宋体" w:eastAsia="宋体" w:cs="宋体"/>
                <w:sz w:val="18"/>
                <w:szCs w:val="18"/>
              </w:rPr>
              <w:t>5,179,609.33</w:t>
            </w:r>
          </w:p>
        </w:tc>
        <w:tc>
          <w:tcPr>
            <w:tcW w:w="1296" w:type="dxa"/>
            <w:tcBorders>
              <w:top w:val="nil"/>
              <w:left w:val="nil"/>
              <w:bottom w:val="single" w:color="auto" w:sz="8" w:space="0"/>
              <w:right w:val="single" w:color="auto" w:sz="8" w:space="0"/>
            </w:tcBorders>
            <w:tcMar>
              <w:top w:w="0" w:type="dxa"/>
              <w:left w:w="108" w:type="dxa"/>
              <w:bottom w:w="0" w:type="dxa"/>
              <w:right w:w="108" w:type="dxa"/>
            </w:tcMar>
            <w:vAlign w:val="center"/>
          </w:tcPr>
          <w:p w14:paraId="4117325B">
            <w:pPr>
              <w:spacing w:line="240" w:lineRule="exact"/>
              <w:jc w:val="right"/>
              <w:rPr>
                <w:rFonts w:ascii="宋体" w:hAnsi="宋体" w:eastAsia="宋体" w:cs="宋体"/>
                <w:sz w:val="18"/>
                <w:szCs w:val="18"/>
              </w:rPr>
            </w:pPr>
            <w:r>
              <w:rPr>
                <w:rFonts w:ascii="宋体" w:hAnsi="宋体" w:eastAsia="宋体" w:cs="宋体"/>
                <w:sz w:val="18"/>
                <w:szCs w:val="18"/>
              </w:rPr>
              <w:t>7,900,973.18</w:t>
            </w:r>
          </w:p>
        </w:tc>
        <w:tc>
          <w:tcPr>
            <w:tcW w:w="1140" w:type="dxa"/>
            <w:tcBorders>
              <w:top w:val="nil"/>
              <w:left w:val="nil"/>
              <w:bottom w:val="single" w:color="auto" w:sz="8" w:space="0"/>
              <w:right w:val="single" w:color="auto" w:sz="8" w:space="0"/>
            </w:tcBorders>
            <w:tcMar>
              <w:top w:w="0" w:type="dxa"/>
              <w:left w:w="108" w:type="dxa"/>
              <w:bottom w:w="0" w:type="dxa"/>
              <w:right w:w="108" w:type="dxa"/>
            </w:tcMar>
            <w:vAlign w:val="center"/>
          </w:tcPr>
          <w:p w14:paraId="62947365">
            <w:pPr>
              <w:spacing w:line="240" w:lineRule="exact"/>
              <w:jc w:val="right"/>
              <w:rPr>
                <w:rFonts w:ascii="宋体" w:hAnsi="宋体" w:eastAsia="宋体" w:cs="宋体"/>
                <w:sz w:val="18"/>
                <w:szCs w:val="18"/>
              </w:rPr>
            </w:pPr>
            <w:r>
              <w:rPr>
                <w:rFonts w:ascii="宋体" w:hAnsi="宋体" w:eastAsia="宋体" w:cs="宋体"/>
                <w:sz w:val="18"/>
                <w:szCs w:val="18"/>
              </w:rPr>
              <w:t>666,367.90</w:t>
            </w:r>
          </w:p>
        </w:tc>
        <w:tc>
          <w:tcPr>
            <w:tcW w:w="1553" w:type="dxa"/>
            <w:tcBorders>
              <w:top w:val="nil"/>
              <w:left w:val="nil"/>
              <w:bottom w:val="single" w:color="auto" w:sz="8" w:space="0"/>
              <w:right w:val="single" w:color="auto" w:sz="8" w:space="0"/>
            </w:tcBorders>
            <w:tcMar>
              <w:top w:w="0" w:type="dxa"/>
              <w:left w:w="108" w:type="dxa"/>
              <w:bottom w:w="0" w:type="dxa"/>
              <w:right w:w="108" w:type="dxa"/>
            </w:tcMar>
            <w:vAlign w:val="center"/>
          </w:tcPr>
          <w:p w14:paraId="1BA327A1">
            <w:pPr>
              <w:spacing w:line="240" w:lineRule="exact"/>
              <w:jc w:val="right"/>
              <w:rPr>
                <w:rFonts w:ascii="宋体" w:hAnsi="宋体" w:eastAsia="宋体" w:cs="宋体"/>
                <w:sz w:val="18"/>
                <w:szCs w:val="18"/>
              </w:rPr>
            </w:pPr>
            <w:r>
              <w:rPr>
                <w:rFonts w:ascii="宋体" w:hAnsi="宋体" w:eastAsia="宋体" w:cs="宋体"/>
                <w:sz w:val="18"/>
                <w:szCs w:val="18"/>
              </w:rPr>
              <w:t>82,561,660.83</w:t>
            </w:r>
          </w:p>
        </w:tc>
      </w:tr>
    </w:tbl>
    <w:p w14:paraId="2CD7EAAF">
      <w:pPr>
        <w:keepNext/>
        <w:keepLines/>
        <w:spacing w:before="300" w:after="300" w:line="280" w:lineRule="exact"/>
        <w:outlineLvl w:val="3"/>
        <w:rPr>
          <w:rFonts w:ascii="宋体" w:hAnsi="宋体" w:eastAsia="宋体" w:cs="宋体"/>
          <w:b/>
          <w:bCs/>
          <w:szCs w:val="21"/>
        </w:rPr>
      </w:pPr>
      <w:bookmarkStart w:id="36" w:name="_Toc988925"/>
      <w:r>
        <w:rPr>
          <w:rFonts w:ascii="宋体" w:hAnsi="宋体" w:eastAsia="宋体" w:cs="宋体"/>
          <w:b/>
          <w:bCs/>
          <w:szCs w:val="21"/>
        </w:rPr>
        <w:t>（7） 品牌建设情况</w:t>
      </w:r>
      <w:bookmarkEnd w:id="36"/>
    </w:p>
    <w:p w14:paraId="519083C4">
      <w:pPr>
        <w:spacing w:before="100" w:after="100" w:line="240" w:lineRule="exact"/>
        <w:rPr>
          <w:rFonts w:ascii="宋体" w:hAnsi="宋体" w:eastAsia="宋体" w:cs="宋体"/>
          <w:sz w:val="18"/>
          <w:szCs w:val="18"/>
        </w:rPr>
      </w:pPr>
      <w:r>
        <w:rPr>
          <w:rFonts w:ascii="宋体" w:hAnsi="宋体" w:eastAsia="宋体" w:cs="宋体"/>
          <w:sz w:val="18"/>
          <w:szCs w:val="18"/>
        </w:rPr>
        <w:t>公司是否涉及生产和销售品牌服装、服饰以及家纺产品</w:t>
      </w:r>
    </w:p>
    <w:p w14:paraId="640658D7">
      <w:pPr>
        <w:spacing w:before="100" w:after="4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14:paraId="0D3B206B">
      <w:pPr>
        <w:spacing w:before="100" w:after="100" w:line="240" w:lineRule="exact"/>
        <w:rPr>
          <w:rFonts w:ascii="宋体" w:hAnsi="宋体" w:eastAsia="宋体" w:cs="宋体"/>
          <w:sz w:val="18"/>
          <w:szCs w:val="18"/>
        </w:rPr>
      </w:pPr>
      <w:r>
        <w:rPr>
          <w:rFonts w:ascii="宋体" w:hAnsi="宋体" w:eastAsia="宋体" w:cs="宋体"/>
          <w:sz w:val="18"/>
          <w:szCs w:val="18"/>
        </w:rPr>
        <w:t>自有品牌</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14:paraId="3C35E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17E09FC2">
            <w:pPr>
              <w:spacing w:before="40" w:after="40" w:line="240" w:lineRule="exact"/>
              <w:jc w:val="center"/>
              <w:rPr>
                <w:rFonts w:ascii="宋体" w:hAnsi="宋体" w:eastAsia="宋体" w:cs="宋体"/>
                <w:sz w:val="18"/>
                <w:szCs w:val="18"/>
              </w:rPr>
            </w:pPr>
            <w:r>
              <w:rPr>
                <w:rFonts w:ascii="宋体" w:hAnsi="宋体" w:eastAsia="宋体" w:cs="宋体"/>
                <w:sz w:val="18"/>
                <w:szCs w:val="18"/>
              </w:rPr>
              <w:t>品牌名称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7C55AE8">
            <w:pPr>
              <w:spacing w:before="40" w:after="40" w:line="240" w:lineRule="exact"/>
              <w:jc w:val="center"/>
              <w:rPr>
                <w:rFonts w:ascii="宋体" w:hAnsi="宋体" w:eastAsia="宋体" w:cs="宋体"/>
                <w:sz w:val="18"/>
                <w:szCs w:val="18"/>
              </w:rPr>
            </w:pPr>
            <w:r>
              <w:rPr>
                <w:rFonts w:ascii="宋体" w:hAnsi="宋体" w:eastAsia="宋体" w:cs="宋体"/>
                <w:sz w:val="18"/>
                <w:szCs w:val="18"/>
              </w:rPr>
              <w:t>商标名称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6B42062">
            <w:pPr>
              <w:spacing w:before="40" w:after="40" w:line="240" w:lineRule="exact"/>
              <w:jc w:val="center"/>
              <w:rPr>
                <w:rFonts w:ascii="宋体" w:hAnsi="宋体" w:eastAsia="宋体" w:cs="宋体"/>
                <w:sz w:val="18"/>
                <w:szCs w:val="18"/>
              </w:rPr>
            </w:pPr>
            <w:r>
              <w:rPr>
                <w:rFonts w:ascii="宋体" w:hAnsi="宋体" w:eastAsia="宋体" w:cs="宋体"/>
                <w:sz w:val="18"/>
                <w:szCs w:val="18"/>
              </w:rPr>
              <w:t>主要产品类型</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2FE6E2AE">
            <w:pPr>
              <w:spacing w:before="40" w:after="40" w:line="240" w:lineRule="exact"/>
              <w:jc w:val="center"/>
              <w:rPr>
                <w:rFonts w:ascii="宋体" w:hAnsi="宋体" w:eastAsia="宋体" w:cs="宋体"/>
                <w:sz w:val="18"/>
                <w:szCs w:val="18"/>
              </w:rPr>
            </w:pPr>
            <w:r>
              <w:rPr>
                <w:rFonts w:ascii="宋体" w:hAnsi="宋体" w:eastAsia="宋体" w:cs="宋体"/>
                <w:sz w:val="18"/>
                <w:szCs w:val="18"/>
              </w:rPr>
              <w:t>特点</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08C81AA">
            <w:pPr>
              <w:spacing w:before="40" w:after="40" w:line="240" w:lineRule="exact"/>
              <w:jc w:val="center"/>
              <w:rPr>
                <w:rFonts w:ascii="宋体" w:hAnsi="宋体" w:eastAsia="宋体" w:cs="宋体"/>
                <w:sz w:val="18"/>
                <w:szCs w:val="18"/>
              </w:rPr>
            </w:pPr>
            <w:r>
              <w:rPr>
                <w:rFonts w:ascii="宋体" w:hAnsi="宋体" w:eastAsia="宋体" w:cs="宋体"/>
                <w:sz w:val="18"/>
                <w:szCs w:val="18"/>
              </w:rPr>
              <w:t>目标客户群</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2974EC12">
            <w:pPr>
              <w:spacing w:before="40" w:after="40" w:line="240" w:lineRule="exact"/>
              <w:jc w:val="center"/>
              <w:rPr>
                <w:rFonts w:ascii="宋体" w:hAnsi="宋体" w:eastAsia="宋体" w:cs="宋体"/>
                <w:sz w:val="18"/>
                <w:szCs w:val="18"/>
              </w:rPr>
            </w:pPr>
            <w:r>
              <w:rPr>
                <w:rFonts w:ascii="宋体" w:hAnsi="宋体" w:eastAsia="宋体" w:cs="宋体"/>
                <w:sz w:val="18"/>
                <w:szCs w:val="18"/>
              </w:rPr>
              <w:t>主要产品价格带</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F6DFD6A">
            <w:pPr>
              <w:spacing w:before="40" w:after="40" w:line="240" w:lineRule="exact"/>
              <w:jc w:val="center"/>
              <w:rPr>
                <w:rFonts w:ascii="宋体" w:hAnsi="宋体" w:eastAsia="宋体" w:cs="宋体"/>
                <w:sz w:val="18"/>
                <w:szCs w:val="18"/>
              </w:rPr>
            </w:pPr>
            <w:r>
              <w:rPr>
                <w:rFonts w:ascii="宋体" w:hAnsi="宋体" w:eastAsia="宋体" w:cs="宋体"/>
                <w:sz w:val="18"/>
                <w:szCs w:val="18"/>
              </w:rPr>
              <w:t>主要销售区域</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12CCAA8E">
            <w:pPr>
              <w:spacing w:before="40" w:after="40" w:line="240" w:lineRule="exact"/>
              <w:jc w:val="center"/>
              <w:rPr>
                <w:rFonts w:ascii="宋体" w:hAnsi="宋体" w:eastAsia="宋体" w:cs="宋体"/>
                <w:sz w:val="18"/>
                <w:szCs w:val="18"/>
              </w:rPr>
            </w:pPr>
            <w:r>
              <w:rPr>
                <w:rFonts w:ascii="宋体" w:hAnsi="宋体" w:eastAsia="宋体" w:cs="宋体"/>
                <w:sz w:val="18"/>
                <w:szCs w:val="18"/>
              </w:rPr>
              <w:t>城市级别</w:t>
            </w:r>
          </w:p>
        </w:tc>
      </w:tr>
      <w:tr w14:paraId="364D1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9A030E1">
            <w:pPr>
              <w:spacing w:line="240" w:lineRule="exact"/>
              <w:rPr>
                <w:rFonts w:ascii="宋体" w:hAnsi="宋体" w:eastAsia="宋体" w:cs="宋体"/>
                <w:sz w:val="18"/>
                <w:szCs w:val="18"/>
              </w:rPr>
            </w:pPr>
            <w:r>
              <w:rPr>
                <w:rFonts w:ascii="宋体" w:hAnsi="宋体" w:eastAsia="宋体" w:cs="宋体"/>
                <w:sz w:val="18"/>
                <w:szCs w:val="18"/>
              </w:rPr>
              <w:t>carmalla</w:t>
            </w:r>
          </w:p>
        </w:tc>
        <w:tc>
          <w:tcPr>
            <w:tcW w:w="1205" w:type="dxa"/>
            <w:tcBorders>
              <w:top w:val="single" w:color="auto" w:sz="2" w:space="0"/>
              <w:left w:val="single" w:color="auto" w:sz="2" w:space="0"/>
              <w:bottom w:val="single" w:color="auto" w:sz="2" w:space="0"/>
              <w:right w:val="single" w:color="auto" w:sz="2" w:space="0"/>
            </w:tcBorders>
            <w:vAlign w:val="center"/>
          </w:tcPr>
          <w:p w14:paraId="25B2FD2C">
            <w:pPr>
              <w:spacing w:line="240" w:lineRule="exact"/>
              <w:rPr>
                <w:rFonts w:ascii="宋体" w:hAnsi="宋体" w:eastAsia="宋体" w:cs="宋体"/>
                <w:sz w:val="18"/>
                <w:szCs w:val="18"/>
              </w:rPr>
            </w:pPr>
            <w:r>
              <w:rPr>
                <w:rFonts w:ascii="宋体" w:hAnsi="宋体" w:eastAsia="宋体" w:cs="宋体"/>
                <w:sz w:val="18"/>
                <w:szCs w:val="18"/>
              </w:rPr>
              <w:t>carmalla</w:t>
            </w:r>
          </w:p>
        </w:tc>
        <w:tc>
          <w:tcPr>
            <w:tcW w:w="1205" w:type="dxa"/>
            <w:tcBorders>
              <w:top w:val="single" w:color="auto" w:sz="2" w:space="0"/>
              <w:left w:val="single" w:color="auto" w:sz="2" w:space="0"/>
              <w:bottom w:val="single" w:color="auto" w:sz="2" w:space="0"/>
              <w:right w:val="single" w:color="auto" w:sz="2" w:space="0"/>
            </w:tcBorders>
            <w:vAlign w:val="center"/>
          </w:tcPr>
          <w:p w14:paraId="330E80A2">
            <w:pPr>
              <w:spacing w:line="240" w:lineRule="exact"/>
              <w:rPr>
                <w:rFonts w:ascii="宋体" w:hAnsi="宋体" w:eastAsia="宋体" w:cs="宋体"/>
                <w:sz w:val="18"/>
                <w:szCs w:val="18"/>
              </w:rPr>
            </w:pPr>
            <w:r>
              <w:rPr>
                <w:rFonts w:ascii="宋体" w:hAnsi="宋体" w:eastAsia="宋体" w:cs="宋体"/>
                <w:sz w:val="18"/>
                <w:szCs w:val="18"/>
              </w:rPr>
              <w:t>袜子</w:t>
            </w:r>
          </w:p>
        </w:tc>
        <w:tc>
          <w:tcPr>
            <w:tcW w:w="1205" w:type="dxa"/>
            <w:tcBorders>
              <w:top w:val="single" w:color="auto" w:sz="2" w:space="0"/>
              <w:left w:val="single" w:color="auto" w:sz="2" w:space="0"/>
              <w:bottom w:val="single" w:color="auto" w:sz="2" w:space="0"/>
              <w:right w:val="single" w:color="auto" w:sz="2" w:space="0"/>
            </w:tcBorders>
            <w:vAlign w:val="center"/>
          </w:tcPr>
          <w:p w14:paraId="416B656A">
            <w:pPr>
              <w:spacing w:line="240" w:lineRule="exact"/>
              <w:rPr>
                <w:rFonts w:ascii="宋体" w:hAnsi="宋体" w:eastAsia="宋体" w:cs="宋体"/>
                <w:sz w:val="18"/>
                <w:szCs w:val="18"/>
              </w:rPr>
            </w:pPr>
            <w:r>
              <w:rPr>
                <w:rFonts w:ascii="宋体" w:hAnsi="宋体" w:eastAsia="宋体" w:cs="宋体"/>
                <w:sz w:val="18"/>
                <w:szCs w:val="18"/>
              </w:rPr>
              <w:t>时尚可爱</w:t>
            </w:r>
          </w:p>
        </w:tc>
        <w:tc>
          <w:tcPr>
            <w:tcW w:w="1205" w:type="dxa"/>
            <w:tcBorders>
              <w:top w:val="single" w:color="auto" w:sz="2" w:space="0"/>
              <w:left w:val="single" w:color="auto" w:sz="2" w:space="0"/>
              <w:bottom w:val="single" w:color="auto" w:sz="2" w:space="0"/>
              <w:right w:val="single" w:color="auto" w:sz="2" w:space="0"/>
            </w:tcBorders>
            <w:vAlign w:val="center"/>
          </w:tcPr>
          <w:p w14:paraId="0BA4F033">
            <w:pPr>
              <w:spacing w:line="240" w:lineRule="exact"/>
              <w:rPr>
                <w:rFonts w:ascii="宋体" w:hAnsi="宋体" w:eastAsia="宋体" w:cs="宋体"/>
                <w:sz w:val="18"/>
                <w:szCs w:val="18"/>
              </w:rPr>
            </w:pPr>
            <w:r>
              <w:rPr>
                <w:rFonts w:ascii="宋体" w:hAnsi="宋体" w:eastAsia="宋体" w:cs="宋体"/>
                <w:sz w:val="18"/>
                <w:szCs w:val="18"/>
              </w:rPr>
              <w:t>女性</w:t>
            </w:r>
          </w:p>
        </w:tc>
        <w:tc>
          <w:tcPr>
            <w:tcW w:w="1205" w:type="dxa"/>
            <w:tcBorders>
              <w:top w:val="single" w:color="auto" w:sz="2" w:space="0"/>
              <w:left w:val="single" w:color="auto" w:sz="2" w:space="0"/>
              <w:bottom w:val="single" w:color="auto" w:sz="2" w:space="0"/>
              <w:right w:val="single" w:color="auto" w:sz="2" w:space="0"/>
            </w:tcBorders>
            <w:vAlign w:val="center"/>
          </w:tcPr>
          <w:p w14:paraId="6CF5F99E">
            <w:pPr>
              <w:spacing w:line="240" w:lineRule="exact"/>
              <w:rPr>
                <w:rFonts w:ascii="宋体" w:hAnsi="宋体" w:eastAsia="宋体" w:cs="宋体"/>
                <w:sz w:val="18"/>
                <w:szCs w:val="18"/>
              </w:rPr>
            </w:pPr>
            <w:r>
              <w:rPr>
                <w:rFonts w:ascii="宋体" w:hAnsi="宋体" w:eastAsia="宋体" w:cs="宋体"/>
                <w:sz w:val="18"/>
                <w:szCs w:val="18"/>
              </w:rPr>
              <w:t>30-60</w:t>
            </w:r>
          </w:p>
        </w:tc>
        <w:tc>
          <w:tcPr>
            <w:tcW w:w="1205" w:type="dxa"/>
            <w:tcBorders>
              <w:top w:val="single" w:color="auto" w:sz="2" w:space="0"/>
              <w:left w:val="single" w:color="auto" w:sz="2" w:space="0"/>
              <w:bottom w:val="single" w:color="auto" w:sz="2" w:space="0"/>
              <w:right w:val="single" w:color="auto" w:sz="2" w:space="0"/>
            </w:tcBorders>
            <w:vAlign w:val="center"/>
          </w:tcPr>
          <w:p w14:paraId="51E2D08D">
            <w:pPr>
              <w:spacing w:line="240" w:lineRule="exact"/>
              <w:rPr>
                <w:rFonts w:ascii="宋体" w:hAnsi="宋体" w:eastAsia="宋体" w:cs="宋体"/>
                <w:sz w:val="18"/>
                <w:szCs w:val="18"/>
              </w:rPr>
            </w:pPr>
            <w:r>
              <w:rPr>
                <w:rFonts w:ascii="宋体" w:hAnsi="宋体" w:eastAsia="宋体" w:cs="宋体"/>
                <w:sz w:val="18"/>
                <w:szCs w:val="18"/>
              </w:rPr>
              <w:t> 全国</w:t>
            </w:r>
          </w:p>
        </w:tc>
        <w:tc>
          <w:tcPr>
            <w:tcW w:w="1205" w:type="dxa"/>
            <w:tcBorders>
              <w:top w:val="single" w:color="auto" w:sz="2" w:space="0"/>
              <w:left w:val="single" w:color="auto" w:sz="2" w:space="0"/>
              <w:bottom w:val="single" w:color="auto" w:sz="2" w:space="0"/>
              <w:right w:val="single" w:color="auto" w:sz="2" w:space="0"/>
            </w:tcBorders>
            <w:vAlign w:val="center"/>
          </w:tcPr>
          <w:p w14:paraId="2D7E1CA2">
            <w:pPr>
              <w:spacing w:line="240" w:lineRule="exact"/>
              <w:rPr>
                <w:rFonts w:ascii="宋体" w:hAnsi="宋体" w:eastAsia="宋体" w:cs="宋体"/>
                <w:sz w:val="18"/>
                <w:szCs w:val="18"/>
              </w:rPr>
            </w:pPr>
            <w:r>
              <w:rPr>
                <w:rFonts w:ascii="宋体" w:hAnsi="宋体" w:eastAsia="宋体" w:cs="宋体"/>
                <w:sz w:val="18"/>
                <w:szCs w:val="18"/>
              </w:rPr>
              <w:t>一二线城市</w:t>
            </w:r>
          </w:p>
        </w:tc>
      </w:tr>
      <w:tr w14:paraId="5AF51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0011152">
            <w:pPr>
              <w:spacing w:line="240" w:lineRule="exact"/>
              <w:rPr>
                <w:rFonts w:ascii="宋体" w:hAnsi="宋体" w:eastAsia="宋体" w:cs="宋体"/>
                <w:sz w:val="18"/>
                <w:szCs w:val="18"/>
              </w:rPr>
            </w:pPr>
            <w:r>
              <w:rPr>
                <w:rFonts w:ascii="宋体" w:hAnsi="宋体" w:eastAsia="宋体" w:cs="宋体"/>
                <w:sz w:val="18"/>
                <w:szCs w:val="18"/>
              </w:rPr>
              <w:t>isku</w:t>
            </w:r>
          </w:p>
        </w:tc>
        <w:tc>
          <w:tcPr>
            <w:tcW w:w="1205" w:type="dxa"/>
            <w:tcBorders>
              <w:top w:val="single" w:color="auto" w:sz="2" w:space="0"/>
              <w:left w:val="single" w:color="auto" w:sz="2" w:space="0"/>
              <w:bottom w:val="single" w:color="auto" w:sz="2" w:space="0"/>
              <w:right w:val="single" w:color="auto" w:sz="2" w:space="0"/>
            </w:tcBorders>
            <w:vAlign w:val="center"/>
          </w:tcPr>
          <w:p w14:paraId="3698A192">
            <w:pPr>
              <w:spacing w:line="240" w:lineRule="exact"/>
              <w:rPr>
                <w:rFonts w:ascii="宋体" w:hAnsi="宋体" w:eastAsia="宋体" w:cs="宋体"/>
                <w:sz w:val="18"/>
                <w:szCs w:val="18"/>
              </w:rPr>
            </w:pPr>
            <w:r>
              <w:rPr>
                <w:rFonts w:ascii="宋体" w:hAnsi="宋体" w:eastAsia="宋体" w:cs="宋体"/>
                <w:sz w:val="18"/>
                <w:szCs w:val="18"/>
              </w:rPr>
              <w:t>isku</w:t>
            </w:r>
          </w:p>
        </w:tc>
        <w:tc>
          <w:tcPr>
            <w:tcW w:w="1205" w:type="dxa"/>
            <w:tcBorders>
              <w:top w:val="single" w:color="auto" w:sz="2" w:space="0"/>
              <w:left w:val="single" w:color="auto" w:sz="2" w:space="0"/>
              <w:bottom w:val="single" w:color="auto" w:sz="2" w:space="0"/>
              <w:right w:val="single" w:color="auto" w:sz="2" w:space="0"/>
            </w:tcBorders>
            <w:vAlign w:val="center"/>
          </w:tcPr>
          <w:p w14:paraId="53C3EC6A">
            <w:pPr>
              <w:spacing w:line="240" w:lineRule="exact"/>
              <w:rPr>
                <w:rFonts w:ascii="宋体" w:hAnsi="宋体" w:eastAsia="宋体" w:cs="宋体"/>
                <w:sz w:val="18"/>
                <w:szCs w:val="18"/>
              </w:rPr>
            </w:pPr>
            <w:r>
              <w:rPr>
                <w:rFonts w:ascii="宋体" w:hAnsi="宋体" w:eastAsia="宋体" w:cs="宋体"/>
                <w:sz w:val="18"/>
                <w:szCs w:val="18"/>
              </w:rPr>
              <w:t>袜子</w:t>
            </w:r>
          </w:p>
        </w:tc>
        <w:tc>
          <w:tcPr>
            <w:tcW w:w="1205" w:type="dxa"/>
            <w:tcBorders>
              <w:top w:val="single" w:color="auto" w:sz="2" w:space="0"/>
              <w:left w:val="single" w:color="auto" w:sz="2" w:space="0"/>
              <w:bottom w:val="single" w:color="auto" w:sz="2" w:space="0"/>
              <w:right w:val="single" w:color="auto" w:sz="2" w:space="0"/>
            </w:tcBorders>
            <w:vAlign w:val="center"/>
          </w:tcPr>
          <w:p w14:paraId="08964A50">
            <w:pPr>
              <w:spacing w:line="240" w:lineRule="exact"/>
              <w:rPr>
                <w:rFonts w:ascii="宋体" w:hAnsi="宋体" w:eastAsia="宋体" w:cs="宋体"/>
                <w:sz w:val="18"/>
                <w:szCs w:val="18"/>
              </w:rPr>
            </w:pPr>
            <w:r>
              <w:rPr>
                <w:rFonts w:ascii="宋体" w:hAnsi="宋体" w:eastAsia="宋体" w:cs="宋体"/>
                <w:sz w:val="18"/>
                <w:szCs w:val="18"/>
              </w:rPr>
              <w:t>酷潮</w:t>
            </w:r>
          </w:p>
        </w:tc>
        <w:tc>
          <w:tcPr>
            <w:tcW w:w="1205" w:type="dxa"/>
            <w:tcBorders>
              <w:top w:val="single" w:color="auto" w:sz="2" w:space="0"/>
              <w:left w:val="single" w:color="auto" w:sz="2" w:space="0"/>
              <w:bottom w:val="single" w:color="auto" w:sz="2" w:space="0"/>
              <w:right w:val="single" w:color="auto" w:sz="2" w:space="0"/>
            </w:tcBorders>
            <w:vAlign w:val="center"/>
          </w:tcPr>
          <w:p w14:paraId="1F594E4D">
            <w:pPr>
              <w:spacing w:line="240" w:lineRule="exact"/>
              <w:rPr>
                <w:rFonts w:ascii="宋体" w:hAnsi="宋体" w:eastAsia="宋体" w:cs="宋体"/>
                <w:sz w:val="18"/>
                <w:szCs w:val="18"/>
              </w:rPr>
            </w:pPr>
            <w:r>
              <w:rPr>
                <w:rFonts w:ascii="宋体" w:hAnsi="宋体" w:eastAsia="宋体" w:cs="宋体"/>
                <w:sz w:val="18"/>
                <w:szCs w:val="18"/>
              </w:rPr>
              <w:t>男女</w:t>
            </w:r>
          </w:p>
        </w:tc>
        <w:tc>
          <w:tcPr>
            <w:tcW w:w="1205" w:type="dxa"/>
            <w:tcBorders>
              <w:top w:val="single" w:color="auto" w:sz="2" w:space="0"/>
              <w:left w:val="single" w:color="auto" w:sz="2" w:space="0"/>
              <w:bottom w:val="single" w:color="auto" w:sz="2" w:space="0"/>
              <w:right w:val="single" w:color="auto" w:sz="2" w:space="0"/>
            </w:tcBorders>
            <w:vAlign w:val="center"/>
          </w:tcPr>
          <w:p w14:paraId="6F267279">
            <w:pPr>
              <w:spacing w:line="240" w:lineRule="exact"/>
              <w:rPr>
                <w:rFonts w:ascii="宋体" w:hAnsi="宋体" w:eastAsia="宋体" w:cs="宋体"/>
                <w:sz w:val="18"/>
                <w:szCs w:val="18"/>
              </w:rPr>
            </w:pPr>
            <w:r>
              <w:rPr>
                <w:rFonts w:ascii="宋体" w:hAnsi="宋体" w:eastAsia="宋体" w:cs="宋体"/>
                <w:sz w:val="18"/>
                <w:szCs w:val="18"/>
              </w:rPr>
              <w:t>50-80</w:t>
            </w:r>
          </w:p>
        </w:tc>
        <w:tc>
          <w:tcPr>
            <w:tcW w:w="1205" w:type="dxa"/>
            <w:tcBorders>
              <w:top w:val="single" w:color="auto" w:sz="2" w:space="0"/>
              <w:left w:val="single" w:color="auto" w:sz="2" w:space="0"/>
              <w:bottom w:val="single" w:color="auto" w:sz="2" w:space="0"/>
              <w:right w:val="single" w:color="auto" w:sz="2" w:space="0"/>
            </w:tcBorders>
            <w:vAlign w:val="center"/>
          </w:tcPr>
          <w:p w14:paraId="61E23F48">
            <w:pPr>
              <w:spacing w:line="240" w:lineRule="exact"/>
              <w:rPr>
                <w:rFonts w:ascii="宋体" w:hAnsi="宋体" w:eastAsia="宋体" w:cs="宋体"/>
                <w:sz w:val="18"/>
                <w:szCs w:val="18"/>
              </w:rPr>
            </w:pPr>
            <w:r>
              <w:rPr>
                <w:rFonts w:ascii="宋体" w:hAnsi="宋体" w:eastAsia="宋体" w:cs="宋体"/>
                <w:sz w:val="18"/>
                <w:szCs w:val="18"/>
              </w:rPr>
              <w:t> 全国</w:t>
            </w:r>
          </w:p>
        </w:tc>
        <w:tc>
          <w:tcPr>
            <w:tcW w:w="1205" w:type="dxa"/>
            <w:tcBorders>
              <w:top w:val="single" w:color="auto" w:sz="2" w:space="0"/>
              <w:left w:val="single" w:color="auto" w:sz="2" w:space="0"/>
              <w:bottom w:val="single" w:color="auto" w:sz="2" w:space="0"/>
              <w:right w:val="single" w:color="auto" w:sz="2" w:space="0"/>
            </w:tcBorders>
            <w:vAlign w:val="center"/>
          </w:tcPr>
          <w:p w14:paraId="47095955">
            <w:pPr>
              <w:spacing w:line="240" w:lineRule="exact"/>
              <w:rPr>
                <w:rFonts w:ascii="宋体" w:hAnsi="宋体" w:eastAsia="宋体" w:cs="宋体"/>
                <w:sz w:val="18"/>
                <w:szCs w:val="18"/>
              </w:rPr>
            </w:pPr>
            <w:r>
              <w:rPr>
                <w:rFonts w:ascii="宋体" w:hAnsi="宋体" w:eastAsia="宋体" w:cs="宋体"/>
                <w:sz w:val="18"/>
                <w:szCs w:val="18"/>
              </w:rPr>
              <w:t>一二线城市</w:t>
            </w:r>
          </w:p>
        </w:tc>
      </w:tr>
      <w:tr w14:paraId="76FFE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016F733">
            <w:pPr>
              <w:spacing w:line="240" w:lineRule="exact"/>
              <w:rPr>
                <w:rFonts w:ascii="宋体" w:hAnsi="宋体" w:eastAsia="宋体" w:cs="宋体"/>
                <w:sz w:val="18"/>
                <w:szCs w:val="18"/>
              </w:rPr>
            </w:pPr>
            <w:r>
              <w:rPr>
                <w:rFonts w:ascii="宋体" w:hAnsi="宋体" w:eastAsia="宋体" w:cs="宋体"/>
                <w:sz w:val="18"/>
                <w:szCs w:val="18"/>
              </w:rPr>
              <w:t>ilooklike</w:t>
            </w:r>
          </w:p>
        </w:tc>
        <w:tc>
          <w:tcPr>
            <w:tcW w:w="1205" w:type="dxa"/>
            <w:tcBorders>
              <w:top w:val="single" w:color="auto" w:sz="2" w:space="0"/>
              <w:left w:val="single" w:color="auto" w:sz="2" w:space="0"/>
              <w:bottom w:val="single" w:color="auto" w:sz="2" w:space="0"/>
              <w:right w:val="single" w:color="auto" w:sz="2" w:space="0"/>
            </w:tcBorders>
            <w:vAlign w:val="center"/>
          </w:tcPr>
          <w:p w14:paraId="1D1BD65F">
            <w:pPr>
              <w:spacing w:line="240" w:lineRule="exact"/>
              <w:rPr>
                <w:rFonts w:ascii="宋体" w:hAnsi="宋体" w:eastAsia="宋体" w:cs="宋体"/>
                <w:sz w:val="18"/>
                <w:szCs w:val="18"/>
              </w:rPr>
            </w:pPr>
            <w:r>
              <w:rPr>
                <w:rFonts w:ascii="宋体" w:hAnsi="宋体" w:eastAsia="宋体" w:cs="宋体"/>
                <w:sz w:val="18"/>
                <w:szCs w:val="18"/>
              </w:rPr>
              <w:t>ilooklike</w:t>
            </w:r>
          </w:p>
        </w:tc>
        <w:tc>
          <w:tcPr>
            <w:tcW w:w="1205" w:type="dxa"/>
            <w:tcBorders>
              <w:top w:val="single" w:color="auto" w:sz="2" w:space="0"/>
              <w:left w:val="single" w:color="auto" w:sz="2" w:space="0"/>
              <w:bottom w:val="single" w:color="auto" w:sz="2" w:space="0"/>
              <w:right w:val="single" w:color="auto" w:sz="2" w:space="0"/>
            </w:tcBorders>
            <w:vAlign w:val="center"/>
          </w:tcPr>
          <w:p w14:paraId="793FDFCD">
            <w:pPr>
              <w:spacing w:line="240" w:lineRule="exact"/>
              <w:rPr>
                <w:rFonts w:ascii="宋体" w:hAnsi="宋体" w:eastAsia="宋体" w:cs="宋体"/>
                <w:sz w:val="18"/>
                <w:szCs w:val="18"/>
              </w:rPr>
            </w:pPr>
            <w:r>
              <w:rPr>
                <w:rFonts w:ascii="宋体" w:hAnsi="宋体" w:eastAsia="宋体" w:cs="宋体"/>
                <w:sz w:val="18"/>
                <w:szCs w:val="18"/>
              </w:rPr>
              <w:t>袜子</w:t>
            </w:r>
          </w:p>
        </w:tc>
        <w:tc>
          <w:tcPr>
            <w:tcW w:w="1205" w:type="dxa"/>
            <w:tcBorders>
              <w:top w:val="single" w:color="auto" w:sz="2" w:space="0"/>
              <w:left w:val="single" w:color="auto" w:sz="2" w:space="0"/>
              <w:bottom w:val="single" w:color="auto" w:sz="2" w:space="0"/>
              <w:right w:val="single" w:color="auto" w:sz="2" w:space="0"/>
            </w:tcBorders>
            <w:vAlign w:val="center"/>
          </w:tcPr>
          <w:p w14:paraId="59CB2774">
            <w:pPr>
              <w:spacing w:line="240" w:lineRule="exact"/>
              <w:rPr>
                <w:rFonts w:ascii="宋体" w:hAnsi="宋体" w:eastAsia="宋体" w:cs="宋体"/>
                <w:sz w:val="18"/>
                <w:szCs w:val="18"/>
              </w:rPr>
            </w:pPr>
            <w:r>
              <w:rPr>
                <w:rFonts w:ascii="宋体" w:hAnsi="宋体" w:eastAsia="宋体" w:cs="宋体"/>
                <w:sz w:val="18"/>
                <w:szCs w:val="18"/>
              </w:rPr>
              <w:t>基础简约</w:t>
            </w:r>
          </w:p>
        </w:tc>
        <w:tc>
          <w:tcPr>
            <w:tcW w:w="1205" w:type="dxa"/>
            <w:tcBorders>
              <w:top w:val="single" w:color="auto" w:sz="2" w:space="0"/>
              <w:left w:val="single" w:color="auto" w:sz="2" w:space="0"/>
              <w:bottom w:val="single" w:color="auto" w:sz="2" w:space="0"/>
              <w:right w:val="single" w:color="auto" w:sz="2" w:space="0"/>
            </w:tcBorders>
            <w:vAlign w:val="center"/>
          </w:tcPr>
          <w:p w14:paraId="0D2D69FD">
            <w:pPr>
              <w:spacing w:line="240" w:lineRule="exact"/>
              <w:rPr>
                <w:rFonts w:ascii="宋体" w:hAnsi="宋体" w:eastAsia="宋体" w:cs="宋体"/>
                <w:sz w:val="18"/>
                <w:szCs w:val="18"/>
              </w:rPr>
            </w:pPr>
            <w:r>
              <w:rPr>
                <w:rFonts w:ascii="宋体" w:hAnsi="宋体" w:eastAsia="宋体" w:cs="宋体"/>
                <w:sz w:val="18"/>
                <w:szCs w:val="18"/>
              </w:rPr>
              <w:t>女性</w:t>
            </w:r>
          </w:p>
        </w:tc>
        <w:tc>
          <w:tcPr>
            <w:tcW w:w="1205" w:type="dxa"/>
            <w:tcBorders>
              <w:top w:val="single" w:color="auto" w:sz="2" w:space="0"/>
              <w:left w:val="single" w:color="auto" w:sz="2" w:space="0"/>
              <w:bottom w:val="single" w:color="auto" w:sz="2" w:space="0"/>
              <w:right w:val="single" w:color="auto" w:sz="2" w:space="0"/>
            </w:tcBorders>
            <w:vAlign w:val="center"/>
          </w:tcPr>
          <w:p w14:paraId="0C29E7E6">
            <w:pPr>
              <w:spacing w:line="240" w:lineRule="exact"/>
              <w:rPr>
                <w:rFonts w:ascii="宋体" w:hAnsi="宋体" w:eastAsia="宋体" w:cs="宋体"/>
                <w:sz w:val="18"/>
                <w:szCs w:val="18"/>
              </w:rPr>
            </w:pPr>
            <w:r>
              <w:rPr>
                <w:rFonts w:ascii="宋体" w:hAnsi="宋体" w:eastAsia="宋体" w:cs="宋体"/>
                <w:sz w:val="18"/>
                <w:szCs w:val="18"/>
              </w:rPr>
              <w:t>30-60</w:t>
            </w:r>
          </w:p>
        </w:tc>
        <w:tc>
          <w:tcPr>
            <w:tcW w:w="1205" w:type="dxa"/>
            <w:tcBorders>
              <w:top w:val="single" w:color="auto" w:sz="2" w:space="0"/>
              <w:left w:val="single" w:color="auto" w:sz="2" w:space="0"/>
              <w:bottom w:val="single" w:color="auto" w:sz="2" w:space="0"/>
              <w:right w:val="single" w:color="auto" w:sz="2" w:space="0"/>
            </w:tcBorders>
            <w:vAlign w:val="center"/>
          </w:tcPr>
          <w:p w14:paraId="0A9E3EFF">
            <w:pPr>
              <w:spacing w:line="240" w:lineRule="exact"/>
              <w:rPr>
                <w:rFonts w:ascii="宋体" w:hAnsi="宋体" w:eastAsia="宋体" w:cs="宋体"/>
                <w:sz w:val="18"/>
                <w:szCs w:val="18"/>
              </w:rPr>
            </w:pPr>
            <w:r>
              <w:rPr>
                <w:rFonts w:ascii="宋体" w:hAnsi="宋体" w:eastAsia="宋体" w:cs="宋体"/>
                <w:sz w:val="18"/>
                <w:szCs w:val="18"/>
              </w:rPr>
              <w:t> 全国</w:t>
            </w:r>
          </w:p>
        </w:tc>
        <w:tc>
          <w:tcPr>
            <w:tcW w:w="1205" w:type="dxa"/>
            <w:tcBorders>
              <w:top w:val="single" w:color="auto" w:sz="2" w:space="0"/>
              <w:left w:val="single" w:color="auto" w:sz="2" w:space="0"/>
              <w:bottom w:val="single" w:color="auto" w:sz="2" w:space="0"/>
              <w:right w:val="single" w:color="auto" w:sz="2" w:space="0"/>
            </w:tcBorders>
            <w:vAlign w:val="center"/>
          </w:tcPr>
          <w:p w14:paraId="0B95BA56">
            <w:pPr>
              <w:spacing w:line="240" w:lineRule="exact"/>
              <w:rPr>
                <w:rFonts w:ascii="宋体" w:hAnsi="宋体" w:eastAsia="宋体" w:cs="宋体"/>
                <w:sz w:val="18"/>
                <w:szCs w:val="18"/>
              </w:rPr>
            </w:pPr>
            <w:r>
              <w:rPr>
                <w:rFonts w:ascii="宋体" w:hAnsi="宋体" w:eastAsia="宋体" w:cs="宋体"/>
                <w:sz w:val="18"/>
                <w:szCs w:val="18"/>
              </w:rPr>
              <w:t>一二线城市</w:t>
            </w:r>
          </w:p>
        </w:tc>
      </w:tr>
      <w:tr w14:paraId="2B016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5F13391">
            <w:pPr>
              <w:spacing w:line="240" w:lineRule="exact"/>
              <w:rPr>
                <w:rFonts w:ascii="宋体" w:hAnsi="宋体" w:eastAsia="宋体" w:cs="宋体"/>
                <w:sz w:val="18"/>
                <w:szCs w:val="18"/>
              </w:rPr>
            </w:pPr>
            <w:r>
              <w:rPr>
                <w:rFonts w:ascii="宋体" w:hAnsi="宋体" w:eastAsia="宋体" w:cs="宋体"/>
                <w:sz w:val="18"/>
                <w:szCs w:val="18"/>
              </w:rPr>
              <w:t>caramellakkids</w:t>
            </w:r>
          </w:p>
        </w:tc>
        <w:tc>
          <w:tcPr>
            <w:tcW w:w="1205" w:type="dxa"/>
            <w:tcBorders>
              <w:top w:val="single" w:color="auto" w:sz="2" w:space="0"/>
              <w:left w:val="single" w:color="auto" w:sz="2" w:space="0"/>
              <w:bottom w:val="single" w:color="auto" w:sz="2" w:space="0"/>
              <w:right w:val="single" w:color="auto" w:sz="2" w:space="0"/>
            </w:tcBorders>
            <w:vAlign w:val="center"/>
          </w:tcPr>
          <w:p w14:paraId="72BB217B">
            <w:pPr>
              <w:spacing w:line="240" w:lineRule="exact"/>
              <w:rPr>
                <w:rFonts w:ascii="宋体" w:hAnsi="宋体" w:eastAsia="宋体" w:cs="宋体"/>
                <w:sz w:val="18"/>
                <w:szCs w:val="18"/>
              </w:rPr>
            </w:pPr>
            <w:r>
              <w:rPr>
                <w:rFonts w:ascii="宋体" w:hAnsi="宋体" w:eastAsia="宋体" w:cs="宋体"/>
                <w:sz w:val="18"/>
                <w:szCs w:val="18"/>
              </w:rPr>
              <w:t>caramellakkids</w:t>
            </w:r>
          </w:p>
        </w:tc>
        <w:tc>
          <w:tcPr>
            <w:tcW w:w="1205" w:type="dxa"/>
            <w:tcBorders>
              <w:top w:val="single" w:color="auto" w:sz="2" w:space="0"/>
              <w:left w:val="single" w:color="auto" w:sz="2" w:space="0"/>
              <w:bottom w:val="single" w:color="auto" w:sz="2" w:space="0"/>
              <w:right w:val="single" w:color="auto" w:sz="2" w:space="0"/>
            </w:tcBorders>
            <w:vAlign w:val="center"/>
          </w:tcPr>
          <w:p w14:paraId="37537580">
            <w:pPr>
              <w:spacing w:line="240" w:lineRule="exact"/>
              <w:rPr>
                <w:rFonts w:ascii="宋体" w:hAnsi="宋体" w:eastAsia="宋体" w:cs="宋体"/>
                <w:sz w:val="18"/>
                <w:szCs w:val="18"/>
              </w:rPr>
            </w:pPr>
            <w:r>
              <w:rPr>
                <w:rFonts w:ascii="宋体" w:hAnsi="宋体" w:eastAsia="宋体" w:cs="宋体"/>
                <w:sz w:val="18"/>
                <w:szCs w:val="18"/>
              </w:rPr>
              <w:t>童袜</w:t>
            </w:r>
          </w:p>
        </w:tc>
        <w:tc>
          <w:tcPr>
            <w:tcW w:w="1205" w:type="dxa"/>
            <w:tcBorders>
              <w:top w:val="single" w:color="auto" w:sz="2" w:space="0"/>
              <w:left w:val="single" w:color="auto" w:sz="2" w:space="0"/>
              <w:bottom w:val="single" w:color="auto" w:sz="2" w:space="0"/>
              <w:right w:val="single" w:color="auto" w:sz="2" w:space="0"/>
            </w:tcBorders>
            <w:vAlign w:val="center"/>
          </w:tcPr>
          <w:p w14:paraId="18FAA65E">
            <w:pPr>
              <w:spacing w:line="240" w:lineRule="exact"/>
              <w:rPr>
                <w:rFonts w:ascii="宋体" w:hAnsi="宋体" w:eastAsia="宋体" w:cs="宋体"/>
                <w:sz w:val="18"/>
                <w:szCs w:val="18"/>
              </w:rPr>
            </w:pPr>
            <w:r>
              <w:rPr>
                <w:rFonts w:ascii="宋体" w:hAnsi="宋体" w:eastAsia="宋体" w:cs="宋体"/>
                <w:sz w:val="18"/>
                <w:szCs w:val="18"/>
              </w:rPr>
              <w:t>可爱卡通</w:t>
            </w:r>
          </w:p>
        </w:tc>
        <w:tc>
          <w:tcPr>
            <w:tcW w:w="1205" w:type="dxa"/>
            <w:tcBorders>
              <w:top w:val="single" w:color="auto" w:sz="2" w:space="0"/>
              <w:left w:val="single" w:color="auto" w:sz="2" w:space="0"/>
              <w:bottom w:val="single" w:color="auto" w:sz="2" w:space="0"/>
              <w:right w:val="single" w:color="auto" w:sz="2" w:space="0"/>
            </w:tcBorders>
            <w:vAlign w:val="center"/>
          </w:tcPr>
          <w:p w14:paraId="3F0D4C7D">
            <w:pPr>
              <w:spacing w:line="240" w:lineRule="exact"/>
              <w:rPr>
                <w:rFonts w:ascii="宋体" w:hAnsi="宋体" w:eastAsia="宋体" w:cs="宋体"/>
                <w:sz w:val="18"/>
                <w:szCs w:val="18"/>
              </w:rPr>
            </w:pPr>
            <w:r>
              <w:rPr>
                <w:rFonts w:ascii="宋体" w:hAnsi="宋体" w:eastAsia="宋体" w:cs="宋体"/>
                <w:sz w:val="18"/>
                <w:szCs w:val="18"/>
              </w:rPr>
              <w:t>女性</w:t>
            </w:r>
          </w:p>
        </w:tc>
        <w:tc>
          <w:tcPr>
            <w:tcW w:w="1205" w:type="dxa"/>
            <w:tcBorders>
              <w:top w:val="single" w:color="auto" w:sz="2" w:space="0"/>
              <w:left w:val="single" w:color="auto" w:sz="2" w:space="0"/>
              <w:bottom w:val="single" w:color="auto" w:sz="2" w:space="0"/>
              <w:right w:val="single" w:color="auto" w:sz="2" w:space="0"/>
            </w:tcBorders>
            <w:vAlign w:val="center"/>
          </w:tcPr>
          <w:p w14:paraId="2297AC2B">
            <w:pPr>
              <w:spacing w:line="240" w:lineRule="exact"/>
              <w:rPr>
                <w:rFonts w:ascii="宋体" w:hAnsi="宋体" w:eastAsia="宋体" w:cs="宋体"/>
                <w:sz w:val="18"/>
                <w:szCs w:val="18"/>
              </w:rPr>
            </w:pPr>
            <w:r>
              <w:rPr>
                <w:rFonts w:ascii="宋体" w:hAnsi="宋体" w:eastAsia="宋体" w:cs="宋体"/>
                <w:sz w:val="18"/>
                <w:szCs w:val="18"/>
              </w:rPr>
              <w:t>30-60</w:t>
            </w:r>
          </w:p>
        </w:tc>
        <w:tc>
          <w:tcPr>
            <w:tcW w:w="1205" w:type="dxa"/>
            <w:tcBorders>
              <w:top w:val="single" w:color="auto" w:sz="2" w:space="0"/>
              <w:left w:val="single" w:color="auto" w:sz="2" w:space="0"/>
              <w:bottom w:val="single" w:color="auto" w:sz="2" w:space="0"/>
              <w:right w:val="single" w:color="auto" w:sz="2" w:space="0"/>
            </w:tcBorders>
            <w:vAlign w:val="center"/>
          </w:tcPr>
          <w:p w14:paraId="7F487259">
            <w:pPr>
              <w:spacing w:line="240" w:lineRule="exact"/>
              <w:rPr>
                <w:rFonts w:ascii="宋体" w:hAnsi="宋体" w:eastAsia="宋体" w:cs="宋体"/>
                <w:sz w:val="18"/>
                <w:szCs w:val="18"/>
              </w:rPr>
            </w:pPr>
            <w:r>
              <w:rPr>
                <w:rFonts w:ascii="宋体" w:hAnsi="宋体" w:eastAsia="宋体" w:cs="宋体"/>
                <w:sz w:val="18"/>
                <w:szCs w:val="18"/>
              </w:rPr>
              <w:t> 全国</w:t>
            </w:r>
          </w:p>
        </w:tc>
        <w:tc>
          <w:tcPr>
            <w:tcW w:w="1205" w:type="dxa"/>
            <w:tcBorders>
              <w:top w:val="single" w:color="auto" w:sz="2" w:space="0"/>
              <w:left w:val="single" w:color="auto" w:sz="2" w:space="0"/>
              <w:bottom w:val="single" w:color="auto" w:sz="2" w:space="0"/>
              <w:right w:val="single" w:color="auto" w:sz="2" w:space="0"/>
            </w:tcBorders>
            <w:vAlign w:val="center"/>
          </w:tcPr>
          <w:p w14:paraId="0FF23569">
            <w:pPr>
              <w:spacing w:line="240" w:lineRule="exact"/>
              <w:rPr>
                <w:rFonts w:ascii="宋体" w:hAnsi="宋体" w:eastAsia="宋体" w:cs="宋体"/>
                <w:sz w:val="18"/>
                <w:szCs w:val="18"/>
              </w:rPr>
            </w:pPr>
            <w:r>
              <w:rPr>
                <w:rFonts w:ascii="宋体" w:hAnsi="宋体" w:eastAsia="宋体" w:cs="宋体"/>
                <w:sz w:val="18"/>
                <w:szCs w:val="18"/>
              </w:rPr>
              <w:t>一二线城市</w:t>
            </w:r>
          </w:p>
        </w:tc>
      </w:tr>
      <w:tr w14:paraId="363C8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B4CC20E">
            <w:pPr>
              <w:spacing w:line="240" w:lineRule="exact"/>
              <w:rPr>
                <w:rFonts w:ascii="宋体" w:hAnsi="宋体" w:eastAsia="宋体" w:cs="宋体"/>
                <w:sz w:val="18"/>
                <w:szCs w:val="18"/>
              </w:rPr>
            </w:pPr>
            <w:r>
              <w:rPr>
                <w:rFonts w:ascii="宋体" w:hAnsi="宋体" w:eastAsia="宋体" w:cs="宋体"/>
                <w:sz w:val="18"/>
                <w:szCs w:val="18"/>
              </w:rPr>
              <w:t>整季</w:t>
            </w:r>
          </w:p>
        </w:tc>
        <w:tc>
          <w:tcPr>
            <w:tcW w:w="1205" w:type="dxa"/>
            <w:tcBorders>
              <w:top w:val="single" w:color="auto" w:sz="2" w:space="0"/>
              <w:left w:val="single" w:color="auto" w:sz="2" w:space="0"/>
              <w:bottom w:val="single" w:color="auto" w:sz="2" w:space="0"/>
              <w:right w:val="single" w:color="auto" w:sz="2" w:space="0"/>
            </w:tcBorders>
            <w:vAlign w:val="center"/>
          </w:tcPr>
          <w:p w14:paraId="5DC9D43F">
            <w:pPr>
              <w:spacing w:line="240" w:lineRule="exact"/>
              <w:rPr>
                <w:rFonts w:ascii="宋体" w:hAnsi="宋体" w:eastAsia="宋体" w:cs="宋体"/>
                <w:sz w:val="18"/>
                <w:szCs w:val="18"/>
              </w:rPr>
            </w:pPr>
            <w:r>
              <w:rPr>
                <w:rFonts w:ascii="宋体" w:hAnsi="宋体" w:eastAsia="宋体" w:cs="宋体"/>
                <w:sz w:val="18"/>
                <w:szCs w:val="18"/>
              </w:rPr>
              <w:t>整季</w:t>
            </w:r>
          </w:p>
        </w:tc>
        <w:tc>
          <w:tcPr>
            <w:tcW w:w="1205" w:type="dxa"/>
            <w:tcBorders>
              <w:top w:val="single" w:color="auto" w:sz="2" w:space="0"/>
              <w:left w:val="single" w:color="auto" w:sz="2" w:space="0"/>
              <w:bottom w:val="single" w:color="auto" w:sz="2" w:space="0"/>
              <w:right w:val="single" w:color="auto" w:sz="2" w:space="0"/>
            </w:tcBorders>
            <w:vAlign w:val="center"/>
          </w:tcPr>
          <w:p w14:paraId="20FF0C0C">
            <w:pPr>
              <w:spacing w:line="240" w:lineRule="exact"/>
              <w:rPr>
                <w:rFonts w:ascii="宋体" w:hAnsi="宋体" w:eastAsia="宋体" w:cs="宋体"/>
                <w:sz w:val="18"/>
                <w:szCs w:val="18"/>
              </w:rPr>
            </w:pPr>
            <w:r>
              <w:rPr>
                <w:rFonts w:ascii="宋体" w:hAnsi="宋体" w:eastAsia="宋体" w:cs="宋体"/>
                <w:sz w:val="18"/>
                <w:szCs w:val="18"/>
              </w:rPr>
              <w:t>袜子</w:t>
            </w:r>
          </w:p>
        </w:tc>
        <w:tc>
          <w:tcPr>
            <w:tcW w:w="1205" w:type="dxa"/>
            <w:tcBorders>
              <w:top w:val="single" w:color="auto" w:sz="2" w:space="0"/>
              <w:left w:val="single" w:color="auto" w:sz="2" w:space="0"/>
              <w:bottom w:val="single" w:color="auto" w:sz="2" w:space="0"/>
              <w:right w:val="single" w:color="auto" w:sz="2" w:space="0"/>
            </w:tcBorders>
            <w:vAlign w:val="center"/>
          </w:tcPr>
          <w:p w14:paraId="5D727EB1">
            <w:pPr>
              <w:spacing w:line="240" w:lineRule="exact"/>
              <w:rPr>
                <w:rFonts w:ascii="宋体" w:hAnsi="宋体" w:eastAsia="宋体" w:cs="宋体"/>
                <w:sz w:val="18"/>
                <w:szCs w:val="18"/>
              </w:rPr>
            </w:pPr>
            <w:r>
              <w:rPr>
                <w:rFonts w:ascii="宋体" w:hAnsi="宋体" w:eastAsia="宋体" w:cs="宋体"/>
                <w:sz w:val="18"/>
                <w:szCs w:val="18"/>
              </w:rPr>
              <w:t>基础量贩</w:t>
            </w:r>
          </w:p>
        </w:tc>
        <w:tc>
          <w:tcPr>
            <w:tcW w:w="1205" w:type="dxa"/>
            <w:tcBorders>
              <w:top w:val="single" w:color="auto" w:sz="2" w:space="0"/>
              <w:left w:val="single" w:color="auto" w:sz="2" w:space="0"/>
              <w:bottom w:val="single" w:color="auto" w:sz="2" w:space="0"/>
              <w:right w:val="single" w:color="auto" w:sz="2" w:space="0"/>
            </w:tcBorders>
            <w:vAlign w:val="center"/>
          </w:tcPr>
          <w:p w14:paraId="18D7BCE6">
            <w:pPr>
              <w:spacing w:line="240" w:lineRule="exact"/>
              <w:rPr>
                <w:rFonts w:ascii="宋体" w:hAnsi="宋体" w:eastAsia="宋体" w:cs="宋体"/>
                <w:sz w:val="18"/>
                <w:szCs w:val="18"/>
              </w:rPr>
            </w:pPr>
            <w:r>
              <w:rPr>
                <w:rFonts w:ascii="宋体" w:hAnsi="宋体" w:eastAsia="宋体" w:cs="宋体"/>
                <w:sz w:val="18"/>
                <w:szCs w:val="18"/>
              </w:rPr>
              <w:t>男女</w:t>
            </w:r>
          </w:p>
        </w:tc>
        <w:tc>
          <w:tcPr>
            <w:tcW w:w="1205" w:type="dxa"/>
            <w:tcBorders>
              <w:top w:val="single" w:color="auto" w:sz="2" w:space="0"/>
              <w:left w:val="single" w:color="auto" w:sz="2" w:space="0"/>
              <w:bottom w:val="single" w:color="auto" w:sz="2" w:space="0"/>
              <w:right w:val="single" w:color="auto" w:sz="2" w:space="0"/>
            </w:tcBorders>
            <w:vAlign w:val="center"/>
          </w:tcPr>
          <w:p w14:paraId="2370BD27">
            <w:pPr>
              <w:spacing w:line="240" w:lineRule="exact"/>
              <w:rPr>
                <w:rFonts w:ascii="宋体" w:hAnsi="宋体" w:eastAsia="宋体" w:cs="宋体"/>
                <w:sz w:val="18"/>
                <w:szCs w:val="18"/>
              </w:rPr>
            </w:pPr>
            <w:r>
              <w:rPr>
                <w:rFonts w:ascii="宋体" w:hAnsi="宋体" w:eastAsia="宋体" w:cs="宋体"/>
                <w:sz w:val="18"/>
                <w:szCs w:val="18"/>
              </w:rPr>
              <w:t>100</w:t>
            </w:r>
          </w:p>
        </w:tc>
        <w:tc>
          <w:tcPr>
            <w:tcW w:w="1205" w:type="dxa"/>
            <w:tcBorders>
              <w:top w:val="single" w:color="auto" w:sz="2" w:space="0"/>
              <w:left w:val="single" w:color="auto" w:sz="2" w:space="0"/>
              <w:bottom w:val="single" w:color="auto" w:sz="2" w:space="0"/>
              <w:right w:val="single" w:color="auto" w:sz="2" w:space="0"/>
            </w:tcBorders>
            <w:vAlign w:val="center"/>
          </w:tcPr>
          <w:p w14:paraId="2790DC1A">
            <w:pPr>
              <w:spacing w:line="240" w:lineRule="exact"/>
              <w:rPr>
                <w:rFonts w:ascii="宋体" w:hAnsi="宋体" w:eastAsia="宋体" w:cs="宋体"/>
                <w:sz w:val="18"/>
                <w:szCs w:val="18"/>
              </w:rPr>
            </w:pPr>
            <w:r>
              <w:rPr>
                <w:rFonts w:ascii="宋体" w:hAnsi="宋体" w:eastAsia="宋体" w:cs="宋体"/>
                <w:sz w:val="18"/>
                <w:szCs w:val="18"/>
              </w:rPr>
              <w:t> 全国</w:t>
            </w:r>
          </w:p>
        </w:tc>
        <w:tc>
          <w:tcPr>
            <w:tcW w:w="1205" w:type="dxa"/>
            <w:tcBorders>
              <w:top w:val="single" w:color="auto" w:sz="2" w:space="0"/>
              <w:left w:val="single" w:color="auto" w:sz="2" w:space="0"/>
              <w:bottom w:val="single" w:color="auto" w:sz="2" w:space="0"/>
              <w:right w:val="single" w:color="auto" w:sz="2" w:space="0"/>
            </w:tcBorders>
            <w:vAlign w:val="center"/>
          </w:tcPr>
          <w:p w14:paraId="0812285D">
            <w:pPr>
              <w:spacing w:line="240" w:lineRule="exact"/>
              <w:rPr>
                <w:rFonts w:ascii="宋体" w:hAnsi="宋体" w:eastAsia="宋体" w:cs="宋体"/>
                <w:sz w:val="18"/>
                <w:szCs w:val="18"/>
              </w:rPr>
            </w:pPr>
            <w:r>
              <w:rPr>
                <w:rFonts w:ascii="宋体" w:hAnsi="宋体" w:eastAsia="宋体" w:cs="宋体"/>
                <w:sz w:val="18"/>
                <w:szCs w:val="18"/>
              </w:rPr>
              <w:t>一二三四线城市</w:t>
            </w:r>
          </w:p>
        </w:tc>
      </w:tr>
    </w:tbl>
    <w:p w14:paraId="37A4DC78">
      <w:pPr>
        <w:spacing w:before="100" w:after="100" w:line="240" w:lineRule="exact"/>
        <w:rPr>
          <w:rFonts w:ascii="宋体" w:hAnsi="宋体" w:eastAsia="宋体" w:cs="宋体"/>
          <w:sz w:val="18"/>
          <w:szCs w:val="18"/>
        </w:rPr>
      </w:pPr>
      <w:r>
        <w:rPr>
          <w:rFonts w:ascii="宋体" w:hAnsi="宋体" w:eastAsia="宋体" w:cs="宋体"/>
          <w:sz w:val="18"/>
          <w:szCs w:val="18"/>
        </w:rPr>
        <w:t>合作品牌</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4"/>
        <w:gridCol w:w="804"/>
        <w:gridCol w:w="804"/>
        <w:gridCol w:w="803"/>
        <w:gridCol w:w="803"/>
        <w:gridCol w:w="803"/>
        <w:gridCol w:w="803"/>
        <w:gridCol w:w="803"/>
        <w:gridCol w:w="803"/>
        <w:gridCol w:w="803"/>
        <w:gridCol w:w="803"/>
        <w:gridCol w:w="803"/>
      </w:tblGrid>
      <w:tr w14:paraId="0E5D6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3116390C">
            <w:pPr>
              <w:spacing w:before="40" w:after="40" w:line="240" w:lineRule="exact"/>
              <w:jc w:val="center"/>
              <w:rPr>
                <w:rFonts w:ascii="宋体" w:hAnsi="宋体" w:eastAsia="宋体" w:cs="宋体"/>
                <w:sz w:val="18"/>
                <w:szCs w:val="18"/>
              </w:rPr>
            </w:pPr>
            <w:r>
              <w:rPr>
                <w:rFonts w:ascii="宋体" w:hAnsi="宋体" w:eastAsia="宋体" w:cs="宋体"/>
                <w:sz w:val="18"/>
                <w:szCs w:val="18"/>
              </w:rPr>
              <w:t>品牌名称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386EE057">
            <w:pPr>
              <w:spacing w:before="40" w:after="40" w:line="240" w:lineRule="exact"/>
              <w:jc w:val="center"/>
              <w:rPr>
                <w:rFonts w:ascii="宋体" w:hAnsi="宋体" w:eastAsia="宋体" w:cs="宋体"/>
                <w:sz w:val="18"/>
                <w:szCs w:val="18"/>
              </w:rPr>
            </w:pPr>
            <w:r>
              <w:rPr>
                <w:rFonts w:ascii="宋体" w:hAnsi="宋体" w:eastAsia="宋体" w:cs="宋体"/>
                <w:sz w:val="18"/>
                <w:szCs w:val="18"/>
              </w:rPr>
              <w:t>商标名称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391FAF9C">
            <w:pPr>
              <w:spacing w:before="40" w:after="40" w:line="240" w:lineRule="exact"/>
              <w:jc w:val="center"/>
              <w:rPr>
                <w:rFonts w:ascii="宋体" w:hAnsi="宋体" w:eastAsia="宋体" w:cs="宋体"/>
                <w:sz w:val="18"/>
                <w:szCs w:val="18"/>
              </w:rPr>
            </w:pPr>
            <w:r>
              <w:rPr>
                <w:rFonts w:ascii="宋体" w:hAnsi="宋体" w:eastAsia="宋体" w:cs="宋体"/>
                <w:sz w:val="18"/>
                <w:szCs w:val="18"/>
              </w:rPr>
              <w:t>主要产品类型</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3ACA8665">
            <w:pPr>
              <w:spacing w:before="40" w:after="40" w:line="240" w:lineRule="exact"/>
              <w:jc w:val="center"/>
              <w:rPr>
                <w:rFonts w:ascii="宋体" w:hAnsi="宋体" w:eastAsia="宋体" w:cs="宋体"/>
                <w:sz w:val="18"/>
                <w:szCs w:val="18"/>
              </w:rPr>
            </w:pPr>
            <w:r>
              <w:rPr>
                <w:rFonts w:ascii="宋体" w:hAnsi="宋体" w:eastAsia="宋体" w:cs="宋体"/>
                <w:sz w:val="18"/>
                <w:szCs w:val="18"/>
              </w:rPr>
              <w:t>特点</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64E2A552">
            <w:pPr>
              <w:spacing w:before="40" w:after="40" w:line="240" w:lineRule="exact"/>
              <w:jc w:val="center"/>
              <w:rPr>
                <w:rFonts w:ascii="宋体" w:hAnsi="宋体" w:eastAsia="宋体" w:cs="宋体"/>
                <w:sz w:val="18"/>
                <w:szCs w:val="18"/>
              </w:rPr>
            </w:pPr>
            <w:r>
              <w:rPr>
                <w:rFonts w:ascii="宋体" w:hAnsi="宋体" w:eastAsia="宋体" w:cs="宋体"/>
                <w:sz w:val="18"/>
                <w:szCs w:val="18"/>
              </w:rPr>
              <w:t>目标客户群</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75932248">
            <w:pPr>
              <w:spacing w:before="40" w:after="40" w:line="240" w:lineRule="exact"/>
              <w:jc w:val="center"/>
              <w:rPr>
                <w:rFonts w:ascii="宋体" w:hAnsi="宋体" w:eastAsia="宋体" w:cs="宋体"/>
                <w:sz w:val="18"/>
                <w:szCs w:val="18"/>
              </w:rPr>
            </w:pPr>
            <w:r>
              <w:rPr>
                <w:rFonts w:ascii="宋体" w:hAnsi="宋体" w:eastAsia="宋体" w:cs="宋体"/>
                <w:sz w:val="18"/>
                <w:szCs w:val="18"/>
              </w:rPr>
              <w:t>主要产品价格带</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3CB4EA1D">
            <w:pPr>
              <w:spacing w:before="40" w:after="40" w:line="240" w:lineRule="exact"/>
              <w:jc w:val="center"/>
              <w:rPr>
                <w:rFonts w:ascii="宋体" w:hAnsi="宋体" w:eastAsia="宋体" w:cs="宋体"/>
                <w:sz w:val="18"/>
                <w:szCs w:val="18"/>
              </w:rPr>
            </w:pPr>
            <w:r>
              <w:rPr>
                <w:rFonts w:ascii="宋体" w:hAnsi="宋体" w:eastAsia="宋体" w:cs="宋体"/>
                <w:sz w:val="18"/>
                <w:szCs w:val="18"/>
              </w:rPr>
              <w:t>主要销售区域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4ABD48B6">
            <w:pPr>
              <w:spacing w:before="40" w:after="40" w:line="240" w:lineRule="exact"/>
              <w:jc w:val="center"/>
              <w:rPr>
                <w:rFonts w:ascii="宋体" w:hAnsi="宋体" w:eastAsia="宋体" w:cs="宋体"/>
                <w:sz w:val="18"/>
                <w:szCs w:val="18"/>
              </w:rPr>
            </w:pPr>
            <w:r>
              <w:rPr>
                <w:rFonts w:ascii="宋体" w:hAnsi="宋体" w:eastAsia="宋体" w:cs="宋体"/>
                <w:sz w:val="18"/>
                <w:szCs w:val="18"/>
              </w:rPr>
              <w:t>城市级别</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01D4F2BD">
            <w:pPr>
              <w:spacing w:before="40" w:after="40" w:line="240" w:lineRule="exact"/>
              <w:jc w:val="center"/>
              <w:rPr>
                <w:rFonts w:ascii="宋体" w:hAnsi="宋体" w:eastAsia="宋体" w:cs="宋体"/>
                <w:sz w:val="18"/>
                <w:szCs w:val="18"/>
              </w:rPr>
            </w:pPr>
            <w:r>
              <w:rPr>
                <w:rFonts w:ascii="宋体" w:hAnsi="宋体" w:eastAsia="宋体" w:cs="宋体"/>
                <w:sz w:val="18"/>
                <w:szCs w:val="18"/>
              </w:rPr>
              <w:t>品牌及商标权权属</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024F488F">
            <w:pPr>
              <w:spacing w:before="40" w:after="40" w:line="240" w:lineRule="exact"/>
              <w:jc w:val="center"/>
              <w:rPr>
                <w:rFonts w:ascii="宋体" w:hAnsi="宋体" w:eastAsia="宋体" w:cs="宋体"/>
                <w:sz w:val="18"/>
                <w:szCs w:val="18"/>
              </w:rPr>
            </w:pPr>
            <w:r>
              <w:rPr>
                <w:rFonts w:ascii="宋体" w:hAnsi="宋体" w:eastAsia="宋体" w:cs="宋体"/>
                <w:sz w:val="18"/>
                <w:szCs w:val="18"/>
              </w:rPr>
              <w:t>合作方名称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5EA3E39E">
            <w:pPr>
              <w:spacing w:before="40" w:after="40" w:line="240" w:lineRule="exact"/>
              <w:jc w:val="center"/>
              <w:rPr>
                <w:rFonts w:ascii="宋体" w:hAnsi="宋体" w:eastAsia="宋体" w:cs="宋体"/>
                <w:sz w:val="18"/>
                <w:szCs w:val="18"/>
              </w:rPr>
            </w:pPr>
            <w:r>
              <w:rPr>
                <w:rFonts w:ascii="宋体" w:hAnsi="宋体" w:eastAsia="宋体" w:cs="宋体"/>
                <w:sz w:val="18"/>
                <w:szCs w:val="18"/>
              </w:rPr>
              <w:t>合作方式</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016F3ACB">
            <w:pPr>
              <w:spacing w:before="40" w:after="40" w:line="240" w:lineRule="exact"/>
              <w:jc w:val="center"/>
              <w:rPr>
                <w:rFonts w:ascii="宋体" w:hAnsi="宋体" w:eastAsia="宋体" w:cs="宋体"/>
                <w:sz w:val="18"/>
                <w:szCs w:val="18"/>
              </w:rPr>
            </w:pPr>
            <w:r>
              <w:rPr>
                <w:rFonts w:ascii="宋体" w:hAnsi="宋体" w:eastAsia="宋体" w:cs="宋体"/>
                <w:sz w:val="18"/>
                <w:szCs w:val="18"/>
              </w:rPr>
              <w:t>合作期限</w:t>
            </w:r>
          </w:p>
        </w:tc>
      </w:tr>
      <w:tr w14:paraId="6158E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1C1892DE">
            <w:pPr>
              <w:spacing w:line="240" w:lineRule="exact"/>
              <w:rPr>
                <w:rFonts w:ascii="宋体" w:hAnsi="宋体" w:eastAsia="宋体" w:cs="宋体"/>
                <w:sz w:val="18"/>
                <w:szCs w:val="18"/>
              </w:rPr>
            </w:pPr>
            <w:r>
              <w:rPr>
                <w:rFonts w:ascii="宋体" w:hAnsi="宋体" w:eastAsia="宋体" w:cs="宋体"/>
                <w:sz w:val="18"/>
                <w:szCs w:val="18"/>
              </w:rPr>
              <w:t>屈臣氏</w:t>
            </w:r>
          </w:p>
        </w:tc>
        <w:tc>
          <w:tcPr>
            <w:tcW w:w="803" w:type="dxa"/>
            <w:tcBorders>
              <w:top w:val="single" w:color="auto" w:sz="2" w:space="0"/>
              <w:left w:val="single" w:color="auto" w:sz="2" w:space="0"/>
              <w:bottom w:val="single" w:color="auto" w:sz="2" w:space="0"/>
              <w:right w:val="single" w:color="auto" w:sz="2" w:space="0"/>
            </w:tcBorders>
            <w:vAlign w:val="center"/>
          </w:tcPr>
          <w:p w14:paraId="4B563D9A">
            <w:pPr>
              <w:spacing w:line="240" w:lineRule="exact"/>
              <w:rPr>
                <w:rFonts w:ascii="宋体" w:hAnsi="宋体" w:eastAsia="宋体" w:cs="宋体"/>
                <w:sz w:val="18"/>
                <w:szCs w:val="18"/>
              </w:rPr>
            </w:pPr>
            <w:r>
              <w:rPr>
                <w:rFonts w:ascii="宋体" w:hAnsi="宋体" w:eastAsia="宋体" w:cs="宋体"/>
                <w:sz w:val="18"/>
                <w:szCs w:val="18"/>
              </w:rPr>
              <w:t>屈臣氏</w:t>
            </w:r>
          </w:p>
        </w:tc>
        <w:tc>
          <w:tcPr>
            <w:tcW w:w="803" w:type="dxa"/>
            <w:tcBorders>
              <w:top w:val="single" w:color="auto" w:sz="2" w:space="0"/>
              <w:left w:val="single" w:color="auto" w:sz="2" w:space="0"/>
              <w:bottom w:val="single" w:color="auto" w:sz="2" w:space="0"/>
              <w:right w:val="single" w:color="auto" w:sz="2" w:space="0"/>
            </w:tcBorders>
            <w:vAlign w:val="center"/>
          </w:tcPr>
          <w:p w14:paraId="40D04B6A">
            <w:pPr>
              <w:spacing w:line="240" w:lineRule="exact"/>
              <w:rPr>
                <w:rFonts w:ascii="宋体" w:hAnsi="宋体" w:eastAsia="宋体" w:cs="宋体"/>
                <w:sz w:val="18"/>
                <w:szCs w:val="18"/>
              </w:rPr>
            </w:pPr>
            <w:r>
              <w:rPr>
                <w:rFonts w:ascii="宋体" w:hAnsi="宋体" w:eastAsia="宋体" w:cs="宋体"/>
                <w:sz w:val="18"/>
                <w:szCs w:val="18"/>
              </w:rPr>
              <w:t>袜子</w:t>
            </w:r>
          </w:p>
        </w:tc>
        <w:tc>
          <w:tcPr>
            <w:tcW w:w="803" w:type="dxa"/>
            <w:tcBorders>
              <w:top w:val="single" w:color="auto" w:sz="2" w:space="0"/>
              <w:left w:val="single" w:color="auto" w:sz="2" w:space="0"/>
              <w:bottom w:val="single" w:color="auto" w:sz="2" w:space="0"/>
              <w:right w:val="single" w:color="auto" w:sz="2" w:space="0"/>
            </w:tcBorders>
            <w:vAlign w:val="center"/>
          </w:tcPr>
          <w:p w14:paraId="08A18B5A">
            <w:pPr>
              <w:spacing w:line="240" w:lineRule="exact"/>
              <w:rPr>
                <w:rFonts w:ascii="宋体" w:hAnsi="宋体" w:eastAsia="宋体" w:cs="宋体"/>
                <w:sz w:val="18"/>
                <w:szCs w:val="18"/>
              </w:rPr>
            </w:pPr>
            <w:r>
              <w:rPr>
                <w:rFonts w:ascii="宋体" w:hAnsi="宋体" w:eastAsia="宋体" w:cs="宋体"/>
                <w:sz w:val="18"/>
                <w:szCs w:val="18"/>
              </w:rPr>
              <w:t>年轻时尚</w:t>
            </w:r>
          </w:p>
        </w:tc>
        <w:tc>
          <w:tcPr>
            <w:tcW w:w="803" w:type="dxa"/>
            <w:tcBorders>
              <w:top w:val="single" w:color="auto" w:sz="2" w:space="0"/>
              <w:left w:val="single" w:color="auto" w:sz="2" w:space="0"/>
              <w:bottom w:val="single" w:color="auto" w:sz="2" w:space="0"/>
              <w:right w:val="single" w:color="auto" w:sz="2" w:space="0"/>
            </w:tcBorders>
            <w:vAlign w:val="center"/>
          </w:tcPr>
          <w:p w14:paraId="07054CBE">
            <w:pPr>
              <w:spacing w:line="240" w:lineRule="exact"/>
              <w:rPr>
                <w:rFonts w:ascii="宋体" w:hAnsi="宋体" w:eastAsia="宋体" w:cs="宋体"/>
                <w:sz w:val="18"/>
                <w:szCs w:val="18"/>
              </w:rPr>
            </w:pPr>
            <w:r>
              <w:rPr>
                <w:rFonts w:ascii="宋体" w:hAnsi="宋体" w:eastAsia="宋体" w:cs="宋体"/>
                <w:sz w:val="18"/>
                <w:szCs w:val="18"/>
              </w:rPr>
              <w:t>女性</w:t>
            </w:r>
          </w:p>
        </w:tc>
        <w:tc>
          <w:tcPr>
            <w:tcW w:w="803" w:type="dxa"/>
            <w:tcBorders>
              <w:top w:val="single" w:color="auto" w:sz="2" w:space="0"/>
              <w:left w:val="single" w:color="auto" w:sz="2" w:space="0"/>
              <w:bottom w:val="single" w:color="auto" w:sz="2" w:space="0"/>
              <w:right w:val="single" w:color="auto" w:sz="2" w:space="0"/>
            </w:tcBorders>
            <w:vAlign w:val="center"/>
          </w:tcPr>
          <w:p w14:paraId="138134D8">
            <w:pPr>
              <w:spacing w:line="240" w:lineRule="exact"/>
              <w:rPr>
                <w:rFonts w:ascii="宋体" w:hAnsi="宋体" w:eastAsia="宋体" w:cs="宋体"/>
                <w:sz w:val="18"/>
                <w:szCs w:val="18"/>
              </w:rPr>
            </w:pPr>
            <w:r>
              <w:rPr>
                <w:rFonts w:ascii="宋体" w:hAnsi="宋体" w:eastAsia="宋体" w:cs="宋体"/>
                <w:sz w:val="18"/>
                <w:szCs w:val="18"/>
              </w:rPr>
              <w:t>30-60</w:t>
            </w:r>
          </w:p>
        </w:tc>
        <w:tc>
          <w:tcPr>
            <w:tcW w:w="803" w:type="dxa"/>
            <w:tcBorders>
              <w:top w:val="single" w:color="auto" w:sz="2" w:space="0"/>
              <w:left w:val="single" w:color="auto" w:sz="2" w:space="0"/>
              <w:bottom w:val="single" w:color="auto" w:sz="2" w:space="0"/>
              <w:right w:val="single" w:color="auto" w:sz="2" w:space="0"/>
            </w:tcBorders>
            <w:vAlign w:val="center"/>
          </w:tcPr>
          <w:p w14:paraId="3BC209C7">
            <w:pPr>
              <w:spacing w:line="240" w:lineRule="exact"/>
              <w:rPr>
                <w:rFonts w:ascii="宋体" w:hAnsi="宋体" w:eastAsia="宋体" w:cs="宋体"/>
                <w:sz w:val="18"/>
                <w:szCs w:val="18"/>
              </w:rPr>
            </w:pPr>
            <w:r>
              <w:rPr>
                <w:rFonts w:ascii="宋体" w:hAnsi="宋体" w:eastAsia="宋体" w:cs="宋体"/>
                <w:sz w:val="18"/>
                <w:szCs w:val="18"/>
              </w:rPr>
              <w:t> 全国</w:t>
            </w:r>
          </w:p>
        </w:tc>
        <w:tc>
          <w:tcPr>
            <w:tcW w:w="803" w:type="dxa"/>
            <w:tcBorders>
              <w:top w:val="single" w:color="auto" w:sz="2" w:space="0"/>
              <w:left w:val="single" w:color="auto" w:sz="2" w:space="0"/>
              <w:bottom w:val="single" w:color="auto" w:sz="2" w:space="0"/>
              <w:right w:val="single" w:color="auto" w:sz="2" w:space="0"/>
            </w:tcBorders>
            <w:vAlign w:val="center"/>
          </w:tcPr>
          <w:p w14:paraId="66CDC533">
            <w:pPr>
              <w:spacing w:line="240" w:lineRule="exact"/>
              <w:rPr>
                <w:rFonts w:ascii="宋体" w:hAnsi="宋体" w:eastAsia="宋体" w:cs="宋体"/>
                <w:sz w:val="18"/>
                <w:szCs w:val="18"/>
              </w:rPr>
            </w:pPr>
            <w:r>
              <w:rPr>
                <w:rFonts w:ascii="宋体" w:hAnsi="宋体" w:eastAsia="宋体" w:cs="宋体"/>
                <w:sz w:val="18"/>
                <w:szCs w:val="18"/>
              </w:rPr>
              <w:t>一二线城市</w:t>
            </w:r>
          </w:p>
        </w:tc>
        <w:tc>
          <w:tcPr>
            <w:tcW w:w="803" w:type="dxa"/>
            <w:tcBorders>
              <w:top w:val="single" w:color="auto" w:sz="2" w:space="0"/>
              <w:left w:val="single" w:color="auto" w:sz="2" w:space="0"/>
              <w:bottom w:val="single" w:color="auto" w:sz="2" w:space="0"/>
              <w:right w:val="single" w:color="auto" w:sz="2" w:space="0"/>
            </w:tcBorders>
            <w:vAlign w:val="center"/>
          </w:tcPr>
          <w:p w14:paraId="10DE180E">
            <w:pPr>
              <w:spacing w:line="240" w:lineRule="exact"/>
              <w:rPr>
                <w:rFonts w:ascii="宋体" w:hAnsi="宋体" w:eastAsia="宋体" w:cs="宋体"/>
                <w:sz w:val="18"/>
                <w:szCs w:val="18"/>
              </w:rPr>
            </w:pPr>
            <w:r>
              <w:rPr>
                <w:rFonts w:ascii="宋体" w:hAnsi="宋体" w:eastAsia="宋体" w:cs="宋体"/>
                <w:sz w:val="18"/>
                <w:szCs w:val="18"/>
              </w:rPr>
              <w:t>品牌方</w:t>
            </w:r>
          </w:p>
        </w:tc>
        <w:tc>
          <w:tcPr>
            <w:tcW w:w="803" w:type="dxa"/>
            <w:tcBorders>
              <w:top w:val="single" w:color="auto" w:sz="2" w:space="0"/>
              <w:left w:val="single" w:color="auto" w:sz="2" w:space="0"/>
              <w:bottom w:val="single" w:color="auto" w:sz="2" w:space="0"/>
              <w:right w:val="single" w:color="auto" w:sz="2" w:space="0"/>
            </w:tcBorders>
            <w:vAlign w:val="center"/>
          </w:tcPr>
          <w:p w14:paraId="4550C4E5">
            <w:pPr>
              <w:spacing w:line="240" w:lineRule="exact"/>
              <w:rPr>
                <w:rFonts w:ascii="宋体" w:hAnsi="宋体" w:eastAsia="宋体" w:cs="宋体"/>
                <w:sz w:val="18"/>
                <w:szCs w:val="18"/>
              </w:rPr>
            </w:pPr>
            <w:r>
              <w:rPr>
                <w:rFonts w:ascii="宋体" w:hAnsi="宋体" w:eastAsia="宋体" w:cs="宋体"/>
                <w:sz w:val="18"/>
                <w:szCs w:val="18"/>
              </w:rPr>
              <w:t>屈臣氏</w:t>
            </w:r>
          </w:p>
        </w:tc>
        <w:tc>
          <w:tcPr>
            <w:tcW w:w="803" w:type="dxa"/>
            <w:tcBorders>
              <w:top w:val="single" w:color="auto" w:sz="2" w:space="0"/>
              <w:left w:val="single" w:color="auto" w:sz="2" w:space="0"/>
              <w:bottom w:val="single" w:color="auto" w:sz="2" w:space="0"/>
              <w:right w:val="single" w:color="auto" w:sz="2" w:space="0"/>
            </w:tcBorders>
            <w:vAlign w:val="center"/>
          </w:tcPr>
          <w:p w14:paraId="66033F4C">
            <w:pPr>
              <w:spacing w:line="240" w:lineRule="exact"/>
              <w:rPr>
                <w:rFonts w:ascii="宋体" w:hAnsi="宋体" w:eastAsia="宋体" w:cs="宋体"/>
                <w:sz w:val="18"/>
                <w:szCs w:val="18"/>
              </w:rPr>
            </w:pPr>
            <w:r>
              <w:rPr>
                <w:rFonts w:ascii="宋体" w:hAnsi="宋体" w:eastAsia="宋体" w:cs="宋体"/>
                <w:sz w:val="18"/>
                <w:szCs w:val="18"/>
              </w:rPr>
              <w:t>OEM</w:t>
            </w:r>
          </w:p>
        </w:tc>
        <w:tc>
          <w:tcPr>
            <w:tcW w:w="803" w:type="dxa"/>
            <w:tcBorders>
              <w:top w:val="single" w:color="auto" w:sz="2" w:space="0"/>
              <w:left w:val="single" w:color="auto" w:sz="2" w:space="0"/>
              <w:bottom w:val="single" w:color="auto" w:sz="2" w:space="0"/>
              <w:right w:val="single" w:color="auto" w:sz="2" w:space="0"/>
            </w:tcBorders>
            <w:vAlign w:val="center"/>
          </w:tcPr>
          <w:p w14:paraId="3A41A82A">
            <w:pPr>
              <w:spacing w:line="240" w:lineRule="exact"/>
              <w:rPr>
                <w:rFonts w:ascii="宋体" w:hAnsi="宋体" w:eastAsia="宋体" w:cs="宋体"/>
                <w:sz w:val="18"/>
                <w:szCs w:val="18"/>
              </w:rPr>
            </w:pPr>
            <w:r>
              <w:rPr>
                <w:rFonts w:ascii="宋体" w:hAnsi="宋体" w:eastAsia="宋体" w:cs="宋体"/>
                <w:sz w:val="18"/>
                <w:szCs w:val="18"/>
              </w:rPr>
              <w:t>长期</w:t>
            </w:r>
          </w:p>
        </w:tc>
      </w:tr>
      <w:tr w14:paraId="6134C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62AB5C30">
            <w:pPr>
              <w:spacing w:line="240" w:lineRule="exact"/>
              <w:rPr>
                <w:rFonts w:ascii="宋体" w:hAnsi="宋体" w:eastAsia="宋体" w:cs="宋体"/>
                <w:sz w:val="18"/>
                <w:szCs w:val="18"/>
              </w:rPr>
            </w:pPr>
            <w:r>
              <w:rPr>
                <w:rFonts w:ascii="宋体" w:hAnsi="宋体" w:eastAsia="宋体" w:cs="宋体"/>
                <w:sz w:val="18"/>
                <w:szCs w:val="18"/>
              </w:rPr>
              <w:t>果壳</w:t>
            </w:r>
          </w:p>
        </w:tc>
        <w:tc>
          <w:tcPr>
            <w:tcW w:w="803" w:type="dxa"/>
            <w:tcBorders>
              <w:top w:val="single" w:color="auto" w:sz="2" w:space="0"/>
              <w:left w:val="single" w:color="auto" w:sz="2" w:space="0"/>
              <w:bottom w:val="single" w:color="auto" w:sz="2" w:space="0"/>
              <w:right w:val="single" w:color="auto" w:sz="2" w:space="0"/>
            </w:tcBorders>
            <w:vAlign w:val="center"/>
          </w:tcPr>
          <w:p w14:paraId="6AC09274">
            <w:pPr>
              <w:spacing w:line="240" w:lineRule="exact"/>
              <w:rPr>
                <w:rFonts w:ascii="宋体" w:hAnsi="宋体" w:eastAsia="宋体" w:cs="宋体"/>
                <w:sz w:val="18"/>
                <w:szCs w:val="18"/>
              </w:rPr>
            </w:pPr>
            <w:r>
              <w:rPr>
                <w:rFonts w:ascii="宋体" w:hAnsi="宋体" w:eastAsia="宋体" w:cs="宋体"/>
                <w:sz w:val="18"/>
                <w:szCs w:val="18"/>
              </w:rPr>
              <w:t>果壳</w:t>
            </w:r>
          </w:p>
        </w:tc>
        <w:tc>
          <w:tcPr>
            <w:tcW w:w="803" w:type="dxa"/>
            <w:tcBorders>
              <w:top w:val="single" w:color="auto" w:sz="2" w:space="0"/>
              <w:left w:val="single" w:color="auto" w:sz="2" w:space="0"/>
              <w:bottom w:val="single" w:color="auto" w:sz="2" w:space="0"/>
              <w:right w:val="single" w:color="auto" w:sz="2" w:space="0"/>
            </w:tcBorders>
            <w:vAlign w:val="center"/>
          </w:tcPr>
          <w:p w14:paraId="0BDE139A">
            <w:pPr>
              <w:spacing w:line="240" w:lineRule="exact"/>
              <w:rPr>
                <w:rFonts w:ascii="宋体" w:hAnsi="宋体" w:eastAsia="宋体" w:cs="宋体"/>
                <w:sz w:val="18"/>
                <w:szCs w:val="18"/>
              </w:rPr>
            </w:pPr>
            <w:r>
              <w:rPr>
                <w:rFonts w:ascii="宋体" w:hAnsi="宋体" w:eastAsia="宋体" w:cs="宋体"/>
                <w:sz w:val="18"/>
                <w:szCs w:val="18"/>
              </w:rPr>
              <w:t>袜子</w:t>
            </w:r>
          </w:p>
        </w:tc>
        <w:tc>
          <w:tcPr>
            <w:tcW w:w="803" w:type="dxa"/>
            <w:tcBorders>
              <w:top w:val="single" w:color="auto" w:sz="2" w:space="0"/>
              <w:left w:val="single" w:color="auto" w:sz="2" w:space="0"/>
              <w:bottom w:val="single" w:color="auto" w:sz="2" w:space="0"/>
              <w:right w:val="single" w:color="auto" w:sz="2" w:space="0"/>
            </w:tcBorders>
            <w:vAlign w:val="center"/>
          </w:tcPr>
          <w:p w14:paraId="534E0D9F">
            <w:pPr>
              <w:spacing w:line="240" w:lineRule="exact"/>
              <w:rPr>
                <w:rFonts w:ascii="宋体" w:hAnsi="宋体" w:eastAsia="宋体" w:cs="宋体"/>
                <w:sz w:val="18"/>
                <w:szCs w:val="18"/>
              </w:rPr>
            </w:pPr>
            <w:r>
              <w:rPr>
                <w:rFonts w:ascii="宋体" w:hAnsi="宋体" w:eastAsia="宋体" w:cs="宋体"/>
                <w:sz w:val="18"/>
                <w:szCs w:val="18"/>
              </w:rPr>
              <w:t>年轻时尚</w:t>
            </w:r>
          </w:p>
        </w:tc>
        <w:tc>
          <w:tcPr>
            <w:tcW w:w="803" w:type="dxa"/>
            <w:tcBorders>
              <w:top w:val="single" w:color="auto" w:sz="2" w:space="0"/>
              <w:left w:val="single" w:color="auto" w:sz="2" w:space="0"/>
              <w:bottom w:val="single" w:color="auto" w:sz="2" w:space="0"/>
              <w:right w:val="single" w:color="auto" w:sz="2" w:space="0"/>
            </w:tcBorders>
            <w:vAlign w:val="center"/>
          </w:tcPr>
          <w:p w14:paraId="2852DB31">
            <w:pPr>
              <w:spacing w:line="240" w:lineRule="exact"/>
              <w:rPr>
                <w:rFonts w:ascii="宋体" w:hAnsi="宋体" w:eastAsia="宋体" w:cs="宋体"/>
                <w:sz w:val="18"/>
                <w:szCs w:val="18"/>
              </w:rPr>
            </w:pPr>
            <w:r>
              <w:rPr>
                <w:rFonts w:ascii="宋体" w:hAnsi="宋体" w:eastAsia="宋体" w:cs="宋体"/>
                <w:sz w:val="18"/>
                <w:szCs w:val="18"/>
              </w:rPr>
              <w:t>女性</w:t>
            </w:r>
          </w:p>
        </w:tc>
        <w:tc>
          <w:tcPr>
            <w:tcW w:w="803" w:type="dxa"/>
            <w:tcBorders>
              <w:top w:val="single" w:color="auto" w:sz="2" w:space="0"/>
              <w:left w:val="single" w:color="auto" w:sz="2" w:space="0"/>
              <w:bottom w:val="single" w:color="auto" w:sz="2" w:space="0"/>
              <w:right w:val="single" w:color="auto" w:sz="2" w:space="0"/>
            </w:tcBorders>
            <w:vAlign w:val="center"/>
          </w:tcPr>
          <w:p w14:paraId="7D5E9C3C">
            <w:pPr>
              <w:spacing w:line="240" w:lineRule="exact"/>
              <w:rPr>
                <w:rFonts w:ascii="宋体" w:hAnsi="宋体" w:eastAsia="宋体" w:cs="宋体"/>
                <w:sz w:val="18"/>
                <w:szCs w:val="18"/>
              </w:rPr>
            </w:pPr>
            <w:r>
              <w:rPr>
                <w:rFonts w:ascii="宋体" w:hAnsi="宋体" w:eastAsia="宋体" w:cs="宋体"/>
                <w:sz w:val="18"/>
                <w:szCs w:val="18"/>
              </w:rPr>
              <w:t>20-40</w:t>
            </w:r>
          </w:p>
        </w:tc>
        <w:tc>
          <w:tcPr>
            <w:tcW w:w="803" w:type="dxa"/>
            <w:tcBorders>
              <w:top w:val="single" w:color="auto" w:sz="2" w:space="0"/>
              <w:left w:val="single" w:color="auto" w:sz="2" w:space="0"/>
              <w:bottom w:val="single" w:color="auto" w:sz="2" w:space="0"/>
              <w:right w:val="single" w:color="auto" w:sz="2" w:space="0"/>
            </w:tcBorders>
            <w:vAlign w:val="center"/>
          </w:tcPr>
          <w:p w14:paraId="3A5394E9">
            <w:pPr>
              <w:spacing w:line="240" w:lineRule="exact"/>
              <w:rPr>
                <w:rFonts w:ascii="宋体" w:hAnsi="宋体" w:eastAsia="宋体" w:cs="宋体"/>
                <w:sz w:val="18"/>
                <w:szCs w:val="18"/>
              </w:rPr>
            </w:pPr>
            <w:r>
              <w:rPr>
                <w:rFonts w:ascii="宋体" w:hAnsi="宋体" w:eastAsia="宋体" w:cs="宋体"/>
                <w:sz w:val="18"/>
                <w:szCs w:val="18"/>
              </w:rPr>
              <w:t> 全国</w:t>
            </w:r>
          </w:p>
        </w:tc>
        <w:tc>
          <w:tcPr>
            <w:tcW w:w="803" w:type="dxa"/>
            <w:tcBorders>
              <w:top w:val="single" w:color="auto" w:sz="2" w:space="0"/>
              <w:left w:val="single" w:color="auto" w:sz="2" w:space="0"/>
              <w:bottom w:val="single" w:color="auto" w:sz="2" w:space="0"/>
              <w:right w:val="single" w:color="auto" w:sz="2" w:space="0"/>
            </w:tcBorders>
            <w:vAlign w:val="center"/>
          </w:tcPr>
          <w:p w14:paraId="72624791">
            <w:pPr>
              <w:spacing w:line="240" w:lineRule="exact"/>
              <w:rPr>
                <w:rFonts w:ascii="宋体" w:hAnsi="宋体" w:eastAsia="宋体" w:cs="宋体"/>
                <w:sz w:val="18"/>
                <w:szCs w:val="18"/>
              </w:rPr>
            </w:pPr>
            <w:r>
              <w:rPr>
                <w:rFonts w:ascii="宋体" w:hAnsi="宋体" w:eastAsia="宋体" w:cs="宋体"/>
                <w:sz w:val="18"/>
                <w:szCs w:val="18"/>
              </w:rPr>
              <w:t>一二线城市</w:t>
            </w:r>
          </w:p>
        </w:tc>
        <w:tc>
          <w:tcPr>
            <w:tcW w:w="803" w:type="dxa"/>
            <w:tcBorders>
              <w:top w:val="single" w:color="auto" w:sz="2" w:space="0"/>
              <w:left w:val="single" w:color="auto" w:sz="2" w:space="0"/>
              <w:bottom w:val="single" w:color="auto" w:sz="2" w:space="0"/>
              <w:right w:val="single" w:color="auto" w:sz="2" w:space="0"/>
            </w:tcBorders>
            <w:vAlign w:val="center"/>
          </w:tcPr>
          <w:p w14:paraId="57FCF4FA">
            <w:pPr>
              <w:spacing w:line="240" w:lineRule="exact"/>
              <w:rPr>
                <w:rFonts w:ascii="宋体" w:hAnsi="宋体" w:eastAsia="宋体" w:cs="宋体"/>
                <w:sz w:val="18"/>
                <w:szCs w:val="18"/>
              </w:rPr>
            </w:pPr>
            <w:r>
              <w:rPr>
                <w:rFonts w:ascii="宋体" w:hAnsi="宋体" w:eastAsia="宋体" w:cs="宋体"/>
                <w:sz w:val="18"/>
                <w:szCs w:val="18"/>
              </w:rPr>
              <w:t>品牌方</w:t>
            </w:r>
          </w:p>
        </w:tc>
        <w:tc>
          <w:tcPr>
            <w:tcW w:w="803" w:type="dxa"/>
            <w:tcBorders>
              <w:top w:val="single" w:color="auto" w:sz="2" w:space="0"/>
              <w:left w:val="single" w:color="auto" w:sz="2" w:space="0"/>
              <w:bottom w:val="single" w:color="auto" w:sz="2" w:space="0"/>
              <w:right w:val="single" w:color="auto" w:sz="2" w:space="0"/>
            </w:tcBorders>
            <w:vAlign w:val="center"/>
          </w:tcPr>
          <w:p w14:paraId="1E1BA943">
            <w:pPr>
              <w:spacing w:line="240" w:lineRule="exact"/>
              <w:rPr>
                <w:rFonts w:ascii="宋体" w:hAnsi="宋体" w:eastAsia="宋体" w:cs="宋体"/>
                <w:sz w:val="18"/>
                <w:szCs w:val="18"/>
              </w:rPr>
            </w:pPr>
            <w:r>
              <w:rPr>
                <w:rFonts w:ascii="宋体" w:hAnsi="宋体" w:eastAsia="宋体" w:cs="宋体"/>
                <w:sz w:val="18"/>
                <w:szCs w:val="18"/>
              </w:rPr>
              <w:t>果壳</w:t>
            </w:r>
          </w:p>
        </w:tc>
        <w:tc>
          <w:tcPr>
            <w:tcW w:w="803" w:type="dxa"/>
            <w:tcBorders>
              <w:top w:val="single" w:color="auto" w:sz="2" w:space="0"/>
              <w:left w:val="single" w:color="auto" w:sz="2" w:space="0"/>
              <w:bottom w:val="single" w:color="auto" w:sz="2" w:space="0"/>
              <w:right w:val="single" w:color="auto" w:sz="2" w:space="0"/>
            </w:tcBorders>
            <w:vAlign w:val="center"/>
          </w:tcPr>
          <w:p w14:paraId="4D48158D">
            <w:pPr>
              <w:spacing w:line="240" w:lineRule="exact"/>
              <w:rPr>
                <w:rFonts w:ascii="宋体" w:hAnsi="宋体" w:eastAsia="宋体" w:cs="宋体"/>
                <w:sz w:val="18"/>
                <w:szCs w:val="18"/>
              </w:rPr>
            </w:pPr>
            <w:r>
              <w:rPr>
                <w:rFonts w:ascii="宋体" w:hAnsi="宋体" w:eastAsia="宋体" w:cs="宋体"/>
                <w:sz w:val="18"/>
                <w:szCs w:val="18"/>
              </w:rPr>
              <w:t>OEM</w:t>
            </w:r>
          </w:p>
        </w:tc>
        <w:tc>
          <w:tcPr>
            <w:tcW w:w="803" w:type="dxa"/>
            <w:tcBorders>
              <w:top w:val="single" w:color="auto" w:sz="2" w:space="0"/>
              <w:left w:val="single" w:color="auto" w:sz="2" w:space="0"/>
              <w:bottom w:val="single" w:color="auto" w:sz="2" w:space="0"/>
              <w:right w:val="single" w:color="auto" w:sz="2" w:space="0"/>
            </w:tcBorders>
            <w:vAlign w:val="center"/>
          </w:tcPr>
          <w:p w14:paraId="1A531F5E">
            <w:pPr>
              <w:spacing w:line="240" w:lineRule="exact"/>
              <w:rPr>
                <w:rFonts w:ascii="宋体" w:hAnsi="宋体" w:eastAsia="宋体" w:cs="宋体"/>
                <w:sz w:val="18"/>
                <w:szCs w:val="18"/>
              </w:rPr>
            </w:pPr>
            <w:r>
              <w:rPr>
                <w:rFonts w:ascii="宋体" w:hAnsi="宋体" w:eastAsia="宋体" w:cs="宋体"/>
                <w:sz w:val="18"/>
                <w:szCs w:val="18"/>
              </w:rPr>
              <w:t>长期</w:t>
            </w:r>
          </w:p>
        </w:tc>
      </w:tr>
      <w:tr w14:paraId="318DE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4712C476">
            <w:pPr>
              <w:spacing w:line="240" w:lineRule="exact"/>
              <w:rPr>
                <w:rFonts w:ascii="宋体" w:hAnsi="宋体" w:eastAsia="宋体" w:cs="宋体"/>
                <w:sz w:val="18"/>
                <w:szCs w:val="18"/>
              </w:rPr>
            </w:pPr>
            <w:r>
              <w:rPr>
                <w:rFonts w:ascii="宋体" w:hAnsi="宋体" w:eastAsia="宋体" w:cs="宋体"/>
                <w:sz w:val="18"/>
                <w:szCs w:val="18"/>
              </w:rPr>
              <w:t>畹町</w:t>
            </w:r>
          </w:p>
        </w:tc>
        <w:tc>
          <w:tcPr>
            <w:tcW w:w="803" w:type="dxa"/>
            <w:tcBorders>
              <w:top w:val="single" w:color="auto" w:sz="2" w:space="0"/>
              <w:left w:val="single" w:color="auto" w:sz="2" w:space="0"/>
              <w:bottom w:val="single" w:color="auto" w:sz="2" w:space="0"/>
              <w:right w:val="single" w:color="auto" w:sz="2" w:space="0"/>
            </w:tcBorders>
            <w:vAlign w:val="center"/>
          </w:tcPr>
          <w:p w14:paraId="2BBF4E0D">
            <w:pPr>
              <w:spacing w:line="240" w:lineRule="exact"/>
              <w:rPr>
                <w:rFonts w:ascii="宋体" w:hAnsi="宋体" w:eastAsia="宋体" w:cs="宋体"/>
                <w:sz w:val="18"/>
                <w:szCs w:val="18"/>
              </w:rPr>
            </w:pPr>
            <w:r>
              <w:rPr>
                <w:rFonts w:ascii="宋体" w:hAnsi="宋体" w:eastAsia="宋体" w:cs="宋体"/>
                <w:sz w:val="18"/>
                <w:szCs w:val="18"/>
              </w:rPr>
              <w:t>畹町</w:t>
            </w:r>
          </w:p>
        </w:tc>
        <w:tc>
          <w:tcPr>
            <w:tcW w:w="803" w:type="dxa"/>
            <w:tcBorders>
              <w:top w:val="single" w:color="auto" w:sz="2" w:space="0"/>
              <w:left w:val="single" w:color="auto" w:sz="2" w:space="0"/>
              <w:bottom w:val="single" w:color="auto" w:sz="2" w:space="0"/>
              <w:right w:val="single" w:color="auto" w:sz="2" w:space="0"/>
            </w:tcBorders>
            <w:vAlign w:val="center"/>
          </w:tcPr>
          <w:p w14:paraId="7DAE8094">
            <w:pPr>
              <w:spacing w:line="240" w:lineRule="exact"/>
              <w:rPr>
                <w:rFonts w:ascii="宋体" w:hAnsi="宋体" w:eastAsia="宋体" w:cs="宋体"/>
                <w:sz w:val="18"/>
                <w:szCs w:val="18"/>
              </w:rPr>
            </w:pPr>
            <w:r>
              <w:rPr>
                <w:rFonts w:ascii="宋体" w:hAnsi="宋体" w:eastAsia="宋体" w:cs="宋体"/>
                <w:sz w:val="18"/>
                <w:szCs w:val="18"/>
              </w:rPr>
              <w:t>袜子</w:t>
            </w:r>
          </w:p>
        </w:tc>
        <w:tc>
          <w:tcPr>
            <w:tcW w:w="803" w:type="dxa"/>
            <w:tcBorders>
              <w:top w:val="single" w:color="auto" w:sz="2" w:space="0"/>
              <w:left w:val="single" w:color="auto" w:sz="2" w:space="0"/>
              <w:bottom w:val="single" w:color="auto" w:sz="2" w:space="0"/>
              <w:right w:val="single" w:color="auto" w:sz="2" w:space="0"/>
            </w:tcBorders>
            <w:vAlign w:val="center"/>
          </w:tcPr>
          <w:p w14:paraId="466299AE">
            <w:pPr>
              <w:spacing w:line="240" w:lineRule="exact"/>
              <w:rPr>
                <w:rFonts w:ascii="宋体" w:hAnsi="宋体" w:eastAsia="宋体" w:cs="宋体"/>
                <w:sz w:val="18"/>
                <w:szCs w:val="18"/>
              </w:rPr>
            </w:pPr>
            <w:r>
              <w:rPr>
                <w:rFonts w:ascii="宋体" w:hAnsi="宋体" w:eastAsia="宋体" w:cs="宋体"/>
                <w:sz w:val="18"/>
                <w:szCs w:val="18"/>
              </w:rPr>
              <w:t>年轻时尚</w:t>
            </w:r>
          </w:p>
        </w:tc>
        <w:tc>
          <w:tcPr>
            <w:tcW w:w="803" w:type="dxa"/>
            <w:tcBorders>
              <w:top w:val="single" w:color="auto" w:sz="2" w:space="0"/>
              <w:left w:val="single" w:color="auto" w:sz="2" w:space="0"/>
              <w:bottom w:val="single" w:color="auto" w:sz="2" w:space="0"/>
              <w:right w:val="single" w:color="auto" w:sz="2" w:space="0"/>
            </w:tcBorders>
            <w:vAlign w:val="center"/>
          </w:tcPr>
          <w:p w14:paraId="64A17C5B">
            <w:pPr>
              <w:spacing w:line="240" w:lineRule="exact"/>
              <w:rPr>
                <w:rFonts w:ascii="宋体" w:hAnsi="宋体" w:eastAsia="宋体" w:cs="宋体"/>
                <w:sz w:val="18"/>
                <w:szCs w:val="18"/>
              </w:rPr>
            </w:pPr>
            <w:r>
              <w:rPr>
                <w:rFonts w:ascii="宋体" w:hAnsi="宋体" w:eastAsia="宋体" w:cs="宋体"/>
                <w:sz w:val="18"/>
                <w:szCs w:val="18"/>
              </w:rPr>
              <w:t>女性</w:t>
            </w:r>
          </w:p>
        </w:tc>
        <w:tc>
          <w:tcPr>
            <w:tcW w:w="803" w:type="dxa"/>
            <w:tcBorders>
              <w:top w:val="single" w:color="auto" w:sz="2" w:space="0"/>
              <w:left w:val="single" w:color="auto" w:sz="2" w:space="0"/>
              <w:bottom w:val="single" w:color="auto" w:sz="2" w:space="0"/>
              <w:right w:val="single" w:color="auto" w:sz="2" w:space="0"/>
            </w:tcBorders>
            <w:vAlign w:val="center"/>
          </w:tcPr>
          <w:p w14:paraId="2D3B95E2">
            <w:pPr>
              <w:spacing w:line="240" w:lineRule="exact"/>
              <w:rPr>
                <w:rFonts w:ascii="宋体" w:hAnsi="宋体" w:eastAsia="宋体" w:cs="宋体"/>
                <w:sz w:val="18"/>
                <w:szCs w:val="18"/>
              </w:rPr>
            </w:pPr>
            <w:r>
              <w:rPr>
                <w:rFonts w:ascii="宋体" w:hAnsi="宋体" w:eastAsia="宋体" w:cs="宋体"/>
                <w:sz w:val="18"/>
                <w:szCs w:val="18"/>
              </w:rPr>
              <w:t>20-40</w:t>
            </w:r>
          </w:p>
        </w:tc>
        <w:tc>
          <w:tcPr>
            <w:tcW w:w="803" w:type="dxa"/>
            <w:tcBorders>
              <w:top w:val="single" w:color="auto" w:sz="2" w:space="0"/>
              <w:left w:val="single" w:color="auto" w:sz="2" w:space="0"/>
              <w:bottom w:val="single" w:color="auto" w:sz="2" w:space="0"/>
              <w:right w:val="single" w:color="auto" w:sz="2" w:space="0"/>
            </w:tcBorders>
            <w:vAlign w:val="center"/>
          </w:tcPr>
          <w:p w14:paraId="730BD0E4">
            <w:pPr>
              <w:spacing w:line="240" w:lineRule="exact"/>
              <w:rPr>
                <w:rFonts w:ascii="宋体" w:hAnsi="宋体" w:eastAsia="宋体" w:cs="宋体"/>
                <w:sz w:val="18"/>
                <w:szCs w:val="18"/>
              </w:rPr>
            </w:pPr>
            <w:r>
              <w:rPr>
                <w:rFonts w:ascii="宋体" w:hAnsi="宋体" w:eastAsia="宋体" w:cs="宋体"/>
                <w:sz w:val="18"/>
                <w:szCs w:val="18"/>
              </w:rPr>
              <w:t> 全国</w:t>
            </w:r>
          </w:p>
        </w:tc>
        <w:tc>
          <w:tcPr>
            <w:tcW w:w="803" w:type="dxa"/>
            <w:tcBorders>
              <w:top w:val="single" w:color="auto" w:sz="2" w:space="0"/>
              <w:left w:val="single" w:color="auto" w:sz="2" w:space="0"/>
              <w:bottom w:val="single" w:color="auto" w:sz="2" w:space="0"/>
              <w:right w:val="single" w:color="auto" w:sz="2" w:space="0"/>
            </w:tcBorders>
            <w:vAlign w:val="center"/>
          </w:tcPr>
          <w:p w14:paraId="6B345C1F">
            <w:pPr>
              <w:spacing w:line="240" w:lineRule="exact"/>
              <w:rPr>
                <w:rFonts w:ascii="宋体" w:hAnsi="宋体" w:eastAsia="宋体" w:cs="宋体"/>
                <w:sz w:val="18"/>
                <w:szCs w:val="18"/>
              </w:rPr>
            </w:pPr>
            <w:r>
              <w:rPr>
                <w:rFonts w:ascii="宋体" w:hAnsi="宋体" w:eastAsia="宋体" w:cs="宋体"/>
                <w:sz w:val="18"/>
                <w:szCs w:val="18"/>
              </w:rPr>
              <w:t>一二线城市</w:t>
            </w:r>
          </w:p>
        </w:tc>
        <w:tc>
          <w:tcPr>
            <w:tcW w:w="803" w:type="dxa"/>
            <w:tcBorders>
              <w:top w:val="single" w:color="auto" w:sz="2" w:space="0"/>
              <w:left w:val="single" w:color="auto" w:sz="2" w:space="0"/>
              <w:bottom w:val="single" w:color="auto" w:sz="2" w:space="0"/>
              <w:right w:val="single" w:color="auto" w:sz="2" w:space="0"/>
            </w:tcBorders>
            <w:vAlign w:val="center"/>
          </w:tcPr>
          <w:p w14:paraId="22D419D6">
            <w:pPr>
              <w:spacing w:line="240" w:lineRule="exact"/>
              <w:rPr>
                <w:rFonts w:ascii="宋体" w:hAnsi="宋体" w:eastAsia="宋体" w:cs="宋体"/>
                <w:sz w:val="18"/>
                <w:szCs w:val="18"/>
              </w:rPr>
            </w:pPr>
            <w:r>
              <w:rPr>
                <w:rFonts w:ascii="宋体" w:hAnsi="宋体" w:eastAsia="宋体" w:cs="宋体"/>
                <w:sz w:val="18"/>
                <w:szCs w:val="18"/>
              </w:rPr>
              <w:t>品牌方</w:t>
            </w:r>
          </w:p>
        </w:tc>
        <w:tc>
          <w:tcPr>
            <w:tcW w:w="803" w:type="dxa"/>
            <w:tcBorders>
              <w:top w:val="single" w:color="auto" w:sz="2" w:space="0"/>
              <w:left w:val="single" w:color="auto" w:sz="2" w:space="0"/>
              <w:bottom w:val="single" w:color="auto" w:sz="2" w:space="0"/>
              <w:right w:val="single" w:color="auto" w:sz="2" w:space="0"/>
            </w:tcBorders>
            <w:vAlign w:val="center"/>
          </w:tcPr>
          <w:p w14:paraId="611103DC">
            <w:pPr>
              <w:spacing w:line="240" w:lineRule="exact"/>
              <w:rPr>
                <w:rFonts w:ascii="宋体" w:hAnsi="宋体" w:eastAsia="宋体" w:cs="宋体"/>
                <w:sz w:val="18"/>
                <w:szCs w:val="18"/>
              </w:rPr>
            </w:pPr>
            <w:r>
              <w:rPr>
                <w:rFonts w:ascii="宋体" w:hAnsi="宋体" w:eastAsia="宋体" w:cs="宋体"/>
                <w:sz w:val="18"/>
                <w:szCs w:val="18"/>
              </w:rPr>
              <w:t>热风时尚</w:t>
            </w:r>
          </w:p>
        </w:tc>
        <w:tc>
          <w:tcPr>
            <w:tcW w:w="803" w:type="dxa"/>
            <w:tcBorders>
              <w:top w:val="single" w:color="auto" w:sz="2" w:space="0"/>
              <w:left w:val="single" w:color="auto" w:sz="2" w:space="0"/>
              <w:bottom w:val="single" w:color="auto" w:sz="2" w:space="0"/>
              <w:right w:val="single" w:color="auto" w:sz="2" w:space="0"/>
            </w:tcBorders>
            <w:vAlign w:val="center"/>
          </w:tcPr>
          <w:p w14:paraId="59CDBD1E">
            <w:pPr>
              <w:spacing w:line="240" w:lineRule="exact"/>
              <w:rPr>
                <w:rFonts w:ascii="宋体" w:hAnsi="宋体" w:eastAsia="宋体" w:cs="宋体"/>
                <w:sz w:val="18"/>
                <w:szCs w:val="18"/>
              </w:rPr>
            </w:pPr>
            <w:r>
              <w:rPr>
                <w:rFonts w:ascii="宋体" w:hAnsi="宋体" w:eastAsia="宋体" w:cs="宋体"/>
                <w:sz w:val="18"/>
                <w:szCs w:val="18"/>
              </w:rPr>
              <w:t>OEM</w:t>
            </w:r>
          </w:p>
        </w:tc>
        <w:tc>
          <w:tcPr>
            <w:tcW w:w="803" w:type="dxa"/>
            <w:tcBorders>
              <w:top w:val="single" w:color="auto" w:sz="2" w:space="0"/>
              <w:left w:val="single" w:color="auto" w:sz="2" w:space="0"/>
              <w:bottom w:val="single" w:color="auto" w:sz="2" w:space="0"/>
              <w:right w:val="single" w:color="auto" w:sz="2" w:space="0"/>
            </w:tcBorders>
            <w:vAlign w:val="center"/>
          </w:tcPr>
          <w:p w14:paraId="329F0930">
            <w:pPr>
              <w:spacing w:line="240" w:lineRule="exact"/>
              <w:rPr>
                <w:rFonts w:ascii="宋体" w:hAnsi="宋体" w:eastAsia="宋体" w:cs="宋体"/>
                <w:sz w:val="18"/>
                <w:szCs w:val="18"/>
              </w:rPr>
            </w:pPr>
            <w:r>
              <w:rPr>
                <w:rFonts w:ascii="宋体" w:hAnsi="宋体" w:eastAsia="宋体" w:cs="宋体"/>
                <w:sz w:val="18"/>
                <w:szCs w:val="18"/>
              </w:rPr>
              <w:t>长期</w:t>
            </w:r>
          </w:p>
        </w:tc>
      </w:tr>
      <w:tr w14:paraId="22FDD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6EB4277D">
            <w:pPr>
              <w:spacing w:line="240" w:lineRule="exact"/>
              <w:rPr>
                <w:rFonts w:ascii="宋体" w:hAnsi="宋体" w:eastAsia="宋体" w:cs="宋体"/>
                <w:sz w:val="18"/>
                <w:szCs w:val="18"/>
              </w:rPr>
            </w:pPr>
            <w:r>
              <w:rPr>
                <w:rFonts w:ascii="宋体" w:hAnsi="宋体" w:eastAsia="宋体" w:cs="宋体"/>
                <w:sz w:val="18"/>
                <w:szCs w:val="18"/>
              </w:rPr>
              <w:t>KKV</w:t>
            </w:r>
          </w:p>
        </w:tc>
        <w:tc>
          <w:tcPr>
            <w:tcW w:w="803" w:type="dxa"/>
            <w:tcBorders>
              <w:top w:val="single" w:color="auto" w:sz="2" w:space="0"/>
              <w:left w:val="single" w:color="auto" w:sz="2" w:space="0"/>
              <w:bottom w:val="single" w:color="auto" w:sz="2" w:space="0"/>
              <w:right w:val="single" w:color="auto" w:sz="2" w:space="0"/>
            </w:tcBorders>
            <w:vAlign w:val="center"/>
          </w:tcPr>
          <w:p w14:paraId="17F8A06D">
            <w:pPr>
              <w:spacing w:line="240" w:lineRule="exact"/>
              <w:rPr>
                <w:rFonts w:ascii="宋体" w:hAnsi="宋体" w:eastAsia="宋体" w:cs="宋体"/>
                <w:sz w:val="18"/>
                <w:szCs w:val="18"/>
              </w:rPr>
            </w:pPr>
            <w:r>
              <w:rPr>
                <w:rFonts w:ascii="宋体" w:hAnsi="宋体" w:eastAsia="宋体" w:cs="宋体"/>
                <w:sz w:val="18"/>
                <w:szCs w:val="18"/>
              </w:rPr>
              <w:t>KKV</w:t>
            </w:r>
          </w:p>
        </w:tc>
        <w:tc>
          <w:tcPr>
            <w:tcW w:w="803" w:type="dxa"/>
            <w:tcBorders>
              <w:top w:val="single" w:color="auto" w:sz="2" w:space="0"/>
              <w:left w:val="single" w:color="auto" w:sz="2" w:space="0"/>
              <w:bottom w:val="single" w:color="auto" w:sz="2" w:space="0"/>
              <w:right w:val="single" w:color="auto" w:sz="2" w:space="0"/>
            </w:tcBorders>
            <w:vAlign w:val="center"/>
          </w:tcPr>
          <w:p w14:paraId="17342B5E">
            <w:pPr>
              <w:spacing w:line="240" w:lineRule="exact"/>
              <w:rPr>
                <w:rFonts w:ascii="宋体" w:hAnsi="宋体" w:eastAsia="宋体" w:cs="宋体"/>
                <w:sz w:val="18"/>
                <w:szCs w:val="18"/>
              </w:rPr>
            </w:pPr>
            <w:r>
              <w:rPr>
                <w:rFonts w:ascii="宋体" w:hAnsi="宋体" w:eastAsia="宋体" w:cs="宋体"/>
                <w:sz w:val="18"/>
                <w:szCs w:val="18"/>
              </w:rPr>
              <w:t>袜子</w:t>
            </w:r>
          </w:p>
        </w:tc>
        <w:tc>
          <w:tcPr>
            <w:tcW w:w="803" w:type="dxa"/>
            <w:tcBorders>
              <w:top w:val="single" w:color="auto" w:sz="2" w:space="0"/>
              <w:left w:val="single" w:color="auto" w:sz="2" w:space="0"/>
              <w:bottom w:val="single" w:color="auto" w:sz="2" w:space="0"/>
              <w:right w:val="single" w:color="auto" w:sz="2" w:space="0"/>
            </w:tcBorders>
            <w:vAlign w:val="center"/>
          </w:tcPr>
          <w:p w14:paraId="7717EDA2">
            <w:pPr>
              <w:spacing w:line="240" w:lineRule="exact"/>
              <w:rPr>
                <w:rFonts w:ascii="宋体" w:hAnsi="宋体" w:eastAsia="宋体" w:cs="宋体"/>
                <w:sz w:val="18"/>
                <w:szCs w:val="18"/>
              </w:rPr>
            </w:pPr>
            <w:r>
              <w:rPr>
                <w:rFonts w:ascii="宋体" w:hAnsi="宋体" w:eastAsia="宋体" w:cs="宋体"/>
                <w:sz w:val="18"/>
                <w:szCs w:val="18"/>
              </w:rPr>
              <w:t>年轻时尚</w:t>
            </w:r>
          </w:p>
        </w:tc>
        <w:tc>
          <w:tcPr>
            <w:tcW w:w="803" w:type="dxa"/>
            <w:tcBorders>
              <w:top w:val="single" w:color="auto" w:sz="2" w:space="0"/>
              <w:left w:val="single" w:color="auto" w:sz="2" w:space="0"/>
              <w:bottom w:val="single" w:color="auto" w:sz="2" w:space="0"/>
              <w:right w:val="single" w:color="auto" w:sz="2" w:space="0"/>
            </w:tcBorders>
            <w:vAlign w:val="center"/>
          </w:tcPr>
          <w:p w14:paraId="0588F8A7">
            <w:pPr>
              <w:spacing w:line="240" w:lineRule="exact"/>
              <w:rPr>
                <w:rFonts w:ascii="宋体" w:hAnsi="宋体" w:eastAsia="宋体" w:cs="宋体"/>
                <w:sz w:val="18"/>
                <w:szCs w:val="18"/>
              </w:rPr>
            </w:pPr>
            <w:r>
              <w:rPr>
                <w:rFonts w:ascii="宋体" w:hAnsi="宋体" w:eastAsia="宋体" w:cs="宋体"/>
                <w:sz w:val="18"/>
                <w:szCs w:val="18"/>
              </w:rPr>
              <w:t>女性</w:t>
            </w:r>
          </w:p>
        </w:tc>
        <w:tc>
          <w:tcPr>
            <w:tcW w:w="803" w:type="dxa"/>
            <w:tcBorders>
              <w:top w:val="single" w:color="auto" w:sz="2" w:space="0"/>
              <w:left w:val="single" w:color="auto" w:sz="2" w:space="0"/>
              <w:bottom w:val="single" w:color="auto" w:sz="2" w:space="0"/>
              <w:right w:val="single" w:color="auto" w:sz="2" w:space="0"/>
            </w:tcBorders>
            <w:vAlign w:val="center"/>
          </w:tcPr>
          <w:p w14:paraId="5AAC7506">
            <w:pPr>
              <w:spacing w:line="240" w:lineRule="exact"/>
              <w:rPr>
                <w:rFonts w:ascii="宋体" w:hAnsi="宋体" w:eastAsia="宋体" w:cs="宋体"/>
                <w:sz w:val="18"/>
                <w:szCs w:val="18"/>
              </w:rPr>
            </w:pPr>
            <w:r>
              <w:rPr>
                <w:rFonts w:ascii="宋体" w:hAnsi="宋体" w:eastAsia="宋体" w:cs="宋体"/>
                <w:sz w:val="18"/>
                <w:szCs w:val="18"/>
              </w:rPr>
              <w:t>20-60</w:t>
            </w:r>
          </w:p>
        </w:tc>
        <w:tc>
          <w:tcPr>
            <w:tcW w:w="803" w:type="dxa"/>
            <w:tcBorders>
              <w:top w:val="single" w:color="auto" w:sz="2" w:space="0"/>
              <w:left w:val="single" w:color="auto" w:sz="2" w:space="0"/>
              <w:bottom w:val="single" w:color="auto" w:sz="2" w:space="0"/>
              <w:right w:val="single" w:color="auto" w:sz="2" w:space="0"/>
            </w:tcBorders>
            <w:vAlign w:val="center"/>
          </w:tcPr>
          <w:p w14:paraId="19D994F6">
            <w:pPr>
              <w:spacing w:line="240" w:lineRule="exact"/>
              <w:rPr>
                <w:rFonts w:ascii="宋体" w:hAnsi="宋体" w:eastAsia="宋体" w:cs="宋体"/>
                <w:sz w:val="18"/>
                <w:szCs w:val="18"/>
              </w:rPr>
            </w:pPr>
            <w:r>
              <w:rPr>
                <w:rFonts w:ascii="宋体" w:hAnsi="宋体" w:eastAsia="宋体" w:cs="宋体"/>
                <w:sz w:val="18"/>
                <w:szCs w:val="18"/>
              </w:rPr>
              <w:t> 全国</w:t>
            </w:r>
          </w:p>
        </w:tc>
        <w:tc>
          <w:tcPr>
            <w:tcW w:w="803" w:type="dxa"/>
            <w:tcBorders>
              <w:top w:val="single" w:color="auto" w:sz="2" w:space="0"/>
              <w:left w:val="single" w:color="auto" w:sz="2" w:space="0"/>
              <w:bottom w:val="single" w:color="auto" w:sz="2" w:space="0"/>
              <w:right w:val="single" w:color="auto" w:sz="2" w:space="0"/>
            </w:tcBorders>
            <w:vAlign w:val="center"/>
          </w:tcPr>
          <w:p w14:paraId="2E54088F">
            <w:pPr>
              <w:spacing w:line="240" w:lineRule="exact"/>
              <w:rPr>
                <w:rFonts w:ascii="宋体" w:hAnsi="宋体" w:eastAsia="宋体" w:cs="宋体"/>
                <w:sz w:val="18"/>
                <w:szCs w:val="18"/>
              </w:rPr>
            </w:pPr>
            <w:r>
              <w:rPr>
                <w:rFonts w:ascii="宋体" w:hAnsi="宋体" w:eastAsia="宋体" w:cs="宋体"/>
                <w:sz w:val="18"/>
                <w:szCs w:val="18"/>
              </w:rPr>
              <w:t>一二线城市</w:t>
            </w:r>
          </w:p>
        </w:tc>
        <w:tc>
          <w:tcPr>
            <w:tcW w:w="803" w:type="dxa"/>
            <w:tcBorders>
              <w:top w:val="single" w:color="auto" w:sz="2" w:space="0"/>
              <w:left w:val="single" w:color="auto" w:sz="2" w:space="0"/>
              <w:bottom w:val="single" w:color="auto" w:sz="2" w:space="0"/>
              <w:right w:val="single" w:color="auto" w:sz="2" w:space="0"/>
            </w:tcBorders>
            <w:vAlign w:val="center"/>
          </w:tcPr>
          <w:p w14:paraId="13439A58">
            <w:pPr>
              <w:spacing w:line="240" w:lineRule="exact"/>
              <w:rPr>
                <w:rFonts w:ascii="宋体" w:hAnsi="宋体" w:eastAsia="宋体" w:cs="宋体"/>
                <w:sz w:val="18"/>
                <w:szCs w:val="18"/>
              </w:rPr>
            </w:pPr>
            <w:r>
              <w:rPr>
                <w:rFonts w:ascii="宋体" w:hAnsi="宋体" w:eastAsia="宋体" w:cs="宋体"/>
                <w:sz w:val="18"/>
                <w:szCs w:val="18"/>
              </w:rPr>
              <w:t>品牌方</w:t>
            </w:r>
          </w:p>
        </w:tc>
        <w:tc>
          <w:tcPr>
            <w:tcW w:w="803" w:type="dxa"/>
            <w:tcBorders>
              <w:top w:val="single" w:color="auto" w:sz="2" w:space="0"/>
              <w:left w:val="single" w:color="auto" w:sz="2" w:space="0"/>
              <w:bottom w:val="single" w:color="auto" w:sz="2" w:space="0"/>
              <w:right w:val="single" w:color="auto" w:sz="2" w:space="0"/>
            </w:tcBorders>
            <w:vAlign w:val="center"/>
          </w:tcPr>
          <w:p w14:paraId="6BA9EB89">
            <w:pPr>
              <w:spacing w:line="240" w:lineRule="exact"/>
              <w:rPr>
                <w:rFonts w:ascii="宋体" w:hAnsi="宋体" w:eastAsia="宋体" w:cs="宋体"/>
                <w:sz w:val="18"/>
                <w:szCs w:val="18"/>
              </w:rPr>
            </w:pPr>
            <w:r>
              <w:rPr>
                <w:rFonts w:ascii="宋体" w:hAnsi="宋体" w:eastAsia="宋体" w:cs="宋体"/>
                <w:sz w:val="18"/>
                <w:szCs w:val="18"/>
              </w:rPr>
              <w:t>KKV</w:t>
            </w:r>
          </w:p>
        </w:tc>
        <w:tc>
          <w:tcPr>
            <w:tcW w:w="803" w:type="dxa"/>
            <w:tcBorders>
              <w:top w:val="single" w:color="auto" w:sz="2" w:space="0"/>
              <w:left w:val="single" w:color="auto" w:sz="2" w:space="0"/>
              <w:bottom w:val="single" w:color="auto" w:sz="2" w:space="0"/>
              <w:right w:val="single" w:color="auto" w:sz="2" w:space="0"/>
            </w:tcBorders>
            <w:vAlign w:val="center"/>
          </w:tcPr>
          <w:p w14:paraId="4A3D3A8D">
            <w:pPr>
              <w:spacing w:line="240" w:lineRule="exact"/>
              <w:rPr>
                <w:rFonts w:ascii="宋体" w:hAnsi="宋体" w:eastAsia="宋体" w:cs="宋体"/>
                <w:sz w:val="18"/>
                <w:szCs w:val="18"/>
              </w:rPr>
            </w:pPr>
            <w:r>
              <w:rPr>
                <w:rFonts w:ascii="宋体" w:hAnsi="宋体" w:eastAsia="宋体" w:cs="宋体"/>
                <w:sz w:val="18"/>
                <w:szCs w:val="18"/>
              </w:rPr>
              <w:t>OEM</w:t>
            </w:r>
          </w:p>
        </w:tc>
        <w:tc>
          <w:tcPr>
            <w:tcW w:w="803" w:type="dxa"/>
            <w:tcBorders>
              <w:top w:val="single" w:color="auto" w:sz="2" w:space="0"/>
              <w:left w:val="single" w:color="auto" w:sz="2" w:space="0"/>
              <w:bottom w:val="single" w:color="auto" w:sz="2" w:space="0"/>
              <w:right w:val="single" w:color="auto" w:sz="2" w:space="0"/>
            </w:tcBorders>
            <w:vAlign w:val="center"/>
          </w:tcPr>
          <w:p w14:paraId="442D51D2">
            <w:pPr>
              <w:spacing w:line="240" w:lineRule="exact"/>
              <w:rPr>
                <w:rFonts w:ascii="宋体" w:hAnsi="宋体" w:eastAsia="宋体" w:cs="宋体"/>
                <w:sz w:val="18"/>
                <w:szCs w:val="18"/>
              </w:rPr>
            </w:pPr>
            <w:r>
              <w:rPr>
                <w:rFonts w:ascii="宋体" w:hAnsi="宋体" w:eastAsia="宋体" w:cs="宋体"/>
                <w:sz w:val="18"/>
                <w:szCs w:val="18"/>
              </w:rPr>
              <w:t>长期</w:t>
            </w:r>
          </w:p>
        </w:tc>
      </w:tr>
      <w:tr w14:paraId="264BC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150C7CA2">
            <w:pPr>
              <w:spacing w:line="240" w:lineRule="exact"/>
              <w:rPr>
                <w:rFonts w:ascii="宋体" w:hAnsi="宋体" w:eastAsia="宋体" w:cs="宋体"/>
                <w:sz w:val="18"/>
                <w:szCs w:val="18"/>
              </w:rPr>
            </w:pPr>
            <w:r>
              <w:rPr>
                <w:rFonts w:ascii="宋体" w:hAnsi="宋体" w:eastAsia="宋体" w:cs="宋体"/>
                <w:sz w:val="18"/>
                <w:szCs w:val="18"/>
              </w:rPr>
              <w:t>巴拉巴拉</w:t>
            </w:r>
          </w:p>
        </w:tc>
        <w:tc>
          <w:tcPr>
            <w:tcW w:w="803" w:type="dxa"/>
            <w:tcBorders>
              <w:top w:val="single" w:color="auto" w:sz="2" w:space="0"/>
              <w:left w:val="single" w:color="auto" w:sz="2" w:space="0"/>
              <w:bottom w:val="single" w:color="auto" w:sz="2" w:space="0"/>
              <w:right w:val="single" w:color="auto" w:sz="2" w:space="0"/>
            </w:tcBorders>
            <w:vAlign w:val="center"/>
          </w:tcPr>
          <w:p w14:paraId="4F975035">
            <w:pPr>
              <w:spacing w:line="240" w:lineRule="exact"/>
              <w:rPr>
                <w:rFonts w:ascii="宋体" w:hAnsi="宋体" w:eastAsia="宋体" w:cs="宋体"/>
                <w:sz w:val="18"/>
                <w:szCs w:val="18"/>
              </w:rPr>
            </w:pPr>
            <w:r>
              <w:rPr>
                <w:rFonts w:ascii="宋体" w:hAnsi="宋体" w:eastAsia="宋体" w:cs="宋体"/>
                <w:sz w:val="18"/>
                <w:szCs w:val="18"/>
              </w:rPr>
              <w:t>巴拉巴拉</w:t>
            </w:r>
          </w:p>
        </w:tc>
        <w:tc>
          <w:tcPr>
            <w:tcW w:w="803" w:type="dxa"/>
            <w:tcBorders>
              <w:top w:val="single" w:color="auto" w:sz="2" w:space="0"/>
              <w:left w:val="single" w:color="auto" w:sz="2" w:space="0"/>
              <w:bottom w:val="single" w:color="auto" w:sz="2" w:space="0"/>
              <w:right w:val="single" w:color="auto" w:sz="2" w:space="0"/>
            </w:tcBorders>
            <w:vAlign w:val="center"/>
          </w:tcPr>
          <w:p w14:paraId="0CC04B0F">
            <w:pPr>
              <w:spacing w:line="240" w:lineRule="exact"/>
              <w:rPr>
                <w:rFonts w:ascii="宋体" w:hAnsi="宋体" w:eastAsia="宋体" w:cs="宋体"/>
                <w:sz w:val="18"/>
                <w:szCs w:val="18"/>
              </w:rPr>
            </w:pPr>
            <w:r>
              <w:rPr>
                <w:rFonts w:ascii="宋体" w:hAnsi="宋体" w:eastAsia="宋体" w:cs="宋体"/>
                <w:sz w:val="18"/>
                <w:szCs w:val="18"/>
              </w:rPr>
              <w:t>袜子</w:t>
            </w:r>
          </w:p>
        </w:tc>
        <w:tc>
          <w:tcPr>
            <w:tcW w:w="803" w:type="dxa"/>
            <w:tcBorders>
              <w:top w:val="single" w:color="auto" w:sz="2" w:space="0"/>
              <w:left w:val="single" w:color="auto" w:sz="2" w:space="0"/>
              <w:bottom w:val="single" w:color="auto" w:sz="2" w:space="0"/>
              <w:right w:val="single" w:color="auto" w:sz="2" w:space="0"/>
            </w:tcBorders>
            <w:vAlign w:val="center"/>
          </w:tcPr>
          <w:p w14:paraId="46B9B3DE">
            <w:pPr>
              <w:spacing w:line="240" w:lineRule="exact"/>
              <w:rPr>
                <w:rFonts w:ascii="宋体" w:hAnsi="宋体" w:eastAsia="宋体" w:cs="宋体"/>
                <w:sz w:val="18"/>
                <w:szCs w:val="18"/>
              </w:rPr>
            </w:pPr>
            <w:r>
              <w:rPr>
                <w:rFonts w:ascii="宋体" w:hAnsi="宋体" w:eastAsia="宋体" w:cs="宋体"/>
                <w:sz w:val="18"/>
                <w:szCs w:val="18"/>
              </w:rPr>
              <w:t>年轻时尚</w:t>
            </w:r>
          </w:p>
        </w:tc>
        <w:tc>
          <w:tcPr>
            <w:tcW w:w="803" w:type="dxa"/>
            <w:tcBorders>
              <w:top w:val="single" w:color="auto" w:sz="2" w:space="0"/>
              <w:left w:val="single" w:color="auto" w:sz="2" w:space="0"/>
              <w:bottom w:val="single" w:color="auto" w:sz="2" w:space="0"/>
              <w:right w:val="single" w:color="auto" w:sz="2" w:space="0"/>
            </w:tcBorders>
            <w:vAlign w:val="center"/>
          </w:tcPr>
          <w:p w14:paraId="5FD68C3C">
            <w:pPr>
              <w:spacing w:line="240" w:lineRule="exact"/>
              <w:rPr>
                <w:rFonts w:ascii="宋体" w:hAnsi="宋体" w:eastAsia="宋体" w:cs="宋体"/>
                <w:sz w:val="18"/>
                <w:szCs w:val="18"/>
              </w:rPr>
            </w:pPr>
            <w:r>
              <w:rPr>
                <w:rFonts w:ascii="宋体" w:hAnsi="宋体" w:eastAsia="宋体" w:cs="宋体"/>
                <w:sz w:val="18"/>
                <w:szCs w:val="18"/>
              </w:rPr>
              <w:t>女性</w:t>
            </w:r>
          </w:p>
        </w:tc>
        <w:tc>
          <w:tcPr>
            <w:tcW w:w="803" w:type="dxa"/>
            <w:tcBorders>
              <w:top w:val="single" w:color="auto" w:sz="2" w:space="0"/>
              <w:left w:val="single" w:color="auto" w:sz="2" w:space="0"/>
              <w:bottom w:val="single" w:color="auto" w:sz="2" w:space="0"/>
              <w:right w:val="single" w:color="auto" w:sz="2" w:space="0"/>
            </w:tcBorders>
            <w:vAlign w:val="center"/>
          </w:tcPr>
          <w:p w14:paraId="4C74BA68">
            <w:pPr>
              <w:spacing w:line="240" w:lineRule="exact"/>
              <w:rPr>
                <w:rFonts w:ascii="宋体" w:hAnsi="宋体" w:eastAsia="宋体" w:cs="宋体"/>
                <w:sz w:val="18"/>
                <w:szCs w:val="18"/>
              </w:rPr>
            </w:pPr>
            <w:r>
              <w:rPr>
                <w:rFonts w:ascii="宋体" w:hAnsi="宋体" w:eastAsia="宋体" w:cs="宋体"/>
                <w:sz w:val="18"/>
                <w:szCs w:val="18"/>
              </w:rPr>
              <w:t>30-60</w:t>
            </w:r>
          </w:p>
        </w:tc>
        <w:tc>
          <w:tcPr>
            <w:tcW w:w="803" w:type="dxa"/>
            <w:tcBorders>
              <w:top w:val="single" w:color="auto" w:sz="2" w:space="0"/>
              <w:left w:val="single" w:color="auto" w:sz="2" w:space="0"/>
              <w:bottom w:val="single" w:color="auto" w:sz="2" w:space="0"/>
              <w:right w:val="single" w:color="auto" w:sz="2" w:space="0"/>
            </w:tcBorders>
            <w:vAlign w:val="center"/>
          </w:tcPr>
          <w:p w14:paraId="29B2C2B7">
            <w:pPr>
              <w:spacing w:line="240" w:lineRule="exact"/>
              <w:rPr>
                <w:rFonts w:ascii="宋体" w:hAnsi="宋体" w:eastAsia="宋体" w:cs="宋体"/>
                <w:sz w:val="18"/>
                <w:szCs w:val="18"/>
              </w:rPr>
            </w:pPr>
            <w:r>
              <w:rPr>
                <w:rFonts w:ascii="宋体" w:hAnsi="宋体" w:eastAsia="宋体" w:cs="宋体"/>
                <w:sz w:val="18"/>
                <w:szCs w:val="18"/>
              </w:rPr>
              <w:t> 全国</w:t>
            </w:r>
          </w:p>
        </w:tc>
        <w:tc>
          <w:tcPr>
            <w:tcW w:w="803" w:type="dxa"/>
            <w:tcBorders>
              <w:top w:val="single" w:color="auto" w:sz="2" w:space="0"/>
              <w:left w:val="single" w:color="auto" w:sz="2" w:space="0"/>
              <w:bottom w:val="single" w:color="auto" w:sz="2" w:space="0"/>
              <w:right w:val="single" w:color="auto" w:sz="2" w:space="0"/>
            </w:tcBorders>
            <w:vAlign w:val="center"/>
          </w:tcPr>
          <w:p w14:paraId="35144F5B">
            <w:pPr>
              <w:spacing w:line="240" w:lineRule="exact"/>
              <w:rPr>
                <w:rFonts w:ascii="宋体" w:hAnsi="宋体" w:eastAsia="宋体" w:cs="宋体"/>
                <w:sz w:val="18"/>
                <w:szCs w:val="18"/>
              </w:rPr>
            </w:pPr>
            <w:r>
              <w:rPr>
                <w:rFonts w:ascii="宋体" w:hAnsi="宋体" w:eastAsia="宋体" w:cs="宋体"/>
                <w:sz w:val="18"/>
                <w:szCs w:val="18"/>
              </w:rPr>
              <w:t>一二线城市</w:t>
            </w:r>
          </w:p>
        </w:tc>
        <w:tc>
          <w:tcPr>
            <w:tcW w:w="803" w:type="dxa"/>
            <w:tcBorders>
              <w:top w:val="single" w:color="auto" w:sz="2" w:space="0"/>
              <w:left w:val="single" w:color="auto" w:sz="2" w:space="0"/>
              <w:bottom w:val="single" w:color="auto" w:sz="2" w:space="0"/>
              <w:right w:val="single" w:color="auto" w:sz="2" w:space="0"/>
            </w:tcBorders>
            <w:vAlign w:val="center"/>
          </w:tcPr>
          <w:p w14:paraId="4DA1438B">
            <w:pPr>
              <w:spacing w:line="240" w:lineRule="exact"/>
              <w:rPr>
                <w:rFonts w:ascii="宋体" w:hAnsi="宋体" w:eastAsia="宋体" w:cs="宋体"/>
                <w:sz w:val="18"/>
                <w:szCs w:val="18"/>
              </w:rPr>
            </w:pPr>
            <w:r>
              <w:rPr>
                <w:rFonts w:ascii="宋体" w:hAnsi="宋体" w:eastAsia="宋体" w:cs="宋体"/>
                <w:sz w:val="18"/>
                <w:szCs w:val="18"/>
              </w:rPr>
              <w:t>品牌方</w:t>
            </w:r>
          </w:p>
        </w:tc>
        <w:tc>
          <w:tcPr>
            <w:tcW w:w="803" w:type="dxa"/>
            <w:tcBorders>
              <w:top w:val="single" w:color="auto" w:sz="2" w:space="0"/>
              <w:left w:val="single" w:color="auto" w:sz="2" w:space="0"/>
              <w:bottom w:val="single" w:color="auto" w:sz="2" w:space="0"/>
              <w:right w:val="single" w:color="auto" w:sz="2" w:space="0"/>
            </w:tcBorders>
            <w:vAlign w:val="center"/>
          </w:tcPr>
          <w:p w14:paraId="601CDB75">
            <w:pPr>
              <w:spacing w:line="240" w:lineRule="exact"/>
              <w:rPr>
                <w:rFonts w:ascii="宋体" w:hAnsi="宋体" w:eastAsia="宋体" w:cs="宋体"/>
                <w:sz w:val="18"/>
                <w:szCs w:val="18"/>
              </w:rPr>
            </w:pPr>
            <w:r>
              <w:rPr>
                <w:rFonts w:ascii="宋体" w:hAnsi="宋体" w:eastAsia="宋体" w:cs="宋体"/>
                <w:sz w:val="18"/>
                <w:szCs w:val="18"/>
              </w:rPr>
              <w:t>浙江森马服饰股份有限公司</w:t>
            </w:r>
          </w:p>
        </w:tc>
        <w:tc>
          <w:tcPr>
            <w:tcW w:w="803" w:type="dxa"/>
            <w:tcBorders>
              <w:top w:val="single" w:color="auto" w:sz="2" w:space="0"/>
              <w:left w:val="single" w:color="auto" w:sz="2" w:space="0"/>
              <w:bottom w:val="single" w:color="auto" w:sz="2" w:space="0"/>
              <w:right w:val="single" w:color="auto" w:sz="2" w:space="0"/>
            </w:tcBorders>
            <w:vAlign w:val="center"/>
          </w:tcPr>
          <w:p w14:paraId="7D2542A5">
            <w:pPr>
              <w:spacing w:line="240" w:lineRule="exact"/>
              <w:rPr>
                <w:rFonts w:ascii="宋体" w:hAnsi="宋体" w:eastAsia="宋体" w:cs="宋体"/>
                <w:sz w:val="18"/>
                <w:szCs w:val="18"/>
              </w:rPr>
            </w:pPr>
            <w:r>
              <w:rPr>
                <w:rFonts w:ascii="宋体" w:hAnsi="宋体" w:eastAsia="宋体" w:cs="宋体"/>
                <w:sz w:val="18"/>
                <w:szCs w:val="18"/>
              </w:rPr>
              <w:t>OEM</w:t>
            </w:r>
          </w:p>
        </w:tc>
        <w:tc>
          <w:tcPr>
            <w:tcW w:w="803" w:type="dxa"/>
            <w:tcBorders>
              <w:top w:val="single" w:color="auto" w:sz="2" w:space="0"/>
              <w:left w:val="single" w:color="auto" w:sz="2" w:space="0"/>
              <w:bottom w:val="single" w:color="auto" w:sz="2" w:space="0"/>
              <w:right w:val="single" w:color="auto" w:sz="2" w:space="0"/>
            </w:tcBorders>
            <w:vAlign w:val="center"/>
          </w:tcPr>
          <w:p w14:paraId="4D280C04">
            <w:pPr>
              <w:spacing w:line="240" w:lineRule="exact"/>
              <w:rPr>
                <w:rFonts w:ascii="宋体" w:hAnsi="宋体" w:eastAsia="宋体" w:cs="宋体"/>
                <w:sz w:val="18"/>
                <w:szCs w:val="18"/>
              </w:rPr>
            </w:pPr>
            <w:r>
              <w:rPr>
                <w:rFonts w:ascii="宋体" w:hAnsi="宋体" w:eastAsia="宋体" w:cs="宋体"/>
                <w:sz w:val="18"/>
                <w:szCs w:val="18"/>
              </w:rPr>
              <w:t>长期</w:t>
            </w:r>
          </w:p>
        </w:tc>
      </w:tr>
      <w:tr w14:paraId="7A317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4E04FAE7">
            <w:pPr>
              <w:spacing w:line="240" w:lineRule="exact"/>
              <w:rPr>
                <w:rFonts w:ascii="宋体" w:hAnsi="宋体" w:eastAsia="宋体" w:cs="宋体"/>
                <w:sz w:val="18"/>
                <w:szCs w:val="18"/>
              </w:rPr>
            </w:pPr>
            <w:r>
              <w:rPr>
                <w:rFonts w:ascii="宋体" w:hAnsi="宋体" w:eastAsia="宋体" w:cs="宋体"/>
                <w:sz w:val="18"/>
                <w:szCs w:val="18"/>
              </w:rPr>
              <w:t>红豆</w:t>
            </w:r>
          </w:p>
        </w:tc>
        <w:tc>
          <w:tcPr>
            <w:tcW w:w="803" w:type="dxa"/>
            <w:tcBorders>
              <w:top w:val="single" w:color="auto" w:sz="2" w:space="0"/>
              <w:left w:val="single" w:color="auto" w:sz="2" w:space="0"/>
              <w:bottom w:val="single" w:color="auto" w:sz="2" w:space="0"/>
              <w:right w:val="single" w:color="auto" w:sz="2" w:space="0"/>
            </w:tcBorders>
            <w:vAlign w:val="center"/>
          </w:tcPr>
          <w:p w14:paraId="0BFF1DD6">
            <w:pPr>
              <w:spacing w:line="240" w:lineRule="exact"/>
              <w:rPr>
                <w:rFonts w:ascii="宋体" w:hAnsi="宋体" w:eastAsia="宋体" w:cs="宋体"/>
                <w:sz w:val="18"/>
                <w:szCs w:val="18"/>
              </w:rPr>
            </w:pPr>
            <w:r>
              <w:rPr>
                <w:rFonts w:ascii="宋体" w:hAnsi="宋体" w:eastAsia="宋体" w:cs="宋体"/>
                <w:sz w:val="18"/>
                <w:szCs w:val="18"/>
              </w:rPr>
              <w:t>红豆</w:t>
            </w:r>
          </w:p>
        </w:tc>
        <w:tc>
          <w:tcPr>
            <w:tcW w:w="803" w:type="dxa"/>
            <w:tcBorders>
              <w:top w:val="single" w:color="auto" w:sz="2" w:space="0"/>
              <w:left w:val="single" w:color="auto" w:sz="2" w:space="0"/>
              <w:bottom w:val="single" w:color="auto" w:sz="2" w:space="0"/>
              <w:right w:val="single" w:color="auto" w:sz="2" w:space="0"/>
            </w:tcBorders>
            <w:vAlign w:val="center"/>
          </w:tcPr>
          <w:p w14:paraId="79B83854">
            <w:pPr>
              <w:spacing w:line="240" w:lineRule="exact"/>
              <w:rPr>
                <w:rFonts w:ascii="宋体" w:hAnsi="宋体" w:eastAsia="宋体" w:cs="宋体"/>
                <w:sz w:val="18"/>
                <w:szCs w:val="18"/>
              </w:rPr>
            </w:pPr>
            <w:r>
              <w:rPr>
                <w:rFonts w:ascii="宋体" w:hAnsi="宋体" w:eastAsia="宋体" w:cs="宋体"/>
                <w:sz w:val="18"/>
                <w:szCs w:val="18"/>
              </w:rPr>
              <w:t>袜子</w:t>
            </w:r>
          </w:p>
        </w:tc>
        <w:tc>
          <w:tcPr>
            <w:tcW w:w="803" w:type="dxa"/>
            <w:tcBorders>
              <w:top w:val="single" w:color="auto" w:sz="2" w:space="0"/>
              <w:left w:val="single" w:color="auto" w:sz="2" w:space="0"/>
              <w:bottom w:val="single" w:color="auto" w:sz="2" w:space="0"/>
              <w:right w:val="single" w:color="auto" w:sz="2" w:space="0"/>
            </w:tcBorders>
            <w:vAlign w:val="center"/>
          </w:tcPr>
          <w:p w14:paraId="2C9C687F">
            <w:pPr>
              <w:spacing w:line="240" w:lineRule="exact"/>
              <w:rPr>
                <w:rFonts w:ascii="宋体" w:hAnsi="宋体" w:eastAsia="宋体" w:cs="宋体"/>
                <w:sz w:val="18"/>
                <w:szCs w:val="18"/>
              </w:rPr>
            </w:pPr>
            <w:r>
              <w:rPr>
                <w:rFonts w:ascii="宋体" w:hAnsi="宋体" w:eastAsia="宋体" w:cs="宋体"/>
                <w:sz w:val="18"/>
                <w:szCs w:val="18"/>
              </w:rPr>
              <w:t>年轻时尚</w:t>
            </w:r>
          </w:p>
        </w:tc>
        <w:tc>
          <w:tcPr>
            <w:tcW w:w="803" w:type="dxa"/>
            <w:tcBorders>
              <w:top w:val="single" w:color="auto" w:sz="2" w:space="0"/>
              <w:left w:val="single" w:color="auto" w:sz="2" w:space="0"/>
              <w:bottom w:val="single" w:color="auto" w:sz="2" w:space="0"/>
              <w:right w:val="single" w:color="auto" w:sz="2" w:space="0"/>
            </w:tcBorders>
            <w:vAlign w:val="center"/>
          </w:tcPr>
          <w:p w14:paraId="30B5DEE0">
            <w:pPr>
              <w:spacing w:line="240" w:lineRule="exact"/>
              <w:rPr>
                <w:rFonts w:ascii="宋体" w:hAnsi="宋体" w:eastAsia="宋体" w:cs="宋体"/>
                <w:sz w:val="18"/>
                <w:szCs w:val="18"/>
              </w:rPr>
            </w:pPr>
            <w:r>
              <w:rPr>
                <w:rFonts w:ascii="宋体" w:hAnsi="宋体" w:eastAsia="宋体" w:cs="宋体"/>
                <w:sz w:val="18"/>
                <w:szCs w:val="18"/>
              </w:rPr>
              <w:t>女性</w:t>
            </w:r>
          </w:p>
        </w:tc>
        <w:tc>
          <w:tcPr>
            <w:tcW w:w="803" w:type="dxa"/>
            <w:tcBorders>
              <w:top w:val="single" w:color="auto" w:sz="2" w:space="0"/>
              <w:left w:val="single" w:color="auto" w:sz="2" w:space="0"/>
              <w:bottom w:val="single" w:color="auto" w:sz="2" w:space="0"/>
              <w:right w:val="single" w:color="auto" w:sz="2" w:space="0"/>
            </w:tcBorders>
            <w:vAlign w:val="center"/>
          </w:tcPr>
          <w:p w14:paraId="5F41C0CC">
            <w:pPr>
              <w:spacing w:line="240" w:lineRule="exact"/>
              <w:rPr>
                <w:rFonts w:ascii="宋体" w:hAnsi="宋体" w:eastAsia="宋体" w:cs="宋体"/>
                <w:sz w:val="18"/>
                <w:szCs w:val="18"/>
              </w:rPr>
            </w:pPr>
            <w:r>
              <w:rPr>
                <w:rFonts w:ascii="宋体" w:hAnsi="宋体" w:eastAsia="宋体" w:cs="宋体"/>
                <w:sz w:val="18"/>
                <w:szCs w:val="18"/>
              </w:rPr>
              <w:t>20-50</w:t>
            </w:r>
          </w:p>
        </w:tc>
        <w:tc>
          <w:tcPr>
            <w:tcW w:w="803" w:type="dxa"/>
            <w:tcBorders>
              <w:top w:val="single" w:color="auto" w:sz="2" w:space="0"/>
              <w:left w:val="single" w:color="auto" w:sz="2" w:space="0"/>
              <w:bottom w:val="single" w:color="auto" w:sz="2" w:space="0"/>
              <w:right w:val="single" w:color="auto" w:sz="2" w:space="0"/>
            </w:tcBorders>
            <w:vAlign w:val="center"/>
          </w:tcPr>
          <w:p w14:paraId="7C837ECB">
            <w:pPr>
              <w:spacing w:line="240" w:lineRule="exact"/>
              <w:rPr>
                <w:rFonts w:ascii="宋体" w:hAnsi="宋体" w:eastAsia="宋体" w:cs="宋体"/>
                <w:sz w:val="18"/>
                <w:szCs w:val="18"/>
              </w:rPr>
            </w:pPr>
            <w:r>
              <w:rPr>
                <w:rFonts w:ascii="宋体" w:hAnsi="宋体" w:eastAsia="宋体" w:cs="宋体"/>
                <w:sz w:val="18"/>
                <w:szCs w:val="18"/>
              </w:rPr>
              <w:t> 全国</w:t>
            </w:r>
          </w:p>
        </w:tc>
        <w:tc>
          <w:tcPr>
            <w:tcW w:w="803" w:type="dxa"/>
            <w:tcBorders>
              <w:top w:val="single" w:color="auto" w:sz="2" w:space="0"/>
              <w:left w:val="single" w:color="auto" w:sz="2" w:space="0"/>
              <w:bottom w:val="single" w:color="auto" w:sz="2" w:space="0"/>
              <w:right w:val="single" w:color="auto" w:sz="2" w:space="0"/>
            </w:tcBorders>
            <w:vAlign w:val="center"/>
          </w:tcPr>
          <w:p w14:paraId="6658F4C7">
            <w:pPr>
              <w:spacing w:line="240" w:lineRule="exact"/>
              <w:rPr>
                <w:rFonts w:ascii="宋体" w:hAnsi="宋体" w:eastAsia="宋体" w:cs="宋体"/>
                <w:sz w:val="18"/>
                <w:szCs w:val="18"/>
              </w:rPr>
            </w:pPr>
            <w:r>
              <w:rPr>
                <w:rFonts w:ascii="宋体" w:hAnsi="宋体" w:eastAsia="宋体" w:cs="宋体"/>
                <w:sz w:val="18"/>
                <w:szCs w:val="18"/>
              </w:rPr>
              <w:t>一二三线城市</w:t>
            </w:r>
          </w:p>
        </w:tc>
        <w:tc>
          <w:tcPr>
            <w:tcW w:w="803" w:type="dxa"/>
            <w:tcBorders>
              <w:top w:val="single" w:color="auto" w:sz="2" w:space="0"/>
              <w:left w:val="single" w:color="auto" w:sz="2" w:space="0"/>
              <w:bottom w:val="single" w:color="auto" w:sz="2" w:space="0"/>
              <w:right w:val="single" w:color="auto" w:sz="2" w:space="0"/>
            </w:tcBorders>
            <w:vAlign w:val="center"/>
          </w:tcPr>
          <w:p w14:paraId="1C0ED307">
            <w:pPr>
              <w:spacing w:line="240" w:lineRule="exact"/>
              <w:rPr>
                <w:rFonts w:ascii="宋体" w:hAnsi="宋体" w:eastAsia="宋体" w:cs="宋体"/>
                <w:sz w:val="18"/>
                <w:szCs w:val="18"/>
              </w:rPr>
            </w:pPr>
            <w:r>
              <w:rPr>
                <w:rFonts w:ascii="宋体" w:hAnsi="宋体" w:eastAsia="宋体" w:cs="宋体"/>
                <w:sz w:val="18"/>
                <w:szCs w:val="18"/>
              </w:rPr>
              <w:t>红豆</w:t>
            </w:r>
          </w:p>
        </w:tc>
        <w:tc>
          <w:tcPr>
            <w:tcW w:w="803" w:type="dxa"/>
            <w:tcBorders>
              <w:top w:val="single" w:color="auto" w:sz="2" w:space="0"/>
              <w:left w:val="single" w:color="auto" w:sz="2" w:space="0"/>
              <w:bottom w:val="single" w:color="auto" w:sz="2" w:space="0"/>
              <w:right w:val="single" w:color="auto" w:sz="2" w:space="0"/>
            </w:tcBorders>
            <w:vAlign w:val="center"/>
          </w:tcPr>
          <w:p w14:paraId="07E92085">
            <w:pPr>
              <w:spacing w:line="240" w:lineRule="exact"/>
              <w:rPr>
                <w:rFonts w:ascii="宋体" w:hAnsi="宋体" w:eastAsia="宋体" w:cs="宋体"/>
                <w:sz w:val="18"/>
                <w:szCs w:val="18"/>
              </w:rPr>
            </w:pPr>
            <w:r>
              <w:rPr>
                <w:rFonts w:ascii="宋体" w:hAnsi="宋体" w:eastAsia="宋体" w:cs="宋体"/>
                <w:sz w:val="18"/>
                <w:szCs w:val="18"/>
              </w:rPr>
              <w:t>微原（浙江）商业贸易有限公司</w:t>
            </w:r>
          </w:p>
        </w:tc>
        <w:tc>
          <w:tcPr>
            <w:tcW w:w="803" w:type="dxa"/>
            <w:tcBorders>
              <w:top w:val="single" w:color="auto" w:sz="2" w:space="0"/>
              <w:left w:val="single" w:color="auto" w:sz="2" w:space="0"/>
              <w:bottom w:val="single" w:color="auto" w:sz="2" w:space="0"/>
              <w:right w:val="single" w:color="auto" w:sz="2" w:space="0"/>
            </w:tcBorders>
            <w:vAlign w:val="center"/>
          </w:tcPr>
          <w:p w14:paraId="095EB86A">
            <w:pPr>
              <w:spacing w:line="240" w:lineRule="exact"/>
              <w:rPr>
                <w:rFonts w:ascii="宋体" w:hAnsi="宋体" w:eastAsia="宋体" w:cs="宋体"/>
                <w:sz w:val="18"/>
                <w:szCs w:val="18"/>
              </w:rPr>
            </w:pPr>
            <w:r>
              <w:rPr>
                <w:rFonts w:ascii="宋体" w:hAnsi="宋体" w:eastAsia="宋体" w:cs="宋体"/>
                <w:sz w:val="18"/>
                <w:szCs w:val="18"/>
              </w:rPr>
              <w:t>OEM</w:t>
            </w:r>
          </w:p>
        </w:tc>
        <w:tc>
          <w:tcPr>
            <w:tcW w:w="803" w:type="dxa"/>
            <w:tcBorders>
              <w:top w:val="single" w:color="auto" w:sz="2" w:space="0"/>
              <w:left w:val="single" w:color="auto" w:sz="2" w:space="0"/>
              <w:bottom w:val="single" w:color="auto" w:sz="2" w:space="0"/>
              <w:right w:val="single" w:color="auto" w:sz="2" w:space="0"/>
            </w:tcBorders>
            <w:vAlign w:val="center"/>
          </w:tcPr>
          <w:p w14:paraId="4018DBF5">
            <w:pPr>
              <w:spacing w:line="240" w:lineRule="exact"/>
              <w:rPr>
                <w:rFonts w:ascii="宋体" w:hAnsi="宋体" w:eastAsia="宋体" w:cs="宋体"/>
                <w:sz w:val="18"/>
                <w:szCs w:val="18"/>
              </w:rPr>
            </w:pPr>
            <w:r>
              <w:rPr>
                <w:rFonts w:ascii="宋体" w:hAnsi="宋体" w:eastAsia="宋体" w:cs="宋体"/>
                <w:sz w:val="18"/>
                <w:szCs w:val="18"/>
              </w:rPr>
              <w:t>长期</w:t>
            </w:r>
          </w:p>
        </w:tc>
      </w:tr>
      <w:tr w14:paraId="331CF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0D5401AF">
            <w:pPr>
              <w:spacing w:line="240" w:lineRule="exact"/>
              <w:rPr>
                <w:rFonts w:ascii="宋体" w:hAnsi="宋体" w:eastAsia="宋体" w:cs="宋体"/>
                <w:sz w:val="18"/>
                <w:szCs w:val="18"/>
              </w:rPr>
            </w:pPr>
            <w:r>
              <w:rPr>
                <w:rFonts w:ascii="宋体" w:hAnsi="宋体" w:eastAsia="宋体" w:cs="宋体"/>
                <w:sz w:val="18"/>
                <w:szCs w:val="18"/>
              </w:rPr>
              <w:t>纯棉</w:t>
            </w:r>
          </w:p>
        </w:tc>
        <w:tc>
          <w:tcPr>
            <w:tcW w:w="803" w:type="dxa"/>
            <w:tcBorders>
              <w:top w:val="single" w:color="auto" w:sz="2" w:space="0"/>
              <w:left w:val="single" w:color="auto" w:sz="2" w:space="0"/>
              <w:bottom w:val="single" w:color="auto" w:sz="2" w:space="0"/>
              <w:right w:val="single" w:color="auto" w:sz="2" w:space="0"/>
            </w:tcBorders>
            <w:vAlign w:val="center"/>
          </w:tcPr>
          <w:p w14:paraId="49D162F4">
            <w:pPr>
              <w:spacing w:line="240" w:lineRule="exact"/>
              <w:rPr>
                <w:rFonts w:ascii="宋体" w:hAnsi="宋体" w:eastAsia="宋体" w:cs="宋体"/>
                <w:sz w:val="18"/>
                <w:szCs w:val="18"/>
              </w:rPr>
            </w:pPr>
            <w:r>
              <w:rPr>
                <w:rFonts w:ascii="宋体" w:hAnsi="宋体" w:eastAsia="宋体" w:cs="宋体"/>
                <w:sz w:val="18"/>
                <w:szCs w:val="18"/>
              </w:rPr>
              <w:t>纯棉</w:t>
            </w:r>
          </w:p>
        </w:tc>
        <w:tc>
          <w:tcPr>
            <w:tcW w:w="803" w:type="dxa"/>
            <w:tcBorders>
              <w:top w:val="single" w:color="auto" w:sz="2" w:space="0"/>
              <w:left w:val="single" w:color="auto" w:sz="2" w:space="0"/>
              <w:bottom w:val="single" w:color="auto" w:sz="2" w:space="0"/>
              <w:right w:val="single" w:color="auto" w:sz="2" w:space="0"/>
            </w:tcBorders>
            <w:vAlign w:val="center"/>
          </w:tcPr>
          <w:p w14:paraId="707E4258">
            <w:pPr>
              <w:spacing w:line="240" w:lineRule="exact"/>
              <w:rPr>
                <w:rFonts w:ascii="宋体" w:hAnsi="宋体" w:eastAsia="宋体" w:cs="宋体"/>
                <w:sz w:val="18"/>
                <w:szCs w:val="18"/>
              </w:rPr>
            </w:pPr>
            <w:r>
              <w:rPr>
                <w:rFonts w:ascii="宋体" w:hAnsi="宋体" w:eastAsia="宋体" w:cs="宋体"/>
                <w:sz w:val="18"/>
                <w:szCs w:val="18"/>
              </w:rPr>
              <w:t>袜子</w:t>
            </w:r>
          </w:p>
        </w:tc>
        <w:tc>
          <w:tcPr>
            <w:tcW w:w="803" w:type="dxa"/>
            <w:tcBorders>
              <w:top w:val="single" w:color="auto" w:sz="2" w:space="0"/>
              <w:left w:val="single" w:color="auto" w:sz="2" w:space="0"/>
              <w:bottom w:val="single" w:color="auto" w:sz="2" w:space="0"/>
              <w:right w:val="single" w:color="auto" w:sz="2" w:space="0"/>
            </w:tcBorders>
            <w:vAlign w:val="center"/>
          </w:tcPr>
          <w:p w14:paraId="76E957CC">
            <w:pPr>
              <w:spacing w:line="240" w:lineRule="exact"/>
              <w:rPr>
                <w:rFonts w:ascii="宋体" w:hAnsi="宋体" w:eastAsia="宋体" w:cs="宋体"/>
                <w:sz w:val="18"/>
                <w:szCs w:val="18"/>
              </w:rPr>
            </w:pPr>
            <w:r>
              <w:rPr>
                <w:rFonts w:ascii="宋体" w:hAnsi="宋体" w:eastAsia="宋体" w:cs="宋体"/>
                <w:sz w:val="18"/>
                <w:szCs w:val="18"/>
              </w:rPr>
              <w:t>年轻时尚</w:t>
            </w:r>
          </w:p>
        </w:tc>
        <w:tc>
          <w:tcPr>
            <w:tcW w:w="803" w:type="dxa"/>
            <w:tcBorders>
              <w:top w:val="single" w:color="auto" w:sz="2" w:space="0"/>
              <w:left w:val="single" w:color="auto" w:sz="2" w:space="0"/>
              <w:bottom w:val="single" w:color="auto" w:sz="2" w:space="0"/>
              <w:right w:val="single" w:color="auto" w:sz="2" w:space="0"/>
            </w:tcBorders>
            <w:vAlign w:val="center"/>
          </w:tcPr>
          <w:p w14:paraId="750CC89B">
            <w:pPr>
              <w:spacing w:line="240" w:lineRule="exact"/>
              <w:rPr>
                <w:rFonts w:ascii="宋体" w:hAnsi="宋体" w:eastAsia="宋体" w:cs="宋体"/>
                <w:sz w:val="18"/>
                <w:szCs w:val="18"/>
              </w:rPr>
            </w:pPr>
            <w:r>
              <w:rPr>
                <w:rFonts w:ascii="宋体" w:hAnsi="宋体" w:eastAsia="宋体" w:cs="宋体"/>
                <w:sz w:val="18"/>
                <w:szCs w:val="18"/>
              </w:rPr>
              <w:t>女性</w:t>
            </w:r>
          </w:p>
        </w:tc>
        <w:tc>
          <w:tcPr>
            <w:tcW w:w="803" w:type="dxa"/>
            <w:tcBorders>
              <w:top w:val="single" w:color="auto" w:sz="2" w:space="0"/>
              <w:left w:val="single" w:color="auto" w:sz="2" w:space="0"/>
              <w:bottom w:val="single" w:color="auto" w:sz="2" w:space="0"/>
              <w:right w:val="single" w:color="auto" w:sz="2" w:space="0"/>
            </w:tcBorders>
            <w:vAlign w:val="center"/>
          </w:tcPr>
          <w:p w14:paraId="228B51EE">
            <w:pPr>
              <w:spacing w:line="240" w:lineRule="exact"/>
              <w:rPr>
                <w:rFonts w:ascii="宋体" w:hAnsi="宋体" w:eastAsia="宋体" w:cs="宋体"/>
                <w:sz w:val="18"/>
                <w:szCs w:val="18"/>
              </w:rPr>
            </w:pPr>
            <w:r>
              <w:rPr>
                <w:rFonts w:ascii="宋体" w:hAnsi="宋体" w:eastAsia="宋体" w:cs="宋体"/>
                <w:sz w:val="18"/>
                <w:szCs w:val="18"/>
              </w:rPr>
              <w:t>20-50</w:t>
            </w:r>
          </w:p>
        </w:tc>
        <w:tc>
          <w:tcPr>
            <w:tcW w:w="803" w:type="dxa"/>
            <w:tcBorders>
              <w:top w:val="single" w:color="auto" w:sz="2" w:space="0"/>
              <w:left w:val="single" w:color="auto" w:sz="2" w:space="0"/>
              <w:bottom w:val="single" w:color="auto" w:sz="2" w:space="0"/>
              <w:right w:val="single" w:color="auto" w:sz="2" w:space="0"/>
            </w:tcBorders>
            <w:vAlign w:val="center"/>
          </w:tcPr>
          <w:p w14:paraId="01B34F6D">
            <w:pPr>
              <w:spacing w:line="240" w:lineRule="exact"/>
              <w:rPr>
                <w:rFonts w:ascii="宋体" w:hAnsi="宋体" w:eastAsia="宋体" w:cs="宋体"/>
                <w:sz w:val="18"/>
                <w:szCs w:val="18"/>
              </w:rPr>
            </w:pPr>
            <w:r>
              <w:rPr>
                <w:rFonts w:ascii="宋体" w:hAnsi="宋体" w:eastAsia="宋体" w:cs="宋体"/>
                <w:sz w:val="18"/>
                <w:szCs w:val="18"/>
              </w:rPr>
              <w:t> 全国</w:t>
            </w:r>
          </w:p>
        </w:tc>
        <w:tc>
          <w:tcPr>
            <w:tcW w:w="803" w:type="dxa"/>
            <w:tcBorders>
              <w:top w:val="single" w:color="auto" w:sz="2" w:space="0"/>
              <w:left w:val="single" w:color="auto" w:sz="2" w:space="0"/>
              <w:bottom w:val="single" w:color="auto" w:sz="2" w:space="0"/>
              <w:right w:val="single" w:color="auto" w:sz="2" w:space="0"/>
            </w:tcBorders>
            <w:vAlign w:val="center"/>
          </w:tcPr>
          <w:p w14:paraId="51AADAB0">
            <w:pPr>
              <w:spacing w:line="240" w:lineRule="exact"/>
              <w:rPr>
                <w:rFonts w:ascii="宋体" w:hAnsi="宋体" w:eastAsia="宋体" w:cs="宋体"/>
                <w:sz w:val="18"/>
                <w:szCs w:val="18"/>
              </w:rPr>
            </w:pPr>
            <w:r>
              <w:rPr>
                <w:rFonts w:ascii="宋体" w:hAnsi="宋体" w:eastAsia="宋体" w:cs="宋体"/>
                <w:sz w:val="18"/>
                <w:szCs w:val="18"/>
              </w:rPr>
              <w:t>一二三线城市</w:t>
            </w:r>
          </w:p>
        </w:tc>
        <w:tc>
          <w:tcPr>
            <w:tcW w:w="803" w:type="dxa"/>
            <w:tcBorders>
              <w:top w:val="single" w:color="auto" w:sz="2" w:space="0"/>
              <w:left w:val="single" w:color="auto" w:sz="2" w:space="0"/>
              <w:bottom w:val="single" w:color="auto" w:sz="2" w:space="0"/>
              <w:right w:val="single" w:color="auto" w:sz="2" w:space="0"/>
            </w:tcBorders>
            <w:vAlign w:val="center"/>
          </w:tcPr>
          <w:p w14:paraId="1601807B">
            <w:pPr>
              <w:spacing w:line="240" w:lineRule="exact"/>
              <w:rPr>
                <w:rFonts w:ascii="宋体" w:hAnsi="宋体" w:eastAsia="宋体" w:cs="宋体"/>
                <w:sz w:val="18"/>
                <w:szCs w:val="18"/>
              </w:rPr>
            </w:pPr>
            <w:r>
              <w:rPr>
                <w:rFonts w:ascii="宋体" w:hAnsi="宋体" w:eastAsia="宋体" w:cs="宋体"/>
                <w:sz w:val="18"/>
                <w:szCs w:val="18"/>
              </w:rPr>
              <w:t>纯棉</w:t>
            </w:r>
          </w:p>
        </w:tc>
        <w:tc>
          <w:tcPr>
            <w:tcW w:w="803" w:type="dxa"/>
            <w:tcBorders>
              <w:top w:val="single" w:color="auto" w:sz="2" w:space="0"/>
              <w:left w:val="single" w:color="auto" w:sz="2" w:space="0"/>
              <w:bottom w:val="single" w:color="auto" w:sz="2" w:space="0"/>
              <w:right w:val="single" w:color="auto" w:sz="2" w:space="0"/>
            </w:tcBorders>
            <w:vAlign w:val="center"/>
          </w:tcPr>
          <w:p w14:paraId="1186291A">
            <w:pPr>
              <w:spacing w:line="240" w:lineRule="exact"/>
              <w:rPr>
                <w:rFonts w:ascii="宋体" w:hAnsi="宋体" w:eastAsia="宋体" w:cs="宋体"/>
                <w:sz w:val="18"/>
                <w:szCs w:val="18"/>
              </w:rPr>
            </w:pPr>
            <w:r>
              <w:rPr>
                <w:rFonts w:ascii="宋体" w:hAnsi="宋体" w:eastAsia="宋体" w:cs="宋体"/>
                <w:sz w:val="18"/>
                <w:szCs w:val="18"/>
              </w:rPr>
              <w:t>CA-广东纯棉居物医疗科技有限公司</w:t>
            </w:r>
          </w:p>
        </w:tc>
        <w:tc>
          <w:tcPr>
            <w:tcW w:w="803" w:type="dxa"/>
            <w:tcBorders>
              <w:top w:val="single" w:color="auto" w:sz="2" w:space="0"/>
              <w:left w:val="single" w:color="auto" w:sz="2" w:space="0"/>
              <w:bottom w:val="single" w:color="auto" w:sz="2" w:space="0"/>
              <w:right w:val="single" w:color="auto" w:sz="2" w:space="0"/>
            </w:tcBorders>
            <w:vAlign w:val="center"/>
          </w:tcPr>
          <w:p w14:paraId="760760CB">
            <w:pPr>
              <w:spacing w:line="240" w:lineRule="exact"/>
              <w:rPr>
                <w:rFonts w:ascii="宋体" w:hAnsi="宋体" w:eastAsia="宋体" w:cs="宋体"/>
                <w:sz w:val="18"/>
                <w:szCs w:val="18"/>
              </w:rPr>
            </w:pPr>
            <w:r>
              <w:rPr>
                <w:rFonts w:ascii="宋体" w:hAnsi="宋体" w:eastAsia="宋体" w:cs="宋体"/>
                <w:sz w:val="18"/>
                <w:szCs w:val="18"/>
              </w:rPr>
              <w:t>OEM</w:t>
            </w:r>
          </w:p>
        </w:tc>
        <w:tc>
          <w:tcPr>
            <w:tcW w:w="803" w:type="dxa"/>
            <w:tcBorders>
              <w:top w:val="single" w:color="auto" w:sz="2" w:space="0"/>
              <w:left w:val="single" w:color="auto" w:sz="2" w:space="0"/>
              <w:bottom w:val="single" w:color="auto" w:sz="2" w:space="0"/>
              <w:right w:val="single" w:color="auto" w:sz="2" w:space="0"/>
            </w:tcBorders>
            <w:vAlign w:val="center"/>
          </w:tcPr>
          <w:p w14:paraId="5509F185">
            <w:pPr>
              <w:spacing w:line="240" w:lineRule="exact"/>
              <w:rPr>
                <w:rFonts w:ascii="宋体" w:hAnsi="宋体" w:eastAsia="宋体" w:cs="宋体"/>
                <w:sz w:val="18"/>
                <w:szCs w:val="18"/>
              </w:rPr>
            </w:pPr>
            <w:r>
              <w:rPr>
                <w:rFonts w:ascii="宋体" w:hAnsi="宋体" w:eastAsia="宋体" w:cs="宋体"/>
                <w:sz w:val="18"/>
                <w:szCs w:val="18"/>
              </w:rPr>
              <w:t>长期</w:t>
            </w:r>
          </w:p>
        </w:tc>
      </w:tr>
      <w:tr w14:paraId="072A6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3F46F06F">
            <w:pPr>
              <w:spacing w:line="240" w:lineRule="exact"/>
              <w:rPr>
                <w:rFonts w:ascii="宋体" w:hAnsi="宋体" w:eastAsia="宋体" w:cs="宋体"/>
                <w:sz w:val="18"/>
                <w:szCs w:val="18"/>
              </w:rPr>
            </w:pPr>
            <w:r>
              <w:rPr>
                <w:rFonts w:ascii="宋体" w:hAnsi="宋体" w:eastAsia="宋体" w:cs="宋体"/>
                <w:sz w:val="18"/>
                <w:szCs w:val="18"/>
              </w:rPr>
              <w:t>欧度</w:t>
            </w:r>
          </w:p>
        </w:tc>
        <w:tc>
          <w:tcPr>
            <w:tcW w:w="803" w:type="dxa"/>
            <w:tcBorders>
              <w:top w:val="single" w:color="auto" w:sz="2" w:space="0"/>
              <w:left w:val="single" w:color="auto" w:sz="2" w:space="0"/>
              <w:bottom w:val="single" w:color="auto" w:sz="2" w:space="0"/>
              <w:right w:val="single" w:color="auto" w:sz="2" w:space="0"/>
            </w:tcBorders>
            <w:vAlign w:val="center"/>
          </w:tcPr>
          <w:p w14:paraId="2C7892F2">
            <w:pPr>
              <w:spacing w:line="240" w:lineRule="exact"/>
              <w:rPr>
                <w:rFonts w:ascii="宋体" w:hAnsi="宋体" w:eastAsia="宋体" w:cs="宋体"/>
                <w:sz w:val="18"/>
                <w:szCs w:val="18"/>
              </w:rPr>
            </w:pPr>
            <w:r>
              <w:rPr>
                <w:rFonts w:ascii="宋体" w:hAnsi="宋体" w:eastAsia="宋体" w:cs="宋体"/>
                <w:sz w:val="18"/>
                <w:szCs w:val="18"/>
              </w:rPr>
              <w:t>欧度</w:t>
            </w:r>
          </w:p>
        </w:tc>
        <w:tc>
          <w:tcPr>
            <w:tcW w:w="803" w:type="dxa"/>
            <w:tcBorders>
              <w:top w:val="single" w:color="auto" w:sz="2" w:space="0"/>
              <w:left w:val="single" w:color="auto" w:sz="2" w:space="0"/>
              <w:bottom w:val="single" w:color="auto" w:sz="2" w:space="0"/>
              <w:right w:val="single" w:color="auto" w:sz="2" w:space="0"/>
            </w:tcBorders>
            <w:vAlign w:val="center"/>
          </w:tcPr>
          <w:p w14:paraId="07051A5A">
            <w:pPr>
              <w:spacing w:line="240" w:lineRule="exact"/>
              <w:rPr>
                <w:rFonts w:ascii="宋体" w:hAnsi="宋体" w:eastAsia="宋体" w:cs="宋体"/>
                <w:sz w:val="18"/>
                <w:szCs w:val="18"/>
              </w:rPr>
            </w:pPr>
            <w:r>
              <w:rPr>
                <w:rFonts w:ascii="宋体" w:hAnsi="宋体" w:eastAsia="宋体" w:cs="宋体"/>
                <w:sz w:val="18"/>
                <w:szCs w:val="18"/>
              </w:rPr>
              <w:t>袜子</w:t>
            </w:r>
          </w:p>
        </w:tc>
        <w:tc>
          <w:tcPr>
            <w:tcW w:w="803" w:type="dxa"/>
            <w:tcBorders>
              <w:top w:val="single" w:color="auto" w:sz="2" w:space="0"/>
              <w:left w:val="single" w:color="auto" w:sz="2" w:space="0"/>
              <w:bottom w:val="single" w:color="auto" w:sz="2" w:space="0"/>
              <w:right w:val="single" w:color="auto" w:sz="2" w:space="0"/>
            </w:tcBorders>
            <w:vAlign w:val="center"/>
          </w:tcPr>
          <w:p w14:paraId="1FB97717">
            <w:pPr>
              <w:spacing w:line="240" w:lineRule="exact"/>
              <w:rPr>
                <w:rFonts w:ascii="宋体" w:hAnsi="宋体" w:eastAsia="宋体" w:cs="宋体"/>
                <w:sz w:val="18"/>
                <w:szCs w:val="18"/>
              </w:rPr>
            </w:pPr>
            <w:r>
              <w:rPr>
                <w:rFonts w:ascii="宋体" w:hAnsi="宋体" w:eastAsia="宋体" w:cs="宋体"/>
                <w:sz w:val="18"/>
                <w:szCs w:val="18"/>
              </w:rPr>
              <w:t>年轻时尚</w:t>
            </w:r>
          </w:p>
        </w:tc>
        <w:tc>
          <w:tcPr>
            <w:tcW w:w="803" w:type="dxa"/>
            <w:tcBorders>
              <w:top w:val="single" w:color="auto" w:sz="2" w:space="0"/>
              <w:left w:val="single" w:color="auto" w:sz="2" w:space="0"/>
              <w:bottom w:val="single" w:color="auto" w:sz="2" w:space="0"/>
              <w:right w:val="single" w:color="auto" w:sz="2" w:space="0"/>
            </w:tcBorders>
            <w:vAlign w:val="center"/>
          </w:tcPr>
          <w:p w14:paraId="706A1A98">
            <w:pPr>
              <w:spacing w:line="240" w:lineRule="exact"/>
              <w:rPr>
                <w:rFonts w:ascii="宋体" w:hAnsi="宋体" w:eastAsia="宋体" w:cs="宋体"/>
                <w:sz w:val="18"/>
                <w:szCs w:val="18"/>
              </w:rPr>
            </w:pPr>
            <w:r>
              <w:rPr>
                <w:rFonts w:ascii="宋体" w:hAnsi="宋体" w:eastAsia="宋体" w:cs="宋体"/>
                <w:sz w:val="18"/>
                <w:szCs w:val="18"/>
              </w:rPr>
              <w:t>男性</w:t>
            </w:r>
          </w:p>
        </w:tc>
        <w:tc>
          <w:tcPr>
            <w:tcW w:w="803" w:type="dxa"/>
            <w:tcBorders>
              <w:top w:val="single" w:color="auto" w:sz="2" w:space="0"/>
              <w:left w:val="single" w:color="auto" w:sz="2" w:space="0"/>
              <w:bottom w:val="single" w:color="auto" w:sz="2" w:space="0"/>
              <w:right w:val="single" w:color="auto" w:sz="2" w:space="0"/>
            </w:tcBorders>
            <w:vAlign w:val="center"/>
          </w:tcPr>
          <w:p w14:paraId="1801E292">
            <w:pPr>
              <w:spacing w:line="240" w:lineRule="exact"/>
              <w:rPr>
                <w:rFonts w:ascii="宋体" w:hAnsi="宋体" w:eastAsia="宋体" w:cs="宋体"/>
                <w:sz w:val="18"/>
                <w:szCs w:val="18"/>
              </w:rPr>
            </w:pPr>
            <w:r>
              <w:rPr>
                <w:rFonts w:ascii="宋体" w:hAnsi="宋体" w:eastAsia="宋体" w:cs="宋体"/>
                <w:sz w:val="18"/>
                <w:szCs w:val="18"/>
              </w:rPr>
              <w:t>20-50</w:t>
            </w:r>
          </w:p>
        </w:tc>
        <w:tc>
          <w:tcPr>
            <w:tcW w:w="803" w:type="dxa"/>
            <w:tcBorders>
              <w:top w:val="single" w:color="auto" w:sz="2" w:space="0"/>
              <w:left w:val="single" w:color="auto" w:sz="2" w:space="0"/>
              <w:bottom w:val="single" w:color="auto" w:sz="2" w:space="0"/>
              <w:right w:val="single" w:color="auto" w:sz="2" w:space="0"/>
            </w:tcBorders>
            <w:vAlign w:val="center"/>
          </w:tcPr>
          <w:p w14:paraId="3F1DDBB6">
            <w:pPr>
              <w:spacing w:line="240" w:lineRule="exact"/>
              <w:rPr>
                <w:rFonts w:ascii="宋体" w:hAnsi="宋体" w:eastAsia="宋体" w:cs="宋体"/>
                <w:sz w:val="18"/>
                <w:szCs w:val="18"/>
              </w:rPr>
            </w:pPr>
            <w:r>
              <w:rPr>
                <w:rFonts w:ascii="宋体" w:hAnsi="宋体" w:eastAsia="宋体" w:cs="宋体"/>
                <w:sz w:val="18"/>
                <w:szCs w:val="18"/>
              </w:rPr>
              <w:t> 全国</w:t>
            </w:r>
          </w:p>
        </w:tc>
        <w:tc>
          <w:tcPr>
            <w:tcW w:w="803" w:type="dxa"/>
            <w:tcBorders>
              <w:top w:val="single" w:color="auto" w:sz="2" w:space="0"/>
              <w:left w:val="single" w:color="auto" w:sz="2" w:space="0"/>
              <w:bottom w:val="single" w:color="auto" w:sz="2" w:space="0"/>
              <w:right w:val="single" w:color="auto" w:sz="2" w:space="0"/>
            </w:tcBorders>
            <w:vAlign w:val="center"/>
          </w:tcPr>
          <w:p w14:paraId="61774BC7">
            <w:pPr>
              <w:spacing w:line="240" w:lineRule="exact"/>
              <w:rPr>
                <w:rFonts w:ascii="宋体" w:hAnsi="宋体" w:eastAsia="宋体" w:cs="宋体"/>
                <w:sz w:val="18"/>
                <w:szCs w:val="18"/>
              </w:rPr>
            </w:pPr>
            <w:r>
              <w:rPr>
                <w:rFonts w:ascii="宋体" w:hAnsi="宋体" w:eastAsia="宋体" w:cs="宋体"/>
                <w:sz w:val="18"/>
                <w:szCs w:val="18"/>
              </w:rPr>
              <w:t>一二三线城市</w:t>
            </w:r>
          </w:p>
        </w:tc>
        <w:tc>
          <w:tcPr>
            <w:tcW w:w="803" w:type="dxa"/>
            <w:tcBorders>
              <w:top w:val="single" w:color="auto" w:sz="2" w:space="0"/>
              <w:left w:val="single" w:color="auto" w:sz="2" w:space="0"/>
              <w:bottom w:val="single" w:color="auto" w:sz="2" w:space="0"/>
              <w:right w:val="single" w:color="auto" w:sz="2" w:space="0"/>
            </w:tcBorders>
            <w:vAlign w:val="center"/>
          </w:tcPr>
          <w:p w14:paraId="5DB2C2F2">
            <w:pPr>
              <w:spacing w:line="240" w:lineRule="exact"/>
              <w:rPr>
                <w:rFonts w:ascii="宋体" w:hAnsi="宋体" w:eastAsia="宋体" w:cs="宋体"/>
                <w:sz w:val="18"/>
                <w:szCs w:val="18"/>
              </w:rPr>
            </w:pPr>
            <w:r>
              <w:rPr>
                <w:rFonts w:ascii="宋体" w:hAnsi="宋体" w:eastAsia="宋体" w:cs="宋体"/>
                <w:sz w:val="18"/>
                <w:szCs w:val="18"/>
              </w:rPr>
              <w:t>欧度</w:t>
            </w:r>
          </w:p>
        </w:tc>
        <w:tc>
          <w:tcPr>
            <w:tcW w:w="803" w:type="dxa"/>
            <w:tcBorders>
              <w:top w:val="single" w:color="auto" w:sz="2" w:space="0"/>
              <w:left w:val="single" w:color="auto" w:sz="2" w:space="0"/>
              <w:bottom w:val="single" w:color="auto" w:sz="2" w:space="0"/>
              <w:right w:val="single" w:color="auto" w:sz="2" w:space="0"/>
            </w:tcBorders>
            <w:vAlign w:val="center"/>
          </w:tcPr>
          <w:p w14:paraId="18484089">
            <w:pPr>
              <w:spacing w:line="240" w:lineRule="exact"/>
              <w:rPr>
                <w:rFonts w:ascii="宋体" w:hAnsi="宋体" w:eastAsia="宋体" w:cs="宋体"/>
                <w:sz w:val="18"/>
                <w:szCs w:val="18"/>
              </w:rPr>
            </w:pPr>
            <w:r>
              <w:rPr>
                <w:rFonts w:ascii="宋体" w:hAnsi="宋体" w:eastAsia="宋体" w:cs="宋体"/>
                <w:sz w:val="18"/>
                <w:szCs w:val="18"/>
              </w:rPr>
              <w:t>欧度控股有限公司</w:t>
            </w:r>
          </w:p>
        </w:tc>
        <w:tc>
          <w:tcPr>
            <w:tcW w:w="803" w:type="dxa"/>
            <w:tcBorders>
              <w:top w:val="single" w:color="auto" w:sz="2" w:space="0"/>
              <w:left w:val="single" w:color="auto" w:sz="2" w:space="0"/>
              <w:bottom w:val="single" w:color="auto" w:sz="2" w:space="0"/>
              <w:right w:val="single" w:color="auto" w:sz="2" w:space="0"/>
            </w:tcBorders>
            <w:vAlign w:val="center"/>
          </w:tcPr>
          <w:p w14:paraId="7E90733C">
            <w:pPr>
              <w:spacing w:line="240" w:lineRule="exact"/>
              <w:rPr>
                <w:rFonts w:ascii="宋体" w:hAnsi="宋体" w:eastAsia="宋体" w:cs="宋体"/>
                <w:sz w:val="18"/>
                <w:szCs w:val="18"/>
              </w:rPr>
            </w:pPr>
            <w:r>
              <w:rPr>
                <w:rFonts w:ascii="宋体" w:hAnsi="宋体" w:eastAsia="宋体" w:cs="宋体"/>
                <w:sz w:val="18"/>
                <w:szCs w:val="18"/>
              </w:rPr>
              <w:t>ODM</w:t>
            </w:r>
          </w:p>
        </w:tc>
        <w:tc>
          <w:tcPr>
            <w:tcW w:w="803" w:type="dxa"/>
            <w:tcBorders>
              <w:top w:val="single" w:color="auto" w:sz="2" w:space="0"/>
              <w:left w:val="single" w:color="auto" w:sz="2" w:space="0"/>
              <w:bottom w:val="single" w:color="auto" w:sz="2" w:space="0"/>
              <w:right w:val="single" w:color="auto" w:sz="2" w:space="0"/>
            </w:tcBorders>
            <w:vAlign w:val="center"/>
          </w:tcPr>
          <w:p w14:paraId="2C34BCD7">
            <w:pPr>
              <w:spacing w:line="240" w:lineRule="exact"/>
              <w:rPr>
                <w:rFonts w:ascii="宋体" w:hAnsi="宋体" w:eastAsia="宋体" w:cs="宋体"/>
                <w:sz w:val="18"/>
                <w:szCs w:val="18"/>
              </w:rPr>
            </w:pPr>
            <w:r>
              <w:rPr>
                <w:rFonts w:ascii="宋体" w:hAnsi="宋体" w:eastAsia="宋体" w:cs="宋体"/>
                <w:sz w:val="18"/>
                <w:szCs w:val="18"/>
              </w:rPr>
              <w:t>长期</w:t>
            </w:r>
          </w:p>
        </w:tc>
      </w:tr>
      <w:tr w14:paraId="40CE8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65599437">
            <w:pPr>
              <w:spacing w:line="240" w:lineRule="exact"/>
              <w:rPr>
                <w:rFonts w:ascii="宋体" w:hAnsi="宋体" w:eastAsia="宋体" w:cs="宋体"/>
                <w:sz w:val="18"/>
                <w:szCs w:val="18"/>
              </w:rPr>
            </w:pPr>
            <w:r>
              <w:rPr>
                <w:rFonts w:ascii="宋体" w:hAnsi="宋体" w:eastAsia="宋体" w:cs="宋体"/>
                <w:sz w:val="18"/>
                <w:szCs w:val="18"/>
              </w:rPr>
              <w:t>盒马</w:t>
            </w:r>
          </w:p>
        </w:tc>
        <w:tc>
          <w:tcPr>
            <w:tcW w:w="803" w:type="dxa"/>
            <w:tcBorders>
              <w:top w:val="single" w:color="auto" w:sz="2" w:space="0"/>
              <w:left w:val="single" w:color="auto" w:sz="2" w:space="0"/>
              <w:bottom w:val="single" w:color="auto" w:sz="2" w:space="0"/>
              <w:right w:val="single" w:color="auto" w:sz="2" w:space="0"/>
            </w:tcBorders>
            <w:vAlign w:val="center"/>
          </w:tcPr>
          <w:p w14:paraId="58CABD76">
            <w:pPr>
              <w:spacing w:line="240" w:lineRule="exact"/>
              <w:rPr>
                <w:rFonts w:ascii="宋体" w:hAnsi="宋体" w:eastAsia="宋体" w:cs="宋体"/>
                <w:sz w:val="18"/>
                <w:szCs w:val="18"/>
              </w:rPr>
            </w:pPr>
            <w:r>
              <w:rPr>
                <w:rFonts w:ascii="宋体" w:hAnsi="宋体" w:eastAsia="宋体" w:cs="宋体"/>
                <w:sz w:val="18"/>
                <w:szCs w:val="18"/>
              </w:rPr>
              <w:t>盒马</w:t>
            </w:r>
          </w:p>
        </w:tc>
        <w:tc>
          <w:tcPr>
            <w:tcW w:w="803" w:type="dxa"/>
            <w:tcBorders>
              <w:top w:val="single" w:color="auto" w:sz="2" w:space="0"/>
              <w:left w:val="single" w:color="auto" w:sz="2" w:space="0"/>
              <w:bottom w:val="single" w:color="auto" w:sz="2" w:space="0"/>
              <w:right w:val="single" w:color="auto" w:sz="2" w:space="0"/>
            </w:tcBorders>
            <w:vAlign w:val="center"/>
          </w:tcPr>
          <w:p w14:paraId="11CBABD3">
            <w:pPr>
              <w:spacing w:line="240" w:lineRule="exact"/>
              <w:rPr>
                <w:rFonts w:ascii="宋体" w:hAnsi="宋体" w:eastAsia="宋体" w:cs="宋体"/>
                <w:sz w:val="18"/>
                <w:szCs w:val="18"/>
              </w:rPr>
            </w:pPr>
            <w:r>
              <w:rPr>
                <w:rFonts w:ascii="宋体" w:hAnsi="宋体" w:eastAsia="宋体" w:cs="宋体"/>
                <w:sz w:val="18"/>
                <w:szCs w:val="18"/>
              </w:rPr>
              <w:t>袜子</w:t>
            </w:r>
          </w:p>
        </w:tc>
        <w:tc>
          <w:tcPr>
            <w:tcW w:w="803" w:type="dxa"/>
            <w:tcBorders>
              <w:top w:val="single" w:color="auto" w:sz="2" w:space="0"/>
              <w:left w:val="single" w:color="auto" w:sz="2" w:space="0"/>
              <w:bottom w:val="single" w:color="auto" w:sz="2" w:space="0"/>
              <w:right w:val="single" w:color="auto" w:sz="2" w:space="0"/>
            </w:tcBorders>
            <w:vAlign w:val="center"/>
          </w:tcPr>
          <w:p w14:paraId="1F9CBE5D">
            <w:pPr>
              <w:spacing w:line="240" w:lineRule="exact"/>
              <w:rPr>
                <w:rFonts w:ascii="宋体" w:hAnsi="宋体" w:eastAsia="宋体" w:cs="宋体"/>
                <w:sz w:val="18"/>
                <w:szCs w:val="18"/>
              </w:rPr>
            </w:pPr>
            <w:r>
              <w:rPr>
                <w:rFonts w:ascii="宋体" w:hAnsi="宋体" w:eastAsia="宋体" w:cs="宋体"/>
                <w:sz w:val="18"/>
                <w:szCs w:val="18"/>
              </w:rPr>
              <w:t>年轻时尚</w:t>
            </w:r>
          </w:p>
        </w:tc>
        <w:tc>
          <w:tcPr>
            <w:tcW w:w="803" w:type="dxa"/>
            <w:tcBorders>
              <w:top w:val="single" w:color="auto" w:sz="2" w:space="0"/>
              <w:left w:val="single" w:color="auto" w:sz="2" w:space="0"/>
              <w:bottom w:val="single" w:color="auto" w:sz="2" w:space="0"/>
              <w:right w:val="single" w:color="auto" w:sz="2" w:space="0"/>
            </w:tcBorders>
            <w:vAlign w:val="center"/>
          </w:tcPr>
          <w:p w14:paraId="5686EAAF">
            <w:pPr>
              <w:spacing w:line="240" w:lineRule="exact"/>
              <w:rPr>
                <w:rFonts w:ascii="宋体" w:hAnsi="宋体" w:eastAsia="宋体" w:cs="宋体"/>
                <w:sz w:val="18"/>
                <w:szCs w:val="18"/>
              </w:rPr>
            </w:pPr>
            <w:r>
              <w:rPr>
                <w:rFonts w:ascii="宋体" w:hAnsi="宋体" w:eastAsia="宋体" w:cs="宋体"/>
                <w:sz w:val="18"/>
                <w:szCs w:val="18"/>
              </w:rPr>
              <w:t>女性</w:t>
            </w:r>
          </w:p>
        </w:tc>
        <w:tc>
          <w:tcPr>
            <w:tcW w:w="803" w:type="dxa"/>
            <w:tcBorders>
              <w:top w:val="single" w:color="auto" w:sz="2" w:space="0"/>
              <w:left w:val="single" w:color="auto" w:sz="2" w:space="0"/>
              <w:bottom w:val="single" w:color="auto" w:sz="2" w:space="0"/>
              <w:right w:val="single" w:color="auto" w:sz="2" w:space="0"/>
            </w:tcBorders>
            <w:vAlign w:val="center"/>
          </w:tcPr>
          <w:p w14:paraId="05CF9C82">
            <w:pPr>
              <w:spacing w:line="240" w:lineRule="exact"/>
              <w:rPr>
                <w:rFonts w:ascii="宋体" w:hAnsi="宋体" w:eastAsia="宋体" w:cs="宋体"/>
                <w:sz w:val="18"/>
                <w:szCs w:val="18"/>
              </w:rPr>
            </w:pPr>
            <w:r>
              <w:rPr>
                <w:rFonts w:ascii="宋体" w:hAnsi="宋体" w:eastAsia="宋体" w:cs="宋体"/>
                <w:sz w:val="18"/>
                <w:szCs w:val="18"/>
              </w:rPr>
              <w:t>30-60</w:t>
            </w:r>
          </w:p>
        </w:tc>
        <w:tc>
          <w:tcPr>
            <w:tcW w:w="803" w:type="dxa"/>
            <w:tcBorders>
              <w:top w:val="single" w:color="auto" w:sz="2" w:space="0"/>
              <w:left w:val="single" w:color="auto" w:sz="2" w:space="0"/>
              <w:bottom w:val="single" w:color="auto" w:sz="2" w:space="0"/>
              <w:right w:val="single" w:color="auto" w:sz="2" w:space="0"/>
            </w:tcBorders>
            <w:vAlign w:val="center"/>
          </w:tcPr>
          <w:p w14:paraId="404E544B">
            <w:pPr>
              <w:spacing w:line="240" w:lineRule="exact"/>
              <w:rPr>
                <w:rFonts w:ascii="宋体" w:hAnsi="宋体" w:eastAsia="宋体" w:cs="宋体"/>
                <w:sz w:val="18"/>
                <w:szCs w:val="18"/>
              </w:rPr>
            </w:pPr>
            <w:r>
              <w:rPr>
                <w:rFonts w:ascii="宋体" w:hAnsi="宋体" w:eastAsia="宋体" w:cs="宋体"/>
                <w:sz w:val="18"/>
                <w:szCs w:val="18"/>
              </w:rPr>
              <w:t> 全国</w:t>
            </w:r>
          </w:p>
        </w:tc>
        <w:tc>
          <w:tcPr>
            <w:tcW w:w="803" w:type="dxa"/>
            <w:tcBorders>
              <w:top w:val="single" w:color="auto" w:sz="2" w:space="0"/>
              <w:left w:val="single" w:color="auto" w:sz="2" w:space="0"/>
              <w:bottom w:val="single" w:color="auto" w:sz="2" w:space="0"/>
              <w:right w:val="single" w:color="auto" w:sz="2" w:space="0"/>
            </w:tcBorders>
            <w:vAlign w:val="center"/>
          </w:tcPr>
          <w:p w14:paraId="1FE2DB65">
            <w:pPr>
              <w:spacing w:line="240" w:lineRule="exact"/>
              <w:rPr>
                <w:rFonts w:ascii="宋体" w:hAnsi="宋体" w:eastAsia="宋体" w:cs="宋体"/>
                <w:sz w:val="18"/>
                <w:szCs w:val="18"/>
              </w:rPr>
            </w:pPr>
            <w:r>
              <w:rPr>
                <w:rFonts w:ascii="宋体" w:hAnsi="宋体" w:eastAsia="宋体" w:cs="宋体"/>
                <w:sz w:val="18"/>
                <w:szCs w:val="18"/>
              </w:rPr>
              <w:t>一二线城市</w:t>
            </w:r>
          </w:p>
        </w:tc>
        <w:tc>
          <w:tcPr>
            <w:tcW w:w="803" w:type="dxa"/>
            <w:tcBorders>
              <w:top w:val="single" w:color="auto" w:sz="2" w:space="0"/>
              <w:left w:val="single" w:color="auto" w:sz="2" w:space="0"/>
              <w:bottom w:val="single" w:color="auto" w:sz="2" w:space="0"/>
              <w:right w:val="single" w:color="auto" w:sz="2" w:space="0"/>
            </w:tcBorders>
            <w:vAlign w:val="center"/>
          </w:tcPr>
          <w:p w14:paraId="46F409E1">
            <w:pPr>
              <w:spacing w:line="240" w:lineRule="exact"/>
              <w:rPr>
                <w:rFonts w:ascii="宋体" w:hAnsi="宋体" w:eastAsia="宋体" w:cs="宋体"/>
                <w:sz w:val="18"/>
                <w:szCs w:val="18"/>
              </w:rPr>
            </w:pPr>
            <w:r>
              <w:rPr>
                <w:rFonts w:ascii="宋体" w:hAnsi="宋体" w:eastAsia="宋体" w:cs="宋体"/>
                <w:sz w:val="18"/>
                <w:szCs w:val="18"/>
              </w:rPr>
              <w:t>品牌方</w:t>
            </w:r>
          </w:p>
        </w:tc>
        <w:tc>
          <w:tcPr>
            <w:tcW w:w="803" w:type="dxa"/>
            <w:tcBorders>
              <w:top w:val="single" w:color="auto" w:sz="2" w:space="0"/>
              <w:left w:val="single" w:color="auto" w:sz="2" w:space="0"/>
              <w:bottom w:val="single" w:color="auto" w:sz="2" w:space="0"/>
              <w:right w:val="single" w:color="auto" w:sz="2" w:space="0"/>
            </w:tcBorders>
            <w:vAlign w:val="center"/>
          </w:tcPr>
          <w:p w14:paraId="1E7BCC9C">
            <w:pPr>
              <w:spacing w:line="240" w:lineRule="exact"/>
              <w:rPr>
                <w:rFonts w:ascii="宋体" w:hAnsi="宋体" w:eastAsia="宋体" w:cs="宋体"/>
                <w:sz w:val="18"/>
                <w:szCs w:val="18"/>
              </w:rPr>
            </w:pPr>
            <w:r>
              <w:rPr>
                <w:rFonts w:ascii="宋体" w:hAnsi="宋体" w:eastAsia="宋体" w:cs="宋体"/>
                <w:sz w:val="18"/>
                <w:szCs w:val="18"/>
              </w:rPr>
              <w:t>盒马</w:t>
            </w:r>
          </w:p>
        </w:tc>
        <w:tc>
          <w:tcPr>
            <w:tcW w:w="803" w:type="dxa"/>
            <w:tcBorders>
              <w:top w:val="single" w:color="auto" w:sz="2" w:space="0"/>
              <w:left w:val="single" w:color="auto" w:sz="2" w:space="0"/>
              <w:bottom w:val="single" w:color="auto" w:sz="2" w:space="0"/>
              <w:right w:val="single" w:color="auto" w:sz="2" w:space="0"/>
            </w:tcBorders>
            <w:vAlign w:val="center"/>
          </w:tcPr>
          <w:p w14:paraId="18E86C25">
            <w:pPr>
              <w:spacing w:line="240" w:lineRule="exact"/>
              <w:rPr>
                <w:rFonts w:ascii="宋体" w:hAnsi="宋体" w:eastAsia="宋体" w:cs="宋体"/>
                <w:sz w:val="18"/>
                <w:szCs w:val="18"/>
              </w:rPr>
            </w:pPr>
            <w:r>
              <w:rPr>
                <w:rFonts w:ascii="宋体" w:hAnsi="宋体" w:eastAsia="宋体" w:cs="宋体"/>
                <w:sz w:val="18"/>
                <w:szCs w:val="18"/>
              </w:rPr>
              <w:t>OEM</w:t>
            </w:r>
          </w:p>
        </w:tc>
        <w:tc>
          <w:tcPr>
            <w:tcW w:w="803" w:type="dxa"/>
            <w:tcBorders>
              <w:top w:val="single" w:color="auto" w:sz="2" w:space="0"/>
              <w:left w:val="single" w:color="auto" w:sz="2" w:space="0"/>
              <w:bottom w:val="single" w:color="auto" w:sz="2" w:space="0"/>
              <w:right w:val="single" w:color="auto" w:sz="2" w:space="0"/>
            </w:tcBorders>
            <w:vAlign w:val="center"/>
          </w:tcPr>
          <w:p w14:paraId="70A580ED">
            <w:pPr>
              <w:spacing w:line="240" w:lineRule="exact"/>
              <w:rPr>
                <w:rFonts w:ascii="宋体" w:hAnsi="宋体" w:eastAsia="宋体" w:cs="宋体"/>
                <w:sz w:val="18"/>
                <w:szCs w:val="18"/>
              </w:rPr>
            </w:pPr>
            <w:r>
              <w:rPr>
                <w:rFonts w:ascii="宋体" w:hAnsi="宋体" w:eastAsia="宋体" w:cs="宋体"/>
                <w:sz w:val="18"/>
                <w:szCs w:val="18"/>
              </w:rPr>
              <w:t>长期</w:t>
            </w:r>
          </w:p>
        </w:tc>
      </w:tr>
      <w:tr w14:paraId="2613D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438ACB3C">
            <w:pPr>
              <w:spacing w:line="240" w:lineRule="exact"/>
              <w:rPr>
                <w:rFonts w:ascii="宋体" w:hAnsi="宋体" w:eastAsia="宋体" w:cs="宋体"/>
                <w:sz w:val="18"/>
                <w:szCs w:val="18"/>
              </w:rPr>
            </w:pPr>
            <w:r>
              <w:rPr>
                <w:rFonts w:ascii="宋体" w:hAnsi="宋体" w:eastAsia="宋体" w:cs="宋体"/>
                <w:sz w:val="18"/>
                <w:szCs w:val="18"/>
              </w:rPr>
              <w:t>三福百货</w:t>
            </w:r>
          </w:p>
        </w:tc>
        <w:tc>
          <w:tcPr>
            <w:tcW w:w="803" w:type="dxa"/>
            <w:tcBorders>
              <w:top w:val="single" w:color="auto" w:sz="2" w:space="0"/>
              <w:left w:val="single" w:color="auto" w:sz="2" w:space="0"/>
              <w:bottom w:val="single" w:color="auto" w:sz="2" w:space="0"/>
              <w:right w:val="single" w:color="auto" w:sz="2" w:space="0"/>
            </w:tcBorders>
            <w:vAlign w:val="center"/>
          </w:tcPr>
          <w:p w14:paraId="63B7E12D">
            <w:pPr>
              <w:spacing w:line="240" w:lineRule="exact"/>
              <w:rPr>
                <w:rFonts w:ascii="宋体" w:hAnsi="宋体" w:eastAsia="宋体" w:cs="宋体"/>
                <w:sz w:val="18"/>
                <w:szCs w:val="18"/>
              </w:rPr>
            </w:pPr>
            <w:r>
              <w:rPr>
                <w:rFonts w:ascii="宋体" w:hAnsi="宋体" w:eastAsia="宋体" w:cs="宋体"/>
                <w:sz w:val="18"/>
                <w:szCs w:val="18"/>
              </w:rPr>
              <w:t>三福百货</w:t>
            </w:r>
          </w:p>
        </w:tc>
        <w:tc>
          <w:tcPr>
            <w:tcW w:w="803" w:type="dxa"/>
            <w:tcBorders>
              <w:top w:val="single" w:color="auto" w:sz="2" w:space="0"/>
              <w:left w:val="single" w:color="auto" w:sz="2" w:space="0"/>
              <w:bottom w:val="single" w:color="auto" w:sz="2" w:space="0"/>
              <w:right w:val="single" w:color="auto" w:sz="2" w:space="0"/>
            </w:tcBorders>
            <w:vAlign w:val="center"/>
          </w:tcPr>
          <w:p w14:paraId="219BCFE3">
            <w:pPr>
              <w:spacing w:line="240" w:lineRule="exact"/>
              <w:rPr>
                <w:rFonts w:ascii="宋体" w:hAnsi="宋体" w:eastAsia="宋体" w:cs="宋体"/>
                <w:sz w:val="18"/>
                <w:szCs w:val="18"/>
              </w:rPr>
            </w:pPr>
            <w:r>
              <w:rPr>
                <w:rFonts w:ascii="宋体" w:hAnsi="宋体" w:eastAsia="宋体" w:cs="宋体"/>
                <w:sz w:val="18"/>
                <w:szCs w:val="18"/>
              </w:rPr>
              <w:t>袜子</w:t>
            </w:r>
          </w:p>
        </w:tc>
        <w:tc>
          <w:tcPr>
            <w:tcW w:w="803" w:type="dxa"/>
            <w:tcBorders>
              <w:top w:val="single" w:color="auto" w:sz="2" w:space="0"/>
              <w:left w:val="single" w:color="auto" w:sz="2" w:space="0"/>
              <w:bottom w:val="single" w:color="auto" w:sz="2" w:space="0"/>
              <w:right w:val="single" w:color="auto" w:sz="2" w:space="0"/>
            </w:tcBorders>
            <w:vAlign w:val="center"/>
          </w:tcPr>
          <w:p w14:paraId="4102D9A8">
            <w:pPr>
              <w:spacing w:line="240" w:lineRule="exact"/>
              <w:rPr>
                <w:rFonts w:ascii="宋体" w:hAnsi="宋体" w:eastAsia="宋体" w:cs="宋体"/>
                <w:sz w:val="18"/>
                <w:szCs w:val="18"/>
              </w:rPr>
            </w:pPr>
            <w:r>
              <w:rPr>
                <w:rFonts w:ascii="宋体" w:hAnsi="宋体" w:eastAsia="宋体" w:cs="宋体"/>
                <w:sz w:val="18"/>
                <w:szCs w:val="18"/>
              </w:rPr>
              <w:t>年轻时尚</w:t>
            </w:r>
          </w:p>
        </w:tc>
        <w:tc>
          <w:tcPr>
            <w:tcW w:w="803" w:type="dxa"/>
            <w:tcBorders>
              <w:top w:val="single" w:color="auto" w:sz="2" w:space="0"/>
              <w:left w:val="single" w:color="auto" w:sz="2" w:space="0"/>
              <w:bottom w:val="single" w:color="auto" w:sz="2" w:space="0"/>
              <w:right w:val="single" w:color="auto" w:sz="2" w:space="0"/>
            </w:tcBorders>
            <w:vAlign w:val="center"/>
          </w:tcPr>
          <w:p w14:paraId="62CC3560">
            <w:pPr>
              <w:spacing w:line="240" w:lineRule="exact"/>
              <w:rPr>
                <w:rFonts w:ascii="宋体" w:hAnsi="宋体" w:eastAsia="宋体" w:cs="宋体"/>
                <w:sz w:val="18"/>
                <w:szCs w:val="18"/>
              </w:rPr>
            </w:pPr>
            <w:r>
              <w:rPr>
                <w:rFonts w:ascii="宋体" w:hAnsi="宋体" w:eastAsia="宋体" w:cs="宋体"/>
                <w:sz w:val="18"/>
                <w:szCs w:val="18"/>
              </w:rPr>
              <w:t>女性</w:t>
            </w:r>
          </w:p>
        </w:tc>
        <w:tc>
          <w:tcPr>
            <w:tcW w:w="803" w:type="dxa"/>
            <w:tcBorders>
              <w:top w:val="single" w:color="auto" w:sz="2" w:space="0"/>
              <w:left w:val="single" w:color="auto" w:sz="2" w:space="0"/>
              <w:bottom w:val="single" w:color="auto" w:sz="2" w:space="0"/>
              <w:right w:val="single" w:color="auto" w:sz="2" w:space="0"/>
            </w:tcBorders>
            <w:vAlign w:val="center"/>
          </w:tcPr>
          <w:p w14:paraId="5681FFAF">
            <w:pPr>
              <w:spacing w:line="240" w:lineRule="exact"/>
              <w:rPr>
                <w:rFonts w:ascii="宋体" w:hAnsi="宋体" w:eastAsia="宋体" w:cs="宋体"/>
                <w:sz w:val="18"/>
                <w:szCs w:val="18"/>
              </w:rPr>
            </w:pPr>
            <w:r>
              <w:rPr>
                <w:rFonts w:ascii="宋体" w:hAnsi="宋体" w:eastAsia="宋体" w:cs="宋体"/>
                <w:sz w:val="18"/>
                <w:szCs w:val="18"/>
              </w:rPr>
              <w:t>20-50</w:t>
            </w:r>
          </w:p>
        </w:tc>
        <w:tc>
          <w:tcPr>
            <w:tcW w:w="803" w:type="dxa"/>
            <w:tcBorders>
              <w:top w:val="single" w:color="auto" w:sz="2" w:space="0"/>
              <w:left w:val="single" w:color="auto" w:sz="2" w:space="0"/>
              <w:bottom w:val="single" w:color="auto" w:sz="2" w:space="0"/>
              <w:right w:val="single" w:color="auto" w:sz="2" w:space="0"/>
            </w:tcBorders>
            <w:vAlign w:val="center"/>
          </w:tcPr>
          <w:p w14:paraId="1751ADFF">
            <w:pPr>
              <w:spacing w:line="240" w:lineRule="exact"/>
              <w:rPr>
                <w:rFonts w:ascii="宋体" w:hAnsi="宋体" w:eastAsia="宋体" w:cs="宋体"/>
                <w:sz w:val="18"/>
                <w:szCs w:val="18"/>
              </w:rPr>
            </w:pPr>
            <w:r>
              <w:rPr>
                <w:rFonts w:ascii="宋体" w:hAnsi="宋体" w:eastAsia="宋体" w:cs="宋体"/>
                <w:sz w:val="18"/>
                <w:szCs w:val="18"/>
              </w:rPr>
              <w:t> 全国</w:t>
            </w:r>
          </w:p>
        </w:tc>
        <w:tc>
          <w:tcPr>
            <w:tcW w:w="803" w:type="dxa"/>
            <w:tcBorders>
              <w:top w:val="single" w:color="auto" w:sz="2" w:space="0"/>
              <w:left w:val="single" w:color="auto" w:sz="2" w:space="0"/>
              <w:bottom w:val="single" w:color="auto" w:sz="2" w:space="0"/>
              <w:right w:val="single" w:color="auto" w:sz="2" w:space="0"/>
            </w:tcBorders>
            <w:vAlign w:val="center"/>
          </w:tcPr>
          <w:p w14:paraId="4162186E">
            <w:pPr>
              <w:spacing w:line="240" w:lineRule="exact"/>
              <w:rPr>
                <w:rFonts w:ascii="宋体" w:hAnsi="宋体" w:eastAsia="宋体" w:cs="宋体"/>
                <w:sz w:val="18"/>
                <w:szCs w:val="18"/>
              </w:rPr>
            </w:pPr>
            <w:r>
              <w:rPr>
                <w:rFonts w:ascii="宋体" w:hAnsi="宋体" w:eastAsia="宋体" w:cs="宋体"/>
                <w:sz w:val="18"/>
                <w:szCs w:val="18"/>
              </w:rPr>
              <w:t>一二三线城市</w:t>
            </w:r>
          </w:p>
        </w:tc>
        <w:tc>
          <w:tcPr>
            <w:tcW w:w="803" w:type="dxa"/>
            <w:tcBorders>
              <w:top w:val="single" w:color="auto" w:sz="2" w:space="0"/>
              <w:left w:val="single" w:color="auto" w:sz="2" w:space="0"/>
              <w:bottom w:val="single" w:color="auto" w:sz="2" w:space="0"/>
              <w:right w:val="single" w:color="auto" w:sz="2" w:space="0"/>
            </w:tcBorders>
            <w:vAlign w:val="center"/>
          </w:tcPr>
          <w:p w14:paraId="7B48F0CE">
            <w:pPr>
              <w:spacing w:line="240" w:lineRule="exact"/>
              <w:rPr>
                <w:rFonts w:ascii="宋体" w:hAnsi="宋体" w:eastAsia="宋体" w:cs="宋体"/>
                <w:sz w:val="18"/>
                <w:szCs w:val="18"/>
              </w:rPr>
            </w:pPr>
            <w:r>
              <w:rPr>
                <w:rFonts w:ascii="宋体" w:hAnsi="宋体" w:eastAsia="宋体" w:cs="宋体"/>
                <w:sz w:val="18"/>
                <w:szCs w:val="18"/>
              </w:rPr>
              <w:t>三福百货</w:t>
            </w:r>
          </w:p>
        </w:tc>
        <w:tc>
          <w:tcPr>
            <w:tcW w:w="803" w:type="dxa"/>
            <w:tcBorders>
              <w:top w:val="single" w:color="auto" w:sz="2" w:space="0"/>
              <w:left w:val="single" w:color="auto" w:sz="2" w:space="0"/>
              <w:bottom w:val="single" w:color="auto" w:sz="2" w:space="0"/>
              <w:right w:val="single" w:color="auto" w:sz="2" w:space="0"/>
            </w:tcBorders>
            <w:vAlign w:val="center"/>
          </w:tcPr>
          <w:p w14:paraId="549ADD21">
            <w:pPr>
              <w:spacing w:line="240" w:lineRule="exact"/>
              <w:rPr>
                <w:rFonts w:ascii="宋体" w:hAnsi="宋体" w:eastAsia="宋体" w:cs="宋体"/>
                <w:sz w:val="18"/>
                <w:szCs w:val="18"/>
              </w:rPr>
            </w:pPr>
            <w:r>
              <w:rPr>
                <w:rFonts w:ascii="宋体" w:hAnsi="宋体" w:eastAsia="宋体" w:cs="宋体"/>
                <w:sz w:val="18"/>
                <w:szCs w:val="18"/>
              </w:rPr>
              <w:t>福建三福服饰有限公司</w:t>
            </w:r>
          </w:p>
        </w:tc>
        <w:tc>
          <w:tcPr>
            <w:tcW w:w="803" w:type="dxa"/>
            <w:tcBorders>
              <w:top w:val="single" w:color="auto" w:sz="2" w:space="0"/>
              <w:left w:val="single" w:color="auto" w:sz="2" w:space="0"/>
              <w:bottom w:val="single" w:color="auto" w:sz="2" w:space="0"/>
              <w:right w:val="single" w:color="auto" w:sz="2" w:space="0"/>
            </w:tcBorders>
            <w:vAlign w:val="center"/>
          </w:tcPr>
          <w:p w14:paraId="6D9300BF">
            <w:pPr>
              <w:spacing w:line="240" w:lineRule="exact"/>
              <w:rPr>
                <w:rFonts w:ascii="宋体" w:hAnsi="宋体" w:eastAsia="宋体" w:cs="宋体"/>
                <w:sz w:val="18"/>
                <w:szCs w:val="18"/>
              </w:rPr>
            </w:pPr>
            <w:r>
              <w:rPr>
                <w:rFonts w:ascii="宋体" w:hAnsi="宋体" w:eastAsia="宋体" w:cs="宋体"/>
                <w:sz w:val="18"/>
                <w:szCs w:val="18"/>
              </w:rPr>
              <w:t>OEM</w:t>
            </w:r>
          </w:p>
        </w:tc>
        <w:tc>
          <w:tcPr>
            <w:tcW w:w="803" w:type="dxa"/>
            <w:tcBorders>
              <w:top w:val="single" w:color="auto" w:sz="2" w:space="0"/>
              <w:left w:val="single" w:color="auto" w:sz="2" w:space="0"/>
              <w:bottom w:val="single" w:color="auto" w:sz="2" w:space="0"/>
              <w:right w:val="single" w:color="auto" w:sz="2" w:space="0"/>
            </w:tcBorders>
            <w:vAlign w:val="center"/>
          </w:tcPr>
          <w:p w14:paraId="567BFD34">
            <w:pPr>
              <w:spacing w:line="240" w:lineRule="exact"/>
              <w:rPr>
                <w:rFonts w:ascii="宋体" w:hAnsi="宋体" w:eastAsia="宋体" w:cs="宋体"/>
                <w:sz w:val="18"/>
                <w:szCs w:val="18"/>
              </w:rPr>
            </w:pPr>
            <w:r>
              <w:rPr>
                <w:rFonts w:ascii="宋体" w:hAnsi="宋体" w:eastAsia="宋体" w:cs="宋体"/>
                <w:sz w:val="18"/>
                <w:szCs w:val="18"/>
              </w:rPr>
              <w:t>长期</w:t>
            </w:r>
          </w:p>
        </w:tc>
      </w:tr>
      <w:tr w14:paraId="3FC69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16B5D6AE">
            <w:pPr>
              <w:spacing w:line="240" w:lineRule="exact"/>
              <w:rPr>
                <w:rFonts w:ascii="宋体" w:hAnsi="宋体" w:eastAsia="宋体" w:cs="宋体"/>
                <w:sz w:val="18"/>
                <w:szCs w:val="18"/>
              </w:rPr>
            </w:pPr>
            <w:r>
              <w:rPr>
                <w:rFonts w:ascii="宋体" w:hAnsi="宋体" w:eastAsia="宋体" w:cs="宋体"/>
                <w:sz w:val="18"/>
                <w:szCs w:val="18"/>
              </w:rPr>
              <w:t>奶糖派</w:t>
            </w:r>
          </w:p>
        </w:tc>
        <w:tc>
          <w:tcPr>
            <w:tcW w:w="803" w:type="dxa"/>
            <w:tcBorders>
              <w:top w:val="single" w:color="auto" w:sz="2" w:space="0"/>
              <w:left w:val="single" w:color="auto" w:sz="2" w:space="0"/>
              <w:bottom w:val="single" w:color="auto" w:sz="2" w:space="0"/>
              <w:right w:val="single" w:color="auto" w:sz="2" w:space="0"/>
            </w:tcBorders>
            <w:vAlign w:val="center"/>
          </w:tcPr>
          <w:p w14:paraId="05B69015">
            <w:pPr>
              <w:spacing w:line="240" w:lineRule="exact"/>
              <w:rPr>
                <w:rFonts w:ascii="宋体" w:hAnsi="宋体" w:eastAsia="宋体" w:cs="宋体"/>
                <w:sz w:val="18"/>
                <w:szCs w:val="18"/>
              </w:rPr>
            </w:pPr>
            <w:r>
              <w:rPr>
                <w:rFonts w:ascii="宋体" w:hAnsi="宋体" w:eastAsia="宋体" w:cs="宋体"/>
                <w:sz w:val="18"/>
                <w:szCs w:val="18"/>
              </w:rPr>
              <w:t>奶糖派</w:t>
            </w:r>
          </w:p>
        </w:tc>
        <w:tc>
          <w:tcPr>
            <w:tcW w:w="803" w:type="dxa"/>
            <w:tcBorders>
              <w:top w:val="single" w:color="auto" w:sz="2" w:space="0"/>
              <w:left w:val="single" w:color="auto" w:sz="2" w:space="0"/>
              <w:bottom w:val="single" w:color="auto" w:sz="2" w:space="0"/>
              <w:right w:val="single" w:color="auto" w:sz="2" w:space="0"/>
            </w:tcBorders>
            <w:vAlign w:val="center"/>
          </w:tcPr>
          <w:p w14:paraId="70A4F3B1">
            <w:pPr>
              <w:spacing w:line="240" w:lineRule="exact"/>
              <w:rPr>
                <w:rFonts w:ascii="宋体" w:hAnsi="宋体" w:eastAsia="宋体" w:cs="宋体"/>
                <w:sz w:val="18"/>
                <w:szCs w:val="18"/>
              </w:rPr>
            </w:pPr>
            <w:r>
              <w:rPr>
                <w:rFonts w:ascii="宋体" w:hAnsi="宋体" w:eastAsia="宋体" w:cs="宋体"/>
                <w:sz w:val="18"/>
                <w:szCs w:val="18"/>
              </w:rPr>
              <w:t>袜子</w:t>
            </w:r>
          </w:p>
        </w:tc>
        <w:tc>
          <w:tcPr>
            <w:tcW w:w="803" w:type="dxa"/>
            <w:tcBorders>
              <w:top w:val="single" w:color="auto" w:sz="2" w:space="0"/>
              <w:left w:val="single" w:color="auto" w:sz="2" w:space="0"/>
              <w:bottom w:val="single" w:color="auto" w:sz="2" w:space="0"/>
              <w:right w:val="single" w:color="auto" w:sz="2" w:space="0"/>
            </w:tcBorders>
            <w:vAlign w:val="center"/>
          </w:tcPr>
          <w:p w14:paraId="1CCC09A4">
            <w:pPr>
              <w:spacing w:line="240" w:lineRule="exact"/>
              <w:rPr>
                <w:rFonts w:ascii="宋体" w:hAnsi="宋体" w:eastAsia="宋体" w:cs="宋体"/>
                <w:sz w:val="18"/>
                <w:szCs w:val="18"/>
              </w:rPr>
            </w:pPr>
            <w:r>
              <w:rPr>
                <w:rFonts w:ascii="宋体" w:hAnsi="宋体" w:eastAsia="宋体" w:cs="宋体"/>
                <w:sz w:val="18"/>
                <w:szCs w:val="18"/>
              </w:rPr>
              <w:t>年轻时尚</w:t>
            </w:r>
          </w:p>
        </w:tc>
        <w:tc>
          <w:tcPr>
            <w:tcW w:w="803" w:type="dxa"/>
            <w:tcBorders>
              <w:top w:val="single" w:color="auto" w:sz="2" w:space="0"/>
              <w:left w:val="single" w:color="auto" w:sz="2" w:space="0"/>
              <w:bottom w:val="single" w:color="auto" w:sz="2" w:space="0"/>
              <w:right w:val="single" w:color="auto" w:sz="2" w:space="0"/>
            </w:tcBorders>
            <w:vAlign w:val="center"/>
          </w:tcPr>
          <w:p w14:paraId="0E04323A">
            <w:pPr>
              <w:spacing w:line="240" w:lineRule="exact"/>
              <w:rPr>
                <w:rFonts w:ascii="宋体" w:hAnsi="宋体" w:eastAsia="宋体" w:cs="宋体"/>
                <w:sz w:val="18"/>
                <w:szCs w:val="18"/>
              </w:rPr>
            </w:pPr>
            <w:r>
              <w:rPr>
                <w:rFonts w:ascii="宋体" w:hAnsi="宋体" w:eastAsia="宋体" w:cs="宋体"/>
                <w:sz w:val="18"/>
                <w:szCs w:val="18"/>
              </w:rPr>
              <w:t>女性</w:t>
            </w:r>
          </w:p>
        </w:tc>
        <w:tc>
          <w:tcPr>
            <w:tcW w:w="803" w:type="dxa"/>
            <w:tcBorders>
              <w:top w:val="single" w:color="auto" w:sz="2" w:space="0"/>
              <w:left w:val="single" w:color="auto" w:sz="2" w:space="0"/>
              <w:bottom w:val="single" w:color="auto" w:sz="2" w:space="0"/>
              <w:right w:val="single" w:color="auto" w:sz="2" w:space="0"/>
            </w:tcBorders>
            <w:vAlign w:val="center"/>
          </w:tcPr>
          <w:p w14:paraId="310ACD20">
            <w:pPr>
              <w:spacing w:line="240" w:lineRule="exact"/>
              <w:rPr>
                <w:rFonts w:ascii="宋体" w:hAnsi="宋体" w:eastAsia="宋体" w:cs="宋体"/>
                <w:sz w:val="18"/>
                <w:szCs w:val="18"/>
              </w:rPr>
            </w:pPr>
            <w:r>
              <w:rPr>
                <w:rFonts w:ascii="宋体" w:hAnsi="宋体" w:eastAsia="宋体" w:cs="宋体"/>
                <w:sz w:val="18"/>
                <w:szCs w:val="18"/>
              </w:rPr>
              <w:t>30-60</w:t>
            </w:r>
          </w:p>
        </w:tc>
        <w:tc>
          <w:tcPr>
            <w:tcW w:w="803" w:type="dxa"/>
            <w:tcBorders>
              <w:top w:val="single" w:color="auto" w:sz="2" w:space="0"/>
              <w:left w:val="single" w:color="auto" w:sz="2" w:space="0"/>
              <w:bottom w:val="single" w:color="auto" w:sz="2" w:space="0"/>
              <w:right w:val="single" w:color="auto" w:sz="2" w:space="0"/>
            </w:tcBorders>
            <w:vAlign w:val="center"/>
          </w:tcPr>
          <w:p w14:paraId="731D12B0">
            <w:pPr>
              <w:spacing w:line="240" w:lineRule="exact"/>
              <w:rPr>
                <w:rFonts w:ascii="宋体" w:hAnsi="宋体" w:eastAsia="宋体" w:cs="宋体"/>
                <w:sz w:val="18"/>
                <w:szCs w:val="18"/>
              </w:rPr>
            </w:pPr>
            <w:r>
              <w:rPr>
                <w:rFonts w:ascii="宋体" w:hAnsi="宋体" w:eastAsia="宋体" w:cs="宋体"/>
                <w:sz w:val="18"/>
                <w:szCs w:val="18"/>
              </w:rPr>
              <w:t> 全国</w:t>
            </w:r>
          </w:p>
        </w:tc>
        <w:tc>
          <w:tcPr>
            <w:tcW w:w="803" w:type="dxa"/>
            <w:tcBorders>
              <w:top w:val="single" w:color="auto" w:sz="2" w:space="0"/>
              <w:left w:val="single" w:color="auto" w:sz="2" w:space="0"/>
              <w:bottom w:val="single" w:color="auto" w:sz="2" w:space="0"/>
              <w:right w:val="single" w:color="auto" w:sz="2" w:space="0"/>
            </w:tcBorders>
            <w:vAlign w:val="center"/>
          </w:tcPr>
          <w:p w14:paraId="41FDF8C5">
            <w:pPr>
              <w:spacing w:line="240" w:lineRule="exact"/>
              <w:rPr>
                <w:rFonts w:ascii="宋体" w:hAnsi="宋体" w:eastAsia="宋体" w:cs="宋体"/>
                <w:sz w:val="18"/>
                <w:szCs w:val="18"/>
              </w:rPr>
            </w:pPr>
            <w:r>
              <w:rPr>
                <w:rFonts w:ascii="宋体" w:hAnsi="宋体" w:eastAsia="宋体" w:cs="宋体"/>
                <w:sz w:val="18"/>
                <w:szCs w:val="18"/>
              </w:rPr>
              <w:t>一二线城市</w:t>
            </w:r>
          </w:p>
        </w:tc>
        <w:tc>
          <w:tcPr>
            <w:tcW w:w="803" w:type="dxa"/>
            <w:tcBorders>
              <w:top w:val="single" w:color="auto" w:sz="2" w:space="0"/>
              <w:left w:val="single" w:color="auto" w:sz="2" w:space="0"/>
              <w:bottom w:val="single" w:color="auto" w:sz="2" w:space="0"/>
              <w:right w:val="single" w:color="auto" w:sz="2" w:space="0"/>
            </w:tcBorders>
            <w:vAlign w:val="center"/>
          </w:tcPr>
          <w:p w14:paraId="35494475">
            <w:pPr>
              <w:spacing w:line="240" w:lineRule="exact"/>
              <w:rPr>
                <w:rFonts w:ascii="宋体" w:hAnsi="宋体" w:eastAsia="宋体" w:cs="宋体"/>
                <w:sz w:val="18"/>
                <w:szCs w:val="18"/>
              </w:rPr>
            </w:pPr>
            <w:r>
              <w:rPr>
                <w:rFonts w:ascii="宋体" w:hAnsi="宋体" w:eastAsia="宋体" w:cs="宋体"/>
                <w:sz w:val="18"/>
                <w:szCs w:val="18"/>
              </w:rPr>
              <w:t>品牌方</w:t>
            </w:r>
          </w:p>
        </w:tc>
        <w:tc>
          <w:tcPr>
            <w:tcW w:w="803" w:type="dxa"/>
            <w:tcBorders>
              <w:top w:val="single" w:color="auto" w:sz="2" w:space="0"/>
              <w:left w:val="single" w:color="auto" w:sz="2" w:space="0"/>
              <w:bottom w:val="single" w:color="auto" w:sz="2" w:space="0"/>
              <w:right w:val="single" w:color="auto" w:sz="2" w:space="0"/>
            </w:tcBorders>
            <w:vAlign w:val="center"/>
          </w:tcPr>
          <w:p w14:paraId="5800D36D">
            <w:pPr>
              <w:spacing w:line="240" w:lineRule="exact"/>
              <w:rPr>
                <w:rFonts w:ascii="宋体" w:hAnsi="宋体" w:eastAsia="宋体" w:cs="宋体"/>
                <w:sz w:val="18"/>
                <w:szCs w:val="18"/>
              </w:rPr>
            </w:pPr>
            <w:r>
              <w:rPr>
                <w:rFonts w:ascii="宋体" w:hAnsi="宋体" w:eastAsia="宋体" w:cs="宋体"/>
                <w:sz w:val="18"/>
                <w:szCs w:val="18"/>
              </w:rPr>
              <w:t>广州奶糖派服装有限公司</w:t>
            </w:r>
          </w:p>
        </w:tc>
        <w:tc>
          <w:tcPr>
            <w:tcW w:w="803" w:type="dxa"/>
            <w:tcBorders>
              <w:top w:val="single" w:color="auto" w:sz="2" w:space="0"/>
              <w:left w:val="single" w:color="auto" w:sz="2" w:space="0"/>
              <w:bottom w:val="single" w:color="auto" w:sz="2" w:space="0"/>
              <w:right w:val="single" w:color="auto" w:sz="2" w:space="0"/>
            </w:tcBorders>
            <w:vAlign w:val="center"/>
          </w:tcPr>
          <w:p w14:paraId="2F02F016">
            <w:pPr>
              <w:spacing w:line="240" w:lineRule="exact"/>
              <w:rPr>
                <w:rFonts w:ascii="宋体" w:hAnsi="宋体" w:eastAsia="宋体" w:cs="宋体"/>
                <w:sz w:val="18"/>
                <w:szCs w:val="18"/>
              </w:rPr>
            </w:pPr>
            <w:r>
              <w:rPr>
                <w:rFonts w:ascii="宋体" w:hAnsi="宋体" w:eastAsia="宋体" w:cs="宋体"/>
                <w:sz w:val="18"/>
                <w:szCs w:val="18"/>
              </w:rPr>
              <w:t>OEM</w:t>
            </w:r>
          </w:p>
        </w:tc>
        <w:tc>
          <w:tcPr>
            <w:tcW w:w="803" w:type="dxa"/>
            <w:tcBorders>
              <w:top w:val="single" w:color="auto" w:sz="2" w:space="0"/>
              <w:left w:val="single" w:color="auto" w:sz="2" w:space="0"/>
              <w:bottom w:val="single" w:color="auto" w:sz="2" w:space="0"/>
              <w:right w:val="single" w:color="auto" w:sz="2" w:space="0"/>
            </w:tcBorders>
            <w:vAlign w:val="center"/>
          </w:tcPr>
          <w:p w14:paraId="375DF729">
            <w:pPr>
              <w:spacing w:line="240" w:lineRule="exact"/>
              <w:rPr>
                <w:rFonts w:ascii="宋体" w:hAnsi="宋体" w:eastAsia="宋体" w:cs="宋体"/>
                <w:sz w:val="18"/>
                <w:szCs w:val="18"/>
              </w:rPr>
            </w:pPr>
            <w:r>
              <w:rPr>
                <w:rFonts w:ascii="宋体" w:hAnsi="宋体" w:eastAsia="宋体" w:cs="宋体"/>
                <w:sz w:val="18"/>
                <w:szCs w:val="18"/>
              </w:rPr>
              <w:t>长期</w:t>
            </w:r>
          </w:p>
        </w:tc>
      </w:tr>
      <w:tr w14:paraId="64928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504948A9">
            <w:pPr>
              <w:spacing w:line="240" w:lineRule="exact"/>
              <w:rPr>
                <w:rFonts w:ascii="宋体" w:hAnsi="宋体" w:eastAsia="宋体" w:cs="宋体"/>
                <w:sz w:val="18"/>
                <w:szCs w:val="18"/>
              </w:rPr>
            </w:pPr>
            <w:r>
              <w:rPr>
                <w:rFonts w:ascii="宋体" w:hAnsi="宋体" w:eastAsia="宋体" w:cs="宋体"/>
                <w:sz w:val="18"/>
                <w:szCs w:val="18"/>
              </w:rPr>
              <w:t>锐步</w:t>
            </w:r>
          </w:p>
        </w:tc>
        <w:tc>
          <w:tcPr>
            <w:tcW w:w="803" w:type="dxa"/>
            <w:tcBorders>
              <w:top w:val="single" w:color="auto" w:sz="2" w:space="0"/>
              <w:left w:val="single" w:color="auto" w:sz="2" w:space="0"/>
              <w:bottom w:val="single" w:color="auto" w:sz="2" w:space="0"/>
              <w:right w:val="single" w:color="auto" w:sz="2" w:space="0"/>
            </w:tcBorders>
            <w:vAlign w:val="center"/>
          </w:tcPr>
          <w:p w14:paraId="1AE2B95B">
            <w:pPr>
              <w:spacing w:line="240" w:lineRule="exact"/>
              <w:rPr>
                <w:rFonts w:ascii="宋体" w:hAnsi="宋体" w:eastAsia="宋体" w:cs="宋体"/>
                <w:sz w:val="18"/>
                <w:szCs w:val="18"/>
              </w:rPr>
            </w:pPr>
            <w:r>
              <w:rPr>
                <w:rFonts w:ascii="宋体" w:hAnsi="宋体" w:eastAsia="宋体" w:cs="宋体"/>
                <w:sz w:val="18"/>
                <w:szCs w:val="18"/>
              </w:rPr>
              <w:t>锐步</w:t>
            </w:r>
          </w:p>
        </w:tc>
        <w:tc>
          <w:tcPr>
            <w:tcW w:w="803" w:type="dxa"/>
            <w:tcBorders>
              <w:top w:val="single" w:color="auto" w:sz="2" w:space="0"/>
              <w:left w:val="single" w:color="auto" w:sz="2" w:space="0"/>
              <w:bottom w:val="single" w:color="auto" w:sz="2" w:space="0"/>
              <w:right w:val="single" w:color="auto" w:sz="2" w:space="0"/>
            </w:tcBorders>
            <w:vAlign w:val="center"/>
          </w:tcPr>
          <w:p w14:paraId="546DD2B3">
            <w:pPr>
              <w:spacing w:line="240" w:lineRule="exact"/>
              <w:rPr>
                <w:rFonts w:ascii="宋体" w:hAnsi="宋体" w:eastAsia="宋体" w:cs="宋体"/>
                <w:sz w:val="18"/>
                <w:szCs w:val="18"/>
              </w:rPr>
            </w:pPr>
            <w:r>
              <w:rPr>
                <w:rFonts w:ascii="宋体" w:hAnsi="宋体" w:eastAsia="宋体" w:cs="宋体"/>
                <w:sz w:val="18"/>
                <w:szCs w:val="18"/>
              </w:rPr>
              <w:t>袜子</w:t>
            </w:r>
          </w:p>
        </w:tc>
        <w:tc>
          <w:tcPr>
            <w:tcW w:w="803" w:type="dxa"/>
            <w:tcBorders>
              <w:top w:val="single" w:color="auto" w:sz="2" w:space="0"/>
              <w:left w:val="single" w:color="auto" w:sz="2" w:space="0"/>
              <w:bottom w:val="single" w:color="auto" w:sz="2" w:space="0"/>
              <w:right w:val="single" w:color="auto" w:sz="2" w:space="0"/>
            </w:tcBorders>
            <w:vAlign w:val="center"/>
          </w:tcPr>
          <w:p w14:paraId="3A1A0B96">
            <w:pPr>
              <w:spacing w:line="240" w:lineRule="exact"/>
              <w:rPr>
                <w:rFonts w:ascii="宋体" w:hAnsi="宋体" w:eastAsia="宋体" w:cs="宋体"/>
                <w:sz w:val="18"/>
                <w:szCs w:val="18"/>
              </w:rPr>
            </w:pPr>
            <w:r>
              <w:rPr>
                <w:rFonts w:ascii="宋体" w:hAnsi="宋体" w:eastAsia="宋体" w:cs="宋体"/>
                <w:sz w:val="18"/>
                <w:szCs w:val="18"/>
              </w:rPr>
              <w:t>年轻时尚</w:t>
            </w:r>
          </w:p>
        </w:tc>
        <w:tc>
          <w:tcPr>
            <w:tcW w:w="803" w:type="dxa"/>
            <w:tcBorders>
              <w:top w:val="single" w:color="auto" w:sz="2" w:space="0"/>
              <w:left w:val="single" w:color="auto" w:sz="2" w:space="0"/>
              <w:bottom w:val="single" w:color="auto" w:sz="2" w:space="0"/>
              <w:right w:val="single" w:color="auto" w:sz="2" w:space="0"/>
            </w:tcBorders>
            <w:vAlign w:val="center"/>
          </w:tcPr>
          <w:p w14:paraId="1CCFAA93">
            <w:pPr>
              <w:spacing w:line="240" w:lineRule="exact"/>
              <w:rPr>
                <w:rFonts w:ascii="宋体" w:hAnsi="宋体" w:eastAsia="宋体" w:cs="宋体"/>
                <w:sz w:val="18"/>
                <w:szCs w:val="18"/>
              </w:rPr>
            </w:pPr>
            <w:r>
              <w:rPr>
                <w:rFonts w:ascii="宋体" w:hAnsi="宋体" w:eastAsia="宋体" w:cs="宋体"/>
                <w:sz w:val="18"/>
                <w:szCs w:val="18"/>
              </w:rPr>
              <w:t>女性</w:t>
            </w:r>
          </w:p>
        </w:tc>
        <w:tc>
          <w:tcPr>
            <w:tcW w:w="803" w:type="dxa"/>
            <w:tcBorders>
              <w:top w:val="single" w:color="auto" w:sz="2" w:space="0"/>
              <w:left w:val="single" w:color="auto" w:sz="2" w:space="0"/>
              <w:bottom w:val="single" w:color="auto" w:sz="2" w:space="0"/>
              <w:right w:val="single" w:color="auto" w:sz="2" w:space="0"/>
            </w:tcBorders>
            <w:vAlign w:val="center"/>
          </w:tcPr>
          <w:p w14:paraId="43F17A9B">
            <w:pPr>
              <w:spacing w:line="240" w:lineRule="exact"/>
              <w:rPr>
                <w:rFonts w:ascii="宋体" w:hAnsi="宋体" w:eastAsia="宋体" w:cs="宋体"/>
                <w:sz w:val="18"/>
                <w:szCs w:val="18"/>
              </w:rPr>
            </w:pPr>
            <w:r>
              <w:rPr>
                <w:rFonts w:ascii="宋体" w:hAnsi="宋体" w:eastAsia="宋体" w:cs="宋体"/>
                <w:sz w:val="18"/>
                <w:szCs w:val="18"/>
              </w:rPr>
              <w:t>30-60</w:t>
            </w:r>
          </w:p>
        </w:tc>
        <w:tc>
          <w:tcPr>
            <w:tcW w:w="803" w:type="dxa"/>
            <w:tcBorders>
              <w:top w:val="single" w:color="auto" w:sz="2" w:space="0"/>
              <w:left w:val="single" w:color="auto" w:sz="2" w:space="0"/>
              <w:bottom w:val="single" w:color="auto" w:sz="2" w:space="0"/>
              <w:right w:val="single" w:color="auto" w:sz="2" w:space="0"/>
            </w:tcBorders>
            <w:vAlign w:val="center"/>
          </w:tcPr>
          <w:p w14:paraId="612F1B13">
            <w:pPr>
              <w:spacing w:line="240" w:lineRule="exact"/>
              <w:rPr>
                <w:rFonts w:ascii="宋体" w:hAnsi="宋体" w:eastAsia="宋体" w:cs="宋体"/>
                <w:sz w:val="18"/>
                <w:szCs w:val="18"/>
              </w:rPr>
            </w:pPr>
            <w:r>
              <w:rPr>
                <w:rFonts w:ascii="宋体" w:hAnsi="宋体" w:eastAsia="宋体" w:cs="宋体"/>
                <w:sz w:val="18"/>
                <w:szCs w:val="18"/>
              </w:rPr>
              <w:t> 全国</w:t>
            </w:r>
          </w:p>
        </w:tc>
        <w:tc>
          <w:tcPr>
            <w:tcW w:w="803" w:type="dxa"/>
            <w:tcBorders>
              <w:top w:val="single" w:color="auto" w:sz="2" w:space="0"/>
              <w:left w:val="single" w:color="auto" w:sz="2" w:space="0"/>
              <w:bottom w:val="single" w:color="auto" w:sz="2" w:space="0"/>
              <w:right w:val="single" w:color="auto" w:sz="2" w:space="0"/>
            </w:tcBorders>
            <w:vAlign w:val="center"/>
          </w:tcPr>
          <w:p w14:paraId="297183F5">
            <w:pPr>
              <w:spacing w:line="240" w:lineRule="exact"/>
              <w:rPr>
                <w:rFonts w:ascii="宋体" w:hAnsi="宋体" w:eastAsia="宋体" w:cs="宋体"/>
                <w:sz w:val="18"/>
                <w:szCs w:val="18"/>
              </w:rPr>
            </w:pPr>
            <w:r>
              <w:rPr>
                <w:rFonts w:ascii="宋体" w:hAnsi="宋体" w:eastAsia="宋体" w:cs="宋体"/>
                <w:sz w:val="18"/>
                <w:szCs w:val="18"/>
              </w:rPr>
              <w:t>一二线城市</w:t>
            </w:r>
          </w:p>
        </w:tc>
        <w:tc>
          <w:tcPr>
            <w:tcW w:w="803" w:type="dxa"/>
            <w:tcBorders>
              <w:top w:val="single" w:color="auto" w:sz="2" w:space="0"/>
              <w:left w:val="single" w:color="auto" w:sz="2" w:space="0"/>
              <w:bottom w:val="single" w:color="auto" w:sz="2" w:space="0"/>
              <w:right w:val="single" w:color="auto" w:sz="2" w:space="0"/>
            </w:tcBorders>
            <w:vAlign w:val="center"/>
          </w:tcPr>
          <w:p w14:paraId="3D29AD0E">
            <w:pPr>
              <w:spacing w:line="240" w:lineRule="exact"/>
              <w:rPr>
                <w:rFonts w:ascii="宋体" w:hAnsi="宋体" w:eastAsia="宋体" w:cs="宋体"/>
                <w:sz w:val="18"/>
                <w:szCs w:val="18"/>
              </w:rPr>
            </w:pPr>
            <w:r>
              <w:rPr>
                <w:rFonts w:ascii="宋体" w:hAnsi="宋体" w:eastAsia="宋体" w:cs="宋体"/>
                <w:sz w:val="18"/>
                <w:szCs w:val="18"/>
              </w:rPr>
              <w:t>品牌方</w:t>
            </w:r>
          </w:p>
        </w:tc>
        <w:tc>
          <w:tcPr>
            <w:tcW w:w="803" w:type="dxa"/>
            <w:tcBorders>
              <w:top w:val="single" w:color="auto" w:sz="2" w:space="0"/>
              <w:left w:val="single" w:color="auto" w:sz="2" w:space="0"/>
              <w:bottom w:val="single" w:color="auto" w:sz="2" w:space="0"/>
              <w:right w:val="single" w:color="auto" w:sz="2" w:space="0"/>
            </w:tcBorders>
            <w:vAlign w:val="center"/>
          </w:tcPr>
          <w:p w14:paraId="22A650C4">
            <w:pPr>
              <w:spacing w:line="240" w:lineRule="exact"/>
              <w:rPr>
                <w:rFonts w:ascii="宋体" w:hAnsi="宋体" w:eastAsia="宋体" w:cs="宋体"/>
                <w:sz w:val="18"/>
                <w:szCs w:val="18"/>
              </w:rPr>
            </w:pPr>
            <w:r>
              <w:rPr>
                <w:rFonts w:ascii="宋体" w:hAnsi="宋体" w:eastAsia="宋体" w:cs="宋体"/>
                <w:sz w:val="18"/>
                <w:szCs w:val="18"/>
              </w:rPr>
              <w:t>锐步</w:t>
            </w:r>
          </w:p>
        </w:tc>
        <w:tc>
          <w:tcPr>
            <w:tcW w:w="803" w:type="dxa"/>
            <w:tcBorders>
              <w:top w:val="single" w:color="auto" w:sz="2" w:space="0"/>
              <w:left w:val="single" w:color="auto" w:sz="2" w:space="0"/>
              <w:bottom w:val="single" w:color="auto" w:sz="2" w:space="0"/>
              <w:right w:val="single" w:color="auto" w:sz="2" w:space="0"/>
            </w:tcBorders>
            <w:vAlign w:val="center"/>
          </w:tcPr>
          <w:p w14:paraId="2D939BA6">
            <w:pPr>
              <w:spacing w:line="240" w:lineRule="exact"/>
              <w:rPr>
                <w:rFonts w:ascii="宋体" w:hAnsi="宋体" w:eastAsia="宋体" w:cs="宋体"/>
                <w:sz w:val="18"/>
                <w:szCs w:val="18"/>
              </w:rPr>
            </w:pPr>
            <w:r>
              <w:rPr>
                <w:rFonts w:ascii="宋体" w:hAnsi="宋体" w:eastAsia="宋体" w:cs="宋体"/>
                <w:sz w:val="18"/>
                <w:szCs w:val="18"/>
              </w:rPr>
              <w:t>品牌合作</w:t>
            </w:r>
          </w:p>
        </w:tc>
        <w:tc>
          <w:tcPr>
            <w:tcW w:w="803" w:type="dxa"/>
            <w:tcBorders>
              <w:top w:val="single" w:color="auto" w:sz="2" w:space="0"/>
              <w:left w:val="single" w:color="auto" w:sz="2" w:space="0"/>
              <w:bottom w:val="single" w:color="auto" w:sz="2" w:space="0"/>
              <w:right w:val="single" w:color="auto" w:sz="2" w:space="0"/>
            </w:tcBorders>
            <w:vAlign w:val="center"/>
          </w:tcPr>
          <w:p w14:paraId="0CB49AAA">
            <w:pPr>
              <w:spacing w:line="240" w:lineRule="exact"/>
              <w:rPr>
                <w:rFonts w:ascii="宋体" w:hAnsi="宋体" w:eastAsia="宋体" w:cs="宋体"/>
                <w:sz w:val="18"/>
                <w:szCs w:val="18"/>
              </w:rPr>
            </w:pPr>
            <w:r>
              <w:rPr>
                <w:rFonts w:ascii="宋体" w:hAnsi="宋体" w:eastAsia="宋体" w:cs="宋体"/>
                <w:sz w:val="18"/>
                <w:szCs w:val="18"/>
              </w:rPr>
              <w:t>长期</w:t>
            </w:r>
          </w:p>
        </w:tc>
      </w:tr>
      <w:tr w14:paraId="30BA5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668140FF">
            <w:pPr>
              <w:spacing w:line="240" w:lineRule="exact"/>
              <w:rPr>
                <w:rFonts w:ascii="宋体" w:hAnsi="宋体" w:eastAsia="宋体" w:cs="宋体"/>
                <w:sz w:val="18"/>
                <w:szCs w:val="18"/>
              </w:rPr>
            </w:pPr>
            <w:r>
              <w:rPr>
                <w:rFonts w:ascii="宋体" w:hAnsi="宋体" w:eastAsia="宋体" w:cs="宋体"/>
                <w:sz w:val="18"/>
                <w:szCs w:val="18"/>
              </w:rPr>
              <w:t>小帆船</w:t>
            </w:r>
          </w:p>
        </w:tc>
        <w:tc>
          <w:tcPr>
            <w:tcW w:w="803" w:type="dxa"/>
            <w:tcBorders>
              <w:top w:val="single" w:color="auto" w:sz="2" w:space="0"/>
              <w:left w:val="single" w:color="auto" w:sz="2" w:space="0"/>
              <w:bottom w:val="single" w:color="auto" w:sz="2" w:space="0"/>
              <w:right w:val="single" w:color="auto" w:sz="2" w:space="0"/>
            </w:tcBorders>
            <w:vAlign w:val="center"/>
          </w:tcPr>
          <w:p w14:paraId="121E5BB6">
            <w:pPr>
              <w:spacing w:line="240" w:lineRule="exact"/>
              <w:rPr>
                <w:rFonts w:ascii="宋体" w:hAnsi="宋体" w:eastAsia="宋体" w:cs="宋体"/>
                <w:sz w:val="18"/>
                <w:szCs w:val="18"/>
              </w:rPr>
            </w:pPr>
            <w:r>
              <w:rPr>
                <w:rFonts w:ascii="宋体" w:hAnsi="宋体" w:eastAsia="宋体" w:cs="宋体"/>
                <w:sz w:val="18"/>
                <w:szCs w:val="18"/>
              </w:rPr>
              <w:t>小帆船</w:t>
            </w:r>
          </w:p>
        </w:tc>
        <w:tc>
          <w:tcPr>
            <w:tcW w:w="803" w:type="dxa"/>
            <w:tcBorders>
              <w:top w:val="single" w:color="auto" w:sz="2" w:space="0"/>
              <w:left w:val="single" w:color="auto" w:sz="2" w:space="0"/>
              <w:bottom w:val="single" w:color="auto" w:sz="2" w:space="0"/>
              <w:right w:val="single" w:color="auto" w:sz="2" w:space="0"/>
            </w:tcBorders>
            <w:vAlign w:val="center"/>
          </w:tcPr>
          <w:p w14:paraId="0E1388A2">
            <w:pPr>
              <w:spacing w:line="240" w:lineRule="exact"/>
              <w:rPr>
                <w:rFonts w:ascii="宋体" w:hAnsi="宋体" w:eastAsia="宋体" w:cs="宋体"/>
                <w:sz w:val="18"/>
                <w:szCs w:val="18"/>
              </w:rPr>
            </w:pPr>
            <w:r>
              <w:rPr>
                <w:rFonts w:ascii="宋体" w:hAnsi="宋体" w:eastAsia="宋体" w:cs="宋体"/>
                <w:sz w:val="18"/>
                <w:szCs w:val="18"/>
              </w:rPr>
              <w:t>袜子</w:t>
            </w:r>
          </w:p>
        </w:tc>
        <w:tc>
          <w:tcPr>
            <w:tcW w:w="803" w:type="dxa"/>
            <w:tcBorders>
              <w:top w:val="single" w:color="auto" w:sz="2" w:space="0"/>
              <w:left w:val="single" w:color="auto" w:sz="2" w:space="0"/>
              <w:bottom w:val="single" w:color="auto" w:sz="2" w:space="0"/>
              <w:right w:val="single" w:color="auto" w:sz="2" w:space="0"/>
            </w:tcBorders>
            <w:vAlign w:val="center"/>
          </w:tcPr>
          <w:p w14:paraId="5559E669">
            <w:pPr>
              <w:spacing w:line="240" w:lineRule="exact"/>
              <w:rPr>
                <w:rFonts w:ascii="宋体" w:hAnsi="宋体" w:eastAsia="宋体" w:cs="宋体"/>
                <w:sz w:val="18"/>
                <w:szCs w:val="18"/>
              </w:rPr>
            </w:pPr>
            <w:r>
              <w:rPr>
                <w:rFonts w:ascii="宋体" w:hAnsi="宋体" w:eastAsia="宋体" w:cs="宋体"/>
                <w:sz w:val="18"/>
                <w:szCs w:val="18"/>
              </w:rPr>
              <w:t>年轻时尚</w:t>
            </w:r>
          </w:p>
        </w:tc>
        <w:tc>
          <w:tcPr>
            <w:tcW w:w="803" w:type="dxa"/>
            <w:tcBorders>
              <w:top w:val="single" w:color="auto" w:sz="2" w:space="0"/>
              <w:left w:val="single" w:color="auto" w:sz="2" w:space="0"/>
              <w:bottom w:val="single" w:color="auto" w:sz="2" w:space="0"/>
              <w:right w:val="single" w:color="auto" w:sz="2" w:space="0"/>
            </w:tcBorders>
            <w:vAlign w:val="center"/>
          </w:tcPr>
          <w:p w14:paraId="32FCAECC">
            <w:pPr>
              <w:spacing w:line="240" w:lineRule="exact"/>
              <w:rPr>
                <w:rFonts w:ascii="宋体" w:hAnsi="宋体" w:eastAsia="宋体" w:cs="宋体"/>
                <w:sz w:val="18"/>
                <w:szCs w:val="18"/>
              </w:rPr>
            </w:pPr>
            <w:r>
              <w:rPr>
                <w:rFonts w:ascii="宋体" w:hAnsi="宋体" w:eastAsia="宋体" w:cs="宋体"/>
                <w:sz w:val="18"/>
                <w:szCs w:val="18"/>
              </w:rPr>
              <w:t>女性</w:t>
            </w:r>
          </w:p>
        </w:tc>
        <w:tc>
          <w:tcPr>
            <w:tcW w:w="803" w:type="dxa"/>
            <w:tcBorders>
              <w:top w:val="single" w:color="auto" w:sz="2" w:space="0"/>
              <w:left w:val="single" w:color="auto" w:sz="2" w:space="0"/>
              <w:bottom w:val="single" w:color="auto" w:sz="2" w:space="0"/>
              <w:right w:val="single" w:color="auto" w:sz="2" w:space="0"/>
            </w:tcBorders>
            <w:vAlign w:val="center"/>
          </w:tcPr>
          <w:p w14:paraId="77A5D0EB">
            <w:pPr>
              <w:spacing w:line="240" w:lineRule="exact"/>
              <w:rPr>
                <w:rFonts w:ascii="宋体" w:hAnsi="宋体" w:eastAsia="宋体" w:cs="宋体"/>
                <w:sz w:val="18"/>
                <w:szCs w:val="18"/>
              </w:rPr>
            </w:pPr>
            <w:r>
              <w:rPr>
                <w:rFonts w:ascii="宋体" w:hAnsi="宋体" w:eastAsia="宋体" w:cs="宋体"/>
                <w:sz w:val="18"/>
                <w:szCs w:val="18"/>
              </w:rPr>
              <w:t>30-60</w:t>
            </w:r>
          </w:p>
        </w:tc>
        <w:tc>
          <w:tcPr>
            <w:tcW w:w="803" w:type="dxa"/>
            <w:tcBorders>
              <w:top w:val="single" w:color="auto" w:sz="2" w:space="0"/>
              <w:left w:val="single" w:color="auto" w:sz="2" w:space="0"/>
              <w:bottom w:val="single" w:color="auto" w:sz="2" w:space="0"/>
              <w:right w:val="single" w:color="auto" w:sz="2" w:space="0"/>
            </w:tcBorders>
            <w:vAlign w:val="center"/>
          </w:tcPr>
          <w:p w14:paraId="21E8043F">
            <w:pPr>
              <w:spacing w:line="240" w:lineRule="exact"/>
              <w:rPr>
                <w:rFonts w:ascii="宋体" w:hAnsi="宋体" w:eastAsia="宋体" w:cs="宋体"/>
                <w:sz w:val="18"/>
                <w:szCs w:val="18"/>
              </w:rPr>
            </w:pPr>
            <w:r>
              <w:rPr>
                <w:rFonts w:ascii="宋体" w:hAnsi="宋体" w:eastAsia="宋体" w:cs="宋体"/>
                <w:sz w:val="18"/>
                <w:szCs w:val="18"/>
              </w:rPr>
              <w:t> 全国</w:t>
            </w:r>
          </w:p>
        </w:tc>
        <w:tc>
          <w:tcPr>
            <w:tcW w:w="803" w:type="dxa"/>
            <w:tcBorders>
              <w:top w:val="single" w:color="auto" w:sz="2" w:space="0"/>
              <w:left w:val="single" w:color="auto" w:sz="2" w:space="0"/>
              <w:bottom w:val="single" w:color="auto" w:sz="2" w:space="0"/>
              <w:right w:val="single" w:color="auto" w:sz="2" w:space="0"/>
            </w:tcBorders>
            <w:vAlign w:val="center"/>
          </w:tcPr>
          <w:p w14:paraId="0D9C812B">
            <w:pPr>
              <w:spacing w:line="240" w:lineRule="exact"/>
              <w:rPr>
                <w:rFonts w:ascii="宋体" w:hAnsi="宋体" w:eastAsia="宋体" w:cs="宋体"/>
                <w:sz w:val="18"/>
                <w:szCs w:val="18"/>
              </w:rPr>
            </w:pPr>
            <w:r>
              <w:rPr>
                <w:rFonts w:ascii="宋体" w:hAnsi="宋体" w:eastAsia="宋体" w:cs="宋体"/>
                <w:sz w:val="18"/>
                <w:szCs w:val="18"/>
              </w:rPr>
              <w:t>一二线城市</w:t>
            </w:r>
          </w:p>
        </w:tc>
        <w:tc>
          <w:tcPr>
            <w:tcW w:w="803" w:type="dxa"/>
            <w:tcBorders>
              <w:top w:val="single" w:color="auto" w:sz="2" w:space="0"/>
              <w:left w:val="single" w:color="auto" w:sz="2" w:space="0"/>
              <w:bottom w:val="single" w:color="auto" w:sz="2" w:space="0"/>
              <w:right w:val="single" w:color="auto" w:sz="2" w:space="0"/>
            </w:tcBorders>
            <w:vAlign w:val="center"/>
          </w:tcPr>
          <w:p w14:paraId="5F014C50">
            <w:pPr>
              <w:spacing w:line="240" w:lineRule="exact"/>
              <w:rPr>
                <w:rFonts w:ascii="宋体" w:hAnsi="宋体" w:eastAsia="宋体" w:cs="宋体"/>
                <w:sz w:val="18"/>
                <w:szCs w:val="18"/>
              </w:rPr>
            </w:pPr>
            <w:r>
              <w:rPr>
                <w:rFonts w:ascii="宋体" w:hAnsi="宋体" w:eastAsia="宋体" w:cs="宋体"/>
                <w:sz w:val="18"/>
                <w:szCs w:val="18"/>
              </w:rPr>
              <w:t>品牌方</w:t>
            </w:r>
          </w:p>
        </w:tc>
        <w:tc>
          <w:tcPr>
            <w:tcW w:w="803" w:type="dxa"/>
            <w:tcBorders>
              <w:top w:val="single" w:color="auto" w:sz="2" w:space="0"/>
              <w:left w:val="single" w:color="auto" w:sz="2" w:space="0"/>
              <w:bottom w:val="single" w:color="auto" w:sz="2" w:space="0"/>
              <w:right w:val="single" w:color="auto" w:sz="2" w:space="0"/>
            </w:tcBorders>
            <w:vAlign w:val="center"/>
          </w:tcPr>
          <w:p w14:paraId="356CCD69">
            <w:pPr>
              <w:spacing w:line="240" w:lineRule="exact"/>
              <w:rPr>
                <w:rFonts w:ascii="宋体" w:hAnsi="宋体" w:eastAsia="宋体" w:cs="宋体"/>
                <w:sz w:val="18"/>
                <w:szCs w:val="18"/>
              </w:rPr>
            </w:pPr>
            <w:r>
              <w:rPr>
                <w:rFonts w:ascii="宋体" w:hAnsi="宋体" w:eastAsia="宋体" w:cs="宋体"/>
                <w:sz w:val="18"/>
                <w:szCs w:val="18"/>
              </w:rPr>
              <w:t>小帆船</w:t>
            </w:r>
          </w:p>
        </w:tc>
        <w:tc>
          <w:tcPr>
            <w:tcW w:w="803" w:type="dxa"/>
            <w:tcBorders>
              <w:top w:val="single" w:color="auto" w:sz="2" w:space="0"/>
              <w:left w:val="single" w:color="auto" w:sz="2" w:space="0"/>
              <w:bottom w:val="single" w:color="auto" w:sz="2" w:space="0"/>
              <w:right w:val="single" w:color="auto" w:sz="2" w:space="0"/>
            </w:tcBorders>
            <w:vAlign w:val="center"/>
          </w:tcPr>
          <w:p w14:paraId="180EA1CB">
            <w:pPr>
              <w:spacing w:line="240" w:lineRule="exact"/>
              <w:rPr>
                <w:rFonts w:ascii="宋体" w:hAnsi="宋体" w:eastAsia="宋体" w:cs="宋体"/>
                <w:sz w:val="18"/>
                <w:szCs w:val="18"/>
              </w:rPr>
            </w:pPr>
            <w:r>
              <w:rPr>
                <w:rFonts w:ascii="宋体" w:hAnsi="宋体" w:eastAsia="宋体" w:cs="宋体"/>
                <w:sz w:val="18"/>
                <w:szCs w:val="18"/>
              </w:rPr>
              <w:t>品牌合作</w:t>
            </w:r>
          </w:p>
        </w:tc>
        <w:tc>
          <w:tcPr>
            <w:tcW w:w="803" w:type="dxa"/>
            <w:tcBorders>
              <w:top w:val="single" w:color="auto" w:sz="2" w:space="0"/>
              <w:left w:val="single" w:color="auto" w:sz="2" w:space="0"/>
              <w:bottom w:val="single" w:color="auto" w:sz="2" w:space="0"/>
              <w:right w:val="single" w:color="auto" w:sz="2" w:space="0"/>
            </w:tcBorders>
            <w:vAlign w:val="center"/>
          </w:tcPr>
          <w:p w14:paraId="2D63408B">
            <w:pPr>
              <w:spacing w:line="240" w:lineRule="exact"/>
              <w:rPr>
                <w:rFonts w:ascii="宋体" w:hAnsi="宋体" w:eastAsia="宋体" w:cs="宋体"/>
                <w:sz w:val="18"/>
                <w:szCs w:val="18"/>
              </w:rPr>
            </w:pPr>
            <w:r>
              <w:rPr>
                <w:rFonts w:ascii="宋体" w:hAnsi="宋体" w:eastAsia="宋体" w:cs="宋体"/>
                <w:sz w:val="18"/>
                <w:szCs w:val="18"/>
              </w:rPr>
              <w:t>长期</w:t>
            </w:r>
          </w:p>
        </w:tc>
      </w:tr>
      <w:tr w14:paraId="7B782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02C0AFB2">
            <w:pPr>
              <w:spacing w:line="240" w:lineRule="exact"/>
              <w:rPr>
                <w:rFonts w:ascii="宋体" w:hAnsi="宋体" w:eastAsia="宋体" w:cs="宋体"/>
                <w:sz w:val="18"/>
                <w:szCs w:val="18"/>
              </w:rPr>
            </w:pPr>
            <w:r>
              <w:rPr>
                <w:rFonts w:ascii="宋体" w:hAnsi="宋体" w:eastAsia="宋体" w:cs="宋体"/>
                <w:sz w:val="18"/>
                <w:szCs w:val="18"/>
              </w:rPr>
              <w:t>OCE</w:t>
            </w:r>
          </w:p>
        </w:tc>
        <w:tc>
          <w:tcPr>
            <w:tcW w:w="803" w:type="dxa"/>
            <w:tcBorders>
              <w:top w:val="single" w:color="auto" w:sz="2" w:space="0"/>
              <w:left w:val="single" w:color="auto" w:sz="2" w:space="0"/>
              <w:bottom w:val="single" w:color="auto" w:sz="2" w:space="0"/>
              <w:right w:val="single" w:color="auto" w:sz="2" w:space="0"/>
            </w:tcBorders>
            <w:vAlign w:val="center"/>
          </w:tcPr>
          <w:p w14:paraId="126C7D21">
            <w:pPr>
              <w:spacing w:line="240" w:lineRule="exact"/>
              <w:rPr>
                <w:rFonts w:ascii="宋体" w:hAnsi="宋体" w:eastAsia="宋体" w:cs="宋体"/>
                <w:sz w:val="18"/>
                <w:szCs w:val="18"/>
              </w:rPr>
            </w:pPr>
            <w:r>
              <w:rPr>
                <w:rFonts w:ascii="宋体" w:hAnsi="宋体" w:eastAsia="宋体" w:cs="宋体"/>
                <w:sz w:val="18"/>
                <w:szCs w:val="18"/>
              </w:rPr>
              <w:t>OCE</w:t>
            </w:r>
          </w:p>
        </w:tc>
        <w:tc>
          <w:tcPr>
            <w:tcW w:w="803" w:type="dxa"/>
            <w:tcBorders>
              <w:top w:val="single" w:color="auto" w:sz="2" w:space="0"/>
              <w:left w:val="single" w:color="auto" w:sz="2" w:space="0"/>
              <w:bottom w:val="single" w:color="auto" w:sz="2" w:space="0"/>
              <w:right w:val="single" w:color="auto" w:sz="2" w:space="0"/>
            </w:tcBorders>
            <w:vAlign w:val="center"/>
          </w:tcPr>
          <w:p w14:paraId="61A04DD6">
            <w:pPr>
              <w:spacing w:line="240" w:lineRule="exact"/>
              <w:rPr>
                <w:rFonts w:ascii="宋体" w:hAnsi="宋体" w:eastAsia="宋体" w:cs="宋体"/>
                <w:sz w:val="18"/>
                <w:szCs w:val="18"/>
              </w:rPr>
            </w:pPr>
            <w:r>
              <w:rPr>
                <w:rFonts w:ascii="宋体" w:hAnsi="宋体" w:eastAsia="宋体" w:cs="宋体"/>
                <w:sz w:val="18"/>
                <w:szCs w:val="18"/>
              </w:rPr>
              <w:t>袜子</w:t>
            </w:r>
          </w:p>
        </w:tc>
        <w:tc>
          <w:tcPr>
            <w:tcW w:w="803" w:type="dxa"/>
            <w:tcBorders>
              <w:top w:val="single" w:color="auto" w:sz="2" w:space="0"/>
              <w:left w:val="single" w:color="auto" w:sz="2" w:space="0"/>
              <w:bottom w:val="single" w:color="auto" w:sz="2" w:space="0"/>
              <w:right w:val="single" w:color="auto" w:sz="2" w:space="0"/>
            </w:tcBorders>
            <w:vAlign w:val="center"/>
          </w:tcPr>
          <w:p w14:paraId="0A651282">
            <w:pPr>
              <w:spacing w:line="240" w:lineRule="exact"/>
              <w:rPr>
                <w:rFonts w:ascii="宋体" w:hAnsi="宋体" w:eastAsia="宋体" w:cs="宋体"/>
                <w:sz w:val="18"/>
                <w:szCs w:val="18"/>
              </w:rPr>
            </w:pPr>
            <w:r>
              <w:rPr>
                <w:rFonts w:ascii="宋体" w:hAnsi="宋体" w:eastAsia="宋体" w:cs="宋体"/>
                <w:sz w:val="18"/>
                <w:szCs w:val="18"/>
              </w:rPr>
              <w:t>年轻时尚</w:t>
            </w:r>
          </w:p>
        </w:tc>
        <w:tc>
          <w:tcPr>
            <w:tcW w:w="803" w:type="dxa"/>
            <w:tcBorders>
              <w:top w:val="single" w:color="auto" w:sz="2" w:space="0"/>
              <w:left w:val="single" w:color="auto" w:sz="2" w:space="0"/>
              <w:bottom w:val="single" w:color="auto" w:sz="2" w:space="0"/>
              <w:right w:val="single" w:color="auto" w:sz="2" w:space="0"/>
            </w:tcBorders>
            <w:vAlign w:val="center"/>
          </w:tcPr>
          <w:p w14:paraId="04332256">
            <w:pPr>
              <w:spacing w:line="240" w:lineRule="exact"/>
              <w:rPr>
                <w:rFonts w:ascii="宋体" w:hAnsi="宋体" w:eastAsia="宋体" w:cs="宋体"/>
                <w:sz w:val="18"/>
                <w:szCs w:val="18"/>
              </w:rPr>
            </w:pPr>
            <w:r>
              <w:rPr>
                <w:rFonts w:ascii="宋体" w:hAnsi="宋体" w:eastAsia="宋体" w:cs="宋体"/>
                <w:sz w:val="18"/>
                <w:szCs w:val="18"/>
              </w:rPr>
              <w:t>女性</w:t>
            </w:r>
          </w:p>
        </w:tc>
        <w:tc>
          <w:tcPr>
            <w:tcW w:w="803" w:type="dxa"/>
            <w:tcBorders>
              <w:top w:val="single" w:color="auto" w:sz="2" w:space="0"/>
              <w:left w:val="single" w:color="auto" w:sz="2" w:space="0"/>
              <w:bottom w:val="single" w:color="auto" w:sz="2" w:space="0"/>
              <w:right w:val="single" w:color="auto" w:sz="2" w:space="0"/>
            </w:tcBorders>
            <w:vAlign w:val="center"/>
          </w:tcPr>
          <w:p w14:paraId="53FB9A52">
            <w:pPr>
              <w:spacing w:line="240" w:lineRule="exact"/>
              <w:rPr>
                <w:rFonts w:ascii="宋体" w:hAnsi="宋体" w:eastAsia="宋体" w:cs="宋体"/>
                <w:sz w:val="18"/>
                <w:szCs w:val="18"/>
              </w:rPr>
            </w:pPr>
            <w:r>
              <w:rPr>
                <w:rFonts w:ascii="宋体" w:hAnsi="宋体" w:eastAsia="宋体" w:cs="宋体"/>
                <w:sz w:val="18"/>
                <w:szCs w:val="18"/>
              </w:rPr>
              <w:t>30-60</w:t>
            </w:r>
          </w:p>
        </w:tc>
        <w:tc>
          <w:tcPr>
            <w:tcW w:w="803" w:type="dxa"/>
            <w:tcBorders>
              <w:top w:val="single" w:color="auto" w:sz="2" w:space="0"/>
              <w:left w:val="single" w:color="auto" w:sz="2" w:space="0"/>
              <w:bottom w:val="single" w:color="auto" w:sz="2" w:space="0"/>
              <w:right w:val="single" w:color="auto" w:sz="2" w:space="0"/>
            </w:tcBorders>
            <w:vAlign w:val="center"/>
          </w:tcPr>
          <w:p w14:paraId="4BF9D15D">
            <w:pPr>
              <w:spacing w:line="240" w:lineRule="exact"/>
              <w:rPr>
                <w:rFonts w:ascii="宋体" w:hAnsi="宋体" w:eastAsia="宋体" w:cs="宋体"/>
                <w:sz w:val="18"/>
                <w:szCs w:val="18"/>
              </w:rPr>
            </w:pPr>
            <w:r>
              <w:rPr>
                <w:rFonts w:ascii="宋体" w:hAnsi="宋体" w:eastAsia="宋体" w:cs="宋体"/>
                <w:sz w:val="18"/>
                <w:szCs w:val="18"/>
              </w:rPr>
              <w:t> 全国</w:t>
            </w:r>
          </w:p>
        </w:tc>
        <w:tc>
          <w:tcPr>
            <w:tcW w:w="803" w:type="dxa"/>
            <w:tcBorders>
              <w:top w:val="single" w:color="auto" w:sz="2" w:space="0"/>
              <w:left w:val="single" w:color="auto" w:sz="2" w:space="0"/>
              <w:bottom w:val="single" w:color="auto" w:sz="2" w:space="0"/>
              <w:right w:val="single" w:color="auto" w:sz="2" w:space="0"/>
            </w:tcBorders>
            <w:vAlign w:val="center"/>
          </w:tcPr>
          <w:p w14:paraId="6CC78979">
            <w:pPr>
              <w:spacing w:line="240" w:lineRule="exact"/>
              <w:rPr>
                <w:rFonts w:ascii="宋体" w:hAnsi="宋体" w:eastAsia="宋体" w:cs="宋体"/>
                <w:sz w:val="18"/>
                <w:szCs w:val="18"/>
              </w:rPr>
            </w:pPr>
            <w:r>
              <w:rPr>
                <w:rFonts w:ascii="宋体" w:hAnsi="宋体" w:eastAsia="宋体" w:cs="宋体"/>
                <w:sz w:val="18"/>
                <w:szCs w:val="18"/>
              </w:rPr>
              <w:t>一二线城市</w:t>
            </w:r>
          </w:p>
        </w:tc>
        <w:tc>
          <w:tcPr>
            <w:tcW w:w="803" w:type="dxa"/>
            <w:tcBorders>
              <w:top w:val="single" w:color="auto" w:sz="2" w:space="0"/>
              <w:left w:val="single" w:color="auto" w:sz="2" w:space="0"/>
              <w:bottom w:val="single" w:color="auto" w:sz="2" w:space="0"/>
              <w:right w:val="single" w:color="auto" w:sz="2" w:space="0"/>
            </w:tcBorders>
            <w:vAlign w:val="center"/>
          </w:tcPr>
          <w:p w14:paraId="3C9AD516">
            <w:pPr>
              <w:spacing w:line="240" w:lineRule="exact"/>
              <w:rPr>
                <w:rFonts w:ascii="宋体" w:hAnsi="宋体" w:eastAsia="宋体" w:cs="宋体"/>
                <w:sz w:val="18"/>
                <w:szCs w:val="18"/>
              </w:rPr>
            </w:pPr>
            <w:r>
              <w:rPr>
                <w:rFonts w:ascii="宋体" w:hAnsi="宋体" w:eastAsia="宋体" w:cs="宋体"/>
                <w:sz w:val="18"/>
                <w:szCs w:val="18"/>
              </w:rPr>
              <w:t>品牌方</w:t>
            </w:r>
          </w:p>
        </w:tc>
        <w:tc>
          <w:tcPr>
            <w:tcW w:w="803" w:type="dxa"/>
            <w:tcBorders>
              <w:top w:val="single" w:color="auto" w:sz="2" w:space="0"/>
              <w:left w:val="single" w:color="auto" w:sz="2" w:space="0"/>
              <w:bottom w:val="single" w:color="auto" w:sz="2" w:space="0"/>
              <w:right w:val="single" w:color="auto" w:sz="2" w:space="0"/>
            </w:tcBorders>
            <w:vAlign w:val="center"/>
          </w:tcPr>
          <w:p w14:paraId="7869B94B">
            <w:pPr>
              <w:spacing w:line="240" w:lineRule="exact"/>
              <w:rPr>
                <w:rFonts w:ascii="宋体" w:hAnsi="宋体" w:eastAsia="宋体" w:cs="宋体"/>
                <w:sz w:val="18"/>
                <w:szCs w:val="18"/>
              </w:rPr>
            </w:pPr>
            <w:r>
              <w:rPr>
                <w:rFonts w:ascii="宋体" w:hAnsi="宋体" w:eastAsia="宋体" w:cs="宋体"/>
                <w:sz w:val="18"/>
                <w:szCs w:val="18"/>
              </w:rPr>
              <w:t>广州利磊商贸有限公司</w:t>
            </w:r>
          </w:p>
        </w:tc>
        <w:tc>
          <w:tcPr>
            <w:tcW w:w="803" w:type="dxa"/>
            <w:tcBorders>
              <w:top w:val="single" w:color="auto" w:sz="2" w:space="0"/>
              <w:left w:val="single" w:color="auto" w:sz="2" w:space="0"/>
              <w:bottom w:val="single" w:color="auto" w:sz="2" w:space="0"/>
              <w:right w:val="single" w:color="auto" w:sz="2" w:space="0"/>
            </w:tcBorders>
            <w:vAlign w:val="center"/>
          </w:tcPr>
          <w:p w14:paraId="0AD41195">
            <w:pPr>
              <w:spacing w:line="240" w:lineRule="exact"/>
              <w:rPr>
                <w:rFonts w:ascii="宋体" w:hAnsi="宋体" w:eastAsia="宋体" w:cs="宋体"/>
                <w:sz w:val="18"/>
                <w:szCs w:val="18"/>
              </w:rPr>
            </w:pPr>
            <w:r>
              <w:rPr>
                <w:rFonts w:ascii="宋体" w:hAnsi="宋体" w:eastAsia="宋体" w:cs="宋体"/>
                <w:sz w:val="18"/>
                <w:szCs w:val="18"/>
              </w:rPr>
              <w:t>OEM</w:t>
            </w:r>
          </w:p>
        </w:tc>
        <w:tc>
          <w:tcPr>
            <w:tcW w:w="803" w:type="dxa"/>
            <w:tcBorders>
              <w:top w:val="single" w:color="auto" w:sz="2" w:space="0"/>
              <w:left w:val="single" w:color="auto" w:sz="2" w:space="0"/>
              <w:bottom w:val="single" w:color="auto" w:sz="2" w:space="0"/>
              <w:right w:val="single" w:color="auto" w:sz="2" w:space="0"/>
            </w:tcBorders>
            <w:vAlign w:val="center"/>
          </w:tcPr>
          <w:p w14:paraId="1E58D081">
            <w:pPr>
              <w:spacing w:line="240" w:lineRule="exact"/>
              <w:rPr>
                <w:rFonts w:ascii="宋体" w:hAnsi="宋体" w:eastAsia="宋体" w:cs="宋体"/>
                <w:sz w:val="18"/>
                <w:szCs w:val="18"/>
              </w:rPr>
            </w:pPr>
            <w:r>
              <w:rPr>
                <w:rFonts w:ascii="宋体" w:hAnsi="宋体" w:eastAsia="宋体" w:cs="宋体"/>
                <w:sz w:val="18"/>
                <w:szCs w:val="18"/>
              </w:rPr>
              <w:t>长期</w:t>
            </w:r>
          </w:p>
        </w:tc>
      </w:tr>
      <w:tr w14:paraId="71636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2037D7DE">
            <w:pPr>
              <w:spacing w:line="240" w:lineRule="exact"/>
              <w:rPr>
                <w:rFonts w:ascii="宋体" w:hAnsi="宋体" w:eastAsia="宋体" w:cs="宋体"/>
                <w:sz w:val="18"/>
                <w:szCs w:val="18"/>
              </w:rPr>
            </w:pPr>
            <w:r>
              <w:rPr>
                <w:rFonts w:ascii="宋体" w:hAnsi="宋体" w:eastAsia="宋体" w:cs="宋体"/>
                <w:sz w:val="18"/>
                <w:szCs w:val="18"/>
              </w:rPr>
              <w:t>爱慕</w:t>
            </w:r>
          </w:p>
        </w:tc>
        <w:tc>
          <w:tcPr>
            <w:tcW w:w="803" w:type="dxa"/>
            <w:tcBorders>
              <w:top w:val="single" w:color="auto" w:sz="2" w:space="0"/>
              <w:left w:val="single" w:color="auto" w:sz="2" w:space="0"/>
              <w:bottom w:val="single" w:color="auto" w:sz="2" w:space="0"/>
              <w:right w:val="single" w:color="auto" w:sz="2" w:space="0"/>
            </w:tcBorders>
            <w:vAlign w:val="center"/>
          </w:tcPr>
          <w:p w14:paraId="360F696A">
            <w:pPr>
              <w:spacing w:line="240" w:lineRule="exact"/>
              <w:rPr>
                <w:rFonts w:ascii="宋体" w:hAnsi="宋体" w:eastAsia="宋体" w:cs="宋体"/>
                <w:sz w:val="18"/>
                <w:szCs w:val="18"/>
              </w:rPr>
            </w:pPr>
            <w:r>
              <w:rPr>
                <w:rFonts w:ascii="宋体" w:hAnsi="宋体" w:eastAsia="宋体" w:cs="宋体"/>
                <w:sz w:val="18"/>
                <w:szCs w:val="18"/>
              </w:rPr>
              <w:t>爱慕</w:t>
            </w:r>
          </w:p>
        </w:tc>
        <w:tc>
          <w:tcPr>
            <w:tcW w:w="803" w:type="dxa"/>
            <w:tcBorders>
              <w:top w:val="single" w:color="auto" w:sz="2" w:space="0"/>
              <w:left w:val="single" w:color="auto" w:sz="2" w:space="0"/>
              <w:bottom w:val="single" w:color="auto" w:sz="2" w:space="0"/>
              <w:right w:val="single" w:color="auto" w:sz="2" w:space="0"/>
            </w:tcBorders>
            <w:vAlign w:val="center"/>
          </w:tcPr>
          <w:p w14:paraId="6E3254F0">
            <w:pPr>
              <w:spacing w:line="240" w:lineRule="exact"/>
              <w:rPr>
                <w:rFonts w:ascii="宋体" w:hAnsi="宋体" w:eastAsia="宋体" w:cs="宋体"/>
                <w:sz w:val="18"/>
                <w:szCs w:val="18"/>
              </w:rPr>
            </w:pPr>
            <w:r>
              <w:rPr>
                <w:rFonts w:ascii="宋体" w:hAnsi="宋体" w:eastAsia="宋体" w:cs="宋体"/>
                <w:sz w:val="18"/>
                <w:szCs w:val="18"/>
              </w:rPr>
              <w:t>袜子</w:t>
            </w:r>
          </w:p>
        </w:tc>
        <w:tc>
          <w:tcPr>
            <w:tcW w:w="803" w:type="dxa"/>
            <w:tcBorders>
              <w:top w:val="single" w:color="auto" w:sz="2" w:space="0"/>
              <w:left w:val="single" w:color="auto" w:sz="2" w:space="0"/>
              <w:bottom w:val="single" w:color="auto" w:sz="2" w:space="0"/>
              <w:right w:val="single" w:color="auto" w:sz="2" w:space="0"/>
            </w:tcBorders>
            <w:vAlign w:val="center"/>
          </w:tcPr>
          <w:p w14:paraId="18E2CC02">
            <w:pPr>
              <w:spacing w:line="240" w:lineRule="exact"/>
              <w:rPr>
                <w:rFonts w:ascii="宋体" w:hAnsi="宋体" w:eastAsia="宋体" w:cs="宋体"/>
                <w:sz w:val="18"/>
                <w:szCs w:val="18"/>
              </w:rPr>
            </w:pPr>
            <w:r>
              <w:rPr>
                <w:rFonts w:ascii="宋体" w:hAnsi="宋体" w:eastAsia="宋体" w:cs="宋体"/>
                <w:sz w:val="18"/>
                <w:szCs w:val="18"/>
              </w:rPr>
              <w:t>年轻时尚</w:t>
            </w:r>
          </w:p>
        </w:tc>
        <w:tc>
          <w:tcPr>
            <w:tcW w:w="803" w:type="dxa"/>
            <w:tcBorders>
              <w:top w:val="single" w:color="auto" w:sz="2" w:space="0"/>
              <w:left w:val="single" w:color="auto" w:sz="2" w:space="0"/>
              <w:bottom w:val="single" w:color="auto" w:sz="2" w:space="0"/>
              <w:right w:val="single" w:color="auto" w:sz="2" w:space="0"/>
            </w:tcBorders>
            <w:vAlign w:val="center"/>
          </w:tcPr>
          <w:p w14:paraId="70A0CF12">
            <w:pPr>
              <w:spacing w:line="240" w:lineRule="exact"/>
              <w:rPr>
                <w:rFonts w:ascii="宋体" w:hAnsi="宋体" w:eastAsia="宋体" w:cs="宋体"/>
                <w:sz w:val="18"/>
                <w:szCs w:val="18"/>
              </w:rPr>
            </w:pPr>
            <w:r>
              <w:rPr>
                <w:rFonts w:ascii="宋体" w:hAnsi="宋体" w:eastAsia="宋体" w:cs="宋体"/>
                <w:sz w:val="18"/>
                <w:szCs w:val="18"/>
              </w:rPr>
              <w:t>女性</w:t>
            </w:r>
          </w:p>
        </w:tc>
        <w:tc>
          <w:tcPr>
            <w:tcW w:w="803" w:type="dxa"/>
            <w:tcBorders>
              <w:top w:val="single" w:color="auto" w:sz="2" w:space="0"/>
              <w:left w:val="single" w:color="auto" w:sz="2" w:space="0"/>
              <w:bottom w:val="single" w:color="auto" w:sz="2" w:space="0"/>
              <w:right w:val="single" w:color="auto" w:sz="2" w:space="0"/>
            </w:tcBorders>
            <w:vAlign w:val="center"/>
          </w:tcPr>
          <w:p w14:paraId="35752FAB">
            <w:pPr>
              <w:spacing w:line="240" w:lineRule="exact"/>
              <w:rPr>
                <w:rFonts w:ascii="宋体" w:hAnsi="宋体" w:eastAsia="宋体" w:cs="宋体"/>
                <w:sz w:val="18"/>
                <w:szCs w:val="18"/>
              </w:rPr>
            </w:pPr>
            <w:r>
              <w:rPr>
                <w:rFonts w:ascii="宋体" w:hAnsi="宋体" w:eastAsia="宋体" w:cs="宋体"/>
                <w:sz w:val="18"/>
                <w:szCs w:val="18"/>
              </w:rPr>
              <w:t>30-60</w:t>
            </w:r>
          </w:p>
        </w:tc>
        <w:tc>
          <w:tcPr>
            <w:tcW w:w="803" w:type="dxa"/>
            <w:tcBorders>
              <w:top w:val="single" w:color="auto" w:sz="2" w:space="0"/>
              <w:left w:val="single" w:color="auto" w:sz="2" w:space="0"/>
              <w:bottom w:val="single" w:color="auto" w:sz="2" w:space="0"/>
              <w:right w:val="single" w:color="auto" w:sz="2" w:space="0"/>
            </w:tcBorders>
            <w:vAlign w:val="center"/>
          </w:tcPr>
          <w:p w14:paraId="5AC9FE84">
            <w:pPr>
              <w:spacing w:line="240" w:lineRule="exact"/>
              <w:rPr>
                <w:rFonts w:ascii="宋体" w:hAnsi="宋体" w:eastAsia="宋体" w:cs="宋体"/>
                <w:sz w:val="18"/>
                <w:szCs w:val="18"/>
              </w:rPr>
            </w:pPr>
            <w:r>
              <w:rPr>
                <w:rFonts w:ascii="宋体" w:hAnsi="宋体" w:eastAsia="宋体" w:cs="宋体"/>
                <w:sz w:val="18"/>
                <w:szCs w:val="18"/>
              </w:rPr>
              <w:t> 全国</w:t>
            </w:r>
          </w:p>
        </w:tc>
        <w:tc>
          <w:tcPr>
            <w:tcW w:w="803" w:type="dxa"/>
            <w:tcBorders>
              <w:top w:val="single" w:color="auto" w:sz="2" w:space="0"/>
              <w:left w:val="single" w:color="auto" w:sz="2" w:space="0"/>
              <w:bottom w:val="single" w:color="auto" w:sz="2" w:space="0"/>
              <w:right w:val="single" w:color="auto" w:sz="2" w:space="0"/>
            </w:tcBorders>
            <w:vAlign w:val="center"/>
          </w:tcPr>
          <w:p w14:paraId="18BAB653">
            <w:pPr>
              <w:spacing w:line="240" w:lineRule="exact"/>
              <w:rPr>
                <w:rFonts w:ascii="宋体" w:hAnsi="宋体" w:eastAsia="宋体" w:cs="宋体"/>
                <w:sz w:val="18"/>
                <w:szCs w:val="18"/>
              </w:rPr>
            </w:pPr>
            <w:r>
              <w:rPr>
                <w:rFonts w:ascii="宋体" w:hAnsi="宋体" w:eastAsia="宋体" w:cs="宋体"/>
                <w:sz w:val="18"/>
                <w:szCs w:val="18"/>
              </w:rPr>
              <w:t>一二线城市</w:t>
            </w:r>
          </w:p>
        </w:tc>
        <w:tc>
          <w:tcPr>
            <w:tcW w:w="803" w:type="dxa"/>
            <w:tcBorders>
              <w:top w:val="single" w:color="auto" w:sz="2" w:space="0"/>
              <w:left w:val="single" w:color="auto" w:sz="2" w:space="0"/>
              <w:bottom w:val="single" w:color="auto" w:sz="2" w:space="0"/>
              <w:right w:val="single" w:color="auto" w:sz="2" w:space="0"/>
            </w:tcBorders>
            <w:vAlign w:val="center"/>
          </w:tcPr>
          <w:p w14:paraId="013B6DDD">
            <w:pPr>
              <w:spacing w:line="240" w:lineRule="exact"/>
              <w:rPr>
                <w:rFonts w:ascii="宋体" w:hAnsi="宋体" w:eastAsia="宋体" w:cs="宋体"/>
                <w:sz w:val="18"/>
                <w:szCs w:val="18"/>
              </w:rPr>
            </w:pPr>
            <w:r>
              <w:rPr>
                <w:rFonts w:ascii="宋体" w:hAnsi="宋体" w:eastAsia="宋体" w:cs="宋体"/>
                <w:sz w:val="18"/>
                <w:szCs w:val="18"/>
              </w:rPr>
              <w:t>品牌方</w:t>
            </w:r>
          </w:p>
        </w:tc>
        <w:tc>
          <w:tcPr>
            <w:tcW w:w="803" w:type="dxa"/>
            <w:tcBorders>
              <w:top w:val="single" w:color="auto" w:sz="2" w:space="0"/>
              <w:left w:val="single" w:color="auto" w:sz="2" w:space="0"/>
              <w:bottom w:val="single" w:color="auto" w:sz="2" w:space="0"/>
              <w:right w:val="single" w:color="auto" w:sz="2" w:space="0"/>
            </w:tcBorders>
            <w:vAlign w:val="center"/>
          </w:tcPr>
          <w:p w14:paraId="1132B680">
            <w:pPr>
              <w:spacing w:line="240" w:lineRule="exact"/>
              <w:rPr>
                <w:rFonts w:ascii="宋体" w:hAnsi="宋体" w:eastAsia="宋体" w:cs="宋体"/>
                <w:sz w:val="18"/>
                <w:szCs w:val="18"/>
              </w:rPr>
            </w:pPr>
            <w:r>
              <w:rPr>
                <w:rFonts w:ascii="宋体" w:hAnsi="宋体" w:eastAsia="宋体" w:cs="宋体"/>
                <w:sz w:val="18"/>
                <w:szCs w:val="18"/>
              </w:rPr>
              <w:t>苏州美山子制衣有限公司</w:t>
            </w:r>
          </w:p>
        </w:tc>
        <w:tc>
          <w:tcPr>
            <w:tcW w:w="803" w:type="dxa"/>
            <w:tcBorders>
              <w:top w:val="single" w:color="auto" w:sz="2" w:space="0"/>
              <w:left w:val="single" w:color="auto" w:sz="2" w:space="0"/>
              <w:bottom w:val="single" w:color="auto" w:sz="2" w:space="0"/>
              <w:right w:val="single" w:color="auto" w:sz="2" w:space="0"/>
            </w:tcBorders>
            <w:vAlign w:val="center"/>
          </w:tcPr>
          <w:p w14:paraId="638008EC">
            <w:pPr>
              <w:spacing w:line="240" w:lineRule="exact"/>
              <w:rPr>
                <w:rFonts w:ascii="宋体" w:hAnsi="宋体" w:eastAsia="宋体" w:cs="宋体"/>
                <w:sz w:val="18"/>
                <w:szCs w:val="18"/>
              </w:rPr>
            </w:pPr>
            <w:r>
              <w:rPr>
                <w:rFonts w:ascii="宋体" w:hAnsi="宋体" w:eastAsia="宋体" w:cs="宋体"/>
                <w:sz w:val="18"/>
                <w:szCs w:val="18"/>
              </w:rPr>
              <w:t>OEM</w:t>
            </w:r>
          </w:p>
        </w:tc>
        <w:tc>
          <w:tcPr>
            <w:tcW w:w="803" w:type="dxa"/>
            <w:tcBorders>
              <w:top w:val="single" w:color="auto" w:sz="2" w:space="0"/>
              <w:left w:val="single" w:color="auto" w:sz="2" w:space="0"/>
              <w:bottom w:val="single" w:color="auto" w:sz="2" w:space="0"/>
              <w:right w:val="single" w:color="auto" w:sz="2" w:space="0"/>
            </w:tcBorders>
            <w:vAlign w:val="center"/>
          </w:tcPr>
          <w:p w14:paraId="393B86E9">
            <w:pPr>
              <w:spacing w:line="240" w:lineRule="exact"/>
              <w:rPr>
                <w:rFonts w:ascii="宋体" w:hAnsi="宋体" w:eastAsia="宋体" w:cs="宋体"/>
                <w:sz w:val="18"/>
                <w:szCs w:val="18"/>
              </w:rPr>
            </w:pPr>
            <w:r>
              <w:rPr>
                <w:rFonts w:ascii="宋体" w:hAnsi="宋体" w:eastAsia="宋体" w:cs="宋体"/>
                <w:sz w:val="18"/>
                <w:szCs w:val="18"/>
              </w:rPr>
              <w:t>长期</w:t>
            </w:r>
          </w:p>
        </w:tc>
      </w:tr>
      <w:tr w14:paraId="4B278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0D94D382">
            <w:pPr>
              <w:spacing w:line="240" w:lineRule="exact"/>
              <w:rPr>
                <w:rFonts w:ascii="宋体" w:hAnsi="宋体" w:eastAsia="宋体" w:cs="宋体"/>
                <w:sz w:val="18"/>
                <w:szCs w:val="18"/>
              </w:rPr>
            </w:pPr>
            <w:r>
              <w:rPr>
                <w:rFonts w:ascii="宋体" w:hAnsi="宋体" w:eastAsia="宋体" w:cs="宋体"/>
                <w:sz w:val="18"/>
                <w:szCs w:val="18"/>
              </w:rPr>
              <w:t>西町</w:t>
            </w:r>
          </w:p>
        </w:tc>
        <w:tc>
          <w:tcPr>
            <w:tcW w:w="803" w:type="dxa"/>
            <w:tcBorders>
              <w:top w:val="single" w:color="auto" w:sz="2" w:space="0"/>
              <w:left w:val="single" w:color="auto" w:sz="2" w:space="0"/>
              <w:bottom w:val="single" w:color="auto" w:sz="2" w:space="0"/>
              <w:right w:val="single" w:color="auto" w:sz="2" w:space="0"/>
            </w:tcBorders>
            <w:vAlign w:val="center"/>
          </w:tcPr>
          <w:p w14:paraId="23E90042">
            <w:pPr>
              <w:spacing w:line="240" w:lineRule="exact"/>
              <w:rPr>
                <w:rFonts w:ascii="宋体" w:hAnsi="宋体" w:eastAsia="宋体" w:cs="宋体"/>
                <w:sz w:val="18"/>
                <w:szCs w:val="18"/>
              </w:rPr>
            </w:pPr>
            <w:r>
              <w:rPr>
                <w:rFonts w:ascii="宋体" w:hAnsi="宋体" w:eastAsia="宋体" w:cs="宋体"/>
                <w:sz w:val="18"/>
                <w:szCs w:val="18"/>
              </w:rPr>
              <w:t>西町</w:t>
            </w:r>
          </w:p>
        </w:tc>
        <w:tc>
          <w:tcPr>
            <w:tcW w:w="803" w:type="dxa"/>
            <w:tcBorders>
              <w:top w:val="single" w:color="auto" w:sz="2" w:space="0"/>
              <w:left w:val="single" w:color="auto" w:sz="2" w:space="0"/>
              <w:bottom w:val="single" w:color="auto" w:sz="2" w:space="0"/>
              <w:right w:val="single" w:color="auto" w:sz="2" w:space="0"/>
            </w:tcBorders>
            <w:vAlign w:val="center"/>
          </w:tcPr>
          <w:p w14:paraId="37BB353E">
            <w:pPr>
              <w:spacing w:line="240" w:lineRule="exact"/>
              <w:rPr>
                <w:rFonts w:ascii="宋体" w:hAnsi="宋体" w:eastAsia="宋体" w:cs="宋体"/>
                <w:sz w:val="18"/>
                <w:szCs w:val="18"/>
              </w:rPr>
            </w:pPr>
            <w:r>
              <w:rPr>
                <w:rFonts w:ascii="宋体" w:hAnsi="宋体" w:eastAsia="宋体" w:cs="宋体"/>
                <w:sz w:val="18"/>
                <w:szCs w:val="18"/>
              </w:rPr>
              <w:t>袜子</w:t>
            </w:r>
          </w:p>
        </w:tc>
        <w:tc>
          <w:tcPr>
            <w:tcW w:w="803" w:type="dxa"/>
            <w:tcBorders>
              <w:top w:val="single" w:color="auto" w:sz="2" w:space="0"/>
              <w:left w:val="single" w:color="auto" w:sz="2" w:space="0"/>
              <w:bottom w:val="single" w:color="auto" w:sz="2" w:space="0"/>
              <w:right w:val="single" w:color="auto" w:sz="2" w:space="0"/>
            </w:tcBorders>
            <w:vAlign w:val="center"/>
          </w:tcPr>
          <w:p w14:paraId="0D0DC552">
            <w:pPr>
              <w:spacing w:line="240" w:lineRule="exact"/>
              <w:rPr>
                <w:rFonts w:ascii="宋体" w:hAnsi="宋体" w:eastAsia="宋体" w:cs="宋体"/>
                <w:sz w:val="18"/>
                <w:szCs w:val="18"/>
              </w:rPr>
            </w:pPr>
            <w:r>
              <w:rPr>
                <w:rFonts w:ascii="宋体" w:hAnsi="宋体" w:eastAsia="宋体" w:cs="宋体"/>
                <w:sz w:val="18"/>
                <w:szCs w:val="18"/>
              </w:rPr>
              <w:t>年轻时尚</w:t>
            </w:r>
          </w:p>
        </w:tc>
        <w:tc>
          <w:tcPr>
            <w:tcW w:w="803" w:type="dxa"/>
            <w:tcBorders>
              <w:top w:val="single" w:color="auto" w:sz="2" w:space="0"/>
              <w:left w:val="single" w:color="auto" w:sz="2" w:space="0"/>
              <w:bottom w:val="single" w:color="auto" w:sz="2" w:space="0"/>
              <w:right w:val="single" w:color="auto" w:sz="2" w:space="0"/>
            </w:tcBorders>
            <w:vAlign w:val="center"/>
          </w:tcPr>
          <w:p w14:paraId="16DCB28B">
            <w:pPr>
              <w:spacing w:line="240" w:lineRule="exact"/>
              <w:rPr>
                <w:rFonts w:ascii="宋体" w:hAnsi="宋体" w:eastAsia="宋体" w:cs="宋体"/>
                <w:sz w:val="18"/>
                <w:szCs w:val="18"/>
              </w:rPr>
            </w:pPr>
            <w:r>
              <w:rPr>
                <w:rFonts w:ascii="宋体" w:hAnsi="宋体" w:eastAsia="宋体" w:cs="宋体"/>
                <w:sz w:val="18"/>
                <w:szCs w:val="18"/>
              </w:rPr>
              <w:t>女性</w:t>
            </w:r>
          </w:p>
        </w:tc>
        <w:tc>
          <w:tcPr>
            <w:tcW w:w="803" w:type="dxa"/>
            <w:tcBorders>
              <w:top w:val="single" w:color="auto" w:sz="2" w:space="0"/>
              <w:left w:val="single" w:color="auto" w:sz="2" w:space="0"/>
              <w:bottom w:val="single" w:color="auto" w:sz="2" w:space="0"/>
              <w:right w:val="single" w:color="auto" w:sz="2" w:space="0"/>
            </w:tcBorders>
            <w:vAlign w:val="center"/>
          </w:tcPr>
          <w:p w14:paraId="1E10CE88">
            <w:pPr>
              <w:spacing w:line="240" w:lineRule="exact"/>
              <w:rPr>
                <w:rFonts w:ascii="宋体" w:hAnsi="宋体" w:eastAsia="宋体" w:cs="宋体"/>
                <w:sz w:val="18"/>
                <w:szCs w:val="18"/>
              </w:rPr>
            </w:pPr>
            <w:r>
              <w:rPr>
                <w:rFonts w:ascii="宋体" w:hAnsi="宋体" w:eastAsia="宋体" w:cs="宋体"/>
                <w:sz w:val="18"/>
                <w:szCs w:val="18"/>
              </w:rPr>
              <w:t>30-60</w:t>
            </w:r>
          </w:p>
        </w:tc>
        <w:tc>
          <w:tcPr>
            <w:tcW w:w="803" w:type="dxa"/>
            <w:tcBorders>
              <w:top w:val="single" w:color="auto" w:sz="2" w:space="0"/>
              <w:left w:val="single" w:color="auto" w:sz="2" w:space="0"/>
              <w:bottom w:val="single" w:color="auto" w:sz="2" w:space="0"/>
              <w:right w:val="single" w:color="auto" w:sz="2" w:space="0"/>
            </w:tcBorders>
            <w:vAlign w:val="center"/>
          </w:tcPr>
          <w:p w14:paraId="4C84C1B5">
            <w:pPr>
              <w:spacing w:line="240" w:lineRule="exact"/>
              <w:rPr>
                <w:rFonts w:ascii="宋体" w:hAnsi="宋体" w:eastAsia="宋体" w:cs="宋体"/>
                <w:sz w:val="18"/>
                <w:szCs w:val="18"/>
              </w:rPr>
            </w:pPr>
            <w:r>
              <w:rPr>
                <w:rFonts w:ascii="宋体" w:hAnsi="宋体" w:eastAsia="宋体" w:cs="宋体"/>
                <w:sz w:val="18"/>
                <w:szCs w:val="18"/>
              </w:rPr>
              <w:t> 全国</w:t>
            </w:r>
          </w:p>
        </w:tc>
        <w:tc>
          <w:tcPr>
            <w:tcW w:w="803" w:type="dxa"/>
            <w:tcBorders>
              <w:top w:val="single" w:color="auto" w:sz="2" w:space="0"/>
              <w:left w:val="single" w:color="auto" w:sz="2" w:space="0"/>
              <w:bottom w:val="single" w:color="auto" w:sz="2" w:space="0"/>
              <w:right w:val="single" w:color="auto" w:sz="2" w:space="0"/>
            </w:tcBorders>
            <w:vAlign w:val="center"/>
          </w:tcPr>
          <w:p w14:paraId="4A218D0F">
            <w:pPr>
              <w:spacing w:line="240" w:lineRule="exact"/>
              <w:rPr>
                <w:rFonts w:ascii="宋体" w:hAnsi="宋体" w:eastAsia="宋体" w:cs="宋体"/>
                <w:sz w:val="18"/>
                <w:szCs w:val="18"/>
              </w:rPr>
            </w:pPr>
            <w:r>
              <w:rPr>
                <w:rFonts w:ascii="宋体" w:hAnsi="宋体" w:eastAsia="宋体" w:cs="宋体"/>
                <w:sz w:val="18"/>
                <w:szCs w:val="18"/>
              </w:rPr>
              <w:t>一二线城市</w:t>
            </w:r>
          </w:p>
        </w:tc>
        <w:tc>
          <w:tcPr>
            <w:tcW w:w="803" w:type="dxa"/>
            <w:tcBorders>
              <w:top w:val="single" w:color="auto" w:sz="2" w:space="0"/>
              <w:left w:val="single" w:color="auto" w:sz="2" w:space="0"/>
              <w:bottom w:val="single" w:color="auto" w:sz="2" w:space="0"/>
              <w:right w:val="single" w:color="auto" w:sz="2" w:space="0"/>
            </w:tcBorders>
            <w:vAlign w:val="center"/>
          </w:tcPr>
          <w:p w14:paraId="441D6B2A">
            <w:pPr>
              <w:spacing w:line="240" w:lineRule="exact"/>
              <w:rPr>
                <w:rFonts w:ascii="宋体" w:hAnsi="宋体" w:eastAsia="宋体" w:cs="宋体"/>
                <w:sz w:val="18"/>
                <w:szCs w:val="18"/>
              </w:rPr>
            </w:pPr>
            <w:r>
              <w:rPr>
                <w:rFonts w:ascii="宋体" w:hAnsi="宋体" w:eastAsia="宋体" w:cs="宋体"/>
                <w:sz w:val="18"/>
                <w:szCs w:val="18"/>
              </w:rPr>
              <w:t>品牌方</w:t>
            </w:r>
          </w:p>
        </w:tc>
        <w:tc>
          <w:tcPr>
            <w:tcW w:w="803" w:type="dxa"/>
            <w:tcBorders>
              <w:top w:val="single" w:color="auto" w:sz="2" w:space="0"/>
              <w:left w:val="single" w:color="auto" w:sz="2" w:space="0"/>
              <w:bottom w:val="single" w:color="auto" w:sz="2" w:space="0"/>
              <w:right w:val="single" w:color="auto" w:sz="2" w:space="0"/>
            </w:tcBorders>
            <w:vAlign w:val="center"/>
          </w:tcPr>
          <w:p w14:paraId="5185506A">
            <w:pPr>
              <w:spacing w:line="240" w:lineRule="exact"/>
              <w:rPr>
                <w:rFonts w:ascii="宋体" w:hAnsi="宋体" w:eastAsia="宋体" w:cs="宋体"/>
                <w:sz w:val="18"/>
                <w:szCs w:val="18"/>
              </w:rPr>
            </w:pPr>
            <w:r>
              <w:rPr>
                <w:rFonts w:ascii="宋体" w:hAnsi="宋体" w:eastAsia="宋体" w:cs="宋体"/>
                <w:sz w:val="18"/>
                <w:szCs w:val="18"/>
              </w:rPr>
              <w:t>西町村屋集团有限公司</w:t>
            </w:r>
          </w:p>
        </w:tc>
        <w:tc>
          <w:tcPr>
            <w:tcW w:w="803" w:type="dxa"/>
            <w:tcBorders>
              <w:top w:val="single" w:color="auto" w:sz="2" w:space="0"/>
              <w:left w:val="single" w:color="auto" w:sz="2" w:space="0"/>
              <w:bottom w:val="single" w:color="auto" w:sz="2" w:space="0"/>
              <w:right w:val="single" w:color="auto" w:sz="2" w:space="0"/>
            </w:tcBorders>
            <w:vAlign w:val="center"/>
          </w:tcPr>
          <w:p w14:paraId="522EF9A6">
            <w:pPr>
              <w:spacing w:line="240" w:lineRule="exact"/>
              <w:rPr>
                <w:rFonts w:ascii="宋体" w:hAnsi="宋体" w:eastAsia="宋体" w:cs="宋体"/>
                <w:sz w:val="18"/>
                <w:szCs w:val="18"/>
              </w:rPr>
            </w:pPr>
            <w:r>
              <w:rPr>
                <w:rFonts w:ascii="宋体" w:hAnsi="宋体" w:eastAsia="宋体" w:cs="宋体"/>
                <w:sz w:val="18"/>
                <w:szCs w:val="18"/>
              </w:rPr>
              <w:t>OEM</w:t>
            </w:r>
          </w:p>
        </w:tc>
        <w:tc>
          <w:tcPr>
            <w:tcW w:w="803" w:type="dxa"/>
            <w:tcBorders>
              <w:top w:val="single" w:color="auto" w:sz="2" w:space="0"/>
              <w:left w:val="single" w:color="auto" w:sz="2" w:space="0"/>
              <w:bottom w:val="single" w:color="auto" w:sz="2" w:space="0"/>
              <w:right w:val="single" w:color="auto" w:sz="2" w:space="0"/>
            </w:tcBorders>
            <w:vAlign w:val="center"/>
          </w:tcPr>
          <w:p w14:paraId="416E1254">
            <w:pPr>
              <w:spacing w:line="240" w:lineRule="exact"/>
              <w:rPr>
                <w:rFonts w:ascii="宋体" w:hAnsi="宋体" w:eastAsia="宋体" w:cs="宋体"/>
                <w:sz w:val="18"/>
                <w:szCs w:val="18"/>
              </w:rPr>
            </w:pPr>
            <w:r>
              <w:rPr>
                <w:rFonts w:ascii="宋体" w:hAnsi="宋体" w:eastAsia="宋体" w:cs="宋体"/>
                <w:sz w:val="18"/>
                <w:szCs w:val="18"/>
              </w:rPr>
              <w:t>长期</w:t>
            </w:r>
          </w:p>
        </w:tc>
      </w:tr>
      <w:tr w14:paraId="51F46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13F6E0B4">
            <w:pPr>
              <w:spacing w:line="240" w:lineRule="exact"/>
              <w:rPr>
                <w:rFonts w:ascii="宋体" w:hAnsi="宋体" w:eastAsia="宋体" w:cs="宋体"/>
                <w:sz w:val="18"/>
                <w:szCs w:val="18"/>
              </w:rPr>
            </w:pPr>
            <w:r>
              <w:rPr>
                <w:rFonts w:ascii="宋体" w:hAnsi="宋体" w:eastAsia="宋体" w:cs="宋体"/>
                <w:sz w:val="18"/>
                <w:szCs w:val="18"/>
              </w:rPr>
              <w:t>番茄口袋</w:t>
            </w:r>
          </w:p>
        </w:tc>
        <w:tc>
          <w:tcPr>
            <w:tcW w:w="803" w:type="dxa"/>
            <w:tcBorders>
              <w:top w:val="single" w:color="auto" w:sz="2" w:space="0"/>
              <w:left w:val="single" w:color="auto" w:sz="2" w:space="0"/>
              <w:bottom w:val="single" w:color="auto" w:sz="2" w:space="0"/>
              <w:right w:val="single" w:color="auto" w:sz="2" w:space="0"/>
            </w:tcBorders>
            <w:vAlign w:val="center"/>
          </w:tcPr>
          <w:p w14:paraId="5CE30AAA">
            <w:pPr>
              <w:spacing w:line="240" w:lineRule="exact"/>
              <w:rPr>
                <w:rFonts w:ascii="宋体" w:hAnsi="宋体" w:eastAsia="宋体" w:cs="宋体"/>
                <w:sz w:val="18"/>
                <w:szCs w:val="18"/>
              </w:rPr>
            </w:pPr>
            <w:r>
              <w:rPr>
                <w:rFonts w:ascii="宋体" w:hAnsi="宋体" w:eastAsia="宋体" w:cs="宋体"/>
                <w:sz w:val="18"/>
                <w:szCs w:val="18"/>
              </w:rPr>
              <w:t>番茄口袋</w:t>
            </w:r>
          </w:p>
        </w:tc>
        <w:tc>
          <w:tcPr>
            <w:tcW w:w="803" w:type="dxa"/>
            <w:tcBorders>
              <w:top w:val="single" w:color="auto" w:sz="2" w:space="0"/>
              <w:left w:val="single" w:color="auto" w:sz="2" w:space="0"/>
              <w:bottom w:val="single" w:color="auto" w:sz="2" w:space="0"/>
              <w:right w:val="single" w:color="auto" w:sz="2" w:space="0"/>
            </w:tcBorders>
            <w:vAlign w:val="center"/>
          </w:tcPr>
          <w:p w14:paraId="51DA2851">
            <w:pPr>
              <w:spacing w:line="240" w:lineRule="exact"/>
              <w:rPr>
                <w:rFonts w:ascii="宋体" w:hAnsi="宋体" w:eastAsia="宋体" w:cs="宋体"/>
                <w:sz w:val="18"/>
                <w:szCs w:val="18"/>
              </w:rPr>
            </w:pPr>
            <w:r>
              <w:rPr>
                <w:rFonts w:ascii="宋体" w:hAnsi="宋体" w:eastAsia="宋体" w:cs="宋体"/>
                <w:sz w:val="18"/>
                <w:szCs w:val="18"/>
              </w:rPr>
              <w:t>袜子</w:t>
            </w:r>
          </w:p>
        </w:tc>
        <w:tc>
          <w:tcPr>
            <w:tcW w:w="803" w:type="dxa"/>
            <w:tcBorders>
              <w:top w:val="single" w:color="auto" w:sz="2" w:space="0"/>
              <w:left w:val="single" w:color="auto" w:sz="2" w:space="0"/>
              <w:bottom w:val="single" w:color="auto" w:sz="2" w:space="0"/>
              <w:right w:val="single" w:color="auto" w:sz="2" w:space="0"/>
            </w:tcBorders>
            <w:vAlign w:val="center"/>
          </w:tcPr>
          <w:p w14:paraId="1ACABC71">
            <w:pPr>
              <w:spacing w:line="240" w:lineRule="exact"/>
              <w:rPr>
                <w:rFonts w:ascii="宋体" w:hAnsi="宋体" w:eastAsia="宋体" w:cs="宋体"/>
                <w:sz w:val="18"/>
                <w:szCs w:val="18"/>
              </w:rPr>
            </w:pPr>
            <w:r>
              <w:rPr>
                <w:rFonts w:ascii="宋体" w:hAnsi="宋体" w:eastAsia="宋体" w:cs="宋体"/>
                <w:sz w:val="18"/>
                <w:szCs w:val="18"/>
              </w:rPr>
              <w:t>年轻时尚</w:t>
            </w:r>
          </w:p>
        </w:tc>
        <w:tc>
          <w:tcPr>
            <w:tcW w:w="803" w:type="dxa"/>
            <w:tcBorders>
              <w:top w:val="single" w:color="auto" w:sz="2" w:space="0"/>
              <w:left w:val="single" w:color="auto" w:sz="2" w:space="0"/>
              <w:bottom w:val="single" w:color="auto" w:sz="2" w:space="0"/>
              <w:right w:val="single" w:color="auto" w:sz="2" w:space="0"/>
            </w:tcBorders>
            <w:vAlign w:val="center"/>
          </w:tcPr>
          <w:p w14:paraId="4BBD552D">
            <w:pPr>
              <w:spacing w:line="240" w:lineRule="exact"/>
              <w:rPr>
                <w:rFonts w:ascii="宋体" w:hAnsi="宋体" w:eastAsia="宋体" w:cs="宋体"/>
                <w:sz w:val="18"/>
                <w:szCs w:val="18"/>
              </w:rPr>
            </w:pPr>
            <w:r>
              <w:rPr>
                <w:rFonts w:ascii="宋体" w:hAnsi="宋体" w:eastAsia="宋体" w:cs="宋体"/>
                <w:sz w:val="18"/>
                <w:szCs w:val="18"/>
              </w:rPr>
              <w:t>女性</w:t>
            </w:r>
          </w:p>
        </w:tc>
        <w:tc>
          <w:tcPr>
            <w:tcW w:w="803" w:type="dxa"/>
            <w:tcBorders>
              <w:top w:val="single" w:color="auto" w:sz="2" w:space="0"/>
              <w:left w:val="single" w:color="auto" w:sz="2" w:space="0"/>
              <w:bottom w:val="single" w:color="auto" w:sz="2" w:space="0"/>
              <w:right w:val="single" w:color="auto" w:sz="2" w:space="0"/>
            </w:tcBorders>
            <w:vAlign w:val="center"/>
          </w:tcPr>
          <w:p w14:paraId="5986E5B9">
            <w:pPr>
              <w:spacing w:line="240" w:lineRule="exact"/>
              <w:rPr>
                <w:rFonts w:ascii="宋体" w:hAnsi="宋体" w:eastAsia="宋体" w:cs="宋体"/>
                <w:sz w:val="18"/>
                <w:szCs w:val="18"/>
              </w:rPr>
            </w:pPr>
            <w:r>
              <w:rPr>
                <w:rFonts w:ascii="宋体" w:hAnsi="宋体" w:eastAsia="宋体" w:cs="宋体"/>
                <w:sz w:val="18"/>
                <w:szCs w:val="18"/>
              </w:rPr>
              <w:t>30-60</w:t>
            </w:r>
          </w:p>
        </w:tc>
        <w:tc>
          <w:tcPr>
            <w:tcW w:w="803" w:type="dxa"/>
            <w:tcBorders>
              <w:top w:val="single" w:color="auto" w:sz="2" w:space="0"/>
              <w:left w:val="single" w:color="auto" w:sz="2" w:space="0"/>
              <w:bottom w:val="single" w:color="auto" w:sz="2" w:space="0"/>
              <w:right w:val="single" w:color="auto" w:sz="2" w:space="0"/>
            </w:tcBorders>
            <w:vAlign w:val="center"/>
          </w:tcPr>
          <w:p w14:paraId="076C3FB3">
            <w:pPr>
              <w:spacing w:line="240" w:lineRule="exact"/>
              <w:rPr>
                <w:rFonts w:ascii="宋体" w:hAnsi="宋体" w:eastAsia="宋体" w:cs="宋体"/>
                <w:sz w:val="18"/>
                <w:szCs w:val="18"/>
              </w:rPr>
            </w:pPr>
            <w:r>
              <w:rPr>
                <w:rFonts w:ascii="宋体" w:hAnsi="宋体" w:eastAsia="宋体" w:cs="宋体"/>
                <w:sz w:val="18"/>
                <w:szCs w:val="18"/>
              </w:rPr>
              <w:t> 全国</w:t>
            </w:r>
          </w:p>
        </w:tc>
        <w:tc>
          <w:tcPr>
            <w:tcW w:w="803" w:type="dxa"/>
            <w:tcBorders>
              <w:top w:val="single" w:color="auto" w:sz="2" w:space="0"/>
              <w:left w:val="single" w:color="auto" w:sz="2" w:space="0"/>
              <w:bottom w:val="single" w:color="auto" w:sz="2" w:space="0"/>
              <w:right w:val="single" w:color="auto" w:sz="2" w:space="0"/>
            </w:tcBorders>
            <w:vAlign w:val="center"/>
          </w:tcPr>
          <w:p w14:paraId="428D6AE4">
            <w:pPr>
              <w:spacing w:line="240" w:lineRule="exact"/>
              <w:rPr>
                <w:rFonts w:ascii="宋体" w:hAnsi="宋体" w:eastAsia="宋体" w:cs="宋体"/>
                <w:sz w:val="18"/>
                <w:szCs w:val="18"/>
              </w:rPr>
            </w:pPr>
            <w:r>
              <w:rPr>
                <w:rFonts w:ascii="宋体" w:hAnsi="宋体" w:eastAsia="宋体" w:cs="宋体"/>
                <w:sz w:val="18"/>
                <w:szCs w:val="18"/>
              </w:rPr>
              <w:t>一二线城市</w:t>
            </w:r>
          </w:p>
        </w:tc>
        <w:tc>
          <w:tcPr>
            <w:tcW w:w="803" w:type="dxa"/>
            <w:tcBorders>
              <w:top w:val="single" w:color="auto" w:sz="2" w:space="0"/>
              <w:left w:val="single" w:color="auto" w:sz="2" w:space="0"/>
              <w:bottom w:val="single" w:color="auto" w:sz="2" w:space="0"/>
              <w:right w:val="single" w:color="auto" w:sz="2" w:space="0"/>
            </w:tcBorders>
            <w:vAlign w:val="center"/>
          </w:tcPr>
          <w:p w14:paraId="6107FA13">
            <w:pPr>
              <w:spacing w:line="240" w:lineRule="exact"/>
              <w:rPr>
                <w:rFonts w:ascii="宋体" w:hAnsi="宋体" w:eastAsia="宋体" w:cs="宋体"/>
                <w:sz w:val="18"/>
                <w:szCs w:val="18"/>
              </w:rPr>
            </w:pPr>
            <w:r>
              <w:rPr>
                <w:rFonts w:ascii="宋体" w:hAnsi="宋体" w:eastAsia="宋体" w:cs="宋体"/>
                <w:sz w:val="18"/>
                <w:szCs w:val="18"/>
              </w:rPr>
              <w:t>品牌方</w:t>
            </w:r>
          </w:p>
        </w:tc>
        <w:tc>
          <w:tcPr>
            <w:tcW w:w="803" w:type="dxa"/>
            <w:tcBorders>
              <w:top w:val="single" w:color="auto" w:sz="2" w:space="0"/>
              <w:left w:val="single" w:color="auto" w:sz="2" w:space="0"/>
              <w:bottom w:val="single" w:color="auto" w:sz="2" w:space="0"/>
              <w:right w:val="single" w:color="auto" w:sz="2" w:space="0"/>
            </w:tcBorders>
            <w:vAlign w:val="center"/>
          </w:tcPr>
          <w:p w14:paraId="07B5D55B">
            <w:pPr>
              <w:spacing w:line="240" w:lineRule="exact"/>
              <w:rPr>
                <w:rFonts w:ascii="宋体" w:hAnsi="宋体" w:eastAsia="宋体" w:cs="宋体"/>
                <w:sz w:val="18"/>
                <w:szCs w:val="18"/>
              </w:rPr>
            </w:pPr>
            <w:r>
              <w:rPr>
                <w:rFonts w:ascii="宋体" w:hAnsi="宋体" w:eastAsia="宋体" w:cs="宋体"/>
                <w:sz w:val="18"/>
                <w:szCs w:val="18"/>
              </w:rPr>
              <w:t>上海番茄口袋电子商务有限公司</w:t>
            </w:r>
          </w:p>
        </w:tc>
        <w:tc>
          <w:tcPr>
            <w:tcW w:w="803" w:type="dxa"/>
            <w:tcBorders>
              <w:top w:val="single" w:color="auto" w:sz="2" w:space="0"/>
              <w:left w:val="single" w:color="auto" w:sz="2" w:space="0"/>
              <w:bottom w:val="single" w:color="auto" w:sz="2" w:space="0"/>
              <w:right w:val="single" w:color="auto" w:sz="2" w:space="0"/>
            </w:tcBorders>
            <w:vAlign w:val="center"/>
          </w:tcPr>
          <w:p w14:paraId="43BB97FF">
            <w:pPr>
              <w:spacing w:line="240" w:lineRule="exact"/>
              <w:rPr>
                <w:rFonts w:ascii="宋体" w:hAnsi="宋体" w:eastAsia="宋体" w:cs="宋体"/>
                <w:sz w:val="18"/>
                <w:szCs w:val="18"/>
              </w:rPr>
            </w:pPr>
            <w:r>
              <w:rPr>
                <w:rFonts w:ascii="宋体" w:hAnsi="宋体" w:eastAsia="宋体" w:cs="宋体"/>
                <w:sz w:val="18"/>
                <w:szCs w:val="18"/>
              </w:rPr>
              <w:t>OEM</w:t>
            </w:r>
          </w:p>
        </w:tc>
        <w:tc>
          <w:tcPr>
            <w:tcW w:w="803" w:type="dxa"/>
            <w:tcBorders>
              <w:top w:val="single" w:color="auto" w:sz="2" w:space="0"/>
              <w:left w:val="single" w:color="auto" w:sz="2" w:space="0"/>
              <w:bottom w:val="single" w:color="auto" w:sz="2" w:space="0"/>
              <w:right w:val="single" w:color="auto" w:sz="2" w:space="0"/>
            </w:tcBorders>
            <w:vAlign w:val="center"/>
          </w:tcPr>
          <w:p w14:paraId="40AB4B0D">
            <w:pPr>
              <w:spacing w:line="240" w:lineRule="exact"/>
              <w:rPr>
                <w:rFonts w:ascii="宋体" w:hAnsi="宋体" w:eastAsia="宋体" w:cs="宋体"/>
                <w:sz w:val="18"/>
                <w:szCs w:val="18"/>
              </w:rPr>
            </w:pPr>
            <w:r>
              <w:rPr>
                <w:rFonts w:ascii="宋体" w:hAnsi="宋体" w:eastAsia="宋体" w:cs="宋体"/>
                <w:sz w:val="18"/>
                <w:szCs w:val="18"/>
              </w:rPr>
              <w:t>长期</w:t>
            </w:r>
          </w:p>
        </w:tc>
      </w:tr>
    </w:tbl>
    <w:p w14:paraId="63235D12">
      <w:pPr>
        <w:spacing w:before="100" w:after="100" w:line="240" w:lineRule="exact"/>
        <w:rPr>
          <w:rFonts w:ascii="宋体" w:hAnsi="宋体" w:eastAsia="宋体" w:cs="宋体"/>
          <w:sz w:val="18"/>
          <w:szCs w:val="18"/>
        </w:rPr>
      </w:pPr>
      <w:r>
        <w:rPr>
          <w:rFonts w:ascii="宋体" w:hAnsi="宋体" w:eastAsia="宋体" w:cs="宋体"/>
          <w:sz w:val="18"/>
          <w:szCs w:val="18"/>
        </w:rPr>
        <w:t>被授权品牌</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7"/>
        <w:gridCol w:w="877"/>
        <w:gridCol w:w="877"/>
        <w:gridCol w:w="876"/>
        <w:gridCol w:w="876"/>
        <w:gridCol w:w="876"/>
        <w:gridCol w:w="876"/>
        <w:gridCol w:w="876"/>
        <w:gridCol w:w="876"/>
        <w:gridCol w:w="876"/>
        <w:gridCol w:w="876"/>
      </w:tblGrid>
      <w:tr w14:paraId="37BFA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E0F5F9F">
            <w:pPr>
              <w:spacing w:before="40" w:after="40" w:line="240" w:lineRule="exact"/>
              <w:jc w:val="center"/>
              <w:rPr>
                <w:rFonts w:ascii="宋体" w:hAnsi="宋体" w:eastAsia="宋体" w:cs="宋体"/>
                <w:sz w:val="18"/>
                <w:szCs w:val="18"/>
              </w:rPr>
            </w:pPr>
            <w:r>
              <w:rPr>
                <w:rFonts w:ascii="宋体" w:hAnsi="宋体" w:eastAsia="宋体" w:cs="宋体"/>
                <w:sz w:val="18"/>
                <w:szCs w:val="18"/>
              </w:rPr>
              <w:t>品牌名称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427B5BA">
            <w:pPr>
              <w:spacing w:before="40" w:after="40" w:line="240" w:lineRule="exact"/>
              <w:jc w:val="center"/>
              <w:rPr>
                <w:rFonts w:ascii="宋体" w:hAnsi="宋体" w:eastAsia="宋体" w:cs="宋体"/>
                <w:sz w:val="18"/>
                <w:szCs w:val="18"/>
              </w:rPr>
            </w:pPr>
            <w:r>
              <w:rPr>
                <w:rFonts w:ascii="宋体" w:hAnsi="宋体" w:eastAsia="宋体" w:cs="宋体"/>
                <w:sz w:val="18"/>
                <w:szCs w:val="18"/>
              </w:rPr>
              <w:t>商标名称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0470CF3">
            <w:pPr>
              <w:spacing w:before="40" w:after="40" w:line="240" w:lineRule="exact"/>
              <w:jc w:val="center"/>
              <w:rPr>
                <w:rFonts w:ascii="宋体" w:hAnsi="宋体" w:eastAsia="宋体" w:cs="宋体"/>
                <w:sz w:val="18"/>
                <w:szCs w:val="18"/>
              </w:rPr>
            </w:pPr>
            <w:r>
              <w:rPr>
                <w:rFonts w:ascii="宋体" w:hAnsi="宋体" w:eastAsia="宋体" w:cs="宋体"/>
                <w:sz w:val="18"/>
                <w:szCs w:val="18"/>
              </w:rPr>
              <w:t>主要产品类型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578DABB">
            <w:pPr>
              <w:spacing w:before="40" w:after="40" w:line="240" w:lineRule="exact"/>
              <w:jc w:val="center"/>
              <w:rPr>
                <w:rFonts w:ascii="宋体" w:hAnsi="宋体" w:eastAsia="宋体" w:cs="宋体"/>
                <w:sz w:val="18"/>
                <w:szCs w:val="18"/>
              </w:rPr>
            </w:pPr>
            <w:r>
              <w:rPr>
                <w:rFonts w:ascii="宋体" w:hAnsi="宋体" w:eastAsia="宋体" w:cs="宋体"/>
                <w:sz w:val="18"/>
                <w:szCs w:val="18"/>
              </w:rPr>
              <w:t>特点</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9B835F9">
            <w:pPr>
              <w:spacing w:before="40" w:after="40" w:line="240" w:lineRule="exact"/>
              <w:jc w:val="center"/>
              <w:rPr>
                <w:rFonts w:ascii="宋体" w:hAnsi="宋体" w:eastAsia="宋体" w:cs="宋体"/>
                <w:sz w:val="18"/>
                <w:szCs w:val="18"/>
              </w:rPr>
            </w:pPr>
            <w:r>
              <w:rPr>
                <w:rFonts w:ascii="宋体" w:hAnsi="宋体" w:eastAsia="宋体" w:cs="宋体"/>
                <w:sz w:val="18"/>
                <w:szCs w:val="18"/>
              </w:rPr>
              <w:t>目标客户群</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FB05667">
            <w:pPr>
              <w:spacing w:before="40" w:after="40" w:line="240" w:lineRule="exact"/>
              <w:jc w:val="center"/>
              <w:rPr>
                <w:rFonts w:ascii="宋体" w:hAnsi="宋体" w:eastAsia="宋体" w:cs="宋体"/>
                <w:sz w:val="18"/>
                <w:szCs w:val="18"/>
              </w:rPr>
            </w:pPr>
            <w:r>
              <w:rPr>
                <w:rFonts w:ascii="宋体" w:hAnsi="宋体" w:eastAsia="宋体" w:cs="宋体"/>
                <w:sz w:val="18"/>
                <w:szCs w:val="18"/>
              </w:rPr>
              <w:t>主要产品价格带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E80C279">
            <w:pPr>
              <w:spacing w:before="40" w:after="40" w:line="240" w:lineRule="exact"/>
              <w:jc w:val="center"/>
              <w:rPr>
                <w:rFonts w:ascii="宋体" w:hAnsi="宋体" w:eastAsia="宋体" w:cs="宋体"/>
                <w:sz w:val="18"/>
                <w:szCs w:val="18"/>
              </w:rPr>
            </w:pPr>
            <w:r>
              <w:rPr>
                <w:rFonts w:ascii="宋体" w:hAnsi="宋体" w:eastAsia="宋体" w:cs="宋体"/>
                <w:sz w:val="18"/>
                <w:szCs w:val="18"/>
              </w:rPr>
              <w:t>主要销售区域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AE3155A">
            <w:pPr>
              <w:spacing w:before="40" w:after="40" w:line="240" w:lineRule="exact"/>
              <w:jc w:val="center"/>
              <w:rPr>
                <w:rFonts w:ascii="宋体" w:hAnsi="宋体" w:eastAsia="宋体" w:cs="宋体"/>
                <w:sz w:val="18"/>
                <w:szCs w:val="18"/>
              </w:rPr>
            </w:pPr>
            <w:r>
              <w:rPr>
                <w:rFonts w:ascii="宋体" w:hAnsi="宋体" w:eastAsia="宋体" w:cs="宋体"/>
                <w:sz w:val="18"/>
                <w:szCs w:val="18"/>
              </w:rPr>
              <w:t>城市级别</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B8B915B">
            <w:pPr>
              <w:spacing w:before="40" w:after="40" w:line="240" w:lineRule="exact"/>
              <w:jc w:val="center"/>
              <w:rPr>
                <w:rFonts w:ascii="宋体" w:hAnsi="宋体" w:eastAsia="宋体" w:cs="宋体"/>
                <w:sz w:val="18"/>
                <w:szCs w:val="18"/>
              </w:rPr>
            </w:pPr>
            <w:r>
              <w:rPr>
                <w:rFonts w:ascii="宋体" w:hAnsi="宋体" w:eastAsia="宋体" w:cs="宋体"/>
                <w:sz w:val="18"/>
                <w:szCs w:val="18"/>
              </w:rPr>
              <w:t>授权方</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CE52790">
            <w:pPr>
              <w:spacing w:before="40" w:after="40" w:line="240" w:lineRule="exact"/>
              <w:jc w:val="center"/>
              <w:rPr>
                <w:rFonts w:ascii="宋体" w:hAnsi="宋体" w:eastAsia="宋体" w:cs="宋体"/>
                <w:sz w:val="18"/>
                <w:szCs w:val="18"/>
              </w:rPr>
            </w:pPr>
            <w:r>
              <w:rPr>
                <w:rFonts w:ascii="宋体" w:hAnsi="宋体" w:eastAsia="宋体" w:cs="宋体"/>
                <w:sz w:val="18"/>
                <w:szCs w:val="18"/>
              </w:rPr>
              <w:t>授权期限</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7849EC2">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是否为独家授权</w:t>
            </w:r>
          </w:p>
        </w:tc>
      </w:tr>
      <w:tr w14:paraId="6B652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5499E248">
            <w:pPr>
              <w:spacing w:line="240" w:lineRule="exact"/>
              <w:rPr>
                <w:rFonts w:ascii="宋体" w:hAnsi="宋体" w:eastAsia="宋体" w:cs="宋体"/>
                <w:sz w:val="18"/>
                <w:szCs w:val="18"/>
              </w:rPr>
            </w:pPr>
            <w:r>
              <w:rPr>
                <w:rFonts w:ascii="宋体" w:hAnsi="宋体" w:eastAsia="宋体" w:cs="宋体"/>
                <w:sz w:val="18"/>
                <w:szCs w:val="18"/>
              </w:rPr>
              <w:t>彼得兔</w:t>
            </w:r>
          </w:p>
        </w:tc>
        <w:tc>
          <w:tcPr>
            <w:tcW w:w="876" w:type="dxa"/>
            <w:tcBorders>
              <w:top w:val="single" w:color="auto" w:sz="2" w:space="0"/>
              <w:left w:val="single" w:color="auto" w:sz="2" w:space="0"/>
              <w:bottom w:val="single" w:color="auto" w:sz="2" w:space="0"/>
              <w:right w:val="single" w:color="auto" w:sz="2" w:space="0"/>
            </w:tcBorders>
            <w:vAlign w:val="center"/>
          </w:tcPr>
          <w:p w14:paraId="4E6CA899">
            <w:pPr>
              <w:spacing w:line="240" w:lineRule="exact"/>
              <w:rPr>
                <w:rFonts w:ascii="宋体" w:hAnsi="宋体" w:eastAsia="宋体" w:cs="宋体"/>
                <w:sz w:val="18"/>
                <w:szCs w:val="18"/>
              </w:rPr>
            </w:pPr>
            <w:r>
              <w:rPr>
                <w:rFonts w:ascii="宋体" w:hAnsi="宋体" w:eastAsia="宋体" w:cs="宋体"/>
                <w:sz w:val="18"/>
                <w:szCs w:val="18"/>
              </w:rPr>
              <w:t>彼得兔</w:t>
            </w:r>
          </w:p>
        </w:tc>
        <w:tc>
          <w:tcPr>
            <w:tcW w:w="876" w:type="dxa"/>
            <w:tcBorders>
              <w:top w:val="single" w:color="auto" w:sz="2" w:space="0"/>
              <w:left w:val="single" w:color="auto" w:sz="2" w:space="0"/>
              <w:bottom w:val="single" w:color="auto" w:sz="2" w:space="0"/>
              <w:right w:val="single" w:color="auto" w:sz="2" w:space="0"/>
            </w:tcBorders>
            <w:vAlign w:val="center"/>
          </w:tcPr>
          <w:p w14:paraId="0121DB92">
            <w:pPr>
              <w:spacing w:line="240" w:lineRule="exact"/>
              <w:rPr>
                <w:rFonts w:ascii="宋体" w:hAnsi="宋体" w:eastAsia="宋体" w:cs="宋体"/>
                <w:sz w:val="18"/>
                <w:szCs w:val="18"/>
              </w:rPr>
            </w:pPr>
            <w:r>
              <w:rPr>
                <w:rFonts w:ascii="宋体" w:hAnsi="宋体" w:eastAsia="宋体" w:cs="宋体"/>
                <w:sz w:val="18"/>
                <w:szCs w:val="18"/>
              </w:rPr>
              <w:t>袜子</w:t>
            </w:r>
          </w:p>
        </w:tc>
        <w:tc>
          <w:tcPr>
            <w:tcW w:w="876" w:type="dxa"/>
            <w:tcBorders>
              <w:top w:val="single" w:color="auto" w:sz="2" w:space="0"/>
              <w:left w:val="single" w:color="auto" w:sz="2" w:space="0"/>
              <w:bottom w:val="single" w:color="auto" w:sz="2" w:space="0"/>
              <w:right w:val="single" w:color="auto" w:sz="2" w:space="0"/>
            </w:tcBorders>
            <w:vAlign w:val="center"/>
          </w:tcPr>
          <w:p w14:paraId="2891A30E">
            <w:pPr>
              <w:spacing w:line="240" w:lineRule="exact"/>
              <w:rPr>
                <w:rFonts w:ascii="宋体" w:hAnsi="宋体" w:eastAsia="宋体" w:cs="宋体"/>
                <w:sz w:val="18"/>
                <w:szCs w:val="18"/>
              </w:rPr>
            </w:pPr>
            <w:r>
              <w:rPr>
                <w:rFonts w:ascii="宋体" w:hAnsi="宋体" w:eastAsia="宋体" w:cs="宋体"/>
                <w:sz w:val="18"/>
                <w:szCs w:val="18"/>
              </w:rPr>
              <w:t>可爱卡通</w:t>
            </w:r>
          </w:p>
        </w:tc>
        <w:tc>
          <w:tcPr>
            <w:tcW w:w="876" w:type="dxa"/>
            <w:tcBorders>
              <w:top w:val="single" w:color="auto" w:sz="2" w:space="0"/>
              <w:left w:val="single" w:color="auto" w:sz="2" w:space="0"/>
              <w:bottom w:val="single" w:color="auto" w:sz="2" w:space="0"/>
              <w:right w:val="single" w:color="auto" w:sz="2" w:space="0"/>
            </w:tcBorders>
            <w:vAlign w:val="center"/>
          </w:tcPr>
          <w:p w14:paraId="52526336">
            <w:pPr>
              <w:spacing w:line="240" w:lineRule="exact"/>
              <w:rPr>
                <w:rFonts w:ascii="宋体" w:hAnsi="宋体" w:eastAsia="宋体" w:cs="宋体"/>
                <w:sz w:val="18"/>
                <w:szCs w:val="18"/>
              </w:rPr>
            </w:pPr>
            <w:r>
              <w:rPr>
                <w:rFonts w:ascii="宋体" w:hAnsi="宋体" w:eastAsia="宋体" w:cs="宋体"/>
                <w:sz w:val="18"/>
                <w:szCs w:val="18"/>
              </w:rPr>
              <w:t>女性</w:t>
            </w:r>
          </w:p>
        </w:tc>
        <w:tc>
          <w:tcPr>
            <w:tcW w:w="876" w:type="dxa"/>
            <w:tcBorders>
              <w:top w:val="single" w:color="auto" w:sz="2" w:space="0"/>
              <w:left w:val="single" w:color="auto" w:sz="2" w:space="0"/>
              <w:bottom w:val="single" w:color="auto" w:sz="2" w:space="0"/>
              <w:right w:val="single" w:color="auto" w:sz="2" w:space="0"/>
            </w:tcBorders>
            <w:vAlign w:val="center"/>
          </w:tcPr>
          <w:p w14:paraId="167985D8">
            <w:pPr>
              <w:spacing w:line="240" w:lineRule="exact"/>
              <w:rPr>
                <w:rFonts w:ascii="宋体" w:hAnsi="宋体" w:eastAsia="宋体" w:cs="宋体"/>
                <w:sz w:val="18"/>
                <w:szCs w:val="18"/>
              </w:rPr>
            </w:pPr>
            <w:r>
              <w:rPr>
                <w:rFonts w:ascii="宋体" w:hAnsi="宋体" w:eastAsia="宋体" w:cs="宋体"/>
                <w:sz w:val="18"/>
                <w:szCs w:val="18"/>
              </w:rPr>
              <w:t>30-60</w:t>
            </w:r>
          </w:p>
        </w:tc>
        <w:tc>
          <w:tcPr>
            <w:tcW w:w="876" w:type="dxa"/>
            <w:tcBorders>
              <w:top w:val="single" w:color="auto" w:sz="2" w:space="0"/>
              <w:left w:val="single" w:color="auto" w:sz="2" w:space="0"/>
              <w:bottom w:val="single" w:color="auto" w:sz="2" w:space="0"/>
              <w:right w:val="single" w:color="auto" w:sz="2" w:space="0"/>
            </w:tcBorders>
            <w:vAlign w:val="center"/>
          </w:tcPr>
          <w:p w14:paraId="62B5362F">
            <w:pPr>
              <w:spacing w:line="240" w:lineRule="exact"/>
              <w:rPr>
                <w:rFonts w:ascii="宋体" w:hAnsi="宋体" w:eastAsia="宋体" w:cs="宋体"/>
                <w:sz w:val="18"/>
                <w:szCs w:val="18"/>
              </w:rPr>
            </w:pPr>
            <w:r>
              <w:rPr>
                <w:rFonts w:ascii="宋体" w:hAnsi="宋体" w:eastAsia="宋体" w:cs="宋体"/>
                <w:sz w:val="18"/>
                <w:szCs w:val="18"/>
              </w:rPr>
              <w:t> 全国</w:t>
            </w:r>
          </w:p>
        </w:tc>
        <w:tc>
          <w:tcPr>
            <w:tcW w:w="876" w:type="dxa"/>
            <w:tcBorders>
              <w:top w:val="single" w:color="auto" w:sz="2" w:space="0"/>
              <w:left w:val="single" w:color="auto" w:sz="2" w:space="0"/>
              <w:bottom w:val="single" w:color="auto" w:sz="2" w:space="0"/>
              <w:right w:val="single" w:color="auto" w:sz="2" w:space="0"/>
            </w:tcBorders>
            <w:vAlign w:val="center"/>
          </w:tcPr>
          <w:p w14:paraId="31DB49DE">
            <w:pPr>
              <w:spacing w:line="240" w:lineRule="exact"/>
              <w:rPr>
                <w:rFonts w:ascii="宋体" w:hAnsi="宋体" w:eastAsia="宋体" w:cs="宋体"/>
                <w:sz w:val="18"/>
                <w:szCs w:val="18"/>
              </w:rPr>
            </w:pPr>
            <w:r>
              <w:rPr>
                <w:rFonts w:ascii="宋体" w:hAnsi="宋体" w:eastAsia="宋体" w:cs="宋体"/>
                <w:sz w:val="18"/>
                <w:szCs w:val="18"/>
              </w:rPr>
              <w:t>一二线城市</w:t>
            </w:r>
          </w:p>
        </w:tc>
        <w:tc>
          <w:tcPr>
            <w:tcW w:w="876" w:type="dxa"/>
            <w:tcBorders>
              <w:top w:val="single" w:color="auto" w:sz="2" w:space="0"/>
              <w:left w:val="single" w:color="auto" w:sz="2" w:space="0"/>
              <w:bottom w:val="single" w:color="auto" w:sz="2" w:space="0"/>
              <w:right w:val="single" w:color="auto" w:sz="2" w:space="0"/>
            </w:tcBorders>
            <w:vAlign w:val="center"/>
          </w:tcPr>
          <w:p w14:paraId="188FD09C">
            <w:pPr>
              <w:spacing w:line="240" w:lineRule="exact"/>
              <w:rPr>
                <w:rFonts w:ascii="宋体" w:hAnsi="宋体" w:eastAsia="宋体" w:cs="宋体"/>
                <w:sz w:val="18"/>
                <w:szCs w:val="18"/>
              </w:rPr>
            </w:pPr>
            <w:r>
              <w:rPr>
                <w:rFonts w:ascii="宋体" w:hAnsi="宋体" w:eastAsia="宋体" w:cs="宋体"/>
                <w:sz w:val="18"/>
                <w:szCs w:val="18"/>
              </w:rPr>
              <w:t>品牌方</w:t>
            </w:r>
          </w:p>
        </w:tc>
        <w:tc>
          <w:tcPr>
            <w:tcW w:w="876" w:type="dxa"/>
            <w:tcBorders>
              <w:top w:val="single" w:color="auto" w:sz="2" w:space="0"/>
              <w:left w:val="single" w:color="auto" w:sz="2" w:space="0"/>
              <w:bottom w:val="single" w:color="auto" w:sz="2" w:space="0"/>
              <w:right w:val="single" w:color="auto" w:sz="2" w:space="0"/>
            </w:tcBorders>
            <w:vAlign w:val="center"/>
          </w:tcPr>
          <w:p w14:paraId="6F941C24">
            <w:pPr>
              <w:spacing w:line="240" w:lineRule="exact"/>
              <w:rPr>
                <w:rFonts w:ascii="宋体" w:hAnsi="宋体" w:eastAsia="宋体" w:cs="宋体"/>
                <w:sz w:val="18"/>
                <w:szCs w:val="18"/>
              </w:rPr>
            </w:pPr>
            <w:r>
              <w:rPr>
                <w:rFonts w:ascii="宋体" w:hAnsi="宋体" w:eastAsia="宋体" w:cs="宋体"/>
                <w:sz w:val="18"/>
                <w:szCs w:val="18"/>
              </w:rPr>
              <w:t>3年</w:t>
            </w:r>
          </w:p>
        </w:tc>
        <w:tc>
          <w:tcPr>
            <w:tcW w:w="876" w:type="dxa"/>
            <w:tcBorders>
              <w:top w:val="single" w:color="auto" w:sz="2" w:space="0"/>
              <w:left w:val="single" w:color="auto" w:sz="2" w:space="0"/>
              <w:bottom w:val="single" w:color="auto" w:sz="2" w:space="0"/>
              <w:right w:val="single" w:color="auto" w:sz="2" w:space="0"/>
            </w:tcBorders>
            <w:vAlign w:val="center"/>
          </w:tcPr>
          <w:p w14:paraId="7188D5E5">
            <w:pPr>
              <w:spacing w:line="240" w:lineRule="exact"/>
              <w:rPr>
                <w:rFonts w:ascii="宋体" w:hAnsi="宋体" w:eastAsia="宋体" w:cs="宋体"/>
                <w:sz w:val="18"/>
                <w:szCs w:val="18"/>
              </w:rPr>
            </w:pPr>
            <w:r>
              <w:rPr>
                <w:rFonts w:ascii="宋体" w:hAnsi="宋体" w:eastAsia="宋体" w:cs="宋体"/>
                <w:sz w:val="18"/>
                <w:szCs w:val="18"/>
              </w:rPr>
              <w:t>否</w:t>
            </w:r>
          </w:p>
        </w:tc>
      </w:tr>
      <w:tr w14:paraId="1C723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79F52D9F">
            <w:pPr>
              <w:spacing w:line="240" w:lineRule="exact"/>
              <w:rPr>
                <w:rFonts w:ascii="宋体" w:hAnsi="宋体" w:eastAsia="宋体" w:cs="宋体"/>
                <w:sz w:val="18"/>
                <w:szCs w:val="18"/>
              </w:rPr>
            </w:pPr>
            <w:r>
              <w:rPr>
                <w:rFonts w:ascii="宋体" w:hAnsi="宋体" w:eastAsia="宋体" w:cs="宋体"/>
                <w:sz w:val="18"/>
                <w:szCs w:val="18"/>
              </w:rPr>
              <w:t>花生漫画</w:t>
            </w:r>
          </w:p>
        </w:tc>
        <w:tc>
          <w:tcPr>
            <w:tcW w:w="876" w:type="dxa"/>
            <w:tcBorders>
              <w:top w:val="single" w:color="auto" w:sz="2" w:space="0"/>
              <w:left w:val="single" w:color="auto" w:sz="2" w:space="0"/>
              <w:bottom w:val="single" w:color="auto" w:sz="2" w:space="0"/>
              <w:right w:val="single" w:color="auto" w:sz="2" w:space="0"/>
            </w:tcBorders>
            <w:vAlign w:val="center"/>
          </w:tcPr>
          <w:p w14:paraId="0142657A">
            <w:pPr>
              <w:spacing w:line="240" w:lineRule="exact"/>
              <w:rPr>
                <w:rFonts w:ascii="宋体" w:hAnsi="宋体" w:eastAsia="宋体" w:cs="宋体"/>
                <w:sz w:val="18"/>
                <w:szCs w:val="18"/>
              </w:rPr>
            </w:pPr>
            <w:r>
              <w:rPr>
                <w:rFonts w:ascii="宋体" w:hAnsi="宋体" w:eastAsia="宋体" w:cs="宋体"/>
                <w:sz w:val="18"/>
                <w:szCs w:val="18"/>
              </w:rPr>
              <w:t>花生漫画</w:t>
            </w:r>
          </w:p>
        </w:tc>
        <w:tc>
          <w:tcPr>
            <w:tcW w:w="876" w:type="dxa"/>
            <w:tcBorders>
              <w:top w:val="single" w:color="auto" w:sz="2" w:space="0"/>
              <w:left w:val="single" w:color="auto" w:sz="2" w:space="0"/>
              <w:bottom w:val="single" w:color="auto" w:sz="2" w:space="0"/>
              <w:right w:val="single" w:color="auto" w:sz="2" w:space="0"/>
            </w:tcBorders>
            <w:vAlign w:val="center"/>
          </w:tcPr>
          <w:p w14:paraId="5DFC0C08">
            <w:pPr>
              <w:spacing w:line="240" w:lineRule="exact"/>
              <w:rPr>
                <w:rFonts w:ascii="宋体" w:hAnsi="宋体" w:eastAsia="宋体" w:cs="宋体"/>
                <w:sz w:val="18"/>
                <w:szCs w:val="18"/>
              </w:rPr>
            </w:pPr>
            <w:r>
              <w:rPr>
                <w:rFonts w:ascii="宋体" w:hAnsi="宋体" w:eastAsia="宋体" w:cs="宋体"/>
                <w:sz w:val="18"/>
                <w:szCs w:val="18"/>
              </w:rPr>
              <w:t>袜子</w:t>
            </w:r>
          </w:p>
        </w:tc>
        <w:tc>
          <w:tcPr>
            <w:tcW w:w="876" w:type="dxa"/>
            <w:tcBorders>
              <w:top w:val="single" w:color="auto" w:sz="2" w:space="0"/>
              <w:left w:val="single" w:color="auto" w:sz="2" w:space="0"/>
              <w:bottom w:val="single" w:color="auto" w:sz="2" w:space="0"/>
              <w:right w:val="single" w:color="auto" w:sz="2" w:space="0"/>
            </w:tcBorders>
            <w:vAlign w:val="center"/>
          </w:tcPr>
          <w:p w14:paraId="22372D65">
            <w:pPr>
              <w:spacing w:line="240" w:lineRule="exact"/>
              <w:rPr>
                <w:rFonts w:ascii="宋体" w:hAnsi="宋体" w:eastAsia="宋体" w:cs="宋体"/>
                <w:sz w:val="18"/>
                <w:szCs w:val="18"/>
              </w:rPr>
            </w:pPr>
            <w:r>
              <w:rPr>
                <w:rFonts w:ascii="宋体" w:hAnsi="宋体" w:eastAsia="宋体" w:cs="宋体"/>
                <w:sz w:val="18"/>
                <w:szCs w:val="18"/>
              </w:rPr>
              <w:t>可爱卡通</w:t>
            </w:r>
          </w:p>
        </w:tc>
        <w:tc>
          <w:tcPr>
            <w:tcW w:w="876" w:type="dxa"/>
            <w:tcBorders>
              <w:top w:val="single" w:color="auto" w:sz="2" w:space="0"/>
              <w:left w:val="single" w:color="auto" w:sz="2" w:space="0"/>
              <w:bottom w:val="single" w:color="auto" w:sz="2" w:space="0"/>
              <w:right w:val="single" w:color="auto" w:sz="2" w:space="0"/>
            </w:tcBorders>
            <w:vAlign w:val="center"/>
          </w:tcPr>
          <w:p w14:paraId="2FD12C33">
            <w:pPr>
              <w:spacing w:line="240" w:lineRule="exact"/>
              <w:rPr>
                <w:rFonts w:ascii="宋体" w:hAnsi="宋体" w:eastAsia="宋体" w:cs="宋体"/>
                <w:sz w:val="18"/>
                <w:szCs w:val="18"/>
              </w:rPr>
            </w:pPr>
            <w:r>
              <w:rPr>
                <w:rFonts w:ascii="宋体" w:hAnsi="宋体" w:eastAsia="宋体" w:cs="宋体"/>
                <w:sz w:val="18"/>
                <w:szCs w:val="18"/>
              </w:rPr>
              <w:t>女性</w:t>
            </w:r>
          </w:p>
        </w:tc>
        <w:tc>
          <w:tcPr>
            <w:tcW w:w="876" w:type="dxa"/>
            <w:tcBorders>
              <w:top w:val="single" w:color="auto" w:sz="2" w:space="0"/>
              <w:left w:val="single" w:color="auto" w:sz="2" w:space="0"/>
              <w:bottom w:val="single" w:color="auto" w:sz="2" w:space="0"/>
              <w:right w:val="single" w:color="auto" w:sz="2" w:space="0"/>
            </w:tcBorders>
            <w:vAlign w:val="center"/>
          </w:tcPr>
          <w:p w14:paraId="78D4B1FF">
            <w:pPr>
              <w:spacing w:line="240" w:lineRule="exact"/>
              <w:rPr>
                <w:rFonts w:ascii="宋体" w:hAnsi="宋体" w:eastAsia="宋体" w:cs="宋体"/>
                <w:sz w:val="18"/>
                <w:szCs w:val="18"/>
              </w:rPr>
            </w:pPr>
            <w:r>
              <w:rPr>
                <w:rFonts w:ascii="宋体" w:hAnsi="宋体" w:eastAsia="宋体" w:cs="宋体"/>
                <w:sz w:val="18"/>
                <w:szCs w:val="18"/>
              </w:rPr>
              <w:t>30-60</w:t>
            </w:r>
          </w:p>
        </w:tc>
        <w:tc>
          <w:tcPr>
            <w:tcW w:w="876" w:type="dxa"/>
            <w:tcBorders>
              <w:top w:val="single" w:color="auto" w:sz="2" w:space="0"/>
              <w:left w:val="single" w:color="auto" w:sz="2" w:space="0"/>
              <w:bottom w:val="single" w:color="auto" w:sz="2" w:space="0"/>
              <w:right w:val="single" w:color="auto" w:sz="2" w:space="0"/>
            </w:tcBorders>
            <w:vAlign w:val="center"/>
          </w:tcPr>
          <w:p w14:paraId="55229BD9">
            <w:pPr>
              <w:spacing w:line="240" w:lineRule="exact"/>
              <w:rPr>
                <w:rFonts w:ascii="宋体" w:hAnsi="宋体" w:eastAsia="宋体" w:cs="宋体"/>
                <w:sz w:val="18"/>
                <w:szCs w:val="18"/>
              </w:rPr>
            </w:pPr>
            <w:r>
              <w:rPr>
                <w:rFonts w:ascii="宋体" w:hAnsi="宋体" w:eastAsia="宋体" w:cs="宋体"/>
                <w:sz w:val="18"/>
                <w:szCs w:val="18"/>
              </w:rPr>
              <w:t> 全国</w:t>
            </w:r>
          </w:p>
        </w:tc>
        <w:tc>
          <w:tcPr>
            <w:tcW w:w="876" w:type="dxa"/>
            <w:tcBorders>
              <w:top w:val="single" w:color="auto" w:sz="2" w:space="0"/>
              <w:left w:val="single" w:color="auto" w:sz="2" w:space="0"/>
              <w:bottom w:val="single" w:color="auto" w:sz="2" w:space="0"/>
              <w:right w:val="single" w:color="auto" w:sz="2" w:space="0"/>
            </w:tcBorders>
            <w:vAlign w:val="center"/>
          </w:tcPr>
          <w:p w14:paraId="106B3DFA">
            <w:pPr>
              <w:spacing w:line="240" w:lineRule="exact"/>
              <w:rPr>
                <w:rFonts w:ascii="宋体" w:hAnsi="宋体" w:eastAsia="宋体" w:cs="宋体"/>
                <w:sz w:val="18"/>
                <w:szCs w:val="18"/>
              </w:rPr>
            </w:pPr>
            <w:r>
              <w:rPr>
                <w:rFonts w:ascii="宋体" w:hAnsi="宋体" w:eastAsia="宋体" w:cs="宋体"/>
                <w:sz w:val="18"/>
                <w:szCs w:val="18"/>
              </w:rPr>
              <w:t>一二线城市</w:t>
            </w:r>
          </w:p>
        </w:tc>
        <w:tc>
          <w:tcPr>
            <w:tcW w:w="876" w:type="dxa"/>
            <w:tcBorders>
              <w:top w:val="single" w:color="auto" w:sz="2" w:space="0"/>
              <w:left w:val="single" w:color="auto" w:sz="2" w:space="0"/>
              <w:bottom w:val="single" w:color="auto" w:sz="2" w:space="0"/>
              <w:right w:val="single" w:color="auto" w:sz="2" w:space="0"/>
            </w:tcBorders>
            <w:vAlign w:val="center"/>
          </w:tcPr>
          <w:p w14:paraId="2047D459">
            <w:pPr>
              <w:spacing w:line="240" w:lineRule="exact"/>
              <w:rPr>
                <w:rFonts w:ascii="宋体" w:hAnsi="宋体" w:eastAsia="宋体" w:cs="宋体"/>
                <w:sz w:val="18"/>
                <w:szCs w:val="18"/>
              </w:rPr>
            </w:pPr>
            <w:r>
              <w:rPr>
                <w:rFonts w:ascii="宋体" w:hAnsi="宋体" w:eastAsia="宋体" w:cs="宋体"/>
                <w:sz w:val="18"/>
                <w:szCs w:val="18"/>
              </w:rPr>
              <w:t>品牌方</w:t>
            </w:r>
          </w:p>
        </w:tc>
        <w:tc>
          <w:tcPr>
            <w:tcW w:w="876" w:type="dxa"/>
            <w:tcBorders>
              <w:top w:val="single" w:color="auto" w:sz="2" w:space="0"/>
              <w:left w:val="single" w:color="auto" w:sz="2" w:space="0"/>
              <w:bottom w:val="single" w:color="auto" w:sz="2" w:space="0"/>
              <w:right w:val="single" w:color="auto" w:sz="2" w:space="0"/>
            </w:tcBorders>
            <w:vAlign w:val="center"/>
          </w:tcPr>
          <w:p w14:paraId="702481F3">
            <w:pPr>
              <w:spacing w:line="240" w:lineRule="exact"/>
              <w:rPr>
                <w:rFonts w:ascii="宋体" w:hAnsi="宋体" w:eastAsia="宋体" w:cs="宋体"/>
                <w:sz w:val="18"/>
                <w:szCs w:val="18"/>
              </w:rPr>
            </w:pPr>
            <w:r>
              <w:rPr>
                <w:rFonts w:ascii="宋体" w:hAnsi="宋体" w:eastAsia="宋体" w:cs="宋体"/>
                <w:sz w:val="18"/>
                <w:szCs w:val="18"/>
              </w:rPr>
              <w:t>1年</w:t>
            </w:r>
          </w:p>
        </w:tc>
        <w:tc>
          <w:tcPr>
            <w:tcW w:w="876" w:type="dxa"/>
            <w:tcBorders>
              <w:top w:val="single" w:color="auto" w:sz="2" w:space="0"/>
              <w:left w:val="single" w:color="auto" w:sz="2" w:space="0"/>
              <w:bottom w:val="single" w:color="auto" w:sz="2" w:space="0"/>
              <w:right w:val="single" w:color="auto" w:sz="2" w:space="0"/>
            </w:tcBorders>
            <w:vAlign w:val="center"/>
          </w:tcPr>
          <w:p w14:paraId="6E3E022A">
            <w:pPr>
              <w:spacing w:line="240" w:lineRule="exact"/>
              <w:rPr>
                <w:rFonts w:ascii="宋体" w:hAnsi="宋体" w:eastAsia="宋体" w:cs="宋体"/>
                <w:sz w:val="18"/>
                <w:szCs w:val="18"/>
              </w:rPr>
            </w:pPr>
            <w:r>
              <w:rPr>
                <w:rFonts w:ascii="宋体" w:hAnsi="宋体" w:eastAsia="宋体" w:cs="宋体"/>
                <w:sz w:val="18"/>
                <w:szCs w:val="18"/>
              </w:rPr>
              <w:t>否</w:t>
            </w:r>
          </w:p>
        </w:tc>
      </w:tr>
    </w:tbl>
    <w:p w14:paraId="5C17C934">
      <w:pPr>
        <w:spacing w:before="100" w:after="100" w:line="240" w:lineRule="exact"/>
        <w:rPr>
          <w:rFonts w:ascii="宋体" w:hAnsi="宋体" w:eastAsia="宋体" w:cs="宋体"/>
          <w:sz w:val="18"/>
          <w:szCs w:val="18"/>
        </w:rPr>
      </w:pPr>
      <w:r>
        <w:rPr>
          <w:rFonts w:ascii="宋体" w:hAnsi="宋体" w:eastAsia="宋体" w:cs="宋体"/>
          <w:sz w:val="18"/>
          <w:szCs w:val="18"/>
        </w:rPr>
        <w:t>报告期内各品牌的营销与运营</w:t>
      </w:r>
    </w:p>
    <w:p w14:paraId="141E258B">
      <w:pPr>
        <w:spacing w:before="100" w:after="100" w:line="240" w:lineRule="exact"/>
        <w:rPr>
          <w:rFonts w:ascii="宋体" w:hAnsi="宋体" w:eastAsia="宋体" w:cs="宋体"/>
          <w:sz w:val="18"/>
          <w:szCs w:val="18"/>
        </w:rPr>
      </w:pPr>
      <w:r>
        <w:rPr>
          <w:rFonts w:ascii="宋体" w:hAnsi="宋体" w:eastAsia="宋体" w:cs="宋体"/>
          <w:sz w:val="18"/>
          <w:szCs w:val="18"/>
        </w:rPr>
        <w:t>涉及商标权属纠纷等情况</w:t>
      </w:r>
    </w:p>
    <w:p w14:paraId="5A492025">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8DA1C76">
      <w:pPr>
        <w:keepNext/>
        <w:keepLines/>
        <w:spacing w:before="300" w:after="300" w:line="280" w:lineRule="exact"/>
        <w:outlineLvl w:val="3"/>
        <w:rPr>
          <w:rFonts w:ascii="宋体" w:hAnsi="宋体" w:eastAsia="宋体" w:cs="宋体"/>
          <w:b/>
          <w:bCs/>
          <w:szCs w:val="21"/>
        </w:rPr>
      </w:pPr>
      <w:bookmarkStart w:id="37" w:name="_Toc988926"/>
      <w:r>
        <w:rPr>
          <w:rFonts w:ascii="宋体" w:hAnsi="宋体" w:eastAsia="宋体" w:cs="宋体"/>
          <w:b/>
          <w:bCs/>
          <w:szCs w:val="21"/>
        </w:rPr>
        <w:t>（8） 其他</w:t>
      </w:r>
      <w:bookmarkEnd w:id="37"/>
    </w:p>
    <w:p w14:paraId="7396DE46">
      <w:pPr>
        <w:spacing w:before="100" w:after="100" w:line="240" w:lineRule="exact"/>
        <w:rPr>
          <w:rFonts w:ascii="宋体" w:hAnsi="宋体" w:eastAsia="宋体" w:cs="宋体"/>
          <w:sz w:val="18"/>
          <w:szCs w:val="18"/>
        </w:rPr>
      </w:pPr>
      <w:r>
        <w:rPr>
          <w:rFonts w:ascii="宋体" w:hAnsi="宋体" w:eastAsia="宋体" w:cs="宋体"/>
          <w:sz w:val="18"/>
          <w:szCs w:val="18"/>
        </w:rPr>
        <w:t>公司是否从事服装设计相关业务</w:t>
      </w:r>
    </w:p>
    <w:p w14:paraId="7A4EEA18">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59A98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97BE549">
            <w:pPr>
              <w:spacing w:before="40" w:after="40" w:line="240" w:lineRule="exact"/>
              <w:rPr>
                <w:rFonts w:ascii="宋体" w:hAnsi="宋体" w:eastAsia="宋体" w:cs="宋体"/>
                <w:sz w:val="18"/>
                <w:szCs w:val="18"/>
              </w:rPr>
            </w:pPr>
            <w:r>
              <w:rPr>
                <w:rFonts w:ascii="宋体" w:hAnsi="宋体" w:eastAsia="宋体" w:cs="宋体"/>
                <w:sz w:val="18"/>
                <w:szCs w:val="18"/>
              </w:rPr>
              <w:t>自有的服装设计师数量</w:t>
            </w:r>
          </w:p>
        </w:tc>
        <w:tc>
          <w:tcPr>
            <w:tcW w:w="2410" w:type="dxa"/>
            <w:tcBorders>
              <w:top w:val="single" w:color="auto" w:sz="2" w:space="0"/>
              <w:left w:val="single" w:color="auto" w:sz="2" w:space="0"/>
              <w:bottom w:val="single" w:color="auto" w:sz="2" w:space="0"/>
              <w:right w:val="single" w:color="auto" w:sz="2" w:space="0"/>
            </w:tcBorders>
            <w:vAlign w:val="center"/>
          </w:tcPr>
          <w:p w14:paraId="4AE9DE4B">
            <w:pPr>
              <w:spacing w:line="240" w:lineRule="exact"/>
              <w:jc w:val="right"/>
              <w:rPr>
                <w:rFonts w:ascii="宋体" w:hAnsi="宋体" w:eastAsia="宋体" w:cs="宋体"/>
                <w:sz w:val="18"/>
                <w:szCs w:val="18"/>
              </w:rPr>
            </w:pPr>
            <w:r>
              <w:rPr>
                <w:rFonts w:ascii="宋体" w:hAnsi="宋体" w:eastAsia="宋体" w:cs="宋体"/>
                <w:sz w:val="18"/>
                <w:szCs w:val="18"/>
              </w:rPr>
              <w:t>20</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49B3156">
            <w:pPr>
              <w:spacing w:before="40" w:after="40" w:line="240" w:lineRule="exact"/>
              <w:rPr>
                <w:rFonts w:ascii="宋体" w:hAnsi="宋体" w:eastAsia="宋体" w:cs="宋体"/>
                <w:sz w:val="18"/>
                <w:szCs w:val="18"/>
              </w:rPr>
            </w:pPr>
            <w:r>
              <w:rPr>
                <w:rFonts w:ascii="宋体" w:hAnsi="宋体" w:eastAsia="宋体" w:cs="宋体"/>
                <w:sz w:val="18"/>
                <w:szCs w:val="18"/>
              </w:rPr>
              <w:t>签约的服装设计师数量</w:t>
            </w:r>
          </w:p>
        </w:tc>
        <w:tc>
          <w:tcPr>
            <w:tcW w:w="2410" w:type="dxa"/>
            <w:tcBorders>
              <w:top w:val="single" w:color="auto" w:sz="2" w:space="0"/>
              <w:left w:val="single" w:color="auto" w:sz="2" w:space="0"/>
              <w:bottom w:val="single" w:color="auto" w:sz="2" w:space="0"/>
              <w:right w:val="single" w:color="auto" w:sz="2" w:space="0"/>
            </w:tcBorders>
            <w:vAlign w:val="center"/>
          </w:tcPr>
          <w:p w14:paraId="17585427">
            <w:pPr>
              <w:spacing w:line="240" w:lineRule="exact"/>
              <w:jc w:val="right"/>
              <w:rPr>
                <w:rFonts w:ascii="宋体" w:hAnsi="宋体" w:eastAsia="宋体" w:cs="宋体"/>
                <w:sz w:val="18"/>
                <w:szCs w:val="18"/>
              </w:rPr>
            </w:pPr>
          </w:p>
        </w:tc>
      </w:tr>
    </w:tbl>
    <w:p w14:paraId="1DB1B642">
      <w:pPr>
        <w:spacing w:before="100" w:after="100" w:line="240" w:lineRule="exact"/>
        <w:rPr>
          <w:rFonts w:ascii="宋体" w:hAnsi="宋体" w:eastAsia="宋体" w:cs="宋体"/>
          <w:sz w:val="18"/>
          <w:szCs w:val="18"/>
        </w:rPr>
      </w:pPr>
      <w:r>
        <w:rPr>
          <w:rFonts w:ascii="宋体" w:hAnsi="宋体" w:eastAsia="宋体" w:cs="宋体"/>
          <w:sz w:val="18"/>
          <w:szCs w:val="18"/>
        </w:rPr>
        <w:t>公司是否举办订货会</w:t>
      </w:r>
    </w:p>
    <w:p w14:paraId="012AA5E2">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6900662D">
      <w:pPr>
        <w:pStyle w:val="3"/>
        <w:spacing w:line="280" w:lineRule="exact"/>
        <w:jc w:val="left"/>
        <w:rPr>
          <w:rFonts w:ascii="宋体" w:hAnsi="宋体" w:cs="宋体"/>
          <w:b/>
          <w:bCs/>
        </w:rPr>
      </w:pPr>
      <w:bookmarkStart w:id="38" w:name="_Toc988927"/>
      <w:r>
        <w:rPr>
          <w:rFonts w:ascii="宋体" w:hAnsi="宋体" w:cs="宋体"/>
          <w:b/>
          <w:bCs/>
        </w:rPr>
        <w:t>5、研发投入</w:t>
      </w:r>
      <w:bookmarkEnd w:id="38"/>
    </w:p>
    <w:p w14:paraId="0F3544F0">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43"/>
        <w:gridCol w:w="2410"/>
        <w:gridCol w:w="1417"/>
        <w:gridCol w:w="1701"/>
        <w:gridCol w:w="2268"/>
      </w:tblGrid>
      <w:tr w14:paraId="49ABB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14:paraId="3D3B6626">
            <w:pPr>
              <w:spacing w:before="40" w:after="40" w:line="240" w:lineRule="exact"/>
              <w:jc w:val="center"/>
              <w:rPr>
                <w:rFonts w:ascii="宋体" w:hAnsi="宋体" w:eastAsia="宋体" w:cs="宋体"/>
                <w:sz w:val="18"/>
                <w:szCs w:val="18"/>
              </w:rPr>
            </w:pPr>
            <w:r>
              <w:rPr>
                <w:rFonts w:ascii="宋体" w:hAnsi="宋体" w:eastAsia="宋体" w:cs="宋体"/>
                <w:sz w:val="18"/>
                <w:szCs w:val="18"/>
              </w:rPr>
              <w:t>主要研发项目名称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980D911">
            <w:pPr>
              <w:spacing w:before="40" w:after="40" w:line="240" w:lineRule="exact"/>
              <w:jc w:val="center"/>
              <w:rPr>
                <w:rFonts w:ascii="宋体" w:hAnsi="宋体" w:eastAsia="宋体" w:cs="宋体"/>
                <w:sz w:val="18"/>
                <w:szCs w:val="18"/>
              </w:rPr>
            </w:pPr>
            <w:r>
              <w:rPr>
                <w:rFonts w:ascii="宋体" w:hAnsi="宋体" w:eastAsia="宋体" w:cs="宋体"/>
                <w:sz w:val="18"/>
                <w:szCs w:val="18"/>
              </w:rPr>
              <w:t>项目目的</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14:paraId="07EABE11">
            <w:pPr>
              <w:spacing w:before="40" w:after="40" w:line="240" w:lineRule="exact"/>
              <w:jc w:val="center"/>
              <w:rPr>
                <w:rFonts w:ascii="宋体" w:hAnsi="宋体" w:eastAsia="宋体" w:cs="宋体"/>
                <w:sz w:val="18"/>
                <w:szCs w:val="18"/>
              </w:rPr>
            </w:pPr>
            <w:r>
              <w:rPr>
                <w:rFonts w:ascii="宋体" w:hAnsi="宋体" w:eastAsia="宋体" w:cs="宋体"/>
                <w:sz w:val="18"/>
                <w:szCs w:val="18"/>
              </w:rPr>
              <w:t>项目进展</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1FFC3690">
            <w:pPr>
              <w:spacing w:before="40" w:after="40" w:line="240" w:lineRule="exact"/>
              <w:jc w:val="center"/>
              <w:rPr>
                <w:rFonts w:ascii="宋体" w:hAnsi="宋体" w:eastAsia="宋体" w:cs="宋体"/>
                <w:sz w:val="18"/>
                <w:szCs w:val="18"/>
              </w:rPr>
            </w:pPr>
            <w:r>
              <w:rPr>
                <w:rFonts w:ascii="宋体" w:hAnsi="宋体" w:eastAsia="宋体" w:cs="宋体"/>
                <w:sz w:val="18"/>
                <w:szCs w:val="18"/>
              </w:rPr>
              <w:t>拟达到的目标</w:t>
            </w:r>
          </w:p>
        </w:tc>
        <w:tc>
          <w:tcPr>
            <w:tcW w:w="2268" w:type="dxa"/>
            <w:tcBorders>
              <w:top w:val="single" w:color="auto" w:sz="2" w:space="0"/>
              <w:left w:val="single" w:color="auto" w:sz="2" w:space="0"/>
              <w:bottom w:val="single" w:color="auto" w:sz="2" w:space="0"/>
              <w:right w:val="single" w:color="auto" w:sz="2" w:space="0"/>
            </w:tcBorders>
            <w:shd w:val="clear" w:color="auto" w:fill="D3D3D3"/>
            <w:vAlign w:val="center"/>
          </w:tcPr>
          <w:p w14:paraId="132AB87B">
            <w:pPr>
              <w:spacing w:before="40" w:after="40" w:line="240" w:lineRule="exact"/>
              <w:jc w:val="center"/>
              <w:rPr>
                <w:rFonts w:ascii="宋体" w:hAnsi="宋体" w:eastAsia="宋体" w:cs="宋体"/>
                <w:sz w:val="18"/>
                <w:szCs w:val="18"/>
              </w:rPr>
            </w:pPr>
            <w:r>
              <w:rPr>
                <w:rFonts w:ascii="宋体" w:hAnsi="宋体" w:eastAsia="宋体" w:cs="宋体"/>
                <w:sz w:val="18"/>
                <w:szCs w:val="18"/>
              </w:rPr>
              <w:t>预计对公司未来发展的影响</w:t>
            </w:r>
          </w:p>
        </w:tc>
      </w:tr>
      <w:tr w14:paraId="1153D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14:paraId="2B8E3F80">
            <w:pPr>
              <w:spacing w:line="240" w:lineRule="exact"/>
              <w:rPr>
                <w:rFonts w:ascii="宋体" w:hAnsi="宋体" w:eastAsia="宋体" w:cs="宋体"/>
                <w:sz w:val="18"/>
                <w:szCs w:val="18"/>
              </w:rPr>
            </w:pPr>
            <w:r>
              <w:rPr>
                <w:rFonts w:ascii="宋体" w:hAnsi="宋体" w:eastAsia="宋体" w:cs="宋体"/>
                <w:sz w:val="18"/>
                <w:szCs w:val="18"/>
              </w:rPr>
              <w:t>高级纤维多组分产品</w:t>
            </w:r>
          </w:p>
        </w:tc>
        <w:tc>
          <w:tcPr>
            <w:tcW w:w="2410" w:type="dxa"/>
            <w:tcBorders>
              <w:top w:val="single" w:color="auto" w:sz="2" w:space="0"/>
              <w:left w:val="single" w:color="auto" w:sz="2" w:space="0"/>
              <w:bottom w:val="single" w:color="auto" w:sz="2" w:space="0"/>
              <w:right w:val="single" w:color="auto" w:sz="2" w:space="0"/>
            </w:tcBorders>
            <w:vAlign w:val="center"/>
          </w:tcPr>
          <w:p w14:paraId="65E00792">
            <w:pPr>
              <w:spacing w:line="240" w:lineRule="exact"/>
              <w:rPr>
                <w:rFonts w:ascii="宋体" w:hAnsi="宋体" w:eastAsia="宋体" w:cs="宋体"/>
                <w:sz w:val="18"/>
                <w:szCs w:val="18"/>
              </w:rPr>
            </w:pPr>
            <w:r>
              <w:rPr>
                <w:rFonts w:ascii="宋体" w:hAnsi="宋体" w:eastAsia="宋体" w:cs="宋体"/>
                <w:sz w:val="18"/>
                <w:szCs w:val="18"/>
              </w:rPr>
              <w:t>梳理、丰富我司高级纤维产品系列，重点攻克麻产品刺痒、不够柔软的缺陷。</w:t>
            </w:r>
          </w:p>
        </w:tc>
        <w:tc>
          <w:tcPr>
            <w:tcW w:w="1417" w:type="dxa"/>
            <w:tcBorders>
              <w:top w:val="single" w:color="auto" w:sz="2" w:space="0"/>
              <w:left w:val="single" w:color="auto" w:sz="2" w:space="0"/>
              <w:bottom w:val="single" w:color="auto" w:sz="2" w:space="0"/>
              <w:right w:val="single" w:color="auto" w:sz="2" w:space="0"/>
            </w:tcBorders>
            <w:vAlign w:val="center"/>
          </w:tcPr>
          <w:p w14:paraId="728EAB4B">
            <w:pPr>
              <w:spacing w:line="240" w:lineRule="exact"/>
              <w:rPr>
                <w:rFonts w:ascii="宋体" w:hAnsi="宋体" w:eastAsia="宋体" w:cs="宋体"/>
                <w:sz w:val="18"/>
                <w:szCs w:val="18"/>
              </w:rPr>
            </w:pPr>
            <w:r>
              <w:rPr>
                <w:rFonts w:ascii="宋体" w:hAnsi="宋体" w:eastAsia="宋体" w:cs="宋体"/>
                <w:sz w:val="18"/>
                <w:szCs w:val="18"/>
              </w:rPr>
              <w:t>完成开发推广，销售中</w:t>
            </w:r>
          </w:p>
        </w:tc>
        <w:tc>
          <w:tcPr>
            <w:tcW w:w="1701" w:type="dxa"/>
            <w:tcBorders>
              <w:top w:val="single" w:color="auto" w:sz="2" w:space="0"/>
              <w:left w:val="single" w:color="auto" w:sz="2" w:space="0"/>
              <w:bottom w:val="single" w:color="auto" w:sz="2" w:space="0"/>
              <w:right w:val="single" w:color="auto" w:sz="2" w:space="0"/>
            </w:tcBorders>
            <w:vAlign w:val="center"/>
          </w:tcPr>
          <w:p w14:paraId="5CF83730">
            <w:pPr>
              <w:spacing w:line="240" w:lineRule="exact"/>
              <w:rPr>
                <w:rFonts w:ascii="宋体" w:hAnsi="宋体" w:eastAsia="宋体" w:cs="宋体"/>
                <w:sz w:val="18"/>
                <w:szCs w:val="18"/>
              </w:rPr>
            </w:pPr>
            <w:r>
              <w:rPr>
                <w:rFonts w:ascii="宋体" w:hAnsi="宋体" w:eastAsia="宋体" w:cs="宋体"/>
                <w:sz w:val="18"/>
                <w:szCs w:val="18"/>
              </w:rPr>
              <w:t>提升高级纤维产品系列的服用舒适性，完成产品系列化，提高产品附加值。</w:t>
            </w:r>
          </w:p>
        </w:tc>
        <w:tc>
          <w:tcPr>
            <w:tcW w:w="2268" w:type="dxa"/>
            <w:tcBorders>
              <w:top w:val="single" w:color="auto" w:sz="2" w:space="0"/>
              <w:left w:val="single" w:color="auto" w:sz="2" w:space="0"/>
              <w:bottom w:val="single" w:color="auto" w:sz="2" w:space="0"/>
              <w:right w:val="single" w:color="auto" w:sz="2" w:space="0"/>
            </w:tcBorders>
            <w:vAlign w:val="center"/>
          </w:tcPr>
          <w:p w14:paraId="65BFE6FC">
            <w:pPr>
              <w:spacing w:line="240" w:lineRule="exact"/>
              <w:rPr>
                <w:rFonts w:ascii="宋体" w:hAnsi="宋体" w:eastAsia="宋体" w:cs="宋体"/>
                <w:sz w:val="18"/>
                <w:szCs w:val="18"/>
              </w:rPr>
            </w:pPr>
            <w:r>
              <w:rPr>
                <w:rFonts w:ascii="宋体" w:hAnsi="宋体" w:eastAsia="宋体" w:cs="宋体"/>
                <w:sz w:val="18"/>
                <w:szCs w:val="18"/>
              </w:rPr>
              <w:t>产品应用领域广泛，有良好的品质感，为公司产品销售提供新的增长点。</w:t>
            </w:r>
          </w:p>
        </w:tc>
      </w:tr>
      <w:tr w14:paraId="5CA72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14:paraId="6F29C328">
            <w:pPr>
              <w:spacing w:line="240" w:lineRule="exact"/>
              <w:rPr>
                <w:rFonts w:ascii="宋体" w:hAnsi="宋体" w:eastAsia="宋体" w:cs="宋体"/>
                <w:sz w:val="18"/>
                <w:szCs w:val="18"/>
              </w:rPr>
            </w:pPr>
            <w:r>
              <w:rPr>
                <w:rFonts w:ascii="宋体" w:hAnsi="宋体" w:eastAsia="宋体" w:cs="宋体"/>
                <w:sz w:val="18"/>
                <w:szCs w:val="18"/>
              </w:rPr>
              <w:t>吸湿速干抗菌消臭产品</w:t>
            </w:r>
          </w:p>
        </w:tc>
        <w:tc>
          <w:tcPr>
            <w:tcW w:w="2410" w:type="dxa"/>
            <w:tcBorders>
              <w:top w:val="single" w:color="auto" w:sz="2" w:space="0"/>
              <w:left w:val="single" w:color="auto" w:sz="2" w:space="0"/>
              <w:bottom w:val="single" w:color="auto" w:sz="2" w:space="0"/>
              <w:right w:val="single" w:color="auto" w:sz="2" w:space="0"/>
            </w:tcBorders>
            <w:vAlign w:val="center"/>
          </w:tcPr>
          <w:p w14:paraId="27E7CE55">
            <w:pPr>
              <w:spacing w:line="240" w:lineRule="exact"/>
              <w:rPr>
                <w:rFonts w:ascii="宋体" w:hAnsi="宋体" w:eastAsia="宋体" w:cs="宋体"/>
                <w:sz w:val="18"/>
                <w:szCs w:val="18"/>
              </w:rPr>
            </w:pPr>
            <w:r>
              <w:rPr>
                <w:rFonts w:ascii="宋体" w:hAnsi="宋体" w:eastAsia="宋体" w:cs="宋体"/>
                <w:sz w:val="18"/>
                <w:szCs w:val="18"/>
              </w:rPr>
              <w:t>开发针对轻运动、贴身服用、童装的具有吸湿快干、抑菌防臭、透气、天然纤维触感的吸湿速干抗菌消臭产品，达到对应的性能指标。</w:t>
            </w:r>
          </w:p>
        </w:tc>
        <w:tc>
          <w:tcPr>
            <w:tcW w:w="1417" w:type="dxa"/>
            <w:tcBorders>
              <w:top w:val="single" w:color="auto" w:sz="2" w:space="0"/>
              <w:left w:val="single" w:color="auto" w:sz="2" w:space="0"/>
              <w:bottom w:val="single" w:color="auto" w:sz="2" w:space="0"/>
              <w:right w:val="single" w:color="auto" w:sz="2" w:space="0"/>
            </w:tcBorders>
            <w:vAlign w:val="center"/>
          </w:tcPr>
          <w:p w14:paraId="74DF0FAC">
            <w:pPr>
              <w:spacing w:line="240" w:lineRule="exact"/>
              <w:rPr>
                <w:rFonts w:ascii="宋体" w:hAnsi="宋体" w:eastAsia="宋体" w:cs="宋体"/>
                <w:sz w:val="18"/>
                <w:szCs w:val="18"/>
              </w:rPr>
            </w:pPr>
            <w:r>
              <w:rPr>
                <w:rFonts w:ascii="宋体" w:hAnsi="宋体" w:eastAsia="宋体" w:cs="宋体"/>
                <w:sz w:val="18"/>
                <w:szCs w:val="18"/>
              </w:rPr>
              <w:t>完成开发推广，销售中</w:t>
            </w:r>
          </w:p>
        </w:tc>
        <w:tc>
          <w:tcPr>
            <w:tcW w:w="1701" w:type="dxa"/>
            <w:tcBorders>
              <w:top w:val="single" w:color="auto" w:sz="2" w:space="0"/>
              <w:left w:val="single" w:color="auto" w:sz="2" w:space="0"/>
              <w:bottom w:val="single" w:color="auto" w:sz="2" w:space="0"/>
              <w:right w:val="single" w:color="auto" w:sz="2" w:space="0"/>
            </w:tcBorders>
            <w:vAlign w:val="center"/>
          </w:tcPr>
          <w:p w14:paraId="34597AE2">
            <w:pPr>
              <w:spacing w:line="240" w:lineRule="exact"/>
              <w:rPr>
                <w:rFonts w:ascii="宋体" w:hAnsi="宋体" w:eastAsia="宋体" w:cs="宋体"/>
                <w:sz w:val="18"/>
                <w:szCs w:val="18"/>
              </w:rPr>
            </w:pPr>
            <w:r>
              <w:rPr>
                <w:rFonts w:ascii="宋体" w:hAnsi="宋体" w:eastAsia="宋体" w:cs="宋体"/>
                <w:sz w:val="18"/>
                <w:szCs w:val="18"/>
              </w:rPr>
              <w:t>新产品推广，取得较好的经济效益和社会效益。</w:t>
            </w:r>
          </w:p>
        </w:tc>
        <w:tc>
          <w:tcPr>
            <w:tcW w:w="2268" w:type="dxa"/>
            <w:tcBorders>
              <w:top w:val="single" w:color="auto" w:sz="2" w:space="0"/>
              <w:left w:val="single" w:color="auto" w:sz="2" w:space="0"/>
              <w:bottom w:val="single" w:color="auto" w:sz="2" w:space="0"/>
              <w:right w:val="single" w:color="auto" w:sz="2" w:space="0"/>
            </w:tcBorders>
            <w:vAlign w:val="center"/>
          </w:tcPr>
          <w:p w14:paraId="1D40B347">
            <w:pPr>
              <w:spacing w:line="240" w:lineRule="exact"/>
              <w:rPr>
                <w:rFonts w:ascii="宋体" w:hAnsi="宋体" w:eastAsia="宋体" w:cs="宋体"/>
                <w:sz w:val="18"/>
                <w:szCs w:val="18"/>
              </w:rPr>
            </w:pPr>
            <w:r>
              <w:rPr>
                <w:rFonts w:ascii="宋体" w:hAnsi="宋体" w:eastAsia="宋体" w:cs="宋体"/>
                <w:sz w:val="18"/>
                <w:szCs w:val="18"/>
              </w:rPr>
              <w:t>这个产品是多功能复合产品，很好的迎合当下户外和休闲消费趋势，满足消费者在不同场景下的功能需求，成为公司新产品销售增长点。</w:t>
            </w:r>
          </w:p>
        </w:tc>
      </w:tr>
      <w:tr w14:paraId="55413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14:paraId="081DFB7F">
            <w:pPr>
              <w:spacing w:line="240" w:lineRule="exact"/>
              <w:rPr>
                <w:rFonts w:ascii="宋体" w:hAnsi="宋体" w:eastAsia="宋体" w:cs="宋体"/>
                <w:sz w:val="18"/>
                <w:szCs w:val="18"/>
              </w:rPr>
            </w:pPr>
            <w:r>
              <w:rPr>
                <w:rFonts w:ascii="宋体" w:hAnsi="宋体" w:eastAsia="宋体" w:cs="宋体"/>
                <w:sz w:val="18"/>
                <w:szCs w:val="18"/>
              </w:rPr>
              <w:t>胶原蛋白混纺产品</w:t>
            </w:r>
          </w:p>
        </w:tc>
        <w:tc>
          <w:tcPr>
            <w:tcW w:w="2410" w:type="dxa"/>
            <w:tcBorders>
              <w:top w:val="single" w:color="auto" w:sz="2" w:space="0"/>
              <w:left w:val="single" w:color="auto" w:sz="2" w:space="0"/>
              <w:bottom w:val="single" w:color="auto" w:sz="2" w:space="0"/>
              <w:right w:val="single" w:color="auto" w:sz="2" w:space="0"/>
            </w:tcBorders>
            <w:vAlign w:val="center"/>
          </w:tcPr>
          <w:p w14:paraId="41FD8D17">
            <w:pPr>
              <w:spacing w:line="240" w:lineRule="exact"/>
              <w:rPr>
                <w:rFonts w:ascii="宋体" w:hAnsi="宋体" w:eastAsia="宋体" w:cs="宋体"/>
                <w:sz w:val="18"/>
                <w:szCs w:val="18"/>
              </w:rPr>
            </w:pPr>
            <w:r>
              <w:rPr>
                <w:rFonts w:ascii="宋体" w:hAnsi="宋体" w:eastAsia="宋体" w:cs="宋体"/>
                <w:sz w:val="18"/>
                <w:szCs w:val="18"/>
              </w:rPr>
              <w:t>胶原蛋白纤维纱线纺纱技术开发，原料、染色配方设计。产品如同护肤面膜，安全健康、滋养肌肤，同时具有抗菌、消臭等功能；增加穿着舒适感。</w:t>
            </w:r>
          </w:p>
        </w:tc>
        <w:tc>
          <w:tcPr>
            <w:tcW w:w="1417" w:type="dxa"/>
            <w:tcBorders>
              <w:top w:val="single" w:color="auto" w:sz="2" w:space="0"/>
              <w:left w:val="single" w:color="auto" w:sz="2" w:space="0"/>
              <w:bottom w:val="single" w:color="auto" w:sz="2" w:space="0"/>
              <w:right w:val="single" w:color="auto" w:sz="2" w:space="0"/>
            </w:tcBorders>
            <w:vAlign w:val="center"/>
          </w:tcPr>
          <w:p w14:paraId="03EB7AE4">
            <w:pPr>
              <w:spacing w:line="240" w:lineRule="exact"/>
              <w:rPr>
                <w:rFonts w:ascii="宋体" w:hAnsi="宋体" w:eastAsia="宋体" w:cs="宋体"/>
                <w:sz w:val="18"/>
                <w:szCs w:val="18"/>
              </w:rPr>
            </w:pPr>
            <w:r>
              <w:rPr>
                <w:rFonts w:ascii="宋体" w:hAnsi="宋体" w:eastAsia="宋体" w:cs="宋体"/>
                <w:sz w:val="18"/>
                <w:szCs w:val="18"/>
              </w:rPr>
              <w:t>完成开发推广，销售中</w:t>
            </w:r>
          </w:p>
        </w:tc>
        <w:tc>
          <w:tcPr>
            <w:tcW w:w="1701" w:type="dxa"/>
            <w:tcBorders>
              <w:top w:val="single" w:color="auto" w:sz="2" w:space="0"/>
              <w:left w:val="single" w:color="auto" w:sz="2" w:space="0"/>
              <w:bottom w:val="single" w:color="auto" w:sz="2" w:space="0"/>
              <w:right w:val="single" w:color="auto" w:sz="2" w:space="0"/>
            </w:tcBorders>
            <w:vAlign w:val="center"/>
          </w:tcPr>
          <w:p w14:paraId="10AAC4FA">
            <w:pPr>
              <w:spacing w:line="240" w:lineRule="exact"/>
              <w:rPr>
                <w:rFonts w:ascii="宋体" w:hAnsi="宋体" w:eastAsia="宋体" w:cs="宋体"/>
                <w:sz w:val="18"/>
                <w:szCs w:val="18"/>
              </w:rPr>
            </w:pPr>
            <w:r>
              <w:rPr>
                <w:rFonts w:ascii="宋体" w:hAnsi="宋体" w:eastAsia="宋体" w:cs="宋体"/>
                <w:sz w:val="18"/>
                <w:szCs w:val="18"/>
              </w:rPr>
              <w:t>新产品推广，取得较好的经济效益和社会效益。</w:t>
            </w:r>
          </w:p>
        </w:tc>
        <w:tc>
          <w:tcPr>
            <w:tcW w:w="2268" w:type="dxa"/>
            <w:tcBorders>
              <w:top w:val="single" w:color="auto" w:sz="2" w:space="0"/>
              <w:left w:val="single" w:color="auto" w:sz="2" w:space="0"/>
              <w:bottom w:val="single" w:color="auto" w:sz="2" w:space="0"/>
              <w:right w:val="single" w:color="auto" w:sz="2" w:space="0"/>
            </w:tcBorders>
            <w:vAlign w:val="center"/>
          </w:tcPr>
          <w:p w14:paraId="4159AA91">
            <w:pPr>
              <w:spacing w:line="240" w:lineRule="exact"/>
              <w:rPr>
                <w:rFonts w:ascii="宋体" w:hAnsi="宋体" w:eastAsia="宋体" w:cs="宋体"/>
                <w:sz w:val="18"/>
                <w:szCs w:val="18"/>
              </w:rPr>
            </w:pPr>
            <w:r>
              <w:rPr>
                <w:rFonts w:ascii="宋体" w:hAnsi="宋体" w:eastAsia="宋体" w:cs="宋体"/>
                <w:sz w:val="18"/>
                <w:szCs w:val="18"/>
              </w:rPr>
              <w:t>胶原蛋白产品天然抗菌、消臭，安全健康、亲肤润肤。有良好的市场前景。同时再生、环保，满足低碳循环经济要求，产品既有环保概念，又有优越的服用性能。为华孚的环保系列产品舔砖加瓦，倡导环保理念，扩大华孚品牌影响力，同时取得良好的经济效益。</w:t>
            </w:r>
          </w:p>
        </w:tc>
      </w:tr>
      <w:tr w14:paraId="15878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14:paraId="70A1ECD3">
            <w:pPr>
              <w:spacing w:line="240" w:lineRule="exact"/>
              <w:rPr>
                <w:rFonts w:ascii="宋体" w:hAnsi="宋体" w:eastAsia="宋体" w:cs="宋体"/>
                <w:sz w:val="18"/>
                <w:szCs w:val="18"/>
              </w:rPr>
            </w:pPr>
            <w:r>
              <w:rPr>
                <w:rFonts w:ascii="宋体" w:hAnsi="宋体" w:eastAsia="宋体" w:cs="宋体"/>
                <w:sz w:val="18"/>
                <w:szCs w:val="18"/>
              </w:rPr>
              <w:t>云雾纱</w:t>
            </w:r>
          </w:p>
        </w:tc>
        <w:tc>
          <w:tcPr>
            <w:tcW w:w="2410" w:type="dxa"/>
            <w:tcBorders>
              <w:top w:val="single" w:color="auto" w:sz="2" w:space="0"/>
              <w:left w:val="single" w:color="auto" w:sz="2" w:space="0"/>
              <w:bottom w:val="single" w:color="auto" w:sz="2" w:space="0"/>
              <w:right w:val="single" w:color="auto" w:sz="2" w:space="0"/>
            </w:tcBorders>
            <w:vAlign w:val="center"/>
          </w:tcPr>
          <w:p w14:paraId="4EAE547E">
            <w:pPr>
              <w:spacing w:line="240" w:lineRule="exact"/>
              <w:rPr>
                <w:rFonts w:ascii="宋体" w:hAnsi="宋体" w:eastAsia="宋体" w:cs="宋体"/>
                <w:sz w:val="18"/>
                <w:szCs w:val="18"/>
              </w:rPr>
            </w:pPr>
            <w:r>
              <w:rPr>
                <w:rFonts w:ascii="宋体" w:hAnsi="宋体" w:eastAsia="宋体" w:cs="宋体"/>
                <w:sz w:val="18"/>
                <w:szCs w:val="18"/>
              </w:rPr>
              <w:t>在原来环锭纺细纱机的基础上进行该改造，采用嵌入式纺纱方法，结合特殊的细纱生产方式，攻克棉纺高倍率竹节纺纱难题，开发出具有特殊竹节外观的风格产品。</w:t>
            </w:r>
          </w:p>
        </w:tc>
        <w:tc>
          <w:tcPr>
            <w:tcW w:w="1417" w:type="dxa"/>
            <w:tcBorders>
              <w:top w:val="single" w:color="auto" w:sz="2" w:space="0"/>
              <w:left w:val="single" w:color="auto" w:sz="2" w:space="0"/>
              <w:bottom w:val="single" w:color="auto" w:sz="2" w:space="0"/>
              <w:right w:val="single" w:color="auto" w:sz="2" w:space="0"/>
            </w:tcBorders>
            <w:vAlign w:val="center"/>
          </w:tcPr>
          <w:p w14:paraId="58FBB4C8">
            <w:pPr>
              <w:spacing w:line="240" w:lineRule="exact"/>
              <w:rPr>
                <w:rFonts w:ascii="宋体" w:hAnsi="宋体" w:eastAsia="宋体" w:cs="宋体"/>
                <w:sz w:val="18"/>
                <w:szCs w:val="18"/>
              </w:rPr>
            </w:pPr>
            <w:r>
              <w:rPr>
                <w:rFonts w:ascii="宋体" w:hAnsi="宋体" w:eastAsia="宋体" w:cs="宋体"/>
                <w:sz w:val="18"/>
                <w:szCs w:val="18"/>
              </w:rPr>
              <w:t>完成开发推广，销售中</w:t>
            </w:r>
          </w:p>
        </w:tc>
        <w:tc>
          <w:tcPr>
            <w:tcW w:w="1701" w:type="dxa"/>
            <w:tcBorders>
              <w:top w:val="single" w:color="auto" w:sz="2" w:space="0"/>
              <w:left w:val="single" w:color="auto" w:sz="2" w:space="0"/>
              <w:bottom w:val="single" w:color="auto" w:sz="2" w:space="0"/>
              <w:right w:val="single" w:color="auto" w:sz="2" w:space="0"/>
            </w:tcBorders>
            <w:vAlign w:val="center"/>
          </w:tcPr>
          <w:p w14:paraId="15E9B28F">
            <w:pPr>
              <w:spacing w:line="240" w:lineRule="exact"/>
              <w:rPr>
                <w:rFonts w:ascii="宋体" w:hAnsi="宋体" w:eastAsia="宋体" w:cs="宋体"/>
                <w:sz w:val="18"/>
                <w:szCs w:val="18"/>
              </w:rPr>
            </w:pPr>
            <w:r>
              <w:rPr>
                <w:rFonts w:ascii="宋体" w:hAnsi="宋体" w:eastAsia="宋体" w:cs="宋体"/>
                <w:sz w:val="18"/>
                <w:szCs w:val="18"/>
              </w:rPr>
              <w:t>新产品推广，取得较好的经济效益和社会效益。</w:t>
            </w:r>
          </w:p>
        </w:tc>
        <w:tc>
          <w:tcPr>
            <w:tcW w:w="2268" w:type="dxa"/>
            <w:tcBorders>
              <w:top w:val="single" w:color="auto" w:sz="2" w:space="0"/>
              <w:left w:val="single" w:color="auto" w:sz="2" w:space="0"/>
              <w:bottom w:val="single" w:color="auto" w:sz="2" w:space="0"/>
              <w:right w:val="single" w:color="auto" w:sz="2" w:space="0"/>
            </w:tcBorders>
            <w:vAlign w:val="center"/>
          </w:tcPr>
          <w:p w14:paraId="49C186BA">
            <w:pPr>
              <w:spacing w:line="240" w:lineRule="exact"/>
              <w:rPr>
                <w:rFonts w:ascii="宋体" w:hAnsi="宋体" w:eastAsia="宋体" w:cs="宋体"/>
                <w:sz w:val="18"/>
                <w:szCs w:val="18"/>
              </w:rPr>
            </w:pPr>
            <w:r>
              <w:rPr>
                <w:rFonts w:ascii="宋体" w:hAnsi="宋体" w:eastAsia="宋体" w:cs="宋体"/>
                <w:sz w:val="18"/>
                <w:szCs w:val="18"/>
              </w:rPr>
              <w:t>独创性纺纱技术，筑高公司技术壁垒。特殊的外观风格，兼具审美舒适与清爽透气的风格特点，适应人们春夏的服装需求。为公司提供了更多的市场机会，带来了更大的发展潜力。</w:t>
            </w:r>
          </w:p>
        </w:tc>
      </w:tr>
      <w:tr w14:paraId="2A8E9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14:paraId="6749CB65">
            <w:pPr>
              <w:spacing w:line="240" w:lineRule="exact"/>
              <w:rPr>
                <w:rFonts w:ascii="宋体" w:hAnsi="宋体" w:eastAsia="宋体" w:cs="宋体"/>
                <w:sz w:val="18"/>
                <w:szCs w:val="18"/>
              </w:rPr>
            </w:pPr>
            <w:r>
              <w:rPr>
                <w:rFonts w:ascii="宋体" w:hAnsi="宋体" w:eastAsia="宋体" w:cs="宋体"/>
                <w:sz w:val="18"/>
                <w:szCs w:val="18"/>
              </w:rPr>
              <w:t>高日晒牢度色纺纱</w:t>
            </w:r>
          </w:p>
        </w:tc>
        <w:tc>
          <w:tcPr>
            <w:tcW w:w="2410" w:type="dxa"/>
            <w:tcBorders>
              <w:top w:val="single" w:color="auto" w:sz="2" w:space="0"/>
              <w:left w:val="single" w:color="auto" w:sz="2" w:space="0"/>
              <w:bottom w:val="single" w:color="auto" w:sz="2" w:space="0"/>
              <w:right w:val="single" w:color="auto" w:sz="2" w:space="0"/>
            </w:tcBorders>
            <w:vAlign w:val="center"/>
          </w:tcPr>
          <w:p w14:paraId="17E2D1F7">
            <w:pPr>
              <w:spacing w:line="240" w:lineRule="exact"/>
              <w:rPr>
                <w:rFonts w:ascii="宋体" w:hAnsi="宋体" w:eastAsia="宋体" w:cs="宋体"/>
                <w:sz w:val="18"/>
                <w:szCs w:val="18"/>
              </w:rPr>
            </w:pPr>
            <w:r>
              <w:rPr>
                <w:rFonts w:ascii="宋体" w:hAnsi="宋体" w:eastAsia="宋体" w:cs="宋体"/>
                <w:sz w:val="18"/>
                <w:szCs w:val="18"/>
              </w:rPr>
              <w:t>染色技术研究提升纤维日晒牢度1级以上，色谱基本齐全，覆盖全部色系，为公司色纺产品日晒牢度全面升级。</w:t>
            </w:r>
          </w:p>
        </w:tc>
        <w:tc>
          <w:tcPr>
            <w:tcW w:w="1417" w:type="dxa"/>
            <w:tcBorders>
              <w:top w:val="single" w:color="auto" w:sz="2" w:space="0"/>
              <w:left w:val="single" w:color="auto" w:sz="2" w:space="0"/>
              <w:bottom w:val="single" w:color="auto" w:sz="2" w:space="0"/>
              <w:right w:val="single" w:color="auto" w:sz="2" w:space="0"/>
            </w:tcBorders>
            <w:vAlign w:val="center"/>
          </w:tcPr>
          <w:p w14:paraId="4A64E133">
            <w:pPr>
              <w:spacing w:line="240" w:lineRule="exact"/>
              <w:rPr>
                <w:rFonts w:ascii="宋体" w:hAnsi="宋体" w:eastAsia="宋体" w:cs="宋体"/>
                <w:sz w:val="18"/>
                <w:szCs w:val="18"/>
              </w:rPr>
            </w:pPr>
            <w:r>
              <w:rPr>
                <w:rFonts w:ascii="宋体" w:hAnsi="宋体" w:eastAsia="宋体" w:cs="宋体"/>
                <w:sz w:val="18"/>
                <w:szCs w:val="18"/>
              </w:rPr>
              <w:t>完成开发，推广中</w:t>
            </w:r>
          </w:p>
        </w:tc>
        <w:tc>
          <w:tcPr>
            <w:tcW w:w="1701" w:type="dxa"/>
            <w:tcBorders>
              <w:top w:val="single" w:color="auto" w:sz="2" w:space="0"/>
              <w:left w:val="single" w:color="auto" w:sz="2" w:space="0"/>
              <w:bottom w:val="single" w:color="auto" w:sz="2" w:space="0"/>
              <w:right w:val="single" w:color="auto" w:sz="2" w:space="0"/>
            </w:tcBorders>
            <w:vAlign w:val="center"/>
          </w:tcPr>
          <w:p w14:paraId="35963BFB">
            <w:pPr>
              <w:spacing w:line="240" w:lineRule="exact"/>
              <w:rPr>
                <w:rFonts w:ascii="宋体" w:hAnsi="宋体" w:eastAsia="宋体" w:cs="宋体"/>
                <w:sz w:val="18"/>
                <w:szCs w:val="18"/>
              </w:rPr>
            </w:pPr>
            <w:r>
              <w:rPr>
                <w:rFonts w:ascii="宋体" w:hAnsi="宋体" w:eastAsia="宋体" w:cs="宋体"/>
                <w:sz w:val="18"/>
                <w:szCs w:val="18"/>
              </w:rPr>
              <w:t>新产品推广，取得较好的经济效益和社会效益。</w:t>
            </w:r>
          </w:p>
        </w:tc>
        <w:tc>
          <w:tcPr>
            <w:tcW w:w="2268" w:type="dxa"/>
            <w:tcBorders>
              <w:top w:val="single" w:color="auto" w:sz="2" w:space="0"/>
              <w:left w:val="single" w:color="auto" w:sz="2" w:space="0"/>
              <w:bottom w:val="single" w:color="auto" w:sz="2" w:space="0"/>
              <w:right w:val="single" w:color="auto" w:sz="2" w:space="0"/>
            </w:tcBorders>
            <w:vAlign w:val="center"/>
          </w:tcPr>
          <w:p w14:paraId="3341E29D">
            <w:pPr>
              <w:spacing w:line="240" w:lineRule="exact"/>
              <w:rPr>
                <w:rFonts w:ascii="宋体" w:hAnsi="宋体" w:eastAsia="宋体" w:cs="宋体"/>
                <w:sz w:val="18"/>
                <w:szCs w:val="18"/>
              </w:rPr>
            </w:pPr>
            <w:r>
              <w:rPr>
                <w:rFonts w:ascii="宋体" w:hAnsi="宋体" w:eastAsia="宋体" w:cs="宋体"/>
                <w:sz w:val="18"/>
                <w:szCs w:val="18"/>
              </w:rPr>
              <w:t>公司色纺产品系列升级，产品市场热销，产品质价比高。是未来趋势产品，扩大华孚产品影响力。</w:t>
            </w:r>
          </w:p>
        </w:tc>
      </w:tr>
    </w:tbl>
    <w:p w14:paraId="4F339B47">
      <w:pPr>
        <w:spacing w:before="100" w:after="100" w:line="240" w:lineRule="exact"/>
        <w:rPr>
          <w:rFonts w:ascii="宋体" w:hAnsi="宋体" w:eastAsia="宋体" w:cs="宋体"/>
          <w:sz w:val="18"/>
          <w:szCs w:val="18"/>
        </w:rPr>
      </w:pPr>
      <w:r>
        <w:rPr>
          <w:rFonts w:ascii="宋体" w:hAnsi="宋体" w:eastAsia="宋体" w:cs="宋体"/>
          <w:sz w:val="18"/>
          <w:szCs w:val="18"/>
        </w:rPr>
        <w:t>公司研发人员情况</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46548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410BFB0"/>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DC8A507">
            <w:pPr>
              <w:spacing w:before="40" w:after="40" w:line="240" w:lineRule="exact"/>
              <w:jc w:val="center"/>
              <w:rPr>
                <w:rFonts w:ascii="宋体" w:hAnsi="宋体" w:eastAsia="宋体" w:cs="宋体"/>
                <w:sz w:val="18"/>
                <w:szCs w:val="18"/>
              </w:rPr>
            </w:pPr>
            <w:r>
              <w:rPr>
                <w:rFonts w:ascii="宋体" w:hAnsi="宋体" w:eastAsia="宋体" w:cs="宋体"/>
                <w:sz w:val="18"/>
                <w:szCs w:val="18"/>
              </w:rPr>
              <w:t>2025年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6672FFE">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4A0887A">
            <w:pPr>
              <w:spacing w:before="40" w:after="40" w:line="240" w:lineRule="exact"/>
              <w:jc w:val="center"/>
              <w:rPr>
                <w:rFonts w:ascii="宋体" w:hAnsi="宋体" w:eastAsia="宋体" w:cs="宋体"/>
                <w:sz w:val="18"/>
                <w:szCs w:val="18"/>
              </w:rPr>
            </w:pPr>
            <w:r>
              <w:rPr>
                <w:rFonts w:ascii="宋体" w:hAnsi="宋体" w:eastAsia="宋体" w:cs="宋体"/>
                <w:sz w:val="18"/>
                <w:szCs w:val="18"/>
              </w:rPr>
              <w:t>变动比例</w:t>
            </w:r>
          </w:p>
        </w:tc>
      </w:tr>
      <w:tr w14:paraId="0250C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3A93466">
            <w:pPr>
              <w:spacing w:before="40" w:after="40" w:line="240" w:lineRule="exact"/>
              <w:rPr>
                <w:rFonts w:ascii="宋体" w:hAnsi="宋体" w:eastAsia="宋体" w:cs="宋体"/>
                <w:sz w:val="18"/>
                <w:szCs w:val="18"/>
              </w:rPr>
            </w:pPr>
            <w:r>
              <w:rPr>
                <w:rFonts w:ascii="宋体" w:hAnsi="宋体" w:eastAsia="宋体" w:cs="宋体"/>
                <w:sz w:val="18"/>
                <w:szCs w:val="18"/>
              </w:rPr>
              <w:t>研发人员数量（人）</w:t>
            </w:r>
          </w:p>
        </w:tc>
        <w:tc>
          <w:tcPr>
            <w:tcW w:w="2410" w:type="dxa"/>
            <w:tcBorders>
              <w:top w:val="single" w:color="auto" w:sz="2" w:space="0"/>
              <w:left w:val="single" w:color="auto" w:sz="2" w:space="0"/>
              <w:bottom w:val="single" w:color="auto" w:sz="2" w:space="0"/>
              <w:right w:val="single" w:color="auto" w:sz="2" w:space="0"/>
            </w:tcBorders>
            <w:vAlign w:val="center"/>
          </w:tcPr>
          <w:p w14:paraId="6D7A854A">
            <w:pPr>
              <w:spacing w:line="240" w:lineRule="exact"/>
              <w:jc w:val="right"/>
              <w:rPr>
                <w:rFonts w:ascii="宋体" w:hAnsi="宋体" w:eastAsia="宋体" w:cs="宋体"/>
                <w:sz w:val="18"/>
                <w:szCs w:val="18"/>
              </w:rPr>
            </w:pPr>
            <w:r>
              <w:rPr>
                <w:rFonts w:ascii="宋体" w:hAnsi="宋体" w:eastAsia="宋体" w:cs="宋体"/>
                <w:sz w:val="18"/>
                <w:szCs w:val="18"/>
              </w:rPr>
              <w:t>780</w:t>
            </w:r>
          </w:p>
        </w:tc>
        <w:tc>
          <w:tcPr>
            <w:tcW w:w="2410" w:type="dxa"/>
            <w:tcBorders>
              <w:top w:val="single" w:color="auto" w:sz="2" w:space="0"/>
              <w:left w:val="single" w:color="auto" w:sz="2" w:space="0"/>
              <w:bottom w:val="single" w:color="auto" w:sz="2" w:space="0"/>
              <w:right w:val="single" w:color="auto" w:sz="2" w:space="0"/>
            </w:tcBorders>
            <w:vAlign w:val="center"/>
          </w:tcPr>
          <w:p w14:paraId="6D5188E0">
            <w:pPr>
              <w:spacing w:line="240" w:lineRule="exact"/>
              <w:jc w:val="right"/>
              <w:rPr>
                <w:rFonts w:ascii="宋体" w:hAnsi="宋体" w:eastAsia="宋体" w:cs="宋体"/>
                <w:sz w:val="18"/>
                <w:szCs w:val="18"/>
              </w:rPr>
            </w:pPr>
            <w:r>
              <w:rPr>
                <w:rFonts w:ascii="宋体" w:hAnsi="宋体" w:eastAsia="宋体" w:cs="宋体"/>
                <w:sz w:val="18"/>
                <w:szCs w:val="18"/>
              </w:rPr>
              <w:t>811</w:t>
            </w:r>
          </w:p>
        </w:tc>
        <w:tc>
          <w:tcPr>
            <w:tcW w:w="2410" w:type="dxa"/>
            <w:tcBorders>
              <w:top w:val="single" w:color="auto" w:sz="2" w:space="0"/>
              <w:left w:val="single" w:color="auto" w:sz="2" w:space="0"/>
              <w:bottom w:val="single" w:color="auto" w:sz="2" w:space="0"/>
              <w:right w:val="single" w:color="auto" w:sz="2" w:space="0"/>
            </w:tcBorders>
            <w:vAlign w:val="center"/>
          </w:tcPr>
          <w:p w14:paraId="6BA2279A">
            <w:pPr>
              <w:spacing w:line="240" w:lineRule="exact"/>
              <w:jc w:val="right"/>
              <w:rPr>
                <w:rFonts w:ascii="宋体" w:hAnsi="宋体" w:eastAsia="宋体" w:cs="宋体"/>
                <w:sz w:val="18"/>
                <w:szCs w:val="18"/>
              </w:rPr>
            </w:pPr>
            <w:r>
              <w:rPr>
                <w:rFonts w:ascii="宋体" w:hAnsi="宋体" w:eastAsia="宋体" w:cs="宋体"/>
                <w:sz w:val="18"/>
                <w:szCs w:val="18"/>
              </w:rPr>
              <w:t>-3.82%</w:t>
            </w:r>
          </w:p>
        </w:tc>
      </w:tr>
      <w:tr w14:paraId="71226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7878E2C">
            <w:pPr>
              <w:spacing w:before="40" w:after="40" w:line="240" w:lineRule="exact"/>
              <w:rPr>
                <w:rFonts w:ascii="宋体" w:hAnsi="宋体" w:eastAsia="宋体" w:cs="宋体"/>
                <w:sz w:val="18"/>
                <w:szCs w:val="18"/>
              </w:rPr>
            </w:pPr>
            <w:r>
              <w:rPr>
                <w:rFonts w:ascii="宋体" w:hAnsi="宋体" w:eastAsia="宋体" w:cs="宋体"/>
                <w:sz w:val="18"/>
                <w:szCs w:val="18"/>
              </w:rPr>
              <w:t>研发人员数量占比</w:t>
            </w:r>
          </w:p>
        </w:tc>
        <w:tc>
          <w:tcPr>
            <w:tcW w:w="2410" w:type="dxa"/>
            <w:tcBorders>
              <w:top w:val="single" w:color="auto" w:sz="2" w:space="0"/>
              <w:left w:val="single" w:color="auto" w:sz="2" w:space="0"/>
              <w:bottom w:val="single" w:color="auto" w:sz="2" w:space="0"/>
              <w:right w:val="single" w:color="auto" w:sz="2" w:space="0"/>
            </w:tcBorders>
            <w:vAlign w:val="center"/>
          </w:tcPr>
          <w:p w14:paraId="1F737E8E">
            <w:pPr>
              <w:spacing w:line="240" w:lineRule="exact"/>
              <w:jc w:val="right"/>
              <w:rPr>
                <w:rFonts w:ascii="宋体" w:hAnsi="宋体" w:eastAsia="宋体" w:cs="宋体"/>
                <w:sz w:val="18"/>
                <w:szCs w:val="18"/>
              </w:rPr>
            </w:pPr>
            <w:r>
              <w:rPr>
                <w:rFonts w:ascii="宋体" w:hAnsi="宋体" w:eastAsia="宋体" w:cs="宋体"/>
                <w:sz w:val="18"/>
                <w:szCs w:val="18"/>
              </w:rPr>
              <w:t>5.94%</w:t>
            </w:r>
          </w:p>
        </w:tc>
        <w:tc>
          <w:tcPr>
            <w:tcW w:w="2410" w:type="dxa"/>
            <w:tcBorders>
              <w:top w:val="single" w:color="auto" w:sz="2" w:space="0"/>
              <w:left w:val="single" w:color="auto" w:sz="2" w:space="0"/>
              <w:bottom w:val="single" w:color="auto" w:sz="2" w:space="0"/>
              <w:right w:val="single" w:color="auto" w:sz="2" w:space="0"/>
            </w:tcBorders>
            <w:vAlign w:val="center"/>
          </w:tcPr>
          <w:p w14:paraId="21FEAF50">
            <w:pPr>
              <w:spacing w:line="240" w:lineRule="exact"/>
              <w:jc w:val="right"/>
              <w:rPr>
                <w:rFonts w:ascii="宋体" w:hAnsi="宋体" w:eastAsia="宋体" w:cs="宋体"/>
                <w:sz w:val="18"/>
                <w:szCs w:val="18"/>
              </w:rPr>
            </w:pPr>
            <w:r>
              <w:rPr>
                <w:rFonts w:ascii="宋体" w:hAnsi="宋体" w:eastAsia="宋体" w:cs="宋体"/>
                <w:sz w:val="18"/>
                <w:szCs w:val="18"/>
              </w:rPr>
              <w:t>5.89%</w:t>
            </w:r>
          </w:p>
        </w:tc>
        <w:tc>
          <w:tcPr>
            <w:tcW w:w="2410" w:type="dxa"/>
            <w:tcBorders>
              <w:top w:val="single" w:color="auto" w:sz="2" w:space="0"/>
              <w:left w:val="single" w:color="auto" w:sz="2" w:space="0"/>
              <w:bottom w:val="single" w:color="auto" w:sz="2" w:space="0"/>
              <w:right w:val="single" w:color="auto" w:sz="2" w:space="0"/>
            </w:tcBorders>
            <w:vAlign w:val="center"/>
          </w:tcPr>
          <w:p w14:paraId="0DA6A6A6">
            <w:pPr>
              <w:spacing w:line="240" w:lineRule="exact"/>
              <w:jc w:val="right"/>
              <w:rPr>
                <w:rFonts w:ascii="宋体" w:hAnsi="宋体" w:eastAsia="宋体" w:cs="宋体"/>
                <w:sz w:val="18"/>
                <w:szCs w:val="18"/>
              </w:rPr>
            </w:pPr>
            <w:r>
              <w:rPr>
                <w:rFonts w:ascii="宋体" w:hAnsi="宋体" w:eastAsia="宋体" w:cs="宋体"/>
                <w:sz w:val="18"/>
                <w:szCs w:val="18"/>
              </w:rPr>
              <w:t>0.05%</w:t>
            </w:r>
          </w:p>
        </w:tc>
      </w:tr>
      <w:tr w14:paraId="72A56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098A4EE1">
            <w:pPr>
              <w:spacing w:before="40" w:after="40" w:line="240" w:lineRule="exact"/>
              <w:rPr>
                <w:rFonts w:ascii="宋体" w:hAnsi="宋体" w:eastAsia="宋体" w:cs="宋体"/>
                <w:sz w:val="18"/>
                <w:szCs w:val="18"/>
              </w:rPr>
            </w:pPr>
            <w:r>
              <w:rPr>
                <w:rFonts w:ascii="宋体" w:hAnsi="宋体" w:eastAsia="宋体" w:cs="宋体"/>
                <w:sz w:val="18"/>
                <w:szCs w:val="18"/>
              </w:rPr>
              <w:t>研发人员学历结构</w:t>
            </w:r>
          </w:p>
        </w:tc>
      </w:tr>
      <w:tr w14:paraId="057DC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174E389">
            <w:pPr>
              <w:spacing w:before="40" w:after="40" w:line="240" w:lineRule="exact"/>
              <w:rPr>
                <w:rFonts w:ascii="宋体" w:hAnsi="宋体" w:eastAsia="宋体" w:cs="宋体"/>
                <w:sz w:val="18"/>
                <w:szCs w:val="18"/>
              </w:rPr>
            </w:pPr>
            <w:r>
              <w:rPr>
                <w:rFonts w:ascii="宋体" w:hAnsi="宋体" w:eastAsia="宋体" w:cs="宋体"/>
                <w:sz w:val="18"/>
                <w:szCs w:val="18"/>
              </w:rPr>
              <w:t>本科</w:t>
            </w:r>
          </w:p>
        </w:tc>
        <w:tc>
          <w:tcPr>
            <w:tcW w:w="2410" w:type="dxa"/>
            <w:tcBorders>
              <w:top w:val="single" w:color="auto" w:sz="2" w:space="0"/>
              <w:left w:val="single" w:color="auto" w:sz="2" w:space="0"/>
              <w:bottom w:val="single" w:color="auto" w:sz="2" w:space="0"/>
              <w:right w:val="single" w:color="auto" w:sz="2" w:space="0"/>
            </w:tcBorders>
            <w:vAlign w:val="center"/>
          </w:tcPr>
          <w:p w14:paraId="1D03A2C0">
            <w:pPr>
              <w:spacing w:line="240" w:lineRule="exact"/>
              <w:jc w:val="right"/>
              <w:rPr>
                <w:rFonts w:ascii="宋体" w:hAnsi="宋体" w:eastAsia="宋体" w:cs="宋体"/>
                <w:sz w:val="18"/>
                <w:szCs w:val="18"/>
              </w:rPr>
            </w:pPr>
            <w:r>
              <w:rPr>
                <w:rFonts w:ascii="宋体" w:hAnsi="宋体" w:eastAsia="宋体" w:cs="宋体"/>
                <w:sz w:val="18"/>
                <w:szCs w:val="18"/>
              </w:rPr>
              <w:t>96</w:t>
            </w:r>
          </w:p>
        </w:tc>
        <w:tc>
          <w:tcPr>
            <w:tcW w:w="2410" w:type="dxa"/>
            <w:tcBorders>
              <w:top w:val="single" w:color="auto" w:sz="2" w:space="0"/>
              <w:left w:val="single" w:color="auto" w:sz="2" w:space="0"/>
              <w:bottom w:val="single" w:color="auto" w:sz="2" w:space="0"/>
              <w:right w:val="single" w:color="auto" w:sz="2" w:space="0"/>
            </w:tcBorders>
            <w:vAlign w:val="center"/>
          </w:tcPr>
          <w:p w14:paraId="72D85CE8">
            <w:pPr>
              <w:spacing w:line="240" w:lineRule="exact"/>
              <w:jc w:val="right"/>
              <w:rPr>
                <w:rFonts w:ascii="宋体" w:hAnsi="宋体" w:eastAsia="宋体" w:cs="宋体"/>
                <w:sz w:val="18"/>
                <w:szCs w:val="18"/>
              </w:rPr>
            </w:pPr>
            <w:r>
              <w:rPr>
                <w:rFonts w:ascii="宋体" w:hAnsi="宋体" w:eastAsia="宋体" w:cs="宋体"/>
                <w:sz w:val="18"/>
                <w:szCs w:val="18"/>
              </w:rPr>
              <w:t>98</w:t>
            </w:r>
          </w:p>
        </w:tc>
        <w:tc>
          <w:tcPr>
            <w:tcW w:w="2410" w:type="dxa"/>
            <w:tcBorders>
              <w:top w:val="single" w:color="auto" w:sz="2" w:space="0"/>
              <w:left w:val="single" w:color="auto" w:sz="2" w:space="0"/>
              <w:bottom w:val="single" w:color="auto" w:sz="2" w:space="0"/>
              <w:right w:val="single" w:color="auto" w:sz="2" w:space="0"/>
            </w:tcBorders>
            <w:vAlign w:val="center"/>
          </w:tcPr>
          <w:p w14:paraId="297E11A0">
            <w:pPr>
              <w:spacing w:line="240" w:lineRule="exact"/>
              <w:jc w:val="right"/>
              <w:rPr>
                <w:rFonts w:ascii="宋体" w:hAnsi="宋体" w:eastAsia="宋体" w:cs="宋体"/>
                <w:sz w:val="18"/>
                <w:szCs w:val="18"/>
              </w:rPr>
            </w:pPr>
            <w:r>
              <w:rPr>
                <w:rFonts w:ascii="宋体" w:hAnsi="宋体" w:eastAsia="宋体" w:cs="宋体"/>
                <w:sz w:val="18"/>
                <w:szCs w:val="18"/>
              </w:rPr>
              <w:t>-2.04%</w:t>
            </w:r>
          </w:p>
        </w:tc>
      </w:tr>
      <w:tr w14:paraId="53345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C6032F1">
            <w:pPr>
              <w:spacing w:before="40" w:after="40" w:line="240" w:lineRule="exact"/>
              <w:rPr>
                <w:rFonts w:ascii="宋体" w:hAnsi="宋体" w:eastAsia="宋体" w:cs="宋体"/>
                <w:sz w:val="18"/>
                <w:szCs w:val="18"/>
              </w:rPr>
            </w:pPr>
            <w:r>
              <w:rPr>
                <w:rFonts w:ascii="宋体" w:hAnsi="宋体" w:eastAsia="宋体" w:cs="宋体"/>
                <w:sz w:val="18"/>
                <w:szCs w:val="18"/>
              </w:rPr>
              <w:t>硕士</w:t>
            </w:r>
          </w:p>
        </w:tc>
        <w:tc>
          <w:tcPr>
            <w:tcW w:w="2410" w:type="dxa"/>
            <w:tcBorders>
              <w:top w:val="single" w:color="auto" w:sz="2" w:space="0"/>
              <w:left w:val="single" w:color="auto" w:sz="2" w:space="0"/>
              <w:bottom w:val="single" w:color="auto" w:sz="2" w:space="0"/>
              <w:right w:val="single" w:color="auto" w:sz="2" w:space="0"/>
            </w:tcBorders>
            <w:vAlign w:val="center"/>
          </w:tcPr>
          <w:p w14:paraId="0144F640">
            <w:pPr>
              <w:spacing w:line="240" w:lineRule="exact"/>
              <w:jc w:val="right"/>
              <w:rPr>
                <w:rFonts w:ascii="宋体" w:hAnsi="宋体" w:eastAsia="宋体" w:cs="宋体"/>
                <w:sz w:val="18"/>
                <w:szCs w:val="18"/>
              </w:rPr>
            </w:pPr>
            <w:r>
              <w:rPr>
                <w:rFonts w:ascii="宋体" w:hAnsi="宋体" w:eastAsia="宋体" w:cs="宋体"/>
                <w:sz w:val="18"/>
                <w:szCs w:val="18"/>
              </w:rPr>
              <w:t>20</w:t>
            </w:r>
          </w:p>
        </w:tc>
        <w:tc>
          <w:tcPr>
            <w:tcW w:w="2410" w:type="dxa"/>
            <w:tcBorders>
              <w:top w:val="single" w:color="auto" w:sz="2" w:space="0"/>
              <w:left w:val="single" w:color="auto" w:sz="2" w:space="0"/>
              <w:bottom w:val="single" w:color="auto" w:sz="2" w:space="0"/>
              <w:right w:val="single" w:color="auto" w:sz="2" w:space="0"/>
            </w:tcBorders>
            <w:vAlign w:val="center"/>
          </w:tcPr>
          <w:p w14:paraId="6C1C0440">
            <w:pPr>
              <w:spacing w:line="240" w:lineRule="exact"/>
              <w:jc w:val="right"/>
              <w:rPr>
                <w:rFonts w:ascii="宋体" w:hAnsi="宋体" w:eastAsia="宋体" w:cs="宋体"/>
                <w:sz w:val="18"/>
                <w:szCs w:val="18"/>
              </w:rPr>
            </w:pPr>
            <w:r>
              <w:rPr>
                <w:rFonts w:ascii="宋体" w:hAnsi="宋体" w:eastAsia="宋体" w:cs="宋体"/>
                <w:sz w:val="18"/>
                <w:szCs w:val="18"/>
              </w:rPr>
              <w:t>20</w:t>
            </w:r>
          </w:p>
        </w:tc>
        <w:tc>
          <w:tcPr>
            <w:tcW w:w="2410" w:type="dxa"/>
            <w:tcBorders>
              <w:top w:val="single" w:color="auto" w:sz="2" w:space="0"/>
              <w:left w:val="single" w:color="auto" w:sz="2" w:space="0"/>
              <w:bottom w:val="single" w:color="auto" w:sz="2" w:space="0"/>
              <w:right w:val="single" w:color="auto" w:sz="2" w:space="0"/>
            </w:tcBorders>
            <w:vAlign w:val="center"/>
          </w:tcPr>
          <w:p w14:paraId="165A6A1F">
            <w:pPr>
              <w:spacing w:line="240" w:lineRule="exact"/>
              <w:jc w:val="right"/>
              <w:rPr>
                <w:rFonts w:ascii="宋体" w:hAnsi="宋体" w:eastAsia="宋体" w:cs="宋体"/>
                <w:sz w:val="18"/>
                <w:szCs w:val="18"/>
              </w:rPr>
            </w:pPr>
            <w:r>
              <w:rPr>
                <w:rFonts w:ascii="宋体" w:hAnsi="宋体" w:eastAsia="宋体" w:cs="宋体"/>
                <w:sz w:val="18"/>
                <w:szCs w:val="18"/>
              </w:rPr>
              <w:t>0.00%</w:t>
            </w:r>
          </w:p>
        </w:tc>
      </w:tr>
      <w:tr w14:paraId="268C0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72B2252E">
            <w:pPr>
              <w:spacing w:before="40" w:after="40" w:line="240" w:lineRule="exact"/>
              <w:rPr>
                <w:rFonts w:ascii="宋体" w:hAnsi="宋体" w:eastAsia="宋体" w:cs="宋体"/>
                <w:sz w:val="18"/>
                <w:szCs w:val="18"/>
              </w:rPr>
            </w:pPr>
            <w:r>
              <w:rPr>
                <w:rFonts w:ascii="宋体" w:hAnsi="宋体" w:eastAsia="宋体" w:cs="宋体"/>
                <w:sz w:val="18"/>
                <w:szCs w:val="18"/>
              </w:rPr>
              <w:t>研发人员年龄构成</w:t>
            </w:r>
          </w:p>
        </w:tc>
      </w:tr>
      <w:tr w14:paraId="2521D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589D563">
            <w:pPr>
              <w:spacing w:before="40" w:after="40" w:line="240" w:lineRule="exact"/>
              <w:rPr>
                <w:rFonts w:ascii="宋体" w:hAnsi="宋体" w:eastAsia="宋体" w:cs="宋体"/>
                <w:sz w:val="18"/>
                <w:szCs w:val="18"/>
              </w:rPr>
            </w:pPr>
            <w:r>
              <w:rPr>
                <w:rFonts w:ascii="宋体" w:hAnsi="宋体" w:eastAsia="宋体" w:cs="宋体"/>
                <w:sz w:val="18"/>
                <w:szCs w:val="18"/>
              </w:rPr>
              <w:t>30岁以下</w:t>
            </w:r>
          </w:p>
        </w:tc>
        <w:tc>
          <w:tcPr>
            <w:tcW w:w="2410" w:type="dxa"/>
            <w:tcBorders>
              <w:top w:val="single" w:color="auto" w:sz="2" w:space="0"/>
              <w:left w:val="single" w:color="auto" w:sz="2" w:space="0"/>
              <w:bottom w:val="single" w:color="auto" w:sz="2" w:space="0"/>
              <w:right w:val="single" w:color="auto" w:sz="2" w:space="0"/>
            </w:tcBorders>
            <w:vAlign w:val="center"/>
          </w:tcPr>
          <w:p w14:paraId="068E8CFD">
            <w:pPr>
              <w:spacing w:line="240" w:lineRule="exact"/>
              <w:jc w:val="right"/>
              <w:rPr>
                <w:rFonts w:ascii="宋体" w:hAnsi="宋体" w:eastAsia="宋体" w:cs="宋体"/>
                <w:sz w:val="18"/>
                <w:szCs w:val="18"/>
              </w:rPr>
            </w:pPr>
            <w:r>
              <w:rPr>
                <w:rFonts w:ascii="宋体" w:hAnsi="宋体" w:eastAsia="宋体" w:cs="宋体"/>
                <w:sz w:val="18"/>
                <w:szCs w:val="18"/>
              </w:rPr>
              <w:t>338</w:t>
            </w:r>
          </w:p>
        </w:tc>
        <w:tc>
          <w:tcPr>
            <w:tcW w:w="2410" w:type="dxa"/>
            <w:tcBorders>
              <w:top w:val="single" w:color="auto" w:sz="2" w:space="0"/>
              <w:left w:val="single" w:color="auto" w:sz="2" w:space="0"/>
              <w:bottom w:val="single" w:color="auto" w:sz="2" w:space="0"/>
              <w:right w:val="single" w:color="auto" w:sz="2" w:space="0"/>
            </w:tcBorders>
            <w:vAlign w:val="center"/>
          </w:tcPr>
          <w:p w14:paraId="58E9A9DB">
            <w:pPr>
              <w:spacing w:line="240" w:lineRule="exact"/>
              <w:jc w:val="right"/>
              <w:rPr>
                <w:rFonts w:ascii="宋体" w:hAnsi="宋体" w:eastAsia="宋体" w:cs="宋体"/>
                <w:sz w:val="18"/>
                <w:szCs w:val="18"/>
              </w:rPr>
            </w:pPr>
            <w:r>
              <w:rPr>
                <w:rFonts w:ascii="宋体" w:hAnsi="宋体" w:eastAsia="宋体" w:cs="宋体"/>
                <w:sz w:val="18"/>
                <w:szCs w:val="18"/>
              </w:rPr>
              <w:t>342</w:t>
            </w:r>
          </w:p>
        </w:tc>
        <w:tc>
          <w:tcPr>
            <w:tcW w:w="2410" w:type="dxa"/>
            <w:tcBorders>
              <w:top w:val="single" w:color="auto" w:sz="2" w:space="0"/>
              <w:left w:val="single" w:color="auto" w:sz="2" w:space="0"/>
              <w:bottom w:val="single" w:color="auto" w:sz="2" w:space="0"/>
              <w:right w:val="single" w:color="auto" w:sz="2" w:space="0"/>
            </w:tcBorders>
            <w:vAlign w:val="center"/>
          </w:tcPr>
          <w:p w14:paraId="212F59DB">
            <w:pPr>
              <w:spacing w:line="240" w:lineRule="exact"/>
              <w:jc w:val="right"/>
              <w:rPr>
                <w:rFonts w:ascii="宋体" w:hAnsi="宋体" w:eastAsia="宋体" w:cs="宋体"/>
                <w:sz w:val="18"/>
                <w:szCs w:val="18"/>
              </w:rPr>
            </w:pPr>
            <w:r>
              <w:rPr>
                <w:rFonts w:ascii="宋体" w:hAnsi="宋体" w:eastAsia="宋体" w:cs="宋体"/>
                <w:sz w:val="18"/>
                <w:szCs w:val="18"/>
              </w:rPr>
              <w:t>-1.17%</w:t>
            </w:r>
          </w:p>
        </w:tc>
      </w:tr>
      <w:tr w14:paraId="19758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662290F">
            <w:pPr>
              <w:spacing w:before="40" w:after="40" w:line="240" w:lineRule="exact"/>
              <w:rPr>
                <w:rFonts w:ascii="宋体" w:hAnsi="宋体" w:eastAsia="宋体" w:cs="宋体"/>
                <w:sz w:val="18"/>
                <w:szCs w:val="18"/>
              </w:rPr>
            </w:pPr>
            <w:r>
              <w:rPr>
                <w:rFonts w:ascii="宋体" w:hAnsi="宋体" w:eastAsia="宋体" w:cs="宋体"/>
                <w:sz w:val="18"/>
                <w:szCs w:val="18"/>
              </w:rPr>
              <w:t>30~40岁</w:t>
            </w:r>
          </w:p>
        </w:tc>
        <w:tc>
          <w:tcPr>
            <w:tcW w:w="2410" w:type="dxa"/>
            <w:tcBorders>
              <w:top w:val="single" w:color="auto" w:sz="2" w:space="0"/>
              <w:left w:val="single" w:color="auto" w:sz="2" w:space="0"/>
              <w:bottom w:val="single" w:color="auto" w:sz="2" w:space="0"/>
              <w:right w:val="single" w:color="auto" w:sz="2" w:space="0"/>
            </w:tcBorders>
            <w:vAlign w:val="center"/>
          </w:tcPr>
          <w:p w14:paraId="7EA6E124">
            <w:pPr>
              <w:spacing w:line="240" w:lineRule="exact"/>
              <w:jc w:val="right"/>
              <w:rPr>
                <w:rFonts w:ascii="宋体" w:hAnsi="宋体" w:eastAsia="宋体" w:cs="宋体"/>
                <w:sz w:val="18"/>
                <w:szCs w:val="18"/>
              </w:rPr>
            </w:pPr>
            <w:r>
              <w:rPr>
                <w:rFonts w:ascii="宋体" w:hAnsi="宋体" w:eastAsia="宋体" w:cs="宋体"/>
                <w:sz w:val="18"/>
                <w:szCs w:val="18"/>
              </w:rPr>
              <w:t>188</w:t>
            </w:r>
          </w:p>
        </w:tc>
        <w:tc>
          <w:tcPr>
            <w:tcW w:w="2410" w:type="dxa"/>
            <w:tcBorders>
              <w:top w:val="single" w:color="auto" w:sz="2" w:space="0"/>
              <w:left w:val="single" w:color="auto" w:sz="2" w:space="0"/>
              <w:bottom w:val="single" w:color="auto" w:sz="2" w:space="0"/>
              <w:right w:val="single" w:color="auto" w:sz="2" w:space="0"/>
            </w:tcBorders>
            <w:vAlign w:val="center"/>
          </w:tcPr>
          <w:p w14:paraId="2523941A">
            <w:pPr>
              <w:spacing w:line="240" w:lineRule="exact"/>
              <w:jc w:val="right"/>
              <w:rPr>
                <w:rFonts w:ascii="宋体" w:hAnsi="宋体" w:eastAsia="宋体" w:cs="宋体"/>
                <w:sz w:val="18"/>
                <w:szCs w:val="18"/>
              </w:rPr>
            </w:pPr>
            <w:r>
              <w:rPr>
                <w:rFonts w:ascii="宋体" w:hAnsi="宋体" w:eastAsia="宋体" w:cs="宋体"/>
                <w:sz w:val="18"/>
                <w:szCs w:val="18"/>
              </w:rPr>
              <w:t>189</w:t>
            </w:r>
          </w:p>
        </w:tc>
        <w:tc>
          <w:tcPr>
            <w:tcW w:w="2410" w:type="dxa"/>
            <w:tcBorders>
              <w:top w:val="single" w:color="auto" w:sz="2" w:space="0"/>
              <w:left w:val="single" w:color="auto" w:sz="2" w:space="0"/>
              <w:bottom w:val="single" w:color="auto" w:sz="2" w:space="0"/>
              <w:right w:val="single" w:color="auto" w:sz="2" w:space="0"/>
            </w:tcBorders>
            <w:vAlign w:val="center"/>
          </w:tcPr>
          <w:p w14:paraId="0F468DBB">
            <w:pPr>
              <w:spacing w:line="240" w:lineRule="exact"/>
              <w:jc w:val="right"/>
              <w:rPr>
                <w:rFonts w:ascii="宋体" w:hAnsi="宋体" w:eastAsia="宋体" w:cs="宋体"/>
                <w:sz w:val="18"/>
                <w:szCs w:val="18"/>
              </w:rPr>
            </w:pPr>
            <w:r>
              <w:rPr>
                <w:rFonts w:ascii="宋体" w:hAnsi="宋体" w:eastAsia="宋体" w:cs="宋体"/>
                <w:sz w:val="18"/>
                <w:szCs w:val="18"/>
              </w:rPr>
              <w:t>-0.53%</w:t>
            </w:r>
          </w:p>
        </w:tc>
      </w:tr>
    </w:tbl>
    <w:p w14:paraId="2FCEA0AB">
      <w:pPr>
        <w:spacing w:before="100" w:after="100" w:line="240" w:lineRule="exact"/>
        <w:rPr>
          <w:rFonts w:ascii="宋体" w:hAnsi="宋体" w:eastAsia="宋体" w:cs="宋体"/>
          <w:sz w:val="18"/>
          <w:szCs w:val="18"/>
        </w:rPr>
      </w:pPr>
      <w:r>
        <w:rPr>
          <w:rFonts w:ascii="宋体" w:hAnsi="宋体" w:eastAsia="宋体" w:cs="宋体"/>
          <w:sz w:val="18"/>
          <w:szCs w:val="18"/>
        </w:rPr>
        <w:t>公司研发投入情况</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479AF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E4002CB"/>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26DFFB4">
            <w:pPr>
              <w:spacing w:before="40" w:after="40" w:line="240" w:lineRule="exact"/>
              <w:jc w:val="center"/>
              <w:rPr>
                <w:rFonts w:ascii="宋体" w:hAnsi="宋体" w:eastAsia="宋体" w:cs="宋体"/>
                <w:sz w:val="18"/>
                <w:szCs w:val="18"/>
              </w:rPr>
            </w:pPr>
            <w:r>
              <w:rPr>
                <w:rFonts w:ascii="宋体" w:hAnsi="宋体" w:eastAsia="宋体" w:cs="宋体"/>
                <w:sz w:val="18"/>
                <w:szCs w:val="18"/>
              </w:rPr>
              <w:t>2025年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EF7AAFA">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D7E65DC">
            <w:pPr>
              <w:spacing w:before="40" w:after="40" w:line="240" w:lineRule="exact"/>
              <w:jc w:val="center"/>
              <w:rPr>
                <w:rFonts w:ascii="宋体" w:hAnsi="宋体" w:eastAsia="宋体" w:cs="宋体"/>
                <w:sz w:val="18"/>
                <w:szCs w:val="18"/>
              </w:rPr>
            </w:pPr>
            <w:r>
              <w:rPr>
                <w:rFonts w:ascii="宋体" w:hAnsi="宋体" w:eastAsia="宋体" w:cs="宋体"/>
                <w:sz w:val="18"/>
                <w:szCs w:val="18"/>
              </w:rPr>
              <w:t>变动比例</w:t>
            </w:r>
          </w:p>
        </w:tc>
      </w:tr>
      <w:tr w14:paraId="59F63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28D091E">
            <w:pPr>
              <w:spacing w:before="40" w:after="40" w:line="240" w:lineRule="exact"/>
              <w:rPr>
                <w:rFonts w:ascii="宋体" w:hAnsi="宋体" w:eastAsia="宋体" w:cs="宋体"/>
                <w:sz w:val="18"/>
                <w:szCs w:val="18"/>
              </w:rPr>
            </w:pPr>
            <w:r>
              <w:rPr>
                <w:rFonts w:ascii="宋体" w:hAnsi="宋体" w:eastAsia="宋体" w:cs="宋体"/>
                <w:sz w:val="18"/>
                <w:szCs w:val="18"/>
              </w:rPr>
              <w:t>研发投入金额（元）</w:t>
            </w:r>
          </w:p>
        </w:tc>
        <w:tc>
          <w:tcPr>
            <w:tcW w:w="2410" w:type="dxa"/>
            <w:tcBorders>
              <w:top w:val="single" w:color="auto" w:sz="2" w:space="0"/>
              <w:left w:val="single" w:color="auto" w:sz="2" w:space="0"/>
              <w:bottom w:val="single" w:color="auto" w:sz="2" w:space="0"/>
              <w:right w:val="single" w:color="auto" w:sz="2" w:space="0"/>
            </w:tcBorders>
            <w:vAlign w:val="center"/>
          </w:tcPr>
          <w:p w14:paraId="6013A4AC">
            <w:pPr>
              <w:spacing w:line="240" w:lineRule="exact"/>
              <w:jc w:val="right"/>
              <w:rPr>
                <w:rFonts w:ascii="宋体" w:hAnsi="宋体" w:eastAsia="宋体" w:cs="宋体"/>
                <w:sz w:val="18"/>
                <w:szCs w:val="18"/>
              </w:rPr>
            </w:pPr>
            <w:r>
              <w:rPr>
                <w:rFonts w:ascii="宋体" w:hAnsi="宋体" w:eastAsia="宋体" w:cs="宋体"/>
                <w:sz w:val="18"/>
                <w:szCs w:val="18"/>
              </w:rPr>
              <w:t>131,084,877.57</w:t>
            </w:r>
          </w:p>
        </w:tc>
        <w:tc>
          <w:tcPr>
            <w:tcW w:w="2410" w:type="dxa"/>
            <w:tcBorders>
              <w:top w:val="single" w:color="auto" w:sz="2" w:space="0"/>
              <w:left w:val="single" w:color="auto" w:sz="2" w:space="0"/>
              <w:bottom w:val="single" w:color="auto" w:sz="2" w:space="0"/>
              <w:right w:val="single" w:color="auto" w:sz="2" w:space="0"/>
            </w:tcBorders>
            <w:vAlign w:val="center"/>
          </w:tcPr>
          <w:p w14:paraId="48F3DCFE">
            <w:pPr>
              <w:spacing w:line="240" w:lineRule="exact"/>
              <w:jc w:val="right"/>
              <w:rPr>
                <w:rFonts w:ascii="宋体" w:hAnsi="宋体" w:eastAsia="宋体" w:cs="宋体"/>
                <w:sz w:val="18"/>
                <w:szCs w:val="18"/>
              </w:rPr>
            </w:pPr>
            <w:r>
              <w:rPr>
                <w:rFonts w:ascii="宋体" w:hAnsi="宋体" w:eastAsia="宋体" w:cs="宋体"/>
                <w:sz w:val="18"/>
                <w:szCs w:val="18"/>
              </w:rPr>
              <w:t>150,806,512.44</w:t>
            </w:r>
          </w:p>
        </w:tc>
        <w:tc>
          <w:tcPr>
            <w:tcW w:w="2410" w:type="dxa"/>
            <w:tcBorders>
              <w:top w:val="single" w:color="auto" w:sz="2" w:space="0"/>
              <w:left w:val="single" w:color="auto" w:sz="2" w:space="0"/>
              <w:bottom w:val="single" w:color="auto" w:sz="2" w:space="0"/>
              <w:right w:val="single" w:color="auto" w:sz="2" w:space="0"/>
            </w:tcBorders>
            <w:vAlign w:val="center"/>
          </w:tcPr>
          <w:p w14:paraId="33B2323D">
            <w:pPr>
              <w:spacing w:line="240" w:lineRule="exact"/>
              <w:jc w:val="right"/>
              <w:rPr>
                <w:rFonts w:ascii="宋体" w:hAnsi="宋体" w:eastAsia="宋体" w:cs="宋体"/>
                <w:sz w:val="18"/>
                <w:szCs w:val="18"/>
              </w:rPr>
            </w:pPr>
            <w:r>
              <w:rPr>
                <w:rFonts w:ascii="宋体" w:hAnsi="宋体" w:eastAsia="宋体" w:cs="宋体"/>
                <w:sz w:val="18"/>
                <w:szCs w:val="18"/>
              </w:rPr>
              <w:t>-13.08%</w:t>
            </w:r>
          </w:p>
        </w:tc>
      </w:tr>
      <w:tr w14:paraId="56F05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08C4208">
            <w:pPr>
              <w:spacing w:before="40" w:after="40" w:line="240" w:lineRule="exact"/>
              <w:rPr>
                <w:rFonts w:ascii="宋体" w:hAnsi="宋体" w:eastAsia="宋体" w:cs="宋体"/>
                <w:sz w:val="18"/>
                <w:szCs w:val="18"/>
              </w:rPr>
            </w:pPr>
            <w:r>
              <w:rPr>
                <w:rFonts w:ascii="宋体" w:hAnsi="宋体" w:eastAsia="宋体" w:cs="宋体"/>
                <w:sz w:val="18"/>
                <w:szCs w:val="18"/>
              </w:rPr>
              <w:t>研发投入占营业收入比例</w:t>
            </w:r>
          </w:p>
        </w:tc>
        <w:tc>
          <w:tcPr>
            <w:tcW w:w="2410" w:type="dxa"/>
            <w:tcBorders>
              <w:top w:val="single" w:color="auto" w:sz="2" w:space="0"/>
              <w:left w:val="single" w:color="auto" w:sz="2" w:space="0"/>
              <w:bottom w:val="single" w:color="auto" w:sz="2" w:space="0"/>
              <w:right w:val="single" w:color="auto" w:sz="2" w:space="0"/>
            </w:tcBorders>
            <w:vAlign w:val="center"/>
          </w:tcPr>
          <w:p w14:paraId="1F89A133">
            <w:pPr>
              <w:spacing w:line="240" w:lineRule="exact"/>
              <w:jc w:val="right"/>
              <w:rPr>
                <w:rFonts w:ascii="宋体" w:hAnsi="宋体" w:eastAsia="宋体" w:cs="宋体"/>
                <w:sz w:val="18"/>
                <w:szCs w:val="18"/>
              </w:rPr>
            </w:pPr>
            <w:r>
              <w:rPr>
                <w:rFonts w:ascii="宋体" w:hAnsi="宋体" w:eastAsia="宋体" w:cs="宋体"/>
                <w:sz w:val="18"/>
                <w:szCs w:val="18"/>
              </w:rPr>
              <w:t>1.63%</w:t>
            </w:r>
          </w:p>
        </w:tc>
        <w:tc>
          <w:tcPr>
            <w:tcW w:w="2410" w:type="dxa"/>
            <w:tcBorders>
              <w:top w:val="single" w:color="auto" w:sz="2" w:space="0"/>
              <w:left w:val="single" w:color="auto" w:sz="2" w:space="0"/>
              <w:bottom w:val="single" w:color="auto" w:sz="2" w:space="0"/>
              <w:right w:val="single" w:color="auto" w:sz="2" w:space="0"/>
            </w:tcBorders>
            <w:vAlign w:val="center"/>
          </w:tcPr>
          <w:p w14:paraId="2B2C0D93">
            <w:pPr>
              <w:spacing w:line="240" w:lineRule="exact"/>
              <w:jc w:val="right"/>
              <w:rPr>
                <w:rFonts w:ascii="宋体" w:hAnsi="宋体" w:eastAsia="宋体" w:cs="宋体"/>
                <w:sz w:val="18"/>
                <w:szCs w:val="18"/>
              </w:rPr>
            </w:pPr>
            <w:r>
              <w:rPr>
                <w:rFonts w:ascii="宋体" w:hAnsi="宋体" w:eastAsia="宋体" w:cs="宋体"/>
                <w:sz w:val="18"/>
                <w:szCs w:val="18"/>
              </w:rPr>
              <w:t>1.40%</w:t>
            </w:r>
          </w:p>
        </w:tc>
        <w:tc>
          <w:tcPr>
            <w:tcW w:w="2410" w:type="dxa"/>
            <w:tcBorders>
              <w:top w:val="single" w:color="auto" w:sz="2" w:space="0"/>
              <w:left w:val="single" w:color="auto" w:sz="2" w:space="0"/>
              <w:bottom w:val="single" w:color="auto" w:sz="2" w:space="0"/>
              <w:right w:val="single" w:color="auto" w:sz="2" w:space="0"/>
            </w:tcBorders>
            <w:vAlign w:val="center"/>
          </w:tcPr>
          <w:p w14:paraId="3E188638">
            <w:pPr>
              <w:spacing w:line="240" w:lineRule="exact"/>
              <w:jc w:val="right"/>
              <w:rPr>
                <w:rFonts w:ascii="宋体" w:hAnsi="宋体" w:eastAsia="宋体" w:cs="宋体"/>
                <w:sz w:val="18"/>
                <w:szCs w:val="18"/>
              </w:rPr>
            </w:pPr>
            <w:r>
              <w:rPr>
                <w:rFonts w:ascii="宋体" w:hAnsi="宋体" w:eastAsia="宋体" w:cs="宋体"/>
                <w:sz w:val="18"/>
                <w:szCs w:val="18"/>
              </w:rPr>
              <w:t>0.23%</w:t>
            </w:r>
          </w:p>
        </w:tc>
      </w:tr>
      <w:tr w14:paraId="1471F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BECA9AD">
            <w:pPr>
              <w:spacing w:before="40" w:after="40" w:line="240" w:lineRule="exact"/>
              <w:rPr>
                <w:rFonts w:ascii="宋体" w:hAnsi="宋体" w:eastAsia="宋体" w:cs="宋体"/>
                <w:sz w:val="18"/>
                <w:szCs w:val="18"/>
              </w:rPr>
            </w:pPr>
            <w:r>
              <w:rPr>
                <w:rFonts w:ascii="宋体" w:hAnsi="宋体" w:eastAsia="宋体" w:cs="宋体"/>
                <w:sz w:val="18"/>
                <w:szCs w:val="18"/>
              </w:rPr>
              <w:t>研发投入资本化的金额（元）</w:t>
            </w:r>
          </w:p>
        </w:tc>
        <w:tc>
          <w:tcPr>
            <w:tcW w:w="2410" w:type="dxa"/>
            <w:tcBorders>
              <w:top w:val="single" w:color="auto" w:sz="2" w:space="0"/>
              <w:left w:val="single" w:color="auto" w:sz="2" w:space="0"/>
              <w:bottom w:val="single" w:color="auto" w:sz="2" w:space="0"/>
              <w:right w:val="single" w:color="auto" w:sz="2" w:space="0"/>
            </w:tcBorders>
            <w:vAlign w:val="center"/>
          </w:tcPr>
          <w:p w14:paraId="4D507653">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2410" w:type="dxa"/>
            <w:tcBorders>
              <w:top w:val="single" w:color="auto" w:sz="2" w:space="0"/>
              <w:left w:val="single" w:color="auto" w:sz="2" w:space="0"/>
              <w:bottom w:val="single" w:color="auto" w:sz="2" w:space="0"/>
              <w:right w:val="single" w:color="auto" w:sz="2" w:space="0"/>
            </w:tcBorders>
            <w:vAlign w:val="center"/>
          </w:tcPr>
          <w:p w14:paraId="2F568B92">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2410" w:type="dxa"/>
            <w:tcBorders>
              <w:top w:val="single" w:color="auto" w:sz="2" w:space="0"/>
              <w:left w:val="single" w:color="auto" w:sz="2" w:space="0"/>
              <w:bottom w:val="single" w:color="auto" w:sz="2" w:space="0"/>
              <w:right w:val="single" w:color="auto" w:sz="2" w:space="0"/>
            </w:tcBorders>
            <w:vAlign w:val="center"/>
          </w:tcPr>
          <w:p w14:paraId="551B0B77">
            <w:pPr>
              <w:spacing w:line="240" w:lineRule="exact"/>
              <w:jc w:val="right"/>
              <w:rPr>
                <w:rFonts w:ascii="宋体" w:hAnsi="宋体" w:eastAsia="宋体" w:cs="宋体"/>
                <w:sz w:val="18"/>
                <w:szCs w:val="18"/>
              </w:rPr>
            </w:pPr>
            <w:r>
              <w:rPr>
                <w:rFonts w:ascii="宋体" w:hAnsi="宋体" w:eastAsia="宋体" w:cs="宋体"/>
                <w:sz w:val="18"/>
                <w:szCs w:val="18"/>
              </w:rPr>
              <w:t>0.00%</w:t>
            </w:r>
          </w:p>
        </w:tc>
      </w:tr>
      <w:tr w14:paraId="48D73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15FF8A6">
            <w:pPr>
              <w:spacing w:before="40" w:after="40" w:line="240" w:lineRule="exact"/>
              <w:rPr>
                <w:rFonts w:ascii="宋体" w:hAnsi="宋体" w:eastAsia="宋体" w:cs="宋体"/>
                <w:sz w:val="18"/>
                <w:szCs w:val="18"/>
              </w:rPr>
            </w:pPr>
            <w:r>
              <w:rPr>
                <w:rFonts w:ascii="宋体" w:hAnsi="宋体" w:eastAsia="宋体" w:cs="宋体"/>
                <w:sz w:val="18"/>
                <w:szCs w:val="18"/>
              </w:rPr>
              <w:t>资本化研发投入占研发投入的比例</w:t>
            </w:r>
          </w:p>
        </w:tc>
        <w:tc>
          <w:tcPr>
            <w:tcW w:w="2410" w:type="dxa"/>
            <w:tcBorders>
              <w:top w:val="single" w:color="auto" w:sz="2" w:space="0"/>
              <w:left w:val="single" w:color="auto" w:sz="2" w:space="0"/>
              <w:bottom w:val="single" w:color="auto" w:sz="2" w:space="0"/>
              <w:right w:val="single" w:color="auto" w:sz="2" w:space="0"/>
            </w:tcBorders>
            <w:vAlign w:val="center"/>
          </w:tcPr>
          <w:p w14:paraId="2BA21FA1">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2410" w:type="dxa"/>
            <w:tcBorders>
              <w:top w:val="single" w:color="auto" w:sz="2" w:space="0"/>
              <w:left w:val="single" w:color="auto" w:sz="2" w:space="0"/>
              <w:bottom w:val="single" w:color="auto" w:sz="2" w:space="0"/>
              <w:right w:val="single" w:color="auto" w:sz="2" w:space="0"/>
            </w:tcBorders>
            <w:vAlign w:val="center"/>
          </w:tcPr>
          <w:p w14:paraId="2CE1FA12">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2410" w:type="dxa"/>
            <w:tcBorders>
              <w:top w:val="single" w:color="auto" w:sz="2" w:space="0"/>
              <w:left w:val="single" w:color="auto" w:sz="2" w:space="0"/>
              <w:bottom w:val="single" w:color="auto" w:sz="2" w:space="0"/>
              <w:right w:val="single" w:color="auto" w:sz="2" w:space="0"/>
            </w:tcBorders>
            <w:vAlign w:val="center"/>
          </w:tcPr>
          <w:p w14:paraId="1DF7342F">
            <w:pPr>
              <w:spacing w:line="240" w:lineRule="exact"/>
              <w:jc w:val="right"/>
              <w:rPr>
                <w:rFonts w:ascii="宋体" w:hAnsi="宋体" w:eastAsia="宋体" w:cs="宋体"/>
                <w:sz w:val="18"/>
                <w:szCs w:val="18"/>
              </w:rPr>
            </w:pPr>
            <w:r>
              <w:rPr>
                <w:rFonts w:ascii="宋体" w:hAnsi="宋体" w:eastAsia="宋体" w:cs="宋体"/>
                <w:sz w:val="18"/>
                <w:szCs w:val="18"/>
              </w:rPr>
              <w:t>0.00%</w:t>
            </w:r>
          </w:p>
        </w:tc>
      </w:tr>
    </w:tbl>
    <w:p w14:paraId="79218415">
      <w:pPr>
        <w:spacing w:before="100" w:after="100" w:line="240" w:lineRule="exact"/>
        <w:rPr>
          <w:rFonts w:ascii="宋体" w:hAnsi="宋体" w:eastAsia="宋体" w:cs="宋体"/>
          <w:sz w:val="18"/>
          <w:szCs w:val="18"/>
        </w:rPr>
      </w:pPr>
      <w:r>
        <w:rPr>
          <w:rFonts w:ascii="宋体" w:hAnsi="宋体" w:eastAsia="宋体" w:cs="宋体"/>
          <w:sz w:val="18"/>
          <w:szCs w:val="18"/>
        </w:rPr>
        <w:t>公司研发人员构成发生重大变化的原因及影响</w:t>
      </w:r>
    </w:p>
    <w:p w14:paraId="759789C5">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7BF4499">
      <w:pPr>
        <w:spacing w:before="100" w:after="100" w:line="240" w:lineRule="exact"/>
        <w:rPr>
          <w:rFonts w:ascii="宋体" w:hAnsi="宋体" w:eastAsia="宋体" w:cs="宋体"/>
          <w:sz w:val="18"/>
          <w:szCs w:val="18"/>
        </w:rPr>
      </w:pPr>
      <w:r>
        <w:rPr>
          <w:rFonts w:ascii="宋体" w:hAnsi="宋体" w:eastAsia="宋体" w:cs="宋体"/>
          <w:sz w:val="18"/>
          <w:szCs w:val="18"/>
        </w:rPr>
        <w:t>研发投入总额占营业收入的比重较上年发生显著变化的原因</w:t>
      </w:r>
    </w:p>
    <w:p w14:paraId="629815DA">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EC3DF3E">
      <w:pPr>
        <w:spacing w:before="100" w:after="100" w:line="240" w:lineRule="exact"/>
        <w:rPr>
          <w:rFonts w:ascii="宋体" w:hAnsi="宋体" w:eastAsia="宋体" w:cs="宋体"/>
          <w:sz w:val="18"/>
          <w:szCs w:val="18"/>
        </w:rPr>
      </w:pPr>
      <w:r>
        <w:rPr>
          <w:rFonts w:ascii="宋体" w:hAnsi="宋体" w:eastAsia="宋体" w:cs="宋体"/>
          <w:sz w:val="18"/>
          <w:szCs w:val="18"/>
        </w:rPr>
        <w:t>研发投入资本化率大幅变动的原因及其合理性说明</w:t>
      </w:r>
    </w:p>
    <w:p w14:paraId="486BB404">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CF24584">
      <w:pPr>
        <w:pStyle w:val="3"/>
        <w:spacing w:line="280" w:lineRule="exact"/>
        <w:jc w:val="left"/>
        <w:rPr>
          <w:rFonts w:ascii="宋体" w:hAnsi="宋体" w:cs="宋体"/>
          <w:b/>
          <w:bCs/>
        </w:rPr>
      </w:pPr>
      <w:bookmarkStart w:id="39" w:name="_Toc988928"/>
      <w:r>
        <w:rPr>
          <w:rFonts w:ascii="宋体" w:hAnsi="宋体" w:cs="宋体"/>
          <w:b/>
          <w:bCs/>
        </w:rPr>
        <w:t>6、现金流</w:t>
      </w:r>
      <w:bookmarkEnd w:id="39"/>
    </w:p>
    <w:p w14:paraId="566BDB4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61"/>
        <w:gridCol w:w="2126"/>
        <w:gridCol w:w="2126"/>
        <w:gridCol w:w="2126"/>
      </w:tblGrid>
      <w:tr w14:paraId="0221D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tcBorders>
              <w:top w:val="single" w:color="auto" w:sz="2" w:space="0"/>
              <w:left w:val="single" w:color="auto" w:sz="2" w:space="0"/>
              <w:bottom w:val="single" w:color="auto" w:sz="2" w:space="0"/>
              <w:right w:val="single" w:color="auto" w:sz="2" w:space="0"/>
            </w:tcBorders>
            <w:shd w:val="clear" w:color="auto" w:fill="D3D3D3"/>
            <w:vAlign w:val="center"/>
          </w:tcPr>
          <w:p w14:paraId="26D88FE4">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14:paraId="617A64A8">
            <w:pPr>
              <w:spacing w:before="40" w:after="40" w:line="240" w:lineRule="exact"/>
              <w:jc w:val="center"/>
              <w:rPr>
                <w:rFonts w:ascii="宋体" w:hAnsi="宋体" w:eastAsia="宋体" w:cs="宋体"/>
                <w:sz w:val="18"/>
                <w:szCs w:val="18"/>
              </w:rPr>
            </w:pPr>
            <w:r>
              <w:rPr>
                <w:rFonts w:ascii="宋体" w:hAnsi="宋体" w:eastAsia="宋体" w:cs="宋体"/>
                <w:sz w:val="18"/>
                <w:szCs w:val="18"/>
              </w:rPr>
              <w:t>2025年</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14:paraId="0A902240">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14:paraId="0471C0A0">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14:paraId="74B9C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tcBorders>
              <w:top w:val="single" w:color="auto" w:sz="2" w:space="0"/>
              <w:left w:val="single" w:color="auto" w:sz="2" w:space="0"/>
              <w:bottom w:val="single" w:color="auto" w:sz="2" w:space="0"/>
              <w:right w:val="single" w:color="auto" w:sz="2" w:space="0"/>
            </w:tcBorders>
            <w:shd w:val="clear" w:color="auto" w:fill="D3D3D3"/>
            <w:vAlign w:val="center"/>
          </w:tcPr>
          <w:p w14:paraId="1BB96512">
            <w:pPr>
              <w:spacing w:before="40" w:after="40" w:line="240" w:lineRule="exact"/>
              <w:rPr>
                <w:rFonts w:ascii="宋体" w:hAnsi="宋体" w:eastAsia="宋体" w:cs="宋体"/>
                <w:sz w:val="18"/>
                <w:szCs w:val="18"/>
              </w:rPr>
            </w:pPr>
            <w:r>
              <w:rPr>
                <w:rFonts w:ascii="宋体" w:hAnsi="宋体" w:eastAsia="宋体" w:cs="宋体"/>
                <w:sz w:val="18"/>
                <w:szCs w:val="18"/>
              </w:rPr>
              <w:t>经营活动现金流入小计</w:t>
            </w:r>
          </w:p>
        </w:tc>
        <w:tc>
          <w:tcPr>
            <w:tcW w:w="2126" w:type="dxa"/>
            <w:tcBorders>
              <w:top w:val="single" w:color="auto" w:sz="2" w:space="0"/>
              <w:left w:val="single" w:color="auto" w:sz="2" w:space="0"/>
              <w:bottom w:val="single" w:color="auto" w:sz="2" w:space="0"/>
              <w:right w:val="single" w:color="auto" w:sz="2" w:space="0"/>
            </w:tcBorders>
            <w:vAlign w:val="center"/>
          </w:tcPr>
          <w:p w14:paraId="44C63F9F">
            <w:pPr>
              <w:spacing w:line="240" w:lineRule="exact"/>
              <w:jc w:val="right"/>
              <w:rPr>
                <w:rFonts w:ascii="宋体" w:hAnsi="宋体" w:eastAsia="宋体" w:cs="宋体"/>
                <w:sz w:val="18"/>
                <w:szCs w:val="18"/>
              </w:rPr>
            </w:pPr>
            <w:r>
              <w:rPr>
                <w:rFonts w:ascii="宋体" w:hAnsi="宋体" w:eastAsia="宋体" w:cs="宋体"/>
                <w:sz w:val="18"/>
                <w:szCs w:val="18"/>
              </w:rPr>
              <w:t>9,548,201,796.36</w:t>
            </w:r>
          </w:p>
        </w:tc>
        <w:tc>
          <w:tcPr>
            <w:tcW w:w="2126" w:type="dxa"/>
            <w:tcBorders>
              <w:top w:val="single" w:color="auto" w:sz="2" w:space="0"/>
              <w:left w:val="single" w:color="auto" w:sz="2" w:space="0"/>
              <w:bottom w:val="single" w:color="auto" w:sz="2" w:space="0"/>
              <w:right w:val="single" w:color="auto" w:sz="2" w:space="0"/>
            </w:tcBorders>
            <w:vAlign w:val="center"/>
          </w:tcPr>
          <w:p w14:paraId="1C2C3C1A">
            <w:pPr>
              <w:spacing w:line="240" w:lineRule="exact"/>
              <w:jc w:val="right"/>
              <w:rPr>
                <w:rFonts w:ascii="宋体" w:hAnsi="宋体" w:eastAsia="宋体" w:cs="宋体"/>
                <w:sz w:val="18"/>
                <w:szCs w:val="18"/>
              </w:rPr>
            </w:pPr>
            <w:r>
              <w:rPr>
                <w:rFonts w:ascii="宋体" w:hAnsi="宋体" w:eastAsia="宋体" w:cs="宋体"/>
                <w:sz w:val="18"/>
                <w:szCs w:val="18"/>
              </w:rPr>
              <w:t>11,853,609,904.63</w:t>
            </w:r>
          </w:p>
        </w:tc>
        <w:tc>
          <w:tcPr>
            <w:tcW w:w="2126" w:type="dxa"/>
            <w:tcBorders>
              <w:top w:val="single" w:color="auto" w:sz="2" w:space="0"/>
              <w:left w:val="single" w:color="auto" w:sz="2" w:space="0"/>
              <w:bottom w:val="single" w:color="auto" w:sz="2" w:space="0"/>
              <w:right w:val="single" w:color="auto" w:sz="2" w:space="0"/>
            </w:tcBorders>
            <w:vAlign w:val="center"/>
          </w:tcPr>
          <w:p w14:paraId="3EF98D4F">
            <w:pPr>
              <w:spacing w:line="240" w:lineRule="exact"/>
              <w:jc w:val="right"/>
              <w:rPr>
                <w:rFonts w:ascii="宋体" w:hAnsi="宋体" w:eastAsia="宋体" w:cs="宋体"/>
                <w:sz w:val="18"/>
                <w:szCs w:val="18"/>
              </w:rPr>
            </w:pPr>
            <w:r>
              <w:rPr>
                <w:rFonts w:ascii="宋体" w:hAnsi="宋体" w:eastAsia="宋体" w:cs="宋体"/>
                <w:sz w:val="18"/>
                <w:szCs w:val="18"/>
              </w:rPr>
              <w:t>-19.45%</w:t>
            </w:r>
          </w:p>
        </w:tc>
      </w:tr>
      <w:tr w14:paraId="4DFAD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tcBorders>
              <w:top w:val="single" w:color="auto" w:sz="2" w:space="0"/>
              <w:left w:val="single" w:color="auto" w:sz="2" w:space="0"/>
              <w:bottom w:val="single" w:color="auto" w:sz="2" w:space="0"/>
              <w:right w:val="single" w:color="auto" w:sz="2" w:space="0"/>
            </w:tcBorders>
            <w:shd w:val="clear" w:color="auto" w:fill="D3D3D3"/>
            <w:vAlign w:val="center"/>
          </w:tcPr>
          <w:p w14:paraId="217269A5">
            <w:pPr>
              <w:spacing w:before="40" w:after="40" w:line="240" w:lineRule="exact"/>
              <w:rPr>
                <w:rFonts w:ascii="宋体" w:hAnsi="宋体" w:eastAsia="宋体" w:cs="宋体"/>
                <w:sz w:val="18"/>
                <w:szCs w:val="18"/>
              </w:rPr>
            </w:pPr>
            <w:r>
              <w:rPr>
                <w:rFonts w:ascii="宋体" w:hAnsi="宋体" w:eastAsia="宋体" w:cs="宋体"/>
                <w:sz w:val="18"/>
                <w:szCs w:val="18"/>
              </w:rPr>
              <w:t>经营活动现金流出小计</w:t>
            </w:r>
          </w:p>
        </w:tc>
        <w:tc>
          <w:tcPr>
            <w:tcW w:w="2126" w:type="dxa"/>
            <w:tcBorders>
              <w:top w:val="single" w:color="auto" w:sz="2" w:space="0"/>
              <w:left w:val="single" w:color="auto" w:sz="2" w:space="0"/>
              <w:bottom w:val="single" w:color="auto" w:sz="2" w:space="0"/>
              <w:right w:val="single" w:color="auto" w:sz="2" w:space="0"/>
            </w:tcBorders>
            <w:vAlign w:val="center"/>
          </w:tcPr>
          <w:p w14:paraId="1F650A4D">
            <w:pPr>
              <w:spacing w:line="240" w:lineRule="exact"/>
              <w:jc w:val="right"/>
              <w:rPr>
                <w:rFonts w:ascii="宋体" w:hAnsi="宋体" w:eastAsia="宋体" w:cs="宋体"/>
                <w:sz w:val="18"/>
                <w:szCs w:val="18"/>
              </w:rPr>
            </w:pPr>
            <w:r>
              <w:rPr>
                <w:rFonts w:ascii="宋体" w:hAnsi="宋体" w:eastAsia="宋体" w:cs="宋体"/>
                <w:sz w:val="18"/>
                <w:szCs w:val="18"/>
              </w:rPr>
              <w:t>8,079,341,104.51</w:t>
            </w:r>
          </w:p>
        </w:tc>
        <w:tc>
          <w:tcPr>
            <w:tcW w:w="2126" w:type="dxa"/>
            <w:tcBorders>
              <w:top w:val="single" w:color="auto" w:sz="2" w:space="0"/>
              <w:left w:val="single" w:color="auto" w:sz="2" w:space="0"/>
              <w:bottom w:val="single" w:color="auto" w:sz="2" w:space="0"/>
              <w:right w:val="single" w:color="auto" w:sz="2" w:space="0"/>
            </w:tcBorders>
            <w:vAlign w:val="center"/>
          </w:tcPr>
          <w:p w14:paraId="1E165BB1">
            <w:pPr>
              <w:spacing w:line="240" w:lineRule="exact"/>
              <w:jc w:val="right"/>
              <w:rPr>
                <w:rFonts w:ascii="宋体" w:hAnsi="宋体" w:eastAsia="宋体" w:cs="宋体"/>
                <w:sz w:val="18"/>
                <w:szCs w:val="18"/>
              </w:rPr>
            </w:pPr>
            <w:r>
              <w:rPr>
                <w:rFonts w:ascii="宋体" w:hAnsi="宋体" w:eastAsia="宋体" w:cs="宋体"/>
                <w:sz w:val="18"/>
                <w:szCs w:val="18"/>
              </w:rPr>
              <w:t>11,581,395,469.24</w:t>
            </w:r>
          </w:p>
        </w:tc>
        <w:tc>
          <w:tcPr>
            <w:tcW w:w="2126" w:type="dxa"/>
            <w:tcBorders>
              <w:top w:val="single" w:color="auto" w:sz="2" w:space="0"/>
              <w:left w:val="single" w:color="auto" w:sz="2" w:space="0"/>
              <w:bottom w:val="single" w:color="auto" w:sz="2" w:space="0"/>
              <w:right w:val="single" w:color="auto" w:sz="2" w:space="0"/>
            </w:tcBorders>
            <w:vAlign w:val="center"/>
          </w:tcPr>
          <w:p w14:paraId="28647A99">
            <w:pPr>
              <w:spacing w:line="240" w:lineRule="exact"/>
              <w:jc w:val="right"/>
              <w:rPr>
                <w:rFonts w:ascii="宋体" w:hAnsi="宋体" w:eastAsia="宋体" w:cs="宋体"/>
                <w:sz w:val="18"/>
                <w:szCs w:val="18"/>
              </w:rPr>
            </w:pPr>
            <w:r>
              <w:rPr>
                <w:rFonts w:ascii="宋体" w:hAnsi="宋体" w:eastAsia="宋体" w:cs="宋体"/>
                <w:sz w:val="18"/>
                <w:szCs w:val="18"/>
              </w:rPr>
              <w:t>-30.24%</w:t>
            </w:r>
          </w:p>
        </w:tc>
      </w:tr>
      <w:tr w14:paraId="7B55B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tcBorders>
              <w:top w:val="single" w:color="auto" w:sz="2" w:space="0"/>
              <w:left w:val="single" w:color="auto" w:sz="2" w:space="0"/>
              <w:bottom w:val="single" w:color="auto" w:sz="2" w:space="0"/>
              <w:right w:val="single" w:color="auto" w:sz="2" w:space="0"/>
            </w:tcBorders>
            <w:shd w:val="clear" w:color="auto" w:fill="D3D3D3"/>
            <w:vAlign w:val="center"/>
          </w:tcPr>
          <w:p w14:paraId="2CABE259">
            <w:pPr>
              <w:spacing w:before="40" w:after="40" w:line="240" w:lineRule="exact"/>
              <w:rPr>
                <w:rFonts w:ascii="宋体" w:hAnsi="宋体" w:eastAsia="宋体" w:cs="宋体"/>
                <w:sz w:val="18"/>
                <w:szCs w:val="18"/>
              </w:rPr>
            </w:pPr>
            <w:r>
              <w:rPr>
                <w:rFonts w:ascii="宋体" w:hAnsi="宋体" w:eastAsia="宋体" w:cs="宋体"/>
                <w:sz w:val="18"/>
                <w:szCs w:val="18"/>
              </w:rPr>
              <w:t>经营活动产生的现金流量净额</w:t>
            </w:r>
          </w:p>
        </w:tc>
        <w:tc>
          <w:tcPr>
            <w:tcW w:w="2126" w:type="dxa"/>
            <w:tcBorders>
              <w:top w:val="single" w:color="auto" w:sz="2" w:space="0"/>
              <w:left w:val="single" w:color="auto" w:sz="2" w:space="0"/>
              <w:bottom w:val="single" w:color="auto" w:sz="2" w:space="0"/>
              <w:right w:val="single" w:color="auto" w:sz="2" w:space="0"/>
            </w:tcBorders>
            <w:vAlign w:val="center"/>
          </w:tcPr>
          <w:p w14:paraId="1A327C5B">
            <w:pPr>
              <w:spacing w:line="240" w:lineRule="exact"/>
              <w:jc w:val="right"/>
              <w:rPr>
                <w:rFonts w:ascii="宋体" w:hAnsi="宋体" w:eastAsia="宋体" w:cs="宋体"/>
                <w:sz w:val="18"/>
                <w:szCs w:val="18"/>
              </w:rPr>
            </w:pPr>
            <w:r>
              <w:rPr>
                <w:rFonts w:ascii="宋体" w:hAnsi="宋体" w:eastAsia="宋体" w:cs="宋体"/>
                <w:sz w:val="18"/>
                <w:szCs w:val="18"/>
              </w:rPr>
              <w:t>1,468,860,691.85</w:t>
            </w:r>
          </w:p>
        </w:tc>
        <w:tc>
          <w:tcPr>
            <w:tcW w:w="2126" w:type="dxa"/>
            <w:tcBorders>
              <w:top w:val="single" w:color="auto" w:sz="2" w:space="0"/>
              <w:left w:val="single" w:color="auto" w:sz="2" w:space="0"/>
              <w:bottom w:val="single" w:color="auto" w:sz="2" w:space="0"/>
              <w:right w:val="single" w:color="auto" w:sz="2" w:space="0"/>
            </w:tcBorders>
            <w:vAlign w:val="center"/>
          </w:tcPr>
          <w:p w14:paraId="65DBD57E">
            <w:pPr>
              <w:spacing w:line="240" w:lineRule="exact"/>
              <w:jc w:val="right"/>
              <w:rPr>
                <w:rFonts w:ascii="宋体" w:hAnsi="宋体" w:eastAsia="宋体" w:cs="宋体"/>
                <w:sz w:val="18"/>
                <w:szCs w:val="18"/>
              </w:rPr>
            </w:pPr>
            <w:r>
              <w:rPr>
                <w:rFonts w:ascii="宋体" w:hAnsi="宋体" w:eastAsia="宋体" w:cs="宋体"/>
                <w:sz w:val="18"/>
                <w:szCs w:val="18"/>
              </w:rPr>
              <w:t>272,214,435.39</w:t>
            </w:r>
          </w:p>
        </w:tc>
        <w:tc>
          <w:tcPr>
            <w:tcW w:w="2126" w:type="dxa"/>
            <w:tcBorders>
              <w:top w:val="single" w:color="auto" w:sz="2" w:space="0"/>
              <w:left w:val="single" w:color="auto" w:sz="2" w:space="0"/>
              <w:bottom w:val="single" w:color="auto" w:sz="2" w:space="0"/>
              <w:right w:val="single" w:color="auto" w:sz="2" w:space="0"/>
            </w:tcBorders>
            <w:vAlign w:val="center"/>
          </w:tcPr>
          <w:p w14:paraId="48C51550">
            <w:pPr>
              <w:spacing w:line="240" w:lineRule="exact"/>
              <w:jc w:val="right"/>
              <w:rPr>
                <w:rFonts w:ascii="宋体" w:hAnsi="宋体" w:eastAsia="宋体" w:cs="宋体"/>
                <w:sz w:val="18"/>
                <w:szCs w:val="18"/>
              </w:rPr>
            </w:pPr>
            <w:r>
              <w:rPr>
                <w:rFonts w:ascii="宋体" w:hAnsi="宋体" w:eastAsia="宋体" w:cs="宋体"/>
                <w:sz w:val="18"/>
                <w:szCs w:val="18"/>
              </w:rPr>
              <w:t>439.60%</w:t>
            </w:r>
          </w:p>
        </w:tc>
      </w:tr>
      <w:tr w14:paraId="5EC56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tcBorders>
              <w:top w:val="single" w:color="auto" w:sz="2" w:space="0"/>
              <w:left w:val="single" w:color="auto" w:sz="2" w:space="0"/>
              <w:bottom w:val="single" w:color="auto" w:sz="2" w:space="0"/>
              <w:right w:val="single" w:color="auto" w:sz="2" w:space="0"/>
            </w:tcBorders>
            <w:shd w:val="clear" w:color="auto" w:fill="D3D3D3"/>
            <w:vAlign w:val="center"/>
          </w:tcPr>
          <w:p w14:paraId="7A9D5B54">
            <w:pPr>
              <w:spacing w:before="40" w:after="40" w:line="240" w:lineRule="exact"/>
              <w:rPr>
                <w:rFonts w:ascii="宋体" w:hAnsi="宋体" w:eastAsia="宋体" w:cs="宋体"/>
                <w:sz w:val="18"/>
                <w:szCs w:val="18"/>
              </w:rPr>
            </w:pPr>
            <w:r>
              <w:rPr>
                <w:rFonts w:ascii="宋体" w:hAnsi="宋体" w:eastAsia="宋体" w:cs="宋体"/>
                <w:sz w:val="18"/>
                <w:szCs w:val="18"/>
              </w:rPr>
              <w:t>投资活动现金流入小计</w:t>
            </w:r>
          </w:p>
        </w:tc>
        <w:tc>
          <w:tcPr>
            <w:tcW w:w="2126" w:type="dxa"/>
            <w:tcBorders>
              <w:top w:val="single" w:color="auto" w:sz="2" w:space="0"/>
              <w:left w:val="single" w:color="auto" w:sz="2" w:space="0"/>
              <w:bottom w:val="single" w:color="auto" w:sz="2" w:space="0"/>
              <w:right w:val="single" w:color="auto" w:sz="2" w:space="0"/>
            </w:tcBorders>
            <w:vAlign w:val="center"/>
          </w:tcPr>
          <w:p w14:paraId="63392266">
            <w:pPr>
              <w:spacing w:line="240" w:lineRule="exact"/>
              <w:jc w:val="right"/>
              <w:rPr>
                <w:rFonts w:ascii="宋体" w:hAnsi="宋体" w:eastAsia="宋体" w:cs="宋体"/>
                <w:sz w:val="18"/>
                <w:szCs w:val="18"/>
              </w:rPr>
            </w:pPr>
            <w:r>
              <w:rPr>
                <w:rFonts w:ascii="宋体" w:hAnsi="宋体" w:eastAsia="宋体" w:cs="宋体"/>
                <w:sz w:val="18"/>
                <w:szCs w:val="18"/>
              </w:rPr>
              <w:t>2,649,435,607.21</w:t>
            </w:r>
          </w:p>
        </w:tc>
        <w:tc>
          <w:tcPr>
            <w:tcW w:w="2126" w:type="dxa"/>
            <w:tcBorders>
              <w:top w:val="single" w:color="auto" w:sz="2" w:space="0"/>
              <w:left w:val="single" w:color="auto" w:sz="2" w:space="0"/>
              <w:bottom w:val="single" w:color="auto" w:sz="2" w:space="0"/>
              <w:right w:val="single" w:color="auto" w:sz="2" w:space="0"/>
            </w:tcBorders>
            <w:vAlign w:val="center"/>
          </w:tcPr>
          <w:p w14:paraId="74DD8BAA">
            <w:pPr>
              <w:spacing w:line="240" w:lineRule="exact"/>
              <w:jc w:val="right"/>
              <w:rPr>
                <w:rFonts w:ascii="宋体" w:hAnsi="宋体" w:eastAsia="宋体" w:cs="宋体"/>
                <w:sz w:val="18"/>
                <w:szCs w:val="18"/>
              </w:rPr>
            </w:pPr>
            <w:r>
              <w:rPr>
                <w:rFonts w:ascii="宋体" w:hAnsi="宋体" w:eastAsia="宋体" w:cs="宋体"/>
                <w:sz w:val="18"/>
                <w:szCs w:val="18"/>
              </w:rPr>
              <w:t>727,205,770.57</w:t>
            </w:r>
          </w:p>
        </w:tc>
        <w:tc>
          <w:tcPr>
            <w:tcW w:w="2126" w:type="dxa"/>
            <w:tcBorders>
              <w:top w:val="single" w:color="auto" w:sz="2" w:space="0"/>
              <w:left w:val="single" w:color="auto" w:sz="2" w:space="0"/>
              <w:bottom w:val="single" w:color="auto" w:sz="2" w:space="0"/>
              <w:right w:val="single" w:color="auto" w:sz="2" w:space="0"/>
            </w:tcBorders>
            <w:vAlign w:val="center"/>
          </w:tcPr>
          <w:p w14:paraId="44EDD335">
            <w:pPr>
              <w:spacing w:line="240" w:lineRule="exact"/>
              <w:jc w:val="right"/>
              <w:rPr>
                <w:rFonts w:ascii="宋体" w:hAnsi="宋体" w:eastAsia="宋体" w:cs="宋体"/>
                <w:sz w:val="18"/>
                <w:szCs w:val="18"/>
              </w:rPr>
            </w:pPr>
            <w:r>
              <w:rPr>
                <w:rFonts w:ascii="宋体" w:hAnsi="宋体" w:eastAsia="宋体" w:cs="宋体"/>
                <w:sz w:val="18"/>
                <w:szCs w:val="18"/>
              </w:rPr>
              <w:t>264.33%</w:t>
            </w:r>
          </w:p>
        </w:tc>
      </w:tr>
      <w:tr w14:paraId="24E30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tcBorders>
              <w:top w:val="single" w:color="auto" w:sz="2" w:space="0"/>
              <w:left w:val="single" w:color="auto" w:sz="2" w:space="0"/>
              <w:bottom w:val="single" w:color="auto" w:sz="2" w:space="0"/>
              <w:right w:val="single" w:color="auto" w:sz="2" w:space="0"/>
            </w:tcBorders>
            <w:shd w:val="clear" w:color="auto" w:fill="D3D3D3"/>
            <w:vAlign w:val="center"/>
          </w:tcPr>
          <w:p w14:paraId="10689AAF">
            <w:pPr>
              <w:spacing w:before="40" w:after="40" w:line="240" w:lineRule="exact"/>
              <w:rPr>
                <w:rFonts w:ascii="宋体" w:hAnsi="宋体" w:eastAsia="宋体" w:cs="宋体"/>
                <w:sz w:val="18"/>
                <w:szCs w:val="18"/>
              </w:rPr>
            </w:pPr>
            <w:r>
              <w:rPr>
                <w:rFonts w:ascii="宋体" w:hAnsi="宋体" w:eastAsia="宋体" w:cs="宋体"/>
                <w:sz w:val="18"/>
                <w:szCs w:val="18"/>
              </w:rPr>
              <w:t>投资活动现金流出小计</w:t>
            </w:r>
          </w:p>
        </w:tc>
        <w:tc>
          <w:tcPr>
            <w:tcW w:w="2126" w:type="dxa"/>
            <w:tcBorders>
              <w:top w:val="single" w:color="auto" w:sz="2" w:space="0"/>
              <w:left w:val="single" w:color="auto" w:sz="2" w:space="0"/>
              <w:bottom w:val="single" w:color="auto" w:sz="2" w:space="0"/>
              <w:right w:val="single" w:color="auto" w:sz="2" w:space="0"/>
            </w:tcBorders>
            <w:vAlign w:val="center"/>
          </w:tcPr>
          <w:p w14:paraId="6CA6C8AD">
            <w:pPr>
              <w:spacing w:line="240" w:lineRule="exact"/>
              <w:jc w:val="right"/>
              <w:rPr>
                <w:rFonts w:ascii="宋体" w:hAnsi="宋体" w:eastAsia="宋体" w:cs="宋体"/>
                <w:sz w:val="18"/>
                <w:szCs w:val="18"/>
              </w:rPr>
            </w:pPr>
            <w:r>
              <w:rPr>
                <w:rFonts w:ascii="宋体" w:hAnsi="宋体" w:eastAsia="宋体" w:cs="宋体"/>
                <w:sz w:val="18"/>
                <w:szCs w:val="18"/>
              </w:rPr>
              <w:t>3,118,802,312.94</w:t>
            </w:r>
          </w:p>
        </w:tc>
        <w:tc>
          <w:tcPr>
            <w:tcW w:w="2126" w:type="dxa"/>
            <w:tcBorders>
              <w:top w:val="single" w:color="auto" w:sz="2" w:space="0"/>
              <w:left w:val="single" w:color="auto" w:sz="2" w:space="0"/>
              <w:bottom w:val="single" w:color="auto" w:sz="2" w:space="0"/>
              <w:right w:val="single" w:color="auto" w:sz="2" w:space="0"/>
            </w:tcBorders>
            <w:vAlign w:val="center"/>
          </w:tcPr>
          <w:p w14:paraId="61D2DD02">
            <w:pPr>
              <w:spacing w:line="240" w:lineRule="exact"/>
              <w:jc w:val="right"/>
              <w:rPr>
                <w:rFonts w:ascii="宋体" w:hAnsi="宋体" w:eastAsia="宋体" w:cs="宋体"/>
                <w:sz w:val="18"/>
                <w:szCs w:val="18"/>
              </w:rPr>
            </w:pPr>
            <w:r>
              <w:rPr>
                <w:rFonts w:ascii="宋体" w:hAnsi="宋体" w:eastAsia="宋体" w:cs="宋体"/>
                <w:sz w:val="18"/>
                <w:szCs w:val="18"/>
              </w:rPr>
              <w:t>1,390,968,493.42</w:t>
            </w:r>
          </w:p>
        </w:tc>
        <w:tc>
          <w:tcPr>
            <w:tcW w:w="2126" w:type="dxa"/>
            <w:tcBorders>
              <w:top w:val="single" w:color="auto" w:sz="2" w:space="0"/>
              <w:left w:val="single" w:color="auto" w:sz="2" w:space="0"/>
              <w:bottom w:val="single" w:color="auto" w:sz="2" w:space="0"/>
              <w:right w:val="single" w:color="auto" w:sz="2" w:space="0"/>
            </w:tcBorders>
            <w:vAlign w:val="center"/>
          </w:tcPr>
          <w:p w14:paraId="4D9A7100">
            <w:pPr>
              <w:spacing w:line="240" w:lineRule="exact"/>
              <w:jc w:val="right"/>
              <w:rPr>
                <w:rFonts w:ascii="宋体" w:hAnsi="宋体" w:eastAsia="宋体" w:cs="宋体"/>
                <w:sz w:val="18"/>
                <w:szCs w:val="18"/>
              </w:rPr>
            </w:pPr>
            <w:r>
              <w:rPr>
                <w:rFonts w:ascii="宋体" w:hAnsi="宋体" w:eastAsia="宋体" w:cs="宋体"/>
                <w:sz w:val="18"/>
                <w:szCs w:val="18"/>
              </w:rPr>
              <w:t>124.22%</w:t>
            </w:r>
          </w:p>
        </w:tc>
      </w:tr>
      <w:tr w14:paraId="26447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tcBorders>
              <w:top w:val="single" w:color="auto" w:sz="2" w:space="0"/>
              <w:left w:val="single" w:color="auto" w:sz="2" w:space="0"/>
              <w:bottom w:val="single" w:color="auto" w:sz="2" w:space="0"/>
              <w:right w:val="single" w:color="auto" w:sz="2" w:space="0"/>
            </w:tcBorders>
            <w:shd w:val="clear" w:color="auto" w:fill="D3D3D3"/>
            <w:vAlign w:val="center"/>
          </w:tcPr>
          <w:p w14:paraId="4EC841B9">
            <w:pPr>
              <w:spacing w:before="40" w:after="40" w:line="240" w:lineRule="exact"/>
              <w:rPr>
                <w:rFonts w:ascii="宋体" w:hAnsi="宋体" w:eastAsia="宋体" w:cs="宋体"/>
                <w:sz w:val="18"/>
                <w:szCs w:val="18"/>
              </w:rPr>
            </w:pPr>
            <w:r>
              <w:rPr>
                <w:rFonts w:ascii="宋体" w:hAnsi="宋体" w:eastAsia="宋体" w:cs="宋体"/>
                <w:sz w:val="18"/>
                <w:szCs w:val="18"/>
              </w:rPr>
              <w:t>投资活动产生的现金流量净额</w:t>
            </w:r>
          </w:p>
        </w:tc>
        <w:tc>
          <w:tcPr>
            <w:tcW w:w="2126" w:type="dxa"/>
            <w:tcBorders>
              <w:top w:val="single" w:color="auto" w:sz="2" w:space="0"/>
              <w:left w:val="single" w:color="auto" w:sz="2" w:space="0"/>
              <w:bottom w:val="single" w:color="auto" w:sz="2" w:space="0"/>
              <w:right w:val="single" w:color="auto" w:sz="2" w:space="0"/>
            </w:tcBorders>
            <w:vAlign w:val="center"/>
          </w:tcPr>
          <w:p w14:paraId="5D746EA2">
            <w:pPr>
              <w:spacing w:line="240" w:lineRule="exact"/>
              <w:jc w:val="right"/>
              <w:rPr>
                <w:rFonts w:ascii="宋体" w:hAnsi="宋体" w:eastAsia="宋体" w:cs="宋体"/>
                <w:sz w:val="18"/>
                <w:szCs w:val="18"/>
              </w:rPr>
            </w:pPr>
            <w:r>
              <w:rPr>
                <w:rFonts w:ascii="宋体" w:hAnsi="宋体" w:eastAsia="宋体" w:cs="宋体"/>
                <w:sz w:val="18"/>
                <w:szCs w:val="18"/>
              </w:rPr>
              <w:t>-469,366,705.73</w:t>
            </w:r>
          </w:p>
        </w:tc>
        <w:tc>
          <w:tcPr>
            <w:tcW w:w="2126" w:type="dxa"/>
            <w:tcBorders>
              <w:top w:val="single" w:color="auto" w:sz="2" w:space="0"/>
              <w:left w:val="single" w:color="auto" w:sz="2" w:space="0"/>
              <w:bottom w:val="single" w:color="auto" w:sz="2" w:space="0"/>
              <w:right w:val="single" w:color="auto" w:sz="2" w:space="0"/>
            </w:tcBorders>
            <w:vAlign w:val="center"/>
          </w:tcPr>
          <w:p w14:paraId="487B8DB8">
            <w:pPr>
              <w:spacing w:line="240" w:lineRule="exact"/>
              <w:jc w:val="right"/>
              <w:rPr>
                <w:rFonts w:ascii="宋体" w:hAnsi="宋体" w:eastAsia="宋体" w:cs="宋体"/>
                <w:sz w:val="18"/>
                <w:szCs w:val="18"/>
              </w:rPr>
            </w:pPr>
            <w:r>
              <w:rPr>
                <w:rFonts w:ascii="宋体" w:hAnsi="宋体" w:eastAsia="宋体" w:cs="宋体"/>
                <w:sz w:val="18"/>
                <w:szCs w:val="18"/>
              </w:rPr>
              <w:t>-663,762,722.85</w:t>
            </w:r>
          </w:p>
        </w:tc>
        <w:tc>
          <w:tcPr>
            <w:tcW w:w="2126" w:type="dxa"/>
            <w:tcBorders>
              <w:top w:val="single" w:color="auto" w:sz="2" w:space="0"/>
              <w:left w:val="single" w:color="auto" w:sz="2" w:space="0"/>
              <w:bottom w:val="single" w:color="auto" w:sz="2" w:space="0"/>
              <w:right w:val="single" w:color="auto" w:sz="2" w:space="0"/>
            </w:tcBorders>
            <w:vAlign w:val="center"/>
          </w:tcPr>
          <w:p w14:paraId="5C84EA09">
            <w:pPr>
              <w:spacing w:line="240" w:lineRule="exact"/>
              <w:jc w:val="right"/>
              <w:rPr>
                <w:rFonts w:ascii="宋体" w:hAnsi="宋体" w:eastAsia="宋体" w:cs="宋体"/>
                <w:sz w:val="18"/>
                <w:szCs w:val="18"/>
              </w:rPr>
            </w:pPr>
            <w:r>
              <w:rPr>
                <w:rFonts w:ascii="宋体" w:hAnsi="宋体" w:eastAsia="宋体" w:cs="宋体"/>
                <w:sz w:val="18"/>
                <w:szCs w:val="18"/>
              </w:rPr>
              <w:t>29.29%</w:t>
            </w:r>
          </w:p>
        </w:tc>
      </w:tr>
      <w:tr w14:paraId="29693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tcBorders>
              <w:top w:val="single" w:color="auto" w:sz="2" w:space="0"/>
              <w:left w:val="single" w:color="auto" w:sz="2" w:space="0"/>
              <w:bottom w:val="single" w:color="auto" w:sz="2" w:space="0"/>
              <w:right w:val="single" w:color="auto" w:sz="2" w:space="0"/>
            </w:tcBorders>
            <w:shd w:val="clear" w:color="auto" w:fill="D3D3D3"/>
            <w:vAlign w:val="center"/>
          </w:tcPr>
          <w:p w14:paraId="721CE249">
            <w:pPr>
              <w:spacing w:before="40" w:after="40" w:line="240" w:lineRule="exact"/>
              <w:rPr>
                <w:rFonts w:ascii="宋体" w:hAnsi="宋体" w:eastAsia="宋体" w:cs="宋体"/>
                <w:sz w:val="18"/>
                <w:szCs w:val="18"/>
              </w:rPr>
            </w:pPr>
            <w:r>
              <w:rPr>
                <w:rFonts w:ascii="宋体" w:hAnsi="宋体" w:eastAsia="宋体" w:cs="宋体"/>
                <w:sz w:val="18"/>
                <w:szCs w:val="18"/>
              </w:rPr>
              <w:t>筹资活动现金流入小计</w:t>
            </w:r>
          </w:p>
        </w:tc>
        <w:tc>
          <w:tcPr>
            <w:tcW w:w="2126" w:type="dxa"/>
            <w:tcBorders>
              <w:top w:val="single" w:color="auto" w:sz="2" w:space="0"/>
              <w:left w:val="single" w:color="auto" w:sz="2" w:space="0"/>
              <w:bottom w:val="single" w:color="auto" w:sz="2" w:space="0"/>
              <w:right w:val="single" w:color="auto" w:sz="2" w:space="0"/>
            </w:tcBorders>
            <w:vAlign w:val="center"/>
          </w:tcPr>
          <w:p w14:paraId="6C04B9E9">
            <w:pPr>
              <w:spacing w:line="240" w:lineRule="exact"/>
              <w:jc w:val="right"/>
              <w:rPr>
                <w:rFonts w:ascii="宋体" w:hAnsi="宋体" w:eastAsia="宋体" w:cs="宋体"/>
                <w:sz w:val="18"/>
                <w:szCs w:val="18"/>
              </w:rPr>
            </w:pPr>
            <w:r>
              <w:rPr>
                <w:rFonts w:ascii="宋体" w:hAnsi="宋体" w:eastAsia="宋体" w:cs="宋体"/>
                <w:sz w:val="18"/>
                <w:szCs w:val="18"/>
              </w:rPr>
              <w:t>5,320,513,356.59</w:t>
            </w:r>
          </w:p>
        </w:tc>
        <w:tc>
          <w:tcPr>
            <w:tcW w:w="2126" w:type="dxa"/>
            <w:tcBorders>
              <w:top w:val="single" w:color="auto" w:sz="2" w:space="0"/>
              <w:left w:val="single" w:color="auto" w:sz="2" w:space="0"/>
              <w:bottom w:val="single" w:color="auto" w:sz="2" w:space="0"/>
              <w:right w:val="single" w:color="auto" w:sz="2" w:space="0"/>
            </w:tcBorders>
            <w:vAlign w:val="center"/>
          </w:tcPr>
          <w:p w14:paraId="20DB2DD5">
            <w:pPr>
              <w:spacing w:line="240" w:lineRule="exact"/>
              <w:jc w:val="right"/>
              <w:rPr>
                <w:rFonts w:ascii="宋体" w:hAnsi="宋体" w:eastAsia="宋体" w:cs="宋体"/>
                <w:sz w:val="18"/>
                <w:szCs w:val="18"/>
              </w:rPr>
            </w:pPr>
            <w:r>
              <w:rPr>
                <w:rFonts w:ascii="宋体" w:hAnsi="宋体" w:eastAsia="宋体" w:cs="宋体"/>
                <w:sz w:val="18"/>
                <w:szCs w:val="18"/>
              </w:rPr>
              <w:t>6,977,074,908.75</w:t>
            </w:r>
          </w:p>
        </w:tc>
        <w:tc>
          <w:tcPr>
            <w:tcW w:w="2126" w:type="dxa"/>
            <w:tcBorders>
              <w:top w:val="single" w:color="auto" w:sz="2" w:space="0"/>
              <w:left w:val="single" w:color="auto" w:sz="2" w:space="0"/>
              <w:bottom w:val="single" w:color="auto" w:sz="2" w:space="0"/>
              <w:right w:val="single" w:color="auto" w:sz="2" w:space="0"/>
            </w:tcBorders>
            <w:vAlign w:val="center"/>
          </w:tcPr>
          <w:p w14:paraId="3D2D2AA5">
            <w:pPr>
              <w:spacing w:line="240" w:lineRule="exact"/>
              <w:jc w:val="right"/>
              <w:rPr>
                <w:rFonts w:ascii="宋体" w:hAnsi="宋体" w:eastAsia="宋体" w:cs="宋体"/>
                <w:sz w:val="18"/>
                <w:szCs w:val="18"/>
              </w:rPr>
            </w:pPr>
            <w:r>
              <w:rPr>
                <w:rFonts w:ascii="宋体" w:hAnsi="宋体" w:eastAsia="宋体" w:cs="宋体"/>
                <w:sz w:val="18"/>
                <w:szCs w:val="18"/>
              </w:rPr>
              <w:t>-23.74%</w:t>
            </w:r>
          </w:p>
        </w:tc>
      </w:tr>
      <w:tr w14:paraId="10972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tcBorders>
              <w:top w:val="single" w:color="auto" w:sz="2" w:space="0"/>
              <w:left w:val="single" w:color="auto" w:sz="2" w:space="0"/>
              <w:bottom w:val="single" w:color="auto" w:sz="2" w:space="0"/>
              <w:right w:val="single" w:color="auto" w:sz="2" w:space="0"/>
            </w:tcBorders>
            <w:shd w:val="clear" w:color="auto" w:fill="D3D3D3"/>
            <w:vAlign w:val="center"/>
          </w:tcPr>
          <w:p w14:paraId="6F74C847">
            <w:pPr>
              <w:spacing w:before="40" w:after="40" w:line="240" w:lineRule="exact"/>
              <w:rPr>
                <w:rFonts w:ascii="宋体" w:hAnsi="宋体" w:eastAsia="宋体" w:cs="宋体"/>
                <w:sz w:val="18"/>
                <w:szCs w:val="18"/>
              </w:rPr>
            </w:pPr>
            <w:r>
              <w:rPr>
                <w:rFonts w:ascii="宋体" w:hAnsi="宋体" w:eastAsia="宋体" w:cs="宋体"/>
                <w:sz w:val="18"/>
                <w:szCs w:val="18"/>
              </w:rPr>
              <w:t>筹资活动现金流出小计</w:t>
            </w:r>
          </w:p>
        </w:tc>
        <w:tc>
          <w:tcPr>
            <w:tcW w:w="2126" w:type="dxa"/>
            <w:tcBorders>
              <w:top w:val="single" w:color="auto" w:sz="2" w:space="0"/>
              <w:left w:val="single" w:color="auto" w:sz="2" w:space="0"/>
              <w:bottom w:val="single" w:color="auto" w:sz="2" w:space="0"/>
              <w:right w:val="single" w:color="auto" w:sz="2" w:space="0"/>
            </w:tcBorders>
            <w:vAlign w:val="center"/>
          </w:tcPr>
          <w:p w14:paraId="0CF8E377">
            <w:pPr>
              <w:spacing w:line="240" w:lineRule="exact"/>
              <w:jc w:val="right"/>
              <w:rPr>
                <w:rFonts w:ascii="宋体" w:hAnsi="宋体" w:eastAsia="宋体" w:cs="宋体"/>
                <w:sz w:val="18"/>
                <w:szCs w:val="18"/>
              </w:rPr>
            </w:pPr>
            <w:r>
              <w:rPr>
                <w:rFonts w:ascii="宋体" w:hAnsi="宋体" w:eastAsia="宋体" w:cs="宋体"/>
                <w:sz w:val="18"/>
                <w:szCs w:val="18"/>
              </w:rPr>
              <w:t>7,244,421,309.67</w:t>
            </w:r>
          </w:p>
        </w:tc>
        <w:tc>
          <w:tcPr>
            <w:tcW w:w="2126" w:type="dxa"/>
            <w:tcBorders>
              <w:top w:val="single" w:color="auto" w:sz="2" w:space="0"/>
              <w:left w:val="single" w:color="auto" w:sz="2" w:space="0"/>
              <w:bottom w:val="single" w:color="auto" w:sz="2" w:space="0"/>
              <w:right w:val="single" w:color="auto" w:sz="2" w:space="0"/>
            </w:tcBorders>
            <w:vAlign w:val="center"/>
          </w:tcPr>
          <w:p w14:paraId="29FAC08C">
            <w:pPr>
              <w:spacing w:line="240" w:lineRule="exact"/>
              <w:jc w:val="right"/>
              <w:rPr>
                <w:rFonts w:ascii="宋体" w:hAnsi="宋体" w:eastAsia="宋体" w:cs="宋体"/>
                <w:sz w:val="18"/>
                <w:szCs w:val="18"/>
              </w:rPr>
            </w:pPr>
            <w:r>
              <w:rPr>
                <w:rFonts w:ascii="宋体" w:hAnsi="宋体" w:eastAsia="宋体" w:cs="宋体"/>
                <w:sz w:val="18"/>
                <w:szCs w:val="18"/>
              </w:rPr>
              <w:t>6,592,539,227.72</w:t>
            </w:r>
          </w:p>
        </w:tc>
        <w:tc>
          <w:tcPr>
            <w:tcW w:w="2126" w:type="dxa"/>
            <w:tcBorders>
              <w:top w:val="single" w:color="auto" w:sz="2" w:space="0"/>
              <w:left w:val="single" w:color="auto" w:sz="2" w:space="0"/>
              <w:bottom w:val="single" w:color="auto" w:sz="2" w:space="0"/>
              <w:right w:val="single" w:color="auto" w:sz="2" w:space="0"/>
            </w:tcBorders>
            <w:vAlign w:val="center"/>
          </w:tcPr>
          <w:p w14:paraId="59D2F597">
            <w:pPr>
              <w:spacing w:line="240" w:lineRule="exact"/>
              <w:jc w:val="right"/>
              <w:rPr>
                <w:rFonts w:ascii="宋体" w:hAnsi="宋体" w:eastAsia="宋体" w:cs="宋体"/>
                <w:sz w:val="18"/>
                <w:szCs w:val="18"/>
              </w:rPr>
            </w:pPr>
            <w:r>
              <w:rPr>
                <w:rFonts w:ascii="宋体" w:hAnsi="宋体" w:eastAsia="宋体" w:cs="宋体"/>
                <w:sz w:val="18"/>
                <w:szCs w:val="18"/>
              </w:rPr>
              <w:t>9.89%</w:t>
            </w:r>
          </w:p>
        </w:tc>
      </w:tr>
      <w:tr w14:paraId="6118C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tcBorders>
              <w:top w:val="single" w:color="auto" w:sz="2" w:space="0"/>
              <w:left w:val="single" w:color="auto" w:sz="2" w:space="0"/>
              <w:bottom w:val="single" w:color="auto" w:sz="2" w:space="0"/>
              <w:right w:val="single" w:color="auto" w:sz="2" w:space="0"/>
            </w:tcBorders>
            <w:shd w:val="clear" w:color="auto" w:fill="D3D3D3"/>
            <w:vAlign w:val="center"/>
          </w:tcPr>
          <w:p w14:paraId="255EB73F">
            <w:pPr>
              <w:spacing w:before="40" w:after="40" w:line="240" w:lineRule="exact"/>
              <w:rPr>
                <w:rFonts w:ascii="宋体" w:hAnsi="宋体" w:eastAsia="宋体" w:cs="宋体"/>
                <w:sz w:val="18"/>
                <w:szCs w:val="18"/>
              </w:rPr>
            </w:pPr>
            <w:r>
              <w:rPr>
                <w:rFonts w:ascii="宋体" w:hAnsi="宋体" w:eastAsia="宋体" w:cs="宋体"/>
                <w:sz w:val="18"/>
                <w:szCs w:val="18"/>
              </w:rPr>
              <w:t>筹资活动产生的现金流量净额</w:t>
            </w:r>
          </w:p>
        </w:tc>
        <w:tc>
          <w:tcPr>
            <w:tcW w:w="2126" w:type="dxa"/>
            <w:tcBorders>
              <w:top w:val="single" w:color="auto" w:sz="2" w:space="0"/>
              <w:left w:val="single" w:color="auto" w:sz="2" w:space="0"/>
              <w:bottom w:val="single" w:color="auto" w:sz="2" w:space="0"/>
              <w:right w:val="single" w:color="auto" w:sz="2" w:space="0"/>
            </w:tcBorders>
            <w:vAlign w:val="center"/>
          </w:tcPr>
          <w:p w14:paraId="3CFD6110">
            <w:pPr>
              <w:spacing w:line="240" w:lineRule="exact"/>
              <w:jc w:val="right"/>
              <w:rPr>
                <w:rFonts w:ascii="宋体" w:hAnsi="宋体" w:eastAsia="宋体" w:cs="宋体"/>
                <w:sz w:val="18"/>
                <w:szCs w:val="18"/>
              </w:rPr>
            </w:pPr>
            <w:r>
              <w:rPr>
                <w:rFonts w:ascii="宋体" w:hAnsi="宋体" w:eastAsia="宋体" w:cs="宋体"/>
                <w:sz w:val="18"/>
                <w:szCs w:val="18"/>
              </w:rPr>
              <w:t>-1,923,907,953.08</w:t>
            </w:r>
          </w:p>
        </w:tc>
        <w:tc>
          <w:tcPr>
            <w:tcW w:w="2126" w:type="dxa"/>
            <w:tcBorders>
              <w:top w:val="single" w:color="auto" w:sz="2" w:space="0"/>
              <w:left w:val="single" w:color="auto" w:sz="2" w:space="0"/>
              <w:bottom w:val="single" w:color="auto" w:sz="2" w:space="0"/>
              <w:right w:val="single" w:color="auto" w:sz="2" w:space="0"/>
            </w:tcBorders>
            <w:vAlign w:val="center"/>
          </w:tcPr>
          <w:p w14:paraId="3B8B46D2">
            <w:pPr>
              <w:spacing w:line="240" w:lineRule="exact"/>
              <w:jc w:val="right"/>
              <w:rPr>
                <w:rFonts w:ascii="宋体" w:hAnsi="宋体" w:eastAsia="宋体" w:cs="宋体"/>
                <w:sz w:val="18"/>
                <w:szCs w:val="18"/>
              </w:rPr>
            </w:pPr>
            <w:r>
              <w:rPr>
                <w:rFonts w:ascii="宋体" w:hAnsi="宋体" w:eastAsia="宋体" w:cs="宋体"/>
                <w:sz w:val="18"/>
                <w:szCs w:val="18"/>
              </w:rPr>
              <w:t>384,535,681.03</w:t>
            </w:r>
          </w:p>
        </w:tc>
        <w:tc>
          <w:tcPr>
            <w:tcW w:w="2126" w:type="dxa"/>
            <w:tcBorders>
              <w:top w:val="single" w:color="auto" w:sz="2" w:space="0"/>
              <w:left w:val="single" w:color="auto" w:sz="2" w:space="0"/>
              <w:bottom w:val="single" w:color="auto" w:sz="2" w:space="0"/>
              <w:right w:val="single" w:color="auto" w:sz="2" w:space="0"/>
            </w:tcBorders>
            <w:vAlign w:val="center"/>
          </w:tcPr>
          <w:p w14:paraId="37C11A57">
            <w:pPr>
              <w:spacing w:line="240" w:lineRule="exact"/>
              <w:jc w:val="right"/>
              <w:rPr>
                <w:rFonts w:ascii="宋体" w:hAnsi="宋体" w:eastAsia="宋体" w:cs="宋体"/>
                <w:sz w:val="18"/>
                <w:szCs w:val="18"/>
              </w:rPr>
            </w:pPr>
            <w:r>
              <w:rPr>
                <w:rFonts w:ascii="宋体" w:hAnsi="宋体" w:eastAsia="宋体" w:cs="宋体"/>
                <w:sz w:val="18"/>
                <w:szCs w:val="18"/>
              </w:rPr>
              <w:t>-600.32%</w:t>
            </w:r>
          </w:p>
        </w:tc>
      </w:tr>
      <w:tr w14:paraId="59FEB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tcBorders>
              <w:top w:val="single" w:color="auto" w:sz="2" w:space="0"/>
              <w:left w:val="single" w:color="auto" w:sz="2" w:space="0"/>
              <w:bottom w:val="single" w:color="auto" w:sz="2" w:space="0"/>
              <w:right w:val="single" w:color="auto" w:sz="2" w:space="0"/>
            </w:tcBorders>
            <w:shd w:val="clear" w:color="auto" w:fill="D3D3D3"/>
            <w:vAlign w:val="center"/>
          </w:tcPr>
          <w:p w14:paraId="47676A5F">
            <w:pPr>
              <w:spacing w:before="40" w:after="40" w:line="240" w:lineRule="exact"/>
              <w:rPr>
                <w:rFonts w:ascii="宋体" w:hAnsi="宋体" w:eastAsia="宋体" w:cs="宋体"/>
                <w:sz w:val="18"/>
                <w:szCs w:val="18"/>
              </w:rPr>
            </w:pPr>
            <w:r>
              <w:rPr>
                <w:rFonts w:ascii="宋体" w:hAnsi="宋体" w:eastAsia="宋体" w:cs="宋体"/>
                <w:sz w:val="18"/>
                <w:szCs w:val="18"/>
              </w:rPr>
              <w:t>现金及现金等价物净增加额</w:t>
            </w:r>
          </w:p>
        </w:tc>
        <w:tc>
          <w:tcPr>
            <w:tcW w:w="2126" w:type="dxa"/>
            <w:tcBorders>
              <w:top w:val="single" w:color="auto" w:sz="2" w:space="0"/>
              <w:left w:val="single" w:color="auto" w:sz="2" w:space="0"/>
              <w:bottom w:val="single" w:color="auto" w:sz="2" w:space="0"/>
              <w:right w:val="single" w:color="auto" w:sz="2" w:space="0"/>
            </w:tcBorders>
            <w:vAlign w:val="center"/>
          </w:tcPr>
          <w:p w14:paraId="16B86F5E">
            <w:pPr>
              <w:spacing w:line="240" w:lineRule="exact"/>
              <w:jc w:val="right"/>
              <w:rPr>
                <w:rFonts w:ascii="宋体" w:hAnsi="宋体" w:eastAsia="宋体" w:cs="宋体"/>
                <w:sz w:val="18"/>
                <w:szCs w:val="18"/>
              </w:rPr>
            </w:pPr>
            <w:r>
              <w:rPr>
                <w:rFonts w:ascii="宋体" w:hAnsi="宋体" w:eastAsia="宋体" w:cs="宋体"/>
                <w:sz w:val="18"/>
                <w:szCs w:val="18"/>
              </w:rPr>
              <w:t>-950,137,218.77</w:t>
            </w:r>
          </w:p>
        </w:tc>
        <w:tc>
          <w:tcPr>
            <w:tcW w:w="2126" w:type="dxa"/>
            <w:tcBorders>
              <w:top w:val="single" w:color="auto" w:sz="2" w:space="0"/>
              <w:left w:val="single" w:color="auto" w:sz="2" w:space="0"/>
              <w:bottom w:val="single" w:color="auto" w:sz="2" w:space="0"/>
              <w:right w:val="single" w:color="auto" w:sz="2" w:space="0"/>
            </w:tcBorders>
            <w:vAlign w:val="center"/>
          </w:tcPr>
          <w:p w14:paraId="6A452C7D">
            <w:pPr>
              <w:spacing w:line="240" w:lineRule="exact"/>
              <w:jc w:val="right"/>
              <w:rPr>
                <w:rFonts w:ascii="宋体" w:hAnsi="宋体" w:eastAsia="宋体" w:cs="宋体"/>
                <w:sz w:val="18"/>
                <w:szCs w:val="18"/>
              </w:rPr>
            </w:pPr>
            <w:r>
              <w:rPr>
                <w:rFonts w:ascii="宋体" w:hAnsi="宋体" w:eastAsia="宋体" w:cs="宋体"/>
                <w:sz w:val="18"/>
                <w:szCs w:val="18"/>
              </w:rPr>
              <w:t>-26,672,611.41</w:t>
            </w:r>
          </w:p>
        </w:tc>
        <w:tc>
          <w:tcPr>
            <w:tcW w:w="2126" w:type="dxa"/>
            <w:tcBorders>
              <w:top w:val="single" w:color="auto" w:sz="2" w:space="0"/>
              <w:left w:val="single" w:color="auto" w:sz="2" w:space="0"/>
              <w:bottom w:val="single" w:color="auto" w:sz="2" w:space="0"/>
              <w:right w:val="single" w:color="auto" w:sz="2" w:space="0"/>
            </w:tcBorders>
            <w:vAlign w:val="center"/>
          </w:tcPr>
          <w:p w14:paraId="568F4CDD">
            <w:pPr>
              <w:spacing w:line="240" w:lineRule="exact"/>
              <w:jc w:val="right"/>
              <w:rPr>
                <w:rFonts w:ascii="宋体" w:hAnsi="宋体" w:eastAsia="宋体" w:cs="宋体"/>
                <w:sz w:val="18"/>
                <w:szCs w:val="18"/>
              </w:rPr>
            </w:pPr>
            <w:r>
              <w:rPr>
                <w:rFonts w:ascii="宋体" w:hAnsi="宋体" w:eastAsia="宋体" w:cs="宋体"/>
                <w:sz w:val="18"/>
                <w:szCs w:val="18"/>
              </w:rPr>
              <w:t>-3,462.22%</w:t>
            </w:r>
          </w:p>
        </w:tc>
      </w:tr>
    </w:tbl>
    <w:p w14:paraId="5322D863">
      <w:pPr>
        <w:spacing w:before="100" w:after="100" w:line="240" w:lineRule="exact"/>
        <w:rPr>
          <w:rFonts w:ascii="宋体" w:hAnsi="宋体" w:eastAsia="宋体" w:cs="宋体"/>
          <w:sz w:val="18"/>
          <w:szCs w:val="18"/>
        </w:rPr>
      </w:pPr>
      <w:r>
        <w:rPr>
          <w:rFonts w:ascii="宋体" w:hAnsi="宋体" w:eastAsia="宋体" w:cs="宋体"/>
          <w:sz w:val="18"/>
          <w:szCs w:val="18"/>
        </w:rPr>
        <w:t>相关数据同比发生重大变动的主要影响因素说明</w:t>
      </w:r>
    </w:p>
    <w:p w14:paraId="59B4BA2C">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10"/>
        <w:tblW w:w="9654" w:type="dxa"/>
        <w:tblInd w:w="0" w:type="dxa"/>
        <w:tblLayout w:type="fixed"/>
        <w:tblCellMar>
          <w:top w:w="0" w:type="dxa"/>
          <w:left w:w="0" w:type="dxa"/>
          <w:bottom w:w="0" w:type="dxa"/>
          <w:right w:w="0" w:type="dxa"/>
        </w:tblCellMar>
      </w:tblPr>
      <w:tblGrid>
        <w:gridCol w:w="2425"/>
        <w:gridCol w:w="1843"/>
        <w:gridCol w:w="1843"/>
        <w:gridCol w:w="992"/>
        <w:gridCol w:w="2551"/>
      </w:tblGrid>
      <w:tr w14:paraId="3F799468">
        <w:tblPrEx>
          <w:tblCellMar>
            <w:top w:w="0" w:type="dxa"/>
            <w:left w:w="0" w:type="dxa"/>
            <w:bottom w:w="0" w:type="dxa"/>
            <w:right w:w="0" w:type="dxa"/>
          </w:tblCellMar>
        </w:tblPrEx>
        <w:trPr>
          <w:trHeight w:val="45" w:hRule="atLeast"/>
        </w:trPr>
        <w:tc>
          <w:tcPr>
            <w:tcW w:w="242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709246D8">
            <w:pPr>
              <w:jc w:val="center"/>
              <w:rPr>
                <w:rFonts w:cs="宋体" w:asciiTheme="minorEastAsia" w:hAnsiTheme="minorEastAsia"/>
                <w:sz w:val="18"/>
                <w:szCs w:val="18"/>
              </w:rPr>
            </w:pPr>
            <w:r>
              <w:rPr>
                <w:rFonts w:hint="eastAsia" w:asciiTheme="minorEastAsia" w:hAnsiTheme="minorEastAsia"/>
                <w:sz w:val="18"/>
                <w:szCs w:val="18"/>
              </w:rPr>
              <w:t>项目</w:t>
            </w:r>
          </w:p>
        </w:tc>
        <w:tc>
          <w:tcPr>
            <w:tcW w:w="1843"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0BC1D09A">
            <w:pPr>
              <w:jc w:val="center"/>
              <w:rPr>
                <w:rFonts w:cs="宋体" w:asciiTheme="minorEastAsia" w:hAnsiTheme="minorEastAsia"/>
                <w:sz w:val="18"/>
                <w:szCs w:val="18"/>
              </w:rPr>
            </w:pPr>
            <w:r>
              <w:rPr>
                <w:rFonts w:hint="eastAsia" w:asciiTheme="minorEastAsia" w:hAnsiTheme="minorEastAsia"/>
                <w:sz w:val="18"/>
                <w:szCs w:val="18"/>
              </w:rPr>
              <w:t>2025年</w:t>
            </w:r>
          </w:p>
        </w:tc>
        <w:tc>
          <w:tcPr>
            <w:tcW w:w="1843"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32F7DC46">
            <w:pPr>
              <w:jc w:val="center"/>
              <w:rPr>
                <w:rFonts w:cs="宋体" w:asciiTheme="minorEastAsia" w:hAnsiTheme="minorEastAsia"/>
                <w:sz w:val="18"/>
                <w:szCs w:val="18"/>
              </w:rPr>
            </w:pPr>
            <w:r>
              <w:rPr>
                <w:rFonts w:hint="eastAsia" w:asciiTheme="minorEastAsia" w:hAnsiTheme="minorEastAsia"/>
                <w:sz w:val="18"/>
                <w:szCs w:val="18"/>
              </w:rPr>
              <w:t>2024年</w:t>
            </w:r>
          </w:p>
        </w:tc>
        <w:tc>
          <w:tcPr>
            <w:tcW w:w="992"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34DC5CC3">
            <w:pPr>
              <w:jc w:val="center"/>
              <w:rPr>
                <w:rFonts w:cs="宋体" w:asciiTheme="minorEastAsia" w:hAnsiTheme="minorEastAsia"/>
                <w:sz w:val="18"/>
                <w:szCs w:val="18"/>
              </w:rPr>
            </w:pPr>
            <w:r>
              <w:rPr>
                <w:rFonts w:hint="eastAsia" w:asciiTheme="minorEastAsia" w:hAnsiTheme="minorEastAsia"/>
                <w:sz w:val="18"/>
                <w:szCs w:val="18"/>
              </w:rPr>
              <w:t>同比增减</w:t>
            </w:r>
          </w:p>
        </w:tc>
        <w:tc>
          <w:tcPr>
            <w:tcW w:w="2551"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2003FCD1">
            <w:pPr>
              <w:jc w:val="center"/>
              <w:rPr>
                <w:rFonts w:cs="宋体" w:asciiTheme="minorEastAsia" w:hAnsiTheme="minorEastAsia"/>
                <w:sz w:val="18"/>
                <w:szCs w:val="18"/>
              </w:rPr>
            </w:pPr>
            <w:r>
              <w:rPr>
                <w:rFonts w:hint="eastAsia" w:asciiTheme="minorEastAsia" w:hAnsiTheme="minorEastAsia"/>
                <w:sz w:val="18"/>
                <w:szCs w:val="18"/>
              </w:rPr>
              <w:t>重大变动原因说明</w:t>
            </w:r>
          </w:p>
        </w:tc>
      </w:tr>
      <w:tr w14:paraId="1A3EAAF3">
        <w:tblPrEx>
          <w:tblCellMar>
            <w:top w:w="0" w:type="dxa"/>
            <w:left w:w="0" w:type="dxa"/>
            <w:bottom w:w="0" w:type="dxa"/>
            <w:right w:w="0" w:type="dxa"/>
          </w:tblCellMar>
        </w:tblPrEx>
        <w:trPr>
          <w:trHeight w:val="60" w:hRule="atLeast"/>
        </w:trPr>
        <w:tc>
          <w:tcPr>
            <w:tcW w:w="242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03CC5C89">
            <w:pPr>
              <w:rPr>
                <w:rFonts w:cs="宋体" w:asciiTheme="minorEastAsia" w:hAnsiTheme="minorEastAsia"/>
                <w:sz w:val="18"/>
                <w:szCs w:val="18"/>
              </w:rPr>
            </w:pPr>
            <w:r>
              <w:rPr>
                <w:rFonts w:hint="eastAsia" w:asciiTheme="minorEastAsia" w:hAnsiTheme="minorEastAsia"/>
                <w:sz w:val="18"/>
                <w:szCs w:val="18"/>
              </w:rPr>
              <w:t>经营活动产生的现金流量净额</w:t>
            </w:r>
          </w:p>
        </w:tc>
        <w:tc>
          <w:tcPr>
            <w:tcW w:w="1843" w:type="dxa"/>
            <w:tcBorders>
              <w:top w:val="nil"/>
              <w:left w:val="nil"/>
              <w:bottom w:val="single" w:color="auto" w:sz="8" w:space="0"/>
              <w:right w:val="single" w:color="auto" w:sz="8" w:space="0"/>
            </w:tcBorders>
            <w:tcMar>
              <w:top w:w="15" w:type="dxa"/>
              <w:left w:w="15" w:type="dxa"/>
              <w:bottom w:w="0" w:type="dxa"/>
              <w:right w:w="15" w:type="dxa"/>
            </w:tcMar>
            <w:vAlign w:val="center"/>
          </w:tcPr>
          <w:p w14:paraId="196B622B">
            <w:pPr>
              <w:jc w:val="right"/>
              <w:rPr>
                <w:rFonts w:cs="宋体" w:asciiTheme="minorEastAsia" w:hAnsiTheme="minorEastAsia"/>
                <w:sz w:val="18"/>
                <w:szCs w:val="18"/>
              </w:rPr>
            </w:pPr>
            <w:r>
              <w:rPr>
                <w:rFonts w:hint="eastAsia" w:asciiTheme="minorEastAsia" w:hAnsiTheme="minorEastAsia"/>
                <w:sz w:val="18"/>
                <w:szCs w:val="18"/>
              </w:rPr>
              <w:t>  1,468,860,691.85</w:t>
            </w:r>
          </w:p>
        </w:tc>
        <w:tc>
          <w:tcPr>
            <w:tcW w:w="1843" w:type="dxa"/>
            <w:tcBorders>
              <w:top w:val="nil"/>
              <w:left w:val="nil"/>
              <w:bottom w:val="single" w:color="auto" w:sz="8" w:space="0"/>
              <w:right w:val="single" w:color="auto" w:sz="8" w:space="0"/>
            </w:tcBorders>
            <w:tcMar>
              <w:top w:w="15" w:type="dxa"/>
              <w:left w:w="15" w:type="dxa"/>
              <w:bottom w:w="0" w:type="dxa"/>
              <w:right w:w="15" w:type="dxa"/>
            </w:tcMar>
            <w:vAlign w:val="center"/>
          </w:tcPr>
          <w:p w14:paraId="580AD36B">
            <w:pPr>
              <w:ind w:right="180"/>
              <w:jc w:val="right"/>
              <w:rPr>
                <w:rFonts w:cs="宋体" w:asciiTheme="minorEastAsia" w:hAnsiTheme="minorEastAsia"/>
                <w:sz w:val="18"/>
                <w:szCs w:val="18"/>
              </w:rPr>
            </w:pPr>
            <w:r>
              <w:rPr>
                <w:rFonts w:hint="eastAsia" w:asciiTheme="minorEastAsia" w:hAnsiTheme="minorEastAsia"/>
                <w:sz w:val="18"/>
                <w:szCs w:val="18"/>
              </w:rPr>
              <w:t>  272,214,435.39</w:t>
            </w:r>
          </w:p>
        </w:tc>
        <w:tc>
          <w:tcPr>
            <w:tcW w:w="992" w:type="dxa"/>
            <w:tcBorders>
              <w:top w:val="nil"/>
              <w:left w:val="nil"/>
              <w:bottom w:val="single" w:color="auto" w:sz="8" w:space="0"/>
              <w:right w:val="single" w:color="auto" w:sz="8" w:space="0"/>
            </w:tcBorders>
            <w:tcMar>
              <w:top w:w="15" w:type="dxa"/>
              <w:left w:w="15" w:type="dxa"/>
              <w:bottom w:w="0" w:type="dxa"/>
              <w:right w:w="15" w:type="dxa"/>
            </w:tcMar>
            <w:vAlign w:val="center"/>
          </w:tcPr>
          <w:p w14:paraId="6E4D7EAF">
            <w:pPr>
              <w:jc w:val="right"/>
              <w:rPr>
                <w:rFonts w:cs="宋体" w:asciiTheme="minorEastAsia" w:hAnsiTheme="minorEastAsia"/>
                <w:sz w:val="18"/>
                <w:szCs w:val="18"/>
              </w:rPr>
            </w:pPr>
            <w:r>
              <w:rPr>
                <w:rFonts w:hint="eastAsia" w:asciiTheme="minorEastAsia" w:hAnsiTheme="minorEastAsia"/>
                <w:sz w:val="18"/>
                <w:szCs w:val="18"/>
              </w:rPr>
              <w:t>439.60%</w:t>
            </w:r>
          </w:p>
        </w:tc>
        <w:tc>
          <w:tcPr>
            <w:tcW w:w="2551" w:type="dxa"/>
            <w:tcBorders>
              <w:top w:val="nil"/>
              <w:left w:val="nil"/>
              <w:bottom w:val="single" w:color="auto" w:sz="8" w:space="0"/>
              <w:right w:val="single" w:color="auto" w:sz="8" w:space="0"/>
            </w:tcBorders>
            <w:tcMar>
              <w:top w:w="15" w:type="dxa"/>
              <w:left w:w="15" w:type="dxa"/>
              <w:bottom w:w="0" w:type="dxa"/>
              <w:right w:w="15" w:type="dxa"/>
            </w:tcMar>
            <w:vAlign w:val="center"/>
          </w:tcPr>
          <w:p w14:paraId="4D123724">
            <w:pPr>
              <w:rPr>
                <w:rFonts w:cs="宋体" w:asciiTheme="minorEastAsia" w:hAnsiTheme="minorEastAsia"/>
                <w:sz w:val="18"/>
                <w:szCs w:val="18"/>
              </w:rPr>
            </w:pPr>
            <w:r>
              <w:rPr>
                <w:rFonts w:hint="eastAsia" w:asciiTheme="minorEastAsia" w:hAnsiTheme="minorEastAsia"/>
                <w:sz w:val="18"/>
                <w:szCs w:val="18"/>
              </w:rPr>
              <w:t>主要系经营业务周转加快所致。</w:t>
            </w:r>
          </w:p>
        </w:tc>
      </w:tr>
      <w:tr w14:paraId="1230F24C">
        <w:tblPrEx>
          <w:tblCellMar>
            <w:top w:w="0" w:type="dxa"/>
            <w:left w:w="0" w:type="dxa"/>
            <w:bottom w:w="0" w:type="dxa"/>
            <w:right w:w="0" w:type="dxa"/>
          </w:tblCellMar>
        </w:tblPrEx>
        <w:trPr>
          <w:trHeight w:val="60" w:hRule="atLeast"/>
        </w:trPr>
        <w:tc>
          <w:tcPr>
            <w:tcW w:w="242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0BD208A3">
            <w:pPr>
              <w:rPr>
                <w:rFonts w:cs="宋体" w:asciiTheme="minorEastAsia" w:hAnsiTheme="minorEastAsia"/>
                <w:sz w:val="18"/>
                <w:szCs w:val="18"/>
              </w:rPr>
            </w:pPr>
            <w:r>
              <w:rPr>
                <w:rFonts w:hint="eastAsia" w:asciiTheme="minorEastAsia" w:hAnsiTheme="minorEastAsia"/>
                <w:sz w:val="18"/>
                <w:szCs w:val="18"/>
              </w:rPr>
              <w:t>筹资活动产生的现金流量净额</w:t>
            </w:r>
          </w:p>
        </w:tc>
        <w:tc>
          <w:tcPr>
            <w:tcW w:w="1843" w:type="dxa"/>
            <w:tcBorders>
              <w:top w:val="nil"/>
              <w:left w:val="nil"/>
              <w:bottom w:val="single" w:color="auto" w:sz="8" w:space="0"/>
              <w:right w:val="single" w:color="auto" w:sz="8" w:space="0"/>
            </w:tcBorders>
            <w:tcMar>
              <w:top w:w="15" w:type="dxa"/>
              <w:left w:w="15" w:type="dxa"/>
              <w:bottom w:w="0" w:type="dxa"/>
              <w:right w:w="15" w:type="dxa"/>
            </w:tcMar>
            <w:vAlign w:val="center"/>
          </w:tcPr>
          <w:p w14:paraId="404533B1">
            <w:pPr>
              <w:jc w:val="right"/>
              <w:rPr>
                <w:rFonts w:cs="宋体" w:asciiTheme="minorEastAsia" w:hAnsiTheme="minorEastAsia"/>
                <w:sz w:val="18"/>
                <w:szCs w:val="18"/>
              </w:rPr>
            </w:pPr>
            <w:r>
              <w:rPr>
                <w:rFonts w:hint="eastAsia" w:asciiTheme="minorEastAsia" w:hAnsiTheme="minorEastAsia"/>
                <w:sz w:val="18"/>
                <w:szCs w:val="18"/>
              </w:rPr>
              <w:t>  -1,923,907,953.08</w:t>
            </w:r>
          </w:p>
        </w:tc>
        <w:tc>
          <w:tcPr>
            <w:tcW w:w="1843" w:type="dxa"/>
            <w:tcBorders>
              <w:top w:val="nil"/>
              <w:left w:val="nil"/>
              <w:bottom w:val="single" w:color="auto" w:sz="8" w:space="0"/>
              <w:right w:val="single" w:color="auto" w:sz="8" w:space="0"/>
            </w:tcBorders>
            <w:tcMar>
              <w:top w:w="15" w:type="dxa"/>
              <w:left w:w="15" w:type="dxa"/>
              <w:bottom w:w="0" w:type="dxa"/>
              <w:right w:w="15" w:type="dxa"/>
            </w:tcMar>
            <w:vAlign w:val="center"/>
          </w:tcPr>
          <w:p w14:paraId="74417388">
            <w:pPr>
              <w:ind w:right="180"/>
              <w:jc w:val="right"/>
              <w:rPr>
                <w:rFonts w:cs="宋体" w:asciiTheme="minorEastAsia" w:hAnsiTheme="minorEastAsia"/>
                <w:sz w:val="18"/>
                <w:szCs w:val="18"/>
              </w:rPr>
            </w:pPr>
            <w:r>
              <w:rPr>
                <w:rFonts w:hint="eastAsia" w:asciiTheme="minorEastAsia" w:hAnsiTheme="minorEastAsia"/>
                <w:sz w:val="18"/>
                <w:szCs w:val="18"/>
              </w:rPr>
              <w:t>  384,535,681.03</w:t>
            </w:r>
          </w:p>
        </w:tc>
        <w:tc>
          <w:tcPr>
            <w:tcW w:w="992" w:type="dxa"/>
            <w:tcBorders>
              <w:top w:val="nil"/>
              <w:left w:val="nil"/>
              <w:bottom w:val="single" w:color="auto" w:sz="8" w:space="0"/>
              <w:right w:val="single" w:color="auto" w:sz="8" w:space="0"/>
            </w:tcBorders>
            <w:tcMar>
              <w:top w:w="15" w:type="dxa"/>
              <w:left w:w="15" w:type="dxa"/>
              <w:bottom w:w="0" w:type="dxa"/>
              <w:right w:w="15" w:type="dxa"/>
            </w:tcMar>
            <w:vAlign w:val="center"/>
          </w:tcPr>
          <w:p w14:paraId="11F4B419">
            <w:pPr>
              <w:jc w:val="right"/>
              <w:rPr>
                <w:rFonts w:cs="宋体" w:asciiTheme="minorEastAsia" w:hAnsiTheme="minorEastAsia"/>
                <w:sz w:val="18"/>
                <w:szCs w:val="18"/>
              </w:rPr>
            </w:pPr>
            <w:r>
              <w:rPr>
                <w:rFonts w:hint="eastAsia" w:asciiTheme="minorEastAsia" w:hAnsiTheme="minorEastAsia"/>
                <w:sz w:val="18"/>
                <w:szCs w:val="18"/>
              </w:rPr>
              <w:t>-600.32%</w:t>
            </w:r>
          </w:p>
        </w:tc>
        <w:tc>
          <w:tcPr>
            <w:tcW w:w="2551" w:type="dxa"/>
            <w:tcBorders>
              <w:top w:val="nil"/>
              <w:left w:val="nil"/>
              <w:bottom w:val="single" w:color="auto" w:sz="8" w:space="0"/>
              <w:right w:val="single" w:color="auto" w:sz="8" w:space="0"/>
            </w:tcBorders>
            <w:tcMar>
              <w:top w:w="15" w:type="dxa"/>
              <w:left w:w="15" w:type="dxa"/>
              <w:bottom w:w="0" w:type="dxa"/>
              <w:right w:w="15" w:type="dxa"/>
            </w:tcMar>
            <w:vAlign w:val="center"/>
          </w:tcPr>
          <w:p w14:paraId="3E926B04">
            <w:pPr>
              <w:rPr>
                <w:rFonts w:cs="宋体" w:asciiTheme="minorEastAsia" w:hAnsiTheme="minorEastAsia"/>
                <w:sz w:val="18"/>
                <w:szCs w:val="18"/>
              </w:rPr>
            </w:pPr>
            <w:r>
              <w:rPr>
                <w:rFonts w:hint="eastAsia" w:asciiTheme="minorEastAsia" w:hAnsiTheme="minorEastAsia"/>
                <w:sz w:val="18"/>
                <w:szCs w:val="18"/>
              </w:rPr>
              <w:t>主要系归还银行借款增加所致。</w:t>
            </w:r>
          </w:p>
        </w:tc>
      </w:tr>
    </w:tbl>
    <w:p w14:paraId="219C0B49">
      <w:pPr>
        <w:spacing w:before="100" w:after="100" w:line="240" w:lineRule="exact"/>
        <w:rPr>
          <w:rFonts w:ascii="宋体" w:hAnsi="宋体" w:eastAsia="宋体" w:cs="宋体"/>
          <w:sz w:val="18"/>
          <w:szCs w:val="18"/>
        </w:rPr>
      </w:pPr>
      <w:r>
        <w:rPr>
          <w:rFonts w:ascii="宋体" w:hAnsi="宋体" w:eastAsia="宋体" w:cs="宋体"/>
          <w:sz w:val="18"/>
          <w:szCs w:val="18"/>
        </w:rPr>
        <w:t>报告期内公司经营活动产生的现金净流量与本年度净利润存在重大差异的原因说明</w:t>
      </w:r>
    </w:p>
    <w:p w14:paraId="6BB0C1B3">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0D8E466">
      <w:pPr>
        <w:pStyle w:val="2"/>
        <w:spacing w:before="300" w:after="300" w:line="320" w:lineRule="exact"/>
        <w:rPr>
          <w:rFonts w:ascii="宋体" w:hAnsi="宋体" w:eastAsia="宋体" w:cs="宋体"/>
          <w:b/>
          <w:bCs/>
          <w:sz w:val="24"/>
          <w:szCs w:val="24"/>
        </w:rPr>
      </w:pPr>
      <w:bookmarkStart w:id="40" w:name="_Toc988929"/>
      <w:r>
        <w:rPr>
          <w:rFonts w:ascii="宋体" w:hAnsi="宋体" w:eastAsia="宋体" w:cs="宋体"/>
          <w:b/>
          <w:bCs/>
          <w:sz w:val="24"/>
          <w:szCs w:val="24"/>
        </w:rPr>
        <w:t>五、非主营业务分析</w:t>
      </w:r>
      <w:bookmarkEnd w:id="40"/>
    </w:p>
    <w:p w14:paraId="4A8E3DD0">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7C7518B7">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01"/>
        <w:gridCol w:w="1560"/>
        <w:gridCol w:w="1701"/>
        <w:gridCol w:w="2976"/>
        <w:gridCol w:w="1701"/>
      </w:tblGrid>
      <w:tr w14:paraId="6EEC8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59DD30D4"/>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14:paraId="70F65AAD">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4A14DB0F">
            <w:pPr>
              <w:spacing w:before="40" w:after="40" w:line="240" w:lineRule="exact"/>
              <w:jc w:val="center"/>
              <w:rPr>
                <w:rFonts w:ascii="宋体" w:hAnsi="宋体" w:eastAsia="宋体" w:cs="宋体"/>
                <w:sz w:val="18"/>
                <w:szCs w:val="18"/>
              </w:rPr>
            </w:pPr>
            <w:r>
              <w:rPr>
                <w:rFonts w:ascii="宋体" w:hAnsi="宋体" w:eastAsia="宋体" w:cs="宋体"/>
                <w:sz w:val="18"/>
                <w:szCs w:val="18"/>
              </w:rPr>
              <w:t>占利润总额比例</w:t>
            </w:r>
          </w:p>
        </w:tc>
        <w:tc>
          <w:tcPr>
            <w:tcW w:w="2976" w:type="dxa"/>
            <w:tcBorders>
              <w:top w:val="single" w:color="auto" w:sz="2" w:space="0"/>
              <w:left w:val="single" w:color="auto" w:sz="2" w:space="0"/>
              <w:bottom w:val="single" w:color="auto" w:sz="2" w:space="0"/>
              <w:right w:val="single" w:color="auto" w:sz="2" w:space="0"/>
            </w:tcBorders>
            <w:shd w:val="clear" w:color="auto" w:fill="D3D3D3"/>
            <w:vAlign w:val="center"/>
          </w:tcPr>
          <w:p w14:paraId="4710C86C">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形成原因说明</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7D682D2D">
            <w:pPr>
              <w:spacing w:before="40" w:after="40" w:line="240" w:lineRule="exact"/>
              <w:jc w:val="center"/>
              <w:rPr>
                <w:rFonts w:ascii="宋体" w:hAnsi="宋体" w:eastAsia="宋体" w:cs="宋体"/>
                <w:sz w:val="18"/>
                <w:szCs w:val="18"/>
              </w:rPr>
            </w:pPr>
            <w:r>
              <w:rPr>
                <w:rFonts w:ascii="宋体" w:hAnsi="宋体" w:eastAsia="宋体" w:cs="宋体"/>
                <w:sz w:val="18"/>
                <w:szCs w:val="18"/>
              </w:rPr>
              <w:t>是否具有可持续性</w:t>
            </w:r>
          </w:p>
        </w:tc>
      </w:tr>
      <w:tr w14:paraId="78284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3371165A">
            <w:pPr>
              <w:spacing w:before="40" w:after="40" w:line="240" w:lineRule="exact"/>
              <w:rPr>
                <w:rFonts w:ascii="宋体" w:hAnsi="宋体" w:eastAsia="宋体" w:cs="宋体"/>
                <w:sz w:val="18"/>
                <w:szCs w:val="18"/>
              </w:rPr>
            </w:pPr>
            <w:r>
              <w:rPr>
                <w:rFonts w:ascii="宋体" w:hAnsi="宋体" w:eastAsia="宋体" w:cs="宋体"/>
                <w:sz w:val="18"/>
                <w:szCs w:val="18"/>
              </w:rPr>
              <w:t>投资收益</w:t>
            </w:r>
          </w:p>
        </w:tc>
        <w:tc>
          <w:tcPr>
            <w:tcW w:w="1560" w:type="dxa"/>
            <w:tcBorders>
              <w:top w:val="single" w:color="auto" w:sz="2" w:space="0"/>
              <w:left w:val="single" w:color="auto" w:sz="2" w:space="0"/>
              <w:bottom w:val="single" w:color="auto" w:sz="2" w:space="0"/>
              <w:right w:val="single" w:color="auto" w:sz="2" w:space="0"/>
            </w:tcBorders>
            <w:vAlign w:val="center"/>
          </w:tcPr>
          <w:p w14:paraId="51DC7F20">
            <w:pPr>
              <w:spacing w:line="240" w:lineRule="exact"/>
              <w:jc w:val="right"/>
              <w:rPr>
                <w:rFonts w:ascii="宋体" w:hAnsi="宋体" w:eastAsia="宋体" w:cs="宋体"/>
                <w:sz w:val="18"/>
                <w:szCs w:val="18"/>
              </w:rPr>
            </w:pPr>
            <w:r>
              <w:rPr>
                <w:rFonts w:ascii="宋体" w:hAnsi="宋体" w:eastAsia="宋体" w:cs="宋体"/>
                <w:sz w:val="18"/>
                <w:szCs w:val="18"/>
              </w:rPr>
              <w:t>65,616,607.74</w:t>
            </w:r>
          </w:p>
        </w:tc>
        <w:tc>
          <w:tcPr>
            <w:tcW w:w="1701" w:type="dxa"/>
            <w:tcBorders>
              <w:top w:val="single" w:color="auto" w:sz="2" w:space="0"/>
              <w:left w:val="single" w:color="auto" w:sz="2" w:space="0"/>
              <w:bottom w:val="single" w:color="auto" w:sz="2" w:space="0"/>
              <w:right w:val="single" w:color="auto" w:sz="2" w:space="0"/>
            </w:tcBorders>
            <w:vAlign w:val="center"/>
          </w:tcPr>
          <w:p w14:paraId="379432C6">
            <w:pPr>
              <w:spacing w:line="240" w:lineRule="exact"/>
              <w:jc w:val="right"/>
              <w:rPr>
                <w:rFonts w:ascii="宋体" w:hAnsi="宋体" w:eastAsia="宋体" w:cs="宋体"/>
                <w:sz w:val="18"/>
                <w:szCs w:val="18"/>
              </w:rPr>
            </w:pPr>
            <w:r>
              <w:rPr>
                <w:rFonts w:ascii="宋体" w:hAnsi="宋体" w:eastAsia="宋体" w:cs="宋体"/>
                <w:sz w:val="18"/>
                <w:szCs w:val="18"/>
              </w:rPr>
              <w:t>83.42%</w:t>
            </w:r>
          </w:p>
        </w:tc>
        <w:tc>
          <w:tcPr>
            <w:tcW w:w="2976" w:type="dxa"/>
            <w:tcBorders>
              <w:top w:val="single" w:color="auto" w:sz="2" w:space="0"/>
              <w:left w:val="single" w:color="auto" w:sz="2" w:space="0"/>
              <w:bottom w:val="single" w:color="auto" w:sz="2" w:space="0"/>
              <w:right w:val="single" w:color="auto" w:sz="2" w:space="0"/>
            </w:tcBorders>
            <w:vAlign w:val="center"/>
          </w:tcPr>
          <w:p w14:paraId="02FF28A9">
            <w:pPr>
              <w:spacing w:line="240" w:lineRule="exact"/>
              <w:rPr>
                <w:rFonts w:ascii="宋体" w:hAnsi="宋体" w:eastAsia="宋体" w:cs="宋体"/>
                <w:sz w:val="18"/>
                <w:szCs w:val="18"/>
              </w:rPr>
            </w:pPr>
            <w:r>
              <w:rPr>
                <w:rFonts w:ascii="宋体" w:hAnsi="宋体" w:eastAsia="宋体" w:cs="宋体"/>
                <w:sz w:val="18"/>
                <w:szCs w:val="18"/>
              </w:rPr>
              <w:t>主要系期货、理财、股权投资业务损益形成。</w:t>
            </w:r>
          </w:p>
        </w:tc>
        <w:tc>
          <w:tcPr>
            <w:tcW w:w="1701" w:type="dxa"/>
            <w:tcBorders>
              <w:top w:val="single" w:color="auto" w:sz="2" w:space="0"/>
              <w:left w:val="single" w:color="auto" w:sz="2" w:space="0"/>
              <w:bottom w:val="single" w:color="auto" w:sz="2" w:space="0"/>
              <w:right w:val="single" w:color="auto" w:sz="2" w:space="0"/>
            </w:tcBorders>
            <w:vAlign w:val="center"/>
          </w:tcPr>
          <w:p w14:paraId="5AC6998D">
            <w:pPr>
              <w:spacing w:line="240" w:lineRule="exact"/>
              <w:rPr>
                <w:rFonts w:ascii="宋体" w:hAnsi="宋体" w:eastAsia="宋体" w:cs="宋体"/>
                <w:sz w:val="18"/>
                <w:szCs w:val="18"/>
              </w:rPr>
            </w:pPr>
            <w:r>
              <w:rPr>
                <w:rFonts w:ascii="宋体" w:hAnsi="宋体" w:eastAsia="宋体" w:cs="宋体"/>
                <w:sz w:val="18"/>
                <w:szCs w:val="18"/>
              </w:rPr>
              <w:t>否</w:t>
            </w:r>
          </w:p>
        </w:tc>
      </w:tr>
      <w:tr w14:paraId="554D3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48CA127A">
            <w:pPr>
              <w:spacing w:before="40" w:after="40" w:line="240" w:lineRule="exact"/>
              <w:rPr>
                <w:rFonts w:ascii="宋体" w:hAnsi="宋体" w:eastAsia="宋体" w:cs="宋体"/>
                <w:sz w:val="18"/>
                <w:szCs w:val="18"/>
              </w:rPr>
            </w:pPr>
            <w:r>
              <w:rPr>
                <w:rFonts w:ascii="宋体" w:hAnsi="宋体" w:eastAsia="宋体" w:cs="宋体"/>
                <w:sz w:val="18"/>
                <w:szCs w:val="18"/>
              </w:rPr>
              <w:t>公允价值变动损益</w:t>
            </w:r>
          </w:p>
        </w:tc>
        <w:tc>
          <w:tcPr>
            <w:tcW w:w="1560" w:type="dxa"/>
            <w:tcBorders>
              <w:top w:val="single" w:color="auto" w:sz="2" w:space="0"/>
              <w:left w:val="single" w:color="auto" w:sz="2" w:space="0"/>
              <w:bottom w:val="single" w:color="auto" w:sz="2" w:space="0"/>
              <w:right w:val="single" w:color="auto" w:sz="2" w:space="0"/>
            </w:tcBorders>
            <w:vAlign w:val="center"/>
          </w:tcPr>
          <w:p w14:paraId="08FA6841">
            <w:pPr>
              <w:spacing w:line="240" w:lineRule="exact"/>
              <w:jc w:val="right"/>
              <w:rPr>
                <w:rFonts w:ascii="宋体" w:hAnsi="宋体" w:eastAsia="宋体" w:cs="宋体"/>
                <w:sz w:val="18"/>
                <w:szCs w:val="18"/>
              </w:rPr>
            </w:pPr>
            <w:r>
              <w:rPr>
                <w:rFonts w:ascii="宋体" w:hAnsi="宋体" w:eastAsia="宋体" w:cs="宋体"/>
                <w:sz w:val="18"/>
                <w:szCs w:val="18"/>
              </w:rPr>
              <w:t>-16,682,363.53</w:t>
            </w:r>
          </w:p>
        </w:tc>
        <w:tc>
          <w:tcPr>
            <w:tcW w:w="1701" w:type="dxa"/>
            <w:tcBorders>
              <w:top w:val="single" w:color="auto" w:sz="2" w:space="0"/>
              <w:left w:val="single" w:color="auto" w:sz="2" w:space="0"/>
              <w:bottom w:val="single" w:color="auto" w:sz="2" w:space="0"/>
              <w:right w:val="single" w:color="auto" w:sz="2" w:space="0"/>
            </w:tcBorders>
            <w:vAlign w:val="center"/>
          </w:tcPr>
          <w:p w14:paraId="52AAE5E2">
            <w:pPr>
              <w:spacing w:line="240" w:lineRule="exact"/>
              <w:jc w:val="right"/>
              <w:rPr>
                <w:rFonts w:ascii="宋体" w:hAnsi="宋体" w:eastAsia="宋体" w:cs="宋体"/>
                <w:sz w:val="18"/>
                <w:szCs w:val="18"/>
              </w:rPr>
            </w:pPr>
            <w:r>
              <w:rPr>
                <w:rFonts w:ascii="宋体" w:hAnsi="宋体" w:eastAsia="宋体" w:cs="宋体"/>
                <w:sz w:val="18"/>
                <w:szCs w:val="18"/>
              </w:rPr>
              <w:t>-21.21%</w:t>
            </w:r>
          </w:p>
        </w:tc>
        <w:tc>
          <w:tcPr>
            <w:tcW w:w="2976" w:type="dxa"/>
            <w:tcBorders>
              <w:top w:val="single" w:color="auto" w:sz="2" w:space="0"/>
              <w:left w:val="single" w:color="auto" w:sz="2" w:space="0"/>
              <w:bottom w:val="single" w:color="auto" w:sz="2" w:space="0"/>
              <w:right w:val="single" w:color="auto" w:sz="2" w:space="0"/>
            </w:tcBorders>
            <w:vAlign w:val="center"/>
          </w:tcPr>
          <w:p w14:paraId="0ECECAAE">
            <w:pPr>
              <w:spacing w:line="240" w:lineRule="exact"/>
              <w:rPr>
                <w:rFonts w:ascii="宋体" w:hAnsi="宋体" w:eastAsia="宋体" w:cs="宋体"/>
                <w:sz w:val="18"/>
                <w:szCs w:val="18"/>
              </w:rPr>
            </w:pPr>
            <w:r>
              <w:rPr>
                <w:rFonts w:ascii="宋体" w:hAnsi="宋体" w:eastAsia="宋体" w:cs="宋体"/>
                <w:sz w:val="18"/>
                <w:szCs w:val="18"/>
              </w:rPr>
              <w:t>主要系期货、理财持有期间公允价值变动损失。</w:t>
            </w:r>
          </w:p>
        </w:tc>
        <w:tc>
          <w:tcPr>
            <w:tcW w:w="1701" w:type="dxa"/>
            <w:tcBorders>
              <w:top w:val="single" w:color="auto" w:sz="2" w:space="0"/>
              <w:left w:val="single" w:color="auto" w:sz="2" w:space="0"/>
              <w:bottom w:val="single" w:color="auto" w:sz="2" w:space="0"/>
              <w:right w:val="single" w:color="auto" w:sz="2" w:space="0"/>
            </w:tcBorders>
            <w:vAlign w:val="center"/>
          </w:tcPr>
          <w:p w14:paraId="15ED9D1B">
            <w:pPr>
              <w:spacing w:line="240" w:lineRule="exact"/>
              <w:rPr>
                <w:rFonts w:ascii="宋体" w:hAnsi="宋体" w:eastAsia="宋体" w:cs="宋体"/>
                <w:sz w:val="18"/>
                <w:szCs w:val="18"/>
              </w:rPr>
            </w:pPr>
            <w:r>
              <w:rPr>
                <w:rFonts w:ascii="宋体" w:hAnsi="宋体" w:eastAsia="宋体" w:cs="宋体"/>
                <w:sz w:val="18"/>
                <w:szCs w:val="18"/>
              </w:rPr>
              <w:t>否</w:t>
            </w:r>
          </w:p>
        </w:tc>
      </w:tr>
      <w:tr w14:paraId="3AAAC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0B2BDAA8">
            <w:pPr>
              <w:spacing w:before="40" w:after="40" w:line="240" w:lineRule="exact"/>
              <w:rPr>
                <w:rFonts w:ascii="宋体" w:hAnsi="宋体" w:eastAsia="宋体" w:cs="宋体"/>
                <w:sz w:val="18"/>
                <w:szCs w:val="18"/>
              </w:rPr>
            </w:pPr>
            <w:r>
              <w:rPr>
                <w:rFonts w:ascii="宋体" w:hAnsi="宋体" w:eastAsia="宋体" w:cs="宋体"/>
                <w:sz w:val="18"/>
                <w:szCs w:val="18"/>
              </w:rPr>
              <w:t>资产减值</w:t>
            </w:r>
          </w:p>
        </w:tc>
        <w:tc>
          <w:tcPr>
            <w:tcW w:w="1560" w:type="dxa"/>
            <w:tcBorders>
              <w:top w:val="single" w:color="auto" w:sz="2" w:space="0"/>
              <w:left w:val="single" w:color="auto" w:sz="2" w:space="0"/>
              <w:bottom w:val="single" w:color="auto" w:sz="2" w:space="0"/>
              <w:right w:val="single" w:color="auto" w:sz="2" w:space="0"/>
            </w:tcBorders>
            <w:vAlign w:val="center"/>
          </w:tcPr>
          <w:p w14:paraId="3A3384EC">
            <w:pPr>
              <w:spacing w:line="240" w:lineRule="exact"/>
              <w:jc w:val="right"/>
              <w:rPr>
                <w:rFonts w:ascii="宋体" w:hAnsi="宋体" w:eastAsia="宋体" w:cs="宋体"/>
                <w:sz w:val="18"/>
                <w:szCs w:val="18"/>
              </w:rPr>
            </w:pPr>
            <w:r>
              <w:rPr>
                <w:rFonts w:ascii="宋体" w:hAnsi="宋体" w:eastAsia="宋体" w:cs="宋体"/>
                <w:sz w:val="18"/>
                <w:szCs w:val="18"/>
              </w:rPr>
              <w:t>-5,141,871.08</w:t>
            </w:r>
          </w:p>
        </w:tc>
        <w:tc>
          <w:tcPr>
            <w:tcW w:w="1701" w:type="dxa"/>
            <w:tcBorders>
              <w:top w:val="single" w:color="auto" w:sz="2" w:space="0"/>
              <w:left w:val="single" w:color="auto" w:sz="2" w:space="0"/>
              <w:bottom w:val="single" w:color="auto" w:sz="2" w:space="0"/>
              <w:right w:val="single" w:color="auto" w:sz="2" w:space="0"/>
            </w:tcBorders>
            <w:vAlign w:val="center"/>
          </w:tcPr>
          <w:p w14:paraId="60A6B0C1">
            <w:pPr>
              <w:spacing w:line="240" w:lineRule="exact"/>
              <w:jc w:val="right"/>
              <w:rPr>
                <w:rFonts w:ascii="宋体" w:hAnsi="宋体" w:eastAsia="宋体" w:cs="宋体"/>
                <w:sz w:val="18"/>
                <w:szCs w:val="18"/>
              </w:rPr>
            </w:pPr>
            <w:r>
              <w:rPr>
                <w:rFonts w:ascii="宋体" w:hAnsi="宋体" w:eastAsia="宋体" w:cs="宋体"/>
                <w:sz w:val="18"/>
                <w:szCs w:val="18"/>
              </w:rPr>
              <w:t>-6.54%</w:t>
            </w:r>
          </w:p>
        </w:tc>
        <w:tc>
          <w:tcPr>
            <w:tcW w:w="2976" w:type="dxa"/>
            <w:tcBorders>
              <w:top w:val="single" w:color="auto" w:sz="2" w:space="0"/>
              <w:left w:val="single" w:color="auto" w:sz="2" w:space="0"/>
              <w:bottom w:val="single" w:color="auto" w:sz="2" w:space="0"/>
              <w:right w:val="single" w:color="auto" w:sz="2" w:space="0"/>
            </w:tcBorders>
            <w:vAlign w:val="center"/>
          </w:tcPr>
          <w:p w14:paraId="1364AD16">
            <w:pPr>
              <w:spacing w:line="240" w:lineRule="exact"/>
              <w:rPr>
                <w:rFonts w:ascii="宋体" w:hAnsi="宋体" w:eastAsia="宋体" w:cs="宋体"/>
                <w:sz w:val="18"/>
                <w:szCs w:val="18"/>
              </w:rPr>
            </w:pPr>
            <w:r>
              <w:rPr>
                <w:rFonts w:ascii="宋体" w:hAnsi="宋体" w:eastAsia="宋体" w:cs="宋体"/>
                <w:sz w:val="18"/>
                <w:szCs w:val="18"/>
              </w:rPr>
              <w:t>主要系本期计提的存货跌价损失。</w:t>
            </w:r>
          </w:p>
        </w:tc>
        <w:tc>
          <w:tcPr>
            <w:tcW w:w="1701" w:type="dxa"/>
            <w:tcBorders>
              <w:top w:val="single" w:color="auto" w:sz="2" w:space="0"/>
              <w:left w:val="single" w:color="auto" w:sz="2" w:space="0"/>
              <w:bottom w:val="single" w:color="auto" w:sz="2" w:space="0"/>
              <w:right w:val="single" w:color="auto" w:sz="2" w:space="0"/>
            </w:tcBorders>
            <w:vAlign w:val="center"/>
          </w:tcPr>
          <w:p w14:paraId="3A8EDBD5">
            <w:pPr>
              <w:spacing w:line="240" w:lineRule="exact"/>
              <w:rPr>
                <w:rFonts w:ascii="宋体" w:hAnsi="宋体" w:eastAsia="宋体" w:cs="宋体"/>
                <w:sz w:val="18"/>
                <w:szCs w:val="18"/>
              </w:rPr>
            </w:pPr>
            <w:r>
              <w:rPr>
                <w:rFonts w:ascii="宋体" w:hAnsi="宋体" w:eastAsia="宋体" w:cs="宋体"/>
                <w:sz w:val="18"/>
                <w:szCs w:val="18"/>
              </w:rPr>
              <w:t>否</w:t>
            </w:r>
          </w:p>
        </w:tc>
      </w:tr>
      <w:tr w14:paraId="15D74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57E16D7E">
            <w:pPr>
              <w:spacing w:before="40" w:after="40" w:line="240" w:lineRule="exact"/>
              <w:rPr>
                <w:rFonts w:ascii="宋体" w:hAnsi="宋体" w:eastAsia="宋体" w:cs="宋体"/>
                <w:sz w:val="18"/>
                <w:szCs w:val="18"/>
              </w:rPr>
            </w:pPr>
            <w:r>
              <w:rPr>
                <w:rFonts w:ascii="宋体" w:hAnsi="宋体" w:eastAsia="宋体" w:cs="宋体"/>
                <w:sz w:val="18"/>
                <w:szCs w:val="18"/>
              </w:rPr>
              <w:t>营业外收入</w:t>
            </w:r>
          </w:p>
        </w:tc>
        <w:tc>
          <w:tcPr>
            <w:tcW w:w="1560" w:type="dxa"/>
            <w:tcBorders>
              <w:top w:val="single" w:color="auto" w:sz="2" w:space="0"/>
              <w:left w:val="single" w:color="auto" w:sz="2" w:space="0"/>
              <w:bottom w:val="single" w:color="auto" w:sz="2" w:space="0"/>
              <w:right w:val="single" w:color="auto" w:sz="2" w:space="0"/>
            </w:tcBorders>
            <w:vAlign w:val="center"/>
          </w:tcPr>
          <w:p w14:paraId="4BD9E73C">
            <w:pPr>
              <w:spacing w:line="240" w:lineRule="exact"/>
              <w:jc w:val="right"/>
              <w:rPr>
                <w:rFonts w:ascii="宋体" w:hAnsi="宋体" w:eastAsia="宋体" w:cs="宋体"/>
                <w:sz w:val="18"/>
                <w:szCs w:val="18"/>
              </w:rPr>
            </w:pPr>
            <w:r>
              <w:rPr>
                <w:rFonts w:ascii="宋体" w:hAnsi="宋体" w:eastAsia="宋体" w:cs="宋体"/>
                <w:sz w:val="18"/>
                <w:szCs w:val="18"/>
              </w:rPr>
              <w:t>8,305,553.62</w:t>
            </w:r>
          </w:p>
        </w:tc>
        <w:tc>
          <w:tcPr>
            <w:tcW w:w="1701" w:type="dxa"/>
            <w:tcBorders>
              <w:top w:val="single" w:color="auto" w:sz="2" w:space="0"/>
              <w:left w:val="single" w:color="auto" w:sz="2" w:space="0"/>
              <w:bottom w:val="single" w:color="auto" w:sz="2" w:space="0"/>
              <w:right w:val="single" w:color="auto" w:sz="2" w:space="0"/>
            </w:tcBorders>
            <w:vAlign w:val="center"/>
          </w:tcPr>
          <w:p w14:paraId="308F2477">
            <w:pPr>
              <w:spacing w:line="240" w:lineRule="exact"/>
              <w:jc w:val="right"/>
              <w:rPr>
                <w:rFonts w:ascii="宋体" w:hAnsi="宋体" w:eastAsia="宋体" w:cs="宋体"/>
                <w:sz w:val="18"/>
                <w:szCs w:val="18"/>
              </w:rPr>
            </w:pPr>
            <w:r>
              <w:rPr>
                <w:rFonts w:ascii="宋体" w:hAnsi="宋体" w:eastAsia="宋体" w:cs="宋体"/>
                <w:sz w:val="18"/>
                <w:szCs w:val="18"/>
              </w:rPr>
              <w:t>10.56%</w:t>
            </w:r>
          </w:p>
        </w:tc>
        <w:tc>
          <w:tcPr>
            <w:tcW w:w="2976" w:type="dxa"/>
            <w:tcBorders>
              <w:top w:val="single" w:color="auto" w:sz="2" w:space="0"/>
              <w:left w:val="single" w:color="auto" w:sz="2" w:space="0"/>
              <w:bottom w:val="single" w:color="auto" w:sz="2" w:space="0"/>
              <w:right w:val="single" w:color="auto" w:sz="2" w:space="0"/>
            </w:tcBorders>
            <w:vAlign w:val="center"/>
          </w:tcPr>
          <w:p w14:paraId="1D5BEF39">
            <w:pPr>
              <w:spacing w:line="240" w:lineRule="exact"/>
              <w:rPr>
                <w:rFonts w:ascii="宋体" w:hAnsi="宋体" w:eastAsia="宋体" w:cs="宋体"/>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14:paraId="2D80DCB5">
            <w:pPr>
              <w:spacing w:line="240" w:lineRule="exact"/>
              <w:rPr>
                <w:rFonts w:ascii="宋体" w:hAnsi="宋体" w:eastAsia="宋体" w:cs="宋体"/>
                <w:sz w:val="18"/>
                <w:szCs w:val="18"/>
              </w:rPr>
            </w:pPr>
            <w:r>
              <w:rPr>
                <w:rFonts w:ascii="宋体" w:hAnsi="宋体" w:eastAsia="宋体" w:cs="宋体"/>
                <w:sz w:val="18"/>
                <w:szCs w:val="18"/>
              </w:rPr>
              <w:t>否</w:t>
            </w:r>
          </w:p>
        </w:tc>
      </w:tr>
      <w:tr w14:paraId="6C4DC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3318FBA6">
            <w:pPr>
              <w:spacing w:before="40" w:after="40" w:line="240" w:lineRule="exact"/>
              <w:rPr>
                <w:rFonts w:ascii="宋体" w:hAnsi="宋体" w:eastAsia="宋体" w:cs="宋体"/>
                <w:sz w:val="18"/>
                <w:szCs w:val="18"/>
              </w:rPr>
            </w:pPr>
            <w:r>
              <w:rPr>
                <w:rFonts w:ascii="宋体" w:hAnsi="宋体" w:eastAsia="宋体" w:cs="宋体"/>
                <w:sz w:val="18"/>
                <w:szCs w:val="18"/>
              </w:rPr>
              <w:t>营业外支出</w:t>
            </w:r>
          </w:p>
        </w:tc>
        <w:tc>
          <w:tcPr>
            <w:tcW w:w="1560" w:type="dxa"/>
            <w:tcBorders>
              <w:top w:val="single" w:color="auto" w:sz="2" w:space="0"/>
              <w:left w:val="single" w:color="auto" w:sz="2" w:space="0"/>
              <w:bottom w:val="single" w:color="auto" w:sz="2" w:space="0"/>
              <w:right w:val="single" w:color="auto" w:sz="2" w:space="0"/>
            </w:tcBorders>
            <w:vAlign w:val="center"/>
          </w:tcPr>
          <w:p w14:paraId="19BC6802">
            <w:pPr>
              <w:spacing w:line="240" w:lineRule="exact"/>
              <w:jc w:val="right"/>
              <w:rPr>
                <w:rFonts w:ascii="宋体" w:hAnsi="宋体" w:eastAsia="宋体" w:cs="宋体"/>
                <w:sz w:val="18"/>
                <w:szCs w:val="18"/>
              </w:rPr>
            </w:pPr>
            <w:r>
              <w:rPr>
                <w:rFonts w:ascii="宋体" w:hAnsi="宋体" w:eastAsia="宋体" w:cs="宋体"/>
                <w:sz w:val="18"/>
                <w:szCs w:val="18"/>
              </w:rPr>
              <w:t>7,241,425.63</w:t>
            </w:r>
          </w:p>
        </w:tc>
        <w:tc>
          <w:tcPr>
            <w:tcW w:w="1701" w:type="dxa"/>
            <w:tcBorders>
              <w:top w:val="single" w:color="auto" w:sz="2" w:space="0"/>
              <w:left w:val="single" w:color="auto" w:sz="2" w:space="0"/>
              <w:bottom w:val="single" w:color="auto" w:sz="2" w:space="0"/>
              <w:right w:val="single" w:color="auto" w:sz="2" w:space="0"/>
            </w:tcBorders>
            <w:vAlign w:val="center"/>
          </w:tcPr>
          <w:p w14:paraId="2919B718">
            <w:pPr>
              <w:spacing w:line="240" w:lineRule="exact"/>
              <w:jc w:val="right"/>
              <w:rPr>
                <w:rFonts w:ascii="宋体" w:hAnsi="宋体" w:eastAsia="宋体" w:cs="宋体"/>
                <w:sz w:val="18"/>
                <w:szCs w:val="18"/>
              </w:rPr>
            </w:pPr>
            <w:r>
              <w:rPr>
                <w:rFonts w:ascii="宋体" w:hAnsi="宋体" w:eastAsia="宋体" w:cs="宋体"/>
                <w:sz w:val="18"/>
                <w:szCs w:val="18"/>
              </w:rPr>
              <w:t>9.21%</w:t>
            </w:r>
          </w:p>
        </w:tc>
        <w:tc>
          <w:tcPr>
            <w:tcW w:w="2976" w:type="dxa"/>
            <w:tcBorders>
              <w:top w:val="single" w:color="auto" w:sz="2" w:space="0"/>
              <w:left w:val="single" w:color="auto" w:sz="2" w:space="0"/>
              <w:bottom w:val="single" w:color="auto" w:sz="2" w:space="0"/>
              <w:right w:val="single" w:color="auto" w:sz="2" w:space="0"/>
            </w:tcBorders>
            <w:vAlign w:val="center"/>
          </w:tcPr>
          <w:p w14:paraId="5100FCE4">
            <w:pPr>
              <w:spacing w:line="240" w:lineRule="exact"/>
              <w:rPr>
                <w:rFonts w:ascii="宋体" w:hAnsi="宋体" w:eastAsia="宋体" w:cs="宋体"/>
                <w:sz w:val="18"/>
                <w:szCs w:val="18"/>
              </w:rPr>
            </w:pPr>
          </w:p>
        </w:tc>
        <w:tc>
          <w:tcPr>
            <w:tcW w:w="1701" w:type="dxa"/>
            <w:tcBorders>
              <w:top w:val="single" w:color="auto" w:sz="2" w:space="0"/>
              <w:left w:val="single" w:color="auto" w:sz="2" w:space="0"/>
              <w:bottom w:val="single" w:color="auto" w:sz="2" w:space="0"/>
              <w:right w:val="single" w:color="auto" w:sz="2" w:space="0"/>
            </w:tcBorders>
            <w:vAlign w:val="center"/>
          </w:tcPr>
          <w:p w14:paraId="2E375B1F">
            <w:pPr>
              <w:spacing w:line="240" w:lineRule="exact"/>
              <w:rPr>
                <w:rFonts w:ascii="宋体" w:hAnsi="宋体" w:eastAsia="宋体" w:cs="宋体"/>
                <w:sz w:val="18"/>
                <w:szCs w:val="18"/>
              </w:rPr>
            </w:pPr>
            <w:r>
              <w:rPr>
                <w:rFonts w:ascii="宋体" w:hAnsi="宋体" w:eastAsia="宋体" w:cs="宋体"/>
                <w:sz w:val="18"/>
                <w:szCs w:val="18"/>
              </w:rPr>
              <w:t>否</w:t>
            </w:r>
          </w:p>
        </w:tc>
      </w:tr>
    </w:tbl>
    <w:p w14:paraId="10CA3A35">
      <w:pPr>
        <w:pStyle w:val="2"/>
        <w:spacing w:before="300" w:after="300" w:line="320" w:lineRule="exact"/>
        <w:rPr>
          <w:rFonts w:ascii="宋体" w:hAnsi="宋体" w:eastAsia="宋体" w:cs="宋体"/>
          <w:b/>
          <w:bCs/>
          <w:sz w:val="24"/>
          <w:szCs w:val="24"/>
        </w:rPr>
      </w:pPr>
      <w:bookmarkStart w:id="41" w:name="_Toc988930"/>
      <w:r>
        <w:rPr>
          <w:rFonts w:ascii="宋体" w:hAnsi="宋体" w:eastAsia="宋体" w:cs="宋体"/>
          <w:b/>
          <w:bCs/>
          <w:sz w:val="24"/>
          <w:szCs w:val="24"/>
        </w:rPr>
        <w:t>六、资产及负债状况分析</w:t>
      </w:r>
      <w:bookmarkEnd w:id="41"/>
    </w:p>
    <w:p w14:paraId="6692662C">
      <w:pPr>
        <w:pStyle w:val="3"/>
        <w:spacing w:line="280" w:lineRule="exact"/>
        <w:jc w:val="left"/>
        <w:rPr>
          <w:rFonts w:ascii="宋体" w:hAnsi="宋体" w:cs="宋体"/>
          <w:b/>
          <w:bCs/>
        </w:rPr>
      </w:pPr>
      <w:bookmarkStart w:id="42" w:name="_Toc988931"/>
      <w:r>
        <w:rPr>
          <w:rFonts w:ascii="宋体" w:hAnsi="宋体" w:cs="宋体"/>
          <w:b/>
          <w:bCs/>
        </w:rPr>
        <w:t>1、资产构成重大变动情况</w:t>
      </w:r>
      <w:bookmarkEnd w:id="42"/>
    </w:p>
    <w:p w14:paraId="2290369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742"/>
        <w:gridCol w:w="1417"/>
        <w:gridCol w:w="1701"/>
        <w:gridCol w:w="1560"/>
        <w:gridCol w:w="992"/>
        <w:gridCol w:w="850"/>
      </w:tblGrid>
      <w:tr w14:paraId="5576A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65DF2B0"/>
        </w:tc>
        <w:tc>
          <w:tcPr>
            <w:tcW w:w="315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F362621">
            <w:pPr>
              <w:spacing w:before="40" w:after="40" w:line="240" w:lineRule="exact"/>
              <w:jc w:val="center"/>
              <w:rPr>
                <w:rFonts w:ascii="宋体" w:hAnsi="宋体" w:eastAsia="宋体" w:cs="宋体"/>
                <w:sz w:val="18"/>
                <w:szCs w:val="18"/>
              </w:rPr>
            </w:pPr>
            <w:r>
              <w:rPr>
                <w:rFonts w:ascii="宋体" w:hAnsi="宋体" w:eastAsia="宋体" w:cs="宋体"/>
                <w:sz w:val="18"/>
                <w:szCs w:val="18"/>
              </w:rPr>
              <w:t>2025年末</w:t>
            </w:r>
          </w:p>
        </w:tc>
        <w:tc>
          <w:tcPr>
            <w:tcW w:w="326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10F56ED">
            <w:pPr>
              <w:spacing w:before="40" w:after="40" w:line="240" w:lineRule="exact"/>
              <w:jc w:val="center"/>
              <w:rPr>
                <w:rFonts w:ascii="宋体" w:hAnsi="宋体" w:eastAsia="宋体" w:cs="宋体"/>
                <w:sz w:val="18"/>
                <w:szCs w:val="18"/>
              </w:rPr>
            </w:pPr>
            <w:r>
              <w:rPr>
                <w:rFonts w:ascii="宋体" w:hAnsi="宋体" w:eastAsia="宋体" w:cs="宋体"/>
                <w:sz w:val="18"/>
                <w:szCs w:val="18"/>
              </w:rPr>
              <w:t>2025年初</w:t>
            </w:r>
          </w:p>
        </w:tc>
        <w:tc>
          <w:tcPr>
            <w:tcW w:w="99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D306EB8">
            <w:pPr>
              <w:spacing w:before="40" w:after="40" w:line="240" w:lineRule="exact"/>
              <w:jc w:val="center"/>
              <w:rPr>
                <w:rFonts w:ascii="宋体" w:hAnsi="宋体" w:eastAsia="宋体" w:cs="宋体"/>
                <w:sz w:val="18"/>
                <w:szCs w:val="18"/>
              </w:rPr>
            </w:pPr>
            <w:r>
              <w:rPr>
                <w:rFonts w:ascii="宋体" w:hAnsi="宋体" w:eastAsia="宋体" w:cs="宋体"/>
                <w:sz w:val="18"/>
                <w:szCs w:val="18"/>
              </w:rPr>
              <w:t>比重增减</w:t>
            </w:r>
          </w:p>
        </w:tc>
        <w:tc>
          <w:tcPr>
            <w:tcW w:w="85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18724DF">
            <w:pPr>
              <w:spacing w:before="40" w:after="40" w:line="240" w:lineRule="exact"/>
              <w:jc w:val="center"/>
              <w:rPr>
                <w:rFonts w:ascii="宋体" w:hAnsi="宋体" w:eastAsia="宋体" w:cs="宋体"/>
                <w:sz w:val="18"/>
                <w:szCs w:val="18"/>
              </w:rPr>
            </w:pPr>
            <w:r>
              <w:rPr>
                <w:rFonts w:ascii="宋体" w:hAnsi="宋体" w:eastAsia="宋体" w:cs="宋体"/>
                <w:sz w:val="18"/>
                <w:szCs w:val="18"/>
              </w:rPr>
              <w:t>重大变动说明</w:t>
            </w:r>
          </w:p>
        </w:tc>
      </w:tr>
      <w:tr w14:paraId="4289C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7496E7B"/>
        </w:tc>
        <w:tc>
          <w:tcPr>
            <w:tcW w:w="1742" w:type="dxa"/>
            <w:tcBorders>
              <w:top w:val="single" w:color="auto" w:sz="2" w:space="0"/>
              <w:left w:val="single" w:color="auto" w:sz="2" w:space="0"/>
              <w:bottom w:val="single" w:color="auto" w:sz="2" w:space="0"/>
              <w:right w:val="single" w:color="auto" w:sz="2" w:space="0"/>
            </w:tcBorders>
            <w:shd w:val="clear" w:color="auto" w:fill="D3D3D3"/>
            <w:vAlign w:val="center"/>
          </w:tcPr>
          <w:p w14:paraId="7E40B5C0">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14:paraId="463A5DA8">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2748C17B">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14:paraId="3C5B0230">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99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FF18C90"/>
        </w:tc>
        <w:tc>
          <w:tcPr>
            <w:tcW w:w="85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E4C54E9"/>
        </w:tc>
      </w:tr>
      <w:tr w14:paraId="7597F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79FF3A4">
            <w:pPr>
              <w:spacing w:before="40" w:after="40" w:line="240" w:lineRule="exact"/>
              <w:rPr>
                <w:rFonts w:ascii="宋体" w:hAnsi="宋体" w:eastAsia="宋体" w:cs="宋体"/>
                <w:sz w:val="18"/>
                <w:szCs w:val="18"/>
              </w:rPr>
            </w:pPr>
            <w:r>
              <w:rPr>
                <w:rFonts w:ascii="宋体" w:hAnsi="宋体" w:eastAsia="宋体" w:cs="宋体"/>
                <w:sz w:val="18"/>
                <w:szCs w:val="18"/>
              </w:rPr>
              <w:t>货币资金</w:t>
            </w:r>
          </w:p>
        </w:tc>
        <w:tc>
          <w:tcPr>
            <w:tcW w:w="1742" w:type="dxa"/>
            <w:tcBorders>
              <w:top w:val="single" w:color="auto" w:sz="2" w:space="0"/>
              <w:left w:val="single" w:color="auto" w:sz="2" w:space="0"/>
              <w:bottom w:val="single" w:color="auto" w:sz="2" w:space="0"/>
              <w:right w:val="single" w:color="auto" w:sz="2" w:space="0"/>
            </w:tcBorders>
            <w:vAlign w:val="center"/>
          </w:tcPr>
          <w:p w14:paraId="15B9CB57">
            <w:pPr>
              <w:spacing w:line="240" w:lineRule="exact"/>
              <w:jc w:val="right"/>
              <w:rPr>
                <w:rFonts w:ascii="宋体" w:hAnsi="宋体" w:eastAsia="宋体" w:cs="宋体"/>
                <w:sz w:val="18"/>
                <w:szCs w:val="18"/>
              </w:rPr>
            </w:pPr>
            <w:r>
              <w:rPr>
                <w:rFonts w:ascii="宋体" w:hAnsi="宋体" w:eastAsia="宋体" w:cs="宋体"/>
                <w:sz w:val="18"/>
                <w:szCs w:val="18"/>
              </w:rPr>
              <w:t>1,673,049,794.16</w:t>
            </w:r>
          </w:p>
        </w:tc>
        <w:tc>
          <w:tcPr>
            <w:tcW w:w="1417" w:type="dxa"/>
            <w:tcBorders>
              <w:top w:val="single" w:color="auto" w:sz="2" w:space="0"/>
              <w:left w:val="single" w:color="auto" w:sz="2" w:space="0"/>
              <w:bottom w:val="single" w:color="auto" w:sz="2" w:space="0"/>
              <w:right w:val="single" w:color="auto" w:sz="2" w:space="0"/>
            </w:tcBorders>
            <w:vAlign w:val="center"/>
          </w:tcPr>
          <w:p w14:paraId="7BD94E01">
            <w:pPr>
              <w:spacing w:line="240" w:lineRule="exact"/>
              <w:jc w:val="right"/>
              <w:rPr>
                <w:rFonts w:ascii="宋体" w:hAnsi="宋体" w:eastAsia="宋体" w:cs="宋体"/>
                <w:sz w:val="18"/>
                <w:szCs w:val="18"/>
              </w:rPr>
            </w:pPr>
            <w:r>
              <w:rPr>
                <w:rFonts w:ascii="宋体" w:hAnsi="宋体" w:eastAsia="宋体" w:cs="宋体"/>
                <w:sz w:val="18"/>
                <w:szCs w:val="18"/>
              </w:rPr>
              <w:t>10.63%</w:t>
            </w:r>
          </w:p>
        </w:tc>
        <w:tc>
          <w:tcPr>
            <w:tcW w:w="1701" w:type="dxa"/>
            <w:tcBorders>
              <w:top w:val="single" w:color="auto" w:sz="2" w:space="0"/>
              <w:left w:val="single" w:color="auto" w:sz="2" w:space="0"/>
              <w:bottom w:val="single" w:color="auto" w:sz="2" w:space="0"/>
              <w:right w:val="single" w:color="auto" w:sz="2" w:space="0"/>
            </w:tcBorders>
            <w:vAlign w:val="center"/>
          </w:tcPr>
          <w:p w14:paraId="47FDF55A">
            <w:pPr>
              <w:spacing w:line="240" w:lineRule="exact"/>
              <w:jc w:val="right"/>
              <w:rPr>
                <w:rFonts w:ascii="宋体" w:hAnsi="宋体" w:eastAsia="宋体" w:cs="宋体"/>
                <w:sz w:val="18"/>
                <w:szCs w:val="18"/>
              </w:rPr>
            </w:pPr>
            <w:r>
              <w:rPr>
                <w:rFonts w:ascii="宋体" w:hAnsi="宋体" w:eastAsia="宋体" w:cs="宋体"/>
                <w:sz w:val="18"/>
                <w:szCs w:val="18"/>
              </w:rPr>
              <w:t>2,495,550,845.58</w:t>
            </w:r>
          </w:p>
        </w:tc>
        <w:tc>
          <w:tcPr>
            <w:tcW w:w="1560" w:type="dxa"/>
            <w:tcBorders>
              <w:top w:val="single" w:color="auto" w:sz="2" w:space="0"/>
              <w:left w:val="single" w:color="auto" w:sz="2" w:space="0"/>
              <w:bottom w:val="single" w:color="auto" w:sz="2" w:space="0"/>
              <w:right w:val="single" w:color="auto" w:sz="2" w:space="0"/>
            </w:tcBorders>
            <w:vAlign w:val="center"/>
          </w:tcPr>
          <w:p w14:paraId="2E250D6A">
            <w:pPr>
              <w:spacing w:line="240" w:lineRule="exact"/>
              <w:jc w:val="right"/>
              <w:rPr>
                <w:rFonts w:ascii="宋体" w:hAnsi="宋体" w:eastAsia="宋体" w:cs="宋体"/>
                <w:sz w:val="18"/>
                <w:szCs w:val="18"/>
              </w:rPr>
            </w:pPr>
            <w:r>
              <w:rPr>
                <w:rFonts w:ascii="宋体" w:hAnsi="宋体" w:eastAsia="宋体" w:cs="宋体"/>
                <w:sz w:val="18"/>
                <w:szCs w:val="18"/>
              </w:rPr>
              <w:t>14.53%</w:t>
            </w:r>
          </w:p>
        </w:tc>
        <w:tc>
          <w:tcPr>
            <w:tcW w:w="992" w:type="dxa"/>
            <w:tcBorders>
              <w:top w:val="single" w:color="auto" w:sz="2" w:space="0"/>
              <w:left w:val="single" w:color="auto" w:sz="2" w:space="0"/>
              <w:bottom w:val="single" w:color="auto" w:sz="2" w:space="0"/>
              <w:right w:val="single" w:color="auto" w:sz="2" w:space="0"/>
            </w:tcBorders>
            <w:vAlign w:val="center"/>
          </w:tcPr>
          <w:p w14:paraId="75178C9C">
            <w:pPr>
              <w:spacing w:line="240" w:lineRule="exact"/>
              <w:jc w:val="right"/>
              <w:rPr>
                <w:rFonts w:ascii="宋体" w:hAnsi="宋体" w:eastAsia="宋体" w:cs="宋体"/>
                <w:sz w:val="18"/>
                <w:szCs w:val="18"/>
              </w:rPr>
            </w:pPr>
            <w:r>
              <w:rPr>
                <w:rFonts w:ascii="宋体" w:hAnsi="宋体" w:eastAsia="宋体" w:cs="宋体"/>
                <w:sz w:val="18"/>
                <w:szCs w:val="18"/>
              </w:rPr>
              <w:t>-3.90%</w:t>
            </w:r>
          </w:p>
        </w:tc>
        <w:tc>
          <w:tcPr>
            <w:tcW w:w="850" w:type="dxa"/>
            <w:tcBorders>
              <w:top w:val="single" w:color="auto" w:sz="2" w:space="0"/>
              <w:left w:val="single" w:color="auto" w:sz="2" w:space="0"/>
              <w:bottom w:val="single" w:color="auto" w:sz="2" w:space="0"/>
              <w:right w:val="single" w:color="auto" w:sz="2" w:space="0"/>
            </w:tcBorders>
            <w:vAlign w:val="center"/>
          </w:tcPr>
          <w:p w14:paraId="3A52835E">
            <w:pPr>
              <w:spacing w:line="240" w:lineRule="exact"/>
              <w:rPr>
                <w:rFonts w:ascii="宋体" w:hAnsi="宋体" w:eastAsia="宋体" w:cs="宋体"/>
                <w:sz w:val="18"/>
                <w:szCs w:val="18"/>
              </w:rPr>
            </w:pPr>
          </w:p>
        </w:tc>
      </w:tr>
      <w:tr w14:paraId="02B75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CE39822">
            <w:pPr>
              <w:spacing w:before="40" w:after="40" w:line="240" w:lineRule="exact"/>
              <w:rPr>
                <w:rFonts w:ascii="宋体" w:hAnsi="宋体" w:eastAsia="宋体" w:cs="宋体"/>
                <w:sz w:val="18"/>
                <w:szCs w:val="18"/>
              </w:rPr>
            </w:pPr>
            <w:r>
              <w:rPr>
                <w:rFonts w:ascii="宋体" w:hAnsi="宋体" w:eastAsia="宋体" w:cs="宋体"/>
                <w:sz w:val="18"/>
                <w:szCs w:val="18"/>
              </w:rPr>
              <w:t>应收账款</w:t>
            </w:r>
          </w:p>
        </w:tc>
        <w:tc>
          <w:tcPr>
            <w:tcW w:w="1742" w:type="dxa"/>
            <w:tcBorders>
              <w:top w:val="single" w:color="auto" w:sz="2" w:space="0"/>
              <w:left w:val="single" w:color="auto" w:sz="2" w:space="0"/>
              <w:bottom w:val="single" w:color="auto" w:sz="2" w:space="0"/>
              <w:right w:val="single" w:color="auto" w:sz="2" w:space="0"/>
            </w:tcBorders>
            <w:vAlign w:val="center"/>
          </w:tcPr>
          <w:p w14:paraId="32A72E3C">
            <w:pPr>
              <w:spacing w:line="240" w:lineRule="exact"/>
              <w:jc w:val="right"/>
              <w:rPr>
                <w:rFonts w:ascii="宋体" w:hAnsi="宋体" w:eastAsia="宋体" w:cs="宋体"/>
                <w:sz w:val="18"/>
                <w:szCs w:val="18"/>
              </w:rPr>
            </w:pPr>
            <w:r>
              <w:rPr>
                <w:rFonts w:ascii="宋体" w:hAnsi="宋体" w:eastAsia="宋体" w:cs="宋体"/>
                <w:sz w:val="18"/>
                <w:szCs w:val="18"/>
              </w:rPr>
              <w:t>1,084,133,458.57</w:t>
            </w:r>
          </w:p>
        </w:tc>
        <w:tc>
          <w:tcPr>
            <w:tcW w:w="1417" w:type="dxa"/>
            <w:tcBorders>
              <w:top w:val="single" w:color="auto" w:sz="2" w:space="0"/>
              <w:left w:val="single" w:color="auto" w:sz="2" w:space="0"/>
              <w:bottom w:val="single" w:color="auto" w:sz="2" w:space="0"/>
              <w:right w:val="single" w:color="auto" w:sz="2" w:space="0"/>
            </w:tcBorders>
            <w:vAlign w:val="center"/>
          </w:tcPr>
          <w:p w14:paraId="576B01D2">
            <w:pPr>
              <w:spacing w:line="240" w:lineRule="exact"/>
              <w:jc w:val="right"/>
              <w:rPr>
                <w:rFonts w:ascii="宋体" w:hAnsi="宋体" w:eastAsia="宋体" w:cs="宋体"/>
                <w:sz w:val="18"/>
                <w:szCs w:val="18"/>
              </w:rPr>
            </w:pPr>
            <w:r>
              <w:rPr>
                <w:rFonts w:ascii="宋体" w:hAnsi="宋体" w:eastAsia="宋体" w:cs="宋体"/>
                <w:sz w:val="18"/>
                <w:szCs w:val="18"/>
              </w:rPr>
              <w:t>6.89%</w:t>
            </w:r>
          </w:p>
        </w:tc>
        <w:tc>
          <w:tcPr>
            <w:tcW w:w="1701" w:type="dxa"/>
            <w:tcBorders>
              <w:top w:val="single" w:color="auto" w:sz="2" w:space="0"/>
              <w:left w:val="single" w:color="auto" w:sz="2" w:space="0"/>
              <w:bottom w:val="single" w:color="auto" w:sz="2" w:space="0"/>
              <w:right w:val="single" w:color="auto" w:sz="2" w:space="0"/>
            </w:tcBorders>
            <w:vAlign w:val="center"/>
          </w:tcPr>
          <w:p w14:paraId="55AFC2BE">
            <w:pPr>
              <w:spacing w:line="240" w:lineRule="exact"/>
              <w:jc w:val="right"/>
              <w:rPr>
                <w:rFonts w:ascii="宋体" w:hAnsi="宋体" w:eastAsia="宋体" w:cs="宋体"/>
                <w:sz w:val="18"/>
                <w:szCs w:val="18"/>
              </w:rPr>
            </w:pPr>
            <w:r>
              <w:rPr>
                <w:rFonts w:ascii="宋体" w:hAnsi="宋体" w:eastAsia="宋体" w:cs="宋体"/>
                <w:sz w:val="18"/>
                <w:szCs w:val="18"/>
              </w:rPr>
              <w:t>1,457,626,076.42</w:t>
            </w:r>
          </w:p>
        </w:tc>
        <w:tc>
          <w:tcPr>
            <w:tcW w:w="1560" w:type="dxa"/>
            <w:tcBorders>
              <w:top w:val="single" w:color="auto" w:sz="2" w:space="0"/>
              <w:left w:val="single" w:color="auto" w:sz="2" w:space="0"/>
              <w:bottom w:val="single" w:color="auto" w:sz="2" w:space="0"/>
              <w:right w:val="single" w:color="auto" w:sz="2" w:space="0"/>
            </w:tcBorders>
            <w:vAlign w:val="center"/>
          </w:tcPr>
          <w:p w14:paraId="7A8637F6">
            <w:pPr>
              <w:spacing w:line="240" w:lineRule="exact"/>
              <w:jc w:val="right"/>
              <w:rPr>
                <w:rFonts w:ascii="宋体" w:hAnsi="宋体" w:eastAsia="宋体" w:cs="宋体"/>
                <w:sz w:val="18"/>
                <w:szCs w:val="18"/>
              </w:rPr>
            </w:pPr>
            <w:r>
              <w:rPr>
                <w:rFonts w:ascii="宋体" w:hAnsi="宋体" w:eastAsia="宋体" w:cs="宋体"/>
                <w:sz w:val="18"/>
                <w:szCs w:val="18"/>
              </w:rPr>
              <w:t>8.48%</w:t>
            </w:r>
          </w:p>
        </w:tc>
        <w:tc>
          <w:tcPr>
            <w:tcW w:w="992" w:type="dxa"/>
            <w:tcBorders>
              <w:top w:val="single" w:color="auto" w:sz="2" w:space="0"/>
              <w:left w:val="single" w:color="auto" w:sz="2" w:space="0"/>
              <w:bottom w:val="single" w:color="auto" w:sz="2" w:space="0"/>
              <w:right w:val="single" w:color="auto" w:sz="2" w:space="0"/>
            </w:tcBorders>
            <w:vAlign w:val="center"/>
          </w:tcPr>
          <w:p w14:paraId="2327471A">
            <w:pPr>
              <w:spacing w:line="240" w:lineRule="exact"/>
              <w:jc w:val="right"/>
              <w:rPr>
                <w:rFonts w:ascii="宋体" w:hAnsi="宋体" w:eastAsia="宋体" w:cs="宋体"/>
                <w:sz w:val="18"/>
                <w:szCs w:val="18"/>
              </w:rPr>
            </w:pPr>
            <w:r>
              <w:rPr>
                <w:rFonts w:ascii="宋体" w:hAnsi="宋体" w:eastAsia="宋体" w:cs="宋体"/>
                <w:sz w:val="18"/>
                <w:szCs w:val="18"/>
              </w:rPr>
              <w:t>-1.59%</w:t>
            </w:r>
          </w:p>
        </w:tc>
        <w:tc>
          <w:tcPr>
            <w:tcW w:w="850" w:type="dxa"/>
            <w:tcBorders>
              <w:top w:val="single" w:color="auto" w:sz="2" w:space="0"/>
              <w:left w:val="single" w:color="auto" w:sz="2" w:space="0"/>
              <w:bottom w:val="single" w:color="auto" w:sz="2" w:space="0"/>
              <w:right w:val="single" w:color="auto" w:sz="2" w:space="0"/>
            </w:tcBorders>
            <w:vAlign w:val="center"/>
          </w:tcPr>
          <w:p w14:paraId="4192A394">
            <w:pPr>
              <w:spacing w:line="240" w:lineRule="exact"/>
              <w:rPr>
                <w:rFonts w:ascii="宋体" w:hAnsi="宋体" w:eastAsia="宋体" w:cs="宋体"/>
                <w:sz w:val="18"/>
                <w:szCs w:val="18"/>
              </w:rPr>
            </w:pPr>
          </w:p>
        </w:tc>
      </w:tr>
      <w:tr w14:paraId="0F2DC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6EE2BB1">
            <w:pPr>
              <w:spacing w:before="40" w:after="40" w:line="240" w:lineRule="exact"/>
              <w:rPr>
                <w:rFonts w:ascii="宋体" w:hAnsi="宋体" w:eastAsia="宋体" w:cs="宋体"/>
                <w:sz w:val="18"/>
                <w:szCs w:val="18"/>
              </w:rPr>
            </w:pPr>
            <w:r>
              <w:rPr>
                <w:rFonts w:ascii="宋体" w:hAnsi="宋体" w:eastAsia="宋体" w:cs="宋体"/>
                <w:sz w:val="18"/>
                <w:szCs w:val="18"/>
              </w:rPr>
              <w:t>存货</w:t>
            </w:r>
          </w:p>
        </w:tc>
        <w:tc>
          <w:tcPr>
            <w:tcW w:w="1742" w:type="dxa"/>
            <w:tcBorders>
              <w:top w:val="single" w:color="auto" w:sz="2" w:space="0"/>
              <w:left w:val="single" w:color="auto" w:sz="2" w:space="0"/>
              <w:bottom w:val="single" w:color="auto" w:sz="2" w:space="0"/>
              <w:right w:val="single" w:color="auto" w:sz="2" w:space="0"/>
            </w:tcBorders>
            <w:vAlign w:val="center"/>
          </w:tcPr>
          <w:p w14:paraId="753452B2">
            <w:pPr>
              <w:spacing w:line="240" w:lineRule="exact"/>
              <w:jc w:val="right"/>
              <w:rPr>
                <w:rFonts w:ascii="宋体" w:hAnsi="宋体" w:eastAsia="宋体" w:cs="宋体"/>
                <w:sz w:val="18"/>
                <w:szCs w:val="18"/>
              </w:rPr>
            </w:pPr>
            <w:r>
              <w:rPr>
                <w:rFonts w:ascii="宋体" w:hAnsi="宋体" w:eastAsia="宋体" w:cs="宋体"/>
                <w:sz w:val="18"/>
                <w:szCs w:val="18"/>
              </w:rPr>
              <w:t>4,386,752,120.28</w:t>
            </w:r>
          </w:p>
        </w:tc>
        <w:tc>
          <w:tcPr>
            <w:tcW w:w="1417" w:type="dxa"/>
            <w:tcBorders>
              <w:top w:val="single" w:color="auto" w:sz="2" w:space="0"/>
              <w:left w:val="single" w:color="auto" w:sz="2" w:space="0"/>
              <w:bottom w:val="single" w:color="auto" w:sz="2" w:space="0"/>
              <w:right w:val="single" w:color="auto" w:sz="2" w:space="0"/>
            </w:tcBorders>
            <w:vAlign w:val="center"/>
          </w:tcPr>
          <w:p w14:paraId="3F76A09A">
            <w:pPr>
              <w:spacing w:line="240" w:lineRule="exact"/>
              <w:jc w:val="right"/>
              <w:rPr>
                <w:rFonts w:ascii="宋体" w:hAnsi="宋体" w:eastAsia="宋体" w:cs="宋体"/>
                <w:sz w:val="18"/>
                <w:szCs w:val="18"/>
              </w:rPr>
            </w:pPr>
            <w:r>
              <w:rPr>
                <w:rFonts w:ascii="宋体" w:hAnsi="宋体" w:eastAsia="宋体" w:cs="宋体"/>
                <w:sz w:val="18"/>
                <w:szCs w:val="18"/>
              </w:rPr>
              <w:t>27.86%</w:t>
            </w:r>
          </w:p>
        </w:tc>
        <w:tc>
          <w:tcPr>
            <w:tcW w:w="1701" w:type="dxa"/>
            <w:tcBorders>
              <w:top w:val="single" w:color="auto" w:sz="2" w:space="0"/>
              <w:left w:val="single" w:color="auto" w:sz="2" w:space="0"/>
              <w:bottom w:val="single" w:color="auto" w:sz="2" w:space="0"/>
              <w:right w:val="single" w:color="auto" w:sz="2" w:space="0"/>
            </w:tcBorders>
            <w:vAlign w:val="center"/>
          </w:tcPr>
          <w:p w14:paraId="230BE0BB">
            <w:pPr>
              <w:spacing w:line="240" w:lineRule="exact"/>
              <w:jc w:val="right"/>
              <w:rPr>
                <w:rFonts w:ascii="宋体" w:hAnsi="宋体" w:eastAsia="宋体" w:cs="宋体"/>
                <w:sz w:val="18"/>
                <w:szCs w:val="18"/>
              </w:rPr>
            </w:pPr>
            <w:r>
              <w:rPr>
                <w:rFonts w:ascii="宋体" w:hAnsi="宋体" w:eastAsia="宋体" w:cs="宋体"/>
                <w:sz w:val="18"/>
                <w:szCs w:val="18"/>
              </w:rPr>
              <w:t>4,761,974,722.16</w:t>
            </w:r>
          </w:p>
        </w:tc>
        <w:tc>
          <w:tcPr>
            <w:tcW w:w="1560" w:type="dxa"/>
            <w:tcBorders>
              <w:top w:val="single" w:color="auto" w:sz="2" w:space="0"/>
              <w:left w:val="single" w:color="auto" w:sz="2" w:space="0"/>
              <w:bottom w:val="single" w:color="auto" w:sz="2" w:space="0"/>
              <w:right w:val="single" w:color="auto" w:sz="2" w:space="0"/>
            </w:tcBorders>
            <w:vAlign w:val="center"/>
          </w:tcPr>
          <w:p w14:paraId="318780C0">
            <w:pPr>
              <w:spacing w:line="240" w:lineRule="exact"/>
              <w:jc w:val="right"/>
              <w:rPr>
                <w:rFonts w:ascii="宋体" w:hAnsi="宋体" w:eastAsia="宋体" w:cs="宋体"/>
                <w:sz w:val="18"/>
                <w:szCs w:val="18"/>
              </w:rPr>
            </w:pPr>
            <w:r>
              <w:rPr>
                <w:rFonts w:ascii="宋体" w:hAnsi="宋体" w:eastAsia="宋体" w:cs="宋体"/>
                <w:sz w:val="18"/>
                <w:szCs w:val="18"/>
              </w:rPr>
              <w:t>27.72%</w:t>
            </w:r>
          </w:p>
        </w:tc>
        <w:tc>
          <w:tcPr>
            <w:tcW w:w="992" w:type="dxa"/>
            <w:tcBorders>
              <w:top w:val="single" w:color="auto" w:sz="2" w:space="0"/>
              <w:left w:val="single" w:color="auto" w:sz="2" w:space="0"/>
              <w:bottom w:val="single" w:color="auto" w:sz="2" w:space="0"/>
              <w:right w:val="single" w:color="auto" w:sz="2" w:space="0"/>
            </w:tcBorders>
            <w:vAlign w:val="center"/>
          </w:tcPr>
          <w:p w14:paraId="286CDFF1">
            <w:pPr>
              <w:spacing w:line="240" w:lineRule="exact"/>
              <w:jc w:val="right"/>
              <w:rPr>
                <w:rFonts w:ascii="宋体" w:hAnsi="宋体" w:eastAsia="宋体" w:cs="宋体"/>
                <w:sz w:val="18"/>
                <w:szCs w:val="18"/>
              </w:rPr>
            </w:pPr>
            <w:r>
              <w:rPr>
                <w:rFonts w:ascii="宋体" w:hAnsi="宋体" w:eastAsia="宋体" w:cs="宋体"/>
                <w:sz w:val="18"/>
                <w:szCs w:val="18"/>
              </w:rPr>
              <w:t>0.14%</w:t>
            </w:r>
          </w:p>
        </w:tc>
        <w:tc>
          <w:tcPr>
            <w:tcW w:w="850" w:type="dxa"/>
            <w:tcBorders>
              <w:top w:val="single" w:color="auto" w:sz="2" w:space="0"/>
              <w:left w:val="single" w:color="auto" w:sz="2" w:space="0"/>
              <w:bottom w:val="single" w:color="auto" w:sz="2" w:space="0"/>
              <w:right w:val="single" w:color="auto" w:sz="2" w:space="0"/>
            </w:tcBorders>
            <w:vAlign w:val="center"/>
          </w:tcPr>
          <w:p w14:paraId="53C3BB2A">
            <w:pPr>
              <w:spacing w:line="240" w:lineRule="exact"/>
              <w:rPr>
                <w:rFonts w:ascii="宋体" w:hAnsi="宋体" w:eastAsia="宋体" w:cs="宋体"/>
                <w:sz w:val="18"/>
                <w:szCs w:val="18"/>
              </w:rPr>
            </w:pPr>
          </w:p>
        </w:tc>
      </w:tr>
      <w:tr w14:paraId="25B88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A52FD8C">
            <w:pPr>
              <w:spacing w:before="40" w:after="40" w:line="240" w:lineRule="exact"/>
              <w:rPr>
                <w:rFonts w:ascii="宋体" w:hAnsi="宋体" w:eastAsia="宋体" w:cs="宋体"/>
                <w:sz w:val="18"/>
                <w:szCs w:val="18"/>
              </w:rPr>
            </w:pPr>
            <w:r>
              <w:rPr>
                <w:rFonts w:ascii="宋体" w:hAnsi="宋体" w:eastAsia="宋体" w:cs="宋体"/>
                <w:sz w:val="18"/>
                <w:szCs w:val="18"/>
              </w:rPr>
              <w:t>投资性房地产</w:t>
            </w:r>
          </w:p>
        </w:tc>
        <w:tc>
          <w:tcPr>
            <w:tcW w:w="1742" w:type="dxa"/>
            <w:tcBorders>
              <w:top w:val="single" w:color="auto" w:sz="2" w:space="0"/>
              <w:left w:val="single" w:color="auto" w:sz="2" w:space="0"/>
              <w:bottom w:val="single" w:color="auto" w:sz="2" w:space="0"/>
              <w:right w:val="single" w:color="auto" w:sz="2" w:space="0"/>
            </w:tcBorders>
            <w:vAlign w:val="center"/>
          </w:tcPr>
          <w:p w14:paraId="79FA9CFE">
            <w:pPr>
              <w:spacing w:line="240" w:lineRule="exact"/>
              <w:jc w:val="right"/>
              <w:rPr>
                <w:rFonts w:ascii="宋体" w:hAnsi="宋体" w:eastAsia="宋体" w:cs="宋体"/>
                <w:sz w:val="18"/>
                <w:szCs w:val="18"/>
              </w:rPr>
            </w:pPr>
            <w:r>
              <w:rPr>
                <w:rFonts w:ascii="宋体" w:hAnsi="宋体" w:eastAsia="宋体" w:cs="宋体"/>
                <w:sz w:val="18"/>
                <w:szCs w:val="18"/>
              </w:rPr>
              <w:t>121,354,180.67</w:t>
            </w:r>
          </w:p>
        </w:tc>
        <w:tc>
          <w:tcPr>
            <w:tcW w:w="1417" w:type="dxa"/>
            <w:tcBorders>
              <w:top w:val="single" w:color="auto" w:sz="2" w:space="0"/>
              <w:left w:val="single" w:color="auto" w:sz="2" w:space="0"/>
              <w:bottom w:val="single" w:color="auto" w:sz="2" w:space="0"/>
              <w:right w:val="single" w:color="auto" w:sz="2" w:space="0"/>
            </w:tcBorders>
            <w:vAlign w:val="center"/>
          </w:tcPr>
          <w:p w14:paraId="1980305C">
            <w:pPr>
              <w:spacing w:line="240" w:lineRule="exact"/>
              <w:jc w:val="right"/>
              <w:rPr>
                <w:rFonts w:ascii="宋体" w:hAnsi="宋体" w:eastAsia="宋体" w:cs="宋体"/>
                <w:sz w:val="18"/>
                <w:szCs w:val="18"/>
              </w:rPr>
            </w:pPr>
            <w:r>
              <w:rPr>
                <w:rFonts w:ascii="宋体" w:hAnsi="宋体" w:eastAsia="宋体" w:cs="宋体"/>
                <w:sz w:val="18"/>
                <w:szCs w:val="18"/>
              </w:rPr>
              <w:t>0.77%</w:t>
            </w:r>
          </w:p>
        </w:tc>
        <w:tc>
          <w:tcPr>
            <w:tcW w:w="1701" w:type="dxa"/>
            <w:tcBorders>
              <w:top w:val="single" w:color="auto" w:sz="2" w:space="0"/>
              <w:left w:val="single" w:color="auto" w:sz="2" w:space="0"/>
              <w:bottom w:val="single" w:color="auto" w:sz="2" w:space="0"/>
              <w:right w:val="single" w:color="auto" w:sz="2" w:space="0"/>
            </w:tcBorders>
            <w:vAlign w:val="center"/>
          </w:tcPr>
          <w:p w14:paraId="100146D1">
            <w:pPr>
              <w:spacing w:line="240" w:lineRule="exact"/>
              <w:jc w:val="right"/>
              <w:rPr>
                <w:rFonts w:ascii="宋体" w:hAnsi="宋体" w:eastAsia="宋体" w:cs="宋体"/>
                <w:sz w:val="18"/>
                <w:szCs w:val="18"/>
              </w:rPr>
            </w:pPr>
            <w:r>
              <w:rPr>
                <w:rFonts w:ascii="宋体" w:hAnsi="宋体" w:eastAsia="宋体" w:cs="宋体"/>
                <w:sz w:val="18"/>
                <w:szCs w:val="18"/>
              </w:rPr>
              <w:t>134,209,836.72</w:t>
            </w:r>
          </w:p>
        </w:tc>
        <w:tc>
          <w:tcPr>
            <w:tcW w:w="1560" w:type="dxa"/>
            <w:tcBorders>
              <w:top w:val="single" w:color="auto" w:sz="2" w:space="0"/>
              <w:left w:val="single" w:color="auto" w:sz="2" w:space="0"/>
              <w:bottom w:val="single" w:color="auto" w:sz="2" w:space="0"/>
              <w:right w:val="single" w:color="auto" w:sz="2" w:space="0"/>
            </w:tcBorders>
            <w:vAlign w:val="center"/>
          </w:tcPr>
          <w:p w14:paraId="10388767">
            <w:pPr>
              <w:spacing w:line="240" w:lineRule="exact"/>
              <w:jc w:val="right"/>
              <w:rPr>
                <w:rFonts w:ascii="宋体" w:hAnsi="宋体" w:eastAsia="宋体" w:cs="宋体"/>
                <w:sz w:val="18"/>
                <w:szCs w:val="18"/>
              </w:rPr>
            </w:pPr>
            <w:r>
              <w:rPr>
                <w:rFonts w:ascii="宋体" w:hAnsi="宋体" w:eastAsia="宋体" w:cs="宋体"/>
                <w:sz w:val="18"/>
                <w:szCs w:val="18"/>
              </w:rPr>
              <w:t>0.78%</w:t>
            </w:r>
          </w:p>
        </w:tc>
        <w:tc>
          <w:tcPr>
            <w:tcW w:w="992" w:type="dxa"/>
            <w:tcBorders>
              <w:top w:val="single" w:color="auto" w:sz="2" w:space="0"/>
              <w:left w:val="single" w:color="auto" w:sz="2" w:space="0"/>
              <w:bottom w:val="single" w:color="auto" w:sz="2" w:space="0"/>
              <w:right w:val="single" w:color="auto" w:sz="2" w:space="0"/>
            </w:tcBorders>
            <w:vAlign w:val="center"/>
          </w:tcPr>
          <w:p w14:paraId="27C82558">
            <w:pPr>
              <w:spacing w:line="240" w:lineRule="exact"/>
              <w:jc w:val="right"/>
              <w:rPr>
                <w:rFonts w:ascii="宋体" w:hAnsi="宋体" w:eastAsia="宋体" w:cs="宋体"/>
                <w:sz w:val="18"/>
                <w:szCs w:val="18"/>
              </w:rPr>
            </w:pPr>
            <w:r>
              <w:rPr>
                <w:rFonts w:ascii="宋体" w:hAnsi="宋体" w:eastAsia="宋体" w:cs="宋体"/>
                <w:sz w:val="18"/>
                <w:szCs w:val="18"/>
              </w:rPr>
              <w:t>-0.01%</w:t>
            </w:r>
          </w:p>
        </w:tc>
        <w:tc>
          <w:tcPr>
            <w:tcW w:w="850" w:type="dxa"/>
            <w:tcBorders>
              <w:top w:val="single" w:color="auto" w:sz="2" w:space="0"/>
              <w:left w:val="single" w:color="auto" w:sz="2" w:space="0"/>
              <w:bottom w:val="single" w:color="auto" w:sz="2" w:space="0"/>
              <w:right w:val="single" w:color="auto" w:sz="2" w:space="0"/>
            </w:tcBorders>
            <w:vAlign w:val="center"/>
          </w:tcPr>
          <w:p w14:paraId="3F036097">
            <w:pPr>
              <w:spacing w:line="240" w:lineRule="exact"/>
              <w:rPr>
                <w:rFonts w:ascii="宋体" w:hAnsi="宋体" w:eastAsia="宋体" w:cs="宋体"/>
                <w:sz w:val="18"/>
                <w:szCs w:val="18"/>
              </w:rPr>
            </w:pPr>
          </w:p>
        </w:tc>
      </w:tr>
      <w:tr w14:paraId="3C0F5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9C22708">
            <w:pPr>
              <w:spacing w:before="40" w:after="40" w:line="240" w:lineRule="exact"/>
              <w:rPr>
                <w:rFonts w:ascii="宋体" w:hAnsi="宋体" w:eastAsia="宋体" w:cs="宋体"/>
                <w:sz w:val="18"/>
                <w:szCs w:val="18"/>
              </w:rPr>
            </w:pPr>
            <w:r>
              <w:rPr>
                <w:rFonts w:ascii="宋体" w:hAnsi="宋体" w:eastAsia="宋体" w:cs="宋体"/>
                <w:sz w:val="18"/>
                <w:szCs w:val="18"/>
              </w:rPr>
              <w:t>长期股权投资</w:t>
            </w:r>
          </w:p>
        </w:tc>
        <w:tc>
          <w:tcPr>
            <w:tcW w:w="1742" w:type="dxa"/>
            <w:tcBorders>
              <w:top w:val="single" w:color="auto" w:sz="2" w:space="0"/>
              <w:left w:val="single" w:color="auto" w:sz="2" w:space="0"/>
              <w:bottom w:val="single" w:color="auto" w:sz="2" w:space="0"/>
              <w:right w:val="single" w:color="auto" w:sz="2" w:space="0"/>
            </w:tcBorders>
            <w:vAlign w:val="center"/>
          </w:tcPr>
          <w:p w14:paraId="646D7CE2">
            <w:pPr>
              <w:spacing w:line="240" w:lineRule="exact"/>
              <w:jc w:val="right"/>
              <w:rPr>
                <w:rFonts w:ascii="宋体" w:hAnsi="宋体" w:eastAsia="宋体" w:cs="宋体"/>
                <w:sz w:val="18"/>
                <w:szCs w:val="18"/>
              </w:rPr>
            </w:pPr>
            <w:r>
              <w:rPr>
                <w:rFonts w:ascii="宋体" w:hAnsi="宋体" w:eastAsia="宋体" w:cs="宋体"/>
                <w:sz w:val="18"/>
                <w:szCs w:val="18"/>
              </w:rPr>
              <w:t>325,715,642.17</w:t>
            </w:r>
          </w:p>
        </w:tc>
        <w:tc>
          <w:tcPr>
            <w:tcW w:w="1417" w:type="dxa"/>
            <w:tcBorders>
              <w:top w:val="single" w:color="auto" w:sz="2" w:space="0"/>
              <w:left w:val="single" w:color="auto" w:sz="2" w:space="0"/>
              <w:bottom w:val="single" w:color="auto" w:sz="2" w:space="0"/>
              <w:right w:val="single" w:color="auto" w:sz="2" w:space="0"/>
            </w:tcBorders>
            <w:vAlign w:val="center"/>
          </w:tcPr>
          <w:p w14:paraId="72F72085">
            <w:pPr>
              <w:spacing w:line="240" w:lineRule="exact"/>
              <w:jc w:val="right"/>
              <w:rPr>
                <w:rFonts w:ascii="宋体" w:hAnsi="宋体" w:eastAsia="宋体" w:cs="宋体"/>
                <w:sz w:val="18"/>
                <w:szCs w:val="18"/>
              </w:rPr>
            </w:pPr>
            <w:r>
              <w:rPr>
                <w:rFonts w:ascii="宋体" w:hAnsi="宋体" w:eastAsia="宋体" w:cs="宋体"/>
                <w:sz w:val="18"/>
                <w:szCs w:val="18"/>
              </w:rPr>
              <w:t>2.07%</w:t>
            </w:r>
          </w:p>
        </w:tc>
        <w:tc>
          <w:tcPr>
            <w:tcW w:w="1701" w:type="dxa"/>
            <w:tcBorders>
              <w:top w:val="single" w:color="auto" w:sz="2" w:space="0"/>
              <w:left w:val="single" w:color="auto" w:sz="2" w:space="0"/>
              <w:bottom w:val="single" w:color="auto" w:sz="2" w:space="0"/>
              <w:right w:val="single" w:color="auto" w:sz="2" w:space="0"/>
            </w:tcBorders>
            <w:vAlign w:val="center"/>
          </w:tcPr>
          <w:p w14:paraId="04B8263F">
            <w:pPr>
              <w:spacing w:line="240" w:lineRule="exact"/>
              <w:jc w:val="right"/>
              <w:rPr>
                <w:rFonts w:ascii="宋体" w:hAnsi="宋体" w:eastAsia="宋体" w:cs="宋体"/>
                <w:sz w:val="18"/>
                <w:szCs w:val="18"/>
              </w:rPr>
            </w:pPr>
            <w:r>
              <w:rPr>
                <w:rFonts w:ascii="宋体" w:hAnsi="宋体" w:eastAsia="宋体" w:cs="宋体"/>
                <w:sz w:val="18"/>
                <w:szCs w:val="18"/>
              </w:rPr>
              <w:t>331,632,535.71</w:t>
            </w:r>
          </w:p>
        </w:tc>
        <w:tc>
          <w:tcPr>
            <w:tcW w:w="1560" w:type="dxa"/>
            <w:tcBorders>
              <w:top w:val="single" w:color="auto" w:sz="2" w:space="0"/>
              <w:left w:val="single" w:color="auto" w:sz="2" w:space="0"/>
              <w:bottom w:val="single" w:color="auto" w:sz="2" w:space="0"/>
              <w:right w:val="single" w:color="auto" w:sz="2" w:space="0"/>
            </w:tcBorders>
            <w:vAlign w:val="center"/>
          </w:tcPr>
          <w:p w14:paraId="2D53F70D">
            <w:pPr>
              <w:spacing w:line="240" w:lineRule="exact"/>
              <w:jc w:val="right"/>
              <w:rPr>
                <w:rFonts w:ascii="宋体" w:hAnsi="宋体" w:eastAsia="宋体" w:cs="宋体"/>
                <w:sz w:val="18"/>
                <w:szCs w:val="18"/>
              </w:rPr>
            </w:pPr>
            <w:r>
              <w:rPr>
                <w:rFonts w:ascii="宋体" w:hAnsi="宋体" w:eastAsia="宋体" w:cs="宋体"/>
                <w:sz w:val="18"/>
                <w:szCs w:val="18"/>
              </w:rPr>
              <w:t>1.93%</w:t>
            </w:r>
          </w:p>
        </w:tc>
        <w:tc>
          <w:tcPr>
            <w:tcW w:w="992" w:type="dxa"/>
            <w:tcBorders>
              <w:top w:val="single" w:color="auto" w:sz="2" w:space="0"/>
              <w:left w:val="single" w:color="auto" w:sz="2" w:space="0"/>
              <w:bottom w:val="single" w:color="auto" w:sz="2" w:space="0"/>
              <w:right w:val="single" w:color="auto" w:sz="2" w:space="0"/>
            </w:tcBorders>
            <w:vAlign w:val="center"/>
          </w:tcPr>
          <w:p w14:paraId="6CA7F9EF">
            <w:pPr>
              <w:spacing w:line="240" w:lineRule="exact"/>
              <w:jc w:val="right"/>
              <w:rPr>
                <w:rFonts w:ascii="宋体" w:hAnsi="宋体" w:eastAsia="宋体" w:cs="宋体"/>
                <w:sz w:val="18"/>
                <w:szCs w:val="18"/>
              </w:rPr>
            </w:pPr>
            <w:r>
              <w:rPr>
                <w:rFonts w:ascii="宋体" w:hAnsi="宋体" w:eastAsia="宋体" w:cs="宋体"/>
                <w:sz w:val="18"/>
                <w:szCs w:val="18"/>
              </w:rPr>
              <w:t>0.14%</w:t>
            </w:r>
          </w:p>
        </w:tc>
        <w:tc>
          <w:tcPr>
            <w:tcW w:w="850" w:type="dxa"/>
            <w:tcBorders>
              <w:top w:val="single" w:color="auto" w:sz="2" w:space="0"/>
              <w:left w:val="single" w:color="auto" w:sz="2" w:space="0"/>
              <w:bottom w:val="single" w:color="auto" w:sz="2" w:space="0"/>
              <w:right w:val="single" w:color="auto" w:sz="2" w:space="0"/>
            </w:tcBorders>
            <w:vAlign w:val="center"/>
          </w:tcPr>
          <w:p w14:paraId="52D776C8">
            <w:pPr>
              <w:spacing w:line="240" w:lineRule="exact"/>
              <w:rPr>
                <w:rFonts w:ascii="宋体" w:hAnsi="宋体" w:eastAsia="宋体" w:cs="宋体"/>
                <w:sz w:val="18"/>
                <w:szCs w:val="18"/>
              </w:rPr>
            </w:pPr>
          </w:p>
        </w:tc>
      </w:tr>
      <w:tr w14:paraId="18120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FDBEA16">
            <w:pPr>
              <w:spacing w:before="40" w:after="40" w:line="240" w:lineRule="exact"/>
              <w:rPr>
                <w:rFonts w:ascii="宋体" w:hAnsi="宋体" w:eastAsia="宋体" w:cs="宋体"/>
                <w:sz w:val="18"/>
                <w:szCs w:val="18"/>
              </w:rPr>
            </w:pPr>
            <w:r>
              <w:rPr>
                <w:rFonts w:ascii="宋体" w:hAnsi="宋体" w:eastAsia="宋体" w:cs="宋体"/>
                <w:sz w:val="18"/>
                <w:szCs w:val="18"/>
              </w:rPr>
              <w:t>固定资产</w:t>
            </w:r>
          </w:p>
        </w:tc>
        <w:tc>
          <w:tcPr>
            <w:tcW w:w="1742" w:type="dxa"/>
            <w:tcBorders>
              <w:top w:val="single" w:color="auto" w:sz="2" w:space="0"/>
              <w:left w:val="single" w:color="auto" w:sz="2" w:space="0"/>
              <w:bottom w:val="single" w:color="auto" w:sz="2" w:space="0"/>
              <w:right w:val="single" w:color="auto" w:sz="2" w:space="0"/>
            </w:tcBorders>
            <w:vAlign w:val="center"/>
          </w:tcPr>
          <w:p w14:paraId="4D2245D9">
            <w:pPr>
              <w:spacing w:line="240" w:lineRule="exact"/>
              <w:jc w:val="right"/>
              <w:rPr>
                <w:rFonts w:ascii="宋体" w:hAnsi="宋体" w:eastAsia="宋体" w:cs="宋体"/>
                <w:sz w:val="18"/>
                <w:szCs w:val="18"/>
              </w:rPr>
            </w:pPr>
            <w:r>
              <w:rPr>
                <w:rFonts w:ascii="宋体" w:hAnsi="宋体" w:eastAsia="宋体" w:cs="宋体"/>
                <w:sz w:val="18"/>
                <w:szCs w:val="18"/>
              </w:rPr>
              <w:t>4,574,230,800.35</w:t>
            </w:r>
          </w:p>
        </w:tc>
        <w:tc>
          <w:tcPr>
            <w:tcW w:w="1417" w:type="dxa"/>
            <w:tcBorders>
              <w:top w:val="single" w:color="auto" w:sz="2" w:space="0"/>
              <w:left w:val="single" w:color="auto" w:sz="2" w:space="0"/>
              <w:bottom w:val="single" w:color="auto" w:sz="2" w:space="0"/>
              <w:right w:val="single" w:color="auto" w:sz="2" w:space="0"/>
            </w:tcBorders>
            <w:vAlign w:val="center"/>
          </w:tcPr>
          <w:p w14:paraId="46B540E8">
            <w:pPr>
              <w:spacing w:line="240" w:lineRule="exact"/>
              <w:jc w:val="right"/>
              <w:rPr>
                <w:rFonts w:ascii="宋体" w:hAnsi="宋体" w:eastAsia="宋体" w:cs="宋体"/>
                <w:sz w:val="18"/>
                <w:szCs w:val="18"/>
              </w:rPr>
            </w:pPr>
            <w:r>
              <w:rPr>
                <w:rFonts w:ascii="宋体" w:hAnsi="宋体" w:eastAsia="宋体" w:cs="宋体"/>
                <w:sz w:val="18"/>
                <w:szCs w:val="18"/>
              </w:rPr>
              <w:t>29.05%</w:t>
            </w:r>
          </w:p>
        </w:tc>
        <w:tc>
          <w:tcPr>
            <w:tcW w:w="1701" w:type="dxa"/>
            <w:tcBorders>
              <w:top w:val="single" w:color="auto" w:sz="2" w:space="0"/>
              <w:left w:val="single" w:color="auto" w:sz="2" w:space="0"/>
              <w:bottom w:val="single" w:color="auto" w:sz="2" w:space="0"/>
              <w:right w:val="single" w:color="auto" w:sz="2" w:space="0"/>
            </w:tcBorders>
            <w:vAlign w:val="center"/>
          </w:tcPr>
          <w:p w14:paraId="3D6F41F3">
            <w:pPr>
              <w:spacing w:line="240" w:lineRule="exact"/>
              <w:jc w:val="right"/>
              <w:rPr>
                <w:rFonts w:ascii="宋体" w:hAnsi="宋体" w:eastAsia="宋体" w:cs="宋体"/>
                <w:sz w:val="18"/>
                <w:szCs w:val="18"/>
              </w:rPr>
            </w:pPr>
            <w:r>
              <w:rPr>
                <w:rFonts w:ascii="宋体" w:hAnsi="宋体" w:eastAsia="宋体" w:cs="宋体"/>
                <w:sz w:val="18"/>
                <w:szCs w:val="18"/>
              </w:rPr>
              <w:t>4,700,798,389.13</w:t>
            </w:r>
          </w:p>
        </w:tc>
        <w:tc>
          <w:tcPr>
            <w:tcW w:w="1560" w:type="dxa"/>
            <w:tcBorders>
              <w:top w:val="single" w:color="auto" w:sz="2" w:space="0"/>
              <w:left w:val="single" w:color="auto" w:sz="2" w:space="0"/>
              <w:bottom w:val="single" w:color="auto" w:sz="2" w:space="0"/>
              <w:right w:val="single" w:color="auto" w:sz="2" w:space="0"/>
            </w:tcBorders>
            <w:vAlign w:val="center"/>
          </w:tcPr>
          <w:p w14:paraId="798E727A">
            <w:pPr>
              <w:spacing w:line="240" w:lineRule="exact"/>
              <w:jc w:val="right"/>
              <w:rPr>
                <w:rFonts w:ascii="宋体" w:hAnsi="宋体" w:eastAsia="宋体" w:cs="宋体"/>
                <w:sz w:val="18"/>
                <w:szCs w:val="18"/>
              </w:rPr>
            </w:pPr>
            <w:r>
              <w:rPr>
                <w:rFonts w:ascii="宋体" w:hAnsi="宋体" w:eastAsia="宋体" w:cs="宋体"/>
                <w:sz w:val="18"/>
                <w:szCs w:val="18"/>
              </w:rPr>
              <w:t>27.36%</w:t>
            </w:r>
          </w:p>
        </w:tc>
        <w:tc>
          <w:tcPr>
            <w:tcW w:w="992" w:type="dxa"/>
            <w:tcBorders>
              <w:top w:val="single" w:color="auto" w:sz="2" w:space="0"/>
              <w:left w:val="single" w:color="auto" w:sz="2" w:space="0"/>
              <w:bottom w:val="single" w:color="auto" w:sz="2" w:space="0"/>
              <w:right w:val="single" w:color="auto" w:sz="2" w:space="0"/>
            </w:tcBorders>
            <w:vAlign w:val="center"/>
          </w:tcPr>
          <w:p w14:paraId="7D9A9B69">
            <w:pPr>
              <w:spacing w:line="240" w:lineRule="exact"/>
              <w:jc w:val="right"/>
              <w:rPr>
                <w:rFonts w:ascii="宋体" w:hAnsi="宋体" w:eastAsia="宋体" w:cs="宋体"/>
                <w:sz w:val="18"/>
                <w:szCs w:val="18"/>
              </w:rPr>
            </w:pPr>
            <w:r>
              <w:rPr>
                <w:rFonts w:ascii="宋体" w:hAnsi="宋体" w:eastAsia="宋体" w:cs="宋体"/>
                <w:sz w:val="18"/>
                <w:szCs w:val="18"/>
              </w:rPr>
              <w:t>1.69%</w:t>
            </w:r>
          </w:p>
        </w:tc>
        <w:tc>
          <w:tcPr>
            <w:tcW w:w="850" w:type="dxa"/>
            <w:tcBorders>
              <w:top w:val="single" w:color="auto" w:sz="2" w:space="0"/>
              <w:left w:val="single" w:color="auto" w:sz="2" w:space="0"/>
              <w:bottom w:val="single" w:color="auto" w:sz="2" w:space="0"/>
              <w:right w:val="single" w:color="auto" w:sz="2" w:space="0"/>
            </w:tcBorders>
            <w:vAlign w:val="center"/>
          </w:tcPr>
          <w:p w14:paraId="4C55C03A">
            <w:pPr>
              <w:spacing w:line="240" w:lineRule="exact"/>
              <w:rPr>
                <w:rFonts w:ascii="宋体" w:hAnsi="宋体" w:eastAsia="宋体" w:cs="宋体"/>
                <w:sz w:val="18"/>
                <w:szCs w:val="18"/>
              </w:rPr>
            </w:pPr>
          </w:p>
        </w:tc>
      </w:tr>
      <w:tr w14:paraId="464D9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6EEF00C">
            <w:pPr>
              <w:spacing w:before="40" w:after="40" w:line="240" w:lineRule="exact"/>
              <w:rPr>
                <w:rFonts w:ascii="宋体" w:hAnsi="宋体" w:eastAsia="宋体" w:cs="宋体"/>
                <w:sz w:val="18"/>
                <w:szCs w:val="18"/>
              </w:rPr>
            </w:pPr>
            <w:r>
              <w:rPr>
                <w:rFonts w:ascii="宋体" w:hAnsi="宋体" w:eastAsia="宋体" w:cs="宋体"/>
                <w:sz w:val="18"/>
                <w:szCs w:val="18"/>
              </w:rPr>
              <w:t>在建工程</w:t>
            </w:r>
          </w:p>
        </w:tc>
        <w:tc>
          <w:tcPr>
            <w:tcW w:w="1742" w:type="dxa"/>
            <w:tcBorders>
              <w:top w:val="single" w:color="auto" w:sz="2" w:space="0"/>
              <w:left w:val="single" w:color="auto" w:sz="2" w:space="0"/>
              <w:bottom w:val="single" w:color="auto" w:sz="2" w:space="0"/>
              <w:right w:val="single" w:color="auto" w:sz="2" w:space="0"/>
            </w:tcBorders>
            <w:vAlign w:val="center"/>
          </w:tcPr>
          <w:p w14:paraId="3200CC83">
            <w:pPr>
              <w:spacing w:line="240" w:lineRule="exact"/>
              <w:jc w:val="right"/>
              <w:rPr>
                <w:rFonts w:ascii="宋体" w:hAnsi="宋体" w:eastAsia="宋体" w:cs="宋体"/>
                <w:sz w:val="18"/>
                <w:szCs w:val="18"/>
              </w:rPr>
            </w:pPr>
            <w:r>
              <w:rPr>
                <w:rFonts w:ascii="宋体" w:hAnsi="宋体" w:eastAsia="宋体" w:cs="宋体"/>
                <w:sz w:val="18"/>
                <w:szCs w:val="18"/>
              </w:rPr>
              <w:t>575,238,580.47</w:t>
            </w:r>
          </w:p>
        </w:tc>
        <w:tc>
          <w:tcPr>
            <w:tcW w:w="1417" w:type="dxa"/>
            <w:tcBorders>
              <w:top w:val="single" w:color="auto" w:sz="2" w:space="0"/>
              <w:left w:val="single" w:color="auto" w:sz="2" w:space="0"/>
              <w:bottom w:val="single" w:color="auto" w:sz="2" w:space="0"/>
              <w:right w:val="single" w:color="auto" w:sz="2" w:space="0"/>
            </w:tcBorders>
            <w:vAlign w:val="center"/>
          </w:tcPr>
          <w:p w14:paraId="7B62FFB6">
            <w:pPr>
              <w:spacing w:line="240" w:lineRule="exact"/>
              <w:jc w:val="right"/>
              <w:rPr>
                <w:rFonts w:ascii="宋体" w:hAnsi="宋体" w:eastAsia="宋体" w:cs="宋体"/>
                <w:sz w:val="18"/>
                <w:szCs w:val="18"/>
              </w:rPr>
            </w:pPr>
            <w:r>
              <w:rPr>
                <w:rFonts w:ascii="宋体" w:hAnsi="宋体" w:eastAsia="宋体" w:cs="宋体"/>
                <w:sz w:val="18"/>
                <w:szCs w:val="18"/>
              </w:rPr>
              <w:t>3.65%</w:t>
            </w:r>
          </w:p>
        </w:tc>
        <w:tc>
          <w:tcPr>
            <w:tcW w:w="1701" w:type="dxa"/>
            <w:tcBorders>
              <w:top w:val="single" w:color="auto" w:sz="2" w:space="0"/>
              <w:left w:val="single" w:color="auto" w:sz="2" w:space="0"/>
              <w:bottom w:val="single" w:color="auto" w:sz="2" w:space="0"/>
              <w:right w:val="single" w:color="auto" w:sz="2" w:space="0"/>
            </w:tcBorders>
            <w:vAlign w:val="center"/>
          </w:tcPr>
          <w:p w14:paraId="5DB7D5BF">
            <w:pPr>
              <w:spacing w:line="240" w:lineRule="exact"/>
              <w:jc w:val="right"/>
              <w:rPr>
                <w:rFonts w:ascii="宋体" w:hAnsi="宋体" w:eastAsia="宋体" w:cs="宋体"/>
                <w:sz w:val="18"/>
                <w:szCs w:val="18"/>
              </w:rPr>
            </w:pPr>
            <w:r>
              <w:rPr>
                <w:rFonts w:ascii="宋体" w:hAnsi="宋体" w:eastAsia="宋体" w:cs="宋体"/>
                <w:sz w:val="18"/>
                <w:szCs w:val="18"/>
              </w:rPr>
              <w:t>324,546,393.57</w:t>
            </w:r>
          </w:p>
        </w:tc>
        <w:tc>
          <w:tcPr>
            <w:tcW w:w="1560" w:type="dxa"/>
            <w:tcBorders>
              <w:top w:val="single" w:color="auto" w:sz="2" w:space="0"/>
              <w:left w:val="single" w:color="auto" w:sz="2" w:space="0"/>
              <w:bottom w:val="single" w:color="auto" w:sz="2" w:space="0"/>
              <w:right w:val="single" w:color="auto" w:sz="2" w:space="0"/>
            </w:tcBorders>
            <w:vAlign w:val="center"/>
          </w:tcPr>
          <w:p w14:paraId="257086FE">
            <w:pPr>
              <w:spacing w:line="240" w:lineRule="exact"/>
              <w:jc w:val="right"/>
              <w:rPr>
                <w:rFonts w:ascii="宋体" w:hAnsi="宋体" w:eastAsia="宋体" w:cs="宋体"/>
                <w:sz w:val="18"/>
                <w:szCs w:val="18"/>
              </w:rPr>
            </w:pPr>
            <w:r>
              <w:rPr>
                <w:rFonts w:ascii="宋体" w:hAnsi="宋体" w:eastAsia="宋体" w:cs="宋体"/>
                <w:sz w:val="18"/>
                <w:szCs w:val="18"/>
              </w:rPr>
              <w:t>1.89%</w:t>
            </w:r>
          </w:p>
        </w:tc>
        <w:tc>
          <w:tcPr>
            <w:tcW w:w="992" w:type="dxa"/>
            <w:tcBorders>
              <w:top w:val="single" w:color="auto" w:sz="2" w:space="0"/>
              <w:left w:val="single" w:color="auto" w:sz="2" w:space="0"/>
              <w:bottom w:val="single" w:color="auto" w:sz="2" w:space="0"/>
              <w:right w:val="single" w:color="auto" w:sz="2" w:space="0"/>
            </w:tcBorders>
            <w:vAlign w:val="center"/>
          </w:tcPr>
          <w:p w14:paraId="636C47CF">
            <w:pPr>
              <w:spacing w:line="240" w:lineRule="exact"/>
              <w:jc w:val="right"/>
              <w:rPr>
                <w:rFonts w:ascii="宋体" w:hAnsi="宋体" w:eastAsia="宋体" w:cs="宋体"/>
                <w:sz w:val="18"/>
                <w:szCs w:val="18"/>
              </w:rPr>
            </w:pPr>
            <w:r>
              <w:rPr>
                <w:rFonts w:ascii="宋体" w:hAnsi="宋体" w:eastAsia="宋体" w:cs="宋体"/>
                <w:sz w:val="18"/>
                <w:szCs w:val="18"/>
              </w:rPr>
              <w:t>1.76%</w:t>
            </w:r>
          </w:p>
        </w:tc>
        <w:tc>
          <w:tcPr>
            <w:tcW w:w="850" w:type="dxa"/>
            <w:tcBorders>
              <w:top w:val="single" w:color="auto" w:sz="2" w:space="0"/>
              <w:left w:val="single" w:color="auto" w:sz="2" w:space="0"/>
              <w:bottom w:val="single" w:color="auto" w:sz="2" w:space="0"/>
              <w:right w:val="single" w:color="auto" w:sz="2" w:space="0"/>
            </w:tcBorders>
            <w:vAlign w:val="center"/>
          </w:tcPr>
          <w:p w14:paraId="25E31079">
            <w:pPr>
              <w:spacing w:line="240" w:lineRule="exact"/>
              <w:rPr>
                <w:rFonts w:ascii="宋体" w:hAnsi="宋体" w:eastAsia="宋体" w:cs="宋体"/>
                <w:sz w:val="18"/>
                <w:szCs w:val="18"/>
              </w:rPr>
            </w:pPr>
          </w:p>
        </w:tc>
      </w:tr>
      <w:tr w14:paraId="01345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368C469">
            <w:pPr>
              <w:spacing w:before="40" w:after="40" w:line="240" w:lineRule="exact"/>
              <w:rPr>
                <w:rFonts w:ascii="宋体" w:hAnsi="宋体" w:eastAsia="宋体" w:cs="宋体"/>
                <w:sz w:val="18"/>
                <w:szCs w:val="18"/>
              </w:rPr>
            </w:pPr>
            <w:r>
              <w:rPr>
                <w:rFonts w:ascii="宋体" w:hAnsi="宋体" w:eastAsia="宋体" w:cs="宋体"/>
                <w:sz w:val="18"/>
                <w:szCs w:val="18"/>
              </w:rPr>
              <w:t>使用权资产</w:t>
            </w:r>
          </w:p>
        </w:tc>
        <w:tc>
          <w:tcPr>
            <w:tcW w:w="1742" w:type="dxa"/>
            <w:tcBorders>
              <w:top w:val="single" w:color="auto" w:sz="2" w:space="0"/>
              <w:left w:val="single" w:color="auto" w:sz="2" w:space="0"/>
              <w:bottom w:val="single" w:color="auto" w:sz="2" w:space="0"/>
              <w:right w:val="single" w:color="auto" w:sz="2" w:space="0"/>
            </w:tcBorders>
            <w:vAlign w:val="center"/>
          </w:tcPr>
          <w:p w14:paraId="2CE2D04D">
            <w:pPr>
              <w:spacing w:line="240" w:lineRule="exact"/>
              <w:jc w:val="right"/>
              <w:rPr>
                <w:rFonts w:ascii="宋体" w:hAnsi="宋体" w:eastAsia="宋体" w:cs="宋体"/>
                <w:sz w:val="18"/>
                <w:szCs w:val="18"/>
              </w:rPr>
            </w:pPr>
            <w:r>
              <w:rPr>
                <w:rFonts w:ascii="宋体" w:hAnsi="宋体" w:eastAsia="宋体" w:cs="宋体"/>
                <w:sz w:val="18"/>
                <w:szCs w:val="18"/>
              </w:rPr>
              <w:t>22,702,270.05</w:t>
            </w:r>
          </w:p>
        </w:tc>
        <w:tc>
          <w:tcPr>
            <w:tcW w:w="1417" w:type="dxa"/>
            <w:tcBorders>
              <w:top w:val="single" w:color="auto" w:sz="2" w:space="0"/>
              <w:left w:val="single" w:color="auto" w:sz="2" w:space="0"/>
              <w:bottom w:val="single" w:color="auto" w:sz="2" w:space="0"/>
              <w:right w:val="single" w:color="auto" w:sz="2" w:space="0"/>
            </w:tcBorders>
            <w:vAlign w:val="center"/>
          </w:tcPr>
          <w:p w14:paraId="27EB381F">
            <w:pPr>
              <w:spacing w:line="240" w:lineRule="exact"/>
              <w:jc w:val="right"/>
              <w:rPr>
                <w:rFonts w:ascii="宋体" w:hAnsi="宋体" w:eastAsia="宋体" w:cs="宋体"/>
                <w:sz w:val="18"/>
                <w:szCs w:val="18"/>
              </w:rPr>
            </w:pPr>
            <w:r>
              <w:rPr>
                <w:rFonts w:ascii="宋体" w:hAnsi="宋体" w:eastAsia="宋体" w:cs="宋体"/>
                <w:sz w:val="18"/>
                <w:szCs w:val="18"/>
              </w:rPr>
              <w:t>0.14%</w:t>
            </w:r>
          </w:p>
        </w:tc>
        <w:tc>
          <w:tcPr>
            <w:tcW w:w="1701" w:type="dxa"/>
            <w:tcBorders>
              <w:top w:val="single" w:color="auto" w:sz="2" w:space="0"/>
              <w:left w:val="single" w:color="auto" w:sz="2" w:space="0"/>
              <w:bottom w:val="single" w:color="auto" w:sz="2" w:space="0"/>
              <w:right w:val="single" w:color="auto" w:sz="2" w:space="0"/>
            </w:tcBorders>
            <w:vAlign w:val="center"/>
          </w:tcPr>
          <w:p w14:paraId="3ED0CB43">
            <w:pPr>
              <w:spacing w:line="240" w:lineRule="exact"/>
              <w:jc w:val="right"/>
              <w:rPr>
                <w:rFonts w:ascii="宋体" w:hAnsi="宋体" w:eastAsia="宋体" w:cs="宋体"/>
                <w:sz w:val="18"/>
                <w:szCs w:val="18"/>
              </w:rPr>
            </w:pPr>
            <w:r>
              <w:rPr>
                <w:rFonts w:ascii="宋体" w:hAnsi="宋体" w:eastAsia="宋体" w:cs="宋体"/>
                <w:sz w:val="18"/>
                <w:szCs w:val="18"/>
              </w:rPr>
              <w:t>29,160,426.37</w:t>
            </w:r>
          </w:p>
        </w:tc>
        <w:tc>
          <w:tcPr>
            <w:tcW w:w="1560" w:type="dxa"/>
            <w:tcBorders>
              <w:top w:val="single" w:color="auto" w:sz="2" w:space="0"/>
              <w:left w:val="single" w:color="auto" w:sz="2" w:space="0"/>
              <w:bottom w:val="single" w:color="auto" w:sz="2" w:space="0"/>
              <w:right w:val="single" w:color="auto" w:sz="2" w:space="0"/>
            </w:tcBorders>
            <w:vAlign w:val="center"/>
          </w:tcPr>
          <w:p w14:paraId="7348A9DF">
            <w:pPr>
              <w:spacing w:line="240" w:lineRule="exact"/>
              <w:jc w:val="right"/>
              <w:rPr>
                <w:rFonts w:ascii="宋体" w:hAnsi="宋体" w:eastAsia="宋体" w:cs="宋体"/>
                <w:sz w:val="18"/>
                <w:szCs w:val="18"/>
              </w:rPr>
            </w:pPr>
            <w:r>
              <w:rPr>
                <w:rFonts w:ascii="宋体" w:hAnsi="宋体" w:eastAsia="宋体" w:cs="宋体"/>
                <w:sz w:val="18"/>
                <w:szCs w:val="18"/>
              </w:rPr>
              <w:t>0.17%</w:t>
            </w:r>
          </w:p>
        </w:tc>
        <w:tc>
          <w:tcPr>
            <w:tcW w:w="992" w:type="dxa"/>
            <w:tcBorders>
              <w:top w:val="single" w:color="auto" w:sz="2" w:space="0"/>
              <w:left w:val="single" w:color="auto" w:sz="2" w:space="0"/>
              <w:bottom w:val="single" w:color="auto" w:sz="2" w:space="0"/>
              <w:right w:val="single" w:color="auto" w:sz="2" w:space="0"/>
            </w:tcBorders>
            <w:vAlign w:val="center"/>
          </w:tcPr>
          <w:p w14:paraId="7BBA2F63">
            <w:pPr>
              <w:spacing w:line="240" w:lineRule="exact"/>
              <w:jc w:val="right"/>
              <w:rPr>
                <w:rFonts w:ascii="宋体" w:hAnsi="宋体" w:eastAsia="宋体" w:cs="宋体"/>
                <w:sz w:val="18"/>
                <w:szCs w:val="18"/>
              </w:rPr>
            </w:pPr>
            <w:r>
              <w:rPr>
                <w:rFonts w:ascii="宋体" w:hAnsi="宋体" w:eastAsia="宋体" w:cs="宋体"/>
                <w:sz w:val="18"/>
                <w:szCs w:val="18"/>
              </w:rPr>
              <w:t>-0.03%</w:t>
            </w:r>
          </w:p>
        </w:tc>
        <w:tc>
          <w:tcPr>
            <w:tcW w:w="850" w:type="dxa"/>
            <w:tcBorders>
              <w:top w:val="single" w:color="auto" w:sz="2" w:space="0"/>
              <w:left w:val="single" w:color="auto" w:sz="2" w:space="0"/>
              <w:bottom w:val="single" w:color="auto" w:sz="2" w:space="0"/>
              <w:right w:val="single" w:color="auto" w:sz="2" w:space="0"/>
            </w:tcBorders>
            <w:vAlign w:val="center"/>
          </w:tcPr>
          <w:p w14:paraId="5805F186">
            <w:pPr>
              <w:spacing w:line="240" w:lineRule="exact"/>
              <w:rPr>
                <w:rFonts w:ascii="宋体" w:hAnsi="宋体" w:eastAsia="宋体" w:cs="宋体"/>
                <w:sz w:val="18"/>
                <w:szCs w:val="18"/>
              </w:rPr>
            </w:pPr>
          </w:p>
        </w:tc>
      </w:tr>
      <w:tr w14:paraId="11B12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303B8E5">
            <w:pPr>
              <w:spacing w:before="40" w:after="40" w:line="240" w:lineRule="exact"/>
              <w:rPr>
                <w:rFonts w:ascii="宋体" w:hAnsi="宋体" w:eastAsia="宋体" w:cs="宋体"/>
                <w:sz w:val="18"/>
                <w:szCs w:val="18"/>
              </w:rPr>
            </w:pPr>
            <w:r>
              <w:rPr>
                <w:rFonts w:ascii="宋体" w:hAnsi="宋体" w:eastAsia="宋体" w:cs="宋体"/>
                <w:sz w:val="18"/>
                <w:szCs w:val="18"/>
              </w:rPr>
              <w:t>短期借款</w:t>
            </w:r>
          </w:p>
        </w:tc>
        <w:tc>
          <w:tcPr>
            <w:tcW w:w="1742" w:type="dxa"/>
            <w:tcBorders>
              <w:top w:val="single" w:color="auto" w:sz="2" w:space="0"/>
              <w:left w:val="single" w:color="auto" w:sz="2" w:space="0"/>
              <w:bottom w:val="single" w:color="auto" w:sz="2" w:space="0"/>
              <w:right w:val="single" w:color="auto" w:sz="2" w:space="0"/>
            </w:tcBorders>
            <w:vAlign w:val="center"/>
          </w:tcPr>
          <w:p w14:paraId="29A13208">
            <w:pPr>
              <w:spacing w:line="240" w:lineRule="exact"/>
              <w:jc w:val="right"/>
              <w:rPr>
                <w:rFonts w:ascii="宋体" w:hAnsi="宋体" w:eastAsia="宋体" w:cs="宋体"/>
                <w:sz w:val="18"/>
                <w:szCs w:val="18"/>
              </w:rPr>
            </w:pPr>
            <w:r>
              <w:rPr>
                <w:rFonts w:ascii="宋体" w:hAnsi="宋体" w:eastAsia="宋体" w:cs="宋体"/>
                <w:sz w:val="18"/>
                <w:szCs w:val="18"/>
              </w:rPr>
              <w:t>6,117,290,814.06</w:t>
            </w:r>
          </w:p>
        </w:tc>
        <w:tc>
          <w:tcPr>
            <w:tcW w:w="1417" w:type="dxa"/>
            <w:tcBorders>
              <w:top w:val="single" w:color="auto" w:sz="2" w:space="0"/>
              <w:left w:val="single" w:color="auto" w:sz="2" w:space="0"/>
              <w:bottom w:val="single" w:color="auto" w:sz="2" w:space="0"/>
              <w:right w:val="single" w:color="auto" w:sz="2" w:space="0"/>
            </w:tcBorders>
            <w:vAlign w:val="center"/>
          </w:tcPr>
          <w:p w14:paraId="5F199BA6">
            <w:pPr>
              <w:spacing w:line="240" w:lineRule="exact"/>
              <w:jc w:val="right"/>
              <w:rPr>
                <w:rFonts w:ascii="宋体" w:hAnsi="宋体" w:eastAsia="宋体" w:cs="宋体"/>
                <w:sz w:val="18"/>
                <w:szCs w:val="18"/>
              </w:rPr>
            </w:pPr>
            <w:r>
              <w:rPr>
                <w:rFonts w:ascii="宋体" w:hAnsi="宋体" w:eastAsia="宋体" w:cs="宋体"/>
                <w:sz w:val="18"/>
                <w:szCs w:val="18"/>
              </w:rPr>
              <w:t>38.86%</w:t>
            </w:r>
          </w:p>
        </w:tc>
        <w:tc>
          <w:tcPr>
            <w:tcW w:w="1701" w:type="dxa"/>
            <w:tcBorders>
              <w:top w:val="single" w:color="auto" w:sz="2" w:space="0"/>
              <w:left w:val="single" w:color="auto" w:sz="2" w:space="0"/>
              <w:bottom w:val="single" w:color="auto" w:sz="2" w:space="0"/>
              <w:right w:val="single" w:color="auto" w:sz="2" w:space="0"/>
            </w:tcBorders>
            <w:vAlign w:val="center"/>
          </w:tcPr>
          <w:p w14:paraId="7596DA32">
            <w:pPr>
              <w:spacing w:line="240" w:lineRule="exact"/>
              <w:jc w:val="right"/>
              <w:rPr>
                <w:rFonts w:ascii="宋体" w:hAnsi="宋体" w:eastAsia="宋体" w:cs="宋体"/>
                <w:sz w:val="18"/>
                <w:szCs w:val="18"/>
              </w:rPr>
            </w:pPr>
            <w:r>
              <w:rPr>
                <w:rFonts w:ascii="宋体" w:hAnsi="宋体" w:eastAsia="宋体" w:cs="宋体"/>
                <w:sz w:val="18"/>
                <w:szCs w:val="18"/>
              </w:rPr>
              <w:t>7,771,483,075.58</w:t>
            </w:r>
          </w:p>
        </w:tc>
        <w:tc>
          <w:tcPr>
            <w:tcW w:w="1560" w:type="dxa"/>
            <w:tcBorders>
              <w:top w:val="single" w:color="auto" w:sz="2" w:space="0"/>
              <w:left w:val="single" w:color="auto" w:sz="2" w:space="0"/>
              <w:bottom w:val="single" w:color="auto" w:sz="2" w:space="0"/>
              <w:right w:val="single" w:color="auto" w:sz="2" w:space="0"/>
            </w:tcBorders>
            <w:vAlign w:val="center"/>
          </w:tcPr>
          <w:p w14:paraId="5FBA3E93">
            <w:pPr>
              <w:spacing w:line="240" w:lineRule="exact"/>
              <w:jc w:val="right"/>
              <w:rPr>
                <w:rFonts w:ascii="宋体" w:hAnsi="宋体" w:eastAsia="宋体" w:cs="宋体"/>
                <w:sz w:val="18"/>
                <w:szCs w:val="18"/>
              </w:rPr>
            </w:pPr>
            <w:r>
              <w:rPr>
                <w:rFonts w:ascii="宋体" w:hAnsi="宋体" w:eastAsia="宋体" w:cs="宋体"/>
                <w:sz w:val="18"/>
                <w:szCs w:val="18"/>
              </w:rPr>
              <w:t>45.24%</w:t>
            </w:r>
          </w:p>
        </w:tc>
        <w:tc>
          <w:tcPr>
            <w:tcW w:w="992" w:type="dxa"/>
            <w:tcBorders>
              <w:top w:val="single" w:color="auto" w:sz="2" w:space="0"/>
              <w:left w:val="single" w:color="auto" w:sz="2" w:space="0"/>
              <w:bottom w:val="single" w:color="auto" w:sz="2" w:space="0"/>
              <w:right w:val="single" w:color="auto" w:sz="2" w:space="0"/>
            </w:tcBorders>
            <w:vAlign w:val="center"/>
          </w:tcPr>
          <w:p w14:paraId="06E2194A">
            <w:pPr>
              <w:spacing w:line="240" w:lineRule="exact"/>
              <w:jc w:val="right"/>
              <w:rPr>
                <w:rFonts w:ascii="宋体" w:hAnsi="宋体" w:eastAsia="宋体" w:cs="宋体"/>
                <w:sz w:val="18"/>
                <w:szCs w:val="18"/>
              </w:rPr>
            </w:pPr>
            <w:r>
              <w:rPr>
                <w:rFonts w:ascii="宋体" w:hAnsi="宋体" w:eastAsia="宋体" w:cs="宋体"/>
                <w:sz w:val="18"/>
                <w:szCs w:val="18"/>
              </w:rPr>
              <w:t>-6.38%</w:t>
            </w:r>
          </w:p>
        </w:tc>
        <w:tc>
          <w:tcPr>
            <w:tcW w:w="850" w:type="dxa"/>
            <w:tcBorders>
              <w:top w:val="single" w:color="auto" w:sz="2" w:space="0"/>
              <w:left w:val="single" w:color="auto" w:sz="2" w:space="0"/>
              <w:bottom w:val="single" w:color="auto" w:sz="2" w:space="0"/>
              <w:right w:val="single" w:color="auto" w:sz="2" w:space="0"/>
            </w:tcBorders>
            <w:vAlign w:val="center"/>
          </w:tcPr>
          <w:p w14:paraId="21B77F3C">
            <w:pPr>
              <w:spacing w:line="240" w:lineRule="exact"/>
              <w:rPr>
                <w:rFonts w:ascii="宋体" w:hAnsi="宋体" w:eastAsia="宋体" w:cs="宋体"/>
                <w:sz w:val="18"/>
                <w:szCs w:val="18"/>
              </w:rPr>
            </w:pPr>
          </w:p>
        </w:tc>
      </w:tr>
      <w:tr w14:paraId="6F335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4B7069F">
            <w:pPr>
              <w:spacing w:before="40" w:after="40" w:line="240" w:lineRule="exact"/>
              <w:rPr>
                <w:rFonts w:ascii="宋体" w:hAnsi="宋体" w:eastAsia="宋体" w:cs="宋体"/>
                <w:sz w:val="18"/>
                <w:szCs w:val="18"/>
              </w:rPr>
            </w:pPr>
            <w:r>
              <w:rPr>
                <w:rFonts w:ascii="宋体" w:hAnsi="宋体" w:eastAsia="宋体" w:cs="宋体"/>
                <w:sz w:val="18"/>
                <w:szCs w:val="18"/>
              </w:rPr>
              <w:t>合同负债</w:t>
            </w:r>
          </w:p>
        </w:tc>
        <w:tc>
          <w:tcPr>
            <w:tcW w:w="1742" w:type="dxa"/>
            <w:tcBorders>
              <w:top w:val="single" w:color="auto" w:sz="2" w:space="0"/>
              <w:left w:val="single" w:color="auto" w:sz="2" w:space="0"/>
              <w:bottom w:val="single" w:color="auto" w:sz="2" w:space="0"/>
              <w:right w:val="single" w:color="auto" w:sz="2" w:space="0"/>
            </w:tcBorders>
            <w:vAlign w:val="center"/>
          </w:tcPr>
          <w:p w14:paraId="1F1A8FFF">
            <w:pPr>
              <w:spacing w:line="240" w:lineRule="exact"/>
              <w:jc w:val="right"/>
              <w:rPr>
                <w:rFonts w:ascii="宋体" w:hAnsi="宋体" w:eastAsia="宋体" w:cs="宋体"/>
                <w:sz w:val="18"/>
                <w:szCs w:val="18"/>
              </w:rPr>
            </w:pPr>
            <w:r>
              <w:rPr>
                <w:rFonts w:ascii="宋体" w:hAnsi="宋体" w:eastAsia="宋体" w:cs="宋体"/>
                <w:sz w:val="18"/>
                <w:szCs w:val="18"/>
              </w:rPr>
              <w:t>265,178,053.59</w:t>
            </w:r>
          </w:p>
        </w:tc>
        <w:tc>
          <w:tcPr>
            <w:tcW w:w="1417" w:type="dxa"/>
            <w:tcBorders>
              <w:top w:val="single" w:color="auto" w:sz="2" w:space="0"/>
              <w:left w:val="single" w:color="auto" w:sz="2" w:space="0"/>
              <w:bottom w:val="single" w:color="auto" w:sz="2" w:space="0"/>
              <w:right w:val="single" w:color="auto" w:sz="2" w:space="0"/>
            </w:tcBorders>
            <w:vAlign w:val="center"/>
          </w:tcPr>
          <w:p w14:paraId="0E4A4366">
            <w:pPr>
              <w:spacing w:line="240" w:lineRule="exact"/>
              <w:jc w:val="right"/>
              <w:rPr>
                <w:rFonts w:ascii="宋体" w:hAnsi="宋体" w:eastAsia="宋体" w:cs="宋体"/>
                <w:sz w:val="18"/>
                <w:szCs w:val="18"/>
              </w:rPr>
            </w:pPr>
            <w:r>
              <w:rPr>
                <w:rFonts w:ascii="宋体" w:hAnsi="宋体" w:eastAsia="宋体" w:cs="宋体"/>
                <w:sz w:val="18"/>
                <w:szCs w:val="18"/>
              </w:rPr>
              <w:t>1.68%</w:t>
            </w:r>
          </w:p>
        </w:tc>
        <w:tc>
          <w:tcPr>
            <w:tcW w:w="1701" w:type="dxa"/>
            <w:tcBorders>
              <w:top w:val="single" w:color="auto" w:sz="2" w:space="0"/>
              <w:left w:val="single" w:color="auto" w:sz="2" w:space="0"/>
              <w:bottom w:val="single" w:color="auto" w:sz="2" w:space="0"/>
              <w:right w:val="single" w:color="auto" w:sz="2" w:space="0"/>
            </w:tcBorders>
            <w:vAlign w:val="center"/>
          </w:tcPr>
          <w:p w14:paraId="430F5A10">
            <w:pPr>
              <w:spacing w:line="240" w:lineRule="exact"/>
              <w:jc w:val="right"/>
              <w:rPr>
                <w:rFonts w:ascii="宋体" w:hAnsi="宋体" w:eastAsia="宋体" w:cs="宋体"/>
                <w:sz w:val="18"/>
                <w:szCs w:val="18"/>
              </w:rPr>
            </w:pPr>
            <w:r>
              <w:rPr>
                <w:rFonts w:ascii="宋体" w:hAnsi="宋体" w:eastAsia="宋体" w:cs="宋体"/>
                <w:sz w:val="18"/>
                <w:szCs w:val="18"/>
              </w:rPr>
              <w:t>557,556,525.74</w:t>
            </w:r>
          </w:p>
        </w:tc>
        <w:tc>
          <w:tcPr>
            <w:tcW w:w="1560" w:type="dxa"/>
            <w:tcBorders>
              <w:top w:val="single" w:color="auto" w:sz="2" w:space="0"/>
              <w:left w:val="single" w:color="auto" w:sz="2" w:space="0"/>
              <w:bottom w:val="single" w:color="auto" w:sz="2" w:space="0"/>
              <w:right w:val="single" w:color="auto" w:sz="2" w:space="0"/>
            </w:tcBorders>
            <w:vAlign w:val="center"/>
          </w:tcPr>
          <w:p w14:paraId="03F98907">
            <w:pPr>
              <w:spacing w:line="240" w:lineRule="exact"/>
              <w:jc w:val="right"/>
              <w:rPr>
                <w:rFonts w:ascii="宋体" w:hAnsi="宋体" w:eastAsia="宋体" w:cs="宋体"/>
                <w:sz w:val="18"/>
                <w:szCs w:val="18"/>
              </w:rPr>
            </w:pPr>
            <w:r>
              <w:rPr>
                <w:rFonts w:ascii="宋体" w:hAnsi="宋体" w:eastAsia="宋体" w:cs="宋体"/>
                <w:sz w:val="18"/>
                <w:szCs w:val="18"/>
              </w:rPr>
              <w:t>3.25%</w:t>
            </w:r>
          </w:p>
        </w:tc>
        <w:tc>
          <w:tcPr>
            <w:tcW w:w="992" w:type="dxa"/>
            <w:tcBorders>
              <w:top w:val="single" w:color="auto" w:sz="2" w:space="0"/>
              <w:left w:val="single" w:color="auto" w:sz="2" w:space="0"/>
              <w:bottom w:val="single" w:color="auto" w:sz="2" w:space="0"/>
              <w:right w:val="single" w:color="auto" w:sz="2" w:space="0"/>
            </w:tcBorders>
            <w:vAlign w:val="center"/>
          </w:tcPr>
          <w:p w14:paraId="4C7E02D0">
            <w:pPr>
              <w:spacing w:line="240" w:lineRule="exact"/>
              <w:jc w:val="right"/>
              <w:rPr>
                <w:rFonts w:ascii="宋体" w:hAnsi="宋体" w:eastAsia="宋体" w:cs="宋体"/>
                <w:sz w:val="18"/>
                <w:szCs w:val="18"/>
              </w:rPr>
            </w:pPr>
            <w:r>
              <w:rPr>
                <w:rFonts w:ascii="宋体" w:hAnsi="宋体" w:eastAsia="宋体" w:cs="宋体"/>
                <w:sz w:val="18"/>
                <w:szCs w:val="18"/>
              </w:rPr>
              <w:t>-1.57%</w:t>
            </w:r>
          </w:p>
        </w:tc>
        <w:tc>
          <w:tcPr>
            <w:tcW w:w="850" w:type="dxa"/>
            <w:tcBorders>
              <w:top w:val="single" w:color="auto" w:sz="2" w:space="0"/>
              <w:left w:val="single" w:color="auto" w:sz="2" w:space="0"/>
              <w:bottom w:val="single" w:color="auto" w:sz="2" w:space="0"/>
              <w:right w:val="single" w:color="auto" w:sz="2" w:space="0"/>
            </w:tcBorders>
            <w:vAlign w:val="center"/>
          </w:tcPr>
          <w:p w14:paraId="5248DFC7">
            <w:pPr>
              <w:spacing w:line="240" w:lineRule="exact"/>
              <w:rPr>
                <w:rFonts w:ascii="宋体" w:hAnsi="宋体" w:eastAsia="宋体" w:cs="宋体"/>
                <w:sz w:val="18"/>
                <w:szCs w:val="18"/>
              </w:rPr>
            </w:pPr>
          </w:p>
        </w:tc>
      </w:tr>
      <w:tr w14:paraId="284D6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D808545">
            <w:pPr>
              <w:spacing w:before="40" w:after="40" w:line="240" w:lineRule="exact"/>
              <w:rPr>
                <w:rFonts w:ascii="宋体" w:hAnsi="宋体" w:eastAsia="宋体" w:cs="宋体"/>
                <w:sz w:val="18"/>
                <w:szCs w:val="18"/>
              </w:rPr>
            </w:pPr>
            <w:r>
              <w:rPr>
                <w:rFonts w:ascii="宋体" w:hAnsi="宋体" w:eastAsia="宋体" w:cs="宋体"/>
                <w:sz w:val="18"/>
                <w:szCs w:val="18"/>
              </w:rPr>
              <w:t>长期借款</w:t>
            </w:r>
          </w:p>
        </w:tc>
        <w:tc>
          <w:tcPr>
            <w:tcW w:w="1742" w:type="dxa"/>
            <w:tcBorders>
              <w:top w:val="single" w:color="auto" w:sz="2" w:space="0"/>
              <w:left w:val="single" w:color="auto" w:sz="2" w:space="0"/>
              <w:bottom w:val="single" w:color="auto" w:sz="2" w:space="0"/>
              <w:right w:val="single" w:color="auto" w:sz="2" w:space="0"/>
            </w:tcBorders>
            <w:vAlign w:val="center"/>
          </w:tcPr>
          <w:p w14:paraId="3A51FC6D">
            <w:pPr>
              <w:spacing w:line="240" w:lineRule="exact"/>
              <w:jc w:val="right"/>
              <w:rPr>
                <w:rFonts w:ascii="宋体" w:hAnsi="宋体" w:eastAsia="宋体" w:cs="宋体"/>
                <w:sz w:val="18"/>
                <w:szCs w:val="18"/>
              </w:rPr>
            </w:pPr>
            <w:r>
              <w:rPr>
                <w:rFonts w:ascii="宋体" w:hAnsi="宋体" w:eastAsia="宋体" w:cs="宋体"/>
                <w:sz w:val="18"/>
                <w:szCs w:val="18"/>
              </w:rPr>
              <w:t>663,727,961.96</w:t>
            </w:r>
          </w:p>
        </w:tc>
        <w:tc>
          <w:tcPr>
            <w:tcW w:w="1417" w:type="dxa"/>
            <w:tcBorders>
              <w:top w:val="single" w:color="auto" w:sz="2" w:space="0"/>
              <w:left w:val="single" w:color="auto" w:sz="2" w:space="0"/>
              <w:bottom w:val="single" w:color="auto" w:sz="2" w:space="0"/>
              <w:right w:val="single" w:color="auto" w:sz="2" w:space="0"/>
            </w:tcBorders>
            <w:vAlign w:val="center"/>
          </w:tcPr>
          <w:p w14:paraId="2522F12F">
            <w:pPr>
              <w:spacing w:line="240" w:lineRule="exact"/>
              <w:jc w:val="right"/>
              <w:rPr>
                <w:rFonts w:ascii="宋体" w:hAnsi="宋体" w:eastAsia="宋体" w:cs="宋体"/>
                <w:sz w:val="18"/>
                <w:szCs w:val="18"/>
              </w:rPr>
            </w:pPr>
            <w:r>
              <w:rPr>
                <w:rFonts w:ascii="宋体" w:hAnsi="宋体" w:eastAsia="宋体" w:cs="宋体"/>
                <w:sz w:val="18"/>
                <w:szCs w:val="18"/>
              </w:rPr>
              <w:t>4.22%</w:t>
            </w:r>
          </w:p>
        </w:tc>
        <w:tc>
          <w:tcPr>
            <w:tcW w:w="1701" w:type="dxa"/>
            <w:tcBorders>
              <w:top w:val="single" w:color="auto" w:sz="2" w:space="0"/>
              <w:left w:val="single" w:color="auto" w:sz="2" w:space="0"/>
              <w:bottom w:val="single" w:color="auto" w:sz="2" w:space="0"/>
              <w:right w:val="single" w:color="auto" w:sz="2" w:space="0"/>
            </w:tcBorders>
            <w:vAlign w:val="center"/>
          </w:tcPr>
          <w:p w14:paraId="7127D3BE">
            <w:pPr>
              <w:spacing w:line="240" w:lineRule="exact"/>
              <w:jc w:val="right"/>
              <w:rPr>
                <w:rFonts w:ascii="宋体" w:hAnsi="宋体" w:eastAsia="宋体" w:cs="宋体"/>
                <w:sz w:val="18"/>
                <w:szCs w:val="18"/>
              </w:rPr>
            </w:pPr>
            <w:r>
              <w:rPr>
                <w:rFonts w:ascii="宋体" w:hAnsi="宋体" w:eastAsia="宋体" w:cs="宋体"/>
                <w:sz w:val="18"/>
                <w:szCs w:val="18"/>
              </w:rPr>
              <w:t>818,855,854.27</w:t>
            </w:r>
          </w:p>
        </w:tc>
        <w:tc>
          <w:tcPr>
            <w:tcW w:w="1560" w:type="dxa"/>
            <w:tcBorders>
              <w:top w:val="single" w:color="auto" w:sz="2" w:space="0"/>
              <w:left w:val="single" w:color="auto" w:sz="2" w:space="0"/>
              <w:bottom w:val="single" w:color="auto" w:sz="2" w:space="0"/>
              <w:right w:val="single" w:color="auto" w:sz="2" w:space="0"/>
            </w:tcBorders>
            <w:vAlign w:val="center"/>
          </w:tcPr>
          <w:p w14:paraId="3FD744B5">
            <w:pPr>
              <w:spacing w:line="240" w:lineRule="exact"/>
              <w:jc w:val="right"/>
              <w:rPr>
                <w:rFonts w:ascii="宋体" w:hAnsi="宋体" w:eastAsia="宋体" w:cs="宋体"/>
                <w:sz w:val="18"/>
                <w:szCs w:val="18"/>
              </w:rPr>
            </w:pPr>
            <w:r>
              <w:rPr>
                <w:rFonts w:ascii="宋体" w:hAnsi="宋体" w:eastAsia="宋体" w:cs="宋体"/>
                <w:sz w:val="18"/>
                <w:szCs w:val="18"/>
              </w:rPr>
              <w:t>4.77%</w:t>
            </w:r>
          </w:p>
        </w:tc>
        <w:tc>
          <w:tcPr>
            <w:tcW w:w="992" w:type="dxa"/>
            <w:tcBorders>
              <w:top w:val="single" w:color="auto" w:sz="2" w:space="0"/>
              <w:left w:val="single" w:color="auto" w:sz="2" w:space="0"/>
              <w:bottom w:val="single" w:color="auto" w:sz="2" w:space="0"/>
              <w:right w:val="single" w:color="auto" w:sz="2" w:space="0"/>
            </w:tcBorders>
            <w:vAlign w:val="center"/>
          </w:tcPr>
          <w:p w14:paraId="48BD3417">
            <w:pPr>
              <w:spacing w:line="240" w:lineRule="exact"/>
              <w:jc w:val="right"/>
              <w:rPr>
                <w:rFonts w:ascii="宋体" w:hAnsi="宋体" w:eastAsia="宋体" w:cs="宋体"/>
                <w:sz w:val="18"/>
                <w:szCs w:val="18"/>
              </w:rPr>
            </w:pPr>
            <w:r>
              <w:rPr>
                <w:rFonts w:ascii="宋体" w:hAnsi="宋体" w:eastAsia="宋体" w:cs="宋体"/>
                <w:sz w:val="18"/>
                <w:szCs w:val="18"/>
              </w:rPr>
              <w:t>-0.55%</w:t>
            </w:r>
          </w:p>
        </w:tc>
        <w:tc>
          <w:tcPr>
            <w:tcW w:w="850" w:type="dxa"/>
            <w:tcBorders>
              <w:top w:val="single" w:color="auto" w:sz="2" w:space="0"/>
              <w:left w:val="single" w:color="auto" w:sz="2" w:space="0"/>
              <w:bottom w:val="single" w:color="auto" w:sz="2" w:space="0"/>
              <w:right w:val="single" w:color="auto" w:sz="2" w:space="0"/>
            </w:tcBorders>
            <w:vAlign w:val="center"/>
          </w:tcPr>
          <w:p w14:paraId="0E0D0C3F">
            <w:pPr>
              <w:spacing w:line="240" w:lineRule="exact"/>
              <w:rPr>
                <w:rFonts w:ascii="宋体" w:hAnsi="宋体" w:eastAsia="宋体" w:cs="宋体"/>
                <w:sz w:val="18"/>
                <w:szCs w:val="18"/>
              </w:rPr>
            </w:pPr>
          </w:p>
        </w:tc>
      </w:tr>
      <w:tr w14:paraId="0C54C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D569B31">
            <w:pPr>
              <w:spacing w:before="40" w:after="40" w:line="240" w:lineRule="exact"/>
              <w:rPr>
                <w:rFonts w:ascii="宋体" w:hAnsi="宋体" w:eastAsia="宋体" w:cs="宋体"/>
                <w:sz w:val="18"/>
                <w:szCs w:val="18"/>
              </w:rPr>
            </w:pPr>
            <w:r>
              <w:rPr>
                <w:rFonts w:ascii="宋体" w:hAnsi="宋体" w:eastAsia="宋体" w:cs="宋体"/>
                <w:sz w:val="18"/>
                <w:szCs w:val="18"/>
              </w:rPr>
              <w:t>租赁负债</w:t>
            </w:r>
          </w:p>
        </w:tc>
        <w:tc>
          <w:tcPr>
            <w:tcW w:w="1742" w:type="dxa"/>
            <w:tcBorders>
              <w:top w:val="single" w:color="auto" w:sz="2" w:space="0"/>
              <w:left w:val="single" w:color="auto" w:sz="2" w:space="0"/>
              <w:bottom w:val="single" w:color="auto" w:sz="2" w:space="0"/>
              <w:right w:val="single" w:color="auto" w:sz="2" w:space="0"/>
            </w:tcBorders>
            <w:vAlign w:val="center"/>
          </w:tcPr>
          <w:p w14:paraId="2AAE1ED4">
            <w:pPr>
              <w:spacing w:line="240" w:lineRule="exact"/>
              <w:jc w:val="right"/>
              <w:rPr>
                <w:rFonts w:ascii="宋体" w:hAnsi="宋体" w:eastAsia="宋体" w:cs="宋体"/>
                <w:sz w:val="18"/>
                <w:szCs w:val="18"/>
              </w:rPr>
            </w:pPr>
            <w:r>
              <w:rPr>
                <w:rFonts w:ascii="宋体" w:hAnsi="宋体" w:eastAsia="宋体" w:cs="宋体"/>
                <w:sz w:val="18"/>
                <w:szCs w:val="18"/>
              </w:rPr>
              <w:t>12,828,313.53</w:t>
            </w:r>
          </w:p>
        </w:tc>
        <w:tc>
          <w:tcPr>
            <w:tcW w:w="1417" w:type="dxa"/>
            <w:tcBorders>
              <w:top w:val="single" w:color="auto" w:sz="2" w:space="0"/>
              <w:left w:val="single" w:color="auto" w:sz="2" w:space="0"/>
              <w:bottom w:val="single" w:color="auto" w:sz="2" w:space="0"/>
              <w:right w:val="single" w:color="auto" w:sz="2" w:space="0"/>
            </w:tcBorders>
            <w:vAlign w:val="center"/>
          </w:tcPr>
          <w:p w14:paraId="341E88EA">
            <w:pPr>
              <w:spacing w:line="240" w:lineRule="exact"/>
              <w:jc w:val="right"/>
              <w:rPr>
                <w:rFonts w:ascii="宋体" w:hAnsi="宋体" w:eastAsia="宋体" w:cs="宋体"/>
                <w:sz w:val="18"/>
                <w:szCs w:val="18"/>
              </w:rPr>
            </w:pPr>
            <w:r>
              <w:rPr>
                <w:rFonts w:ascii="宋体" w:hAnsi="宋体" w:eastAsia="宋体" w:cs="宋体"/>
                <w:sz w:val="18"/>
                <w:szCs w:val="18"/>
              </w:rPr>
              <w:t>0.08%</w:t>
            </w:r>
          </w:p>
        </w:tc>
        <w:tc>
          <w:tcPr>
            <w:tcW w:w="1701" w:type="dxa"/>
            <w:tcBorders>
              <w:top w:val="single" w:color="auto" w:sz="2" w:space="0"/>
              <w:left w:val="single" w:color="auto" w:sz="2" w:space="0"/>
              <w:bottom w:val="single" w:color="auto" w:sz="2" w:space="0"/>
              <w:right w:val="single" w:color="auto" w:sz="2" w:space="0"/>
            </w:tcBorders>
            <w:vAlign w:val="center"/>
          </w:tcPr>
          <w:p w14:paraId="390F79D8">
            <w:pPr>
              <w:spacing w:line="240" w:lineRule="exact"/>
              <w:jc w:val="right"/>
              <w:rPr>
                <w:rFonts w:ascii="宋体" w:hAnsi="宋体" w:eastAsia="宋体" w:cs="宋体"/>
                <w:sz w:val="18"/>
                <w:szCs w:val="18"/>
              </w:rPr>
            </w:pPr>
            <w:r>
              <w:rPr>
                <w:rFonts w:ascii="宋体" w:hAnsi="宋体" w:eastAsia="宋体" w:cs="宋体"/>
                <w:sz w:val="18"/>
                <w:szCs w:val="18"/>
              </w:rPr>
              <w:t>23,335,579.97</w:t>
            </w:r>
          </w:p>
        </w:tc>
        <w:tc>
          <w:tcPr>
            <w:tcW w:w="1560" w:type="dxa"/>
            <w:tcBorders>
              <w:top w:val="single" w:color="auto" w:sz="2" w:space="0"/>
              <w:left w:val="single" w:color="auto" w:sz="2" w:space="0"/>
              <w:bottom w:val="single" w:color="auto" w:sz="2" w:space="0"/>
              <w:right w:val="single" w:color="auto" w:sz="2" w:space="0"/>
            </w:tcBorders>
            <w:vAlign w:val="center"/>
          </w:tcPr>
          <w:p w14:paraId="20B7D19F">
            <w:pPr>
              <w:spacing w:line="240" w:lineRule="exact"/>
              <w:jc w:val="right"/>
              <w:rPr>
                <w:rFonts w:ascii="宋体" w:hAnsi="宋体" w:eastAsia="宋体" w:cs="宋体"/>
                <w:sz w:val="18"/>
                <w:szCs w:val="18"/>
              </w:rPr>
            </w:pPr>
            <w:r>
              <w:rPr>
                <w:rFonts w:ascii="宋体" w:hAnsi="宋体" w:eastAsia="宋体" w:cs="宋体"/>
                <w:sz w:val="18"/>
                <w:szCs w:val="18"/>
              </w:rPr>
              <w:t>0.14%</w:t>
            </w:r>
          </w:p>
        </w:tc>
        <w:tc>
          <w:tcPr>
            <w:tcW w:w="992" w:type="dxa"/>
            <w:tcBorders>
              <w:top w:val="single" w:color="auto" w:sz="2" w:space="0"/>
              <w:left w:val="single" w:color="auto" w:sz="2" w:space="0"/>
              <w:bottom w:val="single" w:color="auto" w:sz="2" w:space="0"/>
              <w:right w:val="single" w:color="auto" w:sz="2" w:space="0"/>
            </w:tcBorders>
            <w:vAlign w:val="center"/>
          </w:tcPr>
          <w:p w14:paraId="27055A6E">
            <w:pPr>
              <w:spacing w:line="240" w:lineRule="exact"/>
              <w:jc w:val="right"/>
              <w:rPr>
                <w:rFonts w:ascii="宋体" w:hAnsi="宋体" w:eastAsia="宋体" w:cs="宋体"/>
                <w:sz w:val="18"/>
                <w:szCs w:val="18"/>
              </w:rPr>
            </w:pPr>
            <w:r>
              <w:rPr>
                <w:rFonts w:ascii="宋体" w:hAnsi="宋体" w:eastAsia="宋体" w:cs="宋体"/>
                <w:sz w:val="18"/>
                <w:szCs w:val="18"/>
              </w:rPr>
              <w:t>-0.06%</w:t>
            </w:r>
          </w:p>
        </w:tc>
        <w:tc>
          <w:tcPr>
            <w:tcW w:w="850" w:type="dxa"/>
            <w:tcBorders>
              <w:top w:val="single" w:color="auto" w:sz="2" w:space="0"/>
              <w:left w:val="single" w:color="auto" w:sz="2" w:space="0"/>
              <w:bottom w:val="single" w:color="auto" w:sz="2" w:space="0"/>
              <w:right w:val="single" w:color="auto" w:sz="2" w:space="0"/>
            </w:tcBorders>
            <w:vAlign w:val="center"/>
          </w:tcPr>
          <w:p w14:paraId="72969DF3">
            <w:pPr>
              <w:spacing w:line="240" w:lineRule="exact"/>
              <w:rPr>
                <w:rFonts w:ascii="宋体" w:hAnsi="宋体" w:eastAsia="宋体" w:cs="宋体"/>
                <w:sz w:val="18"/>
                <w:szCs w:val="18"/>
              </w:rPr>
            </w:pPr>
          </w:p>
        </w:tc>
      </w:tr>
    </w:tbl>
    <w:p w14:paraId="2C129195">
      <w:pPr>
        <w:spacing w:before="100" w:after="100" w:line="240" w:lineRule="exact"/>
        <w:rPr>
          <w:rFonts w:ascii="宋体" w:hAnsi="宋体" w:eastAsia="宋体" w:cs="宋体"/>
          <w:sz w:val="18"/>
          <w:szCs w:val="18"/>
        </w:rPr>
      </w:pPr>
      <w:r>
        <w:rPr>
          <w:rFonts w:ascii="宋体" w:hAnsi="宋体" w:eastAsia="宋体" w:cs="宋体"/>
          <w:sz w:val="18"/>
          <w:szCs w:val="18"/>
        </w:rPr>
        <w:t>境外资产占比较高</w:t>
      </w:r>
    </w:p>
    <w:p w14:paraId="0D482E41">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5C2BC9C">
      <w:pPr>
        <w:pStyle w:val="3"/>
        <w:spacing w:line="280" w:lineRule="exact"/>
        <w:jc w:val="left"/>
        <w:rPr>
          <w:rFonts w:ascii="宋体" w:hAnsi="宋体" w:cs="宋体"/>
          <w:b/>
          <w:bCs/>
        </w:rPr>
      </w:pPr>
      <w:bookmarkStart w:id="43" w:name="_Toc988932"/>
      <w:r>
        <w:rPr>
          <w:rFonts w:ascii="宋体" w:hAnsi="宋体" w:cs="宋体"/>
          <w:b/>
          <w:bCs/>
        </w:rPr>
        <w:t>2、以公允价值计量的资产和负债</w:t>
      </w:r>
      <w:bookmarkEnd w:id="43"/>
    </w:p>
    <w:p w14:paraId="6B891680">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34A2B8CD">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6F279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ED08C52">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C6ECCB2">
            <w:pPr>
              <w:spacing w:before="40" w:after="40" w:line="240" w:lineRule="exact"/>
              <w:jc w:val="center"/>
              <w:rPr>
                <w:rFonts w:ascii="宋体" w:hAnsi="宋体" w:eastAsia="宋体" w:cs="宋体"/>
                <w:sz w:val="18"/>
                <w:szCs w:val="18"/>
              </w:rPr>
            </w:pPr>
            <w:r>
              <w:rPr>
                <w:rFonts w:ascii="宋体" w:hAnsi="宋体" w:eastAsia="宋体" w:cs="宋体"/>
                <w:sz w:val="18"/>
                <w:szCs w:val="18"/>
              </w:rPr>
              <w:t>期初数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EDFE3E7">
            <w:pPr>
              <w:spacing w:before="40" w:after="40" w:line="240" w:lineRule="exact"/>
              <w:jc w:val="center"/>
              <w:rPr>
                <w:rFonts w:ascii="宋体" w:hAnsi="宋体" w:eastAsia="宋体" w:cs="宋体"/>
                <w:sz w:val="18"/>
                <w:szCs w:val="18"/>
              </w:rPr>
            </w:pPr>
            <w:r>
              <w:rPr>
                <w:rFonts w:ascii="宋体" w:hAnsi="宋体" w:eastAsia="宋体" w:cs="宋体"/>
                <w:sz w:val="18"/>
                <w:szCs w:val="18"/>
              </w:rPr>
              <w:t>本期公允价值变动损益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D8FB12F">
            <w:pPr>
              <w:spacing w:before="40" w:after="40" w:line="240" w:lineRule="exact"/>
              <w:jc w:val="center"/>
              <w:rPr>
                <w:rFonts w:ascii="宋体" w:hAnsi="宋体" w:eastAsia="宋体" w:cs="宋体"/>
                <w:sz w:val="18"/>
                <w:szCs w:val="18"/>
              </w:rPr>
            </w:pPr>
            <w:r>
              <w:rPr>
                <w:rFonts w:ascii="宋体" w:hAnsi="宋体" w:eastAsia="宋体" w:cs="宋体"/>
                <w:sz w:val="18"/>
                <w:szCs w:val="18"/>
              </w:rPr>
              <w:t>计入权益的累计公允价值变动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916C6F6">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本期计提的减值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AA088B6">
            <w:pPr>
              <w:spacing w:before="40" w:after="40" w:line="240" w:lineRule="exact"/>
              <w:jc w:val="center"/>
              <w:rPr>
                <w:rFonts w:ascii="宋体" w:hAnsi="宋体" w:eastAsia="宋体" w:cs="宋体"/>
                <w:sz w:val="18"/>
                <w:szCs w:val="18"/>
              </w:rPr>
            </w:pPr>
            <w:r>
              <w:rPr>
                <w:rFonts w:ascii="宋体" w:hAnsi="宋体" w:eastAsia="宋体" w:cs="宋体"/>
                <w:sz w:val="18"/>
                <w:szCs w:val="18"/>
              </w:rPr>
              <w:t>本期购买金额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DB6E3AB">
            <w:pPr>
              <w:spacing w:before="40" w:after="40" w:line="240" w:lineRule="exact"/>
              <w:jc w:val="center"/>
              <w:rPr>
                <w:rFonts w:ascii="宋体" w:hAnsi="宋体" w:eastAsia="宋体" w:cs="宋体"/>
                <w:sz w:val="18"/>
                <w:szCs w:val="18"/>
              </w:rPr>
            </w:pPr>
            <w:r>
              <w:rPr>
                <w:rFonts w:ascii="宋体" w:hAnsi="宋体" w:eastAsia="宋体" w:cs="宋体"/>
                <w:sz w:val="18"/>
                <w:szCs w:val="18"/>
              </w:rPr>
              <w:t>本期出售金额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89B6B98">
            <w:pPr>
              <w:spacing w:before="40" w:after="40" w:line="240" w:lineRule="exact"/>
              <w:jc w:val="center"/>
              <w:rPr>
                <w:rFonts w:ascii="宋体" w:hAnsi="宋体" w:eastAsia="宋体" w:cs="宋体"/>
                <w:sz w:val="18"/>
                <w:szCs w:val="18"/>
              </w:rPr>
            </w:pPr>
            <w:r>
              <w:rPr>
                <w:rFonts w:ascii="宋体" w:hAnsi="宋体" w:eastAsia="宋体" w:cs="宋体"/>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51A7313">
            <w:pPr>
              <w:spacing w:before="40" w:after="40" w:line="240" w:lineRule="exact"/>
              <w:jc w:val="center"/>
              <w:rPr>
                <w:rFonts w:ascii="宋体" w:hAnsi="宋体" w:eastAsia="宋体" w:cs="宋体"/>
                <w:sz w:val="18"/>
                <w:szCs w:val="18"/>
              </w:rPr>
            </w:pPr>
            <w:r>
              <w:rPr>
                <w:rFonts w:ascii="宋体" w:hAnsi="宋体" w:eastAsia="宋体" w:cs="宋体"/>
                <w:sz w:val="18"/>
                <w:szCs w:val="18"/>
              </w:rPr>
              <w:t>期末数</w:t>
            </w:r>
          </w:p>
        </w:tc>
      </w:tr>
      <w:tr w14:paraId="3F2CE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14:paraId="395B1E31">
            <w:pPr>
              <w:spacing w:before="40" w:after="40" w:line="240" w:lineRule="exact"/>
              <w:rPr>
                <w:rFonts w:ascii="宋体" w:hAnsi="宋体" w:eastAsia="宋体" w:cs="宋体"/>
                <w:sz w:val="18"/>
                <w:szCs w:val="18"/>
              </w:rPr>
            </w:pPr>
            <w:r>
              <w:rPr>
                <w:rFonts w:ascii="宋体" w:hAnsi="宋体" w:eastAsia="宋体" w:cs="宋体"/>
                <w:sz w:val="18"/>
                <w:szCs w:val="18"/>
              </w:rPr>
              <w:t>金融资产</w:t>
            </w:r>
          </w:p>
        </w:tc>
      </w:tr>
      <w:tr w14:paraId="310B1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ECC67B9">
            <w:pPr>
              <w:spacing w:before="40" w:after="40" w:line="240" w:lineRule="exact"/>
              <w:rPr>
                <w:rFonts w:ascii="宋体" w:hAnsi="宋体" w:eastAsia="宋体" w:cs="宋体"/>
                <w:sz w:val="18"/>
                <w:szCs w:val="18"/>
              </w:rPr>
            </w:pPr>
            <w:r>
              <w:rPr>
                <w:rFonts w:ascii="宋体" w:hAnsi="宋体" w:eastAsia="宋体" w:cs="宋体"/>
                <w:sz w:val="18"/>
                <w:szCs w:val="18"/>
              </w:rPr>
              <w:t>1.交易性金融资产（不含衍生金融资产）</w:t>
            </w:r>
          </w:p>
        </w:tc>
        <w:tc>
          <w:tcPr>
            <w:tcW w:w="1071" w:type="dxa"/>
            <w:tcBorders>
              <w:top w:val="single" w:color="auto" w:sz="2" w:space="0"/>
              <w:left w:val="single" w:color="auto" w:sz="2" w:space="0"/>
              <w:bottom w:val="single" w:color="auto" w:sz="2" w:space="0"/>
              <w:right w:val="single" w:color="auto" w:sz="2" w:space="0"/>
            </w:tcBorders>
            <w:vAlign w:val="center"/>
          </w:tcPr>
          <w:p w14:paraId="0F4923B8">
            <w:pPr>
              <w:spacing w:line="240" w:lineRule="exact"/>
              <w:jc w:val="right"/>
              <w:rPr>
                <w:rFonts w:ascii="宋体" w:hAnsi="宋体" w:eastAsia="宋体" w:cs="宋体"/>
                <w:sz w:val="18"/>
                <w:szCs w:val="18"/>
              </w:rPr>
            </w:pPr>
            <w:r>
              <w:rPr>
                <w:rFonts w:ascii="宋体" w:hAnsi="宋体" w:eastAsia="宋体" w:cs="宋体"/>
                <w:sz w:val="18"/>
                <w:szCs w:val="18"/>
              </w:rPr>
              <w:t>108,591,730.52</w:t>
            </w:r>
          </w:p>
        </w:tc>
        <w:tc>
          <w:tcPr>
            <w:tcW w:w="1071" w:type="dxa"/>
            <w:tcBorders>
              <w:top w:val="single" w:color="auto" w:sz="2" w:space="0"/>
              <w:left w:val="single" w:color="auto" w:sz="2" w:space="0"/>
              <w:bottom w:val="single" w:color="auto" w:sz="2" w:space="0"/>
              <w:right w:val="single" w:color="auto" w:sz="2" w:space="0"/>
            </w:tcBorders>
            <w:vAlign w:val="center"/>
          </w:tcPr>
          <w:p w14:paraId="6CF2A62D">
            <w:pPr>
              <w:spacing w:line="240" w:lineRule="exact"/>
              <w:jc w:val="right"/>
              <w:rPr>
                <w:rFonts w:ascii="宋体" w:hAnsi="宋体" w:eastAsia="宋体" w:cs="宋体"/>
                <w:sz w:val="18"/>
                <w:szCs w:val="18"/>
              </w:rPr>
            </w:pPr>
            <w:r>
              <w:rPr>
                <w:rFonts w:ascii="宋体" w:hAnsi="宋体" w:eastAsia="宋体" w:cs="宋体"/>
                <w:sz w:val="18"/>
                <w:szCs w:val="18"/>
              </w:rPr>
              <w:t>-6,505,901.86</w:t>
            </w:r>
          </w:p>
        </w:tc>
        <w:tc>
          <w:tcPr>
            <w:tcW w:w="1071" w:type="dxa"/>
            <w:tcBorders>
              <w:top w:val="single" w:color="auto" w:sz="2" w:space="0"/>
              <w:left w:val="single" w:color="auto" w:sz="2" w:space="0"/>
              <w:bottom w:val="single" w:color="auto" w:sz="2" w:space="0"/>
              <w:right w:val="single" w:color="auto" w:sz="2" w:space="0"/>
            </w:tcBorders>
            <w:vAlign w:val="center"/>
          </w:tcPr>
          <w:p w14:paraId="4329689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0CFC39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FC9C4EA">
            <w:pPr>
              <w:spacing w:line="240" w:lineRule="exact"/>
              <w:jc w:val="right"/>
              <w:rPr>
                <w:rFonts w:ascii="宋体" w:hAnsi="宋体" w:eastAsia="宋体" w:cs="宋体"/>
                <w:sz w:val="18"/>
                <w:szCs w:val="18"/>
              </w:rPr>
            </w:pPr>
            <w:r>
              <w:rPr>
                <w:rFonts w:ascii="宋体" w:hAnsi="宋体" w:eastAsia="宋体" w:cs="宋体"/>
                <w:sz w:val="18"/>
                <w:szCs w:val="18"/>
              </w:rPr>
              <w:t>11,579,562.06</w:t>
            </w:r>
          </w:p>
        </w:tc>
        <w:tc>
          <w:tcPr>
            <w:tcW w:w="1071" w:type="dxa"/>
            <w:tcBorders>
              <w:top w:val="single" w:color="auto" w:sz="2" w:space="0"/>
              <w:left w:val="single" w:color="auto" w:sz="2" w:space="0"/>
              <w:bottom w:val="single" w:color="auto" w:sz="2" w:space="0"/>
              <w:right w:val="single" w:color="auto" w:sz="2" w:space="0"/>
            </w:tcBorders>
            <w:vAlign w:val="center"/>
          </w:tcPr>
          <w:p w14:paraId="63B933CE">
            <w:pPr>
              <w:spacing w:line="240" w:lineRule="exact"/>
              <w:jc w:val="right"/>
              <w:rPr>
                <w:rFonts w:ascii="宋体" w:hAnsi="宋体" w:eastAsia="宋体" w:cs="宋体"/>
                <w:sz w:val="18"/>
                <w:szCs w:val="18"/>
              </w:rPr>
            </w:pPr>
            <w:r>
              <w:rPr>
                <w:rFonts w:ascii="宋体" w:hAnsi="宋体" w:eastAsia="宋体" w:cs="宋体"/>
                <w:sz w:val="18"/>
                <w:szCs w:val="18"/>
              </w:rPr>
              <w:t>74,945,593.20</w:t>
            </w:r>
          </w:p>
        </w:tc>
        <w:tc>
          <w:tcPr>
            <w:tcW w:w="1071" w:type="dxa"/>
            <w:tcBorders>
              <w:top w:val="single" w:color="auto" w:sz="2" w:space="0"/>
              <w:left w:val="single" w:color="auto" w:sz="2" w:space="0"/>
              <w:bottom w:val="single" w:color="auto" w:sz="2" w:space="0"/>
              <w:right w:val="single" w:color="auto" w:sz="2" w:space="0"/>
            </w:tcBorders>
            <w:vAlign w:val="center"/>
          </w:tcPr>
          <w:p w14:paraId="1F01625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3B7C27">
            <w:pPr>
              <w:spacing w:line="240" w:lineRule="exact"/>
              <w:jc w:val="right"/>
              <w:rPr>
                <w:rFonts w:ascii="宋体" w:hAnsi="宋体" w:eastAsia="宋体" w:cs="宋体"/>
                <w:sz w:val="18"/>
                <w:szCs w:val="18"/>
              </w:rPr>
            </w:pPr>
            <w:r>
              <w:rPr>
                <w:rFonts w:ascii="宋体" w:hAnsi="宋体" w:eastAsia="宋体" w:cs="宋体"/>
                <w:sz w:val="18"/>
                <w:szCs w:val="18"/>
              </w:rPr>
              <w:t>38,719,797.52</w:t>
            </w:r>
          </w:p>
        </w:tc>
      </w:tr>
      <w:tr w14:paraId="2A55D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F2AC671">
            <w:pPr>
              <w:spacing w:before="40" w:after="40" w:line="240" w:lineRule="exact"/>
              <w:rPr>
                <w:rFonts w:ascii="宋体" w:hAnsi="宋体" w:eastAsia="宋体" w:cs="宋体"/>
                <w:sz w:val="18"/>
                <w:szCs w:val="18"/>
              </w:rPr>
            </w:pPr>
            <w:r>
              <w:rPr>
                <w:rFonts w:ascii="宋体" w:hAnsi="宋体" w:eastAsia="宋体" w:cs="宋体"/>
                <w:sz w:val="18"/>
                <w:szCs w:val="18"/>
              </w:rPr>
              <w:t>2.衍生金融资产</w:t>
            </w:r>
          </w:p>
        </w:tc>
        <w:tc>
          <w:tcPr>
            <w:tcW w:w="1071" w:type="dxa"/>
            <w:tcBorders>
              <w:top w:val="single" w:color="auto" w:sz="2" w:space="0"/>
              <w:left w:val="single" w:color="auto" w:sz="2" w:space="0"/>
              <w:bottom w:val="single" w:color="auto" w:sz="2" w:space="0"/>
              <w:right w:val="single" w:color="auto" w:sz="2" w:space="0"/>
            </w:tcBorders>
            <w:vAlign w:val="center"/>
          </w:tcPr>
          <w:p w14:paraId="6AD74B17">
            <w:pPr>
              <w:spacing w:line="240" w:lineRule="exact"/>
              <w:jc w:val="right"/>
              <w:rPr>
                <w:rFonts w:ascii="宋体" w:hAnsi="宋体" w:eastAsia="宋体" w:cs="宋体"/>
                <w:sz w:val="18"/>
                <w:szCs w:val="18"/>
              </w:rPr>
            </w:pPr>
            <w:r>
              <w:rPr>
                <w:rFonts w:ascii="宋体" w:hAnsi="宋体" w:eastAsia="宋体" w:cs="宋体"/>
                <w:sz w:val="18"/>
                <w:szCs w:val="18"/>
              </w:rPr>
              <w:t>63,953,060.12</w:t>
            </w:r>
          </w:p>
        </w:tc>
        <w:tc>
          <w:tcPr>
            <w:tcW w:w="1071" w:type="dxa"/>
            <w:tcBorders>
              <w:top w:val="single" w:color="auto" w:sz="2" w:space="0"/>
              <w:left w:val="single" w:color="auto" w:sz="2" w:space="0"/>
              <w:bottom w:val="single" w:color="auto" w:sz="2" w:space="0"/>
              <w:right w:val="single" w:color="auto" w:sz="2" w:space="0"/>
            </w:tcBorders>
            <w:vAlign w:val="center"/>
          </w:tcPr>
          <w:p w14:paraId="6EFEFAC0">
            <w:pPr>
              <w:spacing w:line="240" w:lineRule="exact"/>
              <w:jc w:val="right"/>
              <w:rPr>
                <w:rFonts w:ascii="宋体" w:hAnsi="宋体" w:eastAsia="宋体" w:cs="宋体"/>
                <w:sz w:val="18"/>
                <w:szCs w:val="18"/>
              </w:rPr>
            </w:pPr>
            <w:r>
              <w:rPr>
                <w:rFonts w:ascii="宋体" w:hAnsi="宋体" w:eastAsia="宋体" w:cs="宋体"/>
                <w:sz w:val="18"/>
                <w:szCs w:val="18"/>
              </w:rPr>
              <w:t>22,506,304.52</w:t>
            </w:r>
          </w:p>
        </w:tc>
        <w:tc>
          <w:tcPr>
            <w:tcW w:w="1071" w:type="dxa"/>
            <w:tcBorders>
              <w:top w:val="single" w:color="auto" w:sz="2" w:space="0"/>
              <w:left w:val="single" w:color="auto" w:sz="2" w:space="0"/>
              <w:bottom w:val="single" w:color="auto" w:sz="2" w:space="0"/>
              <w:right w:val="single" w:color="auto" w:sz="2" w:space="0"/>
            </w:tcBorders>
            <w:vAlign w:val="center"/>
          </w:tcPr>
          <w:p w14:paraId="21BE24B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AE7036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2884950">
            <w:pPr>
              <w:spacing w:line="240" w:lineRule="exact"/>
              <w:jc w:val="right"/>
              <w:rPr>
                <w:rFonts w:ascii="宋体" w:hAnsi="宋体" w:eastAsia="宋体" w:cs="宋体"/>
                <w:sz w:val="18"/>
                <w:szCs w:val="18"/>
              </w:rPr>
            </w:pPr>
            <w:r>
              <w:rPr>
                <w:rFonts w:ascii="宋体" w:hAnsi="宋体" w:eastAsia="宋体" w:cs="宋体"/>
                <w:sz w:val="18"/>
                <w:szCs w:val="18"/>
              </w:rPr>
              <w:t>247,648,320.47</w:t>
            </w:r>
          </w:p>
        </w:tc>
        <w:tc>
          <w:tcPr>
            <w:tcW w:w="1071" w:type="dxa"/>
            <w:tcBorders>
              <w:top w:val="single" w:color="auto" w:sz="2" w:space="0"/>
              <w:left w:val="single" w:color="auto" w:sz="2" w:space="0"/>
              <w:bottom w:val="single" w:color="auto" w:sz="2" w:space="0"/>
              <w:right w:val="single" w:color="auto" w:sz="2" w:space="0"/>
            </w:tcBorders>
            <w:vAlign w:val="center"/>
          </w:tcPr>
          <w:p w14:paraId="1A9F3331">
            <w:pPr>
              <w:spacing w:line="240" w:lineRule="exact"/>
              <w:jc w:val="right"/>
              <w:rPr>
                <w:rFonts w:ascii="宋体" w:hAnsi="宋体" w:eastAsia="宋体" w:cs="宋体"/>
                <w:sz w:val="18"/>
                <w:szCs w:val="18"/>
              </w:rPr>
            </w:pPr>
            <w:r>
              <w:rPr>
                <w:rFonts w:ascii="宋体" w:hAnsi="宋体" w:eastAsia="宋体" w:cs="宋体"/>
                <w:sz w:val="18"/>
                <w:szCs w:val="18"/>
              </w:rPr>
              <w:t>281,808,793.02</w:t>
            </w:r>
          </w:p>
        </w:tc>
        <w:tc>
          <w:tcPr>
            <w:tcW w:w="1071" w:type="dxa"/>
            <w:tcBorders>
              <w:top w:val="single" w:color="auto" w:sz="2" w:space="0"/>
              <w:left w:val="single" w:color="auto" w:sz="2" w:space="0"/>
              <w:bottom w:val="single" w:color="auto" w:sz="2" w:space="0"/>
              <w:right w:val="single" w:color="auto" w:sz="2" w:space="0"/>
            </w:tcBorders>
            <w:vAlign w:val="center"/>
          </w:tcPr>
          <w:p w14:paraId="576E286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09711F6">
            <w:pPr>
              <w:spacing w:line="240" w:lineRule="exact"/>
              <w:jc w:val="right"/>
              <w:rPr>
                <w:rFonts w:ascii="宋体" w:hAnsi="宋体" w:eastAsia="宋体" w:cs="宋体"/>
                <w:sz w:val="18"/>
                <w:szCs w:val="18"/>
              </w:rPr>
            </w:pPr>
            <w:r>
              <w:rPr>
                <w:rFonts w:ascii="宋体" w:hAnsi="宋体" w:eastAsia="宋体" w:cs="宋体"/>
                <w:sz w:val="18"/>
                <w:szCs w:val="18"/>
              </w:rPr>
              <w:t>52,298,892.09</w:t>
            </w:r>
          </w:p>
        </w:tc>
      </w:tr>
      <w:tr w14:paraId="106BC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A1CB953">
            <w:pPr>
              <w:spacing w:before="40" w:after="40" w:line="240" w:lineRule="exact"/>
              <w:rPr>
                <w:rFonts w:ascii="宋体" w:hAnsi="宋体" w:eastAsia="宋体" w:cs="宋体"/>
                <w:sz w:val="18"/>
                <w:szCs w:val="18"/>
              </w:rPr>
            </w:pPr>
            <w:r>
              <w:rPr>
                <w:rFonts w:ascii="宋体" w:hAnsi="宋体" w:eastAsia="宋体" w:cs="宋体"/>
                <w:sz w:val="18"/>
                <w:szCs w:val="18"/>
              </w:rPr>
              <w:t>4.其他权益工具投资</w:t>
            </w:r>
          </w:p>
        </w:tc>
        <w:tc>
          <w:tcPr>
            <w:tcW w:w="1071" w:type="dxa"/>
            <w:tcBorders>
              <w:top w:val="single" w:color="auto" w:sz="2" w:space="0"/>
              <w:left w:val="single" w:color="auto" w:sz="2" w:space="0"/>
              <w:bottom w:val="single" w:color="auto" w:sz="2" w:space="0"/>
              <w:right w:val="single" w:color="auto" w:sz="2" w:space="0"/>
            </w:tcBorders>
            <w:vAlign w:val="center"/>
          </w:tcPr>
          <w:p w14:paraId="169D5E28">
            <w:pPr>
              <w:spacing w:line="240" w:lineRule="exact"/>
              <w:jc w:val="right"/>
              <w:rPr>
                <w:rFonts w:ascii="宋体" w:hAnsi="宋体" w:eastAsia="宋体" w:cs="宋体"/>
                <w:sz w:val="18"/>
                <w:szCs w:val="18"/>
              </w:rPr>
            </w:pPr>
            <w:r>
              <w:rPr>
                <w:rFonts w:ascii="宋体" w:hAnsi="宋体" w:eastAsia="宋体" w:cs="宋体"/>
                <w:sz w:val="18"/>
                <w:szCs w:val="18"/>
              </w:rPr>
              <w:t>58,313,147.94</w:t>
            </w:r>
          </w:p>
        </w:tc>
        <w:tc>
          <w:tcPr>
            <w:tcW w:w="1071" w:type="dxa"/>
            <w:tcBorders>
              <w:top w:val="single" w:color="auto" w:sz="2" w:space="0"/>
              <w:left w:val="single" w:color="auto" w:sz="2" w:space="0"/>
              <w:bottom w:val="single" w:color="auto" w:sz="2" w:space="0"/>
              <w:right w:val="single" w:color="auto" w:sz="2" w:space="0"/>
            </w:tcBorders>
            <w:vAlign w:val="center"/>
          </w:tcPr>
          <w:p w14:paraId="049A756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1D60721">
            <w:pPr>
              <w:spacing w:line="240" w:lineRule="exact"/>
              <w:jc w:val="right"/>
              <w:rPr>
                <w:rFonts w:ascii="宋体" w:hAnsi="宋体" w:eastAsia="宋体" w:cs="宋体"/>
                <w:sz w:val="18"/>
                <w:szCs w:val="18"/>
              </w:rPr>
            </w:pPr>
            <w:r>
              <w:rPr>
                <w:rFonts w:ascii="宋体" w:hAnsi="宋体" w:eastAsia="宋体" w:cs="宋体"/>
                <w:sz w:val="18"/>
                <w:szCs w:val="18"/>
              </w:rPr>
              <w:t>15,372,568.61</w:t>
            </w:r>
          </w:p>
        </w:tc>
        <w:tc>
          <w:tcPr>
            <w:tcW w:w="1071" w:type="dxa"/>
            <w:tcBorders>
              <w:top w:val="single" w:color="auto" w:sz="2" w:space="0"/>
              <w:left w:val="single" w:color="auto" w:sz="2" w:space="0"/>
              <w:bottom w:val="single" w:color="auto" w:sz="2" w:space="0"/>
              <w:right w:val="single" w:color="auto" w:sz="2" w:space="0"/>
            </w:tcBorders>
            <w:vAlign w:val="center"/>
          </w:tcPr>
          <w:p w14:paraId="3FF18D5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D001A4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2A508B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9E10B7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6137369">
            <w:pPr>
              <w:spacing w:line="240" w:lineRule="exact"/>
              <w:jc w:val="right"/>
              <w:rPr>
                <w:rFonts w:ascii="宋体" w:hAnsi="宋体" w:eastAsia="宋体" w:cs="宋体"/>
                <w:sz w:val="18"/>
                <w:szCs w:val="18"/>
              </w:rPr>
            </w:pPr>
            <w:r>
              <w:rPr>
                <w:rFonts w:ascii="宋体" w:hAnsi="宋体" w:eastAsia="宋体" w:cs="宋体"/>
                <w:sz w:val="18"/>
                <w:szCs w:val="18"/>
              </w:rPr>
              <w:t>73,685,716.55</w:t>
            </w:r>
          </w:p>
        </w:tc>
      </w:tr>
      <w:tr w14:paraId="07C4B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8B24D4C">
            <w:pPr>
              <w:spacing w:before="40" w:after="40" w:line="240" w:lineRule="exact"/>
              <w:rPr>
                <w:rFonts w:ascii="宋体" w:hAnsi="宋体" w:eastAsia="宋体" w:cs="宋体"/>
                <w:sz w:val="18"/>
                <w:szCs w:val="18"/>
              </w:rPr>
            </w:pPr>
            <w:r>
              <w:rPr>
                <w:rFonts w:ascii="宋体" w:hAnsi="宋体" w:eastAsia="宋体" w:cs="宋体"/>
                <w:sz w:val="18"/>
                <w:szCs w:val="18"/>
              </w:rPr>
              <w:t>5.其他非流动金融资产</w:t>
            </w:r>
          </w:p>
        </w:tc>
        <w:tc>
          <w:tcPr>
            <w:tcW w:w="1071" w:type="dxa"/>
            <w:tcBorders>
              <w:top w:val="single" w:color="auto" w:sz="2" w:space="0"/>
              <w:left w:val="single" w:color="auto" w:sz="2" w:space="0"/>
              <w:bottom w:val="single" w:color="auto" w:sz="2" w:space="0"/>
              <w:right w:val="single" w:color="auto" w:sz="2" w:space="0"/>
            </w:tcBorders>
            <w:vAlign w:val="center"/>
          </w:tcPr>
          <w:p w14:paraId="14731C31">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AB75B2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C63B769">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A7D4AA9">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CC2EA02">
            <w:pPr>
              <w:spacing w:line="240" w:lineRule="exact"/>
              <w:jc w:val="right"/>
              <w:rPr>
                <w:rFonts w:ascii="宋体" w:hAnsi="宋体" w:eastAsia="宋体" w:cs="宋体"/>
                <w:sz w:val="18"/>
                <w:szCs w:val="18"/>
              </w:rPr>
            </w:pPr>
            <w:r>
              <w:rPr>
                <w:rFonts w:ascii="宋体" w:hAnsi="宋体" w:eastAsia="宋体" w:cs="宋体"/>
                <w:sz w:val="18"/>
                <w:szCs w:val="18"/>
              </w:rPr>
              <w:t>12,713,514.33</w:t>
            </w:r>
          </w:p>
        </w:tc>
        <w:tc>
          <w:tcPr>
            <w:tcW w:w="1071" w:type="dxa"/>
            <w:tcBorders>
              <w:top w:val="single" w:color="auto" w:sz="2" w:space="0"/>
              <w:left w:val="single" w:color="auto" w:sz="2" w:space="0"/>
              <w:bottom w:val="single" w:color="auto" w:sz="2" w:space="0"/>
              <w:right w:val="single" w:color="auto" w:sz="2" w:space="0"/>
            </w:tcBorders>
            <w:vAlign w:val="center"/>
          </w:tcPr>
          <w:p w14:paraId="4CD7F924">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C6E5D1">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B35522C">
            <w:pPr>
              <w:spacing w:line="240" w:lineRule="exact"/>
              <w:jc w:val="right"/>
              <w:rPr>
                <w:rFonts w:ascii="宋体" w:hAnsi="宋体" w:eastAsia="宋体" w:cs="宋体"/>
                <w:sz w:val="18"/>
                <w:szCs w:val="18"/>
              </w:rPr>
            </w:pPr>
            <w:r>
              <w:rPr>
                <w:rFonts w:ascii="宋体" w:hAnsi="宋体" w:eastAsia="宋体" w:cs="宋体"/>
                <w:sz w:val="18"/>
                <w:szCs w:val="18"/>
              </w:rPr>
              <w:t>12,713,514.33</w:t>
            </w:r>
          </w:p>
        </w:tc>
      </w:tr>
      <w:tr w14:paraId="6BBDD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78A535A">
            <w:pPr>
              <w:spacing w:before="40" w:after="40" w:line="240" w:lineRule="exact"/>
              <w:rPr>
                <w:rFonts w:ascii="宋体" w:hAnsi="宋体" w:eastAsia="宋体" w:cs="宋体"/>
                <w:sz w:val="18"/>
                <w:szCs w:val="18"/>
              </w:rPr>
            </w:pPr>
            <w:r>
              <w:rPr>
                <w:rFonts w:ascii="宋体" w:hAnsi="宋体" w:eastAsia="宋体" w:cs="宋体"/>
                <w:sz w:val="18"/>
                <w:szCs w:val="18"/>
              </w:rPr>
              <w:t>金融资产小计</w:t>
            </w:r>
          </w:p>
        </w:tc>
        <w:tc>
          <w:tcPr>
            <w:tcW w:w="1071" w:type="dxa"/>
            <w:tcBorders>
              <w:top w:val="single" w:color="auto" w:sz="2" w:space="0"/>
              <w:left w:val="single" w:color="auto" w:sz="2" w:space="0"/>
              <w:bottom w:val="single" w:color="auto" w:sz="2" w:space="0"/>
              <w:right w:val="single" w:color="auto" w:sz="2" w:space="0"/>
            </w:tcBorders>
            <w:vAlign w:val="center"/>
          </w:tcPr>
          <w:p w14:paraId="6DEE9830">
            <w:pPr>
              <w:spacing w:line="240" w:lineRule="exact"/>
              <w:jc w:val="right"/>
              <w:rPr>
                <w:rFonts w:ascii="宋体" w:hAnsi="宋体" w:eastAsia="宋体" w:cs="宋体"/>
                <w:sz w:val="18"/>
                <w:szCs w:val="18"/>
              </w:rPr>
            </w:pPr>
            <w:r>
              <w:rPr>
                <w:rFonts w:ascii="宋体" w:hAnsi="宋体" w:eastAsia="宋体" w:cs="宋体"/>
                <w:sz w:val="18"/>
                <w:szCs w:val="18"/>
              </w:rPr>
              <w:t>230,857,938.58</w:t>
            </w:r>
          </w:p>
        </w:tc>
        <w:tc>
          <w:tcPr>
            <w:tcW w:w="1071" w:type="dxa"/>
            <w:tcBorders>
              <w:top w:val="single" w:color="auto" w:sz="2" w:space="0"/>
              <w:left w:val="single" w:color="auto" w:sz="2" w:space="0"/>
              <w:bottom w:val="single" w:color="auto" w:sz="2" w:space="0"/>
              <w:right w:val="single" w:color="auto" w:sz="2" w:space="0"/>
            </w:tcBorders>
            <w:vAlign w:val="center"/>
          </w:tcPr>
          <w:p w14:paraId="2B25FD43">
            <w:pPr>
              <w:spacing w:line="240" w:lineRule="exact"/>
              <w:jc w:val="right"/>
              <w:rPr>
                <w:rFonts w:ascii="宋体" w:hAnsi="宋体" w:eastAsia="宋体" w:cs="宋体"/>
                <w:sz w:val="18"/>
                <w:szCs w:val="18"/>
              </w:rPr>
            </w:pPr>
            <w:r>
              <w:rPr>
                <w:rFonts w:ascii="宋体" w:hAnsi="宋体" w:eastAsia="宋体" w:cs="宋体"/>
                <w:sz w:val="18"/>
                <w:szCs w:val="18"/>
              </w:rPr>
              <w:t>16,000,402.66</w:t>
            </w:r>
          </w:p>
        </w:tc>
        <w:tc>
          <w:tcPr>
            <w:tcW w:w="1071" w:type="dxa"/>
            <w:tcBorders>
              <w:top w:val="single" w:color="auto" w:sz="2" w:space="0"/>
              <w:left w:val="single" w:color="auto" w:sz="2" w:space="0"/>
              <w:bottom w:val="single" w:color="auto" w:sz="2" w:space="0"/>
              <w:right w:val="single" w:color="auto" w:sz="2" w:space="0"/>
            </w:tcBorders>
            <w:vAlign w:val="center"/>
          </w:tcPr>
          <w:p w14:paraId="3B87973F">
            <w:pPr>
              <w:spacing w:line="240" w:lineRule="exact"/>
              <w:jc w:val="right"/>
              <w:rPr>
                <w:rFonts w:ascii="宋体" w:hAnsi="宋体" w:eastAsia="宋体" w:cs="宋体"/>
                <w:sz w:val="18"/>
                <w:szCs w:val="18"/>
              </w:rPr>
            </w:pPr>
            <w:r>
              <w:rPr>
                <w:rFonts w:ascii="宋体" w:hAnsi="宋体" w:eastAsia="宋体" w:cs="宋体"/>
                <w:sz w:val="18"/>
                <w:szCs w:val="18"/>
              </w:rPr>
              <w:t>15,372,568.61</w:t>
            </w:r>
          </w:p>
        </w:tc>
        <w:tc>
          <w:tcPr>
            <w:tcW w:w="1071" w:type="dxa"/>
            <w:tcBorders>
              <w:top w:val="single" w:color="auto" w:sz="2" w:space="0"/>
              <w:left w:val="single" w:color="auto" w:sz="2" w:space="0"/>
              <w:bottom w:val="single" w:color="auto" w:sz="2" w:space="0"/>
              <w:right w:val="single" w:color="auto" w:sz="2" w:space="0"/>
            </w:tcBorders>
            <w:vAlign w:val="center"/>
          </w:tcPr>
          <w:p w14:paraId="2A0C36D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517DC86">
            <w:pPr>
              <w:spacing w:line="240" w:lineRule="exact"/>
              <w:jc w:val="right"/>
              <w:rPr>
                <w:rFonts w:ascii="宋体" w:hAnsi="宋体" w:eastAsia="宋体" w:cs="宋体"/>
                <w:sz w:val="18"/>
                <w:szCs w:val="18"/>
              </w:rPr>
            </w:pPr>
            <w:r>
              <w:rPr>
                <w:rFonts w:ascii="宋体" w:hAnsi="宋体" w:eastAsia="宋体" w:cs="宋体"/>
                <w:sz w:val="18"/>
                <w:szCs w:val="18"/>
              </w:rPr>
              <w:t>271,941,396.86</w:t>
            </w:r>
          </w:p>
        </w:tc>
        <w:tc>
          <w:tcPr>
            <w:tcW w:w="1071" w:type="dxa"/>
            <w:tcBorders>
              <w:top w:val="single" w:color="auto" w:sz="2" w:space="0"/>
              <w:left w:val="single" w:color="auto" w:sz="2" w:space="0"/>
              <w:bottom w:val="single" w:color="auto" w:sz="2" w:space="0"/>
              <w:right w:val="single" w:color="auto" w:sz="2" w:space="0"/>
            </w:tcBorders>
            <w:vAlign w:val="center"/>
          </w:tcPr>
          <w:p w14:paraId="24219A56">
            <w:pPr>
              <w:spacing w:line="240" w:lineRule="exact"/>
              <w:jc w:val="right"/>
              <w:rPr>
                <w:rFonts w:ascii="宋体" w:hAnsi="宋体" w:eastAsia="宋体" w:cs="宋体"/>
                <w:sz w:val="18"/>
                <w:szCs w:val="18"/>
              </w:rPr>
            </w:pPr>
            <w:r>
              <w:rPr>
                <w:rFonts w:ascii="宋体" w:hAnsi="宋体" w:eastAsia="宋体" w:cs="宋体"/>
                <w:sz w:val="18"/>
                <w:szCs w:val="18"/>
              </w:rPr>
              <w:t>356,754,386.22</w:t>
            </w:r>
          </w:p>
        </w:tc>
        <w:tc>
          <w:tcPr>
            <w:tcW w:w="1071" w:type="dxa"/>
            <w:tcBorders>
              <w:top w:val="single" w:color="auto" w:sz="2" w:space="0"/>
              <w:left w:val="single" w:color="auto" w:sz="2" w:space="0"/>
              <w:bottom w:val="single" w:color="auto" w:sz="2" w:space="0"/>
              <w:right w:val="single" w:color="auto" w:sz="2" w:space="0"/>
            </w:tcBorders>
            <w:vAlign w:val="center"/>
          </w:tcPr>
          <w:p w14:paraId="75B6B34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C887A50">
            <w:pPr>
              <w:spacing w:line="240" w:lineRule="exact"/>
              <w:jc w:val="right"/>
              <w:rPr>
                <w:rFonts w:ascii="宋体" w:hAnsi="宋体" w:eastAsia="宋体" w:cs="宋体"/>
                <w:sz w:val="18"/>
                <w:szCs w:val="18"/>
              </w:rPr>
            </w:pPr>
            <w:r>
              <w:rPr>
                <w:rFonts w:ascii="宋体" w:hAnsi="宋体" w:eastAsia="宋体" w:cs="宋体"/>
                <w:sz w:val="18"/>
                <w:szCs w:val="18"/>
              </w:rPr>
              <w:t>177,417,920.49</w:t>
            </w:r>
          </w:p>
        </w:tc>
      </w:tr>
      <w:tr w14:paraId="1C4CA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7BAC8DF">
            <w:pPr>
              <w:spacing w:line="240" w:lineRule="exact"/>
              <w:rPr>
                <w:rFonts w:ascii="宋体" w:hAnsi="宋体" w:eastAsia="宋体" w:cs="宋体"/>
                <w:sz w:val="18"/>
                <w:szCs w:val="18"/>
              </w:rPr>
            </w:pPr>
            <w:r>
              <w:rPr>
                <w:rFonts w:ascii="宋体" w:hAnsi="宋体" w:eastAsia="宋体" w:cs="宋体"/>
                <w:sz w:val="18"/>
                <w:szCs w:val="18"/>
              </w:rPr>
              <w:t>理财产品</w:t>
            </w:r>
          </w:p>
        </w:tc>
        <w:tc>
          <w:tcPr>
            <w:tcW w:w="1071" w:type="dxa"/>
            <w:tcBorders>
              <w:top w:val="single" w:color="auto" w:sz="2" w:space="0"/>
              <w:left w:val="single" w:color="auto" w:sz="2" w:space="0"/>
              <w:bottom w:val="single" w:color="auto" w:sz="2" w:space="0"/>
              <w:right w:val="single" w:color="auto" w:sz="2" w:space="0"/>
            </w:tcBorders>
            <w:vAlign w:val="center"/>
          </w:tcPr>
          <w:p w14:paraId="3D2F3840">
            <w:pPr>
              <w:spacing w:line="240" w:lineRule="exact"/>
              <w:jc w:val="right"/>
              <w:rPr>
                <w:rFonts w:ascii="宋体" w:hAnsi="宋体" w:eastAsia="宋体" w:cs="宋体"/>
                <w:sz w:val="18"/>
                <w:szCs w:val="18"/>
              </w:rPr>
            </w:pPr>
            <w:r>
              <w:rPr>
                <w:rFonts w:ascii="宋体" w:hAnsi="宋体" w:eastAsia="宋体" w:cs="宋体"/>
                <w:sz w:val="18"/>
                <w:szCs w:val="18"/>
              </w:rPr>
              <w:t>59,442,200.88</w:t>
            </w:r>
          </w:p>
        </w:tc>
        <w:tc>
          <w:tcPr>
            <w:tcW w:w="1071" w:type="dxa"/>
            <w:tcBorders>
              <w:top w:val="single" w:color="auto" w:sz="2" w:space="0"/>
              <w:left w:val="single" w:color="auto" w:sz="2" w:space="0"/>
              <w:bottom w:val="single" w:color="auto" w:sz="2" w:space="0"/>
              <w:right w:val="single" w:color="auto" w:sz="2" w:space="0"/>
            </w:tcBorders>
            <w:vAlign w:val="center"/>
          </w:tcPr>
          <w:p w14:paraId="1C3817D0">
            <w:pPr>
              <w:spacing w:line="240" w:lineRule="exact"/>
              <w:jc w:val="right"/>
              <w:rPr>
                <w:rFonts w:ascii="宋体" w:hAnsi="宋体" w:eastAsia="宋体" w:cs="宋体"/>
                <w:sz w:val="18"/>
                <w:szCs w:val="18"/>
              </w:rPr>
            </w:pPr>
            <w:r>
              <w:rPr>
                <w:rFonts w:ascii="宋体" w:hAnsi="宋体" w:eastAsia="宋体" w:cs="宋体"/>
                <w:sz w:val="18"/>
                <w:szCs w:val="18"/>
              </w:rPr>
              <w:t>8,226,139.48</w:t>
            </w:r>
          </w:p>
        </w:tc>
        <w:tc>
          <w:tcPr>
            <w:tcW w:w="1071" w:type="dxa"/>
            <w:tcBorders>
              <w:top w:val="single" w:color="auto" w:sz="2" w:space="0"/>
              <w:left w:val="single" w:color="auto" w:sz="2" w:space="0"/>
              <w:bottom w:val="single" w:color="auto" w:sz="2" w:space="0"/>
              <w:right w:val="single" w:color="auto" w:sz="2" w:space="0"/>
            </w:tcBorders>
            <w:vAlign w:val="center"/>
          </w:tcPr>
          <w:p w14:paraId="0FCA2A3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42DADC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90E151F">
            <w:pPr>
              <w:spacing w:line="240" w:lineRule="exact"/>
              <w:jc w:val="right"/>
              <w:rPr>
                <w:rFonts w:ascii="宋体" w:hAnsi="宋体" w:eastAsia="宋体" w:cs="宋体"/>
                <w:sz w:val="18"/>
                <w:szCs w:val="18"/>
              </w:rPr>
            </w:pPr>
            <w:r>
              <w:rPr>
                <w:rFonts w:ascii="宋体" w:hAnsi="宋体" w:eastAsia="宋体" w:cs="宋体"/>
                <w:sz w:val="18"/>
                <w:szCs w:val="18"/>
              </w:rPr>
              <w:t>2,131,327,241.34</w:t>
            </w:r>
          </w:p>
        </w:tc>
        <w:tc>
          <w:tcPr>
            <w:tcW w:w="1071" w:type="dxa"/>
            <w:tcBorders>
              <w:top w:val="single" w:color="auto" w:sz="2" w:space="0"/>
              <w:left w:val="single" w:color="auto" w:sz="2" w:space="0"/>
              <w:bottom w:val="single" w:color="auto" w:sz="2" w:space="0"/>
              <w:right w:val="single" w:color="auto" w:sz="2" w:space="0"/>
            </w:tcBorders>
            <w:vAlign w:val="center"/>
          </w:tcPr>
          <w:p w14:paraId="5436DA48">
            <w:pPr>
              <w:spacing w:line="240" w:lineRule="exact"/>
              <w:jc w:val="right"/>
              <w:rPr>
                <w:rFonts w:ascii="宋体" w:hAnsi="宋体" w:eastAsia="宋体" w:cs="宋体"/>
                <w:sz w:val="18"/>
                <w:szCs w:val="18"/>
              </w:rPr>
            </w:pPr>
            <w:r>
              <w:rPr>
                <w:rFonts w:ascii="宋体" w:hAnsi="宋体" w:eastAsia="宋体" w:cs="宋体"/>
                <w:sz w:val="18"/>
                <w:szCs w:val="18"/>
              </w:rPr>
              <w:t>2,029,259,220.89</w:t>
            </w:r>
          </w:p>
        </w:tc>
        <w:tc>
          <w:tcPr>
            <w:tcW w:w="1071" w:type="dxa"/>
            <w:tcBorders>
              <w:top w:val="single" w:color="auto" w:sz="2" w:space="0"/>
              <w:left w:val="single" w:color="auto" w:sz="2" w:space="0"/>
              <w:bottom w:val="single" w:color="auto" w:sz="2" w:space="0"/>
              <w:right w:val="single" w:color="auto" w:sz="2" w:space="0"/>
            </w:tcBorders>
            <w:vAlign w:val="center"/>
          </w:tcPr>
          <w:p w14:paraId="191244F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B3CC209">
            <w:pPr>
              <w:spacing w:line="240" w:lineRule="exact"/>
              <w:jc w:val="right"/>
              <w:rPr>
                <w:rFonts w:ascii="宋体" w:hAnsi="宋体" w:eastAsia="宋体" w:cs="宋体"/>
                <w:sz w:val="18"/>
                <w:szCs w:val="18"/>
              </w:rPr>
            </w:pPr>
            <w:r>
              <w:rPr>
                <w:rFonts w:ascii="宋体" w:hAnsi="宋体" w:eastAsia="宋体" w:cs="宋体"/>
                <w:sz w:val="18"/>
                <w:szCs w:val="18"/>
              </w:rPr>
              <w:t>169,736,360.81</w:t>
            </w:r>
          </w:p>
        </w:tc>
      </w:tr>
      <w:tr w14:paraId="38AE2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BE051CB">
            <w:pPr>
              <w:spacing w:before="40" w:after="40" w:line="240" w:lineRule="exact"/>
              <w:rPr>
                <w:rFonts w:ascii="宋体" w:hAnsi="宋体" w:eastAsia="宋体" w:cs="宋体"/>
                <w:sz w:val="18"/>
                <w:szCs w:val="18"/>
              </w:rPr>
            </w:pPr>
            <w:r>
              <w:rPr>
                <w:rFonts w:ascii="宋体" w:hAnsi="宋体" w:eastAsia="宋体" w:cs="宋体"/>
                <w:sz w:val="18"/>
                <w:szCs w:val="18"/>
              </w:rPr>
              <w:t>上述合计</w:t>
            </w:r>
          </w:p>
        </w:tc>
        <w:tc>
          <w:tcPr>
            <w:tcW w:w="1071" w:type="dxa"/>
            <w:tcBorders>
              <w:top w:val="single" w:color="auto" w:sz="2" w:space="0"/>
              <w:left w:val="single" w:color="auto" w:sz="2" w:space="0"/>
              <w:bottom w:val="single" w:color="auto" w:sz="2" w:space="0"/>
              <w:right w:val="single" w:color="auto" w:sz="2" w:space="0"/>
            </w:tcBorders>
            <w:vAlign w:val="center"/>
          </w:tcPr>
          <w:p w14:paraId="0DBF973A">
            <w:pPr>
              <w:spacing w:line="240" w:lineRule="exact"/>
              <w:jc w:val="right"/>
              <w:rPr>
                <w:rFonts w:ascii="宋体" w:hAnsi="宋体" w:eastAsia="宋体" w:cs="宋体"/>
                <w:sz w:val="18"/>
                <w:szCs w:val="18"/>
              </w:rPr>
            </w:pPr>
            <w:r>
              <w:rPr>
                <w:rFonts w:ascii="宋体" w:hAnsi="宋体" w:eastAsia="宋体" w:cs="宋体"/>
                <w:sz w:val="18"/>
                <w:szCs w:val="18"/>
              </w:rPr>
              <w:t>290,300,139.46</w:t>
            </w:r>
          </w:p>
        </w:tc>
        <w:tc>
          <w:tcPr>
            <w:tcW w:w="1071" w:type="dxa"/>
            <w:tcBorders>
              <w:top w:val="single" w:color="auto" w:sz="2" w:space="0"/>
              <w:left w:val="single" w:color="auto" w:sz="2" w:space="0"/>
              <w:bottom w:val="single" w:color="auto" w:sz="2" w:space="0"/>
              <w:right w:val="single" w:color="auto" w:sz="2" w:space="0"/>
            </w:tcBorders>
            <w:vAlign w:val="center"/>
          </w:tcPr>
          <w:p w14:paraId="35E6084D">
            <w:pPr>
              <w:spacing w:line="240" w:lineRule="exact"/>
              <w:jc w:val="right"/>
              <w:rPr>
                <w:rFonts w:ascii="宋体" w:hAnsi="宋体" w:eastAsia="宋体" w:cs="宋体"/>
                <w:sz w:val="18"/>
                <w:szCs w:val="18"/>
              </w:rPr>
            </w:pPr>
            <w:r>
              <w:rPr>
                <w:rFonts w:ascii="宋体" w:hAnsi="宋体" w:eastAsia="宋体" w:cs="宋体"/>
                <w:sz w:val="18"/>
                <w:szCs w:val="18"/>
              </w:rPr>
              <w:t>24,226,542.14</w:t>
            </w:r>
          </w:p>
        </w:tc>
        <w:tc>
          <w:tcPr>
            <w:tcW w:w="1071" w:type="dxa"/>
            <w:tcBorders>
              <w:top w:val="single" w:color="auto" w:sz="2" w:space="0"/>
              <w:left w:val="single" w:color="auto" w:sz="2" w:space="0"/>
              <w:bottom w:val="single" w:color="auto" w:sz="2" w:space="0"/>
              <w:right w:val="single" w:color="auto" w:sz="2" w:space="0"/>
            </w:tcBorders>
            <w:vAlign w:val="center"/>
          </w:tcPr>
          <w:p w14:paraId="1DA0E5D1">
            <w:pPr>
              <w:spacing w:line="240" w:lineRule="exact"/>
              <w:jc w:val="right"/>
              <w:rPr>
                <w:rFonts w:ascii="宋体" w:hAnsi="宋体" w:eastAsia="宋体" w:cs="宋体"/>
                <w:sz w:val="18"/>
                <w:szCs w:val="18"/>
              </w:rPr>
            </w:pPr>
            <w:r>
              <w:rPr>
                <w:rFonts w:ascii="宋体" w:hAnsi="宋体" w:eastAsia="宋体" w:cs="宋体"/>
                <w:sz w:val="18"/>
                <w:szCs w:val="18"/>
              </w:rPr>
              <w:t>15,372,568.61</w:t>
            </w:r>
          </w:p>
        </w:tc>
        <w:tc>
          <w:tcPr>
            <w:tcW w:w="1071" w:type="dxa"/>
            <w:tcBorders>
              <w:top w:val="single" w:color="auto" w:sz="2" w:space="0"/>
              <w:left w:val="single" w:color="auto" w:sz="2" w:space="0"/>
              <w:bottom w:val="single" w:color="auto" w:sz="2" w:space="0"/>
              <w:right w:val="single" w:color="auto" w:sz="2" w:space="0"/>
            </w:tcBorders>
            <w:vAlign w:val="center"/>
          </w:tcPr>
          <w:p w14:paraId="68FDBFA9">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981A905">
            <w:pPr>
              <w:spacing w:line="240" w:lineRule="exact"/>
              <w:jc w:val="right"/>
              <w:rPr>
                <w:rFonts w:ascii="宋体" w:hAnsi="宋体" w:eastAsia="宋体" w:cs="宋体"/>
                <w:sz w:val="18"/>
                <w:szCs w:val="18"/>
              </w:rPr>
            </w:pPr>
            <w:r>
              <w:rPr>
                <w:rFonts w:ascii="宋体" w:hAnsi="宋体" w:eastAsia="宋体" w:cs="宋体"/>
                <w:sz w:val="18"/>
                <w:szCs w:val="18"/>
              </w:rPr>
              <w:t>2,403,268,638.20</w:t>
            </w:r>
          </w:p>
        </w:tc>
        <w:tc>
          <w:tcPr>
            <w:tcW w:w="1071" w:type="dxa"/>
            <w:tcBorders>
              <w:top w:val="single" w:color="auto" w:sz="2" w:space="0"/>
              <w:left w:val="single" w:color="auto" w:sz="2" w:space="0"/>
              <w:bottom w:val="single" w:color="auto" w:sz="2" w:space="0"/>
              <w:right w:val="single" w:color="auto" w:sz="2" w:space="0"/>
            </w:tcBorders>
            <w:vAlign w:val="center"/>
          </w:tcPr>
          <w:p w14:paraId="3B20CADE">
            <w:pPr>
              <w:spacing w:line="240" w:lineRule="exact"/>
              <w:jc w:val="right"/>
              <w:rPr>
                <w:rFonts w:ascii="宋体" w:hAnsi="宋体" w:eastAsia="宋体" w:cs="宋体"/>
                <w:sz w:val="18"/>
                <w:szCs w:val="18"/>
              </w:rPr>
            </w:pPr>
            <w:r>
              <w:rPr>
                <w:rFonts w:ascii="宋体" w:hAnsi="宋体" w:eastAsia="宋体" w:cs="宋体"/>
                <w:sz w:val="18"/>
                <w:szCs w:val="18"/>
              </w:rPr>
              <w:t>2,386,013,607.11</w:t>
            </w:r>
          </w:p>
        </w:tc>
        <w:tc>
          <w:tcPr>
            <w:tcW w:w="1071" w:type="dxa"/>
            <w:tcBorders>
              <w:top w:val="single" w:color="auto" w:sz="2" w:space="0"/>
              <w:left w:val="single" w:color="auto" w:sz="2" w:space="0"/>
              <w:bottom w:val="single" w:color="auto" w:sz="2" w:space="0"/>
              <w:right w:val="single" w:color="auto" w:sz="2" w:space="0"/>
            </w:tcBorders>
            <w:vAlign w:val="center"/>
          </w:tcPr>
          <w:p w14:paraId="2BAB6EE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CEA60D4">
            <w:pPr>
              <w:spacing w:line="240" w:lineRule="exact"/>
              <w:jc w:val="right"/>
              <w:rPr>
                <w:rFonts w:ascii="宋体" w:hAnsi="宋体" w:eastAsia="宋体" w:cs="宋体"/>
                <w:sz w:val="18"/>
                <w:szCs w:val="18"/>
              </w:rPr>
            </w:pPr>
            <w:r>
              <w:rPr>
                <w:rFonts w:ascii="宋体" w:hAnsi="宋体" w:eastAsia="宋体" w:cs="宋体"/>
                <w:sz w:val="18"/>
                <w:szCs w:val="18"/>
              </w:rPr>
              <w:t>347,154,281.30</w:t>
            </w:r>
          </w:p>
        </w:tc>
      </w:tr>
      <w:tr w14:paraId="37A9A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480DD61">
            <w:pPr>
              <w:spacing w:before="40" w:after="40" w:line="240" w:lineRule="exact"/>
              <w:rPr>
                <w:rFonts w:ascii="宋体" w:hAnsi="宋体" w:eastAsia="宋体" w:cs="宋体"/>
                <w:sz w:val="18"/>
                <w:szCs w:val="18"/>
              </w:rPr>
            </w:pPr>
            <w:r>
              <w:rPr>
                <w:rFonts w:ascii="宋体" w:hAnsi="宋体" w:eastAsia="宋体" w:cs="宋体"/>
                <w:sz w:val="18"/>
                <w:szCs w:val="18"/>
              </w:rPr>
              <w:t>金融负债</w:t>
            </w:r>
          </w:p>
        </w:tc>
        <w:tc>
          <w:tcPr>
            <w:tcW w:w="1071" w:type="dxa"/>
            <w:tcBorders>
              <w:top w:val="single" w:color="auto" w:sz="2" w:space="0"/>
              <w:left w:val="single" w:color="auto" w:sz="2" w:space="0"/>
              <w:bottom w:val="single" w:color="auto" w:sz="2" w:space="0"/>
              <w:right w:val="single" w:color="auto" w:sz="2" w:space="0"/>
            </w:tcBorders>
            <w:vAlign w:val="center"/>
          </w:tcPr>
          <w:p w14:paraId="51104431">
            <w:pPr>
              <w:spacing w:line="240" w:lineRule="exact"/>
              <w:jc w:val="right"/>
              <w:rPr>
                <w:rFonts w:ascii="宋体" w:hAnsi="宋体" w:eastAsia="宋体" w:cs="宋体"/>
                <w:sz w:val="18"/>
                <w:szCs w:val="18"/>
              </w:rPr>
            </w:pPr>
            <w:r>
              <w:rPr>
                <w:rFonts w:ascii="宋体" w:hAnsi="宋体" w:eastAsia="宋体" w:cs="宋体"/>
                <w:sz w:val="18"/>
                <w:szCs w:val="18"/>
              </w:rPr>
              <w:t>199,494.26</w:t>
            </w:r>
          </w:p>
        </w:tc>
        <w:tc>
          <w:tcPr>
            <w:tcW w:w="1071" w:type="dxa"/>
            <w:tcBorders>
              <w:top w:val="single" w:color="auto" w:sz="2" w:space="0"/>
              <w:left w:val="single" w:color="auto" w:sz="2" w:space="0"/>
              <w:bottom w:val="single" w:color="auto" w:sz="2" w:space="0"/>
              <w:right w:val="single" w:color="auto" w:sz="2" w:space="0"/>
            </w:tcBorders>
            <w:vAlign w:val="center"/>
          </w:tcPr>
          <w:p w14:paraId="0644BAB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DA78919">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2D345A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1FA31BD">
            <w:pPr>
              <w:spacing w:line="240" w:lineRule="exact"/>
              <w:jc w:val="right"/>
              <w:rPr>
                <w:rFonts w:ascii="宋体" w:hAnsi="宋体" w:eastAsia="宋体" w:cs="宋体"/>
                <w:sz w:val="18"/>
                <w:szCs w:val="18"/>
              </w:rPr>
            </w:pPr>
            <w:r>
              <w:rPr>
                <w:rFonts w:ascii="宋体" w:hAnsi="宋体" w:eastAsia="宋体" w:cs="宋体"/>
                <w:sz w:val="18"/>
                <w:szCs w:val="18"/>
              </w:rPr>
              <w:t>6,428,047.30</w:t>
            </w:r>
          </w:p>
        </w:tc>
        <w:tc>
          <w:tcPr>
            <w:tcW w:w="1071" w:type="dxa"/>
            <w:tcBorders>
              <w:top w:val="single" w:color="auto" w:sz="2" w:space="0"/>
              <w:left w:val="single" w:color="auto" w:sz="2" w:space="0"/>
              <w:bottom w:val="single" w:color="auto" w:sz="2" w:space="0"/>
              <w:right w:val="single" w:color="auto" w:sz="2" w:space="0"/>
            </w:tcBorders>
            <w:vAlign w:val="center"/>
          </w:tcPr>
          <w:p w14:paraId="52EE4B5F">
            <w:pPr>
              <w:spacing w:line="240" w:lineRule="exact"/>
              <w:jc w:val="right"/>
              <w:rPr>
                <w:rFonts w:ascii="宋体" w:hAnsi="宋体" w:eastAsia="宋体" w:cs="宋体"/>
                <w:sz w:val="18"/>
                <w:szCs w:val="18"/>
              </w:rPr>
            </w:pPr>
            <w:r>
              <w:rPr>
                <w:rFonts w:ascii="宋体" w:hAnsi="宋体" w:eastAsia="宋体" w:cs="宋体"/>
                <w:sz w:val="18"/>
                <w:szCs w:val="18"/>
              </w:rPr>
              <w:t>199,494.26</w:t>
            </w:r>
          </w:p>
        </w:tc>
        <w:tc>
          <w:tcPr>
            <w:tcW w:w="1071" w:type="dxa"/>
            <w:tcBorders>
              <w:top w:val="single" w:color="auto" w:sz="2" w:space="0"/>
              <w:left w:val="single" w:color="auto" w:sz="2" w:space="0"/>
              <w:bottom w:val="single" w:color="auto" w:sz="2" w:space="0"/>
              <w:right w:val="single" w:color="auto" w:sz="2" w:space="0"/>
            </w:tcBorders>
            <w:vAlign w:val="center"/>
          </w:tcPr>
          <w:p w14:paraId="2DBE988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7BBDA8E">
            <w:pPr>
              <w:spacing w:line="240" w:lineRule="exact"/>
              <w:jc w:val="right"/>
              <w:rPr>
                <w:rFonts w:ascii="宋体" w:hAnsi="宋体" w:eastAsia="宋体" w:cs="宋体"/>
                <w:sz w:val="18"/>
                <w:szCs w:val="18"/>
              </w:rPr>
            </w:pPr>
            <w:r>
              <w:rPr>
                <w:rFonts w:ascii="宋体" w:hAnsi="宋体" w:eastAsia="宋体" w:cs="宋体"/>
                <w:sz w:val="18"/>
                <w:szCs w:val="18"/>
              </w:rPr>
              <w:t>6,428,047.30</w:t>
            </w:r>
          </w:p>
        </w:tc>
      </w:tr>
    </w:tbl>
    <w:p w14:paraId="6F6268A7">
      <w:pPr>
        <w:spacing w:before="100" w:after="100" w:line="240" w:lineRule="exact"/>
        <w:rPr>
          <w:rFonts w:ascii="宋体" w:hAnsi="宋体" w:eastAsia="宋体" w:cs="宋体"/>
          <w:sz w:val="18"/>
          <w:szCs w:val="18"/>
        </w:rPr>
      </w:pPr>
      <w:r>
        <w:rPr>
          <w:rFonts w:ascii="宋体" w:hAnsi="宋体" w:eastAsia="宋体" w:cs="宋体"/>
          <w:sz w:val="18"/>
          <w:szCs w:val="18"/>
        </w:rPr>
        <w:t>报告期内公司主要资产计量属性是否发生重大变化</w:t>
      </w:r>
    </w:p>
    <w:p w14:paraId="7E7402D9">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2E09BFC9">
      <w:pPr>
        <w:pStyle w:val="3"/>
        <w:spacing w:line="280" w:lineRule="exact"/>
        <w:jc w:val="left"/>
        <w:rPr>
          <w:rFonts w:ascii="宋体" w:hAnsi="宋体" w:cs="宋体"/>
          <w:b/>
          <w:bCs/>
        </w:rPr>
      </w:pPr>
      <w:bookmarkStart w:id="44" w:name="_Toc988933"/>
      <w:r>
        <w:rPr>
          <w:rFonts w:ascii="宋体" w:hAnsi="宋体" w:cs="宋体"/>
          <w:b/>
          <w:bCs/>
        </w:rPr>
        <w:t>3、截至报告期末的资产权利受限情况</w:t>
      </w:r>
      <w:bookmarkEnd w:id="44"/>
    </w:p>
    <w:tbl>
      <w:tblPr>
        <w:tblStyle w:val="10"/>
        <w:tblW w:w="9654" w:type="dxa"/>
        <w:tblCaption w:val="D:\大华\华孚\2025年度\TB及报告|0-合并TB-华孚时尚股份有限公司-2025年度.xlsx|W附注模板|_jds280|0|desc|||0|1"/>
        <w:tblInd w:w="0" w:type="dxa"/>
        <w:tblLayout w:type="fixed"/>
        <w:tblCellMar>
          <w:top w:w="0" w:type="dxa"/>
          <w:left w:w="0" w:type="dxa"/>
          <w:bottom w:w="0" w:type="dxa"/>
          <w:right w:w="0" w:type="dxa"/>
        </w:tblCellMar>
      </w:tblPr>
      <w:tblGrid>
        <w:gridCol w:w="1433"/>
        <w:gridCol w:w="2410"/>
        <w:gridCol w:w="3260"/>
        <w:gridCol w:w="2551"/>
      </w:tblGrid>
      <w:tr w14:paraId="7B90DA16">
        <w:tblPrEx>
          <w:tblCellMar>
            <w:top w:w="0" w:type="dxa"/>
            <w:left w:w="0" w:type="dxa"/>
            <w:bottom w:w="0" w:type="dxa"/>
            <w:right w:w="0" w:type="dxa"/>
          </w:tblCellMar>
        </w:tblPrEx>
        <w:trPr>
          <w:cantSplit/>
          <w:trHeight w:val="465" w:hRule="atLeast"/>
        </w:trPr>
        <w:tc>
          <w:tcPr>
            <w:tcW w:w="1433"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14:paraId="17555980">
            <w:pPr>
              <w:jc w:val="center"/>
              <w:rPr>
                <w:rFonts w:ascii="宋体" w:hAnsi="宋体" w:eastAsia="宋体" w:cs="宋体"/>
                <w:sz w:val="18"/>
                <w:szCs w:val="18"/>
              </w:rPr>
            </w:pPr>
            <w:r>
              <w:rPr>
                <w:rFonts w:hint="eastAsia"/>
                <w:sz w:val="18"/>
                <w:szCs w:val="18"/>
              </w:rPr>
              <w:t> 项目 </w:t>
            </w:r>
          </w:p>
        </w:tc>
        <w:tc>
          <w:tcPr>
            <w:tcW w:w="2410"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38ABC9E9">
            <w:pPr>
              <w:jc w:val="center"/>
              <w:rPr>
                <w:rFonts w:ascii="宋体" w:hAnsi="宋体" w:eastAsia="宋体" w:cs="宋体"/>
                <w:sz w:val="18"/>
                <w:szCs w:val="18"/>
              </w:rPr>
            </w:pPr>
            <w:r>
              <w:rPr>
                <w:rFonts w:hint="eastAsia"/>
                <w:sz w:val="18"/>
                <w:szCs w:val="18"/>
              </w:rPr>
              <w:t> 期末账面余额 </w:t>
            </w:r>
          </w:p>
        </w:tc>
        <w:tc>
          <w:tcPr>
            <w:tcW w:w="3260"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143755CD">
            <w:pPr>
              <w:jc w:val="center"/>
              <w:rPr>
                <w:rFonts w:ascii="宋体" w:hAnsi="宋体" w:eastAsia="宋体" w:cs="宋体"/>
                <w:sz w:val="18"/>
                <w:szCs w:val="18"/>
              </w:rPr>
            </w:pPr>
            <w:r>
              <w:rPr>
                <w:rFonts w:hint="eastAsia"/>
                <w:sz w:val="18"/>
                <w:szCs w:val="18"/>
              </w:rPr>
              <w:t> 期末账面价值 </w:t>
            </w:r>
          </w:p>
        </w:tc>
        <w:tc>
          <w:tcPr>
            <w:tcW w:w="2551"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7A368775">
            <w:pPr>
              <w:jc w:val="center"/>
              <w:rPr>
                <w:rFonts w:ascii="宋体" w:hAnsi="宋体" w:eastAsia="宋体" w:cs="宋体"/>
                <w:sz w:val="18"/>
                <w:szCs w:val="18"/>
              </w:rPr>
            </w:pPr>
            <w:r>
              <w:rPr>
                <w:rFonts w:hint="eastAsia"/>
                <w:sz w:val="18"/>
                <w:szCs w:val="18"/>
              </w:rPr>
              <w:t> 受限情况 </w:t>
            </w:r>
          </w:p>
        </w:tc>
      </w:tr>
      <w:tr w14:paraId="30E382C8">
        <w:tblPrEx>
          <w:tblCellMar>
            <w:top w:w="0" w:type="dxa"/>
            <w:left w:w="0" w:type="dxa"/>
            <w:bottom w:w="0" w:type="dxa"/>
            <w:right w:w="0" w:type="dxa"/>
          </w:tblCellMar>
        </w:tblPrEx>
        <w:trPr>
          <w:cantSplit/>
          <w:trHeight w:val="330" w:hRule="atLeast"/>
        </w:trPr>
        <w:tc>
          <w:tcPr>
            <w:tcW w:w="1433"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4149AD11">
            <w:pPr>
              <w:rPr>
                <w:rFonts w:ascii="宋体" w:hAnsi="宋体" w:eastAsia="宋体" w:cs="宋体"/>
                <w:sz w:val="18"/>
                <w:szCs w:val="18"/>
              </w:rPr>
            </w:pPr>
            <w:r>
              <w:rPr>
                <w:rFonts w:hint="eastAsia"/>
                <w:sz w:val="18"/>
                <w:szCs w:val="18"/>
              </w:rPr>
              <w:t> 货币资金 </w:t>
            </w:r>
          </w:p>
        </w:tc>
        <w:tc>
          <w:tcPr>
            <w:tcW w:w="2410" w:type="dxa"/>
            <w:tcBorders>
              <w:top w:val="nil"/>
              <w:left w:val="nil"/>
              <w:bottom w:val="single" w:color="auto" w:sz="8" w:space="0"/>
              <w:right w:val="single" w:color="auto" w:sz="8" w:space="0"/>
            </w:tcBorders>
            <w:tcMar>
              <w:top w:w="15" w:type="dxa"/>
              <w:left w:w="15" w:type="dxa"/>
              <w:bottom w:w="0" w:type="dxa"/>
              <w:right w:w="15" w:type="dxa"/>
            </w:tcMar>
            <w:vAlign w:val="center"/>
          </w:tcPr>
          <w:p w14:paraId="127881A0">
            <w:pPr>
              <w:spacing w:line="240" w:lineRule="exact"/>
              <w:jc w:val="right"/>
              <w:rPr>
                <w:rFonts w:ascii="宋体" w:hAnsi="宋体" w:eastAsia="宋体" w:cs="宋体"/>
                <w:sz w:val="18"/>
                <w:szCs w:val="18"/>
              </w:rPr>
            </w:pPr>
            <w:r>
              <w:rPr>
                <w:rFonts w:ascii="宋体" w:hAnsi="宋体" w:eastAsia="宋体" w:cs="宋体"/>
                <w:sz w:val="18"/>
                <w:szCs w:val="18"/>
              </w:rPr>
              <w:t>465,979,066.84</w:t>
            </w:r>
          </w:p>
        </w:tc>
        <w:tc>
          <w:tcPr>
            <w:tcW w:w="3260" w:type="dxa"/>
            <w:tcBorders>
              <w:top w:val="nil"/>
              <w:left w:val="nil"/>
              <w:bottom w:val="single" w:color="auto" w:sz="8" w:space="0"/>
              <w:right w:val="single" w:color="auto" w:sz="8" w:space="0"/>
            </w:tcBorders>
            <w:tcMar>
              <w:top w:w="15" w:type="dxa"/>
              <w:left w:w="15" w:type="dxa"/>
              <w:bottom w:w="0" w:type="dxa"/>
              <w:right w:w="15" w:type="dxa"/>
            </w:tcMar>
            <w:vAlign w:val="center"/>
          </w:tcPr>
          <w:p w14:paraId="34650CD6">
            <w:pPr>
              <w:spacing w:line="240" w:lineRule="exact"/>
              <w:jc w:val="right"/>
              <w:rPr>
                <w:rFonts w:ascii="宋体" w:hAnsi="宋体" w:eastAsia="宋体" w:cs="宋体"/>
                <w:sz w:val="18"/>
                <w:szCs w:val="18"/>
              </w:rPr>
            </w:pPr>
            <w:r>
              <w:rPr>
                <w:rFonts w:ascii="宋体" w:hAnsi="宋体" w:eastAsia="宋体" w:cs="宋体"/>
                <w:sz w:val="18"/>
                <w:szCs w:val="18"/>
              </w:rPr>
              <w:t>465,979,066.84</w:t>
            </w:r>
          </w:p>
        </w:tc>
        <w:tc>
          <w:tcPr>
            <w:tcW w:w="2551" w:type="dxa"/>
            <w:tcBorders>
              <w:top w:val="nil"/>
              <w:left w:val="nil"/>
              <w:bottom w:val="single" w:color="auto" w:sz="8" w:space="0"/>
              <w:right w:val="single" w:color="auto" w:sz="8" w:space="0"/>
            </w:tcBorders>
            <w:tcMar>
              <w:top w:w="15" w:type="dxa"/>
              <w:left w:w="15" w:type="dxa"/>
              <w:bottom w:w="0" w:type="dxa"/>
              <w:right w:w="15" w:type="dxa"/>
            </w:tcMar>
            <w:vAlign w:val="center"/>
          </w:tcPr>
          <w:p w14:paraId="6F2D54BC">
            <w:pPr>
              <w:jc w:val="right"/>
              <w:rPr>
                <w:rFonts w:ascii="Arial Narrow" w:hAnsi="Arial Narrow" w:eastAsia="宋体" w:cs="宋体"/>
                <w:sz w:val="18"/>
                <w:szCs w:val="18"/>
              </w:rPr>
            </w:pPr>
            <w:r>
              <w:rPr>
                <w:rFonts w:ascii="Arial Narrow" w:hAnsi="Arial Narrow"/>
                <w:sz w:val="18"/>
                <w:szCs w:val="18"/>
              </w:rPr>
              <w:t> 票据及借款等保证金  </w:t>
            </w:r>
          </w:p>
        </w:tc>
      </w:tr>
      <w:tr w14:paraId="3FE2E615">
        <w:tblPrEx>
          <w:tblCellMar>
            <w:top w:w="0" w:type="dxa"/>
            <w:left w:w="0" w:type="dxa"/>
            <w:bottom w:w="0" w:type="dxa"/>
            <w:right w:w="0" w:type="dxa"/>
          </w:tblCellMar>
        </w:tblPrEx>
        <w:trPr>
          <w:cantSplit/>
          <w:trHeight w:val="360" w:hRule="atLeast"/>
        </w:trPr>
        <w:tc>
          <w:tcPr>
            <w:tcW w:w="1433"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4B713EC7">
            <w:pPr>
              <w:rPr>
                <w:rFonts w:ascii="宋体" w:hAnsi="宋体" w:eastAsia="宋体" w:cs="宋体"/>
                <w:sz w:val="18"/>
                <w:szCs w:val="18"/>
              </w:rPr>
            </w:pPr>
            <w:r>
              <w:rPr>
                <w:rFonts w:hint="eastAsia"/>
                <w:sz w:val="18"/>
                <w:szCs w:val="18"/>
              </w:rPr>
              <w:t> 应收票据 </w:t>
            </w:r>
          </w:p>
        </w:tc>
        <w:tc>
          <w:tcPr>
            <w:tcW w:w="2410" w:type="dxa"/>
            <w:tcBorders>
              <w:top w:val="nil"/>
              <w:left w:val="nil"/>
              <w:bottom w:val="single" w:color="auto" w:sz="8" w:space="0"/>
              <w:right w:val="single" w:color="auto" w:sz="8" w:space="0"/>
            </w:tcBorders>
            <w:tcMar>
              <w:top w:w="15" w:type="dxa"/>
              <w:left w:w="15" w:type="dxa"/>
              <w:bottom w:w="0" w:type="dxa"/>
              <w:right w:w="15" w:type="dxa"/>
            </w:tcMar>
            <w:vAlign w:val="center"/>
          </w:tcPr>
          <w:p w14:paraId="211E406A">
            <w:pPr>
              <w:spacing w:line="240" w:lineRule="exact"/>
              <w:jc w:val="right"/>
              <w:rPr>
                <w:rFonts w:ascii="宋体" w:hAnsi="宋体" w:eastAsia="宋体" w:cs="宋体"/>
                <w:sz w:val="18"/>
                <w:szCs w:val="18"/>
              </w:rPr>
            </w:pPr>
            <w:r>
              <w:rPr>
                <w:rFonts w:ascii="宋体" w:hAnsi="宋体" w:eastAsia="宋体" w:cs="宋体"/>
                <w:sz w:val="18"/>
                <w:szCs w:val="18"/>
              </w:rPr>
              <w:t>25,946,028.76</w:t>
            </w:r>
          </w:p>
        </w:tc>
        <w:tc>
          <w:tcPr>
            <w:tcW w:w="3260" w:type="dxa"/>
            <w:tcBorders>
              <w:top w:val="nil"/>
              <w:left w:val="nil"/>
              <w:bottom w:val="single" w:color="auto" w:sz="8" w:space="0"/>
              <w:right w:val="single" w:color="auto" w:sz="8" w:space="0"/>
            </w:tcBorders>
            <w:tcMar>
              <w:top w:w="15" w:type="dxa"/>
              <w:left w:w="15" w:type="dxa"/>
              <w:bottom w:w="0" w:type="dxa"/>
              <w:right w:w="15" w:type="dxa"/>
            </w:tcMar>
            <w:vAlign w:val="center"/>
          </w:tcPr>
          <w:p w14:paraId="6CDBED47">
            <w:pPr>
              <w:spacing w:line="240" w:lineRule="exact"/>
              <w:jc w:val="right"/>
              <w:rPr>
                <w:rFonts w:ascii="宋体" w:hAnsi="宋体" w:eastAsia="宋体" w:cs="宋体"/>
                <w:sz w:val="18"/>
                <w:szCs w:val="18"/>
              </w:rPr>
            </w:pPr>
            <w:r>
              <w:rPr>
                <w:rFonts w:ascii="宋体" w:hAnsi="宋体" w:eastAsia="宋体" w:cs="宋体"/>
                <w:sz w:val="18"/>
                <w:szCs w:val="18"/>
              </w:rPr>
              <w:t>25,946,028.76</w:t>
            </w:r>
          </w:p>
        </w:tc>
        <w:tc>
          <w:tcPr>
            <w:tcW w:w="2551" w:type="dxa"/>
            <w:tcBorders>
              <w:top w:val="nil"/>
              <w:left w:val="nil"/>
              <w:bottom w:val="single" w:color="auto" w:sz="8" w:space="0"/>
              <w:right w:val="single" w:color="auto" w:sz="8" w:space="0"/>
            </w:tcBorders>
            <w:tcMar>
              <w:top w:w="15" w:type="dxa"/>
              <w:left w:w="15" w:type="dxa"/>
              <w:bottom w:w="0" w:type="dxa"/>
              <w:right w:w="15" w:type="dxa"/>
            </w:tcMar>
            <w:vAlign w:val="center"/>
          </w:tcPr>
          <w:p w14:paraId="3B10E0FE">
            <w:pPr>
              <w:jc w:val="right"/>
              <w:rPr>
                <w:rFonts w:ascii="Arial Narrow" w:hAnsi="Arial Narrow" w:eastAsia="宋体" w:cs="宋体"/>
                <w:sz w:val="18"/>
                <w:szCs w:val="18"/>
              </w:rPr>
            </w:pPr>
            <w:r>
              <w:rPr>
                <w:rFonts w:ascii="Arial Narrow" w:hAnsi="Arial Narrow"/>
                <w:sz w:val="18"/>
                <w:szCs w:val="18"/>
              </w:rPr>
              <w:t>  应收票据质押借款  </w:t>
            </w:r>
          </w:p>
        </w:tc>
      </w:tr>
      <w:tr w14:paraId="79BF415B">
        <w:tblPrEx>
          <w:tblCellMar>
            <w:top w:w="0" w:type="dxa"/>
            <w:left w:w="0" w:type="dxa"/>
            <w:bottom w:w="0" w:type="dxa"/>
            <w:right w:w="0" w:type="dxa"/>
          </w:tblCellMar>
        </w:tblPrEx>
        <w:trPr>
          <w:cantSplit/>
          <w:trHeight w:val="270" w:hRule="atLeast"/>
        </w:trPr>
        <w:tc>
          <w:tcPr>
            <w:tcW w:w="1433"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07D61FFF">
            <w:pPr>
              <w:rPr>
                <w:rFonts w:ascii="宋体" w:hAnsi="宋体" w:eastAsia="宋体" w:cs="宋体"/>
                <w:sz w:val="18"/>
                <w:szCs w:val="18"/>
              </w:rPr>
            </w:pPr>
            <w:r>
              <w:rPr>
                <w:rFonts w:hint="eastAsia"/>
                <w:sz w:val="18"/>
                <w:szCs w:val="18"/>
              </w:rPr>
              <w:t> 固定资产 </w:t>
            </w:r>
          </w:p>
        </w:tc>
        <w:tc>
          <w:tcPr>
            <w:tcW w:w="2410" w:type="dxa"/>
            <w:tcBorders>
              <w:top w:val="nil"/>
              <w:left w:val="nil"/>
              <w:bottom w:val="single" w:color="auto" w:sz="8" w:space="0"/>
              <w:right w:val="single" w:color="auto" w:sz="8" w:space="0"/>
            </w:tcBorders>
            <w:tcMar>
              <w:top w:w="15" w:type="dxa"/>
              <w:left w:w="15" w:type="dxa"/>
              <w:bottom w:w="0" w:type="dxa"/>
              <w:right w:w="15" w:type="dxa"/>
            </w:tcMar>
            <w:vAlign w:val="center"/>
          </w:tcPr>
          <w:p w14:paraId="2582E36E">
            <w:pPr>
              <w:spacing w:line="240" w:lineRule="exact"/>
              <w:jc w:val="right"/>
              <w:rPr>
                <w:rFonts w:ascii="宋体" w:hAnsi="宋体" w:eastAsia="宋体" w:cs="宋体"/>
                <w:sz w:val="18"/>
                <w:szCs w:val="18"/>
              </w:rPr>
            </w:pPr>
            <w:r>
              <w:rPr>
                <w:rFonts w:ascii="宋体" w:hAnsi="宋体" w:eastAsia="宋体" w:cs="宋体"/>
                <w:sz w:val="18"/>
                <w:szCs w:val="18"/>
              </w:rPr>
              <w:t>2,939,782,099.74</w:t>
            </w:r>
          </w:p>
        </w:tc>
        <w:tc>
          <w:tcPr>
            <w:tcW w:w="3260" w:type="dxa"/>
            <w:tcBorders>
              <w:top w:val="nil"/>
              <w:left w:val="nil"/>
              <w:bottom w:val="single" w:color="auto" w:sz="8" w:space="0"/>
              <w:right w:val="single" w:color="auto" w:sz="8" w:space="0"/>
            </w:tcBorders>
            <w:tcMar>
              <w:top w:w="15" w:type="dxa"/>
              <w:left w:w="15" w:type="dxa"/>
              <w:bottom w:w="0" w:type="dxa"/>
              <w:right w:w="15" w:type="dxa"/>
            </w:tcMar>
            <w:vAlign w:val="center"/>
          </w:tcPr>
          <w:p w14:paraId="4C3FD639">
            <w:pPr>
              <w:spacing w:line="240" w:lineRule="exact"/>
              <w:jc w:val="right"/>
              <w:rPr>
                <w:rFonts w:ascii="宋体" w:hAnsi="宋体" w:eastAsia="宋体" w:cs="宋体"/>
                <w:sz w:val="18"/>
                <w:szCs w:val="18"/>
              </w:rPr>
            </w:pPr>
            <w:r>
              <w:rPr>
                <w:rFonts w:ascii="宋体" w:hAnsi="宋体" w:eastAsia="宋体" w:cs="宋体"/>
                <w:sz w:val="18"/>
                <w:szCs w:val="18"/>
              </w:rPr>
              <w:t>1,479,851,043.54</w:t>
            </w:r>
          </w:p>
        </w:tc>
        <w:tc>
          <w:tcPr>
            <w:tcW w:w="2551" w:type="dxa"/>
            <w:tcBorders>
              <w:top w:val="nil"/>
              <w:left w:val="nil"/>
              <w:bottom w:val="single" w:color="auto" w:sz="8" w:space="0"/>
              <w:right w:val="single" w:color="auto" w:sz="8" w:space="0"/>
            </w:tcBorders>
            <w:tcMar>
              <w:top w:w="15" w:type="dxa"/>
              <w:left w:w="15" w:type="dxa"/>
              <w:bottom w:w="0" w:type="dxa"/>
              <w:right w:w="15" w:type="dxa"/>
            </w:tcMar>
            <w:vAlign w:val="center"/>
          </w:tcPr>
          <w:p w14:paraId="6E0D68E8">
            <w:pPr>
              <w:jc w:val="right"/>
              <w:rPr>
                <w:rFonts w:ascii="Arial Narrow" w:hAnsi="Arial Narrow" w:eastAsia="宋体" w:cs="宋体"/>
                <w:sz w:val="18"/>
                <w:szCs w:val="18"/>
              </w:rPr>
            </w:pPr>
            <w:r>
              <w:rPr>
                <w:rFonts w:ascii="Arial Narrow" w:hAnsi="Arial Narrow"/>
                <w:sz w:val="18"/>
                <w:szCs w:val="18"/>
              </w:rPr>
              <w:t>  抵押贷款  </w:t>
            </w:r>
          </w:p>
        </w:tc>
      </w:tr>
      <w:tr w14:paraId="0A0F6B3D">
        <w:tblPrEx>
          <w:tblCellMar>
            <w:top w:w="0" w:type="dxa"/>
            <w:left w:w="0" w:type="dxa"/>
            <w:bottom w:w="0" w:type="dxa"/>
            <w:right w:w="0" w:type="dxa"/>
          </w:tblCellMar>
        </w:tblPrEx>
        <w:trPr>
          <w:cantSplit/>
          <w:trHeight w:val="270" w:hRule="atLeast"/>
        </w:trPr>
        <w:tc>
          <w:tcPr>
            <w:tcW w:w="1433" w:type="dxa"/>
            <w:tcBorders>
              <w:top w:val="single" w:color="auto" w:sz="2" w:space="0"/>
              <w:left w:val="single" w:color="auto" w:sz="8" w:space="0"/>
              <w:bottom w:val="single" w:color="auto" w:sz="8" w:space="0"/>
              <w:right w:val="single" w:color="auto" w:sz="8" w:space="0"/>
            </w:tcBorders>
            <w:tcMar>
              <w:top w:w="15" w:type="dxa"/>
              <w:left w:w="15" w:type="dxa"/>
              <w:bottom w:w="0" w:type="dxa"/>
              <w:right w:w="15" w:type="dxa"/>
            </w:tcMar>
            <w:vAlign w:val="center"/>
          </w:tcPr>
          <w:p w14:paraId="1AED9F38">
            <w:pPr>
              <w:rPr>
                <w:rFonts w:ascii="宋体" w:hAnsi="宋体" w:eastAsia="宋体" w:cs="宋体"/>
                <w:sz w:val="18"/>
                <w:szCs w:val="18"/>
              </w:rPr>
            </w:pPr>
            <w:r>
              <w:rPr>
                <w:rFonts w:hint="eastAsia"/>
                <w:sz w:val="18"/>
                <w:szCs w:val="18"/>
              </w:rPr>
              <w:t> 无形资产 </w:t>
            </w:r>
          </w:p>
        </w:tc>
        <w:tc>
          <w:tcPr>
            <w:tcW w:w="2410" w:type="dxa"/>
            <w:tcBorders>
              <w:top w:val="single" w:color="auto" w:sz="2" w:space="0"/>
              <w:left w:val="nil"/>
              <w:bottom w:val="single" w:color="auto" w:sz="8" w:space="0"/>
              <w:right w:val="single" w:color="auto" w:sz="8" w:space="0"/>
            </w:tcBorders>
            <w:tcMar>
              <w:top w:w="15" w:type="dxa"/>
              <w:left w:w="15" w:type="dxa"/>
              <w:bottom w:w="0" w:type="dxa"/>
              <w:right w:w="15" w:type="dxa"/>
            </w:tcMar>
            <w:vAlign w:val="center"/>
          </w:tcPr>
          <w:p w14:paraId="7A040F0F">
            <w:pPr>
              <w:spacing w:line="240" w:lineRule="exact"/>
              <w:jc w:val="right"/>
              <w:rPr>
                <w:rFonts w:ascii="宋体" w:hAnsi="宋体" w:eastAsia="宋体" w:cs="宋体"/>
                <w:sz w:val="18"/>
                <w:szCs w:val="18"/>
              </w:rPr>
            </w:pPr>
            <w:r>
              <w:rPr>
                <w:rFonts w:ascii="宋体" w:hAnsi="宋体" w:eastAsia="宋体" w:cs="宋体"/>
                <w:sz w:val="18"/>
                <w:szCs w:val="18"/>
              </w:rPr>
              <w:t>78,724,892.24</w:t>
            </w:r>
          </w:p>
        </w:tc>
        <w:tc>
          <w:tcPr>
            <w:tcW w:w="3260" w:type="dxa"/>
            <w:tcBorders>
              <w:top w:val="single" w:color="auto" w:sz="2" w:space="0"/>
              <w:left w:val="nil"/>
              <w:bottom w:val="single" w:color="auto" w:sz="8" w:space="0"/>
              <w:right w:val="single" w:color="auto" w:sz="8" w:space="0"/>
            </w:tcBorders>
            <w:tcMar>
              <w:top w:w="15" w:type="dxa"/>
              <w:left w:w="15" w:type="dxa"/>
              <w:bottom w:w="0" w:type="dxa"/>
              <w:right w:w="15" w:type="dxa"/>
            </w:tcMar>
            <w:vAlign w:val="center"/>
          </w:tcPr>
          <w:p w14:paraId="135272C7">
            <w:pPr>
              <w:spacing w:line="240" w:lineRule="exact"/>
              <w:jc w:val="right"/>
              <w:rPr>
                <w:rFonts w:ascii="宋体" w:hAnsi="宋体" w:eastAsia="宋体" w:cs="宋体"/>
                <w:sz w:val="18"/>
                <w:szCs w:val="18"/>
              </w:rPr>
            </w:pPr>
            <w:r>
              <w:rPr>
                <w:rFonts w:ascii="宋体" w:hAnsi="宋体" w:eastAsia="宋体" w:cs="宋体"/>
                <w:sz w:val="18"/>
                <w:szCs w:val="18"/>
              </w:rPr>
              <w:t>58,580,082.77</w:t>
            </w:r>
          </w:p>
        </w:tc>
        <w:tc>
          <w:tcPr>
            <w:tcW w:w="2551" w:type="dxa"/>
            <w:tcBorders>
              <w:top w:val="single" w:color="auto" w:sz="2" w:space="0"/>
              <w:left w:val="nil"/>
              <w:bottom w:val="single" w:color="auto" w:sz="8" w:space="0"/>
              <w:right w:val="single" w:color="auto" w:sz="8" w:space="0"/>
            </w:tcBorders>
            <w:tcMar>
              <w:top w:w="15" w:type="dxa"/>
              <w:left w:w="15" w:type="dxa"/>
              <w:bottom w:w="0" w:type="dxa"/>
              <w:right w:w="15" w:type="dxa"/>
            </w:tcMar>
            <w:vAlign w:val="center"/>
          </w:tcPr>
          <w:p w14:paraId="48F0393C">
            <w:pPr>
              <w:jc w:val="right"/>
              <w:rPr>
                <w:rFonts w:ascii="Arial Narrow" w:hAnsi="Arial Narrow" w:eastAsia="宋体" w:cs="宋体"/>
                <w:sz w:val="18"/>
                <w:szCs w:val="18"/>
              </w:rPr>
            </w:pPr>
            <w:r>
              <w:rPr>
                <w:rFonts w:ascii="Arial Narrow" w:hAnsi="Arial Narrow"/>
                <w:sz w:val="18"/>
                <w:szCs w:val="18"/>
              </w:rPr>
              <w:t>  抵押贷款  </w:t>
            </w:r>
          </w:p>
        </w:tc>
      </w:tr>
      <w:tr w14:paraId="7D116834">
        <w:tblPrEx>
          <w:tblCellMar>
            <w:top w:w="0" w:type="dxa"/>
            <w:left w:w="0" w:type="dxa"/>
            <w:bottom w:w="0" w:type="dxa"/>
            <w:right w:w="0" w:type="dxa"/>
          </w:tblCellMar>
        </w:tblPrEx>
        <w:trPr>
          <w:cantSplit/>
          <w:trHeight w:val="285" w:hRule="atLeast"/>
        </w:trPr>
        <w:tc>
          <w:tcPr>
            <w:tcW w:w="1433" w:type="dxa"/>
            <w:tcBorders>
              <w:top w:val="single" w:color="auto" w:sz="2" w:space="0"/>
              <w:left w:val="single" w:color="auto" w:sz="8" w:space="0"/>
              <w:bottom w:val="single" w:color="auto" w:sz="8" w:space="0"/>
              <w:right w:val="single" w:color="auto" w:sz="8" w:space="0"/>
            </w:tcBorders>
            <w:tcMar>
              <w:top w:w="15" w:type="dxa"/>
              <w:left w:w="15" w:type="dxa"/>
              <w:bottom w:w="0" w:type="dxa"/>
              <w:right w:w="15" w:type="dxa"/>
            </w:tcMar>
            <w:vAlign w:val="center"/>
          </w:tcPr>
          <w:p w14:paraId="4C210F68">
            <w:pPr>
              <w:jc w:val="center"/>
              <w:rPr>
                <w:rFonts w:ascii="宋体" w:hAnsi="宋体" w:eastAsia="宋体" w:cs="宋体"/>
                <w:sz w:val="18"/>
                <w:szCs w:val="18"/>
              </w:rPr>
            </w:pPr>
            <w:r>
              <w:rPr>
                <w:rFonts w:hint="eastAsia"/>
                <w:sz w:val="18"/>
                <w:szCs w:val="18"/>
              </w:rPr>
              <w:t> 合计 </w:t>
            </w:r>
          </w:p>
        </w:tc>
        <w:tc>
          <w:tcPr>
            <w:tcW w:w="2410" w:type="dxa"/>
            <w:tcBorders>
              <w:top w:val="single" w:color="auto" w:sz="2" w:space="0"/>
              <w:left w:val="nil"/>
              <w:bottom w:val="single" w:color="auto" w:sz="8" w:space="0"/>
              <w:right w:val="single" w:color="auto" w:sz="8" w:space="0"/>
            </w:tcBorders>
            <w:tcMar>
              <w:top w:w="15" w:type="dxa"/>
              <w:left w:w="15" w:type="dxa"/>
              <w:bottom w:w="0" w:type="dxa"/>
              <w:right w:w="15" w:type="dxa"/>
            </w:tcMar>
            <w:vAlign w:val="center"/>
          </w:tcPr>
          <w:p w14:paraId="04FFC19D">
            <w:pPr>
              <w:spacing w:line="240" w:lineRule="exact"/>
              <w:jc w:val="right"/>
              <w:rPr>
                <w:rFonts w:ascii="宋体" w:hAnsi="宋体" w:eastAsia="宋体" w:cs="宋体"/>
                <w:sz w:val="18"/>
                <w:szCs w:val="18"/>
              </w:rPr>
            </w:pPr>
            <w:r>
              <w:rPr>
                <w:rFonts w:ascii="宋体" w:hAnsi="宋体" w:eastAsia="宋体" w:cs="宋体"/>
                <w:sz w:val="18"/>
                <w:szCs w:val="18"/>
              </w:rPr>
              <w:t>    3,510,432,087.58</w:t>
            </w:r>
          </w:p>
        </w:tc>
        <w:tc>
          <w:tcPr>
            <w:tcW w:w="3260" w:type="dxa"/>
            <w:tcBorders>
              <w:top w:val="single" w:color="auto" w:sz="2" w:space="0"/>
              <w:left w:val="nil"/>
              <w:bottom w:val="single" w:color="auto" w:sz="8" w:space="0"/>
              <w:right w:val="single" w:color="auto" w:sz="8" w:space="0"/>
            </w:tcBorders>
            <w:tcMar>
              <w:top w:w="15" w:type="dxa"/>
              <w:left w:w="15" w:type="dxa"/>
              <w:bottom w:w="0" w:type="dxa"/>
              <w:right w:w="15" w:type="dxa"/>
            </w:tcMar>
            <w:vAlign w:val="center"/>
          </w:tcPr>
          <w:p w14:paraId="3EBE4E84">
            <w:pPr>
              <w:spacing w:line="240" w:lineRule="exact"/>
              <w:jc w:val="right"/>
              <w:rPr>
                <w:rFonts w:ascii="宋体" w:hAnsi="宋体" w:eastAsia="宋体" w:cs="宋体"/>
                <w:sz w:val="18"/>
                <w:szCs w:val="18"/>
              </w:rPr>
            </w:pPr>
            <w:r>
              <w:rPr>
                <w:rFonts w:ascii="宋体" w:hAnsi="宋体" w:eastAsia="宋体" w:cs="宋体"/>
                <w:sz w:val="18"/>
                <w:szCs w:val="18"/>
              </w:rPr>
              <w:t>    2,030,356,221.91</w:t>
            </w:r>
          </w:p>
        </w:tc>
        <w:tc>
          <w:tcPr>
            <w:tcW w:w="2551" w:type="dxa"/>
            <w:tcBorders>
              <w:top w:val="single" w:color="auto" w:sz="2" w:space="0"/>
              <w:left w:val="nil"/>
              <w:bottom w:val="single" w:color="auto" w:sz="8" w:space="0"/>
              <w:right w:val="single" w:color="auto" w:sz="8" w:space="0"/>
            </w:tcBorders>
            <w:tcMar>
              <w:top w:w="15" w:type="dxa"/>
              <w:left w:w="15" w:type="dxa"/>
              <w:bottom w:w="0" w:type="dxa"/>
              <w:right w:w="15" w:type="dxa"/>
            </w:tcMar>
            <w:vAlign w:val="center"/>
          </w:tcPr>
          <w:p w14:paraId="483A72E0">
            <w:pPr>
              <w:spacing w:line="240" w:lineRule="exact"/>
              <w:rPr>
                <w:rFonts w:ascii="宋体" w:hAnsi="宋体" w:eastAsia="宋体" w:cs="宋体"/>
                <w:sz w:val="18"/>
                <w:szCs w:val="18"/>
              </w:rPr>
            </w:pPr>
            <w:r>
              <w:rPr>
                <w:rFonts w:ascii="宋体" w:hAnsi="宋体" w:eastAsia="宋体" w:cs="宋体"/>
                <w:sz w:val="18"/>
                <w:szCs w:val="18"/>
              </w:rPr>
              <w:t>　</w:t>
            </w:r>
          </w:p>
        </w:tc>
      </w:tr>
    </w:tbl>
    <w:p w14:paraId="18EE734E">
      <w:pPr>
        <w:pStyle w:val="2"/>
        <w:spacing w:before="300" w:after="300" w:line="320" w:lineRule="exact"/>
        <w:rPr>
          <w:rFonts w:ascii="宋体" w:hAnsi="宋体" w:eastAsia="宋体" w:cs="宋体"/>
          <w:b/>
          <w:bCs/>
          <w:sz w:val="24"/>
          <w:szCs w:val="24"/>
        </w:rPr>
      </w:pPr>
      <w:bookmarkStart w:id="45" w:name="_Toc988934"/>
      <w:r>
        <w:rPr>
          <w:rFonts w:ascii="宋体" w:hAnsi="宋体" w:eastAsia="宋体" w:cs="宋体"/>
          <w:b/>
          <w:bCs/>
          <w:sz w:val="24"/>
          <w:szCs w:val="24"/>
        </w:rPr>
        <w:t>七、投资状况分析</w:t>
      </w:r>
      <w:bookmarkEnd w:id="45"/>
    </w:p>
    <w:p w14:paraId="1D8183A0">
      <w:pPr>
        <w:pStyle w:val="3"/>
        <w:spacing w:line="280" w:lineRule="exact"/>
        <w:jc w:val="left"/>
        <w:rPr>
          <w:rFonts w:ascii="宋体" w:hAnsi="宋体" w:cs="宋体"/>
          <w:b/>
          <w:bCs/>
        </w:rPr>
      </w:pPr>
      <w:bookmarkStart w:id="46" w:name="_Toc988935"/>
      <w:r>
        <w:rPr>
          <w:rFonts w:ascii="宋体" w:hAnsi="宋体" w:cs="宋体"/>
          <w:b/>
          <w:bCs/>
        </w:rPr>
        <w:t>1、总体情况</w:t>
      </w:r>
      <w:bookmarkEnd w:id="46"/>
    </w:p>
    <w:p w14:paraId="5BA1B0C7">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03A383A">
      <w:pPr>
        <w:pStyle w:val="3"/>
        <w:spacing w:line="280" w:lineRule="exact"/>
        <w:jc w:val="left"/>
        <w:rPr>
          <w:rFonts w:ascii="宋体" w:hAnsi="宋体" w:cs="宋体"/>
          <w:b/>
          <w:bCs/>
        </w:rPr>
      </w:pPr>
      <w:bookmarkStart w:id="47" w:name="_Toc988936"/>
      <w:r>
        <w:rPr>
          <w:rFonts w:ascii="宋体" w:hAnsi="宋体" w:cs="宋体"/>
          <w:b/>
          <w:bCs/>
        </w:rPr>
        <w:t>2、报告期内获取的重大的股权投资情况</w:t>
      </w:r>
      <w:bookmarkEnd w:id="47"/>
    </w:p>
    <w:p w14:paraId="0460AB5C">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F702E3A">
      <w:pPr>
        <w:pStyle w:val="3"/>
        <w:spacing w:line="280" w:lineRule="exact"/>
        <w:jc w:val="left"/>
        <w:rPr>
          <w:rFonts w:ascii="宋体" w:hAnsi="宋体" w:cs="宋体"/>
          <w:b/>
          <w:bCs/>
        </w:rPr>
      </w:pPr>
      <w:bookmarkStart w:id="48" w:name="_Toc988937"/>
      <w:r>
        <w:rPr>
          <w:rFonts w:ascii="宋体" w:hAnsi="宋体" w:cs="宋体"/>
          <w:b/>
          <w:bCs/>
        </w:rPr>
        <w:t>3、报告期内正在进行的重大的非股权投资情况</w:t>
      </w:r>
      <w:bookmarkEnd w:id="48"/>
    </w:p>
    <w:p w14:paraId="0EF4F320">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9F1F02A">
      <w:pPr>
        <w:pStyle w:val="3"/>
        <w:spacing w:line="280" w:lineRule="exact"/>
        <w:jc w:val="left"/>
        <w:rPr>
          <w:rFonts w:ascii="宋体" w:hAnsi="宋体" w:cs="宋体"/>
          <w:b/>
          <w:bCs/>
        </w:rPr>
      </w:pPr>
      <w:bookmarkStart w:id="49" w:name="_Toc988938"/>
      <w:r>
        <w:rPr>
          <w:rFonts w:ascii="宋体" w:hAnsi="宋体" w:cs="宋体"/>
          <w:b/>
          <w:bCs/>
        </w:rPr>
        <w:t>4、金融资产投资</w:t>
      </w:r>
      <w:bookmarkEnd w:id="49"/>
    </w:p>
    <w:p w14:paraId="7764AED7">
      <w:pPr>
        <w:keepNext/>
        <w:keepLines/>
        <w:spacing w:before="300" w:after="300" w:line="280" w:lineRule="exact"/>
        <w:outlineLvl w:val="3"/>
        <w:rPr>
          <w:rFonts w:ascii="宋体" w:hAnsi="宋体" w:eastAsia="宋体" w:cs="宋体"/>
          <w:b/>
          <w:bCs/>
          <w:sz w:val="18"/>
          <w:szCs w:val="18"/>
        </w:rPr>
      </w:pPr>
      <w:bookmarkStart w:id="50" w:name="_Toc988939"/>
      <w:r>
        <w:rPr>
          <w:rFonts w:ascii="宋体" w:hAnsi="宋体" w:eastAsia="宋体" w:cs="宋体"/>
          <w:b/>
          <w:bCs/>
          <w:sz w:val="18"/>
          <w:szCs w:val="18"/>
        </w:rPr>
        <w:t>（1） 证券投资情况</w:t>
      </w:r>
      <w:bookmarkEnd w:id="50"/>
    </w:p>
    <w:p w14:paraId="31F03D82">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8722AE7">
      <w:pPr>
        <w:spacing w:before="40" w:after="40" w:line="240" w:lineRule="exact"/>
        <w:rPr>
          <w:rFonts w:ascii="宋体" w:hAnsi="宋体" w:eastAsia="宋体" w:cs="宋体"/>
          <w:sz w:val="18"/>
          <w:szCs w:val="18"/>
        </w:rPr>
      </w:pPr>
      <w:r>
        <w:rPr>
          <w:rFonts w:ascii="宋体" w:hAnsi="宋体" w:eastAsia="宋体" w:cs="宋体"/>
          <w:sz w:val="18"/>
          <w:szCs w:val="18"/>
        </w:rPr>
        <w:t>公司报告期不存在证券投资。</w:t>
      </w:r>
    </w:p>
    <w:p w14:paraId="13686CC6">
      <w:pPr>
        <w:keepNext/>
        <w:keepLines/>
        <w:spacing w:before="300" w:after="300" w:line="280" w:lineRule="exact"/>
        <w:outlineLvl w:val="3"/>
        <w:rPr>
          <w:rFonts w:ascii="宋体" w:hAnsi="宋体" w:eastAsia="宋体" w:cs="宋体"/>
          <w:b/>
          <w:bCs/>
          <w:sz w:val="18"/>
          <w:szCs w:val="18"/>
        </w:rPr>
      </w:pPr>
      <w:bookmarkStart w:id="51" w:name="_Toc988940"/>
      <w:r>
        <w:rPr>
          <w:rFonts w:ascii="宋体" w:hAnsi="宋体" w:eastAsia="宋体" w:cs="宋体"/>
          <w:b/>
          <w:bCs/>
          <w:sz w:val="18"/>
          <w:szCs w:val="18"/>
        </w:rPr>
        <w:t>（2） 衍生品投资情况</w:t>
      </w:r>
      <w:bookmarkEnd w:id="51"/>
    </w:p>
    <w:p w14:paraId="6B89093F">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1E2A6533">
      <w:pPr>
        <w:keepNext/>
        <w:keepLines/>
        <w:spacing w:before="300" w:after="300" w:line="280" w:lineRule="exact"/>
        <w:outlineLvl w:val="4"/>
        <w:rPr>
          <w:rFonts w:ascii="宋体" w:hAnsi="宋体" w:eastAsia="宋体" w:cs="宋体"/>
          <w:b/>
          <w:bCs/>
          <w:szCs w:val="21"/>
        </w:rPr>
      </w:pPr>
      <w:bookmarkStart w:id="52" w:name="_Toc988941"/>
      <w:r>
        <w:rPr>
          <w:rFonts w:ascii="宋体" w:hAnsi="宋体" w:eastAsia="宋体" w:cs="宋体"/>
          <w:b/>
          <w:bCs/>
          <w:szCs w:val="21"/>
        </w:rPr>
        <w:t>1） 报告期内以套期保值为目的的衍生品投资</w:t>
      </w:r>
      <w:bookmarkEnd w:id="52"/>
    </w:p>
    <w:p w14:paraId="42A192BA">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55EA0F91">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119"/>
        <w:gridCol w:w="1023"/>
        <w:gridCol w:w="1071"/>
        <w:gridCol w:w="1071"/>
        <w:gridCol w:w="1071"/>
        <w:gridCol w:w="1071"/>
        <w:gridCol w:w="1071"/>
      </w:tblGrid>
      <w:tr w14:paraId="13015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5315293">
            <w:pPr>
              <w:spacing w:before="40" w:after="40" w:line="240" w:lineRule="exact"/>
              <w:jc w:val="center"/>
              <w:rPr>
                <w:rFonts w:ascii="宋体" w:hAnsi="宋体" w:eastAsia="宋体" w:cs="宋体"/>
                <w:sz w:val="18"/>
                <w:szCs w:val="18"/>
              </w:rPr>
            </w:pPr>
            <w:r>
              <w:rPr>
                <w:rFonts w:ascii="宋体" w:hAnsi="宋体" w:eastAsia="宋体" w:cs="宋体"/>
                <w:sz w:val="18"/>
                <w:szCs w:val="18"/>
              </w:rPr>
              <w:t>衍生品投资类型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E3C546F">
            <w:pPr>
              <w:spacing w:before="40" w:after="40" w:line="240" w:lineRule="exact"/>
              <w:jc w:val="center"/>
              <w:rPr>
                <w:rFonts w:ascii="宋体" w:hAnsi="宋体" w:eastAsia="宋体" w:cs="宋体"/>
                <w:sz w:val="18"/>
                <w:szCs w:val="18"/>
              </w:rPr>
            </w:pPr>
            <w:r>
              <w:rPr>
                <w:rFonts w:ascii="宋体" w:hAnsi="宋体" w:eastAsia="宋体" w:cs="宋体"/>
                <w:sz w:val="18"/>
                <w:szCs w:val="18"/>
              </w:rPr>
              <w:t>初始投资金额</w:t>
            </w:r>
          </w:p>
        </w:tc>
        <w:tc>
          <w:tcPr>
            <w:tcW w:w="1119" w:type="dxa"/>
            <w:tcBorders>
              <w:top w:val="single" w:color="auto" w:sz="2" w:space="0"/>
              <w:left w:val="single" w:color="auto" w:sz="2" w:space="0"/>
              <w:bottom w:val="single" w:color="auto" w:sz="2" w:space="0"/>
              <w:right w:val="single" w:color="auto" w:sz="2" w:space="0"/>
            </w:tcBorders>
            <w:shd w:val="clear" w:color="auto" w:fill="D3D3D3"/>
            <w:vAlign w:val="center"/>
          </w:tcPr>
          <w:p w14:paraId="36388C83">
            <w:pPr>
              <w:spacing w:before="40" w:after="40" w:line="240" w:lineRule="exact"/>
              <w:jc w:val="center"/>
              <w:rPr>
                <w:rFonts w:ascii="宋体" w:hAnsi="宋体" w:eastAsia="宋体" w:cs="宋体"/>
                <w:sz w:val="18"/>
                <w:szCs w:val="18"/>
              </w:rPr>
            </w:pPr>
            <w:r>
              <w:rPr>
                <w:rFonts w:ascii="宋体" w:hAnsi="宋体" w:eastAsia="宋体" w:cs="宋体"/>
                <w:sz w:val="18"/>
                <w:szCs w:val="18"/>
              </w:rPr>
              <w:t>期初金额</w:t>
            </w:r>
          </w:p>
        </w:tc>
        <w:tc>
          <w:tcPr>
            <w:tcW w:w="1023" w:type="dxa"/>
            <w:tcBorders>
              <w:top w:val="single" w:color="auto" w:sz="2" w:space="0"/>
              <w:left w:val="single" w:color="auto" w:sz="2" w:space="0"/>
              <w:bottom w:val="single" w:color="auto" w:sz="2" w:space="0"/>
              <w:right w:val="single" w:color="auto" w:sz="2" w:space="0"/>
            </w:tcBorders>
            <w:shd w:val="clear" w:color="auto" w:fill="D3D3D3"/>
            <w:vAlign w:val="center"/>
          </w:tcPr>
          <w:p w14:paraId="6E1FF806">
            <w:pPr>
              <w:spacing w:before="40" w:after="40" w:line="240" w:lineRule="exact"/>
              <w:jc w:val="center"/>
              <w:rPr>
                <w:rFonts w:ascii="宋体" w:hAnsi="宋体" w:eastAsia="宋体" w:cs="宋体"/>
                <w:sz w:val="18"/>
                <w:szCs w:val="18"/>
              </w:rPr>
            </w:pPr>
            <w:r>
              <w:rPr>
                <w:rFonts w:ascii="宋体" w:hAnsi="宋体" w:eastAsia="宋体" w:cs="宋体"/>
                <w:sz w:val="18"/>
                <w:szCs w:val="18"/>
              </w:rPr>
              <w:t>本期公允价值变动损益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DA485C5">
            <w:pPr>
              <w:spacing w:before="40" w:after="40" w:line="240" w:lineRule="exact"/>
              <w:jc w:val="center"/>
              <w:rPr>
                <w:rFonts w:ascii="宋体" w:hAnsi="宋体" w:eastAsia="宋体" w:cs="宋体"/>
                <w:sz w:val="18"/>
                <w:szCs w:val="18"/>
              </w:rPr>
            </w:pPr>
            <w:r>
              <w:rPr>
                <w:rFonts w:ascii="宋体" w:hAnsi="宋体" w:eastAsia="宋体" w:cs="宋体"/>
                <w:sz w:val="18"/>
                <w:szCs w:val="18"/>
              </w:rPr>
              <w:t>计入权益的累计公允价值变动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C98F941">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报告期内购入金额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EE18EB7">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报告期内售出金额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A33F5BB">
            <w:pPr>
              <w:spacing w:before="40" w:after="40" w:line="240" w:lineRule="exact"/>
              <w:jc w:val="center"/>
              <w:rPr>
                <w:rFonts w:ascii="宋体" w:hAnsi="宋体" w:eastAsia="宋体" w:cs="宋体"/>
                <w:sz w:val="18"/>
                <w:szCs w:val="18"/>
              </w:rPr>
            </w:pPr>
            <w:r>
              <w:rPr>
                <w:rFonts w:ascii="宋体" w:hAnsi="宋体" w:eastAsia="宋体" w:cs="宋体"/>
                <w:sz w:val="18"/>
                <w:szCs w:val="18"/>
              </w:rPr>
              <w:t>期末金额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A35A407">
            <w:pPr>
              <w:spacing w:before="40" w:after="40" w:line="240" w:lineRule="exact"/>
              <w:jc w:val="center"/>
              <w:rPr>
                <w:rFonts w:ascii="宋体" w:hAnsi="宋体" w:eastAsia="宋体" w:cs="宋体"/>
                <w:sz w:val="18"/>
                <w:szCs w:val="18"/>
              </w:rPr>
            </w:pPr>
            <w:r>
              <w:rPr>
                <w:rFonts w:ascii="宋体" w:hAnsi="宋体" w:eastAsia="宋体" w:cs="宋体"/>
                <w:sz w:val="18"/>
                <w:szCs w:val="18"/>
              </w:rPr>
              <w:t>期末投资金额占公司报告期末净资产比例</w:t>
            </w:r>
          </w:p>
        </w:tc>
      </w:tr>
      <w:tr w14:paraId="7859E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7663E2C">
            <w:pPr>
              <w:spacing w:line="240" w:lineRule="exact"/>
              <w:rPr>
                <w:rFonts w:ascii="宋体" w:hAnsi="宋体" w:eastAsia="宋体" w:cs="宋体"/>
                <w:sz w:val="18"/>
                <w:szCs w:val="18"/>
              </w:rPr>
            </w:pPr>
            <w:r>
              <w:rPr>
                <w:rFonts w:ascii="宋体" w:hAnsi="宋体" w:eastAsia="宋体" w:cs="宋体"/>
                <w:sz w:val="18"/>
                <w:szCs w:val="18"/>
              </w:rPr>
              <w:t>期货合约</w:t>
            </w:r>
          </w:p>
        </w:tc>
        <w:tc>
          <w:tcPr>
            <w:tcW w:w="1071" w:type="dxa"/>
            <w:tcBorders>
              <w:top w:val="single" w:color="auto" w:sz="2" w:space="0"/>
              <w:left w:val="single" w:color="auto" w:sz="2" w:space="0"/>
              <w:bottom w:val="single" w:color="auto" w:sz="2" w:space="0"/>
              <w:right w:val="single" w:color="auto" w:sz="2" w:space="0"/>
            </w:tcBorders>
            <w:vAlign w:val="center"/>
          </w:tcPr>
          <w:p w14:paraId="508FE5FB">
            <w:pPr>
              <w:spacing w:line="240" w:lineRule="exact"/>
              <w:jc w:val="right"/>
              <w:rPr>
                <w:rFonts w:ascii="宋体" w:hAnsi="宋体" w:eastAsia="宋体" w:cs="宋体"/>
                <w:sz w:val="18"/>
                <w:szCs w:val="18"/>
              </w:rPr>
            </w:pPr>
            <w:r>
              <w:rPr>
                <w:rFonts w:ascii="宋体" w:hAnsi="宋体" w:eastAsia="宋体" w:cs="宋体"/>
                <w:sz w:val="18"/>
                <w:szCs w:val="18"/>
              </w:rPr>
              <w:t>10,863.13</w:t>
            </w:r>
          </w:p>
        </w:tc>
        <w:tc>
          <w:tcPr>
            <w:tcW w:w="1119" w:type="dxa"/>
            <w:tcBorders>
              <w:top w:val="single" w:color="auto" w:sz="2" w:space="0"/>
              <w:left w:val="single" w:color="auto" w:sz="2" w:space="0"/>
              <w:bottom w:val="single" w:color="auto" w:sz="2" w:space="0"/>
              <w:right w:val="single" w:color="auto" w:sz="2" w:space="0"/>
            </w:tcBorders>
            <w:vAlign w:val="center"/>
          </w:tcPr>
          <w:p w14:paraId="7F0D9476">
            <w:pPr>
              <w:spacing w:line="240" w:lineRule="exact"/>
              <w:jc w:val="right"/>
              <w:rPr>
                <w:rFonts w:ascii="宋体" w:hAnsi="宋体" w:eastAsia="宋体" w:cs="宋体"/>
                <w:sz w:val="18"/>
                <w:szCs w:val="18"/>
              </w:rPr>
            </w:pPr>
            <w:r>
              <w:rPr>
                <w:rFonts w:ascii="宋体" w:hAnsi="宋体" w:eastAsia="宋体" w:cs="宋体"/>
                <w:sz w:val="18"/>
                <w:szCs w:val="18"/>
              </w:rPr>
              <w:t>6,395.31</w:t>
            </w:r>
          </w:p>
        </w:tc>
        <w:tc>
          <w:tcPr>
            <w:tcW w:w="1023" w:type="dxa"/>
            <w:tcBorders>
              <w:top w:val="single" w:color="auto" w:sz="2" w:space="0"/>
              <w:left w:val="single" w:color="auto" w:sz="2" w:space="0"/>
              <w:bottom w:val="single" w:color="auto" w:sz="2" w:space="0"/>
              <w:right w:val="single" w:color="auto" w:sz="2" w:space="0"/>
            </w:tcBorders>
            <w:vAlign w:val="center"/>
          </w:tcPr>
          <w:p w14:paraId="3F53D5AA">
            <w:pPr>
              <w:spacing w:line="240" w:lineRule="exact"/>
              <w:jc w:val="right"/>
              <w:rPr>
                <w:rFonts w:ascii="宋体" w:hAnsi="宋体" w:eastAsia="宋体" w:cs="宋体"/>
                <w:sz w:val="18"/>
                <w:szCs w:val="18"/>
              </w:rPr>
            </w:pPr>
            <w:r>
              <w:rPr>
                <w:rFonts w:ascii="宋体" w:hAnsi="宋体" w:eastAsia="宋体" w:cs="宋体"/>
                <w:sz w:val="18"/>
                <w:szCs w:val="18"/>
              </w:rPr>
              <w:t>2,250.63</w:t>
            </w:r>
          </w:p>
        </w:tc>
        <w:tc>
          <w:tcPr>
            <w:tcW w:w="1071" w:type="dxa"/>
            <w:tcBorders>
              <w:top w:val="single" w:color="auto" w:sz="2" w:space="0"/>
              <w:left w:val="single" w:color="auto" w:sz="2" w:space="0"/>
              <w:bottom w:val="single" w:color="auto" w:sz="2" w:space="0"/>
              <w:right w:val="single" w:color="auto" w:sz="2" w:space="0"/>
            </w:tcBorders>
            <w:vAlign w:val="center"/>
          </w:tcPr>
          <w:p w14:paraId="4AC4D2BC">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3423059D">
            <w:pPr>
              <w:spacing w:line="240" w:lineRule="exact"/>
              <w:jc w:val="right"/>
              <w:rPr>
                <w:rFonts w:ascii="宋体" w:hAnsi="宋体" w:eastAsia="宋体" w:cs="宋体"/>
                <w:sz w:val="18"/>
                <w:szCs w:val="18"/>
              </w:rPr>
            </w:pPr>
            <w:r>
              <w:rPr>
                <w:rFonts w:ascii="宋体" w:hAnsi="宋体" w:eastAsia="宋体" w:cs="宋体"/>
                <w:sz w:val="18"/>
                <w:szCs w:val="18"/>
              </w:rPr>
              <w:t>24,764.83</w:t>
            </w:r>
          </w:p>
        </w:tc>
        <w:tc>
          <w:tcPr>
            <w:tcW w:w="1071" w:type="dxa"/>
            <w:tcBorders>
              <w:top w:val="single" w:color="auto" w:sz="2" w:space="0"/>
              <w:left w:val="single" w:color="auto" w:sz="2" w:space="0"/>
              <w:bottom w:val="single" w:color="auto" w:sz="2" w:space="0"/>
              <w:right w:val="single" w:color="auto" w:sz="2" w:space="0"/>
            </w:tcBorders>
            <w:vAlign w:val="center"/>
          </w:tcPr>
          <w:p w14:paraId="4A843D72">
            <w:pPr>
              <w:spacing w:line="240" w:lineRule="exact"/>
              <w:jc w:val="right"/>
              <w:rPr>
                <w:rFonts w:ascii="宋体" w:hAnsi="宋体" w:eastAsia="宋体" w:cs="宋体"/>
                <w:sz w:val="18"/>
                <w:szCs w:val="18"/>
              </w:rPr>
            </w:pPr>
            <w:r>
              <w:rPr>
                <w:rFonts w:ascii="宋体" w:hAnsi="宋体" w:eastAsia="宋体" w:cs="宋体"/>
                <w:sz w:val="18"/>
                <w:szCs w:val="18"/>
              </w:rPr>
              <w:t>28,180.88</w:t>
            </w:r>
          </w:p>
        </w:tc>
        <w:tc>
          <w:tcPr>
            <w:tcW w:w="1071" w:type="dxa"/>
            <w:tcBorders>
              <w:top w:val="single" w:color="auto" w:sz="2" w:space="0"/>
              <w:left w:val="single" w:color="auto" w:sz="2" w:space="0"/>
              <w:bottom w:val="single" w:color="auto" w:sz="2" w:space="0"/>
              <w:right w:val="single" w:color="auto" w:sz="2" w:space="0"/>
            </w:tcBorders>
            <w:vAlign w:val="center"/>
          </w:tcPr>
          <w:p w14:paraId="70E50345">
            <w:pPr>
              <w:spacing w:line="240" w:lineRule="exact"/>
              <w:jc w:val="right"/>
              <w:rPr>
                <w:rFonts w:ascii="宋体" w:hAnsi="宋体" w:eastAsia="宋体" w:cs="宋体"/>
                <w:sz w:val="18"/>
                <w:szCs w:val="18"/>
              </w:rPr>
            </w:pPr>
            <w:r>
              <w:rPr>
                <w:rFonts w:ascii="宋体" w:hAnsi="宋体" w:eastAsia="宋体" w:cs="宋体"/>
                <w:sz w:val="18"/>
                <w:szCs w:val="18"/>
              </w:rPr>
              <w:t>5,229.89</w:t>
            </w:r>
          </w:p>
        </w:tc>
        <w:tc>
          <w:tcPr>
            <w:tcW w:w="1071" w:type="dxa"/>
            <w:tcBorders>
              <w:top w:val="single" w:color="auto" w:sz="2" w:space="0"/>
              <w:left w:val="single" w:color="auto" w:sz="2" w:space="0"/>
              <w:bottom w:val="single" w:color="auto" w:sz="2" w:space="0"/>
              <w:right w:val="single" w:color="auto" w:sz="2" w:space="0"/>
            </w:tcBorders>
            <w:vAlign w:val="center"/>
          </w:tcPr>
          <w:p w14:paraId="69E9DCF7">
            <w:pPr>
              <w:spacing w:line="240" w:lineRule="exact"/>
              <w:jc w:val="right"/>
              <w:rPr>
                <w:rFonts w:ascii="宋体" w:hAnsi="宋体" w:eastAsia="宋体" w:cs="宋体"/>
                <w:sz w:val="18"/>
                <w:szCs w:val="18"/>
              </w:rPr>
            </w:pPr>
            <w:r>
              <w:rPr>
                <w:rFonts w:ascii="宋体" w:hAnsi="宋体" w:eastAsia="宋体" w:cs="宋体"/>
                <w:sz w:val="18"/>
                <w:szCs w:val="18"/>
              </w:rPr>
              <w:t>0.86%</w:t>
            </w:r>
          </w:p>
        </w:tc>
      </w:tr>
      <w:tr w14:paraId="5C99F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7921A9F">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14:paraId="3B72B2FA">
            <w:pPr>
              <w:spacing w:line="240" w:lineRule="exact"/>
              <w:jc w:val="right"/>
              <w:rPr>
                <w:rFonts w:ascii="宋体" w:hAnsi="宋体" w:eastAsia="宋体" w:cs="宋体"/>
                <w:sz w:val="18"/>
                <w:szCs w:val="18"/>
              </w:rPr>
            </w:pPr>
            <w:r>
              <w:rPr>
                <w:rFonts w:ascii="宋体" w:hAnsi="宋体" w:eastAsia="宋体" w:cs="宋体"/>
                <w:sz w:val="18"/>
                <w:szCs w:val="18"/>
              </w:rPr>
              <w:t>10,863.13</w:t>
            </w:r>
          </w:p>
        </w:tc>
        <w:tc>
          <w:tcPr>
            <w:tcW w:w="1119" w:type="dxa"/>
            <w:tcBorders>
              <w:top w:val="single" w:color="auto" w:sz="2" w:space="0"/>
              <w:left w:val="single" w:color="auto" w:sz="2" w:space="0"/>
              <w:bottom w:val="single" w:color="auto" w:sz="2" w:space="0"/>
              <w:right w:val="single" w:color="auto" w:sz="2" w:space="0"/>
            </w:tcBorders>
            <w:vAlign w:val="center"/>
          </w:tcPr>
          <w:p w14:paraId="4589B429">
            <w:pPr>
              <w:spacing w:line="240" w:lineRule="exact"/>
              <w:jc w:val="right"/>
              <w:rPr>
                <w:rFonts w:ascii="宋体" w:hAnsi="宋体" w:eastAsia="宋体" w:cs="宋体"/>
                <w:sz w:val="18"/>
                <w:szCs w:val="18"/>
              </w:rPr>
            </w:pPr>
            <w:r>
              <w:rPr>
                <w:rFonts w:ascii="宋体" w:hAnsi="宋体" w:eastAsia="宋体" w:cs="宋体"/>
                <w:sz w:val="18"/>
                <w:szCs w:val="18"/>
              </w:rPr>
              <w:t>6,395.31</w:t>
            </w:r>
          </w:p>
        </w:tc>
        <w:tc>
          <w:tcPr>
            <w:tcW w:w="1023" w:type="dxa"/>
            <w:tcBorders>
              <w:top w:val="single" w:color="auto" w:sz="2" w:space="0"/>
              <w:left w:val="single" w:color="auto" w:sz="2" w:space="0"/>
              <w:bottom w:val="single" w:color="auto" w:sz="2" w:space="0"/>
              <w:right w:val="single" w:color="auto" w:sz="2" w:space="0"/>
            </w:tcBorders>
            <w:vAlign w:val="center"/>
          </w:tcPr>
          <w:p w14:paraId="2493544C">
            <w:pPr>
              <w:spacing w:line="240" w:lineRule="exact"/>
              <w:jc w:val="right"/>
              <w:rPr>
                <w:rFonts w:ascii="宋体" w:hAnsi="宋体" w:eastAsia="宋体" w:cs="宋体"/>
                <w:sz w:val="18"/>
                <w:szCs w:val="18"/>
              </w:rPr>
            </w:pPr>
            <w:r>
              <w:rPr>
                <w:rFonts w:ascii="宋体" w:hAnsi="宋体" w:eastAsia="宋体" w:cs="宋体"/>
                <w:sz w:val="18"/>
                <w:szCs w:val="18"/>
              </w:rPr>
              <w:t>2,250.63</w:t>
            </w:r>
          </w:p>
        </w:tc>
        <w:tc>
          <w:tcPr>
            <w:tcW w:w="1071" w:type="dxa"/>
            <w:tcBorders>
              <w:top w:val="single" w:color="auto" w:sz="2" w:space="0"/>
              <w:left w:val="single" w:color="auto" w:sz="2" w:space="0"/>
              <w:bottom w:val="single" w:color="auto" w:sz="2" w:space="0"/>
              <w:right w:val="single" w:color="auto" w:sz="2" w:space="0"/>
            </w:tcBorders>
            <w:vAlign w:val="center"/>
          </w:tcPr>
          <w:p w14:paraId="0A2AC76F">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0551E22C">
            <w:pPr>
              <w:spacing w:line="240" w:lineRule="exact"/>
              <w:jc w:val="right"/>
              <w:rPr>
                <w:rFonts w:ascii="宋体" w:hAnsi="宋体" w:eastAsia="宋体" w:cs="宋体"/>
                <w:sz w:val="18"/>
                <w:szCs w:val="18"/>
              </w:rPr>
            </w:pPr>
            <w:r>
              <w:rPr>
                <w:rFonts w:ascii="宋体" w:hAnsi="宋体" w:eastAsia="宋体" w:cs="宋体"/>
                <w:sz w:val="18"/>
                <w:szCs w:val="18"/>
              </w:rPr>
              <w:t>24,764.83</w:t>
            </w:r>
          </w:p>
        </w:tc>
        <w:tc>
          <w:tcPr>
            <w:tcW w:w="1071" w:type="dxa"/>
            <w:tcBorders>
              <w:top w:val="single" w:color="auto" w:sz="2" w:space="0"/>
              <w:left w:val="single" w:color="auto" w:sz="2" w:space="0"/>
              <w:bottom w:val="single" w:color="auto" w:sz="2" w:space="0"/>
              <w:right w:val="single" w:color="auto" w:sz="2" w:space="0"/>
            </w:tcBorders>
            <w:vAlign w:val="center"/>
          </w:tcPr>
          <w:p w14:paraId="584533B1">
            <w:pPr>
              <w:spacing w:line="240" w:lineRule="exact"/>
              <w:jc w:val="right"/>
              <w:rPr>
                <w:rFonts w:ascii="宋体" w:hAnsi="宋体" w:eastAsia="宋体" w:cs="宋体"/>
                <w:sz w:val="18"/>
                <w:szCs w:val="18"/>
              </w:rPr>
            </w:pPr>
            <w:r>
              <w:rPr>
                <w:rFonts w:ascii="宋体" w:hAnsi="宋体" w:eastAsia="宋体" w:cs="宋体"/>
                <w:sz w:val="18"/>
                <w:szCs w:val="18"/>
              </w:rPr>
              <w:t>28,180.88</w:t>
            </w:r>
          </w:p>
        </w:tc>
        <w:tc>
          <w:tcPr>
            <w:tcW w:w="1071" w:type="dxa"/>
            <w:tcBorders>
              <w:top w:val="single" w:color="auto" w:sz="2" w:space="0"/>
              <w:left w:val="single" w:color="auto" w:sz="2" w:space="0"/>
              <w:bottom w:val="single" w:color="auto" w:sz="2" w:space="0"/>
              <w:right w:val="single" w:color="auto" w:sz="2" w:space="0"/>
            </w:tcBorders>
            <w:vAlign w:val="center"/>
          </w:tcPr>
          <w:p w14:paraId="4FB64509">
            <w:pPr>
              <w:spacing w:line="240" w:lineRule="exact"/>
              <w:jc w:val="right"/>
              <w:rPr>
                <w:rFonts w:ascii="宋体" w:hAnsi="宋体" w:eastAsia="宋体" w:cs="宋体"/>
                <w:sz w:val="18"/>
                <w:szCs w:val="18"/>
              </w:rPr>
            </w:pPr>
            <w:r>
              <w:rPr>
                <w:rFonts w:ascii="宋体" w:hAnsi="宋体" w:eastAsia="宋体" w:cs="宋体"/>
                <w:sz w:val="18"/>
                <w:szCs w:val="18"/>
              </w:rPr>
              <w:t>5,229.89</w:t>
            </w:r>
          </w:p>
        </w:tc>
        <w:tc>
          <w:tcPr>
            <w:tcW w:w="1071" w:type="dxa"/>
            <w:tcBorders>
              <w:top w:val="single" w:color="auto" w:sz="2" w:space="0"/>
              <w:left w:val="single" w:color="auto" w:sz="2" w:space="0"/>
              <w:bottom w:val="single" w:color="auto" w:sz="2" w:space="0"/>
              <w:right w:val="single" w:color="auto" w:sz="2" w:space="0"/>
            </w:tcBorders>
            <w:vAlign w:val="center"/>
          </w:tcPr>
          <w:p w14:paraId="04D41D84">
            <w:pPr>
              <w:spacing w:line="240" w:lineRule="exact"/>
              <w:jc w:val="right"/>
              <w:rPr>
                <w:rFonts w:ascii="宋体" w:hAnsi="宋体" w:eastAsia="宋体" w:cs="宋体"/>
                <w:sz w:val="18"/>
                <w:szCs w:val="18"/>
              </w:rPr>
            </w:pPr>
            <w:r>
              <w:rPr>
                <w:rFonts w:ascii="宋体" w:hAnsi="宋体" w:eastAsia="宋体" w:cs="宋体"/>
                <w:sz w:val="18"/>
                <w:szCs w:val="18"/>
              </w:rPr>
              <w:t>0.86%</w:t>
            </w:r>
          </w:p>
        </w:tc>
      </w:tr>
      <w:tr w14:paraId="43C56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1DD56D1D">
            <w:pPr>
              <w:spacing w:before="40" w:after="40" w:line="240" w:lineRule="exact"/>
              <w:rPr>
                <w:rFonts w:ascii="宋体" w:hAnsi="宋体" w:eastAsia="宋体" w:cs="宋体"/>
                <w:sz w:val="18"/>
                <w:szCs w:val="18"/>
              </w:rPr>
            </w:pPr>
            <w:r>
              <w:rPr>
                <w:rFonts w:ascii="宋体" w:hAnsi="宋体" w:eastAsia="宋体" w:cs="宋体"/>
                <w:sz w:val="18"/>
                <w:szCs w:val="18"/>
              </w:rPr>
              <w:t>报告期内套期保值业务的会计政策、会计核算具体原则，以及与上一报告期相比是否发生重大变化的说明</w:t>
            </w:r>
          </w:p>
        </w:tc>
        <w:tc>
          <w:tcPr>
            <w:tcW w:w="6378" w:type="dxa"/>
            <w:gridSpan w:val="6"/>
            <w:tcBorders>
              <w:top w:val="single" w:color="auto" w:sz="2" w:space="0"/>
              <w:left w:val="single" w:color="auto" w:sz="2" w:space="0"/>
              <w:bottom w:val="single" w:color="auto" w:sz="2" w:space="0"/>
              <w:right w:val="single" w:color="auto" w:sz="2" w:space="0"/>
            </w:tcBorders>
            <w:vAlign w:val="center"/>
          </w:tcPr>
          <w:p w14:paraId="16425028">
            <w:pPr>
              <w:spacing w:line="240" w:lineRule="exact"/>
              <w:rPr>
                <w:rFonts w:ascii="宋体" w:hAnsi="宋体" w:eastAsia="宋体" w:cs="宋体"/>
                <w:sz w:val="18"/>
                <w:szCs w:val="18"/>
              </w:rPr>
            </w:pPr>
            <w:r>
              <w:rPr>
                <w:rFonts w:ascii="宋体" w:hAnsi="宋体" w:eastAsia="宋体" w:cs="宋体"/>
                <w:sz w:val="18"/>
                <w:szCs w:val="18"/>
              </w:rPr>
              <w:t>报告期内套期保值业务的会计政策、会计核算具体原则：详见第十节、财务报告的“附注五、重要会计政策及会计估计”的“10、金融工具”。与上一报告期相比未发生重大变化。</w:t>
            </w:r>
          </w:p>
        </w:tc>
      </w:tr>
      <w:tr w14:paraId="7144F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45A28CC9">
            <w:pPr>
              <w:spacing w:before="40" w:after="40" w:line="240" w:lineRule="exact"/>
              <w:rPr>
                <w:rFonts w:ascii="宋体" w:hAnsi="宋体" w:eastAsia="宋体" w:cs="宋体"/>
                <w:sz w:val="18"/>
                <w:szCs w:val="18"/>
              </w:rPr>
            </w:pPr>
            <w:r>
              <w:rPr>
                <w:rFonts w:ascii="宋体" w:hAnsi="宋体" w:eastAsia="宋体" w:cs="宋体"/>
                <w:sz w:val="18"/>
                <w:szCs w:val="18"/>
              </w:rPr>
              <w:t>报告期实际损益情况的说明</w:t>
            </w:r>
          </w:p>
        </w:tc>
        <w:tc>
          <w:tcPr>
            <w:tcW w:w="6378" w:type="dxa"/>
            <w:gridSpan w:val="6"/>
            <w:tcBorders>
              <w:top w:val="single" w:color="auto" w:sz="2" w:space="0"/>
              <w:left w:val="single" w:color="auto" w:sz="2" w:space="0"/>
              <w:bottom w:val="single" w:color="auto" w:sz="2" w:space="0"/>
              <w:right w:val="single" w:color="auto" w:sz="2" w:space="0"/>
            </w:tcBorders>
            <w:vAlign w:val="center"/>
          </w:tcPr>
          <w:p w14:paraId="6D91BDB2">
            <w:pPr>
              <w:spacing w:line="240" w:lineRule="exact"/>
              <w:rPr>
                <w:rFonts w:ascii="宋体" w:hAnsi="宋体" w:eastAsia="宋体" w:cs="宋体"/>
                <w:sz w:val="18"/>
                <w:szCs w:val="18"/>
              </w:rPr>
            </w:pPr>
            <w:r>
              <w:rPr>
                <w:rFonts w:ascii="宋体" w:hAnsi="宋体" w:eastAsia="宋体" w:cs="宋体"/>
                <w:sz w:val="18"/>
                <w:szCs w:val="18"/>
              </w:rPr>
              <w:t>报告期实际亏损金额合计244.22万元。</w:t>
            </w:r>
          </w:p>
        </w:tc>
      </w:tr>
      <w:tr w14:paraId="1E039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233803AF">
            <w:pPr>
              <w:spacing w:before="40" w:after="40" w:line="240" w:lineRule="exact"/>
              <w:rPr>
                <w:rFonts w:ascii="宋体" w:hAnsi="宋体" w:eastAsia="宋体" w:cs="宋体"/>
                <w:sz w:val="18"/>
                <w:szCs w:val="18"/>
              </w:rPr>
            </w:pPr>
            <w:r>
              <w:rPr>
                <w:rFonts w:ascii="宋体" w:hAnsi="宋体" w:eastAsia="宋体" w:cs="宋体"/>
                <w:sz w:val="18"/>
                <w:szCs w:val="18"/>
              </w:rPr>
              <w:t>套期保值效果的说明</w:t>
            </w:r>
          </w:p>
        </w:tc>
        <w:tc>
          <w:tcPr>
            <w:tcW w:w="6378" w:type="dxa"/>
            <w:gridSpan w:val="6"/>
            <w:tcBorders>
              <w:top w:val="single" w:color="auto" w:sz="2" w:space="0"/>
              <w:left w:val="single" w:color="auto" w:sz="2" w:space="0"/>
              <w:bottom w:val="single" w:color="auto" w:sz="2" w:space="0"/>
              <w:right w:val="single" w:color="auto" w:sz="2" w:space="0"/>
            </w:tcBorders>
            <w:vAlign w:val="center"/>
          </w:tcPr>
          <w:p w14:paraId="52BDC3F1">
            <w:pPr>
              <w:spacing w:line="240" w:lineRule="exact"/>
              <w:rPr>
                <w:rFonts w:ascii="宋体" w:hAnsi="宋体" w:eastAsia="宋体" w:cs="宋体"/>
                <w:sz w:val="18"/>
                <w:szCs w:val="18"/>
              </w:rPr>
            </w:pPr>
            <w:r>
              <w:rPr>
                <w:rFonts w:ascii="宋体" w:hAnsi="宋体" w:eastAsia="宋体" w:cs="宋体"/>
                <w:sz w:val="18"/>
                <w:szCs w:val="18"/>
              </w:rPr>
              <w:t>为规避生产经营中原材料价格波动带来的风险，有效拓宽原材料备货渠道，保持公司经营业绩的稳定性和可持续性，公司通过期货市场买入套期保值交易锁定部分棉花原料价格。</w:t>
            </w:r>
          </w:p>
        </w:tc>
      </w:tr>
      <w:tr w14:paraId="68EA2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7D6A0577">
            <w:pPr>
              <w:spacing w:before="40" w:after="40" w:line="240" w:lineRule="exact"/>
              <w:rPr>
                <w:rFonts w:ascii="宋体" w:hAnsi="宋体" w:eastAsia="宋体" w:cs="宋体"/>
                <w:sz w:val="18"/>
                <w:szCs w:val="18"/>
              </w:rPr>
            </w:pPr>
            <w:r>
              <w:rPr>
                <w:rFonts w:ascii="宋体" w:hAnsi="宋体" w:eastAsia="宋体" w:cs="宋体"/>
                <w:sz w:val="18"/>
                <w:szCs w:val="18"/>
              </w:rPr>
              <w:t>衍生品投资资金来源</w:t>
            </w:r>
          </w:p>
        </w:tc>
        <w:tc>
          <w:tcPr>
            <w:tcW w:w="6378" w:type="dxa"/>
            <w:gridSpan w:val="6"/>
            <w:tcBorders>
              <w:top w:val="single" w:color="auto" w:sz="2" w:space="0"/>
              <w:left w:val="single" w:color="auto" w:sz="2" w:space="0"/>
              <w:bottom w:val="single" w:color="auto" w:sz="2" w:space="0"/>
              <w:right w:val="single" w:color="auto" w:sz="2" w:space="0"/>
            </w:tcBorders>
            <w:vAlign w:val="center"/>
          </w:tcPr>
          <w:p w14:paraId="3A73F571">
            <w:pPr>
              <w:spacing w:line="240" w:lineRule="exact"/>
              <w:rPr>
                <w:rFonts w:ascii="宋体" w:hAnsi="宋体" w:eastAsia="宋体" w:cs="宋体"/>
                <w:sz w:val="18"/>
                <w:szCs w:val="18"/>
              </w:rPr>
            </w:pPr>
            <w:r>
              <w:rPr>
                <w:rFonts w:ascii="宋体" w:hAnsi="宋体" w:eastAsia="宋体" w:cs="宋体"/>
                <w:sz w:val="18"/>
                <w:szCs w:val="18"/>
              </w:rPr>
              <w:t>自有资金</w:t>
            </w:r>
          </w:p>
        </w:tc>
      </w:tr>
      <w:tr w14:paraId="76520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1313F47C">
            <w:pPr>
              <w:spacing w:before="40" w:after="40" w:line="240" w:lineRule="exact"/>
              <w:rPr>
                <w:rFonts w:ascii="宋体" w:hAnsi="宋体" w:eastAsia="宋体" w:cs="宋体"/>
                <w:sz w:val="18"/>
                <w:szCs w:val="18"/>
              </w:rPr>
            </w:pPr>
            <w:r>
              <w:rPr>
                <w:rFonts w:ascii="宋体" w:hAnsi="宋体" w:eastAsia="宋体" w:cs="宋体"/>
                <w:sz w:val="18"/>
                <w:szCs w:val="18"/>
              </w:rPr>
              <w:t>报告期衍生品持仓的风险分析及控制措施说明（包括但不限于市场风险、流动性风险、信用风险、操作风险、法律风险等）</w:t>
            </w:r>
          </w:p>
        </w:tc>
        <w:tc>
          <w:tcPr>
            <w:tcW w:w="6378" w:type="dxa"/>
            <w:gridSpan w:val="6"/>
            <w:tcBorders>
              <w:top w:val="single" w:color="auto" w:sz="2" w:space="0"/>
              <w:left w:val="single" w:color="auto" w:sz="2" w:space="0"/>
              <w:bottom w:val="single" w:color="auto" w:sz="2" w:space="0"/>
              <w:right w:val="single" w:color="auto" w:sz="2" w:space="0"/>
            </w:tcBorders>
            <w:vAlign w:val="center"/>
          </w:tcPr>
          <w:p w14:paraId="0C8629A9">
            <w:pPr>
              <w:spacing w:line="240" w:lineRule="exact"/>
              <w:rPr>
                <w:rFonts w:ascii="宋体" w:hAnsi="宋体" w:eastAsia="宋体" w:cs="宋体"/>
                <w:sz w:val="18"/>
                <w:szCs w:val="18"/>
              </w:rPr>
            </w:pPr>
            <w:r>
              <w:rPr>
                <w:rFonts w:ascii="宋体" w:hAnsi="宋体" w:eastAsia="宋体" w:cs="宋体"/>
                <w:sz w:val="18"/>
                <w:szCs w:val="18"/>
              </w:rPr>
              <w:t>（一）主要风险分析</w:t>
            </w:r>
          </w:p>
          <w:p w14:paraId="2BB78718">
            <w:pPr>
              <w:spacing w:line="240" w:lineRule="exact"/>
              <w:rPr>
                <w:rFonts w:ascii="宋体" w:hAnsi="宋体" w:eastAsia="宋体" w:cs="宋体"/>
                <w:sz w:val="18"/>
                <w:szCs w:val="18"/>
              </w:rPr>
            </w:pPr>
            <w:r>
              <w:rPr>
                <w:rFonts w:ascii="宋体" w:hAnsi="宋体" w:eastAsia="宋体" w:cs="宋体"/>
                <w:sz w:val="18"/>
                <w:szCs w:val="18"/>
              </w:rPr>
              <w:t>1、市场风险：期货等衍生品行情变动较大时，可能产生价格波动风险，造成交易损失。</w:t>
            </w:r>
          </w:p>
          <w:p w14:paraId="56E37B61">
            <w:pPr>
              <w:spacing w:line="240" w:lineRule="exact"/>
              <w:rPr>
                <w:rFonts w:ascii="宋体" w:hAnsi="宋体" w:eastAsia="宋体" w:cs="宋体"/>
                <w:sz w:val="18"/>
                <w:szCs w:val="18"/>
              </w:rPr>
            </w:pPr>
            <w:r>
              <w:rPr>
                <w:rFonts w:ascii="宋体" w:hAnsi="宋体" w:eastAsia="宋体" w:cs="宋体"/>
                <w:sz w:val="18"/>
                <w:szCs w:val="18"/>
              </w:rPr>
              <w:t>2、操作风险：由于无法控制或不可预测的系统、网络、通讯故障等造成交易系统非正常运行，使交易指令出现延迟、中断或数据错误等问题，从而带来相应风险。</w:t>
            </w:r>
          </w:p>
          <w:p w14:paraId="4D82723B">
            <w:pPr>
              <w:spacing w:line="240" w:lineRule="exact"/>
              <w:rPr>
                <w:rFonts w:ascii="宋体" w:hAnsi="宋体" w:eastAsia="宋体" w:cs="宋体"/>
                <w:sz w:val="18"/>
                <w:szCs w:val="18"/>
              </w:rPr>
            </w:pPr>
            <w:r>
              <w:rPr>
                <w:rFonts w:ascii="宋体" w:hAnsi="宋体" w:eastAsia="宋体" w:cs="宋体"/>
                <w:sz w:val="18"/>
                <w:szCs w:val="18"/>
              </w:rPr>
              <w:t>3、政策风险：期货等衍生品市场的法律法规政策如发生重大变化，可能引起市场波动或无法交易带来的风险</w:t>
            </w:r>
          </w:p>
          <w:p w14:paraId="32B1BA22">
            <w:pPr>
              <w:spacing w:line="240" w:lineRule="exact"/>
              <w:rPr>
                <w:rFonts w:ascii="宋体" w:hAnsi="宋体" w:eastAsia="宋体" w:cs="宋体"/>
                <w:sz w:val="18"/>
                <w:szCs w:val="18"/>
              </w:rPr>
            </w:pPr>
            <w:r>
              <w:rPr>
                <w:rFonts w:ascii="宋体" w:hAnsi="宋体" w:eastAsia="宋体" w:cs="宋体"/>
                <w:sz w:val="18"/>
                <w:szCs w:val="18"/>
              </w:rPr>
              <w:t>4、法律风险：违反法律法规和监管部门的相关规定的风险。</w:t>
            </w:r>
          </w:p>
          <w:p w14:paraId="5E087FE7">
            <w:pPr>
              <w:spacing w:line="240" w:lineRule="exact"/>
              <w:rPr>
                <w:rFonts w:ascii="宋体" w:hAnsi="宋体" w:eastAsia="宋体" w:cs="宋体"/>
                <w:sz w:val="18"/>
                <w:szCs w:val="18"/>
              </w:rPr>
            </w:pPr>
            <w:r>
              <w:rPr>
                <w:rFonts w:ascii="宋体" w:hAnsi="宋体" w:eastAsia="宋体" w:cs="宋体"/>
                <w:sz w:val="18"/>
                <w:szCs w:val="18"/>
              </w:rPr>
              <w:t>（二）风险控制措施</w:t>
            </w:r>
          </w:p>
          <w:p w14:paraId="0B50F7FA">
            <w:pPr>
              <w:spacing w:line="240" w:lineRule="exact"/>
              <w:rPr>
                <w:rFonts w:ascii="宋体" w:hAnsi="宋体" w:eastAsia="宋体" w:cs="宋体"/>
                <w:sz w:val="18"/>
                <w:szCs w:val="18"/>
              </w:rPr>
            </w:pPr>
            <w:r>
              <w:rPr>
                <w:rFonts w:ascii="宋体" w:hAnsi="宋体" w:eastAsia="宋体" w:cs="宋体"/>
                <w:sz w:val="18"/>
                <w:szCs w:val="18"/>
              </w:rPr>
              <w:t>1、公司的棉花期货交易是以棉花库存和订单情况为基本面，结合行情判断来决定买卖方向和套保点位，以满足公司日常网链业务价格风险对冲和平抑棉花库存成本的目的，在持仓规模上严格按照采购量控制，规避投机损失风险。针对棉花期货业务制定《期货投资管理作业指导书》以规范期货操作流程发挥期货套期保值功能，规避经营风险。</w:t>
            </w:r>
          </w:p>
          <w:p w14:paraId="5321F885">
            <w:pPr>
              <w:spacing w:line="240" w:lineRule="exact"/>
              <w:rPr>
                <w:rFonts w:ascii="宋体" w:hAnsi="宋体" w:eastAsia="宋体" w:cs="宋体"/>
                <w:sz w:val="18"/>
                <w:szCs w:val="18"/>
              </w:rPr>
            </w:pPr>
            <w:r>
              <w:rPr>
                <w:rFonts w:ascii="宋体" w:hAnsi="宋体" w:eastAsia="宋体" w:cs="宋体"/>
                <w:sz w:val="18"/>
                <w:szCs w:val="18"/>
              </w:rPr>
              <w:t>2、在遵循合法、审慎、安全、有效的原则上，制定严格的决策程序、报告制度和监控措施，明确授权范围、操作要点与信息披露等具体要求，配备投资决策、策略分析、业务操作、风险监管等专业人员。</w:t>
            </w:r>
          </w:p>
          <w:p w14:paraId="3439D202">
            <w:pPr>
              <w:spacing w:line="240" w:lineRule="exact"/>
              <w:rPr>
                <w:rFonts w:ascii="宋体" w:hAnsi="宋体" w:eastAsia="宋体" w:cs="宋体"/>
                <w:sz w:val="18"/>
                <w:szCs w:val="18"/>
              </w:rPr>
            </w:pPr>
            <w:r>
              <w:rPr>
                <w:rFonts w:ascii="宋体" w:hAnsi="宋体" w:eastAsia="宋体" w:cs="宋体"/>
                <w:sz w:val="18"/>
                <w:szCs w:val="18"/>
              </w:rPr>
              <w:t>3、根据总体采购策略和库存成本结构，跟踪行业信息，分析市场趋势，及时编制提报期货交易方案。根据公司库存和订单情况，结合风险承受能力和行情判断确定价格区间、开仓比例、止损点位，严格执行开平仓和止损操作。并定期向管理层和董事会提交期货交易授权执行情况。</w:t>
            </w:r>
          </w:p>
        </w:tc>
      </w:tr>
      <w:tr w14:paraId="63F72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54B7397A">
            <w:pPr>
              <w:spacing w:before="40" w:after="40" w:line="240" w:lineRule="exact"/>
              <w:rPr>
                <w:rFonts w:ascii="宋体" w:hAnsi="宋体" w:eastAsia="宋体" w:cs="宋体"/>
                <w:sz w:val="18"/>
                <w:szCs w:val="18"/>
              </w:rPr>
            </w:pPr>
            <w:r>
              <w:rPr>
                <w:rFonts w:ascii="宋体" w:hAnsi="宋体" w:eastAsia="宋体" w:cs="宋体"/>
                <w:sz w:val="18"/>
                <w:szCs w:val="18"/>
              </w:rPr>
              <w:t>已投资衍生品报告期内市场价格或产品公允价值变动的情况，对衍生品公允价值的分析应披露具体使用的方法及相关假设与参数的设定</w:t>
            </w:r>
          </w:p>
        </w:tc>
        <w:tc>
          <w:tcPr>
            <w:tcW w:w="6378" w:type="dxa"/>
            <w:gridSpan w:val="6"/>
            <w:tcBorders>
              <w:top w:val="single" w:color="auto" w:sz="2" w:space="0"/>
              <w:left w:val="single" w:color="auto" w:sz="2" w:space="0"/>
              <w:bottom w:val="single" w:color="auto" w:sz="2" w:space="0"/>
              <w:right w:val="single" w:color="auto" w:sz="2" w:space="0"/>
            </w:tcBorders>
            <w:vAlign w:val="center"/>
          </w:tcPr>
          <w:p w14:paraId="3A3EC344">
            <w:pPr>
              <w:spacing w:line="240" w:lineRule="exact"/>
              <w:rPr>
                <w:rFonts w:ascii="宋体" w:hAnsi="宋体" w:eastAsia="宋体" w:cs="宋体"/>
                <w:sz w:val="18"/>
                <w:szCs w:val="18"/>
              </w:rPr>
            </w:pPr>
            <w:r>
              <w:rPr>
                <w:rFonts w:ascii="宋体" w:hAnsi="宋体" w:eastAsia="宋体" w:cs="宋体"/>
                <w:sz w:val="18"/>
                <w:szCs w:val="18"/>
              </w:rPr>
              <w:t>公司持有的期货合约的公允价值依据期货交易所相应合约的结算价确定。</w:t>
            </w:r>
          </w:p>
        </w:tc>
      </w:tr>
      <w:tr w14:paraId="2CFCC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7E6912E7">
            <w:pPr>
              <w:spacing w:before="40" w:after="40" w:line="240" w:lineRule="exact"/>
              <w:rPr>
                <w:rFonts w:ascii="宋体" w:hAnsi="宋体" w:eastAsia="宋体" w:cs="宋体"/>
                <w:sz w:val="18"/>
                <w:szCs w:val="18"/>
              </w:rPr>
            </w:pPr>
            <w:r>
              <w:rPr>
                <w:rFonts w:ascii="宋体" w:hAnsi="宋体" w:eastAsia="宋体" w:cs="宋体"/>
                <w:sz w:val="18"/>
                <w:szCs w:val="18"/>
              </w:rPr>
              <w:t>涉诉情况（如适用）</w:t>
            </w:r>
          </w:p>
        </w:tc>
        <w:tc>
          <w:tcPr>
            <w:tcW w:w="6378" w:type="dxa"/>
            <w:gridSpan w:val="6"/>
            <w:tcBorders>
              <w:top w:val="single" w:color="auto" w:sz="2" w:space="0"/>
              <w:left w:val="single" w:color="auto" w:sz="2" w:space="0"/>
              <w:bottom w:val="single" w:color="auto" w:sz="2" w:space="0"/>
              <w:right w:val="single" w:color="auto" w:sz="2" w:space="0"/>
            </w:tcBorders>
            <w:vAlign w:val="center"/>
          </w:tcPr>
          <w:p w14:paraId="3160B40D">
            <w:pPr>
              <w:spacing w:line="240" w:lineRule="exact"/>
              <w:rPr>
                <w:rFonts w:ascii="宋体" w:hAnsi="宋体" w:eastAsia="宋体" w:cs="宋体"/>
                <w:sz w:val="18"/>
                <w:szCs w:val="18"/>
              </w:rPr>
            </w:pPr>
            <w:r>
              <w:rPr>
                <w:rFonts w:ascii="宋体" w:hAnsi="宋体" w:eastAsia="宋体" w:cs="宋体"/>
                <w:sz w:val="18"/>
                <w:szCs w:val="18"/>
              </w:rPr>
              <w:t>不适用</w:t>
            </w:r>
          </w:p>
        </w:tc>
      </w:tr>
    </w:tbl>
    <w:p w14:paraId="28A60EFB">
      <w:pPr>
        <w:keepNext/>
        <w:keepLines/>
        <w:spacing w:before="300" w:after="300" w:line="280" w:lineRule="exact"/>
        <w:outlineLvl w:val="4"/>
        <w:rPr>
          <w:rFonts w:ascii="宋体" w:hAnsi="宋体" w:eastAsia="宋体" w:cs="宋体"/>
          <w:b/>
          <w:bCs/>
          <w:sz w:val="18"/>
          <w:szCs w:val="18"/>
        </w:rPr>
      </w:pPr>
      <w:bookmarkStart w:id="53" w:name="_Toc988942"/>
      <w:r>
        <w:rPr>
          <w:rFonts w:ascii="宋体" w:hAnsi="宋体" w:eastAsia="宋体" w:cs="宋体"/>
          <w:b/>
          <w:bCs/>
          <w:sz w:val="18"/>
          <w:szCs w:val="18"/>
        </w:rPr>
        <w:t>2） 报告期内以投机为目的的衍生品投资</w:t>
      </w:r>
      <w:bookmarkEnd w:id="53"/>
    </w:p>
    <w:p w14:paraId="2A15150C">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E1B581C">
      <w:pPr>
        <w:spacing w:before="100" w:after="100" w:line="240" w:lineRule="exact"/>
        <w:rPr>
          <w:rFonts w:ascii="宋体" w:hAnsi="宋体" w:eastAsia="宋体" w:cs="宋体"/>
          <w:sz w:val="18"/>
          <w:szCs w:val="18"/>
        </w:rPr>
      </w:pPr>
      <w:r>
        <w:rPr>
          <w:rFonts w:ascii="宋体" w:hAnsi="宋体" w:eastAsia="宋体" w:cs="宋体"/>
          <w:sz w:val="18"/>
          <w:szCs w:val="18"/>
        </w:rPr>
        <w:t>公司报告期不存在以投机为目的的衍生品投资。</w:t>
      </w:r>
    </w:p>
    <w:p w14:paraId="69F76505">
      <w:pPr>
        <w:pStyle w:val="2"/>
        <w:spacing w:before="300" w:after="300" w:line="320" w:lineRule="exact"/>
        <w:rPr>
          <w:rFonts w:ascii="宋体" w:hAnsi="宋体" w:eastAsia="宋体" w:cs="宋体"/>
          <w:b/>
          <w:bCs/>
          <w:sz w:val="24"/>
          <w:szCs w:val="24"/>
        </w:rPr>
      </w:pPr>
      <w:bookmarkStart w:id="54" w:name="_Toc988943"/>
      <w:r>
        <w:rPr>
          <w:rFonts w:ascii="宋体" w:hAnsi="宋体" w:eastAsia="宋体" w:cs="宋体"/>
          <w:b/>
          <w:bCs/>
          <w:sz w:val="24"/>
          <w:szCs w:val="24"/>
        </w:rPr>
        <w:t>八、重大资产和股权出售</w:t>
      </w:r>
      <w:bookmarkEnd w:id="54"/>
    </w:p>
    <w:p w14:paraId="37DB2F3C">
      <w:pPr>
        <w:pStyle w:val="3"/>
        <w:spacing w:line="280" w:lineRule="exact"/>
        <w:jc w:val="left"/>
        <w:rPr>
          <w:rFonts w:ascii="宋体" w:hAnsi="宋体" w:cs="宋体"/>
          <w:b/>
          <w:bCs/>
        </w:rPr>
      </w:pPr>
      <w:bookmarkStart w:id="55" w:name="_Toc988944"/>
      <w:r>
        <w:rPr>
          <w:rFonts w:ascii="宋体" w:hAnsi="宋体" w:cs="宋体"/>
          <w:b/>
          <w:bCs/>
        </w:rPr>
        <w:t>1、出售重大资产情况</w:t>
      </w:r>
      <w:bookmarkEnd w:id="55"/>
    </w:p>
    <w:p w14:paraId="65D019EC">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8ED15A4">
      <w:pPr>
        <w:spacing w:before="100" w:after="100" w:line="240" w:lineRule="exact"/>
        <w:rPr>
          <w:rFonts w:ascii="宋体" w:hAnsi="宋体" w:eastAsia="宋体" w:cs="宋体"/>
          <w:sz w:val="18"/>
          <w:szCs w:val="18"/>
        </w:rPr>
      </w:pPr>
      <w:r>
        <w:rPr>
          <w:rFonts w:ascii="宋体" w:hAnsi="宋体" w:eastAsia="宋体" w:cs="宋体"/>
          <w:sz w:val="18"/>
          <w:szCs w:val="18"/>
        </w:rPr>
        <w:t>公司报告期未出售重大资产。</w:t>
      </w:r>
    </w:p>
    <w:p w14:paraId="4AF10699">
      <w:pPr>
        <w:pStyle w:val="3"/>
        <w:spacing w:line="280" w:lineRule="exact"/>
        <w:jc w:val="left"/>
        <w:rPr>
          <w:rFonts w:ascii="宋体" w:hAnsi="宋体" w:cs="宋体"/>
          <w:b/>
          <w:bCs/>
        </w:rPr>
      </w:pPr>
      <w:bookmarkStart w:id="56" w:name="_Toc988945"/>
      <w:r>
        <w:rPr>
          <w:rFonts w:ascii="宋体" w:hAnsi="宋体" w:cs="宋体"/>
          <w:b/>
          <w:bCs/>
        </w:rPr>
        <w:t>2、出售重大股权情况</w:t>
      </w:r>
      <w:bookmarkEnd w:id="56"/>
    </w:p>
    <w:p w14:paraId="7FBFB2DD">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6C0BF57">
      <w:pPr>
        <w:pStyle w:val="2"/>
        <w:spacing w:before="300" w:after="300" w:line="320" w:lineRule="exact"/>
        <w:rPr>
          <w:rFonts w:ascii="宋体" w:hAnsi="宋体" w:eastAsia="宋体" w:cs="宋体"/>
          <w:b/>
          <w:bCs/>
          <w:sz w:val="24"/>
          <w:szCs w:val="24"/>
        </w:rPr>
      </w:pPr>
      <w:bookmarkStart w:id="57" w:name="_Toc988946"/>
      <w:r>
        <w:rPr>
          <w:rFonts w:ascii="宋体" w:hAnsi="宋体" w:eastAsia="宋体" w:cs="宋体"/>
          <w:b/>
          <w:bCs/>
          <w:sz w:val="24"/>
          <w:szCs w:val="24"/>
        </w:rPr>
        <w:t>九、主要控股参股公司分析</w:t>
      </w:r>
      <w:bookmarkEnd w:id="57"/>
    </w:p>
    <w:p w14:paraId="3B4FE00B">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70F4A6D2">
      <w:pPr>
        <w:spacing w:before="100" w:after="100" w:line="240" w:lineRule="exact"/>
        <w:rPr>
          <w:rFonts w:ascii="宋体" w:hAnsi="宋体" w:eastAsia="宋体" w:cs="宋体"/>
          <w:sz w:val="18"/>
          <w:szCs w:val="18"/>
        </w:rPr>
      </w:pPr>
      <w:r>
        <w:rPr>
          <w:rFonts w:ascii="宋体" w:hAnsi="宋体" w:eastAsia="宋体" w:cs="宋体"/>
          <w:sz w:val="18"/>
          <w:szCs w:val="18"/>
        </w:rPr>
        <w:t>主要子公司及对公司净利润影响达10%以上的参股公司情况</w:t>
      </w:r>
    </w:p>
    <w:p w14:paraId="65C75FAD">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630"/>
        <w:gridCol w:w="1512"/>
        <w:gridCol w:w="1071"/>
        <w:gridCol w:w="1071"/>
        <w:gridCol w:w="1071"/>
        <w:gridCol w:w="1071"/>
        <w:gridCol w:w="1071"/>
        <w:gridCol w:w="1071"/>
      </w:tblGrid>
      <w:tr w14:paraId="021D0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2CD2706">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630" w:type="dxa"/>
            <w:tcBorders>
              <w:top w:val="single" w:color="auto" w:sz="2" w:space="0"/>
              <w:left w:val="single" w:color="auto" w:sz="2" w:space="0"/>
              <w:bottom w:val="single" w:color="auto" w:sz="2" w:space="0"/>
              <w:right w:val="single" w:color="auto" w:sz="2" w:space="0"/>
            </w:tcBorders>
            <w:shd w:val="clear" w:color="auto" w:fill="D3D3D3"/>
            <w:vAlign w:val="center"/>
          </w:tcPr>
          <w:p w14:paraId="22B2DD4D">
            <w:pPr>
              <w:spacing w:before="40" w:after="40" w:line="240" w:lineRule="exact"/>
              <w:jc w:val="center"/>
              <w:rPr>
                <w:rFonts w:ascii="宋体" w:hAnsi="宋体" w:eastAsia="宋体" w:cs="宋体"/>
                <w:sz w:val="18"/>
                <w:szCs w:val="18"/>
              </w:rPr>
            </w:pPr>
            <w:r>
              <w:rPr>
                <w:rFonts w:ascii="宋体" w:hAnsi="宋体" w:eastAsia="宋体" w:cs="宋体"/>
                <w:sz w:val="18"/>
                <w:szCs w:val="18"/>
              </w:rPr>
              <w:t>公司类型</w:t>
            </w:r>
          </w:p>
        </w:tc>
        <w:tc>
          <w:tcPr>
            <w:tcW w:w="1512" w:type="dxa"/>
            <w:tcBorders>
              <w:top w:val="single" w:color="auto" w:sz="2" w:space="0"/>
              <w:left w:val="single" w:color="auto" w:sz="2" w:space="0"/>
              <w:bottom w:val="single" w:color="auto" w:sz="2" w:space="0"/>
              <w:right w:val="single" w:color="auto" w:sz="2" w:space="0"/>
            </w:tcBorders>
            <w:shd w:val="clear" w:color="auto" w:fill="D3D3D3"/>
            <w:vAlign w:val="center"/>
          </w:tcPr>
          <w:p w14:paraId="363B4B97">
            <w:pPr>
              <w:spacing w:before="40" w:after="40" w:line="240" w:lineRule="exact"/>
              <w:jc w:val="center"/>
              <w:rPr>
                <w:rFonts w:ascii="宋体" w:hAnsi="宋体" w:eastAsia="宋体" w:cs="宋体"/>
                <w:sz w:val="18"/>
                <w:szCs w:val="18"/>
              </w:rPr>
            </w:pPr>
            <w:r>
              <w:rPr>
                <w:rFonts w:ascii="宋体" w:hAnsi="宋体" w:eastAsia="宋体" w:cs="宋体"/>
                <w:sz w:val="18"/>
                <w:szCs w:val="18"/>
              </w:rPr>
              <w:t>主要业务</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4D76D07">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3438135">
            <w:pPr>
              <w:spacing w:before="40" w:after="40" w:line="240" w:lineRule="exact"/>
              <w:jc w:val="center"/>
              <w:rPr>
                <w:rFonts w:ascii="宋体" w:hAnsi="宋体" w:eastAsia="宋体" w:cs="宋体"/>
                <w:sz w:val="18"/>
                <w:szCs w:val="18"/>
              </w:rPr>
            </w:pPr>
            <w:r>
              <w:rPr>
                <w:rFonts w:ascii="宋体" w:hAnsi="宋体" w:eastAsia="宋体" w:cs="宋体"/>
                <w:sz w:val="18"/>
                <w:szCs w:val="18"/>
              </w:rPr>
              <w:t>总资产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9E07C58">
            <w:pPr>
              <w:spacing w:before="40" w:after="40" w:line="240" w:lineRule="exact"/>
              <w:jc w:val="center"/>
              <w:rPr>
                <w:rFonts w:ascii="宋体" w:hAnsi="宋体" w:eastAsia="宋体" w:cs="宋体"/>
                <w:sz w:val="18"/>
                <w:szCs w:val="18"/>
              </w:rPr>
            </w:pPr>
            <w:r>
              <w:rPr>
                <w:rFonts w:ascii="宋体" w:hAnsi="宋体" w:eastAsia="宋体" w:cs="宋体"/>
                <w:sz w:val="18"/>
                <w:szCs w:val="18"/>
              </w:rPr>
              <w:t>净资产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A1CD920">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4E822B9">
            <w:pPr>
              <w:spacing w:before="40" w:after="40" w:line="240" w:lineRule="exact"/>
              <w:jc w:val="center"/>
              <w:rPr>
                <w:rFonts w:ascii="宋体" w:hAnsi="宋体" w:eastAsia="宋体" w:cs="宋体"/>
                <w:sz w:val="18"/>
                <w:szCs w:val="18"/>
              </w:rPr>
            </w:pPr>
            <w:r>
              <w:rPr>
                <w:rFonts w:ascii="宋体" w:hAnsi="宋体" w:eastAsia="宋体" w:cs="宋体"/>
                <w:sz w:val="18"/>
                <w:szCs w:val="18"/>
              </w:rPr>
              <w:t>营业利润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5D5796A">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r>
      <w:tr w14:paraId="5D616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07F756D">
            <w:pPr>
              <w:spacing w:line="240" w:lineRule="exact"/>
              <w:rPr>
                <w:rFonts w:ascii="宋体" w:hAnsi="宋体" w:eastAsia="宋体" w:cs="宋体"/>
                <w:sz w:val="18"/>
                <w:szCs w:val="18"/>
              </w:rPr>
            </w:pPr>
            <w:r>
              <w:rPr>
                <w:rFonts w:ascii="宋体" w:hAnsi="宋体" w:eastAsia="宋体" w:cs="宋体"/>
                <w:sz w:val="18"/>
                <w:szCs w:val="18"/>
              </w:rPr>
              <w:t>深圳市华孚进出口有限公司</w:t>
            </w:r>
          </w:p>
        </w:tc>
        <w:tc>
          <w:tcPr>
            <w:tcW w:w="630" w:type="dxa"/>
            <w:tcBorders>
              <w:top w:val="single" w:color="auto" w:sz="2" w:space="0"/>
              <w:left w:val="single" w:color="auto" w:sz="2" w:space="0"/>
              <w:bottom w:val="single" w:color="auto" w:sz="2" w:space="0"/>
              <w:right w:val="single" w:color="auto" w:sz="2" w:space="0"/>
            </w:tcBorders>
            <w:vAlign w:val="center"/>
          </w:tcPr>
          <w:p w14:paraId="1693FBBA">
            <w:pPr>
              <w:spacing w:line="240" w:lineRule="exact"/>
              <w:rPr>
                <w:rFonts w:ascii="宋体" w:hAnsi="宋体" w:eastAsia="宋体" w:cs="宋体"/>
                <w:sz w:val="18"/>
                <w:szCs w:val="18"/>
              </w:rPr>
            </w:pPr>
            <w:r>
              <w:rPr>
                <w:rFonts w:ascii="宋体" w:hAnsi="宋体" w:eastAsia="宋体" w:cs="宋体"/>
                <w:sz w:val="18"/>
                <w:szCs w:val="18"/>
              </w:rPr>
              <w:t>子公司</w:t>
            </w:r>
          </w:p>
        </w:tc>
        <w:tc>
          <w:tcPr>
            <w:tcW w:w="1512" w:type="dxa"/>
            <w:tcBorders>
              <w:top w:val="single" w:color="auto" w:sz="2" w:space="0"/>
              <w:left w:val="single" w:color="auto" w:sz="2" w:space="0"/>
              <w:bottom w:val="single" w:color="auto" w:sz="2" w:space="0"/>
              <w:right w:val="single" w:color="auto" w:sz="2" w:space="0"/>
            </w:tcBorders>
            <w:vAlign w:val="center"/>
          </w:tcPr>
          <w:p w14:paraId="62927397">
            <w:pPr>
              <w:spacing w:line="240" w:lineRule="exact"/>
              <w:rPr>
                <w:rFonts w:ascii="宋体" w:hAnsi="宋体" w:eastAsia="宋体" w:cs="宋体"/>
                <w:sz w:val="18"/>
                <w:szCs w:val="18"/>
              </w:rPr>
            </w:pPr>
            <w:r>
              <w:rPr>
                <w:rFonts w:ascii="宋体" w:hAnsi="宋体" w:eastAsia="宋体" w:cs="宋体"/>
                <w:sz w:val="18"/>
                <w:szCs w:val="18"/>
              </w:rPr>
              <w:t>国内商业、物资供销业(不含专营、专控、专卖商品)；进出口业务(按深贸管审证字第628号文办理)。企业信息咨询(不含限制项目)。</w:t>
            </w:r>
          </w:p>
        </w:tc>
        <w:tc>
          <w:tcPr>
            <w:tcW w:w="1071" w:type="dxa"/>
            <w:tcBorders>
              <w:top w:val="single" w:color="auto" w:sz="2" w:space="0"/>
              <w:left w:val="single" w:color="auto" w:sz="2" w:space="0"/>
              <w:bottom w:val="single" w:color="auto" w:sz="2" w:space="0"/>
              <w:right w:val="single" w:color="auto" w:sz="2" w:space="0"/>
            </w:tcBorders>
            <w:vAlign w:val="center"/>
          </w:tcPr>
          <w:p w14:paraId="047CF889">
            <w:pPr>
              <w:spacing w:line="240" w:lineRule="exact"/>
              <w:jc w:val="right"/>
              <w:rPr>
                <w:rFonts w:ascii="宋体" w:hAnsi="宋体" w:eastAsia="宋体" w:cs="宋体"/>
                <w:sz w:val="18"/>
                <w:szCs w:val="18"/>
              </w:rPr>
            </w:pPr>
            <w:r>
              <w:rPr>
                <w:rFonts w:ascii="宋体" w:hAnsi="宋体" w:eastAsia="宋体" w:cs="宋体"/>
                <w:sz w:val="18"/>
                <w:szCs w:val="18"/>
              </w:rPr>
              <w:t>1,500,000,000.00</w:t>
            </w:r>
          </w:p>
        </w:tc>
        <w:tc>
          <w:tcPr>
            <w:tcW w:w="1071" w:type="dxa"/>
            <w:tcBorders>
              <w:top w:val="single" w:color="auto" w:sz="2" w:space="0"/>
              <w:left w:val="single" w:color="auto" w:sz="2" w:space="0"/>
              <w:bottom w:val="single" w:color="auto" w:sz="2" w:space="0"/>
              <w:right w:val="single" w:color="auto" w:sz="2" w:space="0"/>
            </w:tcBorders>
            <w:vAlign w:val="center"/>
          </w:tcPr>
          <w:p w14:paraId="5AEDC5DE">
            <w:pPr>
              <w:spacing w:line="240" w:lineRule="exact"/>
              <w:jc w:val="right"/>
              <w:rPr>
                <w:rFonts w:ascii="宋体" w:hAnsi="宋体" w:eastAsia="宋体" w:cs="宋体"/>
                <w:sz w:val="18"/>
                <w:szCs w:val="18"/>
              </w:rPr>
            </w:pPr>
            <w:r>
              <w:rPr>
                <w:rFonts w:ascii="宋体" w:hAnsi="宋体" w:eastAsia="宋体" w:cs="宋体"/>
                <w:sz w:val="18"/>
                <w:szCs w:val="18"/>
              </w:rPr>
              <w:t>5,050,491,175.38</w:t>
            </w:r>
          </w:p>
        </w:tc>
        <w:tc>
          <w:tcPr>
            <w:tcW w:w="1071" w:type="dxa"/>
            <w:tcBorders>
              <w:top w:val="single" w:color="auto" w:sz="2" w:space="0"/>
              <w:left w:val="single" w:color="auto" w:sz="2" w:space="0"/>
              <w:bottom w:val="single" w:color="auto" w:sz="2" w:space="0"/>
              <w:right w:val="single" w:color="auto" w:sz="2" w:space="0"/>
            </w:tcBorders>
            <w:vAlign w:val="center"/>
          </w:tcPr>
          <w:p w14:paraId="7FEDC15E">
            <w:pPr>
              <w:spacing w:line="240" w:lineRule="exact"/>
              <w:jc w:val="right"/>
              <w:rPr>
                <w:rFonts w:ascii="宋体" w:hAnsi="宋体" w:eastAsia="宋体" w:cs="宋体"/>
                <w:sz w:val="18"/>
                <w:szCs w:val="18"/>
              </w:rPr>
            </w:pPr>
            <w:r>
              <w:rPr>
                <w:rFonts w:ascii="宋体" w:hAnsi="宋体" w:eastAsia="宋体" w:cs="宋体"/>
                <w:sz w:val="18"/>
                <w:szCs w:val="18"/>
              </w:rPr>
              <w:t>1,983,441,953.61</w:t>
            </w:r>
          </w:p>
        </w:tc>
        <w:tc>
          <w:tcPr>
            <w:tcW w:w="1071" w:type="dxa"/>
            <w:tcBorders>
              <w:top w:val="single" w:color="auto" w:sz="2" w:space="0"/>
              <w:left w:val="single" w:color="auto" w:sz="2" w:space="0"/>
              <w:bottom w:val="single" w:color="auto" w:sz="2" w:space="0"/>
              <w:right w:val="single" w:color="auto" w:sz="2" w:space="0"/>
            </w:tcBorders>
            <w:vAlign w:val="center"/>
          </w:tcPr>
          <w:p w14:paraId="1DE00EE8">
            <w:pPr>
              <w:spacing w:line="240" w:lineRule="exact"/>
              <w:jc w:val="right"/>
              <w:rPr>
                <w:rFonts w:ascii="宋体" w:hAnsi="宋体" w:eastAsia="宋体" w:cs="宋体"/>
                <w:sz w:val="18"/>
                <w:szCs w:val="18"/>
              </w:rPr>
            </w:pPr>
            <w:r>
              <w:rPr>
                <w:rFonts w:ascii="宋体" w:hAnsi="宋体" w:eastAsia="宋体" w:cs="宋体"/>
                <w:sz w:val="18"/>
                <w:szCs w:val="18"/>
              </w:rPr>
              <w:t>3,619,074,114.55</w:t>
            </w:r>
          </w:p>
        </w:tc>
        <w:tc>
          <w:tcPr>
            <w:tcW w:w="1071" w:type="dxa"/>
            <w:tcBorders>
              <w:top w:val="single" w:color="auto" w:sz="2" w:space="0"/>
              <w:left w:val="single" w:color="auto" w:sz="2" w:space="0"/>
              <w:bottom w:val="single" w:color="auto" w:sz="2" w:space="0"/>
              <w:right w:val="single" w:color="auto" w:sz="2" w:space="0"/>
            </w:tcBorders>
            <w:vAlign w:val="center"/>
          </w:tcPr>
          <w:p w14:paraId="54411DC0">
            <w:pPr>
              <w:spacing w:line="240" w:lineRule="exact"/>
              <w:jc w:val="right"/>
              <w:rPr>
                <w:rFonts w:ascii="宋体" w:hAnsi="宋体" w:eastAsia="宋体" w:cs="宋体"/>
                <w:sz w:val="18"/>
                <w:szCs w:val="18"/>
              </w:rPr>
            </w:pPr>
            <w:r>
              <w:rPr>
                <w:rFonts w:ascii="宋体" w:hAnsi="宋体" w:eastAsia="宋体" w:cs="宋体"/>
                <w:sz w:val="18"/>
                <w:szCs w:val="18"/>
              </w:rPr>
              <w:t>65,339,375.52</w:t>
            </w:r>
          </w:p>
        </w:tc>
        <w:tc>
          <w:tcPr>
            <w:tcW w:w="1071" w:type="dxa"/>
            <w:tcBorders>
              <w:top w:val="single" w:color="auto" w:sz="2" w:space="0"/>
              <w:left w:val="single" w:color="auto" w:sz="2" w:space="0"/>
              <w:bottom w:val="single" w:color="auto" w:sz="2" w:space="0"/>
              <w:right w:val="single" w:color="auto" w:sz="2" w:space="0"/>
            </w:tcBorders>
            <w:vAlign w:val="center"/>
          </w:tcPr>
          <w:p w14:paraId="74261F61">
            <w:pPr>
              <w:spacing w:line="240" w:lineRule="exact"/>
              <w:jc w:val="right"/>
              <w:rPr>
                <w:rFonts w:ascii="宋体" w:hAnsi="宋体" w:eastAsia="宋体" w:cs="宋体"/>
                <w:sz w:val="18"/>
                <w:szCs w:val="18"/>
              </w:rPr>
            </w:pPr>
            <w:r>
              <w:rPr>
                <w:rFonts w:ascii="宋体" w:hAnsi="宋体" w:eastAsia="宋体" w:cs="宋体"/>
                <w:sz w:val="18"/>
                <w:szCs w:val="18"/>
              </w:rPr>
              <w:t>73,288,889.26</w:t>
            </w:r>
          </w:p>
        </w:tc>
      </w:tr>
      <w:tr w14:paraId="1B604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A12DC44">
            <w:pPr>
              <w:spacing w:line="240" w:lineRule="exact"/>
              <w:rPr>
                <w:rFonts w:ascii="宋体" w:hAnsi="宋体" w:eastAsia="宋体" w:cs="宋体"/>
                <w:sz w:val="18"/>
                <w:szCs w:val="18"/>
              </w:rPr>
            </w:pPr>
            <w:r>
              <w:rPr>
                <w:rFonts w:ascii="宋体" w:hAnsi="宋体" w:eastAsia="宋体" w:cs="宋体"/>
                <w:sz w:val="18"/>
                <w:szCs w:val="18"/>
              </w:rPr>
              <w:t> 浙江华孚色纺有限公司</w:t>
            </w:r>
          </w:p>
        </w:tc>
        <w:tc>
          <w:tcPr>
            <w:tcW w:w="630" w:type="dxa"/>
            <w:tcBorders>
              <w:top w:val="single" w:color="auto" w:sz="2" w:space="0"/>
              <w:left w:val="single" w:color="auto" w:sz="2" w:space="0"/>
              <w:bottom w:val="single" w:color="auto" w:sz="2" w:space="0"/>
              <w:right w:val="single" w:color="auto" w:sz="2" w:space="0"/>
            </w:tcBorders>
            <w:vAlign w:val="center"/>
          </w:tcPr>
          <w:p w14:paraId="7D127E99">
            <w:pPr>
              <w:spacing w:line="240" w:lineRule="exact"/>
              <w:rPr>
                <w:rFonts w:ascii="宋体" w:hAnsi="宋体" w:eastAsia="宋体" w:cs="宋体"/>
                <w:sz w:val="18"/>
                <w:szCs w:val="18"/>
              </w:rPr>
            </w:pPr>
            <w:r>
              <w:rPr>
                <w:rFonts w:ascii="宋体" w:hAnsi="宋体" w:eastAsia="宋体" w:cs="宋体"/>
                <w:sz w:val="18"/>
                <w:szCs w:val="18"/>
              </w:rPr>
              <w:t>子公司</w:t>
            </w:r>
          </w:p>
        </w:tc>
        <w:tc>
          <w:tcPr>
            <w:tcW w:w="1512" w:type="dxa"/>
            <w:tcBorders>
              <w:top w:val="single" w:color="auto" w:sz="2" w:space="0"/>
              <w:left w:val="single" w:color="auto" w:sz="2" w:space="0"/>
              <w:bottom w:val="single" w:color="auto" w:sz="2" w:space="0"/>
              <w:right w:val="single" w:color="auto" w:sz="2" w:space="0"/>
            </w:tcBorders>
            <w:vAlign w:val="center"/>
          </w:tcPr>
          <w:p w14:paraId="68157E3A">
            <w:pPr>
              <w:spacing w:line="240" w:lineRule="exact"/>
              <w:rPr>
                <w:rFonts w:ascii="宋体" w:hAnsi="宋体" w:eastAsia="宋体" w:cs="宋体"/>
                <w:sz w:val="18"/>
                <w:szCs w:val="18"/>
              </w:rPr>
            </w:pPr>
            <w:r>
              <w:rPr>
                <w:rFonts w:ascii="宋体" w:hAnsi="宋体" w:eastAsia="宋体" w:cs="宋体"/>
                <w:sz w:val="18"/>
                <w:szCs w:val="18"/>
              </w:rPr>
              <w:t> 高档织物面料的织染及后整理加工，特种纤维、纱线、面料、混色纺纱线、染色纤维、染色筒纱、服装的生产、加工、销售</w:t>
            </w:r>
          </w:p>
        </w:tc>
        <w:tc>
          <w:tcPr>
            <w:tcW w:w="1071" w:type="dxa"/>
            <w:tcBorders>
              <w:top w:val="single" w:color="auto" w:sz="2" w:space="0"/>
              <w:left w:val="single" w:color="auto" w:sz="2" w:space="0"/>
              <w:bottom w:val="single" w:color="auto" w:sz="2" w:space="0"/>
              <w:right w:val="single" w:color="auto" w:sz="2" w:space="0"/>
            </w:tcBorders>
            <w:vAlign w:val="center"/>
          </w:tcPr>
          <w:p w14:paraId="1082BADD">
            <w:pPr>
              <w:spacing w:line="240" w:lineRule="exact"/>
              <w:jc w:val="right"/>
              <w:rPr>
                <w:rFonts w:ascii="宋体" w:hAnsi="宋体" w:eastAsia="宋体" w:cs="宋体"/>
                <w:sz w:val="18"/>
                <w:szCs w:val="18"/>
              </w:rPr>
            </w:pPr>
            <w:r>
              <w:rPr>
                <w:rFonts w:ascii="宋体" w:hAnsi="宋体" w:eastAsia="宋体" w:cs="宋体"/>
                <w:sz w:val="18"/>
                <w:szCs w:val="18"/>
              </w:rPr>
              <w:t>620,560,889.03</w:t>
            </w:r>
          </w:p>
        </w:tc>
        <w:tc>
          <w:tcPr>
            <w:tcW w:w="1071" w:type="dxa"/>
            <w:tcBorders>
              <w:top w:val="single" w:color="auto" w:sz="2" w:space="0"/>
              <w:left w:val="single" w:color="auto" w:sz="2" w:space="0"/>
              <w:bottom w:val="single" w:color="auto" w:sz="2" w:space="0"/>
              <w:right w:val="single" w:color="auto" w:sz="2" w:space="0"/>
            </w:tcBorders>
            <w:vAlign w:val="center"/>
          </w:tcPr>
          <w:p w14:paraId="16C44B9C">
            <w:pPr>
              <w:spacing w:line="240" w:lineRule="exact"/>
              <w:jc w:val="right"/>
              <w:rPr>
                <w:rFonts w:ascii="宋体" w:hAnsi="宋体" w:eastAsia="宋体" w:cs="宋体"/>
                <w:sz w:val="18"/>
                <w:szCs w:val="18"/>
              </w:rPr>
            </w:pPr>
            <w:r>
              <w:rPr>
                <w:rFonts w:ascii="宋体" w:hAnsi="宋体" w:eastAsia="宋体" w:cs="宋体"/>
                <w:sz w:val="18"/>
                <w:szCs w:val="18"/>
              </w:rPr>
              <w:t>2,388,137,128.57</w:t>
            </w:r>
          </w:p>
        </w:tc>
        <w:tc>
          <w:tcPr>
            <w:tcW w:w="1071" w:type="dxa"/>
            <w:tcBorders>
              <w:top w:val="single" w:color="auto" w:sz="2" w:space="0"/>
              <w:left w:val="single" w:color="auto" w:sz="2" w:space="0"/>
              <w:bottom w:val="single" w:color="auto" w:sz="2" w:space="0"/>
              <w:right w:val="single" w:color="auto" w:sz="2" w:space="0"/>
            </w:tcBorders>
            <w:vAlign w:val="center"/>
          </w:tcPr>
          <w:p w14:paraId="175CB2BF">
            <w:pPr>
              <w:spacing w:line="240" w:lineRule="exact"/>
              <w:jc w:val="right"/>
              <w:rPr>
                <w:rFonts w:ascii="宋体" w:hAnsi="宋体" w:eastAsia="宋体" w:cs="宋体"/>
                <w:sz w:val="18"/>
                <w:szCs w:val="18"/>
              </w:rPr>
            </w:pPr>
            <w:r>
              <w:rPr>
                <w:rFonts w:ascii="宋体" w:hAnsi="宋体" w:eastAsia="宋体" w:cs="宋体"/>
                <w:sz w:val="18"/>
                <w:szCs w:val="18"/>
              </w:rPr>
              <w:t>669,732,154.59</w:t>
            </w:r>
          </w:p>
        </w:tc>
        <w:tc>
          <w:tcPr>
            <w:tcW w:w="1071" w:type="dxa"/>
            <w:tcBorders>
              <w:top w:val="single" w:color="auto" w:sz="2" w:space="0"/>
              <w:left w:val="single" w:color="auto" w:sz="2" w:space="0"/>
              <w:bottom w:val="single" w:color="auto" w:sz="2" w:space="0"/>
              <w:right w:val="single" w:color="auto" w:sz="2" w:space="0"/>
            </w:tcBorders>
            <w:vAlign w:val="center"/>
          </w:tcPr>
          <w:p w14:paraId="0BE55ADA">
            <w:pPr>
              <w:spacing w:line="240" w:lineRule="exact"/>
              <w:jc w:val="right"/>
              <w:rPr>
                <w:rFonts w:ascii="宋体" w:hAnsi="宋体" w:eastAsia="宋体" w:cs="宋体"/>
                <w:sz w:val="18"/>
                <w:szCs w:val="18"/>
              </w:rPr>
            </w:pPr>
            <w:r>
              <w:rPr>
                <w:rFonts w:ascii="宋体" w:hAnsi="宋体" w:eastAsia="宋体" w:cs="宋体"/>
                <w:sz w:val="18"/>
                <w:szCs w:val="18"/>
              </w:rPr>
              <w:t>648,494,084.20</w:t>
            </w:r>
          </w:p>
        </w:tc>
        <w:tc>
          <w:tcPr>
            <w:tcW w:w="1071" w:type="dxa"/>
            <w:tcBorders>
              <w:top w:val="single" w:color="auto" w:sz="2" w:space="0"/>
              <w:left w:val="single" w:color="auto" w:sz="2" w:space="0"/>
              <w:bottom w:val="single" w:color="auto" w:sz="2" w:space="0"/>
              <w:right w:val="single" w:color="auto" w:sz="2" w:space="0"/>
            </w:tcBorders>
            <w:vAlign w:val="center"/>
          </w:tcPr>
          <w:p w14:paraId="6E917203">
            <w:pPr>
              <w:spacing w:line="240" w:lineRule="exact"/>
              <w:jc w:val="right"/>
              <w:rPr>
                <w:rFonts w:ascii="宋体" w:hAnsi="宋体" w:eastAsia="宋体" w:cs="宋体"/>
                <w:sz w:val="18"/>
                <w:szCs w:val="18"/>
              </w:rPr>
            </w:pPr>
            <w:r>
              <w:rPr>
                <w:rFonts w:ascii="宋体" w:hAnsi="宋体" w:eastAsia="宋体" w:cs="宋体"/>
                <w:sz w:val="18"/>
                <w:szCs w:val="18"/>
              </w:rPr>
              <w:t>-79,921,742.69</w:t>
            </w:r>
          </w:p>
        </w:tc>
        <w:tc>
          <w:tcPr>
            <w:tcW w:w="1071" w:type="dxa"/>
            <w:tcBorders>
              <w:top w:val="single" w:color="auto" w:sz="2" w:space="0"/>
              <w:left w:val="single" w:color="auto" w:sz="2" w:space="0"/>
              <w:bottom w:val="single" w:color="auto" w:sz="2" w:space="0"/>
              <w:right w:val="single" w:color="auto" w:sz="2" w:space="0"/>
            </w:tcBorders>
            <w:vAlign w:val="center"/>
          </w:tcPr>
          <w:p w14:paraId="1B24CD4A">
            <w:pPr>
              <w:spacing w:line="240" w:lineRule="exact"/>
              <w:jc w:val="right"/>
              <w:rPr>
                <w:rFonts w:ascii="宋体" w:hAnsi="宋体" w:eastAsia="宋体" w:cs="宋体"/>
                <w:sz w:val="18"/>
                <w:szCs w:val="18"/>
              </w:rPr>
            </w:pPr>
            <w:r>
              <w:rPr>
                <w:rFonts w:ascii="宋体" w:hAnsi="宋体" w:eastAsia="宋体" w:cs="宋体"/>
                <w:sz w:val="18"/>
                <w:szCs w:val="18"/>
              </w:rPr>
              <w:t>-79,971,252.79</w:t>
            </w:r>
          </w:p>
        </w:tc>
      </w:tr>
      <w:tr w14:paraId="74168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851930B">
            <w:pPr>
              <w:spacing w:line="240" w:lineRule="exact"/>
              <w:rPr>
                <w:rFonts w:ascii="宋体" w:hAnsi="宋体" w:eastAsia="宋体" w:cs="宋体"/>
                <w:sz w:val="18"/>
                <w:szCs w:val="18"/>
              </w:rPr>
            </w:pPr>
            <w:r>
              <w:rPr>
                <w:rFonts w:ascii="宋体" w:hAnsi="宋体" w:eastAsia="宋体" w:cs="宋体"/>
                <w:sz w:val="18"/>
                <w:szCs w:val="18"/>
              </w:rPr>
              <w:t> 香港华孚有限公司</w:t>
            </w:r>
          </w:p>
        </w:tc>
        <w:tc>
          <w:tcPr>
            <w:tcW w:w="630" w:type="dxa"/>
            <w:tcBorders>
              <w:top w:val="single" w:color="auto" w:sz="2" w:space="0"/>
              <w:left w:val="single" w:color="auto" w:sz="2" w:space="0"/>
              <w:bottom w:val="single" w:color="auto" w:sz="2" w:space="0"/>
              <w:right w:val="single" w:color="auto" w:sz="2" w:space="0"/>
            </w:tcBorders>
            <w:vAlign w:val="center"/>
          </w:tcPr>
          <w:p w14:paraId="0B3F4384">
            <w:pPr>
              <w:spacing w:line="240" w:lineRule="exact"/>
              <w:rPr>
                <w:rFonts w:ascii="宋体" w:hAnsi="宋体" w:eastAsia="宋体" w:cs="宋体"/>
                <w:sz w:val="18"/>
                <w:szCs w:val="18"/>
              </w:rPr>
            </w:pPr>
            <w:r>
              <w:rPr>
                <w:rFonts w:ascii="宋体" w:hAnsi="宋体" w:eastAsia="宋体" w:cs="宋体"/>
                <w:sz w:val="18"/>
                <w:szCs w:val="18"/>
              </w:rPr>
              <w:t>子公司</w:t>
            </w:r>
          </w:p>
        </w:tc>
        <w:tc>
          <w:tcPr>
            <w:tcW w:w="1512" w:type="dxa"/>
            <w:tcBorders>
              <w:top w:val="single" w:color="auto" w:sz="2" w:space="0"/>
              <w:left w:val="single" w:color="auto" w:sz="2" w:space="0"/>
              <w:bottom w:val="single" w:color="auto" w:sz="2" w:space="0"/>
              <w:right w:val="single" w:color="auto" w:sz="2" w:space="0"/>
            </w:tcBorders>
            <w:vAlign w:val="center"/>
          </w:tcPr>
          <w:p w14:paraId="3BED6F34">
            <w:pPr>
              <w:spacing w:line="240" w:lineRule="exact"/>
              <w:rPr>
                <w:rFonts w:ascii="宋体" w:hAnsi="宋体" w:eastAsia="宋体" w:cs="宋体"/>
                <w:sz w:val="18"/>
                <w:szCs w:val="18"/>
              </w:rPr>
            </w:pPr>
            <w:r>
              <w:rPr>
                <w:rFonts w:ascii="宋体" w:hAnsi="宋体" w:eastAsia="宋体" w:cs="宋体"/>
                <w:sz w:val="18"/>
                <w:szCs w:val="18"/>
              </w:rPr>
              <w:t> 从事色纱线产品的销售和投资业务</w:t>
            </w:r>
          </w:p>
        </w:tc>
        <w:tc>
          <w:tcPr>
            <w:tcW w:w="1071" w:type="dxa"/>
            <w:tcBorders>
              <w:top w:val="single" w:color="auto" w:sz="2" w:space="0"/>
              <w:left w:val="single" w:color="auto" w:sz="2" w:space="0"/>
              <w:bottom w:val="single" w:color="auto" w:sz="2" w:space="0"/>
              <w:right w:val="single" w:color="auto" w:sz="2" w:space="0"/>
            </w:tcBorders>
            <w:vAlign w:val="center"/>
          </w:tcPr>
          <w:p w14:paraId="6F65B4E6">
            <w:pPr>
              <w:spacing w:line="240" w:lineRule="exact"/>
              <w:jc w:val="right"/>
              <w:rPr>
                <w:rFonts w:ascii="宋体" w:hAnsi="宋体" w:eastAsia="宋体" w:cs="宋体"/>
                <w:sz w:val="18"/>
                <w:szCs w:val="18"/>
              </w:rPr>
            </w:pPr>
            <w:r>
              <w:rPr>
                <w:rFonts w:ascii="宋体" w:hAnsi="宋体" w:eastAsia="宋体" w:cs="宋体"/>
                <w:sz w:val="18"/>
                <w:szCs w:val="18"/>
              </w:rPr>
              <w:t>887,849,696.34</w:t>
            </w:r>
          </w:p>
        </w:tc>
        <w:tc>
          <w:tcPr>
            <w:tcW w:w="1071" w:type="dxa"/>
            <w:tcBorders>
              <w:top w:val="single" w:color="auto" w:sz="2" w:space="0"/>
              <w:left w:val="single" w:color="auto" w:sz="2" w:space="0"/>
              <w:bottom w:val="single" w:color="auto" w:sz="2" w:space="0"/>
              <w:right w:val="single" w:color="auto" w:sz="2" w:space="0"/>
            </w:tcBorders>
            <w:vAlign w:val="center"/>
          </w:tcPr>
          <w:p w14:paraId="2BB7078E">
            <w:pPr>
              <w:spacing w:line="240" w:lineRule="exact"/>
              <w:jc w:val="right"/>
              <w:rPr>
                <w:rFonts w:ascii="宋体" w:hAnsi="宋体" w:eastAsia="宋体" w:cs="宋体"/>
                <w:sz w:val="18"/>
                <w:szCs w:val="18"/>
              </w:rPr>
            </w:pPr>
            <w:r>
              <w:rPr>
                <w:rFonts w:ascii="宋体" w:hAnsi="宋体" w:eastAsia="宋体" w:cs="宋体"/>
                <w:sz w:val="18"/>
                <w:szCs w:val="18"/>
              </w:rPr>
              <w:t>1,905,951,227.01</w:t>
            </w:r>
          </w:p>
        </w:tc>
        <w:tc>
          <w:tcPr>
            <w:tcW w:w="1071" w:type="dxa"/>
            <w:tcBorders>
              <w:top w:val="single" w:color="auto" w:sz="2" w:space="0"/>
              <w:left w:val="single" w:color="auto" w:sz="2" w:space="0"/>
              <w:bottom w:val="single" w:color="auto" w:sz="2" w:space="0"/>
              <w:right w:val="single" w:color="auto" w:sz="2" w:space="0"/>
            </w:tcBorders>
            <w:vAlign w:val="center"/>
          </w:tcPr>
          <w:p w14:paraId="40D8EFAA">
            <w:pPr>
              <w:spacing w:line="240" w:lineRule="exact"/>
              <w:jc w:val="right"/>
              <w:rPr>
                <w:rFonts w:ascii="宋体" w:hAnsi="宋体" w:eastAsia="宋体" w:cs="宋体"/>
                <w:sz w:val="18"/>
                <w:szCs w:val="18"/>
              </w:rPr>
            </w:pPr>
            <w:r>
              <w:rPr>
                <w:rFonts w:ascii="宋体" w:hAnsi="宋体" w:eastAsia="宋体" w:cs="宋体"/>
                <w:sz w:val="18"/>
                <w:szCs w:val="18"/>
              </w:rPr>
              <w:t>1,405,267,873.51</w:t>
            </w:r>
          </w:p>
        </w:tc>
        <w:tc>
          <w:tcPr>
            <w:tcW w:w="1071" w:type="dxa"/>
            <w:tcBorders>
              <w:top w:val="single" w:color="auto" w:sz="2" w:space="0"/>
              <w:left w:val="single" w:color="auto" w:sz="2" w:space="0"/>
              <w:bottom w:val="single" w:color="auto" w:sz="2" w:space="0"/>
              <w:right w:val="single" w:color="auto" w:sz="2" w:space="0"/>
            </w:tcBorders>
            <w:vAlign w:val="center"/>
          </w:tcPr>
          <w:p w14:paraId="064A4B1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70A94CB">
            <w:pPr>
              <w:spacing w:line="240" w:lineRule="exact"/>
              <w:jc w:val="right"/>
              <w:rPr>
                <w:rFonts w:ascii="宋体" w:hAnsi="宋体" w:eastAsia="宋体" w:cs="宋体"/>
                <w:sz w:val="18"/>
                <w:szCs w:val="18"/>
              </w:rPr>
            </w:pPr>
            <w:r>
              <w:rPr>
                <w:rFonts w:ascii="宋体" w:hAnsi="宋体" w:eastAsia="宋体" w:cs="宋体"/>
                <w:sz w:val="18"/>
                <w:szCs w:val="18"/>
              </w:rPr>
              <w:t>49,826,063.82</w:t>
            </w:r>
          </w:p>
        </w:tc>
        <w:tc>
          <w:tcPr>
            <w:tcW w:w="1071" w:type="dxa"/>
            <w:tcBorders>
              <w:top w:val="single" w:color="auto" w:sz="2" w:space="0"/>
              <w:left w:val="single" w:color="auto" w:sz="2" w:space="0"/>
              <w:bottom w:val="single" w:color="auto" w:sz="2" w:space="0"/>
              <w:right w:val="single" w:color="auto" w:sz="2" w:space="0"/>
            </w:tcBorders>
            <w:vAlign w:val="center"/>
          </w:tcPr>
          <w:p w14:paraId="2D2A1FF4">
            <w:pPr>
              <w:spacing w:line="240" w:lineRule="exact"/>
              <w:jc w:val="right"/>
              <w:rPr>
                <w:rFonts w:ascii="宋体" w:hAnsi="宋体" w:eastAsia="宋体" w:cs="宋体"/>
                <w:sz w:val="18"/>
                <w:szCs w:val="18"/>
              </w:rPr>
            </w:pPr>
            <w:r>
              <w:rPr>
                <w:rFonts w:ascii="宋体" w:hAnsi="宋体" w:eastAsia="宋体" w:cs="宋体"/>
                <w:sz w:val="18"/>
                <w:szCs w:val="18"/>
              </w:rPr>
              <w:t>49,826,063.82</w:t>
            </w:r>
          </w:p>
        </w:tc>
      </w:tr>
      <w:tr w14:paraId="0F2D5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B30E32A">
            <w:pPr>
              <w:spacing w:line="240" w:lineRule="exact"/>
              <w:rPr>
                <w:rFonts w:ascii="宋体" w:hAnsi="宋体" w:eastAsia="宋体" w:cs="宋体"/>
                <w:sz w:val="18"/>
                <w:szCs w:val="18"/>
              </w:rPr>
            </w:pPr>
            <w:r>
              <w:rPr>
                <w:rFonts w:ascii="宋体" w:hAnsi="宋体" w:eastAsia="宋体" w:cs="宋体"/>
                <w:sz w:val="18"/>
                <w:szCs w:val="18"/>
              </w:rPr>
              <w:t> 阿克苏华孚色纺有限公司</w:t>
            </w:r>
          </w:p>
        </w:tc>
        <w:tc>
          <w:tcPr>
            <w:tcW w:w="630" w:type="dxa"/>
            <w:tcBorders>
              <w:top w:val="single" w:color="auto" w:sz="2" w:space="0"/>
              <w:left w:val="single" w:color="auto" w:sz="2" w:space="0"/>
              <w:bottom w:val="single" w:color="auto" w:sz="2" w:space="0"/>
              <w:right w:val="single" w:color="auto" w:sz="2" w:space="0"/>
            </w:tcBorders>
            <w:vAlign w:val="center"/>
          </w:tcPr>
          <w:p w14:paraId="2F60E718">
            <w:pPr>
              <w:spacing w:line="240" w:lineRule="exact"/>
              <w:rPr>
                <w:rFonts w:ascii="宋体" w:hAnsi="宋体" w:eastAsia="宋体" w:cs="宋体"/>
                <w:sz w:val="18"/>
                <w:szCs w:val="18"/>
              </w:rPr>
            </w:pPr>
            <w:r>
              <w:rPr>
                <w:rFonts w:ascii="宋体" w:hAnsi="宋体" w:eastAsia="宋体" w:cs="宋体"/>
                <w:sz w:val="18"/>
                <w:szCs w:val="18"/>
              </w:rPr>
              <w:t>子公司</w:t>
            </w:r>
          </w:p>
        </w:tc>
        <w:tc>
          <w:tcPr>
            <w:tcW w:w="1512" w:type="dxa"/>
            <w:tcBorders>
              <w:top w:val="single" w:color="auto" w:sz="2" w:space="0"/>
              <w:left w:val="single" w:color="auto" w:sz="2" w:space="0"/>
              <w:bottom w:val="single" w:color="auto" w:sz="2" w:space="0"/>
              <w:right w:val="single" w:color="auto" w:sz="2" w:space="0"/>
            </w:tcBorders>
            <w:vAlign w:val="center"/>
          </w:tcPr>
          <w:p w14:paraId="0FFBEBBF">
            <w:pPr>
              <w:spacing w:line="240" w:lineRule="exact"/>
              <w:rPr>
                <w:rFonts w:ascii="宋体" w:hAnsi="宋体" w:eastAsia="宋体" w:cs="宋体"/>
                <w:sz w:val="18"/>
                <w:szCs w:val="18"/>
              </w:rPr>
            </w:pPr>
            <w:r>
              <w:rPr>
                <w:rFonts w:ascii="宋体" w:hAnsi="宋体" w:eastAsia="宋体" w:cs="宋体"/>
                <w:sz w:val="18"/>
                <w:szCs w:val="18"/>
              </w:rPr>
              <w:t> 纺织品、纺织器材的制造销售，纺织技术培训，出口本企业的纺织品和服装，进口企业所需的原料、机器设备、仪器和配件，棉麻收购及销售</w:t>
            </w:r>
          </w:p>
        </w:tc>
        <w:tc>
          <w:tcPr>
            <w:tcW w:w="1071" w:type="dxa"/>
            <w:tcBorders>
              <w:top w:val="single" w:color="auto" w:sz="2" w:space="0"/>
              <w:left w:val="single" w:color="auto" w:sz="2" w:space="0"/>
              <w:bottom w:val="single" w:color="auto" w:sz="2" w:space="0"/>
              <w:right w:val="single" w:color="auto" w:sz="2" w:space="0"/>
            </w:tcBorders>
            <w:vAlign w:val="center"/>
          </w:tcPr>
          <w:p w14:paraId="693F0E5E">
            <w:pPr>
              <w:spacing w:line="240" w:lineRule="exact"/>
              <w:jc w:val="right"/>
              <w:rPr>
                <w:rFonts w:ascii="宋体" w:hAnsi="宋体" w:eastAsia="宋体" w:cs="宋体"/>
                <w:sz w:val="18"/>
                <w:szCs w:val="18"/>
              </w:rPr>
            </w:pPr>
            <w:r>
              <w:rPr>
                <w:rFonts w:ascii="宋体" w:hAnsi="宋体" w:eastAsia="宋体" w:cs="宋体"/>
                <w:sz w:val="18"/>
                <w:szCs w:val="18"/>
              </w:rPr>
              <w:t>2,634,516,140.00</w:t>
            </w:r>
          </w:p>
        </w:tc>
        <w:tc>
          <w:tcPr>
            <w:tcW w:w="1071" w:type="dxa"/>
            <w:tcBorders>
              <w:top w:val="single" w:color="auto" w:sz="2" w:space="0"/>
              <w:left w:val="single" w:color="auto" w:sz="2" w:space="0"/>
              <w:bottom w:val="single" w:color="auto" w:sz="2" w:space="0"/>
              <w:right w:val="single" w:color="auto" w:sz="2" w:space="0"/>
            </w:tcBorders>
            <w:vAlign w:val="center"/>
          </w:tcPr>
          <w:p w14:paraId="49D92C16">
            <w:pPr>
              <w:spacing w:line="240" w:lineRule="exact"/>
              <w:jc w:val="right"/>
              <w:rPr>
                <w:rFonts w:ascii="宋体" w:hAnsi="宋体" w:eastAsia="宋体" w:cs="宋体"/>
                <w:sz w:val="18"/>
                <w:szCs w:val="18"/>
              </w:rPr>
            </w:pPr>
            <w:r>
              <w:rPr>
                <w:rFonts w:ascii="宋体" w:hAnsi="宋体" w:eastAsia="宋体" w:cs="宋体"/>
                <w:sz w:val="18"/>
                <w:szCs w:val="18"/>
              </w:rPr>
              <w:t>5,198,455,258.06</w:t>
            </w:r>
          </w:p>
        </w:tc>
        <w:tc>
          <w:tcPr>
            <w:tcW w:w="1071" w:type="dxa"/>
            <w:tcBorders>
              <w:top w:val="single" w:color="auto" w:sz="2" w:space="0"/>
              <w:left w:val="single" w:color="auto" w:sz="2" w:space="0"/>
              <w:bottom w:val="single" w:color="auto" w:sz="2" w:space="0"/>
              <w:right w:val="single" w:color="auto" w:sz="2" w:space="0"/>
            </w:tcBorders>
            <w:vAlign w:val="center"/>
          </w:tcPr>
          <w:p w14:paraId="5F5B5970">
            <w:pPr>
              <w:spacing w:line="240" w:lineRule="exact"/>
              <w:jc w:val="right"/>
              <w:rPr>
                <w:rFonts w:ascii="宋体" w:hAnsi="宋体" w:eastAsia="宋体" w:cs="宋体"/>
                <w:sz w:val="18"/>
                <w:szCs w:val="18"/>
              </w:rPr>
            </w:pPr>
            <w:r>
              <w:rPr>
                <w:rFonts w:ascii="宋体" w:hAnsi="宋体" w:eastAsia="宋体" w:cs="宋体"/>
                <w:sz w:val="18"/>
                <w:szCs w:val="18"/>
              </w:rPr>
              <w:t>2,449,578,865.14</w:t>
            </w:r>
          </w:p>
        </w:tc>
        <w:tc>
          <w:tcPr>
            <w:tcW w:w="1071" w:type="dxa"/>
            <w:tcBorders>
              <w:top w:val="single" w:color="auto" w:sz="2" w:space="0"/>
              <w:left w:val="single" w:color="auto" w:sz="2" w:space="0"/>
              <w:bottom w:val="single" w:color="auto" w:sz="2" w:space="0"/>
              <w:right w:val="single" w:color="auto" w:sz="2" w:space="0"/>
            </w:tcBorders>
            <w:vAlign w:val="center"/>
          </w:tcPr>
          <w:p w14:paraId="00DA2819">
            <w:pPr>
              <w:spacing w:line="240" w:lineRule="exact"/>
              <w:jc w:val="right"/>
              <w:rPr>
                <w:rFonts w:ascii="宋体" w:hAnsi="宋体" w:eastAsia="宋体" w:cs="宋体"/>
                <w:sz w:val="18"/>
                <w:szCs w:val="18"/>
              </w:rPr>
            </w:pPr>
            <w:r>
              <w:rPr>
                <w:rFonts w:ascii="宋体" w:hAnsi="宋体" w:eastAsia="宋体" w:cs="宋体"/>
                <w:sz w:val="18"/>
                <w:szCs w:val="18"/>
              </w:rPr>
              <w:t>4,033,138,724.47</w:t>
            </w:r>
          </w:p>
        </w:tc>
        <w:tc>
          <w:tcPr>
            <w:tcW w:w="1071" w:type="dxa"/>
            <w:tcBorders>
              <w:top w:val="single" w:color="auto" w:sz="2" w:space="0"/>
              <w:left w:val="single" w:color="auto" w:sz="2" w:space="0"/>
              <w:bottom w:val="single" w:color="auto" w:sz="2" w:space="0"/>
              <w:right w:val="single" w:color="auto" w:sz="2" w:space="0"/>
            </w:tcBorders>
            <w:vAlign w:val="center"/>
          </w:tcPr>
          <w:p w14:paraId="46682206">
            <w:pPr>
              <w:spacing w:line="240" w:lineRule="exact"/>
              <w:jc w:val="right"/>
              <w:rPr>
                <w:rFonts w:ascii="宋体" w:hAnsi="宋体" w:eastAsia="宋体" w:cs="宋体"/>
                <w:sz w:val="18"/>
                <w:szCs w:val="18"/>
              </w:rPr>
            </w:pPr>
            <w:r>
              <w:rPr>
                <w:rFonts w:ascii="宋体" w:hAnsi="宋体" w:eastAsia="宋体" w:cs="宋体"/>
                <w:sz w:val="18"/>
                <w:szCs w:val="18"/>
              </w:rPr>
              <w:t>46,583,381.55</w:t>
            </w:r>
          </w:p>
        </w:tc>
        <w:tc>
          <w:tcPr>
            <w:tcW w:w="1071" w:type="dxa"/>
            <w:tcBorders>
              <w:top w:val="single" w:color="auto" w:sz="2" w:space="0"/>
              <w:left w:val="single" w:color="auto" w:sz="2" w:space="0"/>
              <w:bottom w:val="single" w:color="auto" w:sz="2" w:space="0"/>
              <w:right w:val="single" w:color="auto" w:sz="2" w:space="0"/>
            </w:tcBorders>
            <w:vAlign w:val="center"/>
          </w:tcPr>
          <w:p w14:paraId="18590677">
            <w:pPr>
              <w:spacing w:line="240" w:lineRule="exact"/>
              <w:jc w:val="right"/>
              <w:rPr>
                <w:rFonts w:ascii="宋体" w:hAnsi="宋体" w:eastAsia="宋体" w:cs="宋体"/>
                <w:sz w:val="18"/>
                <w:szCs w:val="18"/>
              </w:rPr>
            </w:pPr>
            <w:r>
              <w:rPr>
                <w:rFonts w:ascii="宋体" w:hAnsi="宋体" w:eastAsia="宋体" w:cs="宋体"/>
                <w:sz w:val="18"/>
                <w:szCs w:val="18"/>
              </w:rPr>
              <w:t>29,980,545.78</w:t>
            </w:r>
          </w:p>
        </w:tc>
      </w:tr>
      <w:tr w14:paraId="491EB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F3DC86A">
            <w:pPr>
              <w:spacing w:line="240" w:lineRule="exact"/>
              <w:rPr>
                <w:rFonts w:ascii="宋体" w:hAnsi="宋体" w:eastAsia="宋体" w:cs="宋体"/>
                <w:sz w:val="18"/>
                <w:szCs w:val="18"/>
              </w:rPr>
            </w:pPr>
            <w:r>
              <w:rPr>
                <w:rFonts w:ascii="宋体" w:hAnsi="宋体" w:eastAsia="宋体" w:cs="宋体"/>
                <w:sz w:val="18"/>
                <w:szCs w:val="18"/>
              </w:rPr>
              <w:t> 宁波华孚东浩实业有限公司</w:t>
            </w:r>
          </w:p>
        </w:tc>
        <w:tc>
          <w:tcPr>
            <w:tcW w:w="630" w:type="dxa"/>
            <w:tcBorders>
              <w:top w:val="single" w:color="auto" w:sz="2" w:space="0"/>
              <w:left w:val="single" w:color="auto" w:sz="2" w:space="0"/>
              <w:bottom w:val="single" w:color="auto" w:sz="2" w:space="0"/>
              <w:right w:val="single" w:color="auto" w:sz="2" w:space="0"/>
            </w:tcBorders>
            <w:vAlign w:val="center"/>
          </w:tcPr>
          <w:p w14:paraId="6E61C7DE">
            <w:pPr>
              <w:spacing w:line="240" w:lineRule="exact"/>
              <w:rPr>
                <w:rFonts w:ascii="宋体" w:hAnsi="宋体" w:eastAsia="宋体" w:cs="宋体"/>
                <w:sz w:val="18"/>
                <w:szCs w:val="18"/>
              </w:rPr>
            </w:pPr>
            <w:r>
              <w:rPr>
                <w:rFonts w:ascii="宋体" w:hAnsi="宋体" w:eastAsia="宋体" w:cs="宋体"/>
                <w:sz w:val="18"/>
                <w:szCs w:val="18"/>
              </w:rPr>
              <w:t>子公司</w:t>
            </w:r>
          </w:p>
        </w:tc>
        <w:tc>
          <w:tcPr>
            <w:tcW w:w="1512" w:type="dxa"/>
            <w:tcBorders>
              <w:top w:val="single" w:color="auto" w:sz="2" w:space="0"/>
              <w:left w:val="single" w:color="auto" w:sz="2" w:space="0"/>
              <w:bottom w:val="single" w:color="auto" w:sz="2" w:space="0"/>
              <w:right w:val="single" w:color="auto" w:sz="2" w:space="0"/>
            </w:tcBorders>
            <w:vAlign w:val="center"/>
          </w:tcPr>
          <w:p w14:paraId="08418A41">
            <w:pPr>
              <w:spacing w:line="240" w:lineRule="exact"/>
              <w:rPr>
                <w:rFonts w:ascii="宋体" w:hAnsi="宋体" w:eastAsia="宋体" w:cs="宋体"/>
                <w:sz w:val="18"/>
                <w:szCs w:val="18"/>
              </w:rPr>
            </w:pPr>
            <w:r>
              <w:rPr>
                <w:rFonts w:ascii="宋体" w:hAnsi="宋体" w:eastAsia="宋体" w:cs="宋体"/>
                <w:sz w:val="18"/>
                <w:szCs w:val="18"/>
              </w:rPr>
              <w:t> 色纺纱、高新坯纱、OE纱等棉纺织品的批发，进出口业务</w:t>
            </w:r>
          </w:p>
        </w:tc>
        <w:tc>
          <w:tcPr>
            <w:tcW w:w="1071" w:type="dxa"/>
            <w:tcBorders>
              <w:top w:val="single" w:color="auto" w:sz="2" w:space="0"/>
              <w:left w:val="single" w:color="auto" w:sz="2" w:space="0"/>
              <w:bottom w:val="single" w:color="auto" w:sz="2" w:space="0"/>
              <w:right w:val="single" w:color="auto" w:sz="2" w:space="0"/>
            </w:tcBorders>
            <w:vAlign w:val="center"/>
          </w:tcPr>
          <w:p w14:paraId="141B3605">
            <w:pPr>
              <w:spacing w:line="240" w:lineRule="exact"/>
              <w:jc w:val="right"/>
              <w:rPr>
                <w:rFonts w:ascii="宋体" w:hAnsi="宋体" w:eastAsia="宋体" w:cs="宋体"/>
                <w:sz w:val="18"/>
                <w:szCs w:val="18"/>
              </w:rPr>
            </w:pPr>
            <w:r>
              <w:rPr>
                <w:rFonts w:ascii="宋体" w:hAnsi="宋体" w:eastAsia="宋体" w:cs="宋体"/>
                <w:sz w:val="18"/>
                <w:szCs w:val="18"/>
              </w:rPr>
              <w:t>50,000,000.00</w:t>
            </w:r>
          </w:p>
        </w:tc>
        <w:tc>
          <w:tcPr>
            <w:tcW w:w="1071" w:type="dxa"/>
            <w:tcBorders>
              <w:top w:val="single" w:color="auto" w:sz="2" w:space="0"/>
              <w:left w:val="single" w:color="auto" w:sz="2" w:space="0"/>
              <w:bottom w:val="single" w:color="auto" w:sz="2" w:space="0"/>
              <w:right w:val="single" w:color="auto" w:sz="2" w:space="0"/>
            </w:tcBorders>
            <w:vAlign w:val="center"/>
          </w:tcPr>
          <w:p w14:paraId="6B35E996">
            <w:pPr>
              <w:spacing w:line="240" w:lineRule="exact"/>
              <w:jc w:val="right"/>
              <w:rPr>
                <w:rFonts w:ascii="宋体" w:hAnsi="宋体" w:eastAsia="宋体" w:cs="宋体"/>
                <w:sz w:val="18"/>
                <w:szCs w:val="18"/>
              </w:rPr>
            </w:pPr>
            <w:r>
              <w:rPr>
                <w:rFonts w:ascii="宋体" w:hAnsi="宋体" w:eastAsia="宋体" w:cs="宋体"/>
                <w:sz w:val="18"/>
                <w:szCs w:val="18"/>
              </w:rPr>
              <w:t>1,101,476,937.58</w:t>
            </w:r>
          </w:p>
        </w:tc>
        <w:tc>
          <w:tcPr>
            <w:tcW w:w="1071" w:type="dxa"/>
            <w:tcBorders>
              <w:top w:val="single" w:color="auto" w:sz="2" w:space="0"/>
              <w:left w:val="single" w:color="auto" w:sz="2" w:space="0"/>
              <w:bottom w:val="single" w:color="auto" w:sz="2" w:space="0"/>
              <w:right w:val="single" w:color="auto" w:sz="2" w:space="0"/>
            </w:tcBorders>
            <w:vAlign w:val="center"/>
          </w:tcPr>
          <w:p w14:paraId="570BA72B">
            <w:pPr>
              <w:spacing w:line="240" w:lineRule="exact"/>
              <w:jc w:val="right"/>
              <w:rPr>
                <w:rFonts w:ascii="宋体" w:hAnsi="宋体" w:eastAsia="宋体" w:cs="宋体"/>
                <w:sz w:val="18"/>
                <w:szCs w:val="18"/>
              </w:rPr>
            </w:pPr>
            <w:r>
              <w:rPr>
                <w:rFonts w:ascii="宋体" w:hAnsi="宋体" w:eastAsia="宋体" w:cs="宋体"/>
                <w:sz w:val="18"/>
                <w:szCs w:val="18"/>
              </w:rPr>
              <w:t>-89,421,982.35</w:t>
            </w:r>
          </w:p>
        </w:tc>
        <w:tc>
          <w:tcPr>
            <w:tcW w:w="1071" w:type="dxa"/>
            <w:tcBorders>
              <w:top w:val="single" w:color="auto" w:sz="2" w:space="0"/>
              <w:left w:val="single" w:color="auto" w:sz="2" w:space="0"/>
              <w:bottom w:val="single" w:color="auto" w:sz="2" w:space="0"/>
              <w:right w:val="single" w:color="auto" w:sz="2" w:space="0"/>
            </w:tcBorders>
            <w:vAlign w:val="center"/>
          </w:tcPr>
          <w:p w14:paraId="054BC9BD">
            <w:pPr>
              <w:spacing w:line="240" w:lineRule="exact"/>
              <w:jc w:val="right"/>
              <w:rPr>
                <w:rFonts w:ascii="宋体" w:hAnsi="宋体" w:eastAsia="宋体" w:cs="宋体"/>
                <w:sz w:val="18"/>
                <w:szCs w:val="18"/>
              </w:rPr>
            </w:pPr>
            <w:r>
              <w:rPr>
                <w:rFonts w:ascii="宋体" w:hAnsi="宋体" w:eastAsia="宋体" w:cs="宋体"/>
                <w:sz w:val="18"/>
                <w:szCs w:val="18"/>
              </w:rPr>
              <w:t>2,892,546,638.92</w:t>
            </w:r>
          </w:p>
        </w:tc>
        <w:tc>
          <w:tcPr>
            <w:tcW w:w="1071" w:type="dxa"/>
            <w:tcBorders>
              <w:top w:val="single" w:color="auto" w:sz="2" w:space="0"/>
              <w:left w:val="single" w:color="auto" w:sz="2" w:space="0"/>
              <w:bottom w:val="single" w:color="auto" w:sz="2" w:space="0"/>
              <w:right w:val="single" w:color="auto" w:sz="2" w:space="0"/>
            </w:tcBorders>
            <w:vAlign w:val="center"/>
          </w:tcPr>
          <w:p w14:paraId="640A5981">
            <w:pPr>
              <w:spacing w:line="240" w:lineRule="exact"/>
              <w:jc w:val="right"/>
              <w:rPr>
                <w:rFonts w:ascii="宋体" w:hAnsi="宋体" w:eastAsia="宋体" w:cs="宋体"/>
                <w:sz w:val="18"/>
                <w:szCs w:val="18"/>
              </w:rPr>
            </w:pPr>
            <w:r>
              <w:rPr>
                <w:rFonts w:ascii="宋体" w:hAnsi="宋体" w:eastAsia="宋体" w:cs="宋体"/>
                <w:sz w:val="18"/>
                <w:szCs w:val="18"/>
              </w:rPr>
              <w:t>68,081,698.77</w:t>
            </w:r>
          </w:p>
        </w:tc>
        <w:tc>
          <w:tcPr>
            <w:tcW w:w="1071" w:type="dxa"/>
            <w:tcBorders>
              <w:top w:val="single" w:color="auto" w:sz="2" w:space="0"/>
              <w:left w:val="single" w:color="auto" w:sz="2" w:space="0"/>
              <w:bottom w:val="single" w:color="auto" w:sz="2" w:space="0"/>
              <w:right w:val="single" w:color="auto" w:sz="2" w:space="0"/>
            </w:tcBorders>
            <w:vAlign w:val="center"/>
          </w:tcPr>
          <w:p w14:paraId="62BAED10">
            <w:pPr>
              <w:spacing w:line="240" w:lineRule="exact"/>
              <w:jc w:val="right"/>
              <w:rPr>
                <w:rFonts w:ascii="宋体" w:hAnsi="宋体" w:eastAsia="宋体" w:cs="宋体"/>
                <w:sz w:val="18"/>
                <w:szCs w:val="18"/>
              </w:rPr>
            </w:pPr>
            <w:r>
              <w:rPr>
                <w:rFonts w:ascii="宋体" w:hAnsi="宋体" w:eastAsia="宋体" w:cs="宋体"/>
                <w:sz w:val="18"/>
                <w:szCs w:val="18"/>
              </w:rPr>
              <w:t>68,030,479.25</w:t>
            </w:r>
          </w:p>
        </w:tc>
      </w:tr>
      <w:tr w14:paraId="75B4F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97668AC">
            <w:pPr>
              <w:spacing w:line="240" w:lineRule="exact"/>
              <w:rPr>
                <w:rFonts w:ascii="宋体" w:hAnsi="宋体" w:eastAsia="宋体" w:cs="宋体"/>
                <w:sz w:val="18"/>
                <w:szCs w:val="18"/>
              </w:rPr>
            </w:pPr>
            <w:r>
              <w:rPr>
                <w:rFonts w:ascii="宋体" w:hAnsi="宋体" w:eastAsia="宋体" w:cs="宋体"/>
                <w:sz w:val="18"/>
                <w:szCs w:val="18"/>
              </w:rPr>
              <w:t> 新疆华孚棉业集团有限公司</w:t>
            </w:r>
          </w:p>
        </w:tc>
        <w:tc>
          <w:tcPr>
            <w:tcW w:w="630" w:type="dxa"/>
            <w:tcBorders>
              <w:top w:val="single" w:color="auto" w:sz="2" w:space="0"/>
              <w:left w:val="single" w:color="auto" w:sz="2" w:space="0"/>
              <w:bottom w:val="single" w:color="auto" w:sz="2" w:space="0"/>
              <w:right w:val="single" w:color="auto" w:sz="2" w:space="0"/>
            </w:tcBorders>
            <w:vAlign w:val="center"/>
          </w:tcPr>
          <w:p w14:paraId="4763AC3F">
            <w:pPr>
              <w:spacing w:line="240" w:lineRule="exact"/>
              <w:rPr>
                <w:rFonts w:ascii="宋体" w:hAnsi="宋体" w:eastAsia="宋体" w:cs="宋体"/>
                <w:sz w:val="18"/>
                <w:szCs w:val="18"/>
              </w:rPr>
            </w:pPr>
            <w:r>
              <w:rPr>
                <w:rFonts w:ascii="宋体" w:hAnsi="宋体" w:eastAsia="宋体" w:cs="宋体"/>
                <w:sz w:val="18"/>
                <w:szCs w:val="18"/>
              </w:rPr>
              <w:t>子公司</w:t>
            </w:r>
          </w:p>
        </w:tc>
        <w:tc>
          <w:tcPr>
            <w:tcW w:w="1512" w:type="dxa"/>
            <w:tcBorders>
              <w:top w:val="single" w:color="auto" w:sz="2" w:space="0"/>
              <w:left w:val="single" w:color="auto" w:sz="2" w:space="0"/>
              <w:bottom w:val="single" w:color="auto" w:sz="2" w:space="0"/>
              <w:right w:val="single" w:color="auto" w:sz="2" w:space="0"/>
            </w:tcBorders>
            <w:vAlign w:val="center"/>
          </w:tcPr>
          <w:p w14:paraId="28FAF16F">
            <w:pPr>
              <w:spacing w:line="240" w:lineRule="exact"/>
              <w:rPr>
                <w:rFonts w:ascii="宋体" w:hAnsi="宋体" w:eastAsia="宋体" w:cs="宋体"/>
                <w:sz w:val="18"/>
                <w:szCs w:val="18"/>
              </w:rPr>
            </w:pPr>
            <w:r>
              <w:rPr>
                <w:rFonts w:ascii="宋体" w:hAnsi="宋体" w:eastAsia="宋体" w:cs="宋体"/>
                <w:sz w:val="18"/>
                <w:szCs w:val="18"/>
              </w:rPr>
              <w:t>农产品初加工服务；社会经济咨询；股权投资；棉花种植，谷物种植，货物与技术的进出口（国家禁止或涉及行政审批的货物和技术进出口除外）；销售：食品、农副产品，纺织品、针织品及原料，服装鞋帽，纸浆，棉花，橡胶制品，棉纱，化工产品（危险化学品除外）</w:t>
            </w:r>
          </w:p>
        </w:tc>
        <w:tc>
          <w:tcPr>
            <w:tcW w:w="1071" w:type="dxa"/>
            <w:tcBorders>
              <w:top w:val="single" w:color="auto" w:sz="2" w:space="0"/>
              <w:left w:val="single" w:color="auto" w:sz="2" w:space="0"/>
              <w:bottom w:val="single" w:color="auto" w:sz="2" w:space="0"/>
              <w:right w:val="single" w:color="auto" w:sz="2" w:space="0"/>
            </w:tcBorders>
            <w:vAlign w:val="center"/>
          </w:tcPr>
          <w:p w14:paraId="2FE2B77A">
            <w:pPr>
              <w:spacing w:line="240" w:lineRule="exact"/>
              <w:jc w:val="right"/>
              <w:rPr>
                <w:rFonts w:ascii="宋体" w:hAnsi="宋体" w:eastAsia="宋体" w:cs="宋体"/>
                <w:sz w:val="18"/>
                <w:szCs w:val="18"/>
              </w:rPr>
            </w:pPr>
            <w:r>
              <w:rPr>
                <w:rFonts w:ascii="宋体" w:hAnsi="宋体" w:eastAsia="宋体" w:cs="宋体"/>
                <w:sz w:val="18"/>
                <w:szCs w:val="18"/>
              </w:rPr>
              <w:t>1,000,000,000.00</w:t>
            </w:r>
          </w:p>
        </w:tc>
        <w:tc>
          <w:tcPr>
            <w:tcW w:w="1071" w:type="dxa"/>
            <w:tcBorders>
              <w:top w:val="single" w:color="auto" w:sz="2" w:space="0"/>
              <w:left w:val="single" w:color="auto" w:sz="2" w:space="0"/>
              <w:bottom w:val="single" w:color="auto" w:sz="2" w:space="0"/>
              <w:right w:val="single" w:color="auto" w:sz="2" w:space="0"/>
            </w:tcBorders>
            <w:vAlign w:val="center"/>
          </w:tcPr>
          <w:p w14:paraId="5992E1A7">
            <w:pPr>
              <w:spacing w:line="240" w:lineRule="exact"/>
              <w:jc w:val="right"/>
              <w:rPr>
                <w:rFonts w:ascii="宋体" w:hAnsi="宋体" w:eastAsia="宋体" w:cs="宋体"/>
                <w:sz w:val="18"/>
                <w:szCs w:val="18"/>
              </w:rPr>
            </w:pPr>
            <w:r>
              <w:rPr>
                <w:rFonts w:ascii="宋体" w:hAnsi="宋体" w:eastAsia="宋体" w:cs="宋体"/>
                <w:sz w:val="18"/>
                <w:szCs w:val="18"/>
              </w:rPr>
              <w:t>2,237,864,582.17</w:t>
            </w:r>
          </w:p>
        </w:tc>
        <w:tc>
          <w:tcPr>
            <w:tcW w:w="1071" w:type="dxa"/>
            <w:tcBorders>
              <w:top w:val="single" w:color="auto" w:sz="2" w:space="0"/>
              <w:left w:val="single" w:color="auto" w:sz="2" w:space="0"/>
              <w:bottom w:val="single" w:color="auto" w:sz="2" w:space="0"/>
              <w:right w:val="single" w:color="auto" w:sz="2" w:space="0"/>
            </w:tcBorders>
            <w:vAlign w:val="center"/>
          </w:tcPr>
          <w:p w14:paraId="4E044D93">
            <w:pPr>
              <w:spacing w:line="240" w:lineRule="exact"/>
              <w:jc w:val="right"/>
              <w:rPr>
                <w:rFonts w:ascii="宋体" w:hAnsi="宋体" w:eastAsia="宋体" w:cs="宋体"/>
                <w:sz w:val="18"/>
                <w:szCs w:val="18"/>
              </w:rPr>
            </w:pPr>
            <w:r>
              <w:rPr>
                <w:rFonts w:ascii="宋体" w:hAnsi="宋体" w:eastAsia="宋体" w:cs="宋体"/>
                <w:sz w:val="18"/>
                <w:szCs w:val="18"/>
              </w:rPr>
              <w:t>1,093,313,517.65</w:t>
            </w:r>
          </w:p>
        </w:tc>
        <w:tc>
          <w:tcPr>
            <w:tcW w:w="1071" w:type="dxa"/>
            <w:tcBorders>
              <w:top w:val="single" w:color="auto" w:sz="2" w:space="0"/>
              <w:left w:val="single" w:color="auto" w:sz="2" w:space="0"/>
              <w:bottom w:val="single" w:color="auto" w:sz="2" w:space="0"/>
              <w:right w:val="single" w:color="auto" w:sz="2" w:space="0"/>
            </w:tcBorders>
            <w:vAlign w:val="center"/>
          </w:tcPr>
          <w:p w14:paraId="35EEC948">
            <w:pPr>
              <w:spacing w:line="240" w:lineRule="exact"/>
              <w:jc w:val="right"/>
              <w:rPr>
                <w:rFonts w:ascii="宋体" w:hAnsi="宋体" w:eastAsia="宋体" w:cs="宋体"/>
                <w:sz w:val="18"/>
                <w:szCs w:val="18"/>
              </w:rPr>
            </w:pPr>
            <w:r>
              <w:rPr>
                <w:rFonts w:ascii="宋体" w:hAnsi="宋体" w:eastAsia="宋体" w:cs="宋体"/>
                <w:sz w:val="18"/>
                <w:szCs w:val="18"/>
              </w:rPr>
              <w:t>2,439,326,049.12</w:t>
            </w:r>
          </w:p>
        </w:tc>
        <w:tc>
          <w:tcPr>
            <w:tcW w:w="1071" w:type="dxa"/>
            <w:tcBorders>
              <w:top w:val="single" w:color="auto" w:sz="2" w:space="0"/>
              <w:left w:val="single" w:color="auto" w:sz="2" w:space="0"/>
              <w:bottom w:val="single" w:color="auto" w:sz="2" w:space="0"/>
              <w:right w:val="single" w:color="auto" w:sz="2" w:space="0"/>
            </w:tcBorders>
            <w:vAlign w:val="center"/>
          </w:tcPr>
          <w:p w14:paraId="4C04C12B">
            <w:pPr>
              <w:spacing w:line="240" w:lineRule="exact"/>
              <w:jc w:val="right"/>
              <w:rPr>
                <w:rFonts w:ascii="宋体" w:hAnsi="宋体" w:eastAsia="宋体" w:cs="宋体"/>
                <w:sz w:val="18"/>
                <w:szCs w:val="18"/>
              </w:rPr>
            </w:pPr>
            <w:r>
              <w:rPr>
                <w:rFonts w:ascii="宋体" w:hAnsi="宋体" w:eastAsia="宋体" w:cs="宋体"/>
                <w:sz w:val="18"/>
                <w:szCs w:val="18"/>
              </w:rPr>
              <w:t>18,669,485.39</w:t>
            </w:r>
          </w:p>
        </w:tc>
        <w:tc>
          <w:tcPr>
            <w:tcW w:w="1071" w:type="dxa"/>
            <w:tcBorders>
              <w:top w:val="single" w:color="auto" w:sz="2" w:space="0"/>
              <w:left w:val="single" w:color="auto" w:sz="2" w:space="0"/>
              <w:bottom w:val="single" w:color="auto" w:sz="2" w:space="0"/>
              <w:right w:val="single" w:color="auto" w:sz="2" w:space="0"/>
            </w:tcBorders>
            <w:vAlign w:val="center"/>
          </w:tcPr>
          <w:p w14:paraId="5449B94F">
            <w:pPr>
              <w:spacing w:line="240" w:lineRule="exact"/>
              <w:jc w:val="right"/>
              <w:rPr>
                <w:rFonts w:ascii="宋体" w:hAnsi="宋体" w:eastAsia="宋体" w:cs="宋体"/>
                <w:sz w:val="18"/>
                <w:szCs w:val="18"/>
              </w:rPr>
            </w:pPr>
            <w:r>
              <w:rPr>
                <w:rFonts w:ascii="宋体" w:hAnsi="宋体" w:eastAsia="宋体" w:cs="宋体"/>
                <w:sz w:val="18"/>
                <w:szCs w:val="18"/>
              </w:rPr>
              <w:t>15,377,816.87</w:t>
            </w:r>
          </w:p>
        </w:tc>
      </w:tr>
      <w:tr w14:paraId="5E832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D879585">
            <w:pPr>
              <w:spacing w:line="240" w:lineRule="exact"/>
              <w:rPr>
                <w:rFonts w:ascii="宋体" w:hAnsi="宋体" w:eastAsia="宋体" w:cs="宋体"/>
                <w:sz w:val="18"/>
                <w:szCs w:val="18"/>
              </w:rPr>
            </w:pPr>
            <w:r>
              <w:rPr>
                <w:rFonts w:ascii="宋体" w:hAnsi="宋体" w:eastAsia="宋体" w:cs="宋体"/>
                <w:sz w:val="18"/>
                <w:szCs w:val="18"/>
              </w:rPr>
              <w:t> 浙江昇孚贸易有限公司</w:t>
            </w:r>
          </w:p>
        </w:tc>
        <w:tc>
          <w:tcPr>
            <w:tcW w:w="630" w:type="dxa"/>
            <w:tcBorders>
              <w:top w:val="single" w:color="auto" w:sz="2" w:space="0"/>
              <w:left w:val="single" w:color="auto" w:sz="2" w:space="0"/>
              <w:bottom w:val="single" w:color="auto" w:sz="2" w:space="0"/>
              <w:right w:val="single" w:color="auto" w:sz="2" w:space="0"/>
            </w:tcBorders>
            <w:vAlign w:val="center"/>
          </w:tcPr>
          <w:p w14:paraId="30A28ED5">
            <w:pPr>
              <w:spacing w:line="240" w:lineRule="exact"/>
              <w:rPr>
                <w:rFonts w:ascii="宋体" w:hAnsi="宋体" w:eastAsia="宋体" w:cs="宋体"/>
                <w:sz w:val="18"/>
                <w:szCs w:val="18"/>
              </w:rPr>
            </w:pPr>
            <w:r>
              <w:rPr>
                <w:rFonts w:ascii="宋体" w:hAnsi="宋体" w:eastAsia="宋体" w:cs="宋体"/>
                <w:sz w:val="18"/>
                <w:szCs w:val="18"/>
              </w:rPr>
              <w:t>子公司</w:t>
            </w:r>
          </w:p>
        </w:tc>
        <w:tc>
          <w:tcPr>
            <w:tcW w:w="1512" w:type="dxa"/>
            <w:tcBorders>
              <w:top w:val="single" w:color="auto" w:sz="2" w:space="0"/>
              <w:left w:val="single" w:color="auto" w:sz="2" w:space="0"/>
              <w:bottom w:val="single" w:color="auto" w:sz="2" w:space="0"/>
              <w:right w:val="single" w:color="auto" w:sz="2" w:space="0"/>
            </w:tcBorders>
            <w:vAlign w:val="center"/>
          </w:tcPr>
          <w:p w14:paraId="121D6C3F">
            <w:pPr>
              <w:spacing w:line="240" w:lineRule="exact"/>
              <w:rPr>
                <w:rFonts w:ascii="宋体" w:hAnsi="宋体" w:eastAsia="宋体" w:cs="宋体"/>
                <w:sz w:val="18"/>
                <w:szCs w:val="18"/>
              </w:rPr>
            </w:pPr>
            <w:r>
              <w:rPr>
                <w:rFonts w:ascii="宋体" w:hAnsi="宋体" w:eastAsia="宋体" w:cs="宋体"/>
                <w:sz w:val="18"/>
                <w:szCs w:val="18"/>
              </w:rPr>
              <w:t> 棉花、化纤及纱线、纺织品、染料及助剂、化工产品（以上除危险化学品和易制毒品外）、棉机配件、包装材料的销售；籽棉及棉副产品的收购及销售；进出口业务。</w:t>
            </w:r>
          </w:p>
        </w:tc>
        <w:tc>
          <w:tcPr>
            <w:tcW w:w="1071" w:type="dxa"/>
            <w:tcBorders>
              <w:top w:val="single" w:color="auto" w:sz="2" w:space="0"/>
              <w:left w:val="single" w:color="auto" w:sz="2" w:space="0"/>
              <w:bottom w:val="single" w:color="auto" w:sz="2" w:space="0"/>
              <w:right w:val="single" w:color="auto" w:sz="2" w:space="0"/>
            </w:tcBorders>
            <w:vAlign w:val="center"/>
          </w:tcPr>
          <w:p w14:paraId="4142366E">
            <w:pPr>
              <w:spacing w:line="240" w:lineRule="exact"/>
              <w:jc w:val="right"/>
              <w:rPr>
                <w:rFonts w:ascii="宋体" w:hAnsi="宋体" w:eastAsia="宋体" w:cs="宋体"/>
                <w:sz w:val="18"/>
                <w:szCs w:val="18"/>
              </w:rPr>
            </w:pPr>
            <w:r>
              <w:rPr>
                <w:rFonts w:ascii="宋体" w:hAnsi="宋体" w:eastAsia="宋体" w:cs="宋体"/>
                <w:sz w:val="18"/>
                <w:szCs w:val="18"/>
              </w:rPr>
              <w:t>49,497,897.00</w:t>
            </w:r>
          </w:p>
        </w:tc>
        <w:tc>
          <w:tcPr>
            <w:tcW w:w="1071" w:type="dxa"/>
            <w:tcBorders>
              <w:top w:val="single" w:color="auto" w:sz="2" w:space="0"/>
              <w:left w:val="single" w:color="auto" w:sz="2" w:space="0"/>
              <w:bottom w:val="single" w:color="auto" w:sz="2" w:space="0"/>
              <w:right w:val="single" w:color="auto" w:sz="2" w:space="0"/>
            </w:tcBorders>
            <w:vAlign w:val="center"/>
          </w:tcPr>
          <w:p w14:paraId="7C78060B">
            <w:pPr>
              <w:spacing w:line="240" w:lineRule="exact"/>
              <w:jc w:val="right"/>
              <w:rPr>
                <w:rFonts w:ascii="宋体" w:hAnsi="宋体" w:eastAsia="宋体" w:cs="宋体"/>
                <w:sz w:val="18"/>
                <w:szCs w:val="18"/>
              </w:rPr>
            </w:pPr>
            <w:r>
              <w:rPr>
                <w:rFonts w:ascii="宋体" w:hAnsi="宋体" w:eastAsia="宋体" w:cs="宋体"/>
                <w:sz w:val="18"/>
                <w:szCs w:val="18"/>
              </w:rPr>
              <w:t>274,433,140.84</w:t>
            </w:r>
          </w:p>
        </w:tc>
        <w:tc>
          <w:tcPr>
            <w:tcW w:w="1071" w:type="dxa"/>
            <w:tcBorders>
              <w:top w:val="single" w:color="auto" w:sz="2" w:space="0"/>
              <w:left w:val="single" w:color="auto" w:sz="2" w:space="0"/>
              <w:bottom w:val="single" w:color="auto" w:sz="2" w:space="0"/>
              <w:right w:val="single" w:color="auto" w:sz="2" w:space="0"/>
            </w:tcBorders>
            <w:vAlign w:val="center"/>
          </w:tcPr>
          <w:p w14:paraId="25B6561C">
            <w:pPr>
              <w:spacing w:line="240" w:lineRule="exact"/>
              <w:jc w:val="right"/>
              <w:rPr>
                <w:rFonts w:ascii="宋体" w:hAnsi="宋体" w:eastAsia="宋体" w:cs="宋体"/>
                <w:sz w:val="18"/>
                <w:szCs w:val="18"/>
              </w:rPr>
            </w:pPr>
            <w:r>
              <w:rPr>
                <w:rFonts w:ascii="宋体" w:hAnsi="宋体" w:eastAsia="宋体" w:cs="宋体"/>
                <w:sz w:val="18"/>
                <w:szCs w:val="18"/>
              </w:rPr>
              <w:t>-26,775,633.54</w:t>
            </w:r>
          </w:p>
        </w:tc>
        <w:tc>
          <w:tcPr>
            <w:tcW w:w="1071" w:type="dxa"/>
            <w:tcBorders>
              <w:top w:val="single" w:color="auto" w:sz="2" w:space="0"/>
              <w:left w:val="single" w:color="auto" w:sz="2" w:space="0"/>
              <w:bottom w:val="single" w:color="auto" w:sz="2" w:space="0"/>
              <w:right w:val="single" w:color="auto" w:sz="2" w:space="0"/>
            </w:tcBorders>
            <w:vAlign w:val="center"/>
          </w:tcPr>
          <w:p w14:paraId="2BDA6E6E">
            <w:pPr>
              <w:spacing w:line="240" w:lineRule="exact"/>
              <w:jc w:val="right"/>
              <w:rPr>
                <w:rFonts w:ascii="宋体" w:hAnsi="宋体" w:eastAsia="宋体" w:cs="宋体"/>
                <w:sz w:val="18"/>
                <w:szCs w:val="18"/>
              </w:rPr>
            </w:pPr>
            <w:r>
              <w:rPr>
                <w:rFonts w:ascii="宋体" w:hAnsi="宋体" w:eastAsia="宋体" w:cs="宋体"/>
                <w:sz w:val="18"/>
                <w:szCs w:val="18"/>
              </w:rPr>
              <w:t>1,061,010,451.43</w:t>
            </w:r>
          </w:p>
        </w:tc>
        <w:tc>
          <w:tcPr>
            <w:tcW w:w="1071" w:type="dxa"/>
            <w:tcBorders>
              <w:top w:val="single" w:color="auto" w:sz="2" w:space="0"/>
              <w:left w:val="single" w:color="auto" w:sz="2" w:space="0"/>
              <w:bottom w:val="single" w:color="auto" w:sz="2" w:space="0"/>
              <w:right w:val="single" w:color="auto" w:sz="2" w:space="0"/>
            </w:tcBorders>
            <w:vAlign w:val="center"/>
          </w:tcPr>
          <w:p w14:paraId="24F19114">
            <w:pPr>
              <w:spacing w:line="240" w:lineRule="exact"/>
              <w:jc w:val="right"/>
              <w:rPr>
                <w:rFonts w:ascii="宋体" w:hAnsi="宋体" w:eastAsia="宋体" w:cs="宋体"/>
                <w:sz w:val="18"/>
                <w:szCs w:val="18"/>
              </w:rPr>
            </w:pPr>
            <w:r>
              <w:rPr>
                <w:rFonts w:ascii="宋体" w:hAnsi="宋体" w:eastAsia="宋体" w:cs="宋体"/>
                <w:sz w:val="18"/>
                <w:szCs w:val="18"/>
              </w:rPr>
              <w:t>32,883,331.39</w:t>
            </w:r>
          </w:p>
        </w:tc>
        <w:tc>
          <w:tcPr>
            <w:tcW w:w="1071" w:type="dxa"/>
            <w:tcBorders>
              <w:top w:val="single" w:color="auto" w:sz="2" w:space="0"/>
              <w:left w:val="single" w:color="auto" w:sz="2" w:space="0"/>
              <w:bottom w:val="single" w:color="auto" w:sz="2" w:space="0"/>
              <w:right w:val="single" w:color="auto" w:sz="2" w:space="0"/>
            </w:tcBorders>
            <w:vAlign w:val="center"/>
          </w:tcPr>
          <w:p w14:paraId="722B5266">
            <w:pPr>
              <w:spacing w:line="240" w:lineRule="exact"/>
              <w:jc w:val="right"/>
              <w:rPr>
                <w:rFonts w:ascii="宋体" w:hAnsi="宋体" w:eastAsia="宋体" w:cs="宋体"/>
                <w:sz w:val="18"/>
                <w:szCs w:val="18"/>
              </w:rPr>
            </w:pPr>
            <w:r>
              <w:rPr>
                <w:rFonts w:ascii="宋体" w:hAnsi="宋体" w:eastAsia="宋体" w:cs="宋体"/>
                <w:sz w:val="18"/>
                <w:szCs w:val="18"/>
              </w:rPr>
              <w:t>32,883,331.59</w:t>
            </w:r>
          </w:p>
        </w:tc>
      </w:tr>
      <w:tr w14:paraId="1CE03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1FACEC4">
            <w:pPr>
              <w:spacing w:line="240" w:lineRule="exact"/>
              <w:rPr>
                <w:rFonts w:ascii="宋体" w:hAnsi="宋体" w:eastAsia="宋体" w:cs="宋体"/>
                <w:sz w:val="18"/>
                <w:szCs w:val="18"/>
              </w:rPr>
            </w:pPr>
            <w:r>
              <w:rPr>
                <w:rFonts w:ascii="宋体" w:hAnsi="宋体" w:eastAsia="宋体" w:cs="宋体"/>
                <w:sz w:val="18"/>
                <w:szCs w:val="18"/>
              </w:rPr>
              <w:t> 香港天成贸易有限公司</w:t>
            </w:r>
          </w:p>
        </w:tc>
        <w:tc>
          <w:tcPr>
            <w:tcW w:w="630" w:type="dxa"/>
            <w:tcBorders>
              <w:top w:val="single" w:color="auto" w:sz="2" w:space="0"/>
              <w:left w:val="single" w:color="auto" w:sz="2" w:space="0"/>
              <w:bottom w:val="single" w:color="auto" w:sz="2" w:space="0"/>
              <w:right w:val="single" w:color="auto" w:sz="2" w:space="0"/>
            </w:tcBorders>
            <w:vAlign w:val="center"/>
          </w:tcPr>
          <w:p w14:paraId="770029B1">
            <w:pPr>
              <w:spacing w:line="240" w:lineRule="exact"/>
              <w:rPr>
                <w:rFonts w:ascii="宋体" w:hAnsi="宋体" w:eastAsia="宋体" w:cs="宋体"/>
                <w:sz w:val="18"/>
                <w:szCs w:val="18"/>
              </w:rPr>
            </w:pPr>
            <w:r>
              <w:rPr>
                <w:rFonts w:ascii="宋体" w:hAnsi="宋体" w:eastAsia="宋体" w:cs="宋体"/>
                <w:sz w:val="18"/>
                <w:szCs w:val="18"/>
              </w:rPr>
              <w:t>子公司</w:t>
            </w:r>
          </w:p>
        </w:tc>
        <w:tc>
          <w:tcPr>
            <w:tcW w:w="1512" w:type="dxa"/>
            <w:tcBorders>
              <w:top w:val="single" w:color="auto" w:sz="2" w:space="0"/>
              <w:left w:val="single" w:color="auto" w:sz="2" w:space="0"/>
              <w:bottom w:val="single" w:color="auto" w:sz="2" w:space="0"/>
              <w:right w:val="single" w:color="auto" w:sz="2" w:space="0"/>
            </w:tcBorders>
            <w:vAlign w:val="center"/>
          </w:tcPr>
          <w:p w14:paraId="32F7BF92">
            <w:pPr>
              <w:spacing w:line="240" w:lineRule="exac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983A669">
            <w:pPr>
              <w:spacing w:line="240" w:lineRule="exact"/>
              <w:jc w:val="right"/>
              <w:rPr>
                <w:rFonts w:ascii="宋体" w:hAnsi="宋体" w:eastAsia="宋体" w:cs="宋体"/>
                <w:sz w:val="18"/>
                <w:szCs w:val="18"/>
              </w:rPr>
            </w:pPr>
            <w:r>
              <w:rPr>
                <w:rFonts w:ascii="宋体" w:hAnsi="宋体" w:eastAsia="宋体" w:cs="宋体"/>
                <w:sz w:val="18"/>
                <w:szCs w:val="18"/>
              </w:rPr>
              <w:t>-</w:t>
            </w:r>
          </w:p>
        </w:tc>
        <w:tc>
          <w:tcPr>
            <w:tcW w:w="1071" w:type="dxa"/>
            <w:tcBorders>
              <w:top w:val="single" w:color="auto" w:sz="2" w:space="0"/>
              <w:left w:val="single" w:color="auto" w:sz="2" w:space="0"/>
              <w:bottom w:val="single" w:color="auto" w:sz="2" w:space="0"/>
              <w:right w:val="single" w:color="auto" w:sz="2" w:space="0"/>
            </w:tcBorders>
            <w:vAlign w:val="center"/>
          </w:tcPr>
          <w:p w14:paraId="78D83F34">
            <w:pPr>
              <w:spacing w:line="240" w:lineRule="exact"/>
              <w:jc w:val="right"/>
              <w:rPr>
                <w:rFonts w:ascii="宋体" w:hAnsi="宋体" w:eastAsia="宋体" w:cs="宋体"/>
                <w:sz w:val="18"/>
                <w:szCs w:val="18"/>
              </w:rPr>
            </w:pPr>
            <w:r>
              <w:rPr>
                <w:rFonts w:ascii="宋体" w:hAnsi="宋体" w:eastAsia="宋体" w:cs="宋体"/>
                <w:sz w:val="18"/>
                <w:szCs w:val="18"/>
              </w:rPr>
              <w:t>277,981,584.99</w:t>
            </w:r>
          </w:p>
        </w:tc>
        <w:tc>
          <w:tcPr>
            <w:tcW w:w="1071" w:type="dxa"/>
            <w:tcBorders>
              <w:top w:val="single" w:color="auto" w:sz="2" w:space="0"/>
              <w:left w:val="single" w:color="auto" w:sz="2" w:space="0"/>
              <w:bottom w:val="single" w:color="auto" w:sz="2" w:space="0"/>
              <w:right w:val="single" w:color="auto" w:sz="2" w:space="0"/>
            </w:tcBorders>
            <w:vAlign w:val="center"/>
          </w:tcPr>
          <w:p w14:paraId="282C1A04">
            <w:pPr>
              <w:spacing w:line="240" w:lineRule="exact"/>
              <w:jc w:val="right"/>
              <w:rPr>
                <w:rFonts w:ascii="宋体" w:hAnsi="宋体" w:eastAsia="宋体" w:cs="宋体"/>
                <w:sz w:val="18"/>
                <w:szCs w:val="18"/>
              </w:rPr>
            </w:pPr>
            <w:r>
              <w:rPr>
                <w:rFonts w:ascii="宋体" w:hAnsi="宋体" w:eastAsia="宋体" w:cs="宋体"/>
                <w:sz w:val="18"/>
                <w:szCs w:val="18"/>
              </w:rPr>
              <w:t>31,201,368.88</w:t>
            </w:r>
          </w:p>
        </w:tc>
        <w:tc>
          <w:tcPr>
            <w:tcW w:w="1071" w:type="dxa"/>
            <w:tcBorders>
              <w:top w:val="single" w:color="auto" w:sz="2" w:space="0"/>
              <w:left w:val="single" w:color="auto" w:sz="2" w:space="0"/>
              <w:bottom w:val="single" w:color="auto" w:sz="2" w:space="0"/>
              <w:right w:val="single" w:color="auto" w:sz="2" w:space="0"/>
            </w:tcBorders>
            <w:vAlign w:val="center"/>
          </w:tcPr>
          <w:p w14:paraId="0AEC2CD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77A271C">
            <w:pPr>
              <w:spacing w:line="240" w:lineRule="exact"/>
              <w:jc w:val="right"/>
              <w:rPr>
                <w:rFonts w:ascii="宋体" w:hAnsi="宋体" w:eastAsia="宋体" w:cs="宋体"/>
                <w:sz w:val="18"/>
                <w:szCs w:val="18"/>
              </w:rPr>
            </w:pPr>
            <w:r>
              <w:rPr>
                <w:rFonts w:ascii="宋体" w:hAnsi="宋体" w:eastAsia="宋体" w:cs="宋体"/>
                <w:sz w:val="18"/>
                <w:szCs w:val="18"/>
              </w:rPr>
              <w:t>10,231,499.17</w:t>
            </w:r>
          </w:p>
        </w:tc>
        <w:tc>
          <w:tcPr>
            <w:tcW w:w="1071" w:type="dxa"/>
            <w:tcBorders>
              <w:top w:val="single" w:color="auto" w:sz="2" w:space="0"/>
              <w:left w:val="single" w:color="auto" w:sz="2" w:space="0"/>
              <w:bottom w:val="single" w:color="auto" w:sz="2" w:space="0"/>
              <w:right w:val="single" w:color="auto" w:sz="2" w:space="0"/>
            </w:tcBorders>
            <w:vAlign w:val="center"/>
          </w:tcPr>
          <w:p w14:paraId="707975A1">
            <w:pPr>
              <w:spacing w:line="240" w:lineRule="exact"/>
              <w:jc w:val="right"/>
              <w:rPr>
                <w:rFonts w:ascii="宋体" w:hAnsi="宋体" w:eastAsia="宋体" w:cs="宋体"/>
                <w:sz w:val="18"/>
                <w:szCs w:val="18"/>
              </w:rPr>
            </w:pPr>
            <w:r>
              <w:rPr>
                <w:rFonts w:ascii="宋体" w:hAnsi="宋体" w:eastAsia="宋体" w:cs="宋体"/>
                <w:sz w:val="18"/>
                <w:szCs w:val="18"/>
              </w:rPr>
              <w:t>10,028,630.73</w:t>
            </w:r>
          </w:p>
        </w:tc>
      </w:tr>
      <w:tr w14:paraId="4F056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7D23985">
            <w:pPr>
              <w:spacing w:line="240" w:lineRule="exact"/>
              <w:rPr>
                <w:rFonts w:ascii="宋体" w:hAnsi="宋体" w:eastAsia="宋体" w:cs="宋体"/>
                <w:sz w:val="18"/>
                <w:szCs w:val="18"/>
              </w:rPr>
            </w:pPr>
            <w:r>
              <w:rPr>
                <w:rFonts w:ascii="宋体" w:hAnsi="宋体" w:eastAsia="宋体" w:cs="宋体"/>
                <w:sz w:val="18"/>
                <w:szCs w:val="18"/>
              </w:rPr>
              <w:t> 浙江恒孚贸易有限公司</w:t>
            </w:r>
          </w:p>
        </w:tc>
        <w:tc>
          <w:tcPr>
            <w:tcW w:w="630" w:type="dxa"/>
            <w:tcBorders>
              <w:top w:val="single" w:color="auto" w:sz="2" w:space="0"/>
              <w:left w:val="single" w:color="auto" w:sz="2" w:space="0"/>
              <w:bottom w:val="single" w:color="auto" w:sz="2" w:space="0"/>
              <w:right w:val="single" w:color="auto" w:sz="2" w:space="0"/>
            </w:tcBorders>
            <w:vAlign w:val="center"/>
          </w:tcPr>
          <w:p w14:paraId="25A4E307">
            <w:pPr>
              <w:spacing w:line="240" w:lineRule="exact"/>
              <w:rPr>
                <w:rFonts w:ascii="宋体" w:hAnsi="宋体" w:eastAsia="宋体" w:cs="宋体"/>
                <w:sz w:val="18"/>
                <w:szCs w:val="18"/>
              </w:rPr>
            </w:pPr>
            <w:r>
              <w:rPr>
                <w:rFonts w:ascii="宋体" w:hAnsi="宋体" w:eastAsia="宋体" w:cs="宋体"/>
                <w:sz w:val="18"/>
                <w:szCs w:val="18"/>
              </w:rPr>
              <w:t>子公司</w:t>
            </w:r>
          </w:p>
        </w:tc>
        <w:tc>
          <w:tcPr>
            <w:tcW w:w="1512" w:type="dxa"/>
            <w:tcBorders>
              <w:top w:val="single" w:color="auto" w:sz="2" w:space="0"/>
              <w:left w:val="single" w:color="auto" w:sz="2" w:space="0"/>
              <w:bottom w:val="single" w:color="auto" w:sz="2" w:space="0"/>
              <w:right w:val="single" w:color="auto" w:sz="2" w:space="0"/>
            </w:tcBorders>
            <w:vAlign w:val="center"/>
          </w:tcPr>
          <w:p w14:paraId="1AC855C9">
            <w:pPr>
              <w:spacing w:line="240" w:lineRule="exact"/>
              <w:rPr>
                <w:rFonts w:ascii="宋体" w:hAnsi="宋体" w:eastAsia="宋体" w:cs="宋体"/>
                <w:sz w:val="18"/>
                <w:szCs w:val="18"/>
              </w:rPr>
            </w:pPr>
            <w:r>
              <w:rPr>
                <w:rFonts w:ascii="宋体" w:hAnsi="宋体" w:eastAsia="宋体" w:cs="宋体"/>
                <w:sz w:val="18"/>
                <w:szCs w:val="18"/>
              </w:rPr>
              <w:t>化工产品销售（不含许可类化工产品）；针纺织品及原料销售；棉花收购；橡胶制品销售；合成纤维销售；染料销售；塑料制品销售；工艺美术品及收藏品批发（象牙及其制品除外）；建筑材料销售；机械设备销售；五金产品批发；保温材料销售；建筑防水卷材产品销售；石油制品销售（不含危险化学品）；木材销售；水泥制品销售；润滑油销售；非金属矿及制品销售；服装服饰批发；服装辅料销售；纸浆销售；纸制品销售；有色金属合金销售；包装材料及制品销售；普通货物仓储服务（不含危险化学品等需许可审批的项目）；货物进出口；技术进出口；信息咨询服务（不含许可类信息咨询服务）(除依法须经批准的项目外，凭营业执照依法自主开展经营活动)。</w:t>
            </w:r>
          </w:p>
        </w:tc>
        <w:tc>
          <w:tcPr>
            <w:tcW w:w="1071" w:type="dxa"/>
            <w:tcBorders>
              <w:top w:val="single" w:color="auto" w:sz="2" w:space="0"/>
              <w:left w:val="single" w:color="auto" w:sz="2" w:space="0"/>
              <w:bottom w:val="single" w:color="auto" w:sz="2" w:space="0"/>
              <w:right w:val="single" w:color="auto" w:sz="2" w:space="0"/>
            </w:tcBorders>
            <w:vAlign w:val="center"/>
          </w:tcPr>
          <w:p w14:paraId="6EF423DF">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071" w:type="dxa"/>
            <w:tcBorders>
              <w:top w:val="single" w:color="auto" w:sz="2" w:space="0"/>
              <w:left w:val="single" w:color="auto" w:sz="2" w:space="0"/>
              <w:bottom w:val="single" w:color="auto" w:sz="2" w:space="0"/>
              <w:right w:val="single" w:color="auto" w:sz="2" w:space="0"/>
            </w:tcBorders>
            <w:vAlign w:val="center"/>
          </w:tcPr>
          <w:p w14:paraId="1F83C382">
            <w:pPr>
              <w:spacing w:line="240" w:lineRule="exact"/>
              <w:jc w:val="right"/>
              <w:rPr>
                <w:rFonts w:ascii="宋体" w:hAnsi="宋体" w:eastAsia="宋体" w:cs="宋体"/>
                <w:sz w:val="18"/>
                <w:szCs w:val="18"/>
              </w:rPr>
            </w:pPr>
            <w:r>
              <w:rPr>
                <w:rFonts w:ascii="宋体" w:hAnsi="宋体" w:eastAsia="宋体" w:cs="宋体"/>
                <w:sz w:val="18"/>
                <w:szCs w:val="18"/>
              </w:rPr>
              <w:t>146,271,143.76</w:t>
            </w:r>
          </w:p>
        </w:tc>
        <w:tc>
          <w:tcPr>
            <w:tcW w:w="1071" w:type="dxa"/>
            <w:tcBorders>
              <w:top w:val="single" w:color="auto" w:sz="2" w:space="0"/>
              <w:left w:val="single" w:color="auto" w:sz="2" w:space="0"/>
              <w:bottom w:val="single" w:color="auto" w:sz="2" w:space="0"/>
              <w:right w:val="single" w:color="auto" w:sz="2" w:space="0"/>
            </w:tcBorders>
            <w:vAlign w:val="center"/>
          </w:tcPr>
          <w:p w14:paraId="39E149D9">
            <w:pPr>
              <w:spacing w:line="240" w:lineRule="exact"/>
              <w:jc w:val="right"/>
              <w:rPr>
                <w:rFonts w:ascii="宋体" w:hAnsi="宋体" w:eastAsia="宋体" w:cs="宋体"/>
                <w:sz w:val="18"/>
                <w:szCs w:val="18"/>
              </w:rPr>
            </w:pPr>
            <w:r>
              <w:rPr>
                <w:rFonts w:ascii="宋体" w:hAnsi="宋体" w:eastAsia="宋体" w:cs="宋体"/>
                <w:sz w:val="18"/>
                <w:szCs w:val="18"/>
              </w:rPr>
              <w:t>-216,624.16</w:t>
            </w:r>
          </w:p>
        </w:tc>
        <w:tc>
          <w:tcPr>
            <w:tcW w:w="1071" w:type="dxa"/>
            <w:tcBorders>
              <w:top w:val="single" w:color="auto" w:sz="2" w:space="0"/>
              <w:left w:val="single" w:color="auto" w:sz="2" w:space="0"/>
              <w:bottom w:val="single" w:color="auto" w:sz="2" w:space="0"/>
              <w:right w:val="single" w:color="auto" w:sz="2" w:space="0"/>
            </w:tcBorders>
            <w:vAlign w:val="center"/>
          </w:tcPr>
          <w:p w14:paraId="6C7576C2">
            <w:pPr>
              <w:spacing w:line="240" w:lineRule="exact"/>
              <w:jc w:val="right"/>
              <w:rPr>
                <w:rFonts w:ascii="宋体" w:hAnsi="宋体" w:eastAsia="宋体" w:cs="宋体"/>
                <w:sz w:val="18"/>
                <w:szCs w:val="18"/>
              </w:rPr>
            </w:pPr>
            <w:r>
              <w:rPr>
                <w:rFonts w:ascii="宋体" w:hAnsi="宋体" w:eastAsia="宋体" w:cs="宋体"/>
                <w:sz w:val="18"/>
                <w:szCs w:val="18"/>
              </w:rPr>
              <w:t>644,507,422.95</w:t>
            </w:r>
          </w:p>
        </w:tc>
        <w:tc>
          <w:tcPr>
            <w:tcW w:w="1071" w:type="dxa"/>
            <w:tcBorders>
              <w:top w:val="single" w:color="auto" w:sz="2" w:space="0"/>
              <w:left w:val="single" w:color="auto" w:sz="2" w:space="0"/>
              <w:bottom w:val="single" w:color="auto" w:sz="2" w:space="0"/>
              <w:right w:val="single" w:color="auto" w:sz="2" w:space="0"/>
            </w:tcBorders>
            <w:vAlign w:val="center"/>
          </w:tcPr>
          <w:p w14:paraId="4DC1FAD4">
            <w:pPr>
              <w:spacing w:line="240" w:lineRule="exact"/>
              <w:jc w:val="right"/>
              <w:rPr>
                <w:rFonts w:ascii="宋体" w:hAnsi="宋体" w:eastAsia="宋体" w:cs="宋体"/>
                <w:sz w:val="18"/>
                <w:szCs w:val="18"/>
              </w:rPr>
            </w:pPr>
            <w:r>
              <w:rPr>
                <w:rFonts w:ascii="宋体" w:hAnsi="宋体" w:eastAsia="宋体" w:cs="宋体"/>
                <w:sz w:val="18"/>
                <w:szCs w:val="18"/>
              </w:rPr>
              <w:t>20,902,599.26</w:t>
            </w:r>
          </w:p>
        </w:tc>
        <w:tc>
          <w:tcPr>
            <w:tcW w:w="1071" w:type="dxa"/>
            <w:tcBorders>
              <w:top w:val="single" w:color="auto" w:sz="2" w:space="0"/>
              <w:left w:val="single" w:color="auto" w:sz="2" w:space="0"/>
              <w:bottom w:val="single" w:color="auto" w:sz="2" w:space="0"/>
              <w:right w:val="single" w:color="auto" w:sz="2" w:space="0"/>
            </w:tcBorders>
            <w:vAlign w:val="center"/>
          </w:tcPr>
          <w:p w14:paraId="699166C7">
            <w:pPr>
              <w:spacing w:line="240" w:lineRule="exact"/>
              <w:jc w:val="right"/>
              <w:rPr>
                <w:rFonts w:ascii="宋体" w:hAnsi="宋体" w:eastAsia="宋体" w:cs="宋体"/>
                <w:sz w:val="18"/>
                <w:szCs w:val="18"/>
              </w:rPr>
            </w:pPr>
            <w:r>
              <w:rPr>
                <w:rFonts w:ascii="宋体" w:hAnsi="宋体" w:eastAsia="宋体" w:cs="宋体"/>
                <w:sz w:val="18"/>
                <w:szCs w:val="18"/>
              </w:rPr>
              <w:t>20,989,888.30</w:t>
            </w:r>
          </w:p>
        </w:tc>
      </w:tr>
    </w:tbl>
    <w:p w14:paraId="2B0EBD03">
      <w:pPr>
        <w:spacing w:before="100" w:after="100" w:line="240" w:lineRule="exact"/>
        <w:rPr>
          <w:rFonts w:ascii="宋体" w:hAnsi="宋体" w:eastAsia="宋体" w:cs="宋体"/>
          <w:sz w:val="18"/>
          <w:szCs w:val="18"/>
        </w:rPr>
      </w:pPr>
      <w:r>
        <w:rPr>
          <w:rFonts w:ascii="宋体" w:hAnsi="宋体" w:eastAsia="宋体" w:cs="宋体"/>
          <w:sz w:val="18"/>
          <w:szCs w:val="18"/>
        </w:rPr>
        <w:t>报告期内取得和处置子公司的情况</w:t>
      </w:r>
    </w:p>
    <w:p w14:paraId="30FDB33C">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929D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A4810E">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D04842">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报告期内取得和处置子公司方式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68FD34">
            <w:pPr>
              <w:spacing w:before="40" w:after="40" w:line="240" w:lineRule="exact"/>
              <w:jc w:val="center"/>
              <w:rPr>
                <w:rFonts w:ascii="宋体" w:hAnsi="宋体" w:eastAsia="宋体" w:cs="宋体"/>
                <w:sz w:val="18"/>
                <w:szCs w:val="18"/>
              </w:rPr>
            </w:pPr>
            <w:r>
              <w:rPr>
                <w:rFonts w:ascii="宋体" w:hAnsi="宋体" w:eastAsia="宋体" w:cs="宋体"/>
                <w:sz w:val="18"/>
                <w:szCs w:val="18"/>
              </w:rPr>
              <w:t>对整体生产经营和业绩的影响</w:t>
            </w:r>
          </w:p>
        </w:tc>
      </w:tr>
      <w:tr w14:paraId="2242B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DB7BFB3">
            <w:pPr>
              <w:spacing w:line="240" w:lineRule="exact"/>
              <w:rPr>
                <w:rFonts w:ascii="宋体" w:hAnsi="宋体" w:eastAsia="宋体" w:cs="宋体"/>
                <w:sz w:val="18"/>
                <w:szCs w:val="18"/>
              </w:rPr>
            </w:pPr>
            <w:r>
              <w:rPr>
                <w:rFonts w:ascii="宋体" w:hAnsi="宋体" w:eastAsia="宋体" w:cs="宋体"/>
                <w:sz w:val="18"/>
                <w:szCs w:val="18"/>
              </w:rPr>
              <w:t>新疆硕丰种业有限公司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6AAE7C2F">
            <w:pPr>
              <w:spacing w:line="240" w:lineRule="exact"/>
              <w:rPr>
                <w:rFonts w:ascii="宋体" w:hAnsi="宋体" w:eastAsia="宋体" w:cs="宋体"/>
                <w:sz w:val="18"/>
                <w:szCs w:val="18"/>
              </w:rPr>
            </w:pPr>
            <w:r>
              <w:rPr>
                <w:rFonts w:ascii="宋体" w:hAnsi="宋体" w:eastAsia="宋体" w:cs="宋体"/>
                <w:sz w:val="18"/>
                <w:szCs w:val="18"/>
              </w:rPr>
              <w:t>收购</w:t>
            </w:r>
          </w:p>
        </w:tc>
        <w:tc>
          <w:tcPr>
            <w:tcW w:w="3213" w:type="dxa"/>
            <w:tcBorders>
              <w:top w:val="single" w:color="auto" w:sz="2" w:space="0"/>
              <w:left w:val="single" w:color="auto" w:sz="2" w:space="0"/>
              <w:bottom w:val="single" w:color="auto" w:sz="2" w:space="0"/>
              <w:right w:val="single" w:color="auto" w:sz="2" w:space="0"/>
            </w:tcBorders>
            <w:vAlign w:val="center"/>
          </w:tcPr>
          <w:p w14:paraId="12511184">
            <w:pPr>
              <w:spacing w:line="240" w:lineRule="exact"/>
              <w:rPr>
                <w:rFonts w:ascii="宋体" w:hAnsi="宋体" w:eastAsia="宋体" w:cs="宋体"/>
                <w:sz w:val="18"/>
                <w:szCs w:val="18"/>
              </w:rPr>
            </w:pPr>
          </w:p>
        </w:tc>
      </w:tr>
      <w:tr w14:paraId="275C6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549145A">
            <w:pPr>
              <w:spacing w:line="240" w:lineRule="exact"/>
              <w:rPr>
                <w:rFonts w:ascii="宋体" w:hAnsi="宋体" w:eastAsia="宋体" w:cs="宋体"/>
                <w:sz w:val="18"/>
                <w:szCs w:val="18"/>
              </w:rPr>
            </w:pPr>
            <w:r>
              <w:rPr>
                <w:rFonts w:ascii="宋体" w:hAnsi="宋体" w:eastAsia="宋体" w:cs="宋体"/>
                <w:sz w:val="18"/>
                <w:szCs w:val="18"/>
              </w:rPr>
              <w:t>阿克苏恒孚医疗科技有限公司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12383F14">
            <w:pPr>
              <w:spacing w:line="240" w:lineRule="exact"/>
              <w:rPr>
                <w:rFonts w:ascii="宋体" w:hAnsi="宋体" w:eastAsia="宋体" w:cs="宋体"/>
                <w:sz w:val="18"/>
                <w:szCs w:val="18"/>
              </w:rPr>
            </w:pPr>
            <w:r>
              <w:rPr>
                <w:rFonts w:ascii="宋体" w:hAnsi="宋体" w:eastAsia="宋体" w:cs="宋体"/>
                <w:sz w:val="18"/>
                <w:szCs w:val="18"/>
              </w:rPr>
              <w:t>新设</w:t>
            </w:r>
          </w:p>
        </w:tc>
        <w:tc>
          <w:tcPr>
            <w:tcW w:w="3213" w:type="dxa"/>
            <w:tcBorders>
              <w:top w:val="single" w:color="auto" w:sz="2" w:space="0"/>
              <w:left w:val="single" w:color="auto" w:sz="2" w:space="0"/>
              <w:bottom w:val="single" w:color="auto" w:sz="2" w:space="0"/>
              <w:right w:val="single" w:color="auto" w:sz="2" w:space="0"/>
            </w:tcBorders>
            <w:vAlign w:val="center"/>
          </w:tcPr>
          <w:p w14:paraId="255FBC63">
            <w:pPr>
              <w:spacing w:line="240" w:lineRule="exact"/>
              <w:rPr>
                <w:rFonts w:ascii="宋体" w:hAnsi="宋体" w:eastAsia="宋体" w:cs="宋体"/>
                <w:sz w:val="18"/>
                <w:szCs w:val="18"/>
              </w:rPr>
            </w:pPr>
          </w:p>
        </w:tc>
      </w:tr>
      <w:tr w14:paraId="72EF7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48B099C">
            <w:pPr>
              <w:spacing w:line="240" w:lineRule="exact"/>
              <w:rPr>
                <w:rFonts w:ascii="宋体" w:hAnsi="宋体" w:eastAsia="宋体" w:cs="宋体"/>
                <w:sz w:val="18"/>
                <w:szCs w:val="18"/>
              </w:rPr>
            </w:pPr>
            <w:r>
              <w:rPr>
                <w:rFonts w:ascii="宋体" w:hAnsi="宋体" w:eastAsia="宋体" w:cs="宋体"/>
                <w:sz w:val="18"/>
                <w:szCs w:val="18"/>
              </w:rPr>
              <w:t>阿克苏恒鑫棉花有限公司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3C618A1B">
            <w:pPr>
              <w:spacing w:line="240" w:lineRule="exact"/>
              <w:rPr>
                <w:rFonts w:ascii="宋体" w:hAnsi="宋体" w:eastAsia="宋体" w:cs="宋体"/>
                <w:sz w:val="18"/>
                <w:szCs w:val="18"/>
              </w:rPr>
            </w:pPr>
            <w:r>
              <w:rPr>
                <w:rFonts w:ascii="宋体" w:hAnsi="宋体" w:eastAsia="宋体" w:cs="宋体"/>
                <w:sz w:val="18"/>
                <w:szCs w:val="18"/>
              </w:rPr>
              <w:t>新设</w:t>
            </w:r>
          </w:p>
        </w:tc>
        <w:tc>
          <w:tcPr>
            <w:tcW w:w="3213" w:type="dxa"/>
            <w:tcBorders>
              <w:top w:val="single" w:color="auto" w:sz="2" w:space="0"/>
              <w:left w:val="single" w:color="auto" w:sz="2" w:space="0"/>
              <w:bottom w:val="single" w:color="auto" w:sz="2" w:space="0"/>
              <w:right w:val="single" w:color="auto" w:sz="2" w:space="0"/>
            </w:tcBorders>
            <w:vAlign w:val="center"/>
          </w:tcPr>
          <w:p w14:paraId="3C0090E6">
            <w:pPr>
              <w:spacing w:line="240" w:lineRule="exact"/>
              <w:rPr>
                <w:rFonts w:ascii="宋体" w:hAnsi="宋体" w:eastAsia="宋体" w:cs="宋体"/>
                <w:sz w:val="18"/>
                <w:szCs w:val="18"/>
              </w:rPr>
            </w:pPr>
          </w:p>
        </w:tc>
      </w:tr>
      <w:tr w14:paraId="73F7E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C1FDC70">
            <w:pPr>
              <w:spacing w:line="240" w:lineRule="exact"/>
              <w:rPr>
                <w:rFonts w:ascii="宋体" w:hAnsi="宋体" w:eastAsia="宋体" w:cs="宋体"/>
                <w:sz w:val="18"/>
                <w:szCs w:val="18"/>
              </w:rPr>
            </w:pPr>
            <w:r>
              <w:rPr>
                <w:rFonts w:ascii="宋体" w:hAnsi="宋体" w:eastAsia="宋体" w:cs="宋体"/>
                <w:sz w:val="18"/>
                <w:szCs w:val="18"/>
              </w:rPr>
              <w:t>淮北华孚新能源有限公司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3334D4B9">
            <w:pPr>
              <w:spacing w:line="240" w:lineRule="exact"/>
              <w:rPr>
                <w:rFonts w:ascii="宋体" w:hAnsi="宋体" w:eastAsia="宋体" w:cs="宋体"/>
                <w:sz w:val="18"/>
                <w:szCs w:val="18"/>
              </w:rPr>
            </w:pPr>
            <w:r>
              <w:rPr>
                <w:rFonts w:ascii="宋体" w:hAnsi="宋体" w:eastAsia="宋体" w:cs="宋体"/>
                <w:sz w:val="18"/>
                <w:szCs w:val="18"/>
              </w:rPr>
              <w:t>注销</w:t>
            </w:r>
          </w:p>
        </w:tc>
        <w:tc>
          <w:tcPr>
            <w:tcW w:w="3213" w:type="dxa"/>
            <w:tcBorders>
              <w:top w:val="single" w:color="auto" w:sz="2" w:space="0"/>
              <w:left w:val="single" w:color="auto" w:sz="2" w:space="0"/>
              <w:bottom w:val="single" w:color="auto" w:sz="2" w:space="0"/>
              <w:right w:val="single" w:color="auto" w:sz="2" w:space="0"/>
            </w:tcBorders>
            <w:vAlign w:val="center"/>
          </w:tcPr>
          <w:p w14:paraId="38721564">
            <w:pPr>
              <w:spacing w:line="240" w:lineRule="exact"/>
              <w:rPr>
                <w:rFonts w:ascii="宋体" w:hAnsi="宋体" w:eastAsia="宋体" w:cs="宋体"/>
                <w:sz w:val="18"/>
                <w:szCs w:val="18"/>
              </w:rPr>
            </w:pPr>
          </w:p>
        </w:tc>
      </w:tr>
    </w:tbl>
    <w:p w14:paraId="6FE03A31">
      <w:pPr>
        <w:pStyle w:val="2"/>
        <w:spacing w:before="300" w:after="300" w:line="320" w:lineRule="exact"/>
        <w:rPr>
          <w:rFonts w:ascii="宋体" w:hAnsi="宋体" w:eastAsia="宋体" w:cs="宋体"/>
          <w:b/>
          <w:bCs/>
          <w:sz w:val="24"/>
          <w:szCs w:val="24"/>
        </w:rPr>
      </w:pPr>
      <w:bookmarkStart w:id="58" w:name="_Toc988947"/>
      <w:r>
        <w:rPr>
          <w:rFonts w:ascii="宋体" w:hAnsi="宋体" w:eastAsia="宋体" w:cs="宋体"/>
          <w:b/>
          <w:bCs/>
          <w:sz w:val="24"/>
          <w:szCs w:val="24"/>
        </w:rPr>
        <w:t>十、公司控制的结构化主体情况</w:t>
      </w:r>
      <w:bookmarkEnd w:id="58"/>
    </w:p>
    <w:p w14:paraId="3128D0A8">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C86E711">
      <w:pPr>
        <w:pStyle w:val="2"/>
        <w:spacing w:before="300" w:after="300" w:line="320" w:lineRule="exact"/>
        <w:rPr>
          <w:rFonts w:ascii="宋体" w:hAnsi="宋体" w:eastAsia="宋体" w:cs="宋体"/>
          <w:b/>
          <w:bCs/>
          <w:sz w:val="24"/>
          <w:szCs w:val="24"/>
        </w:rPr>
      </w:pPr>
      <w:bookmarkStart w:id="59" w:name="_Toc988948"/>
      <w:r>
        <w:rPr>
          <w:rFonts w:ascii="宋体" w:hAnsi="宋体" w:eastAsia="宋体" w:cs="宋体"/>
          <w:b/>
          <w:bCs/>
          <w:sz w:val="24"/>
          <w:szCs w:val="24"/>
        </w:rPr>
        <w:t>十一、公司未来发展的展望</w:t>
      </w:r>
      <w:bookmarkEnd w:id="59"/>
    </w:p>
    <w:p w14:paraId="78099F26">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（一）行业趋势</w:t>
      </w:r>
    </w:p>
    <w:p w14:paraId="0EEE375B">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展望而言，全球经贸环境仍面临单边主义升级、贸易政策不确定性扰动、大宗商品市场波动加剧等多重风险，全球经济增长放缓、需求改善乏力仍是普遍预期。面对外部复杂形势的挑战，我国宏观经济的良好韧性与内需市场的巨大潜力，将成为纺织行业平稳发展的首要支撑；扎实推进产业结构调整与转型升级，推动行业高端化、智能化、绿色化、融合化发展，将进一步增强纺织行业的综合实力与核心竞争力。</w:t>
      </w:r>
    </w:p>
    <w:p w14:paraId="075F357C">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（二）公司发展战略</w:t>
      </w:r>
    </w:p>
    <w:p w14:paraId="1256461F">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继续实施“坚持主业、共享产业、发展新业”的战略主题，在产品创新、营销创新、管理创新的基础上，做宽、做厚纱线主业的护城河，同时，通过业务模式创新、金融创新、机制创新，强化公司多元业务的优势、补足业务的短板、拉通三业。</w:t>
      </w:r>
    </w:p>
    <w:p w14:paraId="632FA8ED">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主营纱线，公司进行产品细分、市场开拓、区域渗透，实施双循环战略，实现海外、国内市场均衡发展。公司运用三纱合一综合优势，利用新疆资源做品牌竞争力，做强全棉产品，着力创新非棉产品，建立长周期中位线原料购销机制，提高公司对整体库存的风险规避能力。</w:t>
      </w:r>
    </w:p>
    <w:p w14:paraId="3DFEAD78">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共享产业，以有充分竞争力的纱线品类为线索，贯穿纺织服装全链运营，实现从一朵棉花到一双袜子、一件衣服的全供应链业务。</w:t>
      </w:r>
    </w:p>
    <w:p w14:paraId="6941B1ED">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发展新业，公司着力打造上虞 AIGC 智算中心项目及新疆阿克苏城市公共算力平台项目，提供算力租赁服务；同时，公司通过智算中心的算力支持，将数字化和虚拟化技术应用于纺织服装设计和生产领域，形成人工智能产业技术研发与商业应用闭环。</w:t>
      </w:r>
    </w:p>
    <w:p w14:paraId="163BBFB5">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（三）可能面临的风险</w:t>
      </w:r>
    </w:p>
    <w:p w14:paraId="5ABDB30E">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1、原材料价格波动风险：棉花成本占总成本 60%以上，棉花等原料的金融属性加强，价格波动幅度增大。</w:t>
      </w:r>
    </w:p>
    <w:p w14:paraId="29E19810">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2、人民币汇率风险：本公司棉花部分为从国际市场采购、纺织产品部分以直接或间接方式出口海外，利用境外融资平台配置有美元外债，公司也有境外项目投资，人民币汇率的波动将对公司生产成本、营业收入以及汇兑损益产生一定影响。</w:t>
      </w:r>
    </w:p>
    <w:p w14:paraId="4B235F58">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3、政治博弈带来订单波动的风险：继 2020 年公司子公司阿克苏华孚被美国商务部纳入实体清单、2022 年被列入“维吾尔强迫劳动预防法实体清单”后，2025 年 1 月华孚时尚及 25 家子公司被美国国土安全部列入实体清单事件将导致外部经营环境不确定性增加，带来订单波动加大的风险。公司通过积极开发国内及非美市场，以规避订单波动带来的风险。</w:t>
      </w:r>
    </w:p>
    <w:p w14:paraId="4359A51A">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（四）公司 2026年经营计划和工作措施</w:t>
      </w:r>
    </w:p>
    <w:p w14:paraId="7A3F8749">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1、保持战略定力。继续实行“坚持主业，共享产业，发展新业”的战略，以纱线贯穿纺织服装产业，以产业互联网与柔性供应链实现产业转型，实现“原材料-纺纱-面料-成衣”全产业链覆盖，实现从时尚制造商向时尚运营商的转型。</w:t>
      </w:r>
    </w:p>
    <w:p w14:paraId="34A5CDB9">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2、实施双循环战略，实现海外、国内市场均衡发展。抓住中国市场规模大、消费升级的历史机遇，发挥公司创新快反、优良服务、资源整合的优势，系统对接头部国潮品牌、电商新锐品牌、专项市场供应链，深化区域市场开发、深耕细分市场，挖掘价值客户，持续巩固和扩大国内市场占有率。</w:t>
      </w:r>
    </w:p>
    <w:p w14:paraId="4AC77224">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3、数智化升级。积极推行生产数据化管理，充分挖掘数据价值，扩大应用广度深度，通过流程再造、组织变革、标准改进、操作优化，提质、提效、降耗。同时，积极推进贯通产业的网链业务数智化平台建设，为共享产业打下基础。</w:t>
      </w:r>
    </w:p>
    <w:p w14:paraId="1F18CC0C">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4、实施绿色低碳战略。从原料替代、产品开发、循环利用、能效提升等维度全面推进绿色低碳战略实施，按既定计划推进清洁用能。</w:t>
      </w:r>
    </w:p>
    <w:p w14:paraId="172B4570">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sz w:val="18"/>
          <w:szCs w:val="18"/>
        </w:rPr>
      </w:pPr>
      <w:r>
        <w:rPr>
          <w:rFonts w:hint="eastAsia"/>
          <w:sz w:val="18"/>
          <w:szCs w:val="18"/>
        </w:rPr>
        <w:t>5、布局人工智能新赛道。通过加强与高校、科研院所、行业各领域优势企业合作，提供算力租赁服务；持续优化上虞 AIGC 智算中心项目运营能力，推进新疆阿克苏城市公共算力平台项目建设；同时，公司将吸纳培育数据处理、数据分析、运营服务等领域的人才，将数字化和虚拟化技术应用于纺织服装设计和生产领域。</w:t>
      </w:r>
    </w:p>
    <w:p w14:paraId="10B9084C">
      <w:pPr>
        <w:pStyle w:val="2"/>
        <w:spacing w:before="300" w:after="300" w:line="320" w:lineRule="exact"/>
        <w:rPr>
          <w:rFonts w:ascii="宋体" w:hAnsi="宋体" w:eastAsia="宋体" w:cs="宋体"/>
          <w:b/>
          <w:bCs/>
          <w:sz w:val="24"/>
          <w:szCs w:val="24"/>
        </w:rPr>
      </w:pPr>
      <w:bookmarkStart w:id="60" w:name="_Toc988949"/>
      <w:r>
        <w:rPr>
          <w:rFonts w:ascii="宋体" w:hAnsi="宋体" w:eastAsia="宋体" w:cs="宋体"/>
          <w:b/>
          <w:bCs/>
          <w:sz w:val="24"/>
          <w:szCs w:val="24"/>
        </w:rPr>
        <w:t>十二、报告期内接待调研、沟通、采访等活动</w:t>
      </w:r>
      <w:bookmarkEnd w:id="60"/>
    </w:p>
    <w:p w14:paraId="6085BEAD">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3"/>
        <w:gridCol w:w="1275"/>
        <w:gridCol w:w="1276"/>
        <w:gridCol w:w="1276"/>
        <w:gridCol w:w="1417"/>
        <w:gridCol w:w="1418"/>
        <w:gridCol w:w="1984"/>
      </w:tblGrid>
      <w:tr w14:paraId="46E15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14:paraId="024AA7F0">
            <w:pPr>
              <w:spacing w:before="40" w:after="40" w:line="240" w:lineRule="exact"/>
              <w:jc w:val="center"/>
              <w:rPr>
                <w:rFonts w:ascii="宋体" w:hAnsi="宋体" w:eastAsia="宋体" w:cs="宋体"/>
                <w:sz w:val="18"/>
                <w:szCs w:val="18"/>
              </w:rPr>
            </w:pPr>
            <w:r>
              <w:rPr>
                <w:rFonts w:ascii="宋体" w:hAnsi="宋体" w:eastAsia="宋体" w:cs="宋体"/>
                <w:sz w:val="18"/>
                <w:szCs w:val="18"/>
              </w:rPr>
              <w:t>接待时间</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14:paraId="54886D09">
            <w:pPr>
              <w:spacing w:before="40" w:after="40" w:line="240" w:lineRule="exact"/>
              <w:jc w:val="center"/>
              <w:rPr>
                <w:rFonts w:ascii="宋体" w:hAnsi="宋体" w:eastAsia="宋体" w:cs="宋体"/>
                <w:sz w:val="18"/>
                <w:szCs w:val="18"/>
              </w:rPr>
            </w:pPr>
            <w:r>
              <w:rPr>
                <w:rFonts w:ascii="宋体" w:hAnsi="宋体" w:eastAsia="宋体" w:cs="宋体"/>
                <w:sz w:val="18"/>
                <w:szCs w:val="18"/>
              </w:rPr>
              <w:t>接待地点</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14:paraId="29F70731">
            <w:pPr>
              <w:spacing w:before="40" w:after="40" w:line="240" w:lineRule="exact"/>
              <w:jc w:val="center"/>
              <w:rPr>
                <w:rFonts w:ascii="宋体" w:hAnsi="宋体" w:eastAsia="宋体" w:cs="宋体"/>
                <w:sz w:val="18"/>
                <w:szCs w:val="18"/>
              </w:rPr>
            </w:pPr>
            <w:r>
              <w:rPr>
                <w:rFonts w:ascii="宋体" w:hAnsi="宋体" w:eastAsia="宋体" w:cs="宋体"/>
                <w:sz w:val="18"/>
                <w:szCs w:val="18"/>
              </w:rPr>
              <w:t>接待方式</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14:paraId="557440C1">
            <w:pPr>
              <w:spacing w:before="40" w:after="40" w:line="240" w:lineRule="exact"/>
              <w:jc w:val="center"/>
              <w:rPr>
                <w:rFonts w:ascii="宋体" w:hAnsi="宋体" w:eastAsia="宋体" w:cs="宋体"/>
                <w:sz w:val="18"/>
                <w:szCs w:val="18"/>
              </w:rPr>
            </w:pPr>
            <w:r>
              <w:rPr>
                <w:rFonts w:ascii="宋体" w:hAnsi="宋体" w:eastAsia="宋体" w:cs="宋体"/>
                <w:sz w:val="18"/>
                <w:szCs w:val="18"/>
              </w:rPr>
              <w:t>接待对象类型</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14:paraId="3B605D63">
            <w:pPr>
              <w:spacing w:before="40" w:after="40" w:line="240" w:lineRule="exact"/>
              <w:jc w:val="center"/>
              <w:rPr>
                <w:rFonts w:ascii="宋体" w:hAnsi="宋体" w:eastAsia="宋体" w:cs="宋体"/>
                <w:sz w:val="18"/>
                <w:szCs w:val="18"/>
              </w:rPr>
            </w:pPr>
            <w:r>
              <w:rPr>
                <w:rFonts w:ascii="宋体" w:hAnsi="宋体" w:eastAsia="宋体" w:cs="宋体"/>
                <w:sz w:val="18"/>
                <w:szCs w:val="18"/>
              </w:rPr>
              <w:t>接待对象</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14:paraId="60F0367A">
            <w:pPr>
              <w:spacing w:before="40" w:after="40" w:line="240" w:lineRule="exact"/>
              <w:jc w:val="center"/>
              <w:rPr>
                <w:rFonts w:ascii="宋体" w:hAnsi="宋体" w:eastAsia="宋体" w:cs="宋体"/>
                <w:sz w:val="18"/>
                <w:szCs w:val="18"/>
              </w:rPr>
            </w:pPr>
            <w:r>
              <w:rPr>
                <w:rFonts w:ascii="宋体" w:hAnsi="宋体" w:eastAsia="宋体" w:cs="宋体"/>
                <w:sz w:val="18"/>
                <w:szCs w:val="18"/>
              </w:rPr>
              <w:t>谈论的主要内容及提供的资料</w:t>
            </w: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14:paraId="5E693AA8">
            <w:pPr>
              <w:spacing w:before="40" w:after="40" w:line="240" w:lineRule="exact"/>
              <w:jc w:val="center"/>
              <w:rPr>
                <w:rFonts w:ascii="宋体" w:hAnsi="宋体" w:eastAsia="宋体" w:cs="宋体"/>
                <w:sz w:val="18"/>
                <w:szCs w:val="18"/>
              </w:rPr>
            </w:pPr>
            <w:r>
              <w:rPr>
                <w:rFonts w:ascii="宋体" w:hAnsi="宋体" w:eastAsia="宋体" w:cs="宋体"/>
                <w:sz w:val="18"/>
                <w:szCs w:val="18"/>
              </w:rPr>
              <w:t>调研的基本情况索引</w:t>
            </w:r>
          </w:p>
        </w:tc>
      </w:tr>
      <w:tr w14:paraId="776FC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14:paraId="06701DBD">
            <w:pPr>
              <w:spacing w:line="240" w:lineRule="exact"/>
              <w:rPr>
                <w:rFonts w:ascii="宋体" w:hAnsi="宋体" w:eastAsia="宋体" w:cs="宋体"/>
                <w:sz w:val="18"/>
                <w:szCs w:val="18"/>
              </w:rPr>
            </w:pPr>
            <w:r>
              <w:rPr>
                <w:rFonts w:ascii="宋体" w:hAnsi="宋体" w:eastAsia="宋体" w:cs="宋体"/>
                <w:sz w:val="18"/>
                <w:szCs w:val="18"/>
              </w:rPr>
              <w:t>2025年05月09日</w:t>
            </w:r>
          </w:p>
        </w:tc>
        <w:tc>
          <w:tcPr>
            <w:tcW w:w="1275" w:type="dxa"/>
            <w:tcBorders>
              <w:top w:val="single" w:color="auto" w:sz="2" w:space="0"/>
              <w:left w:val="single" w:color="auto" w:sz="2" w:space="0"/>
              <w:bottom w:val="single" w:color="auto" w:sz="2" w:space="0"/>
              <w:right w:val="single" w:color="auto" w:sz="2" w:space="0"/>
            </w:tcBorders>
            <w:vAlign w:val="center"/>
          </w:tcPr>
          <w:p w14:paraId="69993BBE">
            <w:pPr>
              <w:spacing w:line="240" w:lineRule="exact"/>
              <w:rPr>
                <w:rFonts w:ascii="宋体" w:hAnsi="宋体" w:eastAsia="宋体" w:cs="宋体"/>
                <w:sz w:val="18"/>
                <w:szCs w:val="18"/>
              </w:rPr>
            </w:pPr>
            <w:r>
              <w:rPr>
                <w:rFonts w:ascii="宋体" w:hAnsi="宋体" w:eastAsia="宋体" w:cs="宋体"/>
                <w:sz w:val="18"/>
                <w:szCs w:val="18"/>
              </w:rPr>
              <w:t>全景网“投资者关系互动平台”（https://ir.p5w.net）</w:t>
            </w:r>
          </w:p>
        </w:tc>
        <w:tc>
          <w:tcPr>
            <w:tcW w:w="1276" w:type="dxa"/>
            <w:tcBorders>
              <w:top w:val="single" w:color="auto" w:sz="2" w:space="0"/>
              <w:left w:val="single" w:color="auto" w:sz="2" w:space="0"/>
              <w:bottom w:val="single" w:color="auto" w:sz="2" w:space="0"/>
              <w:right w:val="single" w:color="auto" w:sz="2" w:space="0"/>
            </w:tcBorders>
            <w:vAlign w:val="center"/>
          </w:tcPr>
          <w:p w14:paraId="074BB4CE">
            <w:pPr>
              <w:spacing w:line="240" w:lineRule="exact"/>
              <w:rPr>
                <w:rFonts w:ascii="宋体" w:hAnsi="宋体" w:eastAsia="宋体" w:cs="宋体"/>
                <w:sz w:val="18"/>
                <w:szCs w:val="18"/>
              </w:rPr>
            </w:pPr>
            <w:r>
              <w:rPr>
                <w:rFonts w:ascii="宋体" w:hAnsi="宋体" w:eastAsia="宋体" w:cs="宋体"/>
                <w:sz w:val="18"/>
                <w:szCs w:val="18"/>
              </w:rPr>
              <w:t>网络平台线上交流</w:t>
            </w:r>
          </w:p>
        </w:tc>
        <w:tc>
          <w:tcPr>
            <w:tcW w:w="1276" w:type="dxa"/>
            <w:tcBorders>
              <w:top w:val="single" w:color="auto" w:sz="2" w:space="0"/>
              <w:left w:val="single" w:color="auto" w:sz="2" w:space="0"/>
              <w:bottom w:val="single" w:color="auto" w:sz="2" w:space="0"/>
              <w:right w:val="single" w:color="auto" w:sz="2" w:space="0"/>
            </w:tcBorders>
            <w:vAlign w:val="center"/>
          </w:tcPr>
          <w:p w14:paraId="059A47C8">
            <w:pPr>
              <w:spacing w:line="240" w:lineRule="exact"/>
              <w:rPr>
                <w:rFonts w:ascii="宋体" w:hAnsi="宋体" w:eastAsia="宋体" w:cs="宋体"/>
                <w:sz w:val="18"/>
                <w:szCs w:val="18"/>
              </w:rPr>
            </w:pPr>
            <w:r>
              <w:rPr>
                <w:rFonts w:ascii="宋体" w:hAnsi="宋体" w:eastAsia="宋体" w:cs="宋体"/>
                <w:sz w:val="18"/>
                <w:szCs w:val="18"/>
              </w:rPr>
              <w:t>其他</w:t>
            </w:r>
          </w:p>
        </w:tc>
        <w:tc>
          <w:tcPr>
            <w:tcW w:w="1417" w:type="dxa"/>
            <w:tcBorders>
              <w:top w:val="single" w:color="auto" w:sz="2" w:space="0"/>
              <w:left w:val="single" w:color="auto" w:sz="2" w:space="0"/>
              <w:bottom w:val="single" w:color="auto" w:sz="2" w:space="0"/>
              <w:right w:val="single" w:color="auto" w:sz="2" w:space="0"/>
            </w:tcBorders>
            <w:vAlign w:val="center"/>
          </w:tcPr>
          <w:p w14:paraId="7DBDA9D6">
            <w:pPr>
              <w:spacing w:line="240" w:lineRule="exact"/>
              <w:rPr>
                <w:rFonts w:ascii="宋体" w:hAnsi="宋体" w:eastAsia="宋体" w:cs="宋体"/>
                <w:sz w:val="18"/>
                <w:szCs w:val="18"/>
              </w:rPr>
            </w:pPr>
            <w:r>
              <w:rPr>
                <w:rFonts w:ascii="宋体" w:hAnsi="宋体" w:eastAsia="宋体" w:cs="宋体"/>
                <w:sz w:val="18"/>
                <w:szCs w:val="18"/>
              </w:rPr>
              <w:t>线上参与华孚时尚股份有限公司2024年度网上业绩说明会的投资者</w:t>
            </w:r>
          </w:p>
        </w:tc>
        <w:tc>
          <w:tcPr>
            <w:tcW w:w="1418" w:type="dxa"/>
            <w:tcBorders>
              <w:top w:val="single" w:color="auto" w:sz="2" w:space="0"/>
              <w:left w:val="single" w:color="auto" w:sz="2" w:space="0"/>
              <w:bottom w:val="single" w:color="auto" w:sz="2" w:space="0"/>
              <w:right w:val="single" w:color="auto" w:sz="2" w:space="0"/>
            </w:tcBorders>
            <w:vAlign w:val="center"/>
          </w:tcPr>
          <w:p w14:paraId="5FE13002">
            <w:pPr>
              <w:spacing w:line="240" w:lineRule="exact"/>
              <w:rPr>
                <w:rFonts w:ascii="宋体" w:hAnsi="宋体" w:eastAsia="宋体" w:cs="宋体"/>
                <w:sz w:val="18"/>
                <w:szCs w:val="18"/>
              </w:rPr>
            </w:pPr>
            <w:r>
              <w:rPr>
                <w:rFonts w:ascii="宋体" w:hAnsi="宋体" w:eastAsia="宋体" w:cs="宋体"/>
                <w:sz w:val="18"/>
                <w:szCs w:val="18"/>
              </w:rPr>
              <w:t>2024年度业绩情况、公司算力项目进展及其他事项</w:t>
            </w:r>
          </w:p>
        </w:tc>
        <w:tc>
          <w:tcPr>
            <w:tcW w:w="1984" w:type="dxa"/>
            <w:tcBorders>
              <w:top w:val="single" w:color="auto" w:sz="2" w:space="0"/>
              <w:left w:val="single" w:color="auto" w:sz="2" w:space="0"/>
              <w:bottom w:val="single" w:color="auto" w:sz="2" w:space="0"/>
              <w:right w:val="single" w:color="auto" w:sz="2" w:space="0"/>
            </w:tcBorders>
            <w:vAlign w:val="center"/>
          </w:tcPr>
          <w:p w14:paraId="67952A4A">
            <w:pPr>
              <w:spacing w:line="240" w:lineRule="exact"/>
              <w:rPr>
                <w:rFonts w:ascii="宋体" w:hAnsi="宋体" w:eastAsia="宋体" w:cs="宋体"/>
                <w:sz w:val="18"/>
                <w:szCs w:val="18"/>
              </w:rPr>
            </w:pPr>
            <w:r>
              <w:rPr>
                <w:rFonts w:ascii="宋体" w:hAnsi="宋体" w:eastAsia="宋体" w:cs="宋体"/>
                <w:sz w:val="18"/>
                <w:szCs w:val="18"/>
              </w:rPr>
              <w:t>详见公司于2025年5月9日刊登在巨潮资讯网（http://www</w:t>
            </w:r>
          </w:p>
          <w:p w14:paraId="73AF6FEF">
            <w:pPr>
              <w:spacing w:line="240" w:lineRule="exact"/>
              <w:rPr>
                <w:rFonts w:ascii="宋体" w:hAnsi="宋体" w:eastAsia="宋体" w:cs="宋体"/>
                <w:sz w:val="18"/>
                <w:szCs w:val="18"/>
              </w:rPr>
            </w:pPr>
            <w:r>
              <w:rPr>
                <w:rFonts w:ascii="宋体" w:hAnsi="宋体" w:eastAsia="宋体" w:cs="宋体"/>
                <w:sz w:val="18"/>
                <w:szCs w:val="18"/>
              </w:rPr>
              <w:t>.cninfo.com.cn）的《2025年5月9日投资者关系活动记录表》。</w:t>
            </w:r>
          </w:p>
        </w:tc>
      </w:tr>
      <w:tr w14:paraId="4F0E1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14:paraId="79447516">
            <w:pPr>
              <w:spacing w:line="240" w:lineRule="exact"/>
              <w:rPr>
                <w:rFonts w:ascii="宋体" w:hAnsi="宋体" w:eastAsia="宋体" w:cs="宋体"/>
                <w:sz w:val="18"/>
                <w:szCs w:val="18"/>
              </w:rPr>
            </w:pPr>
            <w:r>
              <w:rPr>
                <w:rFonts w:ascii="宋体" w:hAnsi="宋体" w:eastAsia="宋体" w:cs="宋体"/>
                <w:sz w:val="18"/>
                <w:szCs w:val="18"/>
              </w:rPr>
              <w:t>2025年09月15日</w:t>
            </w:r>
          </w:p>
        </w:tc>
        <w:tc>
          <w:tcPr>
            <w:tcW w:w="1275" w:type="dxa"/>
            <w:tcBorders>
              <w:top w:val="single" w:color="auto" w:sz="2" w:space="0"/>
              <w:left w:val="single" w:color="auto" w:sz="2" w:space="0"/>
              <w:bottom w:val="single" w:color="auto" w:sz="2" w:space="0"/>
              <w:right w:val="single" w:color="auto" w:sz="2" w:space="0"/>
            </w:tcBorders>
            <w:vAlign w:val="center"/>
          </w:tcPr>
          <w:p w14:paraId="331250CF">
            <w:pPr>
              <w:spacing w:line="240" w:lineRule="exact"/>
              <w:rPr>
                <w:rFonts w:ascii="宋体" w:hAnsi="宋体" w:eastAsia="宋体" w:cs="宋体"/>
                <w:sz w:val="18"/>
                <w:szCs w:val="18"/>
              </w:rPr>
            </w:pPr>
            <w:r>
              <w:rPr>
                <w:rFonts w:ascii="宋体" w:hAnsi="宋体" w:eastAsia="宋体" w:cs="宋体"/>
                <w:sz w:val="18"/>
                <w:szCs w:val="18"/>
              </w:rPr>
              <w:t>全景网“投资者关系互动平台”（https://ir.p5w.net）</w:t>
            </w:r>
          </w:p>
        </w:tc>
        <w:tc>
          <w:tcPr>
            <w:tcW w:w="1276" w:type="dxa"/>
            <w:tcBorders>
              <w:top w:val="single" w:color="auto" w:sz="2" w:space="0"/>
              <w:left w:val="single" w:color="auto" w:sz="2" w:space="0"/>
              <w:bottom w:val="single" w:color="auto" w:sz="2" w:space="0"/>
              <w:right w:val="single" w:color="auto" w:sz="2" w:space="0"/>
            </w:tcBorders>
            <w:vAlign w:val="center"/>
          </w:tcPr>
          <w:p w14:paraId="62D67722">
            <w:pPr>
              <w:spacing w:line="240" w:lineRule="exact"/>
              <w:rPr>
                <w:rFonts w:ascii="宋体" w:hAnsi="宋体" w:eastAsia="宋体" w:cs="宋体"/>
                <w:sz w:val="18"/>
                <w:szCs w:val="18"/>
              </w:rPr>
            </w:pPr>
            <w:r>
              <w:rPr>
                <w:rFonts w:ascii="宋体" w:hAnsi="宋体" w:eastAsia="宋体" w:cs="宋体"/>
                <w:sz w:val="18"/>
                <w:szCs w:val="18"/>
              </w:rPr>
              <w:t>网络平台线上交流</w:t>
            </w:r>
          </w:p>
        </w:tc>
        <w:tc>
          <w:tcPr>
            <w:tcW w:w="1276" w:type="dxa"/>
            <w:tcBorders>
              <w:top w:val="single" w:color="auto" w:sz="2" w:space="0"/>
              <w:left w:val="single" w:color="auto" w:sz="2" w:space="0"/>
              <w:bottom w:val="single" w:color="auto" w:sz="2" w:space="0"/>
              <w:right w:val="single" w:color="auto" w:sz="2" w:space="0"/>
            </w:tcBorders>
            <w:vAlign w:val="center"/>
          </w:tcPr>
          <w:p w14:paraId="5871C4F0">
            <w:pPr>
              <w:spacing w:line="240" w:lineRule="exact"/>
              <w:rPr>
                <w:rFonts w:ascii="宋体" w:hAnsi="宋体" w:eastAsia="宋体" w:cs="宋体"/>
                <w:sz w:val="18"/>
                <w:szCs w:val="18"/>
              </w:rPr>
            </w:pPr>
            <w:r>
              <w:rPr>
                <w:rFonts w:ascii="宋体" w:hAnsi="宋体" w:eastAsia="宋体" w:cs="宋体"/>
                <w:sz w:val="18"/>
                <w:szCs w:val="18"/>
              </w:rPr>
              <w:t>其他</w:t>
            </w:r>
          </w:p>
        </w:tc>
        <w:tc>
          <w:tcPr>
            <w:tcW w:w="1417" w:type="dxa"/>
            <w:tcBorders>
              <w:top w:val="single" w:color="auto" w:sz="2" w:space="0"/>
              <w:left w:val="single" w:color="auto" w:sz="2" w:space="0"/>
              <w:bottom w:val="single" w:color="auto" w:sz="2" w:space="0"/>
              <w:right w:val="single" w:color="auto" w:sz="2" w:space="0"/>
            </w:tcBorders>
            <w:vAlign w:val="center"/>
          </w:tcPr>
          <w:p w14:paraId="27F22497">
            <w:pPr>
              <w:spacing w:line="240" w:lineRule="exact"/>
              <w:rPr>
                <w:rFonts w:ascii="宋体" w:hAnsi="宋体" w:eastAsia="宋体" w:cs="宋体"/>
                <w:sz w:val="18"/>
                <w:szCs w:val="18"/>
              </w:rPr>
            </w:pPr>
            <w:r>
              <w:rPr>
                <w:rFonts w:ascii="宋体" w:hAnsi="宋体" w:eastAsia="宋体" w:cs="宋体"/>
                <w:sz w:val="18"/>
                <w:szCs w:val="18"/>
              </w:rPr>
              <w:t>投资者网上提问</w:t>
            </w:r>
          </w:p>
        </w:tc>
        <w:tc>
          <w:tcPr>
            <w:tcW w:w="1418" w:type="dxa"/>
            <w:tcBorders>
              <w:top w:val="single" w:color="auto" w:sz="2" w:space="0"/>
              <w:left w:val="single" w:color="auto" w:sz="2" w:space="0"/>
              <w:bottom w:val="single" w:color="auto" w:sz="2" w:space="0"/>
              <w:right w:val="single" w:color="auto" w:sz="2" w:space="0"/>
            </w:tcBorders>
            <w:vAlign w:val="center"/>
          </w:tcPr>
          <w:p w14:paraId="5A053B1F">
            <w:pPr>
              <w:spacing w:line="240" w:lineRule="exact"/>
              <w:rPr>
                <w:rFonts w:ascii="宋体" w:hAnsi="宋体" w:eastAsia="宋体" w:cs="宋体"/>
                <w:sz w:val="18"/>
                <w:szCs w:val="18"/>
              </w:rPr>
            </w:pPr>
            <w:r>
              <w:rPr>
                <w:rFonts w:ascii="宋体" w:hAnsi="宋体" w:eastAsia="宋体" w:cs="宋体"/>
                <w:sz w:val="18"/>
                <w:szCs w:val="18"/>
              </w:rPr>
              <w:t>公司算力项目进展及其他事项</w:t>
            </w:r>
          </w:p>
        </w:tc>
        <w:tc>
          <w:tcPr>
            <w:tcW w:w="1984" w:type="dxa"/>
            <w:tcBorders>
              <w:top w:val="single" w:color="auto" w:sz="2" w:space="0"/>
              <w:left w:val="single" w:color="auto" w:sz="2" w:space="0"/>
              <w:bottom w:val="single" w:color="auto" w:sz="2" w:space="0"/>
              <w:right w:val="single" w:color="auto" w:sz="2" w:space="0"/>
            </w:tcBorders>
            <w:vAlign w:val="center"/>
          </w:tcPr>
          <w:p w14:paraId="73C8D794">
            <w:pPr>
              <w:spacing w:line="240" w:lineRule="exact"/>
              <w:rPr>
                <w:rFonts w:ascii="宋体" w:hAnsi="宋体" w:eastAsia="宋体" w:cs="宋体"/>
                <w:sz w:val="18"/>
                <w:szCs w:val="18"/>
              </w:rPr>
            </w:pPr>
            <w:r>
              <w:rPr>
                <w:rFonts w:ascii="宋体" w:hAnsi="宋体" w:eastAsia="宋体" w:cs="宋体"/>
                <w:sz w:val="18"/>
                <w:szCs w:val="18"/>
              </w:rPr>
              <w:t>详见公司于2025年9月15日刊登在巨潮资讯网（http://www</w:t>
            </w:r>
          </w:p>
          <w:p w14:paraId="4B20B1D8">
            <w:pPr>
              <w:spacing w:line="240" w:lineRule="exact"/>
              <w:rPr>
                <w:rFonts w:ascii="宋体" w:hAnsi="宋体" w:eastAsia="宋体" w:cs="宋体"/>
                <w:sz w:val="18"/>
                <w:szCs w:val="18"/>
              </w:rPr>
            </w:pPr>
            <w:r>
              <w:rPr>
                <w:rFonts w:ascii="宋体" w:hAnsi="宋体" w:eastAsia="宋体" w:cs="宋体"/>
                <w:sz w:val="18"/>
                <w:szCs w:val="18"/>
              </w:rPr>
              <w:t>.cninfo.com.cn）的《2025年9月15日投资者关系活动记录表》。</w:t>
            </w:r>
          </w:p>
        </w:tc>
      </w:tr>
    </w:tbl>
    <w:p w14:paraId="5D8560AA">
      <w:pPr>
        <w:pStyle w:val="2"/>
        <w:spacing w:before="300" w:after="300" w:line="320" w:lineRule="exact"/>
        <w:rPr>
          <w:rFonts w:ascii="宋体" w:hAnsi="宋体" w:eastAsia="宋体" w:cs="宋体"/>
          <w:b/>
          <w:bCs/>
          <w:sz w:val="24"/>
          <w:szCs w:val="24"/>
        </w:rPr>
      </w:pPr>
      <w:bookmarkStart w:id="61" w:name="_Toc988950"/>
      <w:r>
        <w:rPr>
          <w:rFonts w:ascii="宋体" w:hAnsi="宋体" w:eastAsia="宋体" w:cs="宋体"/>
          <w:b/>
          <w:bCs/>
          <w:sz w:val="24"/>
          <w:szCs w:val="24"/>
        </w:rPr>
        <w:t>十三、市值管理制度和估值提升计划的制定落实情况</w:t>
      </w:r>
      <w:bookmarkEnd w:id="61"/>
    </w:p>
    <w:p w14:paraId="3AEFCF41">
      <w:pPr>
        <w:spacing w:before="100" w:after="100" w:line="240" w:lineRule="exact"/>
        <w:rPr>
          <w:rFonts w:ascii="宋体" w:hAnsi="宋体" w:eastAsia="宋体" w:cs="宋体"/>
          <w:sz w:val="18"/>
          <w:szCs w:val="18"/>
        </w:rPr>
      </w:pPr>
      <w:r>
        <w:rPr>
          <w:rFonts w:ascii="宋体" w:hAnsi="宋体" w:eastAsia="宋体" w:cs="宋体"/>
          <w:sz w:val="18"/>
          <w:szCs w:val="18"/>
        </w:rPr>
        <w:t>公司是否制定了市值管理制度。</w:t>
      </w:r>
    </w:p>
    <w:p w14:paraId="765839CD">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14:paraId="2385B4AB">
      <w:pPr>
        <w:spacing w:before="100" w:after="100" w:line="240" w:lineRule="exact"/>
        <w:rPr>
          <w:rFonts w:ascii="宋体" w:hAnsi="宋体" w:eastAsia="宋体" w:cs="宋体"/>
          <w:sz w:val="18"/>
          <w:szCs w:val="18"/>
        </w:rPr>
      </w:pPr>
      <w:r>
        <w:rPr>
          <w:rFonts w:ascii="宋体" w:hAnsi="宋体" w:eastAsia="宋体" w:cs="宋体"/>
          <w:sz w:val="18"/>
          <w:szCs w:val="18"/>
        </w:rPr>
        <w:t>公司是否披露了估值提升计划。</w:t>
      </w:r>
    </w:p>
    <w:p w14:paraId="7A5ED8E2">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1D09AC74">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sz w:val="18"/>
          <w:szCs w:val="18"/>
        </w:rPr>
      </w:pPr>
      <w:r>
        <w:rPr>
          <w:rFonts w:hint="eastAsia"/>
          <w:sz w:val="18"/>
          <w:szCs w:val="18"/>
        </w:rPr>
        <w:t>公司于2025年7月24日召开了第九届董事会2025年第二次临时会议，审议通过了《关于修订和制定公司部分治理制度的议案》，详见公司于2025年7月25日发布在巨潮资讯网（</w:t>
      </w:r>
      <w:r>
        <w:rPr>
          <w:rFonts w:hint="eastAsia"/>
          <w:sz w:val="18"/>
          <w:szCs w:val="18"/>
          <w:shd w:val="clear" w:color="auto" w:fill="FFFFFF"/>
        </w:rPr>
        <w:t>http://www.cninfo.com.cn）上的《市值管理制度》。</w:t>
      </w:r>
    </w:p>
    <w:p w14:paraId="1A6D47E9">
      <w:pPr>
        <w:pStyle w:val="2"/>
        <w:spacing w:before="300" w:after="300" w:line="320" w:lineRule="exact"/>
        <w:rPr>
          <w:rFonts w:ascii="宋体" w:hAnsi="宋体" w:eastAsia="宋体" w:cs="宋体"/>
          <w:b/>
          <w:bCs/>
          <w:sz w:val="24"/>
          <w:szCs w:val="24"/>
        </w:rPr>
      </w:pPr>
      <w:bookmarkStart w:id="62" w:name="_Toc988951"/>
      <w:r>
        <w:rPr>
          <w:rFonts w:ascii="宋体" w:hAnsi="宋体" w:eastAsia="宋体" w:cs="宋体"/>
          <w:b/>
          <w:bCs/>
          <w:sz w:val="24"/>
          <w:szCs w:val="24"/>
        </w:rPr>
        <w:t>十四、“质量回报双提升”行动方案贯彻落实情况</w:t>
      </w:r>
      <w:bookmarkEnd w:id="62"/>
    </w:p>
    <w:p w14:paraId="1E8BE85C">
      <w:pPr>
        <w:spacing w:before="100" w:after="100" w:line="240" w:lineRule="exact"/>
        <w:rPr>
          <w:rFonts w:ascii="宋体" w:hAnsi="宋体" w:eastAsia="宋体" w:cs="宋体"/>
          <w:sz w:val="18"/>
          <w:szCs w:val="18"/>
        </w:rPr>
      </w:pPr>
      <w:r>
        <w:rPr>
          <w:rFonts w:ascii="宋体" w:hAnsi="宋体" w:eastAsia="宋体" w:cs="宋体"/>
          <w:sz w:val="18"/>
          <w:szCs w:val="18"/>
        </w:rPr>
        <w:t>公司是否披露了“质量回报双提升”行动方案公告。</w:t>
      </w:r>
    </w:p>
    <w:p w14:paraId="2D8C9AE8">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708F4CB3">
      <w:r>
        <w:br w:type="page"/>
      </w:r>
    </w:p>
    <w:p w14:paraId="6AFDC579">
      <w:pPr>
        <w:pStyle w:val="15"/>
        <w:spacing w:before="340" w:after="330" w:line="773" w:lineRule="exact"/>
        <w:jc w:val="center"/>
        <w:rPr>
          <w:rFonts w:ascii="宋体" w:hAnsi="宋体" w:eastAsia="宋体" w:cs="宋体"/>
          <w:b/>
          <w:bCs/>
          <w:sz w:val="32"/>
          <w:szCs w:val="32"/>
        </w:rPr>
      </w:pPr>
      <w:bookmarkStart w:id="63" w:name="_Toc988952"/>
      <w:r>
        <w:rPr>
          <w:rFonts w:ascii="宋体" w:hAnsi="宋体" w:eastAsia="宋体" w:cs="宋体"/>
          <w:b/>
          <w:bCs/>
          <w:sz w:val="32"/>
          <w:szCs w:val="32"/>
        </w:rPr>
        <w:t>第四节 公司治理、环境和社会</w:t>
      </w:r>
      <w:bookmarkEnd w:id="63"/>
    </w:p>
    <w:p w14:paraId="4A9D4AE0">
      <w:pPr>
        <w:pStyle w:val="2"/>
        <w:spacing w:before="300" w:after="300" w:line="320" w:lineRule="exact"/>
        <w:rPr>
          <w:rFonts w:ascii="宋体" w:hAnsi="宋体" w:eastAsia="宋体" w:cs="宋体"/>
          <w:b/>
          <w:bCs/>
          <w:sz w:val="24"/>
          <w:szCs w:val="24"/>
        </w:rPr>
      </w:pPr>
      <w:bookmarkStart w:id="64" w:name="_Toc988953"/>
      <w:r>
        <w:rPr>
          <w:rFonts w:ascii="宋体" w:hAnsi="宋体" w:eastAsia="宋体" w:cs="宋体"/>
          <w:b/>
          <w:bCs/>
          <w:sz w:val="24"/>
          <w:szCs w:val="24"/>
        </w:rPr>
        <w:t>一、公司治理的基本状况</w:t>
      </w:r>
      <w:bookmarkEnd w:id="64"/>
    </w:p>
    <w:p w14:paraId="475CBBEE">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公司严格按照《公司法》、《证券法》、《上市公司治理准则》、《深圳证券交易所股票上市规则》及中国证监会、深圳证券交易所的有关规定和要求，规范公司运作，不断完善公司的法人治理结构，建立健全内部管理和控制制度，持续深入开展公司治理活动，严格进行信息披露工作，保护广大投资者利益，进一步提高了公司治理水平。截至报告期末，公司法人治理实际情况与中国证监会《上市公司治理准则》等有关法规不存在差异。</w:t>
      </w:r>
    </w:p>
    <w:p w14:paraId="32365865">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1、关于股东与股东会：公司根据《上市公司股东会规则》、公司《股东会议事规则》等规定，规范地召集、召开股东会，并聘请律师对股东会的合法性出具法律意见书，平等对待所有股东，特别是保证中小股东享有平等地位，充分行使自己的权利。</w:t>
      </w:r>
    </w:p>
    <w:p w14:paraId="39E29DE7">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2、关于控股股东与上市公司的关系：控股股东对公司依法通过股东会行使出资人的权利，没有超越股东会直接或间接干预公司决策和经营活动。公司与控股股东实行人员、资产、财务分开，机构、业务独立，各自独立核算、独立承担责任和风险，公司董事会和内部机构独立运作。</w:t>
      </w:r>
    </w:p>
    <w:p w14:paraId="7C607403">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3、关于董事与董事会：公司严格按照《公司章程》所规定的董事选聘程序选聘董事，董事会的人数和人员构成符合法律、法规和《公司章程》的要求。公司董事能够以认真负责的态度出席董事会和股东会，积极参加有关培训，学习有关法律法规，以诚信、勤勉、尽责的态度履行职责。董事会下设提名、战略、薪酬与考核、审计等专门委员会，各尽其责，提高了董事会办事效率。</w:t>
      </w:r>
    </w:p>
    <w:p w14:paraId="3D6A4F58">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4、关于绩效评价与激励约束机制：公司正逐步建立和完善公正、透明的董事和经理人员的绩效评价标准和激励约束机制，经理人员的聘任公开、透明，符合法律法规的规定。</w:t>
      </w:r>
    </w:p>
    <w:p w14:paraId="3F7636DE">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5、关于相关利益者：公司制定并发布了《华孚时尚股份有限公司2025年度社会责任报告》，积极履行社会责任，充分尊重和维护供应商、银行等债权人及员工、客户、消费者、社区等其它利益相关者的合法权益；能够关注环境保护、公益事业等问题，力求公司持续、稳定、健康地发展。</w:t>
      </w:r>
    </w:p>
    <w:p w14:paraId="2E6A222C">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6、关于信息披露与透明度：公司严格按照《上市公司信息披露管理办法》和《深圳证券交易所股票上市规则》的要求，真实、准确、及时和完整地披露相关信息，确保公司所有股东能够以平等的机会获得信息。</w:t>
      </w:r>
    </w:p>
    <w:p w14:paraId="548DE724">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7、关于内幕信息知情人的管理：报告期内，公司严格按照《内幕信息知情人登记制度》的要求，对公司利润分配预案、定期报告等重大事项，做好内幕信息管理以及内幕信息知情人登记工作，如实、完整的记录内幕信息知情人在公开披露前的报告、传递、编制、审核、披露等各个环节所有内幕信息知情人名单，杜绝相关人员利用内幕信息从事内幕交易，维护广大投资者尤其是中小投资者的利益。</w:t>
      </w:r>
    </w:p>
    <w:p w14:paraId="2427733A">
      <w:pPr>
        <w:spacing w:before="100" w:after="100" w:line="240" w:lineRule="exact"/>
        <w:rPr>
          <w:rFonts w:ascii="宋体" w:hAnsi="宋体" w:eastAsia="宋体" w:cs="宋体"/>
          <w:sz w:val="18"/>
          <w:szCs w:val="18"/>
        </w:rPr>
      </w:pPr>
      <w:r>
        <w:rPr>
          <w:rFonts w:ascii="宋体" w:hAnsi="宋体" w:eastAsia="宋体" w:cs="宋体"/>
          <w:sz w:val="18"/>
          <w:szCs w:val="18"/>
        </w:rPr>
        <w:t>公司治理的实际状况与法律、行政法规和中国证监会发布的关于上市公司治理的规定是否存在重大差异</w:t>
      </w:r>
    </w:p>
    <w:p w14:paraId="79D5EE9D">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3888D640">
      <w:pPr>
        <w:spacing w:before="100" w:after="100" w:line="240" w:lineRule="exact"/>
        <w:rPr>
          <w:rFonts w:ascii="宋体" w:hAnsi="宋体" w:eastAsia="宋体" w:cs="宋体"/>
          <w:sz w:val="18"/>
          <w:szCs w:val="18"/>
        </w:rPr>
      </w:pPr>
      <w:r>
        <w:rPr>
          <w:rFonts w:ascii="宋体" w:hAnsi="宋体" w:eastAsia="宋体" w:cs="宋体"/>
          <w:sz w:val="18"/>
          <w:szCs w:val="18"/>
        </w:rPr>
        <w:t>公司治理的实际状况与法律、行政法规和中国证监会发布的关于上市公司治理的规定不存在重大差异。</w:t>
      </w:r>
    </w:p>
    <w:p w14:paraId="2D1B497E">
      <w:pPr>
        <w:pStyle w:val="2"/>
        <w:spacing w:before="300" w:after="300" w:line="320" w:lineRule="exact"/>
        <w:rPr>
          <w:rFonts w:ascii="宋体" w:hAnsi="宋体" w:eastAsia="宋体" w:cs="宋体"/>
          <w:b/>
          <w:bCs/>
          <w:sz w:val="24"/>
          <w:szCs w:val="24"/>
        </w:rPr>
      </w:pPr>
      <w:bookmarkStart w:id="65" w:name="_Toc988954"/>
      <w:r>
        <w:rPr>
          <w:rFonts w:ascii="宋体" w:hAnsi="宋体" w:eastAsia="宋体" w:cs="宋体"/>
          <w:b/>
          <w:bCs/>
          <w:sz w:val="24"/>
          <w:szCs w:val="24"/>
        </w:rPr>
        <w:t>二、公司相对于控股股东、实际控制人在保证公司资产、人员、财务、机构、业务等方面的独立情况</w:t>
      </w:r>
      <w:bookmarkEnd w:id="65"/>
    </w:p>
    <w:p w14:paraId="097FC440">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报告期内，公司严格按照《公司法》、《证券法》、《公司章程》等要求，建立健全各项内部控制管理制度，规范与公司实际控制人之间的关系，独立运作，自主经营，独立承担责任和风险。具体情况如下：</w:t>
      </w:r>
    </w:p>
    <w:p w14:paraId="4DD797E4">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1、业务方面：公司业务结构完整，自主独立经营，与控股股东之间无同业竞争，控股股东未曾利用控股股东地位干涉公司决策和生产经营活动。</w:t>
      </w:r>
    </w:p>
    <w:p w14:paraId="0ED4B320">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2、人员方面：公司在劳动、人事及工资管理等各方面均独立于控股股东。总裁、副总裁、董事会秘书、财务负责人等高级管理人员均在公司领取报酬，未在控股股东或股东关联单位担任除董事以外的任何职务。</w:t>
      </w:r>
    </w:p>
    <w:p w14:paraId="12CFCF52">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3、资产方面：公司有独立的办公场地，拥有独立完整的生产、供应、销售体系及辅助配套设施，拥有独立的工业产权、商标、非专利技术等无形资产。</w:t>
      </w:r>
    </w:p>
    <w:p w14:paraId="2FB26B04">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4、机构方面：公司设立了健全的组织体系，董事会、经理层、技术、生产等内部机构独立运作，不存在与控股股东之间的从属关系。</w:t>
      </w:r>
    </w:p>
    <w:p w14:paraId="577BCA9F">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5、财务方面：公司设有独立的财务部门，并建立了独立的会计核算体系和财务管理制度，独立在银行开户、并依法独立纳税。截止本报告签署之日，公司没有为股东及其下属企业、其他关联企业提供担保或将以本公司名义的借款转借给股东单位使用。</w:t>
      </w:r>
    </w:p>
    <w:p w14:paraId="037A3263">
      <w:pPr>
        <w:pStyle w:val="2"/>
        <w:spacing w:before="300" w:after="300" w:line="320" w:lineRule="exact"/>
        <w:rPr>
          <w:rFonts w:ascii="宋体" w:hAnsi="宋体" w:eastAsia="宋体" w:cs="宋体"/>
          <w:b/>
          <w:bCs/>
          <w:sz w:val="24"/>
          <w:szCs w:val="24"/>
        </w:rPr>
      </w:pPr>
      <w:bookmarkStart w:id="66" w:name="_Toc988955"/>
      <w:r>
        <w:rPr>
          <w:rFonts w:ascii="宋体" w:hAnsi="宋体" w:eastAsia="宋体" w:cs="宋体"/>
          <w:b/>
          <w:bCs/>
          <w:sz w:val="24"/>
          <w:szCs w:val="24"/>
        </w:rPr>
        <w:t>三、同业竞争情况</w:t>
      </w:r>
      <w:bookmarkEnd w:id="66"/>
    </w:p>
    <w:p w14:paraId="0B4DA2B4">
      <w:pPr>
        <w:spacing w:before="40" w:after="4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557D73D">
      <w:pPr>
        <w:pStyle w:val="2"/>
        <w:spacing w:before="300" w:after="300" w:line="320" w:lineRule="exact"/>
        <w:rPr>
          <w:rFonts w:ascii="宋体" w:hAnsi="宋体" w:eastAsia="宋体" w:cs="宋体"/>
          <w:b/>
          <w:bCs/>
          <w:sz w:val="24"/>
          <w:szCs w:val="24"/>
        </w:rPr>
      </w:pPr>
      <w:bookmarkStart w:id="67" w:name="_Toc988956"/>
      <w:r>
        <w:rPr>
          <w:rFonts w:ascii="宋体" w:hAnsi="宋体" w:eastAsia="宋体" w:cs="宋体"/>
          <w:b/>
          <w:bCs/>
          <w:sz w:val="24"/>
          <w:szCs w:val="24"/>
        </w:rPr>
        <w:t>四、董事和高级管理人员情况</w:t>
      </w:r>
      <w:bookmarkEnd w:id="67"/>
    </w:p>
    <w:p w14:paraId="170270EF">
      <w:pPr>
        <w:pStyle w:val="3"/>
        <w:spacing w:line="280" w:lineRule="exact"/>
        <w:jc w:val="left"/>
        <w:rPr>
          <w:rFonts w:ascii="宋体" w:hAnsi="宋体" w:cs="宋体"/>
          <w:b/>
          <w:bCs/>
        </w:rPr>
      </w:pPr>
      <w:bookmarkStart w:id="68" w:name="_Toc988957"/>
      <w:r>
        <w:rPr>
          <w:rFonts w:ascii="宋体" w:hAnsi="宋体" w:cs="宋体"/>
          <w:b/>
          <w:bCs/>
        </w:rPr>
        <w:t>1、基本情况</w:t>
      </w:r>
      <w:bookmarkEnd w:id="68"/>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1"/>
        <w:gridCol w:w="425"/>
        <w:gridCol w:w="567"/>
        <w:gridCol w:w="709"/>
        <w:gridCol w:w="709"/>
        <w:gridCol w:w="992"/>
        <w:gridCol w:w="940"/>
        <w:gridCol w:w="741"/>
        <w:gridCol w:w="741"/>
        <w:gridCol w:w="741"/>
        <w:gridCol w:w="741"/>
        <w:gridCol w:w="741"/>
        <w:gridCol w:w="741"/>
      </w:tblGrid>
      <w:tr w14:paraId="320D1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14:paraId="7B1FFAEC">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14:paraId="35555973">
            <w:pPr>
              <w:spacing w:before="40" w:after="40" w:line="240" w:lineRule="exact"/>
              <w:jc w:val="center"/>
              <w:rPr>
                <w:rFonts w:ascii="宋体" w:hAnsi="宋体" w:eastAsia="宋体" w:cs="宋体"/>
                <w:sz w:val="18"/>
                <w:szCs w:val="18"/>
              </w:rPr>
            </w:pPr>
            <w:r>
              <w:rPr>
                <w:rFonts w:ascii="宋体" w:hAnsi="宋体" w:eastAsia="宋体" w:cs="宋体"/>
                <w:sz w:val="18"/>
                <w:szCs w:val="18"/>
              </w:rPr>
              <w:t>性别</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14:paraId="72A94628">
            <w:pPr>
              <w:spacing w:before="40" w:after="40" w:line="240" w:lineRule="exact"/>
              <w:jc w:val="center"/>
              <w:rPr>
                <w:rFonts w:ascii="宋体" w:hAnsi="宋体" w:eastAsia="宋体" w:cs="宋体"/>
                <w:sz w:val="18"/>
                <w:szCs w:val="18"/>
              </w:rPr>
            </w:pPr>
            <w:r>
              <w:rPr>
                <w:rFonts w:ascii="宋体" w:hAnsi="宋体" w:eastAsia="宋体" w:cs="宋体"/>
                <w:sz w:val="18"/>
                <w:szCs w:val="18"/>
              </w:rPr>
              <w:t>年龄</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14:paraId="717521D3">
            <w:pPr>
              <w:spacing w:before="40" w:after="40" w:line="240" w:lineRule="exact"/>
              <w:jc w:val="center"/>
              <w:rPr>
                <w:rFonts w:ascii="宋体" w:hAnsi="宋体" w:eastAsia="宋体" w:cs="宋体"/>
                <w:sz w:val="18"/>
                <w:szCs w:val="18"/>
              </w:rPr>
            </w:pPr>
            <w:r>
              <w:rPr>
                <w:rFonts w:ascii="宋体" w:hAnsi="宋体" w:eastAsia="宋体" w:cs="宋体"/>
                <w:sz w:val="18"/>
                <w:szCs w:val="18"/>
              </w:rPr>
              <w:t>职务</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14:paraId="603DC46E">
            <w:pPr>
              <w:spacing w:before="40" w:after="40" w:line="240" w:lineRule="exact"/>
              <w:jc w:val="center"/>
              <w:rPr>
                <w:rFonts w:ascii="宋体" w:hAnsi="宋体" w:eastAsia="宋体" w:cs="宋体"/>
                <w:sz w:val="18"/>
                <w:szCs w:val="18"/>
              </w:rPr>
            </w:pPr>
            <w:r>
              <w:rPr>
                <w:rFonts w:ascii="宋体" w:hAnsi="宋体" w:eastAsia="宋体" w:cs="宋体"/>
                <w:sz w:val="18"/>
                <w:szCs w:val="18"/>
              </w:rPr>
              <w:t>任职状态</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14:paraId="12037BD0">
            <w:pPr>
              <w:spacing w:before="40" w:after="40" w:line="240" w:lineRule="exact"/>
              <w:jc w:val="center"/>
              <w:rPr>
                <w:rFonts w:ascii="宋体" w:hAnsi="宋体" w:eastAsia="宋体" w:cs="宋体"/>
                <w:sz w:val="18"/>
                <w:szCs w:val="18"/>
              </w:rPr>
            </w:pPr>
            <w:r>
              <w:rPr>
                <w:rFonts w:ascii="宋体" w:hAnsi="宋体" w:eastAsia="宋体" w:cs="宋体"/>
                <w:sz w:val="18"/>
                <w:szCs w:val="18"/>
              </w:rPr>
              <w:t>任期起始日期</w:t>
            </w:r>
          </w:p>
        </w:tc>
        <w:tc>
          <w:tcPr>
            <w:tcW w:w="940" w:type="dxa"/>
            <w:tcBorders>
              <w:top w:val="single" w:color="auto" w:sz="2" w:space="0"/>
              <w:left w:val="single" w:color="auto" w:sz="2" w:space="0"/>
              <w:bottom w:val="single" w:color="auto" w:sz="2" w:space="0"/>
              <w:right w:val="single" w:color="auto" w:sz="2" w:space="0"/>
            </w:tcBorders>
            <w:shd w:val="clear" w:color="auto" w:fill="D3D3D3"/>
            <w:vAlign w:val="center"/>
          </w:tcPr>
          <w:p w14:paraId="4A5283B7">
            <w:pPr>
              <w:spacing w:before="40" w:after="40" w:line="240" w:lineRule="exact"/>
              <w:jc w:val="center"/>
              <w:rPr>
                <w:rFonts w:ascii="宋体" w:hAnsi="宋体" w:eastAsia="宋体" w:cs="宋体"/>
                <w:sz w:val="18"/>
                <w:szCs w:val="18"/>
              </w:rPr>
            </w:pPr>
            <w:r>
              <w:rPr>
                <w:rFonts w:ascii="宋体" w:hAnsi="宋体" w:eastAsia="宋体" w:cs="宋体"/>
                <w:sz w:val="18"/>
                <w:szCs w:val="18"/>
              </w:rPr>
              <w:t>任期终止日期</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09C2878">
            <w:pPr>
              <w:spacing w:before="40" w:after="40" w:line="240" w:lineRule="exact"/>
              <w:jc w:val="center"/>
              <w:rPr>
                <w:rFonts w:ascii="宋体" w:hAnsi="宋体" w:eastAsia="宋体" w:cs="宋体"/>
                <w:sz w:val="18"/>
                <w:szCs w:val="18"/>
              </w:rPr>
            </w:pPr>
            <w:r>
              <w:rPr>
                <w:rFonts w:ascii="宋体" w:hAnsi="宋体" w:eastAsia="宋体" w:cs="宋体"/>
                <w:sz w:val="18"/>
                <w:szCs w:val="18"/>
              </w:rPr>
              <w:t>期初持股数（股）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FF1B8B4">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本期增持股份数量（股）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7FE85C8">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本期减持股份数量（股）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13158AD">
            <w:pPr>
              <w:spacing w:before="40" w:after="40" w:line="240" w:lineRule="exact"/>
              <w:jc w:val="center"/>
              <w:rPr>
                <w:rFonts w:ascii="宋体" w:hAnsi="宋体" w:eastAsia="宋体" w:cs="宋体"/>
                <w:sz w:val="18"/>
                <w:szCs w:val="18"/>
              </w:rPr>
            </w:pPr>
            <w:r>
              <w:rPr>
                <w:rFonts w:ascii="宋体" w:hAnsi="宋体" w:eastAsia="宋体" w:cs="宋体"/>
                <w:sz w:val="18"/>
                <w:szCs w:val="18"/>
              </w:rPr>
              <w:t>其他增减变动（股）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F3E20EB">
            <w:pPr>
              <w:spacing w:before="40" w:after="40" w:line="240" w:lineRule="exact"/>
              <w:jc w:val="center"/>
              <w:rPr>
                <w:rFonts w:ascii="宋体" w:hAnsi="宋体" w:eastAsia="宋体" w:cs="宋体"/>
                <w:sz w:val="18"/>
                <w:szCs w:val="18"/>
              </w:rPr>
            </w:pPr>
            <w:r>
              <w:rPr>
                <w:rFonts w:ascii="宋体" w:hAnsi="宋体" w:eastAsia="宋体" w:cs="宋体"/>
                <w:sz w:val="18"/>
                <w:szCs w:val="18"/>
              </w:rPr>
              <w:t>期末持股数（股）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32213C4">
            <w:pPr>
              <w:spacing w:before="40" w:after="40" w:line="240" w:lineRule="exact"/>
              <w:jc w:val="center"/>
              <w:rPr>
                <w:rFonts w:ascii="宋体" w:hAnsi="宋体" w:eastAsia="宋体" w:cs="宋体"/>
                <w:sz w:val="18"/>
                <w:szCs w:val="18"/>
              </w:rPr>
            </w:pPr>
            <w:r>
              <w:rPr>
                <w:rFonts w:ascii="宋体" w:hAnsi="宋体" w:eastAsia="宋体" w:cs="宋体"/>
                <w:sz w:val="18"/>
                <w:szCs w:val="18"/>
              </w:rPr>
              <w:t>股份增减变动的原因</w:t>
            </w:r>
          </w:p>
        </w:tc>
      </w:tr>
      <w:tr w14:paraId="744D9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27BECA20">
            <w:pPr>
              <w:spacing w:line="240" w:lineRule="exact"/>
              <w:rPr>
                <w:rFonts w:ascii="宋体" w:hAnsi="宋体" w:eastAsia="宋体" w:cs="宋体"/>
                <w:sz w:val="18"/>
                <w:szCs w:val="18"/>
              </w:rPr>
            </w:pPr>
            <w:r>
              <w:rPr>
                <w:rFonts w:ascii="宋体" w:hAnsi="宋体" w:eastAsia="宋体" w:cs="宋体"/>
                <w:sz w:val="18"/>
                <w:szCs w:val="18"/>
              </w:rPr>
              <w:t>孙伟挺</w:t>
            </w:r>
          </w:p>
        </w:tc>
        <w:tc>
          <w:tcPr>
            <w:tcW w:w="425" w:type="dxa"/>
            <w:tcBorders>
              <w:top w:val="single" w:color="auto" w:sz="2" w:space="0"/>
              <w:left w:val="single" w:color="auto" w:sz="2" w:space="0"/>
              <w:bottom w:val="single" w:color="auto" w:sz="2" w:space="0"/>
              <w:right w:val="single" w:color="auto" w:sz="2" w:space="0"/>
            </w:tcBorders>
            <w:vAlign w:val="center"/>
          </w:tcPr>
          <w:p w14:paraId="27F0F968">
            <w:pPr>
              <w:spacing w:line="240" w:lineRule="exact"/>
              <w:rPr>
                <w:rFonts w:ascii="宋体" w:hAnsi="宋体" w:eastAsia="宋体" w:cs="宋体"/>
                <w:sz w:val="18"/>
                <w:szCs w:val="18"/>
              </w:rPr>
            </w:pPr>
            <w:r>
              <w:rPr>
                <w:rFonts w:ascii="宋体" w:hAnsi="宋体" w:eastAsia="宋体" w:cs="宋体"/>
                <w:sz w:val="18"/>
                <w:szCs w:val="18"/>
              </w:rPr>
              <w:t>男</w:t>
            </w:r>
          </w:p>
        </w:tc>
        <w:tc>
          <w:tcPr>
            <w:tcW w:w="567" w:type="dxa"/>
            <w:tcBorders>
              <w:top w:val="single" w:color="auto" w:sz="2" w:space="0"/>
              <w:left w:val="single" w:color="auto" w:sz="2" w:space="0"/>
              <w:bottom w:val="single" w:color="auto" w:sz="2" w:space="0"/>
              <w:right w:val="single" w:color="auto" w:sz="2" w:space="0"/>
            </w:tcBorders>
            <w:vAlign w:val="center"/>
          </w:tcPr>
          <w:p w14:paraId="71FB2FE2">
            <w:pPr>
              <w:spacing w:line="240" w:lineRule="exact"/>
              <w:jc w:val="right"/>
              <w:rPr>
                <w:rFonts w:ascii="宋体" w:hAnsi="宋体" w:eastAsia="宋体" w:cs="宋体"/>
                <w:sz w:val="18"/>
                <w:szCs w:val="18"/>
              </w:rPr>
            </w:pPr>
            <w:r>
              <w:rPr>
                <w:rFonts w:ascii="宋体" w:hAnsi="宋体" w:eastAsia="宋体" w:cs="宋体"/>
                <w:sz w:val="18"/>
                <w:szCs w:val="18"/>
              </w:rPr>
              <w:t>63</w:t>
            </w:r>
          </w:p>
        </w:tc>
        <w:tc>
          <w:tcPr>
            <w:tcW w:w="709" w:type="dxa"/>
            <w:tcBorders>
              <w:top w:val="single" w:color="auto" w:sz="2" w:space="0"/>
              <w:left w:val="single" w:color="auto" w:sz="2" w:space="0"/>
              <w:bottom w:val="single" w:color="auto" w:sz="2" w:space="0"/>
              <w:right w:val="single" w:color="auto" w:sz="2" w:space="0"/>
            </w:tcBorders>
            <w:vAlign w:val="center"/>
          </w:tcPr>
          <w:p w14:paraId="119590C8">
            <w:pPr>
              <w:spacing w:line="240" w:lineRule="exact"/>
              <w:rPr>
                <w:rFonts w:ascii="宋体" w:hAnsi="宋体" w:eastAsia="宋体" w:cs="宋体"/>
                <w:sz w:val="18"/>
                <w:szCs w:val="18"/>
              </w:rPr>
            </w:pPr>
            <w:r>
              <w:rPr>
                <w:rFonts w:ascii="宋体" w:hAnsi="宋体" w:eastAsia="宋体" w:cs="宋体"/>
                <w:sz w:val="18"/>
                <w:szCs w:val="18"/>
              </w:rPr>
              <w:t>董事、董事长</w:t>
            </w:r>
          </w:p>
        </w:tc>
        <w:tc>
          <w:tcPr>
            <w:tcW w:w="709" w:type="dxa"/>
            <w:tcBorders>
              <w:top w:val="single" w:color="auto" w:sz="2" w:space="0"/>
              <w:left w:val="single" w:color="auto" w:sz="2" w:space="0"/>
              <w:bottom w:val="single" w:color="auto" w:sz="2" w:space="0"/>
              <w:right w:val="single" w:color="auto" w:sz="2" w:space="0"/>
            </w:tcBorders>
            <w:vAlign w:val="center"/>
          </w:tcPr>
          <w:p w14:paraId="61779781">
            <w:pPr>
              <w:spacing w:line="240" w:lineRule="exact"/>
              <w:rPr>
                <w:rFonts w:ascii="宋体" w:hAnsi="宋体" w:eastAsia="宋体" w:cs="宋体"/>
                <w:sz w:val="18"/>
                <w:szCs w:val="18"/>
              </w:rPr>
            </w:pPr>
            <w:r>
              <w:rPr>
                <w:rFonts w:ascii="宋体" w:hAnsi="宋体" w:eastAsia="宋体" w:cs="宋体"/>
                <w:sz w:val="18"/>
                <w:szCs w:val="18"/>
              </w:rPr>
              <w:t>现任</w:t>
            </w:r>
          </w:p>
        </w:tc>
        <w:tc>
          <w:tcPr>
            <w:tcW w:w="992" w:type="dxa"/>
            <w:tcBorders>
              <w:top w:val="single" w:color="auto" w:sz="2" w:space="0"/>
              <w:left w:val="single" w:color="auto" w:sz="2" w:space="0"/>
              <w:bottom w:val="single" w:color="auto" w:sz="2" w:space="0"/>
              <w:right w:val="single" w:color="auto" w:sz="2" w:space="0"/>
            </w:tcBorders>
            <w:vAlign w:val="center"/>
          </w:tcPr>
          <w:p w14:paraId="499CAF76">
            <w:pPr>
              <w:spacing w:line="240" w:lineRule="exact"/>
              <w:rPr>
                <w:rFonts w:ascii="宋体" w:hAnsi="宋体" w:eastAsia="宋体" w:cs="宋体"/>
                <w:sz w:val="18"/>
                <w:szCs w:val="18"/>
              </w:rPr>
            </w:pPr>
            <w:r>
              <w:rPr>
                <w:rFonts w:ascii="宋体" w:hAnsi="宋体" w:eastAsia="宋体" w:cs="宋体"/>
                <w:sz w:val="18"/>
                <w:szCs w:val="18"/>
              </w:rPr>
              <w:t>2008年02月28日</w:t>
            </w:r>
          </w:p>
        </w:tc>
        <w:tc>
          <w:tcPr>
            <w:tcW w:w="940" w:type="dxa"/>
            <w:tcBorders>
              <w:top w:val="single" w:color="auto" w:sz="2" w:space="0"/>
              <w:left w:val="single" w:color="auto" w:sz="2" w:space="0"/>
              <w:bottom w:val="single" w:color="auto" w:sz="2" w:space="0"/>
              <w:right w:val="single" w:color="auto" w:sz="2" w:space="0"/>
            </w:tcBorders>
            <w:vAlign w:val="center"/>
          </w:tcPr>
          <w:p w14:paraId="7EDE71DE">
            <w:pPr>
              <w:spacing w:line="240" w:lineRule="exact"/>
              <w:rPr>
                <w:rFonts w:ascii="宋体" w:hAnsi="宋体" w:eastAsia="宋体" w:cs="宋体"/>
                <w:sz w:val="18"/>
                <w:szCs w:val="18"/>
              </w:rPr>
            </w:pPr>
            <w:r>
              <w:rPr>
                <w:rFonts w:ascii="宋体" w:hAnsi="宋体" w:eastAsia="宋体" w:cs="宋体"/>
                <w:sz w:val="18"/>
                <w:szCs w:val="18"/>
              </w:rPr>
              <w:t>2027年12月20日</w:t>
            </w:r>
          </w:p>
        </w:tc>
        <w:tc>
          <w:tcPr>
            <w:tcW w:w="741" w:type="dxa"/>
            <w:tcBorders>
              <w:top w:val="single" w:color="auto" w:sz="2" w:space="0"/>
              <w:left w:val="single" w:color="auto" w:sz="2" w:space="0"/>
              <w:bottom w:val="single" w:color="auto" w:sz="2" w:space="0"/>
              <w:right w:val="single" w:color="auto" w:sz="2" w:space="0"/>
            </w:tcBorders>
            <w:vAlign w:val="center"/>
          </w:tcPr>
          <w:p w14:paraId="4C9E9018">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72E27286">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2DA12C47">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61901E03">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1FEAF2C7">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13617A1A">
            <w:pPr>
              <w:spacing w:line="240" w:lineRule="exact"/>
              <w:rPr>
                <w:rFonts w:ascii="宋体" w:hAnsi="宋体" w:eastAsia="宋体" w:cs="宋体"/>
                <w:sz w:val="18"/>
                <w:szCs w:val="18"/>
              </w:rPr>
            </w:pPr>
            <w:r>
              <w:rPr>
                <w:rFonts w:ascii="宋体" w:hAnsi="宋体" w:eastAsia="宋体" w:cs="宋体"/>
                <w:sz w:val="18"/>
                <w:szCs w:val="18"/>
              </w:rPr>
              <w:t>不适用</w:t>
            </w:r>
          </w:p>
        </w:tc>
      </w:tr>
      <w:tr w14:paraId="56BF7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680E477D">
            <w:pPr>
              <w:spacing w:line="240" w:lineRule="exact"/>
              <w:rPr>
                <w:rFonts w:ascii="宋体" w:hAnsi="宋体" w:eastAsia="宋体" w:cs="宋体"/>
                <w:sz w:val="18"/>
                <w:szCs w:val="18"/>
              </w:rPr>
            </w:pPr>
            <w:r>
              <w:rPr>
                <w:rFonts w:ascii="宋体" w:hAnsi="宋体" w:eastAsia="宋体" w:cs="宋体"/>
                <w:sz w:val="18"/>
                <w:szCs w:val="18"/>
              </w:rPr>
              <w:t>陈玲芬</w:t>
            </w:r>
          </w:p>
        </w:tc>
        <w:tc>
          <w:tcPr>
            <w:tcW w:w="425" w:type="dxa"/>
            <w:tcBorders>
              <w:top w:val="single" w:color="auto" w:sz="2" w:space="0"/>
              <w:left w:val="single" w:color="auto" w:sz="2" w:space="0"/>
              <w:bottom w:val="single" w:color="auto" w:sz="2" w:space="0"/>
              <w:right w:val="single" w:color="auto" w:sz="2" w:space="0"/>
            </w:tcBorders>
            <w:vAlign w:val="center"/>
          </w:tcPr>
          <w:p w14:paraId="78D563B8">
            <w:pPr>
              <w:spacing w:line="240" w:lineRule="exact"/>
              <w:rPr>
                <w:rFonts w:ascii="宋体" w:hAnsi="宋体" w:eastAsia="宋体" w:cs="宋体"/>
                <w:sz w:val="18"/>
                <w:szCs w:val="18"/>
              </w:rPr>
            </w:pPr>
            <w:r>
              <w:rPr>
                <w:rFonts w:ascii="宋体" w:hAnsi="宋体" w:eastAsia="宋体" w:cs="宋体"/>
                <w:sz w:val="18"/>
                <w:szCs w:val="18"/>
              </w:rPr>
              <w:t>女</w:t>
            </w:r>
          </w:p>
        </w:tc>
        <w:tc>
          <w:tcPr>
            <w:tcW w:w="567" w:type="dxa"/>
            <w:tcBorders>
              <w:top w:val="single" w:color="auto" w:sz="2" w:space="0"/>
              <w:left w:val="single" w:color="auto" w:sz="2" w:space="0"/>
              <w:bottom w:val="single" w:color="auto" w:sz="2" w:space="0"/>
              <w:right w:val="single" w:color="auto" w:sz="2" w:space="0"/>
            </w:tcBorders>
            <w:vAlign w:val="center"/>
          </w:tcPr>
          <w:p w14:paraId="44A31E2D">
            <w:pPr>
              <w:spacing w:line="240" w:lineRule="exact"/>
              <w:jc w:val="right"/>
              <w:rPr>
                <w:rFonts w:ascii="宋体" w:hAnsi="宋体" w:eastAsia="宋体" w:cs="宋体"/>
                <w:sz w:val="18"/>
                <w:szCs w:val="18"/>
              </w:rPr>
            </w:pPr>
            <w:r>
              <w:rPr>
                <w:rFonts w:ascii="宋体" w:hAnsi="宋体" w:eastAsia="宋体" w:cs="宋体"/>
                <w:sz w:val="18"/>
                <w:szCs w:val="18"/>
              </w:rPr>
              <w:t>63</w:t>
            </w:r>
          </w:p>
        </w:tc>
        <w:tc>
          <w:tcPr>
            <w:tcW w:w="709" w:type="dxa"/>
            <w:tcBorders>
              <w:top w:val="single" w:color="auto" w:sz="2" w:space="0"/>
              <w:left w:val="single" w:color="auto" w:sz="2" w:space="0"/>
              <w:bottom w:val="single" w:color="auto" w:sz="2" w:space="0"/>
              <w:right w:val="single" w:color="auto" w:sz="2" w:space="0"/>
            </w:tcBorders>
            <w:vAlign w:val="center"/>
          </w:tcPr>
          <w:p w14:paraId="0A4338E9">
            <w:pPr>
              <w:spacing w:line="240" w:lineRule="exact"/>
              <w:rPr>
                <w:rFonts w:ascii="宋体" w:hAnsi="宋体" w:eastAsia="宋体" w:cs="宋体"/>
                <w:sz w:val="18"/>
                <w:szCs w:val="18"/>
              </w:rPr>
            </w:pPr>
            <w:r>
              <w:rPr>
                <w:rFonts w:ascii="宋体" w:hAnsi="宋体" w:eastAsia="宋体" w:cs="宋体"/>
                <w:sz w:val="18"/>
                <w:szCs w:val="18"/>
              </w:rPr>
              <w:t>董事、副董事长</w:t>
            </w:r>
          </w:p>
        </w:tc>
        <w:tc>
          <w:tcPr>
            <w:tcW w:w="709" w:type="dxa"/>
            <w:tcBorders>
              <w:top w:val="single" w:color="auto" w:sz="2" w:space="0"/>
              <w:left w:val="single" w:color="auto" w:sz="2" w:space="0"/>
              <w:bottom w:val="single" w:color="auto" w:sz="2" w:space="0"/>
              <w:right w:val="single" w:color="auto" w:sz="2" w:space="0"/>
            </w:tcBorders>
            <w:vAlign w:val="center"/>
          </w:tcPr>
          <w:p w14:paraId="77A9CC4C">
            <w:pPr>
              <w:spacing w:line="240" w:lineRule="exact"/>
              <w:rPr>
                <w:rFonts w:ascii="宋体" w:hAnsi="宋体" w:eastAsia="宋体" w:cs="宋体"/>
                <w:sz w:val="18"/>
                <w:szCs w:val="18"/>
              </w:rPr>
            </w:pPr>
            <w:r>
              <w:rPr>
                <w:rFonts w:ascii="宋体" w:hAnsi="宋体" w:eastAsia="宋体" w:cs="宋体"/>
                <w:sz w:val="18"/>
                <w:szCs w:val="18"/>
              </w:rPr>
              <w:t>现任</w:t>
            </w:r>
          </w:p>
        </w:tc>
        <w:tc>
          <w:tcPr>
            <w:tcW w:w="992" w:type="dxa"/>
            <w:tcBorders>
              <w:top w:val="single" w:color="auto" w:sz="2" w:space="0"/>
              <w:left w:val="single" w:color="auto" w:sz="2" w:space="0"/>
              <w:bottom w:val="single" w:color="auto" w:sz="2" w:space="0"/>
              <w:right w:val="single" w:color="auto" w:sz="2" w:space="0"/>
            </w:tcBorders>
            <w:vAlign w:val="center"/>
          </w:tcPr>
          <w:p w14:paraId="5B65D9FD">
            <w:pPr>
              <w:spacing w:line="240" w:lineRule="exact"/>
              <w:rPr>
                <w:rFonts w:ascii="宋体" w:hAnsi="宋体" w:eastAsia="宋体" w:cs="宋体"/>
                <w:sz w:val="18"/>
                <w:szCs w:val="18"/>
              </w:rPr>
            </w:pPr>
            <w:r>
              <w:rPr>
                <w:rFonts w:ascii="宋体" w:hAnsi="宋体" w:eastAsia="宋体" w:cs="宋体"/>
                <w:sz w:val="18"/>
                <w:szCs w:val="18"/>
              </w:rPr>
              <w:t>2008年02月28日</w:t>
            </w:r>
          </w:p>
        </w:tc>
        <w:tc>
          <w:tcPr>
            <w:tcW w:w="940" w:type="dxa"/>
            <w:tcBorders>
              <w:top w:val="single" w:color="auto" w:sz="2" w:space="0"/>
              <w:left w:val="single" w:color="auto" w:sz="2" w:space="0"/>
              <w:bottom w:val="single" w:color="auto" w:sz="2" w:space="0"/>
              <w:right w:val="single" w:color="auto" w:sz="2" w:space="0"/>
            </w:tcBorders>
            <w:vAlign w:val="center"/>
          </w:tcPr>
          <w:p w14:paraId="5CC21E97">
            <w:pPr>
              <w:spacing w:line="240" w:lineRule="exact"/>
              <w:rPr>
                <w:rFonts w:ascii="宋体" w:hAnsi="宋体" w:eastAsia="宋体" w:cs="宋体"/>
                <w:sz w:val="18"/>
                <w:szCs w:val="18"/>
              </w:rPr>
            </w:pPr>
            <w:r>
              <w:rPr>
                <w:rFonts w:ascii="宋体" w:hAnsi="宋体" w:eastAsia="宋体" w:cs="宋体"/>
                <w:sz w:val="18"/>
                <w:szCs w:val="18"/>
              </w:rPr>
              <w:t>2027年12月20日</w:t>
            </w:r>
          </w:p>
        </w:tc>
        <w:tc>
          <w:tcPr>
            <w:tcW w:w="741" w:type="dxa"/>
            <w:tcBorders>
              <w:top w:val="single" w:color="auto" w:sz="2" w:space="0"/>
              <w:left w:val="single" w:color="auto" w:sz="2" w:space="0"/>
              <w:bottom w:val="single" w:color="auto" w:sz="2" w:space="0"/>
              <w:right w:val="single" w:color="auto" w:sz="2" w:space="0"/>
            </w:tcBorders>
            <w:vAlign w:val="center"/>
          </w:tcPr>
          <w:p w14:paraId="2EDA8B53">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4668C830">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05B320ED">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15D83467">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52019606">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27B9F2B9">
            <w:pPr>
              <w:spacing w:line="240" w:lineRule="exact"/>
              <w:rPr>
                <w:rFonts w:ascii="宋体" w:hAnsi="宋体" w:eastAsia="宋体" w:cs="宋体"/>
                <w:sz w:val="18"/>
                <w:szCs w:val="18"/>
              </w:rPr>
            </w:pPr>
            <w:r>
              <w:rPr>
                <w:rFonts w:ascii="宋体" w:hAnsi="宋体" w:eastAsia="宋体" w:cs="宋体"/>
                <w:sz w:val="18"/>
                <w:szCs w:val="18"/>
              </w:rPr>
              <w:t>不适用</w:t>
            </w:r>
          </w:p>
        </w:tc>
      </w:tr>
      <w:tr w14:paraId="6A592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0BF1A42A">
            <w:pPr>
              <w:spacing w:line="240" w:lineRule="exact"/>
              <w:rPr>
                <w:rFonts w:ascii="宋体" w:hAnsi="宋体" w:eastAsia="宋体" w:cs="宋体"/>
                <w:sz w:val="18"/>
                <w:szCs w:val="18"/>
              </w:rPr>
            </w:pPr>
            <w:r>
              <w:rPr>
                <w:rFonts w:ascii="宋体" w:hAnsi="宋体" w:eastAsia="宋体" w:cs="宋体"/>
                <w:sz w:val="18"/>
                <w:szCs w:val="18"/>
              </w:rPr>
              <w:t>陈玲芬</w:t>
            </w:r>
          </w:p>
        </w:tc>
        <w:tc>
          <w:tcPr>
            <w:tcW w:w="425" w:type="dxa"/>
            <w:tcBorders>
              <w:top w:val="single" w:color="auto" w:sz="2" w:space="0"/>
              <w:left w:val="single" w:color="auto" w:sz="2" w:space="0"/>
              <w:bottom w:val="single" w:color="auto" w:sz="2" w:space="0"/>
              <w:right w:val="single" w:color="auto" w:sz="2" w:space="0"/>
            </w:tcBorders>
            <w:vAlign w:val="center"/>
          </w:tcPr>
          <w:p w14:paraId="306F5B71">
            <w:pPr>
              <w:spacing w:line="240" w:lineRule="exact"/>
              <w:rPr>
                <w:rFonts w:ascii="宋体" w:hAnsi="宋体" w:eastAsia="宋体" w:cs="宋体"/>
                <w:sz w:val="18"/>
                <w:szCs w:val="18"/>
              </w:rPr>
            </w:pPr>
            <w:r>
              <w:rPr>
                <w:rFonts w:ascii="宋体" w:hAnsi="宋体" w:eastAsia="宋体" w:cs="宋体"/>
                <w:sz w:val="18"/>
                <w:szCs w:val="18"/>
              </w:rPr>
              <w:t>女</w:t>
            </w:r>
          </w:p>
        </w:tc>
        <w:tc>
          <w:tcPr>
            <w:tcW w:w="567" w:type="dxa"/>
            <w:tcBorders>
              <w:top w:val="single" w:color="auto" w:sz="2" w:space="0"/>
              <w:left w:val="single" w:color="auto" w:sz="2" w:space="0"/>
              <w:bottom w:val="single" w:color="auto" w:sz="2" w:space="0"/>
              <w:right w:val="single" w:color="auto" w:sz="2" w:space="0"/>
            </w:tcBorders>
            <w:vAlign w:val="center"/>
          </w:tcPr>
          <w:p w14:paraId="78B2ED25">
            <w:pPr>
              <w:spacing w:line="240" w:lineRule="exact"/>
              <w:jc w:val="right"/>
              <w:rPr>
                <w:rFonts w:ascii="宋体" w:hAnsi="宋体" w:eastAsia="宋体" w:cs="宋体"/>
                <w:sz w:val="18"/>
                <w:szCs w:val="18"/>
              </w:rPr>
            </w:pPr>
            <w:r>
              <w:rPr>
                <w:rFonts w:ascii="宋体" w:hAnsi="宋体" w:eastAsia="宋体" w:cs="宋体"/>
                <w:sz w:val="18"/>
                <w:szCs w:val="18"/>
              </w:rPr>
              <w:t>63</w:t>
            </w:r>
          </w:p>
        </w:tc>
        <w:tc>
          <w:tcPr>
            <w:tcW w:w="709" w:type="dxa"/>
            <w:tcBorders>
              <w:top w:val="single" w:color="auto" w:sz="2" w:space="0"/>
              <w:left w:val="single" w:color="auto" w:sz="2" w:space="0"/>
              <w:bottom w:val="single" w:color="auto" w:sz="2" w:space="0"/>
              <w:right w:val="single" w:color="auto" w:sz="2" w:space="0"/>
            </w:tcBorders>
            <w:vAlign w:val="center"/>
          </w:tcPr>
          <w:p w14:paraId="2B73DA9C">
            <w:pPr>
              <w:spacing w:line="240" w:lineRule="exact"/>
              <w:rPr>
                <w:rFonts w:ascii="宋体" w:hAnsi="宋体" w:eastAsia="宋体" w:cs="宋体"/>
                <w:sz w:val="18"/>
                <w:szCs w:val="18"/>
              </w:rPr>
            </w:pPr>
            <w:r>
              <w:rPr>
                <w:rFonts w:ascii="宋体" w:hAnsi="宋体" w:eastAsia="宋体" w:cs="宋体"/>
                <w:sz w:val="18"/>
                <w:szCs w:val="18"/>
              </w:rPr>
              <w:t>总裁</w:t>
            </w:r>
          </w:p>
        </w:tc>
        <w:tc>
          <w:tcPr>
            <w:tcW w:w="709" w:type="dxa"/>
            <w:tcBorders>
              <w:top w:val="single" w:color="auto" w:sz="2" w:space="0"/>
              <w:left w:val="single" w:color="auto" w:sz="2" w:space="0"/>
              <w:bottom w:val="single" w:color="auto" w:sz="2" w:space="0"/>
              <w:right w:val="single" w:color="auto" w:sz="2" w:space="0"/>
            </w:tcBorders>
            <w:vAlign w:val="center"/>
          </w:tcPr>
          <w:p w14:paraId="52A5A98D">
            <w:pPr>
              <w:spacing w:line="240" w:lineRule="exact"/>
              <w:rPr>
                <w:rFonts w:ascii="宋体" w:hAnsi="宋体" w:eastAsia="宋体" w:cs="宋体"/>
                <w:sz w:val="18"/>
                <w:szCs w:val="18"/>
              </w:rPr>
            </w:pPr>
            <w:r>
              <w:rPr>
                <w:rFonts w:ascii="宋体" w:hAnsi="宋体" w:eastAsia="宋体" w:cs="宋体"/>
                <w:sz w:val="18"/>
                <w:szCs w:val="18"/>
              </w:rPr>
              <w:t>现任</w:t>
            </w:r>
          </w:p>
        </w:tc>
        <w:tc>
          <w:tcPr>
            <w:tcW w:w="992" w:type="dxa"/>
            <w:tcBorders>
              <w:top w:val="single" w:color="auto" w:sz="2" w:space="0"/>
              <w:left w:val="single" w:color="auto" w:sz="2" w:space="0"/>
              <w:bottom w:val="single" w:color="auto" w:sz="2" w:space="0"/>
              <w:right w:val="single" w:color="auto" w:sz="2" w:space="0"/>
            </w:tcBorders>
            <w:vAlign w:val="center"/>
          </w:tcPr>
          <w:p w14:paraId="731DFF19">
            <w:pPr>
              <w:spacing w:line="240" w:lineRule="exact"/>
              <w:rPr>
                <w:rFonts w:ascii="宋体" w:hAnsi="宋体" w:eastAsia="宋体" w:cs="宋体"/>
                <w:sz w:val="18"/>
                <w:szCs w:val="18"/>
              </w:rPr>
            </w:pPr>
            <w:r>
              <w:rPr>
                <w:rFonts w:ascii="宋体" w:hAnsi="宋体" w:eastAsia="宋体" w:cs="宋体"/>
                <w:sz w:val="18"/>
                <w:szCs w:val="18"/>
              </w:rPr>
              <w:t>2009年05月25日</w:t>
            </w:r>
          </w:p>
        </w:tc>
        <w:tc>
          <w:tcPr>
            <w:tcW w:w="940" w:type="dxa"/>
            <w:tcBorders>
              <w:top w:val="single" w:color="auto" w:sz="2" w:space="0"/>
              <w:left w:val="single" w:color="auto" w:sz="2" w:space="0"/>
              <w:bottom w:val="single" w:color="auto" w:sz="2" w:space="0"/>
              <w:right w:val="single" w:color="auto" w:sz="2" w:space="0"/>
            </w:tcBorders>
            <w:vAlign w:val="center"/>
          </w:tcPr>
          <w:p w14:paraId="63C53FE1">
            <w:pPr>
              <w:spacing w:line="240" w:lineRule="exact"/>
              <w:rPr>
                <w:rFonts w:ascii="宋体" w:hAnsi="宋体" w:eastAsia="宋体" w:cs="宋体"/>
                <w:sz w:val="18"/>
                <w:szCs w:val="18"/>
              </w:rPr>
            </w:pPr>
            <w:r>
              <w:rPr>
                <w:rFonts w:ascii="宋体" w:hAnsi="宋体" w:eastAsia="宋体" w:cs="宋体"/>
                <w:sz w:val="18"/>
                <w:szCs w:val="18"/>
              </w:rPr>
              <w:t>2027年12月20日</w:t>
            </w:r>
          </w:p>
        </w:tc>
        <w:tc>
          <w:tcPr>
            <w:tcW w:w="741" w:type="dxa"/>
            <w:tcBorders>
              <w:top w:val="single" w:color="auto" w:sz="2" w:space="0"/>
              <w:left w:val="single" w:color="auto" w:sz="2" w:space="0"/>
              <w:bottom w:val="single" w:color="auto" w:sz="2" w:space="0"/>
              <w:right w:val="single" w:color="auto" w:sz="2" w:space="0"/>
            </w:tcBorders>
            <w:vAlign w:val="center"/>
          </w:tcPr>
          <w:p w14:paraId="38E8734B">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151FE4BF">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2217FCE7">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517A56C0">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65C47ABA">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4D8D3D1B">
            <w:pPr>
              <w:spacing w:line="240" w:lineRule="exact"/>
              <w:rPr>
                <w:rFonts w:ascii="宋体" w:hAnsi="宋体" w:eastAsia="宋体" w:cs="宋体"/>
                <w:sz w:val="18"/>
                <w:szCs w:val="18"/>
              </w:rPr>
            </w:pPr>
            <w:r>
              <w:rPr>
                <w:rFonts w:ascii="宋体" w:hAnsi="宋体" w:eastAsia="宋体" w:cs="宋体"/>
                <w:sz w:val="18"/>
                <w:szCs w:val="18"/>
              </w:rPr>
              <w:t>不适用</w:t>
            </w:r>
          </w:p>
        </w:tc>
      </w:tr>
      <w:tr w14:paraId="39584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794323F4">
            <w:pPr>
              <w:spacing w:line="240" w:lineRule="exact"/>
              <w:rPr>
                <w:rFonts w:ascii="宋体" w:hAnsi="宋体" w:eastAsia="宋体" w:cs="宋体"/>
                <w:sz w:val="18"/>
                <w:szCs w:val="18"/>
              </w:rPr>
            </w:pPr>
            <w:r>
              <w:rPr>
                <w:rFonts w:ascii="宋体" w:hAnsi="宋体" w:eastAsia="宋体" w:cs="宋体"/>
                <w:sz w:val="18"/>
                <w:szCs w:val="18"/>
              </w:rPr>
              <w:t>孙小挺</w:t>
            </w:r>
          </w:p>
        </w:tc>
        <w:tc>
          <w:tcPr>
            <w:tcW w:w="425" w:type="dxa"/>
            <w:tcBorders>
              <w:top w:val="single" w:color="auto" w:sz="2" w:space="0"/>
              <w:left w:val="single" w:color="auto" w:sz="2" w:space="0"/>
              <w:bottom w:val="single" w:color="auto" w:sz="2" w:space="0"/>
              <w:right w:val="single" w:color="auto" w:sz="2" w:space="0"/>
            </w:tcBorders>
            <w:vAlign w:val="center"/>
          </w:tcPr>
          <w:p w14:paraId="1996FFDA">
            <w:pPr>
              <w:spacing w:line="240" w:lineRule="exact"/>
              <w:rPr>
                <w:rFonts w:ascii="宋体" w:hAnsi="宋体" w:eastAsia="宋体" w:cs="宋体"/>
                <w:sz w:val="18"/>
                <w:szCs w:val="18"/>
              </w:rPr>
            </w:pPr>
            <w:r>
              <w:rPr>
                <w:rFonts w:ascii="宋体" w:hAnsi="宋体" w:eastAsia="宋体" w:cs="宋体"/>
                <w:sz w:val="18"/>
                <w:szCs w:val="18"/>
              </w:rPr>
              <w:t>男</w:t>
            </w:r>
          </w:p>
        </w:tc>
        <w:tc>
          <w:tcPr>
            <w:tcW w:w="567" w:type="dxa"/>
            <w:tcBorders>
              <w:top w:val="single" w:color="auto" w:sz="2" w:space="0"/>
              <w:left w:val="single" w:color="auto" w:sz="2" w:space="0"/>
              <w:bottom w:val="single" w:color="auto" w:sz="2" w:space="0"/>
              <w:right w:val="single" w:color="auto" w:sz="2" w:space="0"/>
            </w:tcBorders>
            <w:vAlign w:val="center"/>
          </w:tcPr>
          <w:p w14:paraId="6A7DF10E">
            <w:pPr>
              <w:spacing w:line="240" w:lineRule="exact"/>
              <w:jc w:val="right"/>
              <w:rPr>
                <w:rFonts w:ascii="宋体" w:hAnsi="宋体" w:eastAsia="宋体" w:cs="宋体"/>
                <w:sz w:val="18"/>
                <w:szCs w:val="18"/>
              </w:rPr>
            </w:pPr>
            <w:r>
              <w:rPr>
                <w:rFonts w:ascii="宋体" w:hAnsi="宋体" w:eastAsia="宋体" w:cs="宋体"/>
                <w:sz w:val="18"/>
                <w:szCs w:val="18"/>
              </w:rPr>
              <w:t>58</w:t>
            </w:r>
          </w:p>
        </w:tc>
        <w:tc>
          <w:tcPr>
            <w:tcW w:w="709" w:type="dxa"/>
            <w:tcBorders>
              <w:top w:val="single" w:color="auto" w:sz="2" w:space="0"/>
              <w:left w:val="single" w:color="auto" w:sz="2" w:space="0"/>
              <w:bottom w:val="single" w:color="auto" w:sz="2" w:space="0"/>
              <w:right w:val="single" w:color="auto" w:sz="2" w:space="0"/>
            </w:tcBorders>
            <w:vAlign w:val="center"/>
          </w:tcPr>
          <w:p w14:paraId="1C670710">
            <w:pPr>
              <w:spacing w:line="240" w:lineRule="exact"/>
              <w:rPr>
                <w:rFonts w:ascii="宋体" w:hAnsi="宋体" w:eastAsia="宋体" w:cs="宋体"/>
                <w:sz w:val="18"/>
                <w:szCs w:val="18"/>
              </w:rPr>
            </w:pPr>
            <w:r>
              <w:rPr>
                <w:rFonts w:ascii="宋体" w:hAnsi="宋体" w:eastAsia="宋体" w:cs="宋体"/>
                <w:sz w:val="18"/>
                <w:szCs w:val="18"/>
              </w:rPr>
              <w:t>副总裁</w:t>
            </w:r>
          </w:p>
        </w:tc>
        <w:tc>
          <w:tcPr>
            <w:tcW w:w="709" w:type="dxa"/>
            <w:tcBorders>
              <w:top w:val="single" w:color="auto" w:sz="2" w:space="0"/>
              <w:left w:val="single" w:color="auto" w:sz="2" w:space="0"/>
              <w:bottom w:val="single" w:color="auto" w:sz="2" w:space="0"/>
              <w:right w:val="single" w:color="auto" w:sz="2" w:space="0"/>
            </w:tcBorders>
            <w:vAlign w:val="center"/>
          </w:tcPr>
          <w:p w14:paraId="093C4484">
            <w:pPr>
              <w:spacing w:line="240" w:lineRule="exact"/>
              <w:rPr>
                <w:rFonts w:ascii="宋体" w:hAnsi="宋体" w:eastAsia="宋体" w:cs="宋体"/>
                <w:sz w:val="18"/>
                <w:szCs w:val="18"/>
              </w:rPr>
            </w:pPr>
            <w:r>
              <w:rPr>
                <w:rFonts w:ascii="宋体" w:hAnsi="宋体" w:eastAsia="宋体" w:cs="宋体"/>
                <w:sz w:val="18"/>
                <w:szCs w:val="18"/>
              </w:rPr>
              <w:t>现任</w:t>
            </w:r>
          </w:p>
        </w:tc>
        <w:tc>
          <w:tcPr>
            <w:tcW w:w="992" w:type="dxa"/>
            <w:tcBorders>
              <w:top w:val="single" w:color="auto" w:sz="2" w:space="0"/>
              <w:left w:val="single" w:color="auto" w:sz="2" w:space="0"/>
              <w:bottom w:val="single" w:color="auto" w:sz="2" w:space="0"/>
              <w:right w:val="single" w:color="auto" w:sz="2" w:space="0"/>
            </w:tcBorders>
            <w:vAlign w:val="center"/>
          </w:tcPr>
          <w:p w14:paraId="5B05652B">
            <w:pPr>
              <w:spacing w:line="240" w:lineRule="exact"/>
              <w:rPr>
                <w:rFonts w:ascii="宋体" w:hAnsi="宋体" w:eastAsia="宋体" w:cs="宋体"/>
                <w:sz w:val="18"/>
                <w:szCs w:val="18"/>
              </w:rPr>
            </w:pPr>
            <w:r>
              <w:rPr>
                <w:rFonts w:ascii="宋体" w:hAnsi="宋体" w:eastAsia="宋体" w:cs="宋体"/>
                <w:sz w:val="18"/>
                <w:szCs w:val="18"/>
              </w:rPr>
              <w:t>2024年12月31日</w:t>
            </w:r>
          </w:p>
        </w:tc>
        <w:tc>
          <w:tcPr>
            <w:tcW w:w="940" w:type="dxa"/>
            <w:tcBorders>
              <w:top w:val="single" w:color="auto" w:sz="2" w:space="0"/>
              <w:left w:val="single" w:color="auto" w:sz="2" w:space="0"/>
              <w:bottom w:val="single" w:color="auto" w:sz="2" w:space="0"/>
              <w:right w:val="single" w:color="auto" w:sz="2" w:space="0"/>
            </w:tcBorders>
            <w:vAlign w:val="center"/>
          </w:tcPr>
          <w:p w14:paraId="0320BF36">
            <w:pPr>
              <w:spacing w:line="240" w:lineRule="exact"/>
              <w:rPr>
                <w:rFonts w:ascii="宋体" w:hAnsi="宋体" w:eastAsia="宋体" w:cs="宋体"/>
                <w:sz w:val="18"/>
                <w:szCs w:val="18"/>
              </w:rPr>
            </w:pPr>
            <w:r>
              <w:rPr>
                <w:rFonts w:ascii="宋体" w:hAnsi="宋体" w:eastAsia="宋体" w:cs="宋体"/>
                <w:sz w:val="18"/>
                <w:szCs w:val="18"/>
              </w:rPr>
              <w:t>2027年12月20日</w:t>
            </w:r>
          </w:p>
        </w:tc>
        <w:tc>
          <w:tcPr>
            <w:tcW w:w="741" w:type="dxa"/>
            <w:tcBorders>
              <w:top w:val="single" w:color="auto" w:sz="2" w:space="0"/>
              <w:left w:val="single" w:color="auto" w:sz="2" w:space="0"/>
              <w:bottom w:val="single" w:color="auto" w:sz="2" w:space="0"/>
              <w:right w:val="single" w:color="auto" w:sz="2" w:space="0"/>
            </w:tcBorders>
            <w:vAlign w:val="center"/>
          </w:tcPr>
          <w:p w14:paraId="05575F4A">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3C8DCA22">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31FCB4C2">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1CD49EE0">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0FCB1862">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430289A5">
            <w:pPr>
              <w:spacing w:line="240" w:lineRule="exact"/>
              <w:rPr>
                <w:rFonts w:ascii="宋体" w:hAnsi="宋体" w:eastAsia="宋体" w:cs="宋体"/>
                <w:sz w:val="18"/>
                <w:szCs w:val="18"/>
              </w:rPr>
            </w:pPr>
            <w:r>
              <w:rPr>
                <w:rFonts w:ascii="宋体" w:hAnsi="宋体" w:eastAsia="宋体" w:cs="宋体"/>
                <w:sz w:val="18"/>
                <w:szCs w:val="18"/>
              </w:rPr>
              <w:t>不适用</w:t>
            </w:r>
          </w:p>
        </w:tc>
      </w:tr>
      <w:tr w14:paraId="40EE1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3D1C91CE">
            <w:pPr>
              <w:spacing w:line="240" w:lineRule="exact"/>
              <w:rPr>
                <w:rFonts w:ascii="宋体" w:hAnsi="宋体" w:eastAsia="宋体" w:cs="宋体"/>
                <w:sz w:val="18"/>
                <w:szCs w:val="18"/>
              </w:rPr>
            </w:pPr>
            <w:r>
              <w:rPr>
                <w:rFonts w:ascii="宋体" w:hAnsi="宋体" w:eastAsia="宋体" w:cs="宋体"/>
                <w:sz w:val="18"/>
                <w:szCs w:val="18"/>
              </w:rPr>
              <w:t>陈翰</w:t>
            </w:r>
          </w:p>
        </w:tc>
        <w:tc>
          <w:tcPr>
            <w:tcW w:w="425" w:type="dxa"/>
            <w:tcBorders>
              <w:top w:val="single" w:color="auto" w:sz="2" w:space="0"/>
              <w:left w:val="single" w:color="auto" w:sz="2" w:space="0"/>
              <w:bottom w:val="single" w:color="auto" w:sz="2" w:space="0"/>
              <w:right w:val="single" w:color="auto" w:sz="2" w:space="0"/>
            </w:tcBorders>
            <w:vAlign w:val="center"/>
          </w:tcPr>
          <w:p w14:paraId="49D3A717">
            <w:pPr>
              <w:spacing w:line="240" w:lineRule="exact"/>
              <w:rPr>
                <w:rFonts w:ascii="宋体" w:hAnsi="宋体" w:eastAsia="宋体" w:cs="宋体"/>
                <w:sz w:val="18"/>
                <w:szCs w:val="18"/>
              </w:rPr>
            </w:pPr>
            <w:r>
              <w:rPr>
                <w:rFonts w:ascii="宋体" w:hAnsi="宋体" w:eastAsia="宋体" w:cs="宋体"/>
                <w:sz w:val="18"/>
                <w:szCs w:val="18"/>
              </w:rPr>
              <w:t>男</w:t>
            </w:r>
          </w:p>
        </w:tc>
        <w:tc>
          <w:tcPr>
            <w:tcW w:w="567" w:type="dxa"/>
            <w:tcBorders>
              <w:top w:val="single" w:color="auto" w:sz="2" w:space="0"/>
              <w:left w:val="single" w:color="auto" w:sz="2" w:space="0"/>
              <w:bottom w:val="single" w:color="auto" w:sz="2" w:space="0"/>
              <w:right w:val="single" w:color="auto" w:sz="2" w:space="0"/>
            </w:tcBorders>
            <w:vAlign w:val="center"/>
          </w:tcPr>
          <w:p w14:paraId="3A14316B">
            <w:pPr>
              <w:spacing w:line="240" w:lineRule="exact"/>
              <w:jc w:val="right"/>
              <w:rPr>
                <w:rFonts w:ascii="宋体" w:hAnsi="宋体" w:eastAsia="宋体" w:cs="宋体"/>
                <w:sz w:val="18"/>
                <w:szCs w:val="18"/>
              </w:rPr>
            </w:pPr>
            <w:r>
              <w:rPr>
                <w:rFonts w:ascii="宋体" w:hAnsi="宋体" w:eastAsia="宋体" w:cs="宋体"/>
                <w:sz w:val="18"/>
                <w:szCs w:val="18"/>
              </w:rPr>
              <w:t>37</w:t>
            </w:r>
          </w:p>
        </w:tc>
        <w:tc>
          <w:tcPr>
            <w:tcW w:w="709" w:type="dxa"/>
            <w:tcBorders>
              <w:top w:val="single" w:color="auto" w:sz="2" w:space="0"/>
              <w:left w:val="single" w:color="auto" w:sz="2" w:space="0"/>
              <w:bottom w:val="single" w:color="auto" w:sz="2" w:space="0"/>
              <w:right w:val="single" w:color="auto" w:sz="2" w:space="0"/>
            </w:tcBorders>
            <w:vAlign w:val="center"/>
          </w:tcPr>
          <w:p w14:paraId="3D5BD1F5">
            <w:pPr>
              <w:spacing w:line="240" w:lineRule="exact"/>
              <w:rPr>
                <w:rFonts w:ascii="宋体" w:hAnsi="宋体" w:eastAsia="宋体" w:cs="宋体"/>
                <w:sz w:val="18"/>
                <w:szCs w:val="18"/>
              </w:rPr>
            </w:pPr>
            <w:r>
              <w:rPr>
                <w:rFonts w:ascii="宋体" w:hAnsi="宋体" w:eastAsia="宋体" w:cs="宋体"/>
                <w:sz w:val="18"/>
                <w:szCs w:val="18"/>
              </w:rPr>
              <w:t>董事</w:t>
            </w:r>
          </w:p>
        </w:tc>
        <w:tc>
          <w:tcPr>
            <w:tcW w:w="709" w:type="dxa"/>
            <w:tcBorders>
              <w:top w:val="single" w:color="auto" w:sz="2" w:space="0"/>
              <w:left w:val="single" w:color="auto" w:sz="2" w:space="0"/>
              <w:bottom w:val="single" w:color="auto" w:sz="2" w:space="0"/>
              <w:right w:val="single" w:color="auto" w:sz="2" w:space="0"/>
            </w:tcBorders>
            <w:vAlign w:val="center"/>
          </w:tcPr>
          <w:p w14:paraId="3D36A468">
            <w:pPr>
              <w:spacing w:line="240" w:lineRule="exact"/>
              <w:rPr>
                <w:rFonts w:ascii="宋体" w:hAnsi="宋体" w:eastAsia="宋体" w:cs="宋体"/>
                <w:sz w:val="18"/>
                <w:szCs w:val="18"/>
              </w:rPr>
            </w:pPr>
            <w:r>
              <w:rPr>
                <w:rFonts w:ascii="宋体" w:hAnsi="宋体" w:eastAsia="宋体" w:cs="宋体"/>
                <w:sz w:val="18"/>
                <w:szCs w:val="18"/>
              </w:rPr>
              <w:t>离任</w:t>
            </w:r>
          </w:p>
        </w:tc>
        <w:tc>
          <w:tcPr>
            <w:tcW w:w="992" w:type="dxa"/>
            <w:tcBorders>
              <w:top w:val="single" w:color="auto" w:sz="2" w:space="0"/>
              <w:left w:val="single" w:color="auto" w:sz="2" w:space="0"/>
              <w:bottom w:val="single" w:color="auto" w:sz="2" w:space="0"/>
              <w:right w:val="single" w:color="auto" w:sz="2" w:space="0"/>
            </w:tcBorders>
            <w:vAlign w:val="center"/>
          </w:tcPr>
          <w:p w14:paraId="7733ECA2">
            <w:pPr>
              <w:spacing w:line="240" w:lineRule="exact"/>
              <w:rPr>
                <w:rFonts w:ascii="宋体" w:hAnsi="宋体" w:eastAsia="宋体" w:cs="宋体"/>
                <w:sz w:val="18"/>
                <w:szCs w:val="18"/>
              </w:rPr>
            </w:pPr>
            <w:r>
              <w:rPr>
                <w:rFonts w:ascii="宋体" w:hAnsi="宋体" w:eastAsia="宋体" w:cs="宋体"/>
                <w:sz w:val="18"/>
                <w:szCs w:val="18"/>
              </w:rPr>
              <w:t>2021年12月16日</w:t>
            </w:r>
          </w:p>
        </w:tc>
        <w:tc>
          <w:tcPr>
            <w:tcW w:w="940" w:type="dxa"/>
            <w:tcBorders>
              <w:top w:val="single" w:color="auto" w:sz="2" w:space="0"/>
              <w:left w:val="single" w:color="auto" w:sz="2" w:space="0"/>
              <w:bottom w:val="single" w:color="auto" w:sz="2" w:space="0"/>
              <w:right w:val="single" w:color="auto" w:sz="2" w:space="0"/>
            </w:tcBorders>
            <w:vAlign w:val="center"/>
          </w:tcPr>
          <w:p w14:paraId="09D350DF">
            <w:pPr>
              <w:spacing w:line="240" w:lineRule="exact"/>
              <w:rPr>
                <w:rFonts w:ascii="宋体" w:hAnsi="宋体" w:eastAsia="宋体" w:cs="宋体"/>
                <w:sz w:val="18"/>
                <w:szCs w:val="18"/>
              </w:rPr>
            </w:pPr>
            <w:r>
              <w:rPr>
                <w:rFonts w:ascii="宋体" w:hAnsi="宋体" w:eastAsia="宋体" w:cs="宋体"/>
                <w:sz w:val="18"/>
                <w:szCs w:val="18"/>
              </w:rPr>
              <w:t>2025年07月23日</w:t>
            </w:r>
          </w:p>
        </w:tc>
        <w:tc>
          <w:tcPr>
            <w:tcW w:w="741" w:type="dxa"/>
            <w:tcBorders>
              <w:top w:val="single" w:color="auto" w:sz="2" w:space="0"/>
              <w:left w:val="single" w:color="auto" w:sz="2" w:space="0"/>
              <w:bottom w:val="single" w:color="auto" w:sz="2" w:space="0"/>
              <w:right w:val="single" w:color="auto" w:sz="2" w:space="0"/>
            </w:tcBorders>
            <w:vAlign w:val="center"/>
          </w:tcPr>
          <w:p w14:paraId="005EE7DE">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3E828224">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4734301B">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5DB6DF0E">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08673DDF">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062CC8DC">
            <w:pPr>
              <w:spacing w:line="240" w:lineRule="exact"/>
              <w:rPr>
                <w:rFonts w:ascii="宋体" w:hAnsi="宋体" w:eastAsia="宋体" w:cs="宋体"/>
                <w:sz w:val="18"/>
                <w:szCs w:val="18"/>
              </w:rPr>
            </w:pPr>
            <w:r>
              <w:rPr>
                <w:rFonts w:ascii="宋体" w:hAnsi="宋体" w:eastAsia="宋体" w:cs="宋体"/>
                <w:sz w:val="18"/>
                <w:szCs w:val="18"/>
              </w:rPr>
              <w:t>不适用</w:t>
            </w:r>
          </w:p>
        </w:tc>
      </w:tr>
      <w:tr w14:paraId="2AE90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3998A5FA">
            <w:pPr>
              <w:spacing w:line="240" w:lineRule="exact"/>
              <w:rPr>
                <w:rFonts w:ascii="宋体" w:hAnsi="宋体" w:eastAsia="宋体" w:cs="宋体"/>
                <w:sz w:val="18"/>
                <w:szCs w:val="18"/>
              </w:rPr>
            </w:pPr>
            <w:r>
              <w:rPr>
                <w:rFonts w:ascii="宋体" w:hAnsi="宋体" w:eastAsia="宋体" w:cs="宋体"/>
                <w:sz w:val="18"/>
                <w:szCs w:val="18"/>
              </w:rPr>
              <w:t>程桂松</w:t>
            </w:r>
          </w:p>
        </w:tc>
        <w:tc>
          <w:tcPr>
            <w:tcW w:w="425" w:type="dxa"/>
            <w:tcBorders>
              <w:top w:val="single" w:color="auto" w:sz="2" w:space="0"/>
              <w:left w:val="single" w:color="auto" w:sz="2" w:space="0"/>
              <w:bottom w:val="single" w:color="auto" w:sz="2" w:space="0"/>
              <w:right w:val="single" w:color="auto" w:sz="2" w:space="0"/>
            </w:tcBorders>
            <w:vAlign w:val="center"/>
          </w:tcPr>
          <w:p w14:paraId="3A1944E9">
            <w:pPr>
              <w:spacing w:line="240" w:lineRule="exact"/>
              <w:rPr>
                <w:rFonts w:ascii="宋体" w:hAnsi="宋体" w:eastAsia="宋体" w:cs="宋体"/>
                <w:sz w:val="18"/>
                <w:szCs w:val="18"/>
              </w:rPr>
            </w:pPr>
            <w:r>
              <w:rPr>
                <w:rFonts w:ascii="宋体" w:hAnsi="宋体" w:eastAsia="宋体" w:cs="宋体"/>
                <w:sz w:val="18"/>
                <w:szCs w:val="18"/>
              </w:rPr>
              <w:t>男</w:t>
            </w:r>
          </w:p>
        </w:tc>
        <w:tc>
          <w:tcPr>
            <w:tcW w:w="567" w:type="dxa"/>
            <w:tcBorders>
              <w:top w:val="single" w:color="auto" w:sz="2" w:space="0"/>
              <w:left w:val="single" w:color="auto" w:sz="2" w:space="0"/>
              <w:bottom w:val="single" w:color="auto" w:sz="2" w:space="0"/>
              <w:right w:val="single" w:color="auto" w:sz="2" w:space="0"/>
            </w:tcBorders>
            <w:vAlign w:val="center"/>
          </w:tcPr>
          <w:p w14:paraId="643A472D">
            <w:pPr>
              <w:spacing w:line="240" w:lineRule="exact"/>
              <w:jc w:val="right"/>
              <w:rPr>
                <w:rFonts w:ascii="宋体" w:hAnsi="宋体" w:eastAsia="宋体" w:cs="宋体"/>
                <w:sz w:val="18"/>
                <w:szCs w:val="18"/>
              </w:rPr>
            </w:pPr>
            <w:r>
              <w:rPr>
                <w:rFonts w:ascii="宋体" w:hAnsi="宋体" w:eastAsia="宋体" w:cs="宋体"/>
                <w:sz w:val="18"/>
                <w:szCs w:val="18"/>
              </w:rPr>
              <w:t>60</w:t>
            </w:r>
          </w:p>
        </w:tc>
        <w:tc>
          <w:tcPr>
            <w:tcW w:w="709" w:type="dxa"/>
            <w:tcBorders>
              <w:top w:val="single" w:color="auto" w:sz="2" w:space="0"/>
              <w:left w:val="single" w:color="auto" w:sz="2" w:space="0"/>
              <w:bottom w:val="single" w:color="auto" w:sz="2" w:space="0"/>
              <w:right w:val="single" w:color="auto" w:sz="2" w:space="0"/>
            </w:tcBorders>
            <w:vAlign w:val="center"/>
          </w:tcPr>
          <w:p w14:paraId="14C52C34">
            <w:pPr>
              <w:spacing w:line="240" w:lineRule="exact"/>
              <w:rPr>
                <w:rFonts w:ascii="宋体" w:hAnsi="宋体" w:eastAsia="宋体" w:cs="宋体"/>
                <w:sz w:val="18"/>
                <w:szCs w:val="18"/>
              </w:rPr>
            </w:pPr>
            <w:r>
              <w:rPr>
                <w:rFonts w:ascii="宋体" w:hAnsi="宋体" w:eastAsia="宋体" w:cs="宋体"/>
                <w:sz w:val="18"/>
                <w:szCs w:val="18"/>
              </w:rPr>
              <w:t>职工代表董事</w:t>
            </w:r>
          </w:p>
        </w:tc>
        <w:tc>
          <w:tcPr>
            <w:tcW w:w="709" w:type="dxa"/>
            <w:tcBorders>
              <w:top w:val="single" w:color="auto" w:sz="2" w:space="0"/>
              <w:left w:val="single" w:color="auto" w:sz="2" w:space="0"/>
              <w:bottom w:val="single" w:color="auto" w:sz="2" w:space="0"/>
              <w:right w:val="single" w:color="auto" w:sz="2" w:space="0"/>
            </w:tcBorders>
            <w:vAlign w:val="center"/>
          </w:tcPr>
          <w:p w14:paraId="78D04146">
            <w:pPr>
              <w:spacing w:line="240" w:lineRule="exact"/>
              <w:rPr>
                <w:rFonts w:ascii="宋体" w:hAnsi="宋体" w:eastAsia="宋体" w:cs="宋体"/>
                <w:sz w:val="18"/>
                <w:szCs w:val="18"/>
              </w:rPr>
            </w:pPr>
            <w:r>
              <w:rPr>
                <w:rFonts w:ascii="宋体" w:hAnsi="宋体" w:eastAsia="宋体" w:cs="宋体"/>
                <w:sz w:val="18"/>
                <w:szCs w:val="18"/>
              </w:rPr>
              <w:t>现任</w:t>
            </w:r>
          </w:p>
        </w:tc>
        <w:tc>
          <w:tcPr>
            <w:tcW w:w="992" w:type="dxa"/>
            <w:tcBorders>
              <w:top w:val="single" w:color="auto" w:sz="2" w:space="0"/>
              <w:left w:val="single" w:color="auto" w:sz="2" w:space="0"/>
              <w:bottom w:val="single" w:color="auto" w:sz="2" w:space="0"/>
              <w:right w:val="single" w:color="auto" w:sz="2" w:space="0"/>
            </w:tcBorders>
            <w:vAlign w:val="center"/>
          </w:tcPr>
          <w:p w14:paraId="40291D46">
            <w:pPr>
              <w:spacing w:line="240" w:lineRule="exact"/>
              <w:rPr>
                <w:rFonts w:ascii="宋体" w:hAnsi="宋体" w:eastAsia="宋体" w:cs="宋体"/>
                <w:sz w:val="18"/>
                <w:szCs w:val="18"/>
              </w:rPr>
            </w:pPr>
            <w:r>
              <w:rPr>
                <w:rFonts w:ascii="宋体" w:hAnsi="宋体" w:eastAsia="宋体" w:cs="宋体"/>
                <w:sz w:val="18"/>
                <w:szCs w:val="18"/>
              </w:rPr>
              <w:t>2014年11月24日</w:t>
            </w:r>
          </w:p>
        </w:tc>
        <w:tc>
          <w:tcPr>
            <w:tcW w:w="940" w:type="dxa"/>
            <w:tcBorders>
              <w:top w:val="single" w:color="auto" w:sz="2" w:space="0"/>
              <w:left w:val="single" w:color="auto" w:sz="2" w:space="0"/>
              <w:bottom w:val="single" w:color="auto" w:sz="2" w:space="0"/>
              <w:right w:val="single" w:color="auto" w:sz="2" w:space="0"/>
            </w:tcBorders>
            <w:vAlign w:val="center"/>
          </w:tcPr>
          <w:p w14:paraId="21C13A23">
            <w:pPr>
              <w:spacing w:line="240" w:lineRule="exact"/>
              <w:rPr>
                <w:rFonts w:ascii="宋体" w:hAnsi="宋体" w:eastAsia="宋体" w:cs="宋体"/>
                <w:sz w:val="18"/>
                <w:szCs w:val="18"/>
              </w:rPr>
            </w:pPr>
            <w:r>
              <w:rPr>
                <w:rFonts w:ascii="宋体" w:hAnsi="宋体" w:eastAsia="宋体" w:cs="宋体"/>
                <w:sz w:val="18"/>
                <w:szCs w:val="18"/>
              </w:rPr>
              <w:t>2027年12月20日</w:t>
            </w:r>
          </w:p>
        </w:tc>
        <w:tc>
          <w:tcPr>
            <w:tcW w:w="741" w:type="dxa"/>
            <w:tcBorders>
              <w:top w:val="single" w:color="auto" w:sz="2" w:space="0"/>
              <w:left w:val="single" w:color="auto" w:sz="2" w:space="0"/>
              <w:bottom w:val="single" w:color="auto" w:sz="2" w:space="0"/>
              <w:right w:val="single" w:color="auto" w:sz="2" w:space="0"/>
            </w:tcBorders>
            <w:vAlign w:val="center"/>
          </w:tcPr>
          <w:p w14:paraId="3BBCC702">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13DBB709">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4CF5715F">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138DA6CF">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40C8C32F">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7764E2B5">
            <w:pPr>
              <w:spacing w:line="240" w:lineRule="exact"/>
              <w:rPr>
                <w:rFonts w:ascii="宋体" w:hAnsi="宋体" w:eastAsia="宋体" w:cs="宋体"/>
                <w:sz w:val="18"/>
                <w:szCs w:val="18"/>
              </w:rPr>
            </w:pPr>
            <w:r>
              <w:rPr>
                <w:rFonts w:ascii="宋体" w:hAnsi="宋体" w:eastAsia="宋体" w:cs="宋体"/>
                <w:sz w:val="18"/>
                <w:szCs w:val="18"/>
              </w:rPr>
              <w:t>不适用</w:t>
            </w:r>
          </w:p>
        </w:tc>
      </w:tr>
      <w:tr w14:paraId="14D1D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6130C8C3">
            <w:pPr>
              <w:spacing w:line="240" w:lineRule="exact"/>
              <w:rPr>
                <w:rFonts w:ascii="宋体" w:hAnsi="宋体" w:eastAsia="宋体" w:cs="宋体"/>
                <w:sz w:val="18"/>
                <w:szCs w:val="18"/>
              </w:rPr>
            </w:pPr>
            <w:r>
              <w:rPr>
                <w:rFonts w:ascii="宋体" w:hAnsi="宋体" w:eastAsia="宋体" w:cs="宋体"/>
                <w:sz w:val="18"/>
                <w:szCs w:val="18"/>
              </w:rPr>
              <w:t>程桂松</w:t>
            </w:r>
          </w:p>
        </w:tc>
        <w:tc>
          <w:tcPr>
            <w:tcW w:w="425" w:type="dxa"/>
            <w:tcBorders>
              <w:top w:val="single" w:color="auto" w:sz="2" w:space="0"/>
              <w:left w:val="single" w:color="auto" w:sz="2" w:space="0"/>
              <w:bottom w:val="single" w:color="auto" w:sz="2" w:space="0"/>
              <w:right w:val="single" w:color="auto" w:sz="2" w:space="0"/>
            </w:tcBorders>
            <w:vAlign w:val="center"/>
          </w:tcPr>
          <w:p w14:paraId="7603760A">
            <w:pPr>
              <w:spacing w:line="240" w:lineRule="exact"/>
              <w:rPr>
                <w:rFonts w:ascii="宋体" w:hAnsi="宋体" w:eastAsia="宋体" w:cs="宋体"/>
                <w:sz w:val="18"/>
                <w:szCs w:val="18"/>
              </w:rPr>
            </w:pPr>
            <w:r>
              <w:rPr>
                <w:rFonts w:ascii="宋体" w:hAnsi="宋体" w:eastAsia="宋体" w:cs="宋体"/>
                <w:sz w:val="18"/>
                <w:szCs w:val="18"/>
              </w:rPr>
              <w:t>男</w:t>
            </w:r>
          </w:p>
        </w:tc>
        <w:tc>
          <w:tcPr>
            <w:tcW w:w="567" w:type="dxa"/>
            <w:tcBorders>
              <w:top w:val="single" w:color="auto" w:sz="2" w:space="0"/>
              <w:left w:val="single" w:color="auto" w:sz="2" w:space="0"/>
              <w:bottom w:val="single" w:color="auto" w:sz="2" w:space="0"/>
              <w:right w:val="single" w:color="auto" w:sz="2" w:space="0"/>
            </w:tcBorders>
            <w:vAlign w:val="center"/>
          </w:tcPr>
          <w:p w14:paraId="25D06C0F">
            <w:pPr>
              <w:spacing w:line="240" w:lineRule="exact"/>
              <w:jc w:val="right"/>
              <w:rPr>
                <w:rFonts w:ascii="宋体" w:hAnsi="宋体" w:eastAsia="宋体" w:cs="宋体"/>
                <w:sz w:val="18"/>
                <w:szCs w:val="18"/>
              </w:rPr>
            </w:pPr>
            <w:r>
              <w:rPr>
                <w:rFonts w:ascii="宋体" w:hAnsi="宋体" w:eastAsia="宋体" w:cs="宋体"/>
                <w:sz w:val="18"/>
                <w:szCs w:val="18"/>
              </w:rPr>
              <w:t>60</w:t>
            </w:r>
          </w:p>
        </w:tc>
        <w:tc>
          <w:tcPr>
            <w:tcW w:w="709" w:type="dxa"/>
            <w:tcBorders>
              <w:top w:val="single" w:color="auto" w:sz="2" w:space="0"/>
              <w:left w:val="single" w:color="auto" w:sz="2" w:space="0"/>
              <w:bottom w:val="single" w:color="auto" w:sz="2" w:space="0"/>
              <w:right w:val="single" w:color="auto" w:sz="2" w:space="0"/>
            </w:tcBorders>
            <w:vAlign w:val="center"/>
          </w:tcPr>
          <w:p w14:paraId="5C039AD8">
            <w:pPr>
              <w:spacing w:line="240" w:lineRule="exact"/>
              <w:rPr>
                <w:rFonts w:ascii="宋体" w:hAnsi="宋体" w:eastAsia="宋体" w:cs="宋体"/>
                <w:sz w:val="18"/>
                <w:szCs w:val="18"/>
              </w:rPr>
            </w:pPr>
            <w:r>
              <w:rPr>
                <w:rFonts w:ascii="宋体" w:hAnsi="宋体" w:eastAsia="宋体" w:cs="宋体"/>
                <w:sz w:val="18"/>
                <w:szCs w:val="18"/>
              </w:rPr>
              <w:t>副总裁</w:t>
            </w:r>
          </w:p>
        </w:tc>
        <w:tc>
          <w:tcPr>
            <w:tcW w:w="709" w:type="dxa"/>
            <w:tcBorders>
              <w:top w:val="single" w:color="auto" w:sz="2" w:space="0"/>
              <w:left w:val="single" w:color="auto" w:sz="2" w:space="0"/>
              <w:bottom w:val="single" w:color="auto" w:sz="2" w:space="0"/>
              <w:right w:val="single" w:color="auto" w:sz="2" w:space="0"/>
            </w:tcBorders>
            <w:vAlign w:val="center"/>
          </w:tcPr>
          <w:p w14:paraId="2B2BA3B3">
            <w:pPr>
              <w:spacing w:line="240" w:lineRule="exact"/>
              <w:rPr>
                <w:rFonts w:ascii="宋体" w:hAnsi="宋体" w:eastAsia="宋体" w:cs="宋体"/>
                <w:sz w:val="18"/>
                <w:szCs w:val="18"/>
              </w:rPr>
            </w:pPr>
            <w:r>
              <w:rPr>
                <w:rFonts w:ascii="宋体" w:hAnsi="宋体" w:eastAsia="宋体" w:cs="宋体"/>
                <w:sz w:val="18"/>
                <w:szCs w:val="18"/>
              </w:rPr>
              <w:t>现任</w:t>
            </w:r>
          </w:p>
        </w:tc>
        <w:tc>
          <w:tcPr>
            <w:tcW w:w="992" w:type="dxa"/>
            <w:tcBorders>
              <w:top w:val="single" w:color="auto" w:sz="2" w:space="0"/>
              <w:left w:val="single" w:color="auto" w:sz="2" w:space="0"/>
              <w:bottom w:val="single" w:color="auto" w:sz="2" w:space="0"/>
              <w:right w:val="single" w:color="auto" w:sz="2" w:space="0"/>
            </w:tcBorders>
            <w:vAlign w:val="center"/>
          </w:tcPr>
          <w:p w14:paraId="296CF161">
            <w:pPr>
              <w:spacing w:line="240" w:lineRule="exact"/>
              <w:rPr>
                <w:rFonts w:ascii="宋体" w:hAnsi="宋体" w:eastAsia="宋体" w:cs="宋体"/>
                <w:sz w:val="18"/>
                <w:szCs w:val="18"/>
              </w:rPr>
            </w:pPr>
            <w:r>
              <w:rPr>
                <w:rFonts w:ascii="宋体" w:hAnsi="宋体" w:eastAsia="宋体" w:cs="宋体"/>
                <w:sz w:val="18"/>
                <w:szCs w:val="18"/>
              </w:rPr>
              <w:t>2018年04月24日</w:t>
            </w:r>
          </w:p>
        </w:tc>
        <w:tc>
          <w:tcPr>
            <w:tcW w:w="940" w:type="dxa"/>
            <w:tcBorders>
              <w:top w:val="single" w:color="auto" w:sz="2" w:space="0"/>
              <w:left w:val="single" w:color="auto" w:sz="2" w:space="0"/>
              <w:bottom w:val="single" w:color="auto" w:sz="2" w:space="0"/>
              <w:right w:val="single" w:color="auto" w:sz="2" w:space="0"/>
            </w:tcBorders>
            <w:vAlign w:val="center"/>
          </w:tcPr>
          <w:p w14:paraId="37DEF6F8">
            <w:pPr>
              <w:spacing w:line="240" w:lineRule="exact"/>
              <w:rPr>
                <w:rFonts w:ascii="宋体" w:hAnsi="宋体" w:eastAsia="宋体" w:cs="宋体"/>
                <w:sz w:val="18"/>
                <w:szCs w:val="18"/>
              </w:rPr>
            </w:pPr>
            <w:r>
              <w:rPr>
                <w:rFonts w:ascii="宋体" w:hAnsi="宋体" w:eastAsia="宋体" w:cs="宋体"/>
                <w:sz w:val="18"/>
                <w:szCs w:val="18"/>
              </w:rPr>
              <w:t>2027年12月20日</w:t>
            </w:r>
          </w:p>
        </w:tc>
        <w:tc>
          <w:tcPr>
            <w:tcW w:w="741" w:type="dxa"/>
            <w:tcBorders>
              <w:top w:val="single" w:color="auto" w:sz="2" w:space="0"/>
              <w:left w:val="single" w:color="auto" w:sz="2" w:space="0"/>
              <w:bottom w:val="single" w:color="auto" w:sz="2" w:space="0"/>
              <w:right w:val="single" w:color="auto" w:sz="2" w:space="0"/>
            </w:tcBorders>
            <w:vAlign w:val="center"/>
          </w:tcPr>
          <w:p w14:paraId="3711A3B7">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61CF7530">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0D700FA0">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35949AF4">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27B1488E">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6BCBFBE1">
            <w:pPr>
              <w:spacing w:line="240" w:lineRule="exact"/>
              <w:rPr>
                <w:rFonts w:ascii="宋体" w:hAnsi="宋体" w:eastAsia="宋体" w:cs="宋体"/>
                <w:sz w:val="18"/>
                <w:szCs w:val="18"/>
              </w:rPr>
            </w:pPr>
            <w:r>
              <w:rPr>
                <w:rFonts w:ascii="宋体" w:hAnsi="宋体" w:eastAsia="宋体" w:cs="宋体"/>
                <w:sz w:val="18"/>
                <w:szCs w:val="18"/>
              </w:rPr>
              <w:t>不适用</w:t>
            </w:r>
          </w:p>
        </w:tc>
      </w:tr>
      <w:tr w14:paraId="7C968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7E654264">
            <w:pPr>
              <w:spacing w:line="240" w:lineRule="exact"/>
              <w:rPr>
                <w:rFonts w:ascii="宋体" w:hAnsi="宋体" w:eastAsia="宋体" w:cs="宋体"/>
                <w:sz w:val="18"/>
                <w:szCs w:val="18"/>
              </w:rPr>
            </w:pPr>
            <w:r>
              <w:rPr>
                <w:rFonts w:ascii="宋体" w:hAnsi="宋体" w:eastAsia="宋体" w:cs="宋体"/>
                <w:sz w:val="18"/>
                <w:szCs w:val="18"/>
              </w:rPr>
              <w:t>王国友</w:t>
            </w:r>
          </w:p>
        </w:tc>
        <w:tc>
          <w:tcPr>
            <w:tcW w:w="425" w:type="dxa"/>
            <w:tcBorders>
              <w:top w:val="single" w:color="auto" w:sz="2" w:space="0"/>
              <w:left w:val="single" w:color="auto" w:sz="2" w:space="0"/>
              <w:bottom w:val="single" w:color="auto" w:sz="2" w:space="0"/>
              <w:right w:val="single" w:color="auto" w:sz="2" w:space="0"/>
            </w:tcBorders>
            <w:vAlign w:val="center"/>
          </w:tcPr>
          <w:p w14:paraId="0D94FEFF">
            <w:pPr>
              <w:spacing w:line="240" w:lineRule="exact"/>
              <w:rPr>
                <w:rFonts w:ascii="宋体" w:hAnsi="宋体" w:eastAsia="宋体" w:cs="宋体"/>
                <w:sz w:val="18"/>
                <w:szCs w:val="18"/>
              </w:rPr>
            </w:pPr>
            <w:r>
              <w:rPr>
                <w:rFonts w:ascii="宋体" w:hAnsi="宋体" w:eastAsia="宋体" w:cs="宋体"/>
                <w:sz w:val="18"/>
                <w:szCs w:val="18"/>
              </w:rPr>
              <w:t>男</w:t>
            </w:r>
          </w:p>
        </w:tc>
        <w:tc>
          <w:tcPr>
            <w:tcW w:w="567" w:type="dxa"/>
            <w:tcBorders>
              <w:top w:val="single" w:color="auto" w:sz="2" w:space="0"/>
              <w:left w:val="single" w:color="auto" w:sz="2" w:space="0"/>
              <w:bottom w:val="single" w:color="auto" w:sz="2" w:space="0"/>
              <w:right w:val="single" w:color="auto" w:sz="2" w:space="0"/>
            </w:tcBorders>
            <w:vAlign w:val="center"/>
          </w:tcPr>
          <w:p w14:paraId="1B8173E9">
            <w:pPr>
              <w:spacing w:line="240" w:lineRule="exact"/>
              <w:jc w:val="right"/>
              <w:rPr>
                <w:rFonts w:ascii="宋体" w:hAnsi="宋体" w:eastAsia="宋体" w:cs="宋体"/>
                <w:sz w:val="18"/>
                <w:szCs w:val="18"/>
              </w:rPr>
            </w:pPr>
            <w:r>
              <w:rPr>
                <w:rFonts w:ascii="宋体" w:hAnsi="宋体" w:eastAsia="宋体" w:cs="宋体"/>
                <w:sz w:val="18"/>
                <w:szCs w:val="18"/>
              </w:rPr>
              <w:t>63</w:t>
            </w:r>
          </w:p>
        </w:tc>
        <w:tc>
          <w:tcPr>
            <w:tcW w:w="709" w:type="dxa"/>
            <w:tcBorders>
              <w:top w:val="single" w:color="auto" w:sz="2" w:space="0"/>
              <w:left w:val="single" w:color="auto" w:sz="2" w:space="0"/>
              <w:bottom w:val="single" w:color="auto" w:sz="2" w:space="0"/>
              <w:right w:val="single" w:color="auto" w:sz="2" w:space="0"/>
            </w:tcBorders>
            <w:vAlign w:val="center"/>
          </w:tcPr>
          <w:p w14:paraId="19F62C98">
            <w:pPr>
              <w:spacing w:line="240" w:lineRule="exact"/>
              <w:rPr>
                <w:rFonts w:ascii="宋体" w:hAnsi="宋体" w:eastAsia="宋体" w:cs="宋体"/>
                <w:sz w:val="18"/>
                <w:szCs w:val="18"/>
              </w:rPr>
            </w:pPr>
            <w:r>
              <w:rPr>
                <w:rFonts w:ascii="宋体" w:hAnsi="宋体" w:eastAsia="宋体" w:cs="宋体"/>
                <w:sz w:val="18"/>
                <w:szCs w:val="18"/>
              </w:rPr>
              <w:t>董事</w:t>
            </w:r>
          </w:p>
        </w:tc>
        <w:tc>
          <w:tcPr>
            <w:tcW w:w="709" w:type="dxa"/>
            <w:tcBorders>
              <w:top w:val="single" w:color="auto" w:sz="2" w:space="0"/>
              <w:left w:val="single" w:color="auto" w:sz="2" w:space="0"/>
              <w:bottom w:val="single" w:color="auto" w:sz="2" w:space="0"/>
              <w:right w:val="single" w:color="auto" w:sz="2" w:space="0"/>
            </w:tcBorders>
            <w:vAlign w:val="center"/>
          </w:tcPr>
          <w:p w14:paraId="7E1C940F">
            <w:pPr>
              <w:spacing w:line="240" w:lineRule="exact"/>
              <w:rPr>
                <w:rFonts w:ascii="宋体" w:hAnsi="宋体" w:eastAsia="宋体" w:cs="宋体"/>
                <w:sz w:val="18"/>
                <w:szCs w:val="18"/>
              </w:rPr>
            </w:pPr>
            <w:r>
              <w:rPr>
                <w:rFonts w:ascii="宋体" w:hAnsi="宋体" w:eastAsia="宋体" w:cs="宋体"/>
                <w:sz w:val="18"/>
                <w:szCs w:val="18"/>
              </w:rPr>
              <w:t>现任</w:t>
            </w:r>
          </w:p>
        </w:tc>
        <w:tc>
          <w:tcPr>
            <w:tcW w:w="992" w:type="dxa"/>
            <w:tcBorders>
              <w:top w:val="single" w:color="auto" w:sz="2" w:space="0"/>
              <w:left w:val="single" w:color="auto" w:sz="2" w:space="0"/>
              <w:bottom w:val="single" w:color="auto" w:sz="2" w:space="0"/>
              <w:right w:val="single" w:color="auto" w:sz="2" w:space="0"/>
            </w:tcBorders>
            <w:vAlign w:val="center"/>
          </w:tcPr>
          <w:p w14:paraId="1559D2D9">
            <w:pPr>
              <w:spacing w:line="240" w:lineRule="exact"/>
              <w:rPr>
                <w:rFonts w:ascii="宋体" w:hAnsi="宋体" w:eastAsia="宋体" w:cs="宋体"/>
                <w:sz w:val="18"/>
                <w:szCs w:val="18"/>
              </w:rPr>
            </w:pPr>
            <w:r>
              <w:rPr>
                <w:rFonts w:ascii="宋体" w:hAnsi="宋体" w:eastAsia="宋体" w:cs="宋体"/>
                <w:sz w:val="18"/>
                <w:szCs w:val="18"/>
              </w:rPr>
              <w:t>2008年12月31日</w:t>
            </w:r>
          </w:p>
        </w:tc>
        <w:tc>
          <w:tcPr>
            <w:tcW w:w="940" w:type="dxa"/>
            <w:tcBorders>
              <w:top w:val="single" w:color="auto" w:sz="2" w:space="0"/>
              <w:left w:val="single" w:color="auto" w:sz="2" w:space="0"/>
              <w:bottom w:val="single" w:color="auto" w:sz="2" w:space="0"/>
              <w:right w:val="single" w:color="auto" w:sz="2" w:space="0"/>
            </w:tcBorders>
            <w:vAlign w:val="center"/>
          </w:tcPr>
          <w:p w14:paraId="45EA33AD">
            <w:pPr>
              <w:spacing w:line="240" w:lineRule="exact"/>
              <w:rPr>
                <w:rFonts w:ascii="宋体" w:hAnsi="宋体" w:eastAsia="宋体" w:cs="宋体"/>
                <w:sz w:val="18"/>
                <w:szCs w:val="18"/>
              </w:rPr>
            </w:pPr>
            <w:r>
              <w:rPr>
                <w:rFonts w:ascii="宋体" w:hAnsi="宋体" w:eastAsia="宋体" w:cs="宋体"/>
                <w:sz w:val="18"/>
                <w:szCs w:val="18"/>
              </w:rPr>
              <w:t>2027年12月20日</w:t>
            </w:r>
          </w:p>
        </w:tc>
        <w:tc>
          <w:tcPr>
            <w:tcW w:w="741" w:type="dxa"/>
            <w:tcBorders>
              <w:top w:val="single" w:color="auto" w:sz="2" w:space="0"/>
              <w:left w:val="single" w:color="auto" w:sz="2" w:space="0"/>
              <w:bottom w:val="single" w:color="auto" w:sz="2" w:space="0"/>
              <w:right w:val="single" w:color="auto" w:sz="2" w:space="0"/>
            </w:tcBorders>
            <w:vAlign w:val="center"/>
          </w:tcPr>
          <w:p w14:paraId="4A650D63">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430E7CA6">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77707512">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3B255883">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22539CC4">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4944DAE9">
            <w:pPr>
              <w:spacing w:line="240" w:lineRule="exact"/>
              <w:rPr>
                <w:rFonts w:ascii="宋体" w:hAnsi="宋体" w:eastAsia="宋体" w:cs="宋体"/>
                <w:sz w:val="18"/>
                <w:szCs w:val="18"/>
              </w:rPr>
            </w:pPr>
            <w:r>
              <w:rPr>
                <w:rFonts w:ascii="宋体" w:hAnsi="宋体" w:eastAsia="宋体" w:cs="宋体"/>
                <w:sz w:val="18"/>
                <w:szCs w:val="18"/>
              </w:rPr>
              <w:t>不适用</w:t>
            </w:r>
          </w:p>
        </w:tc>
      </w:tr>
      <w:tr w14:paraId="49C2C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31A63FCF">
            <w:pPr>
              <w:spacing w:line="240" w:lineRule="exact"/>
              <w:rPr>
                <w:rFonts w:ascii="宋体" w:hAnsi="宋体" w:eastAsia="宋体" w:cs="宋体"/>
                <w:sz w:val="18"/>
                <w:szCs w:val="18"/>
              </w:rPr>
            </w:pPr>
            <w:r>
              <w:rPr>
                <w:rFonts w:ascii="宋体" w:hAnsi="宋体" w:eastAsia="宋体" w:cs="宋体"/>
                <w:sz w:val="18"/>
                <w:szCs w:val="18"/>
              </w:rPr>
              <w:t>王国友</w:t>
            </w:r>
          </w:p>
        </w:tc>
        <w:tc>
          <w:tcPr>
            <w:tcW w:w="425" w:type="dxa"/>
            <w:tcBorders>
              <w:top w:val="single" w:color="auto" w:sz="2" w:space="0"/>
              <w:left w:val="single" w:color="auto" w:sz="2" w:space="0"/>
              <w:bottom w:val="single" w:color="auto" w:sz="2" w:space="0"/>
              <w:right w:val="single" w:color="auto" w:sz="2" w:space="0"/>
            </w:tcBorders>
            <w:vAlign w:val="center"/>
          </w:tcPr>
          <w:p w14:paraId="57BDCD04">
            <w:pPr>
              <w:spacing w:line="240" w:lineRule="exact"/>
              <w:rPr>
                <w:rFonts w:ascii="宋体" w:hAnsi="宋体" w:eastAsia="宋体" w:cs="宋体"/>
                <w:sz w:val="18"/>
                <w:szCs w:val="18"/>
              </w:rPr>
            </w:pPr>
            <w:r>
              <w:rPr>
                <w:rFonts w:ascii="宋体" w:hAnsi="宋体" w:eastAsia="宋体" w:cs="宋体"/>
                <w:sz w:val="18"/>
                <w:szCs w:val="18"/>
              </w:rPr>
              <w:t>男</w:t>
            </w:r>
          </w:p>
        </w:tc>
        <w:tc>
          <w:tcPr>
            <w:tcW w:w="567" w:type="dxa"/>
            <w:tcBorders>
              <w:top w:val="single" w:color="auto" w:sz="2" w:space="0"/>
              <w:left w:val="single" w:color="auto" w:sz="2" w:space="0"/>
              <w:bottom w:val="single" w:color="auto" w:sz="2" w:space="0"/>
              <w:right w:val="single" w:color="auto" w:sz="2" w:space="0"/>
            </w:tcBorders>
            <w:vAlign w:val="center"/>
          </w:tcPr>
          <w:p w14:paraId="6336681D">
            <w:pPr>
              <w:spacing w:line="240" w:lineRule="exact"/>
              <w:jc w:val="right"/>
              <w:rPr>
                <w:rFonts w:ascii="宋体" w:hAnsi="宋体" w:eastAsia="宋体" w:cs="宋体"/>
                <w:sz w:val="18"/>
                <w:szCs w:val="18"/>
              </w:rPr>
            </w:pPr>
            <w:r>
              <w:rPr>
                <w:rFonts w:ascii="宋体" w:hAnsi="宋体" w:eastAsia="宋体" w:cs="宋体"/>
                <w:sz w:val="18"/>
                <w:szCs w:val="18"/>
              </w:rPr>
              <w:t>63</w:t>
            </w:r>
          </w:p>
        </w:tc>
        <w:tc>
          <w:tcPr>
            <w:tcW w:w="709" w:type="dxa"/>
            <w:tcBorders>
              <w:top w:val="single" w:color="auto" w:sz="2" w:space="0"/>
              <w:left w:val="single" w:color="auto" w:sz="2" w:space="0"/>
              <w:bottom w:val="single" w:color="auto" w:sz="2" w:space="0"/>
              <w:right w:val="single" w:color="auto" w:sz="2" w:space="0"/>
            </w:tcBorders>
            <w:vAlign w:val="center"/>
          </w:tcPr>
          <w:p w14:paraId="5234AE39">
            <w:pPr>
              <w:spacing w:line="240" w:lineRule="exact"/>
              <w:rPr>
                <w:rFonts w:ascii="宋体" w:hAnsi="宋体" w:eastAsia="宋体" w:cs="宋体"/>
                <w:sz w:val="18"/>
                <w:szCs w:val="18"/>
              </w:rPr>
            </w:pPr>
            <w:r>
              <w:rPr>
                <w:rFonts w:ascii="宋体" w:hAnsi="宋体" w:eastAsia="宋体" w:cs="宋体"/>
                <w:sz w:val="18"/>
                <w:szCs w:val="18"/>
              </w:rPr>
              <w:t>财务总监</w:t>
            </w:r>
          </w:p>
        </w:tc>
        <w:tc>
          <w:tcPr>
            <w:tcW w:w="709" w:type="dxa"/>
            <w:tcBorders>
              <w:top w:val="single" w:color="auto" w:sz="2" w:space="0"/>
              <w:left w:val="single" w:color="auto" w:sz="2" w:space="0"/>
              <w:bottom w:val="single" w:color="auto" w:sz="2" w:space="0"/>
              <w:right w:val="single" w:color="auto" w:sz="2" w:space="0"/>
            </w:tcBorders>
            <w:vAlign w:val="center"/>
          </w:tcPr>
          <w:p w14:paraId="3CD55031">
            <w:pPr>
              <w:spacing w:line="240" w:lineRule="exact"/>
              <w:rPr>
                <w:rFonts w:ascii="宋体" w:hAnsi="宋体" w:eastAsia="宋体" w:cs="宋体"/>
                <w:sz w:val="18"/>
                <w:szCs w:val="18"/>
              </w:rPr>
            </w:pPr>
            <w:r>
              <w:rPr>
                <w:rFonts w:ascii="宋体" w:hAnsi="宋体" w:eastAsia="宋体" w:cs="宋体"/>
                <w:sz w:val="18"/>
                <w:szCs w:val="18"/>
              </w:rPr>
              <w:t>现任</w:t>
            </w:r>
          </w:p>
        </w:tc>
        <w:tc>
          <w:tcPr>
            <w:tcW w:w="992" w:type="dxa"/>
            <w:tcBorders>
              <w:top w:val="single" w:color="auto" w:sz="2" w:space="0"/>
              <w:left w:val="single" w:color="auto" w:sz="2" w:space="0"/>
              <w:bottom w:val="single" w:color="auto" w:sz="2" w:space="0"/>
              <w:right w:val="single" w:color="auto" w:sz="2" w:space="0"/>
            </w:tcBorders>
            <w:vAlign w:val="center"/>
          </w:tcPr>
          <w:p w14:paraId="110DF58E">
            <w:pPr>
              <w:spacing w:line="240" w:lineRule="exact"/>
              <w:rPr>
                <w:rFonts w:ascii="宋体" w:hAnsi="宋体" w:eastAsia="宋体" w:cs="宋体"/>
                <w:sz w:val="18"/>
                <w:szCs w:val="18"/>
              </w:rPr>
            </w:pPr>
            <w:r>
              <w:rPr>
                <w:rFonts w:ascii="宋体" w:hAnsi="宋体" w:eastAsia="宋体" w:cs="宋体"/>
                <w:sz w:val="18"/>
                <w:szCs w:val="18"/>
              </w:rPr>
              <w:t>2015年04月13日</w:t>
            </w:r>
          </w:p>
        </w:tc>
        <w:tc>
          <w:tcPr>
            <w:tcW w:w="940" w:type="dxa"/>
            <w:tcBorders>
              <w:top w:val="single" w:color="auto" w:sz="2" w:space="0"/>
              <w:left w:val="single" w:color="auto" w:sz="2" w:space="0"/>
              <w:bottom w:val="single" w:color="auto" w:sz="2" w:space="0"/>
              <w:right w:val="single" w:color="auto" w:sz="2" w:space="0"/>
            </w:tcBorders>
            <w:vAlign w:val="center"/>
          </w:tcPr>
          <w:p w14:paraId="305F0CCC">
            <w:pPr>
              <w:spacing w:line="240" w:lineRule="exact"/>
              <w:rPr>
                <w:rFonts w:ascii="宋体" w:hAnsi="宋体" w:eastAsia="宋体" w:cs="宋体"/>
                <w:sz w:val="18"/>
                <w:szCs w:val="18"/>
              </w:rPr>
            </w:pPr>
            <w:r>
              <w:rPr>
                <w:rFonts w:ascii="宋体" w:hAnsi="宋体" w:eastAsia="宋体" w:cs="宋体"/>
                <w:sz w:val="18"/>
                <w:szCs w:val="18"/>
              </w:rPr>
              <w:t>2027年12月20日</w:t>
            </w:r>
          </w:p>
        </w:tc>
        <w:tc>
          <w:tcPr>
            <w:tcW w:w="741" w:type="dxa"/>
            <w:tcBorders>
              <w:top w:val="single" w:color="auto" w:sz="2" w:space="0"/>
              <w:left w:val="single" w:color="auto" w:sz="2" w:space="0"/>
              <w:bottom w:val="single" w:color="auto" w:sz="2" w:space="0"/>
              <w:right w:val="single" w:color="auto" w:sz="2" w:space="0"/>
            </w:tcBorders>
            <w:vAlign w:val="center"/>
          </w:tcPr>
          <w:p w14:paraId="7165515C">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1C1C8EF1">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21D75902">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2F807780">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31EF282F">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1F3801D4">
            <w:pPr>
              <w:spacing w:line="240" w:lineRule="exact"/>
              <w:rPr>
                <w:rFonts w:ascii="宋体" w:hAnsi="宋体" w:eastAsia="宋体" w:cs="宋体"/>
                <w:sz w:val="18"/>
                <w:szCs w:val="18"/>
              </w:rPr>
            </w:pPr>
            <w:r>
              <w:rPr>
                <w:rFonts w:ascii="宋体" w:hAnsi="宋体" w:eastAsia="宋体" w:cs="宋体"/>
                <w:sz w:val="18"/>
                <w:szCs w:val="18"/>
              </w:rPr>
              <w:t>不适用</w:t>
            </w:r>
          </w:p>
        </w:tc>
      </w:tr>
      <w:tr w14:paraId="3ADB1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25BA1E00">
            <w:pPr>
              <w:spacing w:line="240" w:lineRule="exact"/>
              <w:rPr>
                <w:rFonts w:ascii="宋体" w:hAnsi="宋体" w:eastAsia="宋体" w:cs="宋体"/>
                <w:sz w:val="18"/>
                <w:szCs w:val="18"/>
              </w:rPr>
            </w:pPr>
            <w:r>
              <w:rPr>
                <w:rFonts w:ascii="宋体" w:hAnsi="宋体" w:eastAsia="宋体" w:cs="宋体"/>
                <w:sz w:val="18"/>
                <w:szCs w:val="18"/>
              </w:rPr>
              <w:t>张正</w:t>
            </w:r>
          </w:p>
        </w:tc>
        <w:tc>
          <w:tcPr>
            <w:tcW w:w="425" w:type="dxa"/>
            <w:tcBorders>
              <w:top w:val="single" w:color="auto" w:sz="2" w:space="0"/>
              <w:left w:val="single" w:color="auto" w:sz="2" w:space="0"/>
              <w:bottom w:val="single" w:color="auto" w:sz="2" w:space="0"/>
              <w:right w:val="single" w:color="auto" w:sz="2" w:space="0"/>
            </w:tcBorders>
            <w:vAlign w:val="center"/>
          </w:tcPr>
          <w:p w14:paraId="691D3066">
            <w:pPr>
              <w:spacing w:line="240" w:lineRule="exact"/>
              <w:rPr>
                <w:rFonts w:ascii="宋体" w:hAnsi="宋体" w:eastAsia="宋体" w:cs="宋体"/>
                <w:sz w:val="18"/>
                <w:szCs w:val="18"/>
              </w:rPr>
            </w:pPr>
            <w:r>
              <w:rPr>
                <w:rFonts w:ascii="宋体" w:hAnsi="宋体" w:eastAsia="宋体" w:cs="宋体"/>
                <w:sz w:val="18"/>
                <w:szCs w:val="18"/>
              </w:rPr>
              <w:t>男</w:t>
            </w:r>
          </w:p>
        </w:tc>
        <w:tc>
          <w:tcPr>
            <w:tcW w:w="567" w:type="dxa"/>
            <w:tcBorders>
              <w:top w:val="single" w:color="auto" w:sz="2" w:space="0"/>
              <w:left w:val="single" w:color="auto" w:sz="2" w:space="0"/>
              <w:bottom w:val="single" w:color="auto" w:sz="2" w:space="0"/>
              <w:right w:val="single" w:color="auto" w:sz="2" w:space="0"/>
            </w:tcBorders>
            <w:vAlign w:val="center"/>
          </w:tcPr>
          <w:p w14:paraId="36648807">
            <w:pPr>
              <w:spacing w:line="240" w:lineRule="exact"/>
              <w:jc w:val="right"/>
              <w:rPr>
                <w:rFonts w:ascii="宋体" w:hAnsi="宋体" w:eastAsia="宋体" w:cs="宋体"/>
                <w:sz w:val="18"/>
                <w:szCs w:val="18"/>
              </w:rPr>
            </w:pPr>
            <w:r>
              <w:rPr>
                <w:rFonts w:ascii="宋体" w:hAnsi="宋体" w:eastAsia="宋体" w:cs="宋体"/>
                <w:sz w:val="18"/>
                <w:szCs w:val="18"/>
              </w:rPr>
              <w:t>41</w:t>
            </w:r>
          </w:p>
        </w:tc>
        <w:tc>
          <w:tcPr>
            <w:tcW w:w="709" w:type="dxa"/>
            <w:tcBorders>
              <w:top w:val="single" w:color="auto" w:sz="2" w:space="0"/>
              <w:left w:val="single" w:color="auto" w:sz="2" w:space="0"/>
              <w:bottom w:val="single" w:color="auto" w:sz="2" w:space="0"/>
              <w:right w:val="single" w:color="auto" w:sz="2" w:space="0"/>
            </w:tcBorders>
            <w:vAlign w:val="center"/>
          </w:tcPr>
          <w:p w14:paraId="2D7FE754">
            <w:pPr>
              <w:spacing w:line="240" w:lineRule="exact"/>
              <w:rPr>
                <w:rFonts w:ascii="宋体" w:hAnsi="宋体" w:eastAsia="宋体" w:cs="宋体"/>
                <w:sz w:val="18"/>
                <w:szCs w:val="18"/>
              </w:rPr>
            </w:pPr>
            <w:r>
              <w:rPr>
                <w:rFonts w:ascii="宋体" w:hAnsi="宋体" w:eastAsia="宋体" w:cs="宋体"/>
                <w:sz w:val="18"/>
                <w:szCs w:val="18"/>
              </w:rPr>
              <w:t>董事</w:t>
            </w:r>
          </w:p>
        </w:tc>
        <w:tc>
          <w:tcPr>
            <w:tcW w:w="709" w:type="dxa"/>
            <w:tcBorders>
              <w:top w:val="single" w:color="auto" w:sz="2" w:space="0"/>
              <w:left w:val="single" w:color="auto" w:sz="2" w:space="0"/>
              <w:bottom w:val="single" w:color="auto" w:sz="2" w:space="0"/>
              <w:right w:val="single" w:color="auto" w:sz="2" w:space="0"/>
            </w:tcBorders>
            <w:vAlign w:val="center"/>
          </w:tcPr>
          <w:p w14:paraId="76D07176">
            <w:pPr>
              <w:spacing w:line="240" w:lineRule="exact"/>
              <w:rPr>
                <w:rFonts w:ascii="宋体" w:hAnsi="宋体" w:eastAsia="宋体" w:cs="宋体"/>
                <w:sz w:val="18"/>
                <w:szCs w:val="18"/>
              </w:rPr>
            </w:pPr>
            <w:r>
              <w:rPr>
                <w:rFonts w:ascii="宋体" w:hAnsi="宋体" w:eastAsia="宋体" w:cs="宋体"/>
                <w:sz w:val="18"/>
                <w:szCs w:val="18"/>
              </w:rPr>
              <w:t>现任</w:t>
            </w:r>
          </w:p>
        </w:tc>
        <w:tc>
          <w:tcPr>
            <w:tcW w:w="992" w:type="dxa"/>
            <w:tcBorders>
              <w:top w:val="single" w:color="auto" w:sz="2" w:space="0"/>
              <w:left w:val="single" w:color="auto" w:sz="2" w:space="0"/>
              <w:bottom w:val="single" w:color="auto" w:sz="2" w:space="0"/>
              <w:right w:val="single" w:color="auto" w:sz="2" w:space="0"/>
            </w:tcBorders>
            <w:vAlign w:val="center"/>
          </w:tcPr>
          <w:p w14:paraId="37CB2961">
            <w:pPr>
              <w:spacing w:line="240" w:lineRule="exact"/>
              <w:rPr>
                <w:rFonts w:ascii="宋体" w:hAnsi="宋体" w:eastAsia="宋体" w:cs="宋体"/>
                <w:sz w:val="18"/>
                <w:szCs w:val="18"/>
              </w:rPr>
            </w:pPr>
            <w:r>
              <w:rPr>
                <w:rFonts w:ascii="宋体" w:hAnsi="宋体" w:eastAsia="宋体" w:cs="宋体"/>
                <w:sz w:val="18"/>
                <w:szCs w:val="18"/>
              </w:rPr>
              <w:t>2020年07月10日</w:t>
            </w:r>
          </w:p>
        </w:tc>
        <w:tc>
          <w:tcPr>
            <w:tcW w:w="940" w:type="dxa"/>
            <w:tcBorders>
              <w:top w:val="single" w:color="auto" w:sz="2" w:space="0"/>
              <w:left w:val="single" w:color="auto" w:sz="2" w:space="0"/>
              <w:bottom w:val="single" w:color="auto" w:sz="2" w:space="0"/>
              <w:right w:val="single" w:color="auto" w:sz="2" w:space="0"/>
            </w:tcBorders>
            <w:vAlign w:val="center"/>
          </w:tcPr>
          <w:p w14:paraId="2B1E6410">
            <w:pPr>
              <w:spacing w:line="240" w:lineRule="exact"/>
              <w:rPr>
                <w:rFonts w:ascii="宋体" w:hAnsi="宋体" w:eastAsia="宋体" w:cs="宋体"/>
                <w:sz w:val="18"/>
                <w:szCs w:val="18"/>
              </w:rPr>
            </w:pPr>
            <w:r>
              <w:rPr>
                <w:rFonts w:ascii="宋体" w:hAnsi="宋体" w:eastAsia="宋体" w:cs="宋体"/>
                <w:sz w:val="18"/>
                <w:szCs w:val="18"/>
              </w:rPr>
              <w:t>2027年12月20日</w:t>
            </w:r>
          </w:p>
        </w:tc>
        <w:tc>
          <w:tcPr>
            <w:tcW w:w="741" w:type="dxa"/>
            <w:tcBorders>
              <w:top w:val="single" w:color="auto" w:sz="2" w:space="0"/>
              <w:left w:val="single" w:color="auto" w:sz="2" w:space="0"/>
              <w:bottom w:val="single" w:color="auto" w:sz="2" w:space="0"/>
              <w:right w:val="single" w:color="auto" w:sz="2" w:space="0"/>
            </w:tcBorders>
            <w:vAlign w:val="center"/>
          </w:tcPr>
          <w:p w14:paraId="7EE3DF0C">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441B4F12">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7CBDC46E">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331D70A6">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423755CB">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231D798B">
            <w:pPr>
              <w:spacing w:line="240" w:lineRule="exact"/>
              <w:rPr>
                <w:rFonts w:ascii="宋体" w:hAnsi="宋体" w:eastAsia="宋体" w:cs="宋体"/>
                <w:sz w:val="18"/>
                <w:szCs w:val="18"/>
              </w:rPr>
            </w:pPr>
            <w:r>
              <w:rPr>
                <w:rFonts w:ascii="宋体" w:hAnsi="宋体" w:eastAsia="宋体" w:cs="宋体"/>
                <w:sz w:val="18"/>
                <w:szCs w:val="18"/>
              </w:rPr>
              <w:t>不适用</w:t>
            </w:r>
          </w:p>
        </w:tc>
      </w:tr>
      <w:tr w14:paraId="66C48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56D36CBC">
            <w:pPr>
              <w:spacing w:line="240" w:lineRule="exact"/>
              <w:rPr>
                <w:rFonts w:ascii="宋体" w:hAnsi="宋体" w:eastAsia="宋体" w:cs="宋体"/>
                <w:sz w:val="18"/>
                <w:szCs w:val="18"/>
              </w:rPr>
            </w:pPr>
            <w:r>
              <w:rPr>
                <w:rFonts w:ascii="宋体" w:hAnsi="宋体" w:eastAsia="宋体" w:cs="宋体"/>
                <w:sz w:val="18"/>
                <w:szCs w:val="18"/>
              </w:rPr>
              <w:t>张正</w:t>
            </w:r>
          </w:p>
        </w:tc>
        <w:tc>
          <w:tcPr>
            <w:tcW w:w="425" w:type="dxa"/>
            <w:tcBorders>
              <w:top w:val="single" w:color="auto" w:sz="2" w:space="0"/>
              <w:left w:val="single" w:color="auto" w:sz="2" w:space="0"/>
              <w:bottom w:val="single" w:color="auto" w:sz="2" w:space="0"/>
              <w:right w:val="single" w:color="auto" w:sz="2" w:space="0"/>
            </w:tcBorders>
            <w:vAlign w:val="center"/>
          </w:tcPr>
          <w:p w14:paraId="781248AC">
            <w:pPr>
              <w:spacing w:line="240" w:lineRule="exact"/>
              <w:rPr>
                <w:rFonts w:ascii="宋体" w:hAnsi="宋体" w:eastAsia="宋体" w:cs="宋体"/>
                <w:sz w:val="18"/>
                <w:szCs w:val="18"/>
              </w:rPr>
            </w:pPr>
            <w:r>
              <w:rPr>
                <w:rFonts w:ascii="宋体" w:hAnsi="宋体" w:eastAsia="宋体" w:cs="宋体"/>
                <w:sz w:val="18"/>
                <w:szCs w:val="18"/>
              </w:rPr>
              <w:t>男</w:t>
            </w:r>
          </w:p>
        </w:tc>
        <w:tc>
          <w:tcPr>
            <w:tcW w:w="567" w:type="dxa"/>
            <w:tcBorders>
              <w:top w:val="single" w:color="auto" w:sz="2" w:space="0"/>
              <w:left w:val="single" w:color="auto" w:sz="2" w:space="0"/>
              <w:bottom w:val="single" w:color="auto" w:sz="2" w:space="0"/>
              <w:right w:val="single" w:color="auto" w:sz="2" w:space="0"/>
            </w:tcBorders>
            <w:vAlign w:val="center"/>
          </w:tcPr>
          <w:p w14:paraId="574A077D">
            <w:pPr>
              <w:spacing w:line="240" w:lineRule="exact"/>
              <w:jc w:val="right"/>
              <w:rPr>
                <w:rFonts w:ascii="宋体" w:hAnsi="宋体" w:eastAsia="宋体" w:cs="宋体"/>
                <w:sz w:val="18"/>
                <w:szCs w:val="18"/>
              </w:rPr>
            </w:pPr>
            <w:r>
              <w:rPr>
                <w:rFonts w:ascii="宋体" w:hAnsi="宋体" w:eastAsia="宋体" w:cs="宋体"/>
                <w:sz w:val="18"/>
                <w:szCs w:val="18"/>
              </w:rPr>
              <w:t>41</w:t>
            </w:r>
          </w:p>
        </w:tc>
        <w:tc>
          <w:tcPr>
            <w:tcW w:w="709" w:type="dxa"/>
            <w:tcBorders>
              <w:top w:val="single" w:color="auto" w:sz="2" w:space="0"/>
              <w:left w:val="single" w:color="auto" w:sz="2" w:space="0"/>
              <w:bottom w:val="single" w:color="auto" w:sz="2" w:space="0"/>
              <w:right w:val="single" w:color="auto" w:sz="2" w:space="0"/>
            </w:tcBorders>
            <w:vAlign w:val="center"/>
          </w:tcPr>
          <w:p w14:paraId="7692718F">
            <w:pPr>
              <w:spacing w:line="240" w:lineRule="exact"/>
              <w:rPr>
                <w:rFonts w:ascii="宋体" w:hAnsi="宋体" w:eastAsia="宋体" w:cs="宋体"/>
                <w:sz w:val="18"/>
                <w:szCs w:val="18"/>
              </w:rPr>
            </w:pPr>
            <w:r>
              <w:rPr>
                <w:rFonts w:ascii="宋体" w:hAnsi="宋体" w:eastAsia="宋体" w:cs="宋体"/>
                <w:sz w:val="18"/>
                <w:szCs w:val="18"/>
              </w:rPr>
              <w:t>董事会秘书、副总裁</w:t>
            </w:r>
          </w:p>
        </w:tc>
        <w:tc>
          <w:tcPr>
            <w:tcW w:w="709" w:type="dxa"/>
            <w:tcBorders>
              <w:top w:val="single" w:color="auto" w:sz="2" w:space="0"/>
              <w:left w:val="single" w:color="auto" w:sz="2" w:space="0"/>
              <w:bottom w:val="single" w:color="auto" w:sz="2" w:space="0"/>
              <w:right w:val="single" w:color="auto" w:sz="2" w:space="0"/>
            </w:tcBorders>
            <w:vAlign w:val="center"/>
          </w:tcPr>
          <w:p w14:paraId="3C9D34E0">
            <w:pPr>
              <w:spacing w:line="240" w:lineRule="exact"/>
              <w:rPr>
                <w:rFonts w:ascii="宋体" w:hAnsi="宋体" w:eastAsia="宋体" w:cs="宋体"/>
                <w:sz w:val="18"/>
                <w:szCs w:val="18"/>
              </w:rPr>
            </w:pPr>
            <w:r>
              <w:rPr>
                <w:rFonts w:ascii="宋体" w:hAnsi="宋体" w:eastAsia="宋体" w:cs="宋体"/>
                <w:sz w:val="18"/>
                <w:szCs w:val="18"/>
              </w:rPr>
              <w:t>现任</w:t>
            </w:r>
          </w:p>
        </w:tc>
        <w:tc>
          <w:tcPr>
            <w:tcW w:w="992" w:type="dxa"/>
            <w:tcBorders>
              <w:top w:val="single" w:color="auto" w:sz="2" w:space="0"/>
              <w:left w:val="single" w:color="auto" w:sz="2" w:space="0"/>
              <w:bottom w:val="single" w:color="auto" w:sz="2" w:space="0"/>
              <w:right w:val="single" w:color="auto" w:sz="2" w:space="0"/>
            </w:tcBorders>
            <w:vAlign w:val="center"/>
          </w:tcPr>
          <w:p w14:paraId="3A1F775A">
            <w:pPr>
              <w:spacing w:line="240" w:lineRule="exact"/>
              <w:rPr>
                <w:rFonts w:ascii="宋体" w:hAnsi="宋体" w:eastAsia="宋体" w:cs="宋体"/>
                <w:sz w:val="18"/>
                <w:szCs w:val="18"/>
              </w:rPr>
            </w:pPr>
            <w:r>
              <w:rPr>
                <w:rFonts w:ascii="宋体" w:hAnsi="宋体" w:eastAsia="宋体" w:cs="宋体"/>
                <w:sz w:val="18"/>
                <w:szCs w:val="18"/>
              </w:rPr>
              <w:t>2017年10月23日</w:t>
            </w:r>
          </w:p>
        </w:tc>
        <w:tc>
          <w:tcPr>
            <w:tcW w:w="940" w:type="dxa"/>
            <w:tcBorders>
              <w:top w:val="single" w:color="auto" w:sz="2" w:space="0"/>
              <w:left w:val="single" w:color="auto" w:sz="2" w:space="0"/>
              <w:bottom w:val="single" w:color="auto" w:sz="2" w:space="0"/>
              <w:right w:val="single" w:color="auto" w:sz="2" w:space="0"/>
            </w:tcBorders>
            <w:vAlign w:val="center"/>
          </w:tcPr>
          <w:p w14:paraId="0EF3FDE6">
            <w:pPr>
              <w:spacing w:line="240" w:lineRule="exact"/>
              <w:rPr>
                <w:rFonts w:ascii="宋体" w:hAnsi="宋体" w:eastAsia="宋体" w:cs="宋体"/>
                <w:sz w:val="18"/>
                <w:szCs w:val="18"/>
              </w:rPr>
            </w:pPr>
            <w:r>
              <w:rPr>
                <w:rFonts w:ascii="宋体" w:hAnsi="宋体" w:eastAsia="宋体" w:cs="宋体"/>
                <w:sz w:val="18"/>
                <w:szCs w:val="18"/>
              </w:rPr>
              <w:t>2027年12月20日</w:t>
            </w:r>
          </w:p>
        </w:tc>
        <w:tc>
          <w:tcPr>
            <w:tcW w:w="741" w:type="dxa"/>
            <w:tcBorders>
              <w:top w:val="single" w:color="auto" w:sz="2" w:space="0"/>
              <w:left w:val="single" w:color="auto" w:sz="2" w:space="0"/>
              <w:bottom w:val="single" w:color="auto" w:sz="2" w:space="0"/>
              <w:right w:val="single" w:color="auto" w:sz="2" w:space="0"/>
            </w:tcBorders>
            <w:vAlign w:val="center"/>
          </w:tcPr>
          <w:p w14:paraId="24FA3028">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39C12850">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65A9A9A6">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7927C857">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60DFCBA5">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54014E71">
            <w:pPr>
              <w:spacing w:line="240" w:lineRule="exact"/>
              <w:rPr>
                <w:rFonts w:ascii="宋体" w:hAnsi="宋体" w:eastAsia="宋体" w:cs="宋体"/>
                <w:sz w:val="18"/>
                <w:szCs w:val="18"/>
              </w:rPr>
            </w:pPr>
            <w:r>
              <w:rPr>
                <w:rFonts w:ascii="宋体" w:hAnsi="宋体" w:eastAsia="宋体" w:cs="宋体"/>
                <w:sz w:val="18"/>
                <w:szCs w:val="18"/>
              </w:rPr>
              <w:t>不适用</w:t>
            </w:r>
          </w:p>
        </w:tc>
      </w:tr>
      <w:tr w14:paraId="5F49B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5BD74DB1">
            <w:pPr>
              <w:spacing w:line="240" w:lineRule="exact"/>
              <w:rPr>
                <w:rFonts w:ascii="宋体" w:hAnsi="宋体" w:eastAsia="宋体" w:cs="宋体"/>
                <w:sz w:val="18"/>
                <w:szCs w:val="18"/>
              </w:rPr>
            </w:pPr>
            <w:r>
              <w:rPr>
                <w:rFonts w:ascii="宋体" w:hAnsi="宋体" w:eastAsia="宋体" w:cs="宋体"/>
                <w:sz w:val="18"/>
                <w:szCs w:val="18"/>
              </w:rPr>
              <w:t>宣刚江</w:t>
            </w:r>
          </w:p>
        </w:tc>
        <w:tc>
          <w:tcPr>
            <w:tcW w:w="425" w:type="dxa"/>
            <w:tcBorders>
              <w:top w:val="single" w:color="auto" w:sz="2" w:space="0"/>
              <w:left w:val="single" w:color="auto" w:sz="2" w:space="0"/>
              <w:bottom w:val="single" w:color="auto" w:sz="2" w:space="0"/>
              <w:right w:val="single" w:color="auto" w:sz="2" w:space="0"/>
            </w:tcBorders>
            <w:vAlign w:val="center"/>
          </w:tcPr>
          <w:p w14:paraId="31194911">
            <w:pPr>
              <w:spacing w:line="240" w:lineRule="exact"/>
              <w:rPr>
                <w:rFonts w:ascii="宋体" w:hAnsi="宋体" w:eastAsia="宋体" w:cs="宋体"/>
                <w:sz w:val="18"/>
                <w:szCs w:val="18"/>
              </w:rPr>
            </w:pPr>
            <w:r>
              <w:rPr>
                <w:rFonts w:ascii="宋体" w:hAnsi="宋体" w:eastAsia="宋体" w:cs="宋体"/>
                <w:sz w:val="18"/>
                <w:szCs w:val="18"/>
              </w:rPr>
              <w:t>男</w:t>
            </w:r>
          </w:p>
        </w:tc>
        <w:tc>
          <w:tcPr>
            <w:tcW w:w="567" w:type="dxa"/>
            <w:tcBorders>
              <w:top w:val="single" w:color="auto" w:sz="2" w:space="0"/>
              <w:left w:val="single" w:color="auto" w:sz="2" w:space="0"/>
              <w:bottom w:val="single" w:color="auto" w:sz="2" w:space="0"/>
              <w:right w:val="single" w:color="auto" w:sz="2" w:space="0"/>
            </w:tcBorders>
            <w:vAlign w:val="center"/>
          </w:tcPr>
          <w:p w14:paraId="73345A5D">
            <w:pPr>
              <w:spacing w:line="240" w:lineRule="exact"/>
              <w:jc w:val="right"/>
              <w:rPr>
                <w:rFonts w:ascii="宋体" w:hAnsi="宋体" w:eastAsia="宋体" w:cs="宋体"/>
                <w:sz w:val="18"/>
                <w:szCs w:val="18"/>
              </w:rPr>
            </w:pPr>
            <w:r>
              <w:rPr>
                <w:rFonts w:ascii="宋体" w:hAnsi="宋体" w:eastAsia="宋体" w:cs="宋体"/>
                <w:sz w:val="18"/>
                <w:szCs w:val="18"/>
              </w:rPr>
              <w:t>42</w:t>
            </w:r>
          </w:p>
        </w:tc>
        <w:tc>
          <w:tcPr>
            <w:tcW w:w="709" w:type="dxa"/>
            <w:tcBorders>
              <w:top w:val="single" w:color="auto" w:sz="2" w:space="0"/>
              <w:left w:val="single" w:color="auto" w:sz="2" w:space="0"/>
              <w:bottom w:val="single" w:color="auto" w:sz="2" w:space="0"/>
              <w:right w:val="single" w:color="auto" w:sz="2" w:space="0"/>
            </w:tcBorders>
            <w:vAlign w:val="center"/>
          </w:tcPr>
          <w:p w14:paraId="71D8D659">
            <w:pPr>
              <w:spacing w:line="240" w:lineRule="exact"/>
              <w:rPr>
                <w:rFonts w:ascii="宋体" w:hAnsi="宋体" w:eastAsia="宋体" w:cs="宋体"/>
                <w:sz w:val="18"/>
                <w:szCs w:val="18"/>
              </w:rPr>
            </w:pPr>
            <w:r>
              <w:rPr>
                <w:rFonts w:ascii="宋体" w:hAnsi="宋体" w:eastAsia="宋体" w:cs="宋体"/>
                <w:sz w:val="18"/>
                <w:szCs w:val="18"/>
              </w:rPr>
              <w:t>董事</w:t>
            </w:r>
          </w:p>
        </w:tc>
        <w:tc>
          <w:tcPr>
            <w:tcW w:w="709" w:type="dxa"/>
            <w:tcBorders>
              <w:top w:val="single" w:color="auto" w:sz="2" w:space="0"/>
              <w:left w:val="single" w:color="auto" w:sz="2" w:space="0"/>
              <w:bottom w:val="single" w:color="auto" w:sz="2" w:space="0"/>
              <w:right w:val="single" w:color="auto" w:sz="2" w:space="0"/>
            </w:tcBorders>
            <w:vAlign w:val="center"/>
          </w:tcPr>
          <w:p w14:paraId="5E6200DA">
            <w:pPr>
              <w:spacing w:line="240" w:lineRule="exact"/>
              <w:rPr>
                <w:rFonts w:ascii="宋体" w:hAnsi="宋体" w:eastAsia="宋体" w:cs="宋体"/>
                <w:sz w:val="18"/>
                <w:szCs w:val="18"/>
              </w:rPr>
            </w:pPr>
            <w:r>
              <w:rPr>
                <w:rFonts w:ascii="宋体" w:hAnsi="宋体" w:eastAsia="宋体" w:cs="宋体"/>
                <w:sz w:val="18"/>
                <w:szCs w:val="18"/>
              </w:rPr>
              <w:t>现任</w:t>
            </w:r>
          </w:p>
        </w:tc>
        <w:tc>
          <w:tcPr>
            <w:tcW w:w="992" w:type="dxa"/>
            <w:tcBorders>
              <w:top w:val="single" w:color="auto" w:sz="2" w:space="0"/>
              <w:left w:val="single" w:color="auto" w:sz="2" w:space="0"/>
              <w:bottom w:val="single" w:color="auto" w:sz="2" w:space="0"/>
              <w:right w:val="single" w:color="auto" w:sz="2" w:space="0"/>
            </w:tcBorders>
            <w:vAlign w:val="center"/>
          </w:tcPr>
          <w:p w14:paraId="6B3E7159">
            <w:pPr>
              <w:spacing w:line="240" w:lineRule="exact"/>
              <w:rPr>
                <w:rFonts w:ascii="宋体" w:hAnsi="宋体" w:eastAsia="宋体" w:cs="宋体"/>
                <w:sz w:val="18"/>
                <w:szCs w:val="18"/>
              </w:rPr>
            </w:pPr>
            <w:r>
              <w:rPr>
                <w:rFonts w:ascii="宋体" w:hAnsi="宋体" w:eastAsia="宋体" w:cs="宋体"/>
                <w:sz w:val="18"/>
                <w:szCs w:val="18"/>
              </w:rPr>
              <w:t>2025年07月23日</w:t>
            </w:r>
          </w:p>
        </w:tc>
        <w:tc>
          <w:tcPr>
            <w:tcW w:w="940" w:type="dxa"/>
            <w:tcBorders>
              <w:top w:val="single" w:color="auto" w:sz="2" w:space="0"/>
              <w:left w:val="single" w:color="auto" w:sz="2" w:space="0"/>
              <w:bottom w:val="single" w:color="auto" w:sz="2" w:space="0"/>
              <w:right w:val="single" w:color="auto" w:sz="2" w:space="0"/>
            </w:tcBorders>
            <w:vAlign w:val="center"/>
          </w:tcPr>
          <w:p w14:paraId="15D0CF81">
            <w:pPr>
              <w:spacing w:line="240" w:lineRule="exact"/>
              <w:rPr>
                <w:rFonts w:ascii="宋体" w:hAnsi="宋体" w:eastAsia="宋体" w:cs="宋体"/>
                <w:sz w:val="18"/>
                <w:szCs w:val="18"/>
              </w:rPr>
            </w:pPr>
            <w:r>
              <w:rPr>
                <w:rFonts w:ascii="宋体" w:hAnsi="宋体" w:eastAsia="宋体" w:cs="宋体"/>
                <w:sz w:val="18"/>
                <w:szCs w:val="18"/>
              </w:rPr>
              <w:t>2027年12月20日</w:t>
            </w:r>
          </w:p>
        </w:tc>
        <w:tc>
          <w:tcPr>
            <w:tcW w:w="741" w:type="dxa"/>
            <w:tcBorders>
              <w:top w:val="single" w:color="auto" w:sz="2" w:space="0"/>
              <w:left w:val="single" w:color="auto" w:sz="2" w:space="0"/>
              <w:bottom w:val="single" w:color="auto" w:sz="2" w:space="0"/>
              <w:right w:val="single" w:color="auto" w:sz="2" w:space="0"/>
            </w:tcBorders>
            <w:vAlign w:val="center"/>
          </w:tcPr>
          <w:p w14:paraId="053530E6">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08573041">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6A66E2D2">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3B3EE6F9">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50451088">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0B6E1B6B">
            <w:pPr>
              <w:spacing w:line="240" w:lineRule="exact"/>
              <w:rPr>
                <w:rFonts w:ascii="宋体" w:hAnsi="宋体" w:eastAsia="宋体" w:cs="宋体"/>
                <w:sz w:val="18"/>
                <w:szCs w:val="18"/>
              </w:rPr>
            </w:pPr>
            <w:r>
              <w:rPr>
                <w:rFonts w:ascii="宋体" w:hAnsi="宋体" w:eastAsia="宋体" w:cs="宋体"/>
                <w:sz w:val="18"/>
                <w:szCs w:val="18"/>
              </w:rPr>
              <w:t>不适用</w:t>
            </w:r>
          </w:p>
        </w:tc>
      </w:tr>
      <w:tr w14:paraId="3D34B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7464FA69">
            <w:pPr>
              <w:spacing w:line="240" w:lineRule="exact"/>
              <w:rPr>
                <w:rFonts w:ascii="宋体" w:hAnsi="宋体" w:eastAsia="宋体" w:cs="宋体"/>
                <w:sz w:val="18"/>
                <w:szCs w:val="18"/>
              </w:rPr>
            </w:pPr>
            <w:r>
              <w:rPr>
                <w:rFonts w:ascii="宋体" w:hAnsi="宋体" w:eastAsia="宋体" w:cs="宋体"/>
                <w:sz w:val="18"/>
                <w:szCs w:val="18"/>
              </w:rPr>
              <w:t>黄亚英</w:t>
            </w:r>
          </w:p>
        </w:tc>
        <w:tc>
          <w:tcPr>
            <w:tcW w:w="425" w:type="dxa"/>
            <w:tcBorders>
              <w:top w:val="single" w:color="auto" w:sz="2" w:space="0"/>
              <w:left w:val="single" w:color="auto" w:sz="2" w:space="0"/>
              <w:bottom w:val="single" w:color="auto" w:sz="2" w:space="0"/>
              <w:right w:val="single" w:color="auto" w:sz="2" w:space="0"/>
            </w:tcBorders>
            <w:vAlign w:val="center"/>
          </w:tcPr>
          <w:p w14:paraId="081F334A">
            <w:pPr>
              <w:spacing w:line="240" w:lineRule="exact"/>
              <w:rPr>
                <w:rFonts w:ascii="宋体" w:hAnsi="宋体" w:eastAsia="宋体" w:cs="宋体"/>
                <w:sz w:val="18"/>
                <w:szCs w:val="18"/>
              </w:rPr>
            </w:pPr>
            <w:r>
              <w:rPr>
                <w:rFonts w:ascii="宋体" w:hAnsi="宋体" w:eastAsia="宋体" w:cs="宋体"/>
                <w:sz w:val="18"/>
                <w:szCs w:val="18"/>
              </w:rPr>
              <w:t>男</w:t>
            </w:r>
          </w:p>
        </w:tc>
        <w:tc>
          <w:tcPr>
            <w:tcW w:w="567" w:type="dxa"/>
            <w:tcBorders>
              <w:top w:val="single" w:color="auto" w:sz="2" w:space="0"/>
              <w:left w:val="single" w:color="auto" w:sz="2" w:space="0"/>
              <w:bottom w:val="single" w:color="auto" w:sz="2" w:space="0"/>
              <w:right w:val="single" w:color="auto" w:sz="2" w:space="0"/>
            </w:tcBorders>
            <w:vAlign w:val="center"/>
          </w:tcPr>
          <w:p w14:paraId="5FE1CE69">
            <w:pPr>
              <w:spacing w:line="240" w:lineRule="exact"/>
              <w:jc w:val="right"/>
              <w:rPr>
                <w:rFonts w:ascii="宋体" w:hAnsi="宋体" w:eastAsia="宋体" w:cs="宋体"/>
                <w:sz w:val="18"/>
                <w:szCs w:val="18"/>
              </w:rPr>
            </w:pPr>
            <w:r>
              <w:rPr>
                <w:rFonts w:ascii="宋体" w:hAnsi="宋体" w:eastAsia="宋体" w:cs="宋体"/>
                <w:sz w:val="18"/>
                <w:szCs w:val="18"/>
              </w:rPr>
              <w:t>64</w:t>
            </w:r>
          </w:p>
        </w:tc>
        <w:tc>
          <w:tcPr>
            <w:tcW w:w="709" w:type="dxa"/>
            <w:tcBorders>
              <w:top w:val="single" w:color="auto" w:sz="2" w:space="0"/>
              <w:left w:val="single" w:color="auto" w:sz="2" w:space="0"/>
              <w:bottom w:val="single" w:color="auto" w:sz="2" w:space="0"/>
              <w:right w:val="single" w:color="auto" w:sz="2" w:space="0"/>
            </w:tcBorders>
            <w:vAlign w:val="center"/>
          </w:tcPr>
          <w:p w14:paraId="5D5FD648">
            <w:pPr>
              <w:spacing w:line="240" w:lineRule="exact"/>
              <w:rPr>
                <w:rFonts w:ascii="宋体" w:hAnsi="宋体" w:eastAsia="宋体" w:cs="宋体"/>
                <w:sz w:val="18"/>
                <w:szCs w:val="18"/>
              </w:rPr>
            </w:pPr>
            <w:r>
              <w:rPr>
                <w:rFonts w:ascii="宋体" w:hAnsi="宋体" w:eastAsia="宋体" w:cs="宋体"/>
                <w:sz w:val="18"/>
                <w:szCs w:val="18"/>
              </w:rPr>
              <w:t>独立董事</w:t>
            </w:r>
          </w:p>
        </w:tc>
        <w:tc>
          <w:tcPr>
            <w:tcW w:w="709" w:type="dxa"/>
            <w:tcBorders>
              <w:top w:val="single" w:color="auto" w:sz="2" w:space="0"/>
              <w:left w:val="single" w:color="auto" w:sz="2" w:space="0"/>
              <w:bottom w:val="single" w:color="auto" w:sz="2" w:space="0"/>
              <w:right w:val="single" w:color="auto" w:sz="2" w:space="0"/>
            </w:tcBorders>
            <w:vAlign w:val="center"/>
          </w:tcPr>
          <w:p w14:paraId="6E08CAE5">
            <w:pPr>
              <w:spacing w:line="240" w:lineRule="exact"/>
              <w:rPr>
                <w:rFonts w:ascii="宋体" w:hAnsi="宋体" w:eastAsia="宋体" w:cs="宋体"/>
                <w:sz w:val="18"/>
                <w:szCs w:val="18"/>
              </w:rPr>
            </w:pPr>
            <w:r>
              <w:rPr>
                <w:rFonts w:ascii="宋体" w:hAnsi="宋体" w:eastAsia="宋体" w:cs="宋体"/>
                <w:sz w:val="18"/>
                <w:szCs w:val="18"/>
              </w:rPr>
              <w:t>现任</w:t>
            </w:r>
          </w:p>
        </w:tc>
        <w:tc>
          <w:tcPr>
            <w:tcW w:w="992" w:type="dxa"/>
            <w:tcBorders>
              <w:top w:val="single" w:color="auto" w:sz="2" w:space="0"/>
              <w:left w:val="single" w:color="auto" w:sz="2" w:space="0"/>
              <w:bottom w:val="single" w:color="auto" w:sz="2" w:space="0"/>
              <w:right w:val="single" w:color="auto" w:sz="2" w:space="0"/>
            </w:tcBorders>
            <w:vAlign w:val="center"/>
          </w:tcPr>
          <w:p w14:paraId="5A21158D">
            <w:pPr>
              <w:spacing w:line="240" w:lineRule="exact"/>
              <w:rPr>
                <w:rFonts w:ascii="宋体" w:hAnsi="宋体" w:eastAsia="宋体" w:cs="宋体"/>
                <w:sz w:val="18"/>
                <w:szCs w:val="18"/>
              </w:rPr>
            </w:pPr>
            <w:r>
              <w:rPr>
                <w:rFonts w:ascii="宋体" w:hAnsi="宋体" w:eastAsia="宋体" w:cs="宋体"/>
                <w:sz w:val="18"/>
                <w:szCs w:val="18"/>
              </w:rPr>
              <w:t>2021年12月16日</w:t>
            </w:r>
          </w:p>
        </w:tc>
        <w:tc>
          <w:tcPr>
            <w:tcW w:w="940" w:type="dxa"/>
            <w:tcBorders>
              <w:top w:val="single" w:color="auto" w:sz="2" w:space="0"/>
              <w:left w:val="single" w:color="auto" w:sz="2" w:space="0"/>
              <w:bottom w:val="single" w:color="auto" w:sz="2" w:space="0"/>
              <w:right w:val="single" w:color="auto" w:sz="2" w:space="0"/>
            </w:tcBorders>
            <w:vAlign w:val="center"/>
          </w:tcPr>
          <w:p w14:paraId="2E727DCC">
            <w:pPr>
              <w:spacing w:line="240" w:lineRule="exact"/>
              <w:rPr>
                <w:rFonts w:ascii="宋体" w:hAnsi="宋体" w:eastAsia="宋体" w:cs="宋体"/>
                <w:sz w:val="18"/>
                <w:szCs w:val="18"/>
              </w:rPr>
            </w:pPr>
            <w:r>
              <w:rPr>
                <w:rFonts w:ascii="宋体" w:hAnsi="宋体" w:eastAsia="宋体" w:cs="宋体"/>
                <w:sz w:val="18"/>
                <w:szCs w:val="18"/>
              </w:rPr>
              <w:t>2027年12月20日</w:t>
            </w:r>
          </w:p>
        </w:tc>
        <w:tc>
          <w:tcPr>
            <w:tcW w:w="741" w:type="dxa"/>
            <w:tcBorders>
              <w:top w:val="single" w:color="auto" w:sz="2" w:space="0"/>
              <w:left w:val="single" w:color="auto" w:sz="2" w:space="0"/>
              <w:bottom w:val="single" w:color="auto" w:sz="2" w:space="0"/>
              <w:right w:val="single" w:color="auto" w:sz="2" w:space="0"/>
            </w:tcBorders>
            <w:vAlign w:val="center"/>
          </w:tcPr>
          <w:p w14:paraId="36E18012">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7133068A">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605D92FD">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1E7213FB">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5C58B0C5">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41A33DF8">
            <w:pPr>
              <w:spacing w:line="240" w:lineRule="exact"/>
              <w:rPr>
                <w:rFonts w:ascii="宋体" w:hAnsi="宋体" w:eastAsia="宋体" w:cs="宋体"/>
                <w:sz w:val="18"/>
                <w:szCs w:val="18"/>
              </w:rPr>
            </w:pPr>
            <w:r>
              <w:rPr>
                <w:rFonts w:ascii="宋体" w:hAnsi="宋体" w:eastAsia="宋体" w:cs="宋体"/>
                <w:sz w:val="18"/>
                <w:szCs w:val="18"/>
              </w:rPr>
              <w:t>不适用</w:t>
            </w:r>
          </w:p>
        </w:tc>
      </w:tr>
      <w:tr w14:paraId="5F5E5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5854224D">
            <w:pPr>
              <w:spacing w:line="240" w:lineRule="exact"/>
              <w:rPr>
                <w:rFonts w:ascii="宋体" w:hAnsi="宋体" w:eastAsia="宋体" w:cs="宋体"/>
                <w:sz w:val="18"/>
                <w:szCs w:val="18"/>
              </w:rPr>
            </w:pPr>
            <w:r>
              <w:rPr>
                <w:rFonts w:ascii="宋体" w:hAnsi="宋体" w:eastAsia="宋体" w:cs="宋体"/>
                <w:sz w:val="18"/>
                <w:szCs w:val="18"/>
              </w:rPr>
              <w:t>刁英峰</w:t>
            </w:r>
          </w:p>
        </w:tc>
        <w:tc>
          <w:tcPr>
            <w:tcW w:w="425" w:type="dxa"/>
            <w:tcBorders>
              <w:top w:val="single" w:color="auto" w:sz="2" w:space="0"/>
              <w:left w:val="single" w:color="auto" w:sz="2" w:space="0"/>
              <w:bottom w:val="single" w:color="auto" w:sz="2" w:space="0"/>
              <w:right w:val="single" w:color="auto" w:sz="2" w:space="0"/>
            </w:tcBorders>
            <w:vAlign w:val="center"/>
          </w:tcPr>
          <w:p w14:paraId="01552756">
            <w:pPr>
              <w:spacing w:line="240" w:lineRule="exact"/>
              <w:rPr>
                <w:rFonts w:ascii="宋体" w:hAnsi="宋体" w:eastAsia="宋体" w:cs="宋体"/>
                <w:sz w:val="18"/>
                <w:szCs w:val="18"/>
              </w:rPr>
            </w:pPr>
            <w:r>
              <w:rPr>
                <w:rFonts w:ascii="宋体" w:hAnsi="宋体" w:eastAsia="宋体" w:cs="宋体"/>
                <w:sz w:val="18"/>
                <w:szCs w:val="18"/>
              </w:rPr>
              <w:t>男</w:t>
            </w:r>
          </w:p>
        </w:tc>
        <w:tc>
          <w:tcPr>
            <w:tcW w:w="567" w:type="dxa"/>
            <w:tcBorders>
              <w:top w:val="single" w:color="auto" w:sz="2" w:space="0"/>
              <w:left w:val="single" w:color="auto" w:sz="2" w:space="0"/>
              <w:bottom w:val="single" w:color="auto" w:sz="2" w:space="0"/>
              <w:right w:val="single" w:color="auto" w:sz="2" w:space="0"/>
            </w:tcBorders>
            <w:vAlign w:val="center"/>
          </w:tcPr>
          <w:p w14:paraId="5F3BCB72">
            <w:pPr>
              <w:spacing w:line="240" w:lineRule="exact"/>
              <w:jc w:val="right"/>
              <w:rPr>
                <w:rFonts w:ascii="宋体" w:hAnsi="宋体" w:eastAsia="宋体" w:cs="宋体"/>
                <w:sz w:val="18"/>
                <w:szCs w:val="18"/>
              </w:rPr>
            </w:pPr>
            <w:r>
              <w:rPr>
                <w:rFonts w:ascii="宋体" w:hAnsi="宋体" w:eastAsia="宋体" w:cs="宋体"/>
                <w:sz w:val="18"/>
                <w:szCs w:val="18"/>
              </w:rPr>
              <w:t>55</w:t>
            </w:r>
          </w:p>
        </w:tc>
        <w:tc>
          <w:tcPr>
            <w:tcW w:w="709" w:type="dxa"/>
            <w:tcBorders>
              <w:top w:val="single" w:color="auto" w:sz="2" w:space="0"/>
              <w:left w:val="single" w:color="auto" w:sz="2" w:space="0"/>
              <w:bottom w:val="single" w:color="auto" w:sz="2" w:space="0"/>
              <w:right w:val="single" w:color="auto" w:sz="2" w:space="0"/>
            </w:tcBorders>
            <w:vAlign w:val="center"/>
          </w:tcPr>
          <w:p w14:paraId="0E530EFD">
            <w:pPr>
              <w:spacing w:line="240" w:lineRule="exact"/>
              <w:rPr>
                <w:rFonts w:ascii="宋体" w:hAnsi="宋体" w:eastAsia="宋体" w:cs="宋体"/>
                <w:sz w:val="18"/>
                <w:szCs w:val="18"/>
              </w:rPr>
            </w:pPr>
            <w:r>
              <w:rPr>
                <w:rFonts w:ascii="宋体" w:hAnsi="宋体" w:eastAsia="宋体" w:cs="宋体"/>
                <w:sz w:val="18"/>
                <w:szCs w:val="18"/>
              </w:rPr>
              <w:t>独立董事</w:t>
            </w:r>
          </w:p>
        </w:tc>
        <w:tc>
          <w:tcPr>
            <w:tcW w:w="709" w:type="dxa"/>
            <w:tcBorders>
              <w:top w:val="single" w:color="auto" w:sz="2" w:space="0"/>
              <w:left w:val="single" w:color="auto" w:sz="2" w:space="0"/>
              <w:bottom w:val="single" w:color="auto" w:sz="2" w:space="0"/>
              <w:right w:val="single" w:color="auto" w:sz="2" w:space="0"/>
            </w:tcBorders>
            <w:vAlign w:val="center"/>
          </w:tcPr>
          <w:p w14:paraId="2E4D38F1">
            <w:pPr>
              <w:spacing w:line="240" w:lineRule="exact"/>
              <w:rPr>
                <w:rFonts w:ascii="宋体" w:hAnsi="宋体" w:eastAsia="宋体" w:cs="宋体"/>
                <w:sz w:val="18"/>
                <w:szCs w:val="18"/>
              </w:rPr>
            </w:pPr>
            <w:r>
              <w:rPr>
                <w:rFonts w:ascii="宋体" w:hAnsi="宋体" w:eastAsia="宋体" w:cs="宋体"/>
                <w:sz w:val="18"/>
                <w:szCs w:val="18"/>
              </w:rPr>
              <w:t>现任</w:t>
            </w:r>
          </w:p>
        </w:tc>
        <w:tc>
          <w:tcPr>
            <w:tcW w:w="992" w:type="dxa"/>
            <w:tcBorders>
              <w:top w:val="single" w:color="auto" w:sz="2" w:space="0"/>
              <w:left w:val="single" w:color="auto" w:sz="2" w:space="0"/>
              <w:bottom w:val="single" w:color="auto" w:sz="2" w:space="0"/>
              <w:right w:val="single" w:color="auto" w:sz="2" w:space="0"/>
            </w:tcBorders>
            <w:vAlign w:val="center"/>
          </w:tcPr>
          <w:p w14:paraId="56F03DBE">
            <w:pPr>
              <w:spacing w:line="240" w:lineRule="exact"/>
              <w:rPr>
                <w:rFonts w:ascii="宋体" w:hAnsi="宋体" w:eastAsia="宋体" w:cs="宋体"/>
                <w:sz w:val="18"/>
                <w:szCs w:val="18"/>
              </w:rPr>
            </w:pPr>
            <w:r>
              <w:rPr>
                <w:rFonts w:ascii="宋体" w:hAnsi="宋体" w:eastAsia="宋体" w:cs="宋体"/>
                <w:sz w:val="18"/>
                <w:szCs w:val="18"/>
              </w:rPr>
              <w:t>2023年10月09日</w:t>
            </w:r>
          </w:p>
        </w:tc>
        <w:tc>
          <w:tcPr>
            <w:tcW w:w="940" w:type="dxa"/>
            <w:tcBorders>
              <w:top w:val="single" w:color="auto" w:sz="2" w:space="0"/>
              <w:left w:val="single" w:color="auto" w:sz="2" w:space="0"/>
              <w:bottom w:val="single" w:color="auto" w:sz="2" w:space="0"/>
              <w:right w:val="single" w:color="auto" w:sz="2" w:space="0"/>
            </w:tcBorders>
            <w:vAlign w:val="center"/>
          </w:tcPr>
          <w:p w14:paraId="1D28D54A">
            <w:pPr>
              <w:spacing w:line="240" w:lineRule="exact"/>
              <w:rPr>
                <w:rFonts w:ascii="宋体" w:hAnsi="宋体" w:eastAsia="宋体" w:cs="宋体"/>
                <w:sz w:val="18"/>
                <w:szCs w:val="18"/>
              </w:rPr>
            </w:pPr>
            <w:r>
              <w:rPr>
                <w:rFonts w:ascii="宋体" w:hAnsi="宋体" w:eastAsia="宋体" w:cs="宋体"/>
                <w:sz w:val="18"/>
                <w:szCs w:val="18"/>
              </w:rPr>
              <w:t>2027年12月20日</w:t>
            </w:r>
          </w:p>
        </w:tc>
        <w:tc>
          <w:tcPr>
            <w:tcW w:w="741" w:type="dxa"/>
            <w:tcBorders>
              <w:top w:val="single" w:color="auto" w:sz="2" w:space="0"/>
              <w:left w:val="single" w:color="auto" w:sz="2" w:space="0"/>
              <w:bottom w:val="single" w:color="auto" w:sz="2" w:space="0"/>
              <w:right w:val="single" w:color="auto" w:sz="2" w:space="0"/>
            </w:tcBorders>
            <w:vAlign w:val="center"/>
          </w:tcPr>
          <w:p w14:paraId="741B3720">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62D44F1D">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0260B229">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3C3D977F">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2348C6D4">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11EBE177">
            <w:pPr>
              <w:spacing w:line="240" w:lineRule="exact"/>
              <w:rPr>
                <w:rFonts w:ascii="宋体" w:hAnsi="宋体" w:eastAsia="宋体" w:cs="宋体"/>
                <w:sz w:val="18"/>
                <w:szCs w:val="18"/>
              </w:rPr>
            </w:pPr>
            <w:r>
              <w:rPr>
                <w:rFonts w:ascii="宋体" w:hAnsi="宋体" w:eastAsia="宋体" w:cs="宋体"/>
                <w:sz w:val="18"/>
                <w:szCs w:val="18"/>
              </w:rPr>
              <w:t>不适用</w:t>
            </w:r>
          </w:p>
        </w:tc>
      </w:tr>
      <w:tr w14:paraId="1506E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7035FF86">
            <w:pPr>
              <w:spacing w:line="240" w:lineRule="exact"/>
              <w:rPr>
                <w:rFonts w:ascii="宋体" w:hAnsi="宋体" w:eastAsia="宋体" w:cs="宋体"/>
                <w:sz w:val="18"/>
                <w:szCs w:val="18"/>
              </w:rPr>
            </w:pPr>
            <w:r>
              <w:rPr>
                <w:rFonts w:ascii="宋体" w:hAnsi="宋体" w:eastAsia="宋体" w:cs="宋体"/>
                <w:sz w:val="18"/>
                <w:szCs w:val="18"/>
              </w:rPr>
              <w:t>宋海涛</w:t>
            </w:r>
          </w:p>
        </w:tc>
        <w:tc>
          <w:tcPr>
            <w:tcW w:w="425" w:type="dxa"/>
            <w:tcBorders>
              <w:top w:val="single" w:color="auto" w:sz="2" w:space="0"/>
              <w:left w:val="single" w:color="auto" w:sz="2" w:space="0"/>
              <w:bottom w:val="single" w:color="auto" w:sz="2" w:space="0"/>
              <w:right w:val="single" w:color="auto" w:sz="2" w:space="0"/>
            </w:tcBorders>
            <w:vAlign w:val="center"/>
          </w:tcPr>
          <w:p w14:paraId="4A9CF3E2">
            <w:pPr>
              <w:spacing w:line="240" w:lineRule="exact"/>
              <w:rPr>
                <w:rFonts w:ascii="宋体" w:hAnsi="宋体" w:eastAsia="宋体" w:cs="宋体"/>
                <w:sz w:val="18"/>
                <w:szCs w:val="18"/>
              </w:rPr>
            </w:pPr>
            <w:r>
              <w:rPr>
                <w:rFonts w:ascii="宋体" w:hAnsi="宋体" w:eastAsia="宋体" w:cs="宋体"/>
                <w:sz w:val="18"/>
                <w:szCs w:val="18"/>
              </w:rPr>
              <w:t>男</w:t>
            </w:r>
          </w:p>
        </w:tc>
        <w:tc>
          <w:tcPr>
            <w:tcW w:w="567" w:type="dxa"/>
            <w:tcBorders>
              <w:top w:val="single" w:color="auto" w:sz="2" w:space="0"/>
              <w:left w:val="single" w:color="auto" w:sz="2" w:space="0"/>
              <w:bottom w:val="single" w:color="auto" w:sz="2" w:space="0"/>
              <w:right w:val="single" w:color="auto" w:sz="2" w:space="0"/>
            </w:tcBorders>
            <w:vAlign w:val="center"/>
          </w:tcPr>
          <w:p w14:paraId="5D041AB3">
            <w:pPr>
              <w:spacing w:line="240" w:lineRule="exact"/>
              <w:jc w:val="right"/>
              <w:rPr>
                <w:rFonts w:ascii="宋体" w:hAnsi="宋体" w:eastAsia="宋体" w:cs="宋体"/>
                <w:sz w:val="18"/>
                <w:szCs w:val="18"/>
              </w:rPr>
            </w:pPr>
            <w:r>
              <w:rPr>
                <w:rFonts w:ascii="宋体" w:hAnsi="宋体" w:eastAsia="宋体" w:cs="宋体"/>
                <w:sz w:val="18"/>
                <w:szCs w:val="18"/>
              </w:rPr>
              <w:t>40</w:t>
            </w:r>
          </w:p>
        </w:tc>
        <w:tc>
          <w:tcPr>
            <w:tcW w:w="709" w:type="dxa"/>
            <w:tcBorders>
              <w:top w:val="single" w:color="auto" w:sz="2" w:space="0"/>
              <w:left w:val="single" w:color="auto" w:sz="2" w:space="0"/>
              <w:bottom w:val="single" w:color="auto" w:sz="2" w:space="0"/>
              <w:right w:val="single" w:color="auto" w:sz="2" w:space="0"/>
            </w:tcBorders>
            <w:vAlign w:val="center"/>
          </w:tcPr>
          <w:p w14:paraId="1DB2A7AF">
            <w:pPr>
              <w:spacing w:line="240" w:lineRule="exact"/>
              <w:rPr>
                <w:rFonts w:ascii="宋体" w:hAnsi="宋体" w:eastAsia="宋体" w:cs="宋体"/>
                <w:sz w:val="18"/>
                <w:szCs w:val="18"/>
              </w:rPr>
            </w:pPr>
            <w:r>
              <w:rPr>
                <w:rFonts w:ascii="宋体" w:hAnsi="宋体" w:eastAsia="宋体" w:cs="宋体"/>
                <w:sz w:val="18"/>
                <w:szCs w:val="18"/>
              </w:rPr>
              <w:t>独立董事</w:t>
            </w:r>
          </w:p>
        </w:tc>
        <w:tc>
          <w:tcPr>
            <w:tcW w:w="709" w:type="dxa"/>
            <w:tcBorders>
              <w:top w:val="single" w:color="auto" w:sz="2" w:space="0"/>
              <w:left w:val="single" w:color="auto" w:sz="2" w:space="0"/>
              <w:bottom w:val="single" w:color="auto" w:sz="2" w:space="0"/>
              <w:right w:val="single" w:color="auto" w:sz="2" w:space="0"/>
            </w:tcBorders>
            <w:vAlign w:val="center"/>
          </w:tcPr>
          <w:p w14:paraId="16BB4023">
            <w:pPr>
              <w:spacing w:line="240" w:lineRule="exact"/>
              <w:rPr>
                <w:rFonts w:ascii="宋体" w:hAnsi="宋体" w:eastAsia="宋体" w:cs="宋体"/>
                <w:sz w:val="18"/>
                <w:szCs w:val="18"/>
              </w:rPr>
            </w:pPr>
            <w:r>
              <w:rPr>
                <w:rFonts w:ascii="宋体" w:hAnsi="宋体" w:eastAsia="宋体" w:cs="宋体"/>
                <w:sz w:val="18"/>
                <w:szCs w:val="18"/>
              </w:rPr>
              <w:t>现任</w:t>
            </w:r>
          </w:p>
        </w:tc>
        <w:tc>
          <w:tcPr>
            <w:tcW w:w="992" w:type="dxa"/>
            <w:tcBorders>
              <w:top w:val="single" w:color="auto" w:sz="2" w:space="0"/>
              <w:left w:val="single" w:color="auto" w:sz="2" w:space="0"/>
              <w:bottom w:val="single" w:color="auto" w:sz="2" w:space="0"/>
              <w:right w:val="single" w:color="auto" w:sz="2" w:space="0"/>
            </w:tcBorders>
            <w:vAlign w:val="center"/>
          </w:tcPr>
          <w:p w14:paraId="075DE680">
            <w:pPr>
              <w:spacing w:line="240" w:lineRule="exact"/>
              <w:rPr>
                <w:rFonts w:ascii="宋体" w:hAnsi="宋体" w:eastAsia="宋体" w:cs="宋体"/>
                <w:sz w:val="18"/>
                <w:szCs w:val="18"/>
              </w:rPr>
            </w:pPr>
            <w:r>
              <w:rPr>
                <w:rFonts w:ascii="宋体" w:hAnsi="宋体" w:eastAsia="宋体" w:cs="宋体"/>
                <w:sz w:val="18"/>
                <w:szCs w:val="18"/>
              </w:rPr>
              <w:t>2024年05月24日</w:t>
            </w:r>
          </w:p>
        </w:tc>
        <w:tc>
          <w:tcPr>
            <w:tcW w:w="940" w:type="dxa"/>
            <w:tcBorders>
              <w:top w:val="single" w:color="auto" w:sz="2" w:space="0"/>
              <w:left w:val="single" w:color="auto" w:sz="2" w:space="0"/>
              <w:bottom w:val="single" w:color="auto" w:sz="2" w:space="0"/>
              <w:right w:val="single" w:color="auto" w:sz="2" w:space="0"/>
            </w:tcBorders>
            <w:vAlign w:val="center"/>
          </w:tcPr>
          <w:p w14:paraId="233AFEC9">
            <w:pPr>
              <w:spacing w:line="240" w:lineRule="exact"/>
              <w:rPr>
                <w:rFonts w:ascii="宋体" w:hAnsi="宋体" w:eastAsia="宋体" w:cs="宋体"/>
                <w:sz w:val="18"/>
                <w:szCs w:val="18"/>
              </w:rPr>
            </w:pPr>
            <w:r>
              <w:rPr>
                <w:rFonts w:ascii="宋体" w:hAnsi="宋体" w:eastAsia="宋体" w:cs="宋体"/>
                <w:sz w:val="18"/>
                <w:szCs w:val="18"/>
              </w:rPr>
              <w:t>2027年12月20日</w:t>
            </w:r>
          </w:p>
        </w:tc>
        <w:tc>
          <w:tcPr>
            <w:tcW w:w="741" w:type="dxa"/>
            <w:tcBorders>
              <w:top w:val="single" w:color="auto" w:sz="2" w:space="0"/>
              <w:left w:val="single" w:color="auto" w:sz="2" w:space="0"/>
              <w:bottom w:val="single" w:color="auto" w:sz="2" w:space="0"/>
              <w:right w:val="single" w:color="auto" w:sz="2" w:space="0"/>
            </w:tcBorders>
            <w:vAlign w:val="center"/>
          </w:tcPr>
          <w:p w14:paraId="3FBC7DCC">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09EF254A">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48997EAE">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3C153883">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370FCB5D">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0975261E">
            <w:pPr>
              <w:spacing w:line="240" w:lineRule="exact"/>
              <w:rPr>
                <w:rFonts w:ascii="宋体" w:hAnsi="宋体" w:eastAsia="宋体" w:cs="宋体"/>
                <w:sz w:val="18"/>
                <w:szCs w:val="18"/>
              </w:rPr>
            </w:pPr>
            <w:r>
              <w:rPr>
                <w:rFonts w:ascii="宋体" w:hAnsi="宋体" w:eastAsia="宋体" w:cs="宋体"/>
                <w:sz w:val="18"/>
                <w:szCs w:val="18"/>
              </w:rPr>
              <w:t>不适用</w:t>
            </w:r>
          </w:p>
        </w:tc>
      </w:tr>
      <w:tr w14:paraId="37DBC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2E89ABA1">
            <w:pPr>
              <w:spacing w:line="240" w:lineRule="exact"/>
              <w:rPr>
                <w:rFonts w:ascii="宋体" w:hAnsi="宋体" w:eastAsia="宋体" w:cs="宋体"/>
                <w:sz w:val="18"/>
                <w:szCs w:val="18"/>
              </w:rPr>
            </w:pPr>
            <w:r>
              <w:rPr>
                <w:rFonts w:ascii="宋体" w:hAnsi="宋体" w:eastAsia="宋体" w:cs="宋体"/>
                <w:sz w:val="18"/>
                <w:szCs w:val="18"/>
              </w:rPr>
              <w:t>张宝春</w:t>
            </w:r>
          </w:p>
        </w:tc>
        <w:tc>
          <w:tcPr>
            <w:tcW w:w="425" w:type="dxa"/>
            <w:tcBorders>
              <w:top w:val="single" w:color="auto" w:sz="2" w:space="0"/>
              <w:left w:val="single" w:color="auto" w:sz="2" w:space="0"/>
              <w:bottom w:val="single" w:color="auto" w:sz="2" w:space="0"/>
              <w:right w:val="single" w:color="auto" w:sz="2" w:space="0"/>
            </w:tcBorders>
            <w:vAlign w:val="center"/>
          </w:tcPr>
          <w:p w14:paraId="62E86842">
            <w:pPr>
              <w:spacing w:line="240" w:lineRule="exact"/>
              <w:rPr>
                <w:rFonts w:ascii="宋体" w:hAnsi="宋体" w:eastAsia="宋体" w:cs="宋体"/>
                <w:sz w:val="18"/>
                <w:szCs w:val="18"/>
              </w:rPr>
            </w:pPr>
            <w:r>
              <w:rPr>
                <w:rFonts w:ascii="宋体" w:hAnsi="宋体" w:eastAsia="宋体" w:cs="宋体"/>
                <w:sz w:val="18"/>
                <w:szCs w:val="18"/>
              </w:rPr>
              <w:t>男</w:t>
            </w:r>
          </w:p>
        </w:tc>
        <w:tc>
          <w:tcPr>
            <w:tcW w:w="567" w:type="dxa"/>
            <w:tcBorders>
              <w:top w:val="single" w:color="auto" w:sz="2" w:space="0"/>
              <w:left w:val="single" w:color="auto" w:sz="2" w:space="0"/>
              <w:bottom w:val="single" w:color="auto" w:sz="2" w:space="0"/>
              <w:right w:val="single" w:color="auto" w:sz="2" w:space="0"/>
            </w:tcBorders>
            <w:vAlign w:val="center"/>
          </w:tcPr>
          <w:p w14:paraId="5D4D2829">
            <w:pPr>
              <w:spacing w:line="240" w:lineRule="exact"/>
              <w:jc w:val="right"/>
              <w:rPr>
                <w:rFonts w:ascii="宋体" w:hAnsi="宋体" w:eastAsia="宋体" w:cs="宋体"/>
                <w:sz w:val="18"/>
                <w:szCs w:val="18"/>
              </w:rPr>
            </w:pPr>
            <w:r>
              <w:rPr>
                <w:rFonts w:ascii="宋体" w:hAnsi="宋体" w:eastAsia="宋体" w:cs="宋体"/>
                <w:sz w:val="18"/>
                <w:szCs w:val="18"/>
              </w:rPr>
              <w:t>46</w:t>
            </w:r>
          </w:p>
        </w:tc>
        <w:tc>
          <w:tcPr>
            <w:tcW w:w="709" w:type="dxa"/>
            <w:tcBorders>
              <w:top w:val="single" w:color="auto" w:sz="2" w:space="0"/>
              <w:left w:val="single" w:color="auto" w:sz="2" w:space="0"/>
              <w:bottom w:val="single" w:color="auto" w:sz="2" w:space="0"/>
              <w:right w:val="single" w:color="auto" w:sz="2" w:space="0"/>
            </w:tcBorders>
            <w:vAlign w:val="center"/>
          </w:tcPr>
          <w:p w14:paraId="14AE5745">
            <w:pPr>
              <w:spacing w:line="240" w:lineRule="exact"/>
              <w:rPr>
                <w:rFonts w:ascii="宋体" w:hAnsi="宋体" w:eastAsia="宋体" w:cs="宋体"/>
                <w:sz w:val="18"/>
                <w:szCs w:val="18"/>
              </w:rPr>
            </w:pPr>
            <w:r>
              <w:rPr>
                <w:rFonts w:ascii="宋体" w:hAnsi="宋体" w:eastAsia="宋体" w:cs="宋体"/>
                <w:sz w:val="18"/>
                <w:szCs w:val="18"/>
              </w:rPr>
              <w:t>副总裁</w:t>
            </w:r>
          </w:p>
        </w:tc>
        <w:tc>
          <w:tcPr>
            <w:tcW w:w="709" w:type="dxa"/>
            <w:tcBorders>
              <w:top w:val="single" w:color="auto" w:sz="2" w:space="0"/>
              <w:left w:val="single" w:color="auto" w:sz="2" w:space="0"/>
              <w:bottom w:val="single" w:color="auto" w:sz="2" w:space="0"/>
              <w:right w:val="single" w:color="auto" w:sz="2" w:space="0"/>
            </w:tcBorders>
            <w:vAlign w:val="center"/>
          </w:tcPr>
          <w:p w14:paraId="4B4A33F8">
            <w:pPr>
              <w:spacing w:line="240" w:lineRule="exact"/>
              <w:rPr>
                <w:rFonts w:ascii="宋体" w:hAnsi="宋体" w:eastAsia="宋体" w:cs="宋体"/>
                <w:sz w:val="18"/>
                <w:szCs w:val="18"/>
              </w:rPr>
            </w:pPr>
            <w:r>
              <w:rPr>
                <w:rFonts w:ascii="宋体" w:hAnsi="宋体" w:eastAsia="宋体" w:cs="宋体"/>
                <w:sz w:val="18"/>
                <w:szCs w:val="18"/>
              </w:rPr>
              <w:t>现任</w:t>
            </w:r>
          </w:p>
        </w:tc>
        <w:tc>
          <w:tcPr>
            <w:tcW w:w="992" w:type="dxa"/>
            <w:tcBorders>
              <w:top w:val="single" w:color="auto" w:sz="2" w:space="0"/>
              <w:left w:val="single" w:color="auto" w:sz="2" w:space="0"/>
              <w:bottom w:val="single" w:color="auto" w:sz="2" w:space="0"/>
              <w:right w:val="single" w:color="auto" w:sz="2" w:space="0"/>
            </w:tcBorders>
            <w:vAlign w:val="center"/>
          </w:tcPr>
          <w:p w14:paraId="1E615EEC">
            <w:pPr>
              <w:spacing w:line="240" w:lineRule="exact"/>
              <w:rPr>
                <w:rFonts w:ascii="宋体" w:hAnsi="宋体" w:eastAsia="宋体" w:cs="宋体"/>
                <w:sz w:val="18"/>
                <w:szCs w:val="18"/>
              </w:rPr>
            </w:pPr>
            <w:r>
              <w:rPr>
                <w:rFonts w:ascii="宋体" w:hAnsi="宋体" w:eastAsia="宋体" w:cs="宋体"/>
                <w:sz w:val="18"/>
                <w:szCs w:val="18"/>
              </w:rPr>
              <w:t>2024年08月29日</w:t>
            </w:r>
          </w:p>
        </w:tc>
        <w:tc>
          <w:tcPr>
            <w:tcW w:w="940" w:type="dxa"/>
            <w:tcBorders>
              <w:top w:val="single" w:color="auto" w:sz="2" w:space="0"/>
              <w:left w:val="single" w:color="auto" w:sz="2" w:space="0"/>
              <w:bottom w:val="single" w:color="auto" w:sz="2" w:space="0"/>
              <w:right w:val="single" w:color="auto" w:sz="2" w:space="0"/>
            </w:tcBorders>
            <w:vAlign w:val="center"/>
          </w:tcPr>
          <w:p w14:paraId="5B23A91A">
            <w:pPr>
              <w:spacing w:line="240" w:lineRule="exact"/>
              <w:rPr>
                <w:rFonts w:ascii="宋体" w:hAnsi="宋体" w:eastAsia="宋体" w:cs="宋体"/>
                <w:sz w:val="18"/>
                <w:szCs w:val="18"/>
              </w:rPr>
            </w:pPr>
            <w:r>
              <w:rPr>
                <w:rFonts w:ascii="宋体" w:hAnsi="宋体" w:eastAsia="宋体" w:cs="宋体"/>
                <w:sz w:val="18"/>
                <w:szCs w:val="18"/>
              </w:rPr>
              <w:t>2027年12月20日</w:t>
            </w:r>
          </w:p>
        </w:tc>
        <w:tc>
          <w:tcPr>
            <w:tcW w:w="741" w:type="dxa"/>
            <w:tcBorders>
              <w:top w:val="single" w:color="auto" w:sz="2" w:space="0"/>
              <w:left w:val="single" w:color="auto" w:sz="2" w:space="0"/>
              <w:bottom w:val="single" w:color="auto" w:sz="2" w:space="0"/>
              <w:right w:val="single" w:color="auto" w:sz="2" w:space="0"/>
            </w:tcBorders>
            <w:vAlign w:val="center"/>
          </w:tcPr>
          <w:p w14:paraId="42271652">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4CBAB58E">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14EB4417">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3AB13C79">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3BED8D49">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197C8B09">
            <w:pPr>
              <w:spacing w:line="240" w:lineRule="exact"/>
              <w:rPr>
                <w:rFonts w:ascii="宋体" w:hAnsi="宋体" w:eastAsia="宋体" w:cs="宋体"/>
                <w:sz w:val="18"/>
                <w:szCs w:val="18"/>
              </w:rPr>
            </w:pPr>
            <w:r>
              <w:rPr>
                <w:rFonts w:ascii="宋体" w:hAnsi="宋体" w:eastAsia="宋体" w:cs="宋体"/>
                <w:sz w:val="18"/>
                <w:szCs w:val="18"/>
              </w:rPr>
              <w:t>不适用</w:t>
            </w:r>
          </w:p>
        </w:tc>
      </w:tr>
      <w:tr w14:paraId="3FBE6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1942B1E4">
            <w:pPr>
              <w:spacing w:line="240" w:lineRule="exact"/>
              <w:rPr>
                <w:rFonts w:ascii="宋体" w:hAnsi="宋体" w:eastAsia="宋体" w:cs="宋体"/>
                <w:sz w:val="18"/>
                <w:szCs w:val="18"/>
              </w:rPr>
            </w:pPr>
            <w:r>
              <w:rPr>
                <w:rFonts w:ascii="宋体" w:hAnsi="宋体" w:eastAsia="宋体" w:cs="宋体"/>
                <w:sz w:val="18"/>
                <w:szCs w:val="18"/>
              </w:rPr>
              <w:t>陈存福</w:t>
            </w:r>
          </w:p>
        </w:tc>
        <w:tc>
          <w:tcPr>
            <w:tcW w:w="425" w:type="dxa"/>
            <w:tcBorders>
              <w:top w:val="single" w:color="auto" w:sz="2" w:space="0"/>
              <w:left w:val="single" w:color="auto" w:sz="2" w:space="0"/>
              <w:bottom w:val="single" w:color="auto" w:sz="2" w:space="0"/>
              <w:right w:val="single" w:color="auto" w:sz="2" w:space="0"/>
            </w:tcBorders>
            <w:vAlign w:val="center"/>
          </w:tcPr>
          <w:p w14:paraId="65B57469">
            <w:pPr>
              <w:spacing w:line="240" w:lineRule="exact"/>
              <w:rPr>
                <w:rFonts w:ascii="宋体" w:hAnsi="宋体" w:eastAsia="宋体" w:cs="宋体"/>
                <w:sz w:val="18"/>
                <w:szCs w:val="18"/>
              </w:rPr>
            </w:pPr>
            <w:r>
              <w:rPr>
                <w:rFonts w:ascii="宋体" w:hAnsi="宋体" w:eastAsia="宋体" w:cs="宋体"/>
                <w:sz w:val="18"/>
                <w:szCs w:val="18"/>
              </w:rPr>
              <w:t>男</w:t>
            </w:r>
          </w:p>
        </w:tc>
        <w:tc>
          <w:tcPr>
            <w:tcW w:w="567" w:type="dxa"/>
            <w:tcBorders>
              <w:top w:val="single" w:color="auto" w:sz="2" w:space="0"/>
              <w:left w:val="single" w:color="auto" w:sz="2" w:space="0"/>
              <w:bottom w:val="single" w:color="auto" w:sz="2" w:space="0"/>
              <w:right w:val="single" w:color="auto" w:sz="2" w:space="0"/>
            </w:tcBorders>
            <w:vAlign w:val="center"/>
          </w:tcPr>
          <w:p w14:paraId="0646D47D">
            <w:pPr>
              <w:spacing w:line="240" w:lineRule="exact"/>
              <w:jc w:val="right"/>
              <w:rPr>
                <w:rFonts w:ascii="宋体" w:hAnsi="宋体" w:eastAsia="宋体" w:cs="宋体"/>
                <w:sz w:val="18"/>
                <w:szCs w:val="18"/>
              </w:rPr>
            </w:pPr>
            <w:r>
              <w:rPr>
                <w:rFonts w:ascii="宋体" w:hAnsi="宋体" w:eastAsia="宋体" w:cs="宋体"/>
                <w:sz w:val="18"/>
                <w:szCs w:val="18"/>
              </w:rPr>
              <w:t>41</w:t>
            </w:r>
          </w:p>
        </w:tc>
        <w:tc>
          <w:tcPr>
            <w:tcW w:w="709" w:type="dxa"/>
            <w:tcBorders>
              <w:top w:val="single" w:color="auto" w:sz="2" w:space="0"/>
              <w:left w:val="single" w:color="auto" w:sz="2" w:space="0"/>
              <w:bottom w:val="single" w:color="auto" w:sz="2" w:space="0"/>
              <w:right w:val="single" w:color="auto" w:sz="2" w:space="0"/>
            </w:tcBorders>
            <w:vAlign w:val="center"/>
          </w:tcPr>
          <w:p w14:paraId="6B5ECDC3">
            <w:pPr>
              <w:spacing w:line="240" w:lineRule="exact"/>
              <w:rPr>
                <w:rFonts w:ascii="宋体" w:hAnsi="宋体" w:eastAsia="宋体" w:cs="宋体"/>
                <w:sz w:val="18"/>
                <w:szCs w:val="18"/>
              </w:rPr>
            </w:pPr>
            <w:r>
              <w:rPr>
                <w:rFonts w:ascii="宋体" w:hAnsi="宋体" w:eastAsia="宋体" w:cs="宋体"/>
                <w:sz w:val="18"/>
                <w:szCs w:val="18"/>
              </w:rPr>
              <w:t>副总裁</w:t>
            </w:r>
          </w:p>
        </w:tc>
        <w:tc>
          <w:tcPr>
            <w:tcW w:w="709" w:type="dxa"/>
            <w:tcBorders>
              <w:top w:val="single" w:color="auto" w:sz="2" w:space="0"/>
              <w:left w:val="single" w:color="auto" w:sz="2" w:space="0"/>
              <w:bottom w:val="single" w:color="auto" w:sz="2" w:space="0"/>
              <w:right w:val="single" w:color="auto" w:sz="2" w:space="0"/>
            </w:tcBorders>
            <w:vAlign w:val="center"/>
          </w:tcPr>
          <w:p w14:paraId="701D7A22">
            <w:pPr>
              <w:spacing w:line="240" w:lineRule="exact"/>
              <w:rPr>
                <w:rFonts w:ascii="宋体" w:hAnsi="宋体" w:eastAsia="宋体" w:cs="宋体"/>
                <w:sz w:val="18"/>
                <w:szCs w:val="18"/>
              </w:rPr>
            </w:pPr>
            <w:r>
              <w:rPr>
                <w:rFonts w:ascii="宋体" w:hAnsi="宋体" w:eastAsia="宋体" w:cs="宋体"/>
                <w:sz w:val="18"/>
                <w:szCs w:val="18"/>
              </w:rPr>
              <w:t>离任</w:t>
            </w:r>
          </w:p>
        </w:tc>
        <w:tc>
          <w:tcPr>
            <w:tcW w:w="992" w:type="dxa"/>
            <w:tcBorders>
              <w:top w:val="single" w:color="auto" w:sz="2" w:space="0"/>
              <w:left w:val="single" w:color="auto" w:sz="2" w:space="0"/>
              <w:bottom w:val="single" w:color="auto" w:sz="2" w:space="0"/>
              <w:right w:val="single" w:color="auto" w:sz="2" w:space="0"/>
            </w:tcBorders>
            <w:vAlign w:val="center"/>
          </w:tcPr>
          <w:p w14:paraId="2C48A02D">
            <w:pPr>
              <w:spacing w:line="240" w:lineRule="exact"/>
              <w:rPr>
                <w:rFonts w:ascii="宋体" w:hAnsi="宋体" w:eastAsia="宋体" w:cs="宋体"/>
                <w:sz w:val="18"/>
                <w:szCs w:val="18"/>
              </w:rPr>
            </w:pPr>
            <w:r>
              <w:rPr>
                <w:rFonts w:ascii="宋体" w:hAnsi="宋体" w:eastAsia="宋体" w:cs="宋体"/>
                <w:sz w:val="18"/>
                <w:szCs w:val="18"/>
              </w:rPr>
              <w:t>2024年12月31日</w:t>
            </w:r>
          </w:p>
        </w:tc>
        <w:tc>
          <w:tcPr>
            <w:tcW w:w="940" w:type="dxa"/>
            <w:tcBorders>
              <w:top w:val="single" w:color="auto" w:sz="2" w:space="0"/>
              <w:left w:val="single" w:color="auto" w:sz="2" w:space="0"/>
              <w:bottom w:val="single" w:color="auto" w:sz="2" w:space="0"/>
              <w:right w:val="single" w:color="auto" w:sz="2" w:space="0"/>
            </w:tcBorders>
            <w:vAlign w:val="center"/>
          </w:tcPr>
          <w:p w14:paraId="344B76CF">
            <w:pPr>
              <w:spacing w:line="240" w:lineRule="exact"/>
              <w:rPr>
                <w:rFonts w:ascii="宋体" w:hAnsi="宋体" w:eastAsia="宋体" w:cs="宋体"/>
                <w:sz w:val="18"/>
                <w:szCs w:val="18"/>
              </w:rPr>
            </w:pPr>
            <w:r>
              <w:rPr>
                <w:rFonts w:ascii="宋体" w:hAnsi="宋体" w:eastAsia="宋体" w:cs="宋体"/>
                <w:sz w:val="18"/>
                <w:szCs w:val="18"/>
              </w:rPr>
              <w:t>2025年06月21日</w:t>
            </w:r>
          </w:p>
        </w:tc>
        <w:tc>
          <w:tcPr>
            <w:tcW w:w="741" w:type="dxa"/>
            <w:tcBorders>
              <w:top w:val="single" w:color="auto" w:sz="2" w:space="0"/>
              <w:left w:val="single" w:color="auto" w:sz="2" w:space="0"/>
              <w:bottom w:val="single" w:color="auto" w:sz="2" w:space="0"/>
              <w:right w:val="single" w:color="auto" w:sz="2" w:space="0"/>
            </w:tcBorders>
            <w:vAlign w:val="center"/>
          </w:tcPr>
          <w:p w14:paraId="7E1CFB3B">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167EA426">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0E1B7AE2">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29D1E8AE">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310E53D3">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79910FEE">
            <w:pPr>
              <w:spacing w:line="240" w:lineRule="exact"/>
              <w:rPr>
                <w:rFonts w:ascii="宋体" w:hAnsi="宋体" w:eastAsia="宋体" w:cs="宋体"/>
                <w:sz w:val="18"/>
                <w:szCs w:val="18"/>
              </w:rPr>
            </w:pPr>
            <w:r>
              <w:rPr>
                <w:rFonts w:ascii="宋体" w:hAnsi="宋体" w:eastAsia="宋体" w:cs="宋体"/>
                <w:sz w:val="18"/>
                <w:szCs w:val="18"/>
              </w:rPr>
              <w:t>不适用</w:t>
            </w:r>
          </w:p>
        </w:tc>
      </w:tr>
      <w:tr w14:paraId="5C70C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14:paraId="59595119">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425" w:type="dxa"/>
            <w:tcBorders>
              <w:top w:val="single" w:color="auto" w:sz="2" w:space="0"/>
              <w:left w:val="single" w:color="auto" w:sz="2" w:space="0"/>
              <w:bottom w:val="single" w:color="auto" w:sz="2" w:space="0"/>
              <w:right w:val="single" w:color="auto" w:sz="2" w:space="0"/>
            </w:tcBorders>
            <w:shd w:val="clear" w:color="auto" w:fill="D3D3D3"/>
            <w:vAlign w:val="center"/>
          </w:tcPr>
          <w:p w14:paraId="2F2BEFF5">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14:paraId="07BE3DA2">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14:paraId="5535AE26">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14:paraId="5ADD7976">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14:paraId="65B9AD6C">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940" w:type="dxa"/>
            <w:tcBorders>
              <w:top w:val="single" w:color="auto" w:sz="2" w:space="0"/>
              <w:left w:val="single" w:color="auto" w:sz="2" w:space="0"/>
              <w:bottom w:val="single" w:color="auto" w:sz="2" w:space="0"/>
              <w:right w:val="single" w:color="auto" w:sz="2" w:space="0"/>
            </w:tcBorders>
            <w:shd w:val="clear" w:color="auto" w:fill="D3D3D3"/>
            <w:vAlign w:val="center"/>
          </w:tcPr>
          <w:p w14:paraId="4DED16E2">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741" w:type="dxa"/>
            <w:tcBorders>
              <w:top w:val="single" w:color="auto" w:sz="2" w:space="0"/>
              <w:left w:val="single" w:color="auto" w:sz="2" w:space="0"/>
              <w:bottom w:val="single" w:color="auto" w:sz="2" w:space="0"/>
              <w:right w:val="single" w:color="auto" w:sz="2" w:space="0"/>
            </w:tcBorders>
            <w:vAlign w:val="center"/>
          </w:tcPr>
          <w:p w14:paraId="5E3BD3B4">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45A2C4A6">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1C763993">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143860A2">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14:paraId="412C698E">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E25466F">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14:paraId="74BE7B96">
      <w:pPr>
        <w:spacing w:before="100" w:after="100" w:line="240" w:lineRule="exact"/>
        <w:rPr>
          <w:rFonts w:ascii="宋体" w:hAnsi="宋体" w:eastAsia="宋体" w:cs="宋体"/>
          <w:sz w:val="18"/>
          <w:szCs w:val="18"/>
        </w:rPr>
      </w:pPr>
      <w:r>
        <w:rPr>
          <w:rFonts w:ascii="宋体" w:hAnsi="宋体" w:eastAsia="宋体" w:cs="宋体"/>
          <w:sz w:val="18"/>
          <w:szCs w:val="18"/>
        </w:rPr>
        <w:t>报告期是否存在任期内董事和高级管理人员离任的情况</w:t>
      </w:r>
    </w:p>
    <w:p w14:paraId="6349B11C">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14:paraId="04D8C990">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sz w:val="18"/>
          <w:szCs w:val="18"/>
        </w:rPr>
      </w:pPr>
      <w:r>
        <w:rPr>
          <w:rFonts w:hint="eastAsia"/>
          <w:sz w:val="18"/>
          <w:szCs w:val="18"/>
        </w:rPr>
        <w:t>公司董事会于2025年6月收到公司董事陈翰先生、副总裁陈存福先生的辞职申请。陈翰先生因个人原因申请辞去公司董事及董事会审计委员会委员职务，其辞职申请于2025年7月23日公司召开第九届董事会2025年第二次临时会议选举产生新的非独立董事后生效；陈存福先生因个人原因申请辞去公司副总裁职务，辞职申请自送达公司董事会之日起生效。</w:t>
      </w:r>
    </w:p>
    <w:p w14:paraId="22B8B055">
      <w:pPr>
        <w:spacing w:before="100" w:after="100" w:line="240" w:lineRule="exact"/>
        <w:rPr>
          <w:rFonts w:ascii="宋体" w:hAnsi="宋体" w:eastAsia="宋体" w:cs="宋体"/>
          <w:sz w:val="18"/>
          <w:szCs w:val="18"/>
        </w:rPr>
      </w:pPr>
      <w:r>
        <w:rPr>
          <w:rFonts w:ascii="宋体" w:hAnsi="宋体" w:eastAsia="宋体" w:cs="宋体"/>
          <w:sz w:val="18"/>
          <w:szCs w:val="18"/>
        </w:rPr>
        <w:t>公司董事、高级管理人员变动情况</w:t>
      </w:r>
    </w:p>
    <w:p w14:paraId="0613541B">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576F5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1B70A4C">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7779843">
            <w:pPr>
              <w:spacing w:before="40" w:after="40" w:line="240" w:lineRule="exact"/>
              <w:jc w:val="center"/>
              <w:rPr>
                <w:rFonts w:ascii="宋体" w:hAnsi="宋体" w:eastAsia="宋体" w:cs="宋体"/>
                <w:sz w:val="18"/>
                <w:szCs w:val="18"/>
              </w:rPr>
            </w:pPr>
            <w:r>
              <w:rPr>
                <w:rFonts w:ascii="宋体" w:hAnsi="宋体" w:eastAsia="宋体" w:cs="宋体"/>
                <w:sz w:val="18"/>
                <w:szCs w:val="18"/>
              </w:rPr>
              <w:t>担任的职务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F2E92A3">
            <w:pPr>
              <w:spacing w:before="40" w:after="40" w:line="240" w:lineRule="exact"/>
              <w:jc w:val="center"/>
              <w:rPr>
                <w:rFonts w:ascii="宋体" w:hAnsi="宋体" w:eastAsia="宋体" w:cs="宋体"/>
                <w:sz w:val="18"/>
                <w:szCs w:val="18"/>
              </w:rPr>
            </w:pPr>
            <w:r>
              <w:rPr>
                <w:rFonts w:ascii="宋体" w:hAnsi="宋体" w:eastAsia="宋体" w:cs="宋体"/>
                <w:sz w:val="18"/>
                <w:szCs w:val="18"/>
              </w:rPr>
              <w:t>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8D00966">
            <w:pPr>
              <w:spacing w:before="40" w:after="40" w:line="240" w:lineRule="exact"/>
              <w:jc w:val="center"/>
              <w:rPr>
                <w:rFonts w:ascii="宋体" w:hAnsi="宋体" w:eastAsia="宋体" w:cs="宋体"/>
                <w:sz w:val="18"/>
                <w:szCs w:val="18"/>
              </w:rPr>
            </w:pPr>
            <w:r>
              <w:rPr>
                <w:rFonts w:ascii="宋体" w:hAnsi="宋体" w:eastAsia="宋体" w:cs="宋体"/>
                <w:sz w:val="18"/>
                <w:szCs w:val="18"/>
              </w:rPr>
              <w:t>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E8F11B0">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r w14:paraId="569E6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348874C">
            <w:pPr>
              <w:spacing w:line="240" w:lineRule="exact"/>
              <w:rPr>
                <w:rFonts w:ascii="宋体" w:hAnsi="宋体" w:eastAsia="宋体" w:cs="宋体"/>
                <w:sz w:val="18"/>
                <w:szCs w:val="18"/>
              </w:rPr>
            </w:pPr>
            <w:r>
              <w:rPr>
                <w:rFonts w:ascii="宋体" w:hAnsi="宋体" w:eastAsia="宋体" w:cs="宋体"/>
                <w:sz w:val="18"/>
                <w:szCs w:val="18"/>
              </w:rPr>
              <w:t>程桂松</w:t>
            </w:r>
          </w:p>
        </w:tc>
        <w:tc>
          <w:tcPr>
            <w:tcW w:w="1928" w:type="dxa"/>
            <w:tcBorders>
              <w:top w:val="single" w:color="auto" w:sz="2" w:space="0"/>
              <w:left w:val="single" w:color="auto" w:sz="2" w:space="0"/>
              <w:bottom w:val="single" w:color="auto" w:sz="2" w:space="0"/>
              <w:right w:val="single" w:color="auto" w:sz="2" w:space="0"/>
            </w:tcBorders>
            <w:vAlign w:val="center"/>
          </w:tcPr>
          <w:p w14:paraId="28834648">
            <w:pPr>
              <w:spacing w:line="240" w:lineRule="exact"/>
              <w:rPr>
                <w:rFonts w:ascii="宋体" w:hAnsi="宋体" w:eastAsia="宋体" w:cs="宋体"/>
                <w:sz w:val="18"/>
                <w:szCs w:val="18"/>
              </w:rPr>
            </w:pPr>
            <w:r>
              <w:rPr>
                <w:rFonts w:ascii="宋体" w:hAnsi="宋体" w:eastAsia="宋体" w:cs="宋体"/>
                <w:sz w:val="18"/>
                <w:szCs w:val="18"/>
              </w:rPr>
              <w:t>董事</w:t>
            </w:r>
          </w:p>
        </w:tc>
        <w:tc>
          <w:tcPr>
            <w:tcW w:w="1928" w:type="dxa"/>
            <w:tcBorders>
              <w:top w:val="single" w:color="auto" w:sz="2" w:space="0"/>
              <w:left w:val="single" w:color="auto" w:sz="2" w:space="0"/>
              <w:bottom w:val="single" w:color="auto" w:sz="2" w:space="0"/>
              <w:right w:val="single" w:color="auto" w:sz="2" w:space="0"/>
            </w:tcBorders>
            <w:vAlign w:val="center"/>
          </w:tcPr>
          <w:p w14:paraId="2F4E75D4">
            <w:pPr>
              <w:spacing w:line="240" w:lineRule="exact"/>
              <w:rPr>
                <w:rFonts w:ascii="宋体" w:hAnsi="宋体" w:eastAsia="宋体" w:cs="宋体"/>
                <w:sz w:val="18"/>
                <w:szCs w:val="18"/>
              </w:rPr>
            </w:pPr>
            <w:r>
              <w:rPr>
                <w:rFonts w:ascii="宋体" w:hAnsi="宋体" w:eastAsia="宋体" w:cs="宋体"/>
                <w:sz w:val="18"/>
                <w:szCs w:val="18"/>
              </w:rPr>
              <w:t>任免</w:t>
            </w:r>
          </w:p>
        </w:tc>
        <w:tc>
          <w:tcPr>
            <w:tcW w:w="1928" w:type="dxa"/>
            <w:tcBorders>
              <w:top w:val="single" w:color="auto" w:sz="2" w:space="0"/>
              <w:left w:val="single" w:color="auto" w:sz="2" w:space="0"/>
              <w:bottom w:val="single" w:color="auto" w:sz="2" w:space="0"/>
              <w:right w:val="single" w:color="auto" w:sz="2" w:space="0"/>
            </w:tcBorders>
            <w:vAlign w:val="center"/>
          </w:tcPr>
          <w:p w14:paraId="79456F30">
            <w:pPr>
              <w:spacing w:line="240" w:lineRule="exact"/>
              <w:rPr>
                <w:rFonts w:ascii="宋体" w:hAnsi="宋体" w:eastAsia="宋体" w:cs="宋体"/>
                <w:sz w:val="18"/>
                <w:szCs w:val="18"/>
              </w:rPr>
            </w:pPr>
            <w:r>
              <w:rPr>
                <w:rFonts w:ascii="宋体" w:hAnsi="宋体" w:eastAsia="宋体" w:cs="宋体"/>
                <w:sz w:val="18"/>
                <w:szCs w:val="18"/>
              </w:rPr>
              <w:t>2025年08月08日</w:t>
            </w:r>
          </w:p>
        </w:tc>
        <w:tc>
          <w:tcPr>
            <w:tcW w:w="1928" w:type="dxa"/>
            <w:tcBorders>
              <w:top w:val="single" w:color="auto" w:sz="2" w:space="0"/>
              <w:left w:val="single" w:color="auto" w:sz="2" w:space="0"/>
              <w:bottom w:val="single" w:color="auto" w:sz="2" w:space="0"/>
              <w:right w:val="single" w:color="auto" w:sz="2" w:space="0"/>
            </w:tcBorders>
            <w:vAlign w:val="center"/>
          </w:tcPr>
          <w:p w14:paraId="011F56F4">
            <w:pPr>
              <w:spacing w:line="240" w:lineRule="exact"/>
              <w:jc w:val="center"/>
              <w:rPr>
                <w:rFonts w:ascii="宋体" w:hAnsi="宋体" w:eastAsia="宋体" w:cs="宋体"/>
                <w:sz w:val="18"/>
                <w:szCs w:val="18"/>
              </w:rPr>
            </w:pPr>
            <w:r>
              <w:rPr>
                <w:rFonts w:ascii="宋体" w:hAnsi="宋体" w:eastAsia="宋体" w:cs="宋体"/>
                <w:sz w:val="18"/>
                <w:szCs w:val="18"/>
              </w:rPr>
              <w:t>工作调动</w:t>
            </w:r>
          </w:p>
        </w:tc>
      </w:tr>
      <w:tr w14:paraId="3F48C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FBEB01C">
            <w:pPr>
              <w:spacing w:line="240" w:lineRule="exact"/>
              <w:rPr>
                <w:rFonts w:ascii="宋体" w:hAnsi="宋体" w:eastAsia="宋体" w:cs="宋体"/>
                <w:sz w:val="18"/>
                <w:szCs w:val="18"/>
              </w:rPr>
            </w:pPr>
            <w:r>
              <w:rPr>
                <w:rFonts w:ascii="宋体" w:hAnsi="宋体" w:eastAsia="宋体" w:cs="宋体"/>
                <w:sz w:val="18"/>
                <w:szCs w:val="18"/>
              </w:rPr>
              <w:t>程桂松</w:t>
            </w:r>
          </w:p>
        </w:tc>
        <w:tc>
          <w:tcPr>
            <w:tcW w:w="1928" w:type="dxa"/>
            <w:tcBorders>
              <w:top w:val="single" w:color="auto" w:sz="2" w:space="0"/>
              <w:left w:val="single" w:color="auto" w:sz="2" w:space="0"/>
              <w:bottom w:val="single" w:color="auto" w:sz="2" w:space="0"/>
              <w:right w:val="single" w:color="auto" w:sz="2" w:space="0"/>
            </w:tcBorders>
            <w:vAlign w:val="center"/>
          </w:tcPr>
          <w:p w14:paraId="1D63F72A">
            <w:pPr>
              <w:spacing w:line="240" w:lineRule="exact"/>
              <w:rPr>
                <w:rFonts w:ascii="宋体" w:hAnsi="宋体" w:eastAsia="宋体" w:cs="宋体"/>
                <w:sz w:val="18"/>
                <w:szCs w:val="18"/>
              </w:rPr>
            </w:pPr>
            <w:r>
              <w:rPr>
                <w:rFonts w:ascii="宋体" w:hAnsi="宋体" w:eastAsia="宋体" w:cs="宋体"/>
                <w:sz w:val="18"/>
                <w:szCs w:val="18"/>
              </w:rPr>
              <w:t>职工代表董事</w:t>
            </w:r>
          </w:p>
        </w:tc>
        <w:tc>
          <w:tcPr>
            <w:tcW w:w="1928" w:type="dxa"/>
            <w:tcBorders>
              <w:top w:val="single" w:color="auto" w:sz="2" w:space="0"/>
              <w:left w:val="single" w:color="auto" w:sz="2" w:space="0"/>
              <w:bottom w:val="single" w:color="auto" w:sz="2" w:space="0"/>
              <w:right w:val="single" w:color="auto" w:sz="2" w:space="0"/>
            </w:tcBorders>
            <w:vAlign w:val="center"/>
          </w:tcPr>
          <w:p w14:paraId="32196DCD">
            <w:pPr>
              <w:spacing w:line="240" w:lineRule="exact"/>
              <w:rPr>
                <w:rFonts w:ascii="宋体" w:hAnsi="宋体" w:eastAsia="宋体" w:cs="宋体"/>
                <w:sz w:val="18"/>
                <w:szCs w:val="18"/>
              </w:rPr>
            </w:pPr>
            <w:r>
              <w:rPr>
                <w:rFonts w:ascii="宋体" w:hAnsi="宋体" w:eastAsia="宋体" w:cs="宋体"/>
                <w:sz w:val="18"/>
                <w:szCs w:val="18"/>
              </w:rPr>
              <w:t>被选举</w:t>
            </w:r>
          </w:p>
        </w:tc>
        <w:tc>
          <w:tcPr>
            <w:tcW w:w="1928" w:type="dxa"/>
            <w:tcBorders>
              <w:top w:val="single" w:color="auto" w:sz="2" w:space="0"/>
              <w:left w:val="single" w:color="auto" w:sz="2" w:space="0"/>
              <w:bottom w:val="single" w:color="auto" w:sz="2" w:space="0"/>
              <w:right w:val="single" w:color="auto" w:sz="2" w:space="0"/>
            </w:tcBorders>
            <w:vAlign w:val="center"/>
          </w:tcPr>
          <w:p w14:paraId="742E686F">
            <w:pPr>
              <w:spacing w:line="240" w:lineRule="exact"/>
              <w:rPr>
                <w:rFonts w:ascii="宋体" w:hAnsi="宋体" w:eastAsia="宋体" w:cs="宋体"/>
                <w:sz w:val="18"/>
                <w:szCs w:val="18"/>
              </w:rPr>
            </w:pPr>
            <w:r>
              <w:rPr>
                <w:rFonts w:ascii="宋体" w:hAnsi="宋体" w:eastAsia="宋体" w:cs="宋体"/>
                <w:sz w:val="18"/>
                <w:szCs w:val="18"/>
              </w:rPr>
              <w:t>2025年08月08日</w:t>
            </w:r>
          </w:p>
        </w:tc>
        <w:tc>
          <w:tcPr>
            <w:tcW w:w="1928" w:type="dxa"/>
            <w:tcBorders>
              <w:top w:val="single" w:color="auto" w:sz="2" w:space="0"/>
              <w:left w:val="single" w:color="auto" w:sz="2" w:space="0"/>
              <w:bottom w:val="single" w:color="auto" w:sz="2" w:space="0"/>
              <w:right w:val="single" w:color="auto" w:sz="2" w:space="0"/>
            </w:tcBorders>
            <w:vAlign w:val="center"/>
          </w:tcPr>
          <w:p w14:paraId="37FA38A2">
            <w:pPr>
              <w:spacing w:line="240" w:lineRule="exact"/>
              <w:jc w:val="center"/>
              <w:rPr>
                <w:rFonts w:ascii="宋体" w:hAnsi="宋体" w:eastAsia="宋体" w:cs="宋体"/>
                <w:sz w:val="18"/>
                <w:szCs w:val="18"/>
              </w:rPr>
            </w:pPr>
            <w:r>
              <w:rPr>
                <w:rFonts w:ascii="宋体" w:hAnsi="宋体" w:eastAsia="宋体" w:cs="宋体"/>
                <w:sz w:val="18"/>
                <w:szCs w:val="18"/>
              </w:rPr>
              <w:t>工作调动</w:t>
            </w:r>
          </w:p>
        </w:tc>
      </w:tr>
      <w:tr w14:paraId="3B4FC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A4ED112">
            <w:pPr>
              <w:spacing w:line="240" w:lineRule="exact"/>
              <w:rPr>
                <w:rFonts w:ascii="宋体" w:hAnsi="宋体" w:eastAsia="宋体" w:cs="宋体"/>
                <w:sz w:val="18"/>
                <w:szCs w:val="18"/>
              </w:rPr>
            </w:pPr>
            <w:r>
              <w:rPr>
                <w:rFonts w:ascii="宋体" w:hAnsi="宋体" w:eastAsia="宋体" w:cs="宋体"/>
                <w:sz w:val="18"/>
                <w:szCs w:val="18"/>
              </w:rPr>
              <w:t>宣刚江</w:t>
            </w:r>
          </w:p>
        </w:tc>
        <w:tc>
          <w:tcPr>
            <w:tcW w:w="1928" w:type="dxa"/>
            <w:tcBorders>
              <w:top w:val="single" w:color="auto" w:sz="2" w:space="0"/>
              <w:left w:val="single" w:color="auto" w:sz="2" w:space="0"/>
              <w:bottom w:val="single" w:color="auto" w:sz="2" w:space="0"/>
              <w:right w:val="single" w:color="auto" w:sz="2" w:space="0"/>
            </w:tcBorders>
            <w:vAlign w:val="center"/>
          </w:tcPr>
          <w:p w14:paraId="68139442">
            <w:pPr>
              <w:spacing w:line="240" w:lineRule="exact"/>
              <w:rPr>
                <w:rFonts w:ascii="宋体" w:hAnsi="宋体" w:eastAsia="宋体" w:cs="宋体"/>
                <w:sz w:val="18"/>
                <w:szCs w:val="18"/>
              </w:rPr>
            </w:pPr>
            <w:r>
              <w:rPr>
                <w:rFonts w:ascii="宋体" w:hAnsi="宋体" w:eastAsia="宋体" w:cs="宋体"/>
                <w:sz w:val="18"/>
                <w:szCs w:val="18"/>
              </w:rPr>
              <w:t>董事</w:t>
            </w:r>
          </w:p>
        </w:tc>
        <w:tc>
          <w:tcPr>
            <w:tcW w:w="1928" w:type="dxa"/>
            <w:tcBorders>
              <w:top w:val="single" w:color="auto" w:sz="2" w:space="0"/>
              <w:left w:val="single" w:color="auto" w:sz="2" w:space="0"/>
              <w:bottom w:val="single" w:color="auto" w:sz="2" w:space="0"/>
              <w:right w:val="single" w:color="auto" w:sz="2" w:space="0"/>
            </w:tcBorders>
            <w:vAlign w:val="center"/>
          </w:tcPr>
          <w:p w14:paraId="535B2A27">
            <w:pPr>
              <w:spacing w:line="240" w:lineRule="exact"/>
              <w:rPr>
                <w:rFonts w:ascii="宋体" w:hAnsi="宋体" w:eastAsia="宋体" w:cs="宋体"/>
                <w:sz w:val="18"/>
                <w:szCs w:val="18"/>
              </w:rPr>
            </w:pPr>
            <w:r>
              <w:rPr>
                <w:rFonts w:ascii="宋体" w:hAnsi="宋体" w:eastAsia="宋体" w:cs="宋体"/>
                <w:sz w:val="18"/>
                <w:szCs w:val="18"/>
              </w:rPr>
              <w:t>被选举</w:t>
            </w:r>
          </w:p>
        </w:tc>
        <w:tc>
          <w:tcPr>
            <w:tcW w:w="1928" w:type="dxa"/>
            <w:tcBorders>
              <w:top w:val="single" w:color="auto" w:sz="2" w:space="0"/>
              <w:left w:val="single" w:color="auto" w:sz="2" w:space="0"/>
              <w:bottom w:val="single" w:color="auto" w:sz="2" w:space="0"/>
              <w:right w:val="single" w:color="auto" w:sz="2" w:space="0"/>
            </w:tcBorders>
            <w:vAlign w:val="center"/>
          </w:tcPr>
          <w:p w14:paraId="7E053201">
            <w:pPr>
              <w:spacing w:line="240" w:lineRule="exact"/>
              <w:rPr>
                <w:rFonts w:ascii="宋体" w:hAnsi="宋体" w:eastAsia="宋体" w:cs="宋体"/>
                <w:sz w:val="18"/>
                <w:szCs w:val="18"/>
              </w:rPr>
            </w:pPr>
            <w:r>
              <w:rPr>
                <w:rFonts w:ascii="宋体" w:hAnsi="宋体" w:eastAsia="宋体" w:cs="宋体"/>
                <w:sz w:val="18"/>
                <w:szCs w:val="18"/>
              </w:rPr>
              <w:t>2025年07月23日</w:t>
            </w:r>
          </w:p>
        </w:tc>
        <w:tc>
          <w:tcPr>
            <w:tcW w:w="1928" w:type="dxa"/>
            <w:tcBorders>
              <w:top w:val="single" w:color="auto" w:sz="2" w:space="0"/>
              <w:left w:val="single" w:color="auto" w:sz="2" w:space="0"/>
              <w:bottom w:val="single" w:color="auto" w:sz="2" w:space="0"/>
              <w:right w:val="single" w:color="auto" w:sz="2" w:space="0"/>
            </w:tcBorders>
            <w:vAlign w:val="center"/>
          </w:tcPr>
          <w:p w14:paraId="1C4D9A76">
            <w:pPr>
              <w:spacing w:line="240" w:lineRule="exact"/>
              <w:jc w:val="center"/>
              <w:rPr>
                <w:rFonts w:ascii="宋体" w:hAnsi="宋体" w:eastAsia="宋体" w:cs="宋体"/>
                <w:sz w:val="18"/>
                <w:szCs w:val="18"/>
              </w:rPr>
            </w:pPr>
            <w:r>
              <w:rPr>
                <w:rFonts w:ascii="宋体" w:hAnsi="宋体" w:eastAsia="宋体" w:cs="宋体"/>
                <w:sz w:val="18"/>
                <w:szCs w:val="18"/>
              </w:rPr>
              <w:t>工作调动</w:t>
            </w:r>
          </w:p>
        </w:tc>
      </w:tr>
      <w:tr w14:paraId="4E6EF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F349583">
            <w:pPr>
              <w:spacing w:line="240" w:lineRule="exact"/>
              <w:rPr>
                <w:rFonts w:ascii="宋体" w:hAnsi="宋体" w:eastAsia="宋体" w:cs="宋体"/>
                <w:sz w:val="18"/>
                <w:szCs w:val="18"/>
              </w:rPr>
            </w:pPr>
            <w:r>
              <w:rPr>
                <w:rFonts w:ascii="宋体" w:hAnsi="宋体" w:eastAsia="宋体" w:cs="宋体"/>
                <w:sz w:val="18"/>
                <w:szCs w:val="18"/>
              </w:rPr>
              <w:t>陈翰</w:t>
            </w:r>
          </w:p>
        </w:tc>
        <w:tc>
          <w:tcPr>
            <w:tcW w:w="1928" w:type="dxa"/>
            <w:tcBorders>
              <w:top w:val="single" w:color="auto" w:sz="2" w:space="0"/>
              <w:left w:val="single" w:color="auto" w:sz="2" w:space="0"/>
              <w:bottom w:val="single" w:color="auto" w:sz="2" w:space="0"/>
              <w:right w:val="single" w:color="auto" w:sz="2" w:space="0"/>
            </w:tcBorders>
            <w:vAlign w:val="center"/>
          </w:tcPr>
          <w:p w14:paraId="1EBB40C4">
            <w:pPr>
              <w:spacing w:line="240" w:lineRule="exact"/>
              <w:rPr>
                <w:rFonts w:ascii="宋体" w:hAnsi="宋体" w:eastAsia="宋体" w:cs="宋体"/>
                <w:sz w:val="18"/>
                <w:szCs w:val="18"/>
              </w:rPr>
            </w:pPr>
            <w:r>
              <w:rPr>
                <w:rFonts w:ascii="宋体" w:hAnsi="宋体" w:eastAsia="宋体" w:cs="宋体"/>
                <w:sz w:val="18"/>
                <w:szCs w:val="18"/>
              </w:rPr>
              <w:t>董事</w:t>
            </w:r>
          </w:p>
        </w:tc>
        <w:tc>
          <w:tcPr>
            <w:tcW w:w="1928" w:type="dxa"/>
            <w:tcBorders>
              <w:top w:val="single" w:color="auto" w:sz="2" w:space="0"/>
              <w:left w:val="single" w:color="auto" w:sz="2" w:space="0"/>
              <w:bottom w:val="single" w:color="auto" w:sz="2" w:space="0"/>
              <w:right w:val="single" w:color="auto" w:sz="2" w:space="0"/>
            </w:tcBorders>
            <w:vAlign w:val="center"/>
          </w:tcPr>
          <w:p w14:paraId="52330696">
            <w:pPr>
              <w:spacing w:line="240" w:lineRule="exact"/>
              <w:rPr>
                <w:rFonts w:ascii="宋体" w:hAnsi="宋体" w:eastAsia="宋体" w:cs="宋体"/>
                <w:sz w:val="18"/>
                <w:szCs w:val="18"/>
              </w:rPr>
            </w:pPr>
            <w:r>
              <w:rPr>
                <w:rFonts w:ascii="宋体" w:hAnsi="宋体" w:eastAsia="宋体" w:cs="宋体"/>
                <w:sz w:val="18"/>
                <w:szCs w:val="18"/>
              </w:rPr>
              <w:t>离任</w:t>
            </w:r>
          </w:p>
        </w:tc>
        <w:tc>
          <w:tcPr>
            <w:tcW w:w="1928" w:type="dxa"/>
            <w:tcBorders>
              <w:top w:val="single" w:color="auto" w:sz="2" w:space="0"/>
              <w:left w:val="single" w:color="auto" w:sz="2" w:space="0"/>
              <w:bottom w:val="single" w:color="auto" w:sz="2" w:space="0"/>
              <w:right w:val="single" w:color="auto" w:sz="2" w:space="0"/>
            </w:tcBorders>
            <w:vAlign w:val="center"/>
          </w:tcPr>
          <w:p w14:paraId="377EA043">
            <w:pPr>
              <w:spacing w:line="240" w:lineRule="exact"/>
              <w:rPr>
                <w:rFonts w:ascii="宋体" w:hAnsi="宋体" w:eastAsia="宋体" w:cs="宋体"/>
                <w:sz w:val="18"/>
                <w:szCs w:val="18"/>
              </w:rPr>
            </w:pPr>
            <w:r>
              <w:rPr>
                <w:rFonts w:ascii="宋体" w:hAnsi="宋体" w:eastAsia="宋体" w:cs="宋体"/>
                <w:sz w:val="18"/>
                <w:szCs w:val="18"/>
              </w:rPr>
              <w:t>2025年07月23日</w:t>
            </w:r>
          </w:p>
        </w:tc>
        <w:tc>
          <w:tcPr>
            <w:tcW w:w="1928" w:type="dxa"/>
            <w:tcBorders>
              <w:top w:val="single" w:color="auto" w:sz="2" w:space="0"/>
              <w:left w:val="single" w:color="auto" w:sz="2" w:space="0"/>
              <w:bottom w:val="single" w:color="auto" w:sz="2" w:space="0"/>
              <w:right w:val="single" w:color="auto" w:sz="2" w:space="0"/>
            </w:tcBorders>
            <w:vAlign w:val="center"/>
          </w:tcPr>
          <w:p w14:paraId="79F6850B">
            <w:pPr>
              <w:spacing w:line="240" w:lineRule="exact"/>
              <w:jc w:val="center"/>
              <w:rPr>
                <w:rFonts w:ascii="宋体" w:hAnsi="宋体" w:eastAsia="宋体" w:cs="宋体"/>
                <w:sz w:val="18"/>
                <w:szCs w:val="18"/>
              </w:rPr>
            </w:pPr>
            <w:r>
              <w:rPr>
                <w:rFonts w:ascii="宋体" w:hAnsi="宋体" w:eastAsia="宋体" w:cs="宋体"/>
                <w:sz w:val="18"/>
                <w:szCs w:val="18"/>
              </w:rPr>
              <w:t>个人原因</w:t>
            </w:r>
          </w:p>
        </w:tc>
      </w:tr>
      <w:tr w14:paraId="2D67F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652C45E">
            <w:pPr>
              <w:spacing w:line="240" w:lineRule="exact"/>
              <w:rPr>
                <w:rFonts w:ascii="宋体" w:hAnsi="宋体" w:eastAsia="宋体" w:cs="宋体"/>
                <w:sz w:val="18"/>
                <w:szCs w:val="18"/>
              </w:rPr>
            </w:pPr>
            <w:r>
              <w:rPr>
                <w:rFonts w:ascii="宋体" w:hAnsi="宋体" w:eastAsia="宋体" w:cs="宋体"/>
                <w:sz w:val="18"/>
                <w:szCs w:val="18"/>
              </w:rPr>
              <w:t>陈存福</w:t>
            </w:r>
          </w:p>
        </w:tc>
        <w:tc>
          <w:tcPr>
            <w:tcW w:w="1928" w:type="dxa"/>
            <w:tcBorders>
              <w:top w:val="single" w:color="auto" w:sz="2" w:space="0"/>
              <w:left w:val="single" w:color="auto" w:sz="2" w:space="0"/>
              <w:bottom w:val="single" w:color="auto" w:sz="2" w:space="0"/>
              <w:right w:val="single" w:color="auto" w:sz="2" w:space="0"/>
            </w:tcBorders>
            <w:vAlign w:val="center"/>
          </w:tcPr>
          <w:p w14:paraId="0AA0C71F">
            <w:pPr>
              <w:spacing w:line="240" w:lineRule="exact"/>
              <w:rPr>
                <w:rFonts w:ascii="宋体" w:hAnsi="宋体" w:eastAsia="宋体" w:cs="宋体"/>
                <w:sz w:val="18"/>
                <w:szCs w:val="18"/>
              </w:rPr>
            </w:pPr>
            <w:r>
              <w:rPr>
                <w:rFonts w:ascii="宋体" w:hAnsi="宋体" w:eastAsia="宋体" w:cs="宋体"/>
                <w:sz w:val="18"/>
                <w:szCs w:val="18"/>
              </w:rPr>
              <w:t>副总裁</w:t>
            </w:r>
          </w:p>
        </w:tc>
        <w:tc>
          <w:tcPr>
            <w:tcW w:w="1928" w:type="dxa"/>
            <w:tcBorders>
              <w:top w:val="single" w:color="auto" w:sz="2" w:space="0"/>
              <w:left w:val="single" w:color="auto" w:sz="2" w:space="0"/>
              <w:bottom w:val="single" w:color="auto" w:sz="2" w:space="0"/>
              <w:right w:val="single" w:color="auto" w:sz="2" w:space="0"/>
            </w:tcBorders>
            <w:vAlign w:val="center"/>
          </w:tcPr>
          <w:p w14:paraId="335E9FD2">
            <w:pPr>
              <w:spacing w:line="240" w:lineRule="exact"/>
              <w:rPr>
                <w:rFonts w:ascii="宋体" w:hAnsi="宋体" w:eastAsia="宋体" w:cs="宋体"/>
                <w:sz w:val="18"/>
                <w:szCs w:val="18"/>
              </w:rPr>
            </w:pPr>
            <w:r>
              <w:rPr>
                <w:rFonts w:ascii="宋体" w:hAnsi="宋体" w:eastAsia="宋体" w:cs="宋体"/>
                <w:sz w:val="18"/>
                <w:szCs w:val="18"/>
              </w:rPr>
              <w:t>解聘</w:t>
            </w:r>
          </w:p>
        </w:tc>
        <w:tc>
          <w:tcPr>
            <w:tcW w:w="1928" w:type="dxa"/>
            <w:tcBorders>
              <w:top w:val="single" w:color="auto" w:sz="2" w:space="0"/>
              <w:left w:val="single" w:color="auto" w:sz="2" w:space="0"/>
              <w:bottom w:val="single" w:color="auto" w:sz="2" w:space="0"/>
              <w:right w:val="single" w:color="auto" w:sz="2" w:space="0"/>
            </w:tcBorders>
            <w:vAlign w:val="center"/>
          </w:tcPr>
          <w:p w14:paraId="4377665E">
            <w:pPr>
              <w:spacing w:line="240" w:lineRule="exact"/>
              <w:rPr>
                <w:rFonts w:ascii="宋体" w:hAnsi="宋体" w:eastAsia="宋体" w:cs="宋体"/>
                <w:sz w:val="18"/>
                <w:szCs w:val="18"/>
              </w:rPr>
            </w:pPr>
            <w:r>
              <w:rPr>
                <w:rFonts w:ascii="宋体" w:hAnsi="宋体" w:eastAsia="宋体" w:cs="宋体"/>
                <w:sz w:val="18"/>
                <w:szCs w:val="18"/>
              </w:rPr>
              <w:t>2025年06月21日</w:t>
            </w:r>
          </w:p>
        </w:tc>
        <w:tc>
          <w:tcPr>
            <w:tcW w:w="1928" w:type="dxa"/>
            <w:tcBorders>
              <w:top w:val="single" w:color="auto" w:sz="2" w:space="0"/>
              <w:left w:val="single" w:color="auto" w:sz="2" w:space="0"/>
              <w:bottom w:val="single" w:color="auto" w:sz="2" w:space="0"/>
              <w:right w:val="single" w:color="auto" w:sz="2" w:space="0"/>
            </w:tcBorders>
            <w:vAlign w:val="center"/>
          </w:tcPr>
          <w:p w14:paraId="31679FA3">
            <w:pPr>
              <w:spacing w:line="240" w:lineRule="exact"/>
              <w:jc w:val="center"/>
              <w:rPr>
                <w:rFonts w:ascii="宋体" w:hAnsi="宋体" w:eastAsia="宋体" w:cs="宋体"/>
                <w:sz w:val="18"/>
                <w:szCs w:val="18"/>
              </w:rPr>
            </w:pPr>
            <w:r>
              <w:rPr>
                <w:rFonts w:ascii="宋体" w:hAnsi="宋体" w:eastAsia="宋体" w:cs="宋体"/>
                <w:sz w:val="18"/>
                <w:szCs w:val="18"/>
              </w:rPr>
              <w:t>个人原因</w:t>
            </w:r>
          </w:p>
        </w:tc>
      </w:tr>
    </w:tbl>
    <w:p w14:paraId="596F7BA4">
      <w:pPr>
        <w:pStyle w:val="3"/>
        <w:spacing w:line="280" w:lineRule="exact"/>
        <w:jc w:val="left"/>
        <w:rPr>
          <w:rFonts w:ascii="宋体" w:hAnsi="宋体" w:cs="宋体"/>
          <w:b/>
          <w:bCs/>
        </w:rPr>
      </w:pPr>
      <w:bookmarkStart w:id="69" w:name="_Toc988958"/>
      <w:r>
        <w:rPr>
          <w:rFonts w:ascii="宋体" w:hAnsi="宋体" w:cs="宋体"/>
          <w:b/>
          <w:bCs/>
        </w:rPr>
        <w:t>2、任职情况</w:t>
      </w:r>
      <w:bookmarkEnd w:id="69"/>
    </w:p>
    <w:p w14:paraId="203D6BA1">
      <w:pPr>
        <w:spacing w:before="100" w:after="100" w:line="240" w:lineRule="exact"/>
        <w:rPr>
          <w:rFonts w:ascii="宋体" w:hAnsi="宋体" w:eastAsia="宋体" w:cs="宋体"/>
          <w:sz w:val="18"/>
          <w:szCs w:val="18"/>
        </w:rPr>
      </w:pPr>
      <w:r>
        <w:rPr>
          <w:rFonts w:ascii="宋体" w:hAnsi="宋体" w:eastAsia="宋体" w:cs="宋体"/>
          <w:sz w:val="18"/>
          <w:szCs w:val="18"/>
        </w:rPr>
        <w:t>公司现任董事、高级管理人员专业背景、主要工作经历以及目前在公司的主要职责</w:t>
      </w:r>
    </w:p>
    <w:p w14:paraId="1F6A43A3">
      <w:pPr>
        <w:pStyle w:val="9"/>
        <w:keepNext w:val="0"/>
        <w:keepLines w:val="0"/>
        <w:pageBreakBefore w:val="0"/>
        <w:widowControl/>
        <w:kinsoku/>
        <w:wordWrap/>
        <w:overflowPunct/>
        <w:topLinePunct w:val="0"/>
        <w:autoSpaceDE/>
        <w:autoSpaceDN/>
        <w:bidi w:val="0"/>
        <w:adjustRightInd/>
        <w:snapToGrid/>
        <w:ind w:firstLine="360" w:firstLineChars="200"/>
        <w:jc w:val="both"/>
        <w:textAlignment w:val="auto"/>
        <w:rPr>
          <w:sz w:val="18"/>
          <w:szCs w:val="18"/>
        </w:rPr>
      </w:pPr>
      <w:r>
        <w:rPr>
          <w:rFonts w:hint="eastAsia"/>
          <w:sz w:val="18"/>
          <w:szCs w:val="18"/>
        </w:rPr>
        <w:t>孙伟挺先生，中国国籍，1963年出生，中国人民大学EMBA学历。1982年至1987年，在浙江省纺织工业公司工作，历任计划经营科科员、副科长、科长；1987年至1990年，担任浙江省轻工业厅计划物资处副处长；1990年至1993年，任浙江省绍兴越城区副区长。1993年创办华孚公司，任华孚控股有限公司董事长；2008年2月，任安徽飞亚纺织发展股份有限公司董事；2008年12月至今，任公司董事长。</w:t>
      </w:r>
    </w:p>
    <w:p w14:paraId="408AB0C7">
      <w:pPr>
        <w:pStyle w:val="9"/>
        <w:keepNext w:val="0"/>
        <w:keepLines w:val="0"/>
        <w:pageBreakBefore w:val="0"/>
        <w:widowControl/>
        <w:kinsoku/>
        <w:wordWrap/>
        <w:overflowPunct/>
        <w:topLinePunct w:val="0"/>
        <w:autoSpaceDE/>
        <w:autoSpaceDN/>
        <w:bidi w:val="0"/>
        <w:adjustRightInd/>
        <w:snapToGrid/>
        <w:ind w:firstLine="360" w:firstLineChars="200"/>
        <w:jc w:val="both"/>
        <w:textAlignment w:val="auto"/>
        <w:rPr>
          <w:sz w:val="18"/>
          <w:szCs w:val="18"/>
        </w:rPr>
      </w:pPr>
      <w:r>
        <w:rPr>
          <w:rFonts w:hint="eastAsia"/>
          <w:sz w:val="18"/>
          <w:szCs w:val="18"/>
        </w:rPr>
        <w:t>陈玲芬女士：中国国籍，1963年出生，中国人民大学EMBA学历。1981年至1993年，历任浙江省绍兴市经济协作办公室综合科副科长、浙江省绍兴市越灵商社办公室主任、财务经理等职。1993年与公司董事长孙伟挺先生创办华孚至今，担任副董事长。2009年5月至今，任公司副董事长、总裁。</w:t>
      </w:r>
    </w:p>
    <w:p w14:paraId="793FBFF6">
      <w:pPr>
        <w:pStyle w:val="9"/>
        <w:keepNext w:val="0"/>
        <w:keepLines w:val="0"/>
        <w:pageBreakBefore w:val="0"/>
        <w:widowControl/>
        <w:kinsoku/>
        <w:wordWrap/>
        <w:overflowPunct/>
        <w:topLinePunct w:val="0"/>
        <w:autoSpaceDE/>
        <w:autoSpaceDN/>
        <w:bidi w:val="0"/>
        <w:adjustRightInd/>
        <w:snapToGrid/>
        <w:ind w:firstLine="360" w:firstLineChars="200"/>
        <w:jc w:val="both"/>
        <w:textAlignment w:val="auto"/>
        <w:rPr>
          <w:sz w:val="18"/>
          <w:szCs w:val="18"/>
        </w:rPr>
      </w:pPr>
      <w:r>
        <w:rPr>
          <w:rFonts w:hint="eastAsia"/>
          <w:sz w:val="18"/>
          <w:szCs w:val="18"/>
        </w:rPr>
        <w:t>孙小挺先生：男，中国国籍，1968年生，浙江大学EMBA学历。1984-1989年，任浙江诸暨市纺织总厂采购员，1989-1992年，任海南海口海越经济技术有限公司业务主管，1992-1995年，任上虞市纺织公司副总经理，1995-2001年，任上虞华孚染色厂总经理，2001-2015年，任浙江华孚纤维技术股份有限公司总经理，2015年12月-2020年7月担任公司董事、副总裁，2018年至今担任新疆华孚棉业集团有限公司总经理。现聘任为公司副总裁。</w:t>
      </w:r>
    </w:p>
    <w:p w14:paraId="12F8A067">
      <w:pPr>
        <w:pStyle w:val="9"/>
        <w:keepNext w:val="0"/>
        <w:keepLines w:val="0"/>
        <w:pageBreakBefore w:val="0"/>
        <w:widowControl/>
        <w:kinsoku/>
        <w:wordWrap/>
        <w:overflowPunct/>
        <w:topLinePunct w:val="0"/>
        <w:autoSpaceDE/>
        <w:autoSpaceDN/>
        <w:bidi w:val="0"/>
        <w:adjustRightInd/>
        <w:snapToGrid/>
        <w:ind w:firstLine="360" w:firstLineChars="200"/>
        <w:jc w:val="both"/>
        <w:textAlignment w:val="auto"/>
        <w:rPr>
          <w:sz w:val="18"/>
          <w:szCs w:val="18"/>
        </w:rPr>
      </w:pPr>
      <w:r>
        <w:rPr>
          <w:rFonts w:hint="eastAsia"/>
          <w:sz w:val="18"/>
          <w:szCs w:val="18"/>
        </w:rPr>
        <w:t>程桂松先生：中国国籍，1966年10月生，毕业于安徽财经大学金融专业，厦门大学EMBA，北京大学MBA学历，中级会计师。先后在建设银行安徽省分行、招商银行深圳分行工作，历任综合部经理、支行副行长、支行行长。2014年9月加盟华孚，历任资金经营中心总经理、董事会秘书，2014年12月至今，任公司董事。现任公司董事、副总裁。</w:t>
      </w:r>
    </w:p>
    <w:p w14:paraId="7235E7DC">
      <w:pPr>
        <w:pStyle w:val="9"/>
        <w:keepNext w:val="0"/>
        <w:keepLines w:val="0"/>
        <w:pageBreakBefore w:val="0"/>
        <w:widowControl/>
        <w:kinsoku/>
        <w:wordWrap/>
        <w:overflowPunct/>
        <w:topLinePunct w:val="0"/>
        <w:autoSpaceDE/>
        <w:autoSpaceDN/>
        <w:bidi w:val="0"/>
        <w:adjustRightInd/>
        <w:snapToGrid/>
        <w:ind w:firstLine="360" w:firstLineChars="200"/>
        <w:jc w:val="both"/>
        <w:textAlignment w:val="auto"/>
        <w:rPr>
          <w:sz w:val="18"/>
          <w:szCs w:val="18"/>
        </w:rPr>
      </w:pPr>
      <w:r>
        <w:rPr>
          <w:rFonts w:hint="eastAsia"/>
          <w:sz w:val="18"/>
          <w:szCs w:val="18"/>
        </w:rPr>
        <w:t>王国友先生：中国国籍，1963年生，杭州商学院大专学历，杭州商学院商业企业管理专业毕业，中级会计师职称。自1997年加盟华孚控股有限公司，历任浙江华孚集团财务总监、华孚控股有限公司投资中心总经理、华孚控股有限公司财务中心总监。2008年12月至今，任本公司董事；2011年4月1日至2015年2月1日任华孚控股财务总监、公司董事；2015年4月至今，任公司董事、财务总监。</w:t>
      </w:r>
    </w:p>
    <w:p w14:paraId="1053CCE7">
      <w:pPr>
        <w:pStyle w:val="9"/>
        <w:keepNext w:val="0"/>
        <w:keepLines w:val="0"/>
        <w:pageBreakBefore w:val="0"/>
        <w:widowControl/>
        <w:kinsoku/>
        <w:wordWrap/>
        <w:overflowPunct/>
        <w:topLinePunct w:val="0"/>
        <w:autoSpaceDE/>
        <w:autoSpaceDN/>
        <w:bidi w:val="0"/>
        <w:adjustRightInd/>
        <w:snapToGrid/>
        <w:ind w:firstLine="360" w:firstLineChars="200"/>
        <w:jc w:val="both"/>
        <w:textAlignment w:val="auto"/>
        <w:rPr>
          <w:sz w:val="18"/>
          <w:szCs w:val="18"/>
        </w:rPr>
      </w:pPr>
      <w:r>
        <w:rPr>
          <w:rFonts w:hint="eastAsia"/>
          <w:sz w:val="18"/>
          <w:szCs w:val="18"/>
        </w:rPr>
        <w:t>张正先生：中国国籍，1985年12月生，无境外永久居留权，2011年毕业于中国人民大学，取得经济学硕士学位，历任大成基金管理有限公司研究员、基金经理助理、基金经理；2017年6月入职华孚时尚股份有限公司至今。现任公司董事、董事会秘书。</w:t>
      </w:r>
    </w:p>
    <w:p w14:paraId="07F22A1B">
      <w:pPr>
        <w:pStyle w:val="9"/>
        <w:keepNext w:val="0"/>
        <w:keepLines w:val="0"/>
        <w:pageBreakBefore w:val="0"/>
        <w:widowControl/>
        <w:kinsoku/>
        <w:wordWrap/>
        <w:overflowPunct/>
        <w:topLinePunct w:val="0"/>
        <w:autoSpaceDE/>
        <w:autoSpaceDN/>
        <w:bidi w:val="0"/>
        <w:adjustRightInd/>
        <w:snapToGrid/>
        <w:ind w:firstLine="360" w:firstLineChars="200"/>
        <w:jc w:val="both"/>
        <w:textAlignment w:val="auto"/>
        <w:rPr>
          <w:sz w:val="18"/>
          <w:szCs w:val="18"/>
        </w:rPr>
      </w:pPr>
      <w:r>
        <w:rPr>
          <w:rFonts w:hint="eastAsia"/>
          <w:sz w:val="18"/>
          <w:szCs w:val="18"/>
        </w:rPr>
        <w:t>宣刚江先生：男，中国国籍，1984年生，专科学历。2006年6月加入华孚时尚，先后在财务中心、内控中心任职，于2012年任华孚时尚审计中心审计经理，2015年至今历任华孚时尚营运财务部经理、财经管理部副总监、内控中心审计部总监、监事等职务。</w:t>
      </w:r>
    </w:p>
    <w:p w14:paraId="75174795">
      <w:pPr>
        <w:pStyle w:val="9"/>
        <w:keepNext w:val="0"/>
        <w:keepLines w:val="0"/>
        <w:pageBreakBefore w:val="0"/>
        <w:widowControl/>
        <w:kinsoku/>
        <w:wordWrap/>
        <w:overflowPunct/>
        <w:topLinePunct w:val="0"/>
        <w:autoSpaceDE/>
        <w:autoSpaceDN/>
        <w:bidi w:val="0"/>
        <w:adjustRightInd/>
        <w:snapToGrid/>
        <w:ind w:firstLine="360" w:firstLineChars="200"/>
        <w:jc w:val="both"/>
        <w:textAlignment w:val="auto"/>
        <w:rPr>
          <w:sz w:val="18"/>
          <w:szCs w:val="18"/>
        </w:rPr>
      </w:pPr>
      <w:r>
        <w:rPr>
          <w:rFonts w:hint="eastAsia"/>
          <w:sz w:val="18"/>
          <w:szCs w:val="18"/>
        </w:rPr>
        <w:t>张宝春先生：男，中国国籍，1980年4月出生，2005年毕业于华东师范大学，硕士学位。2005年加入上海市发展和改革委员会，2015年起先后担任展讯通信（上海）有限公司资讯发展部总监、上海商汤科技开发公司总经理等职。2024年5月加入公司，担任公司副总裁，负责公司科技板块工作。</w:t>
      </w:r>
    </w:p>
    <w:p w14:paraId="1586E0ED">
      <w:pPr>
        <w:pStyle w:val="9"/>
        <w:keepNext w:val="0"/>
        <w:keepLines w:val="0"/>
        <w:pageBreakBefore w:val="0"/>
        <w:widowControl/>
        <w:kinsoku/>
        <w:wordWrap/>
        <w:overflowPunct/>
        <w:topLinePunct w:val="0"/>
        <w:autoSpaceDE/>
        <w:autoSpaceDN/>
        <w:bidi w:val="0"/>
        <w:adjustRightInd/>
        <w:snapToGrid/>
        <w:ind w:firstLine="360" w:firstLineChars="200"/>
        <w:jc w:val="both"/>
        <w:textAlignment w:val="auto"/>
        <w:rPr>
          <w:sz w:val="18"/>
          <w:szCs w:val="18"/>
        </w:rPr>
      </w:pPr>
      <w:r>
        <w:rPr>
          <w:rFonts w:hint="eastAsia"/>
          <w:sz w:val="18"/>
          <w:szCs w:val="18"/>
        </w:rPr>
        <w:t>黄亚英先生：中国国籍，1962年9月出生,二级法学教授,博士生导师,中国政法大学法学硕士,中国执业律师.黄亚英先生曾任西北政法大学讲师,副教授,教授,深圳大学法学院院长.现任广东北源律师事务所律师,深圳国际仲裁院仲裁员,上海国际经济贸易仲裁委员会仲裁员。现任公司独立董事。</w:t>
      </w:r>
    </w:p>
    <w:p w14:paraId="59D0A77C">
      <w:pPr>
        <w:pStyle w:val="9"/>
        <w:keepNext w:val="0"/>
        <w:keepLines w:val="0"/>
        <w:pageBreakBefore w:val="0"/>
        <w:widowControl/>
        <w:kinsoku/>
        <w:wordWrap/>
        <w:overflowPunct/>
        <w:topLinePunct w:val="0"/>
        <w:autoSpaceDE/>
        <w:autoSpaceDN/>
        <w:bidi w:val="0"/>
        <w:adjustRightInd/>
        <w:snapToGrid/>
        <w:ind w:firstLine="360" w:firstLineChars="200"/>
        <w:jc w:val="both"/>
        <w:textAlignment w:val="auto"/>
        <w:rPr>
          <w:sz w:val="18"/>
          <w:szCs w:val="18"/>
        </w:rPr>
      </w:pPr>
      <w:r>
        <w:rPr>
          <w:rFonts w:hint="eastAsia"/>
          <w:sz w:val="18"/>
          <w:szCs w:val="18"/>
        </w:rPr>
        <w:t>刁英峰先生：男，中国国籍，无境外永久居留权,1971年12月出生，本科学历，中国注册会计师，中国注册税务师。历任立信会计师事务所（特殊普通合伙）授信合伙人，深圳市嘉信瑞税务师事务所有限公司总经理，海化税务师事务所有限公司深圳分公司副总经理等职.2015年12月至今，担任立信德豪税务师事务所（深圳）有限公司执行董事，总经理.2023年7月至今，担任立信税务师事务所有限公司董事。兼任中国注册税务师协会第七届常务理事会常务理事、深圳市注册税务师协会第三届、第四届、第五届常务理事、专业监管委员会主任委员。</w:t>
      </w:r>
    </w:p>
    <w:p w14:paraId="0DB6A1E5">
      <w:pPr>
        <w:pStyle w:val="9"/>
        <w:keepNext w:val="0"/>
        <w:keepLines w:val="0"/>
        <w:pageBreakBefore w:val="0"/>
        <w:widowControl/>
        <w:kinsoku/>
        <w:wordWrap/>
        <w:overflowPunct/>
        <w:topLinePunct w:val="0"/>
        <w:autoSpaceDE/>
        <w:autoSpaceDN/>
        <w:bidi w:val="0"/>
        <w:adjustRightInd/>
        <w:snapToGrid/>
        <w:ind w:firstLine="360" w:firstLineChars="200"/>
        <w:jc w:val="both"/>
        <w:textAlignment w:val="auto"/>
        <w:rPr>
          <w:sz w:val="18"/>
          <w:szCs w:val="18"/>
        </w:rPr>
      </w:pPr>
      <w:r>
        <w:rPr>
          <w:rFonts w:hint="eastAsia"/>
          <w:sz w:val="18"/>
          <w:szCs w:val="18"/>
        </w:rPr>
        <w:t>宋海涛先生：男，1986年生，博士研究生，中国国籍，无境外永久居留权。人工智能，通用机器人，算力基础设施领域专家。曾任职国家电力投资集团，中国信息通信研究院，现任上海交通大学、上海人工智能研究院院长，转化医学国家科学中心人工智能技术中心主任。</w:t>
      </w:r>
    </w:p>
    <w:p w14:paraId="6FCB7F82">
      <w:pPr>
        <w:spacing w:before="100" w:after="100" w:line="240" w:lineRule="exact"/>
        <w:rPr>
          <w:rFonts w:ascii="宋体" w:hAnsi="宋体" w:eastAsia="宋体" w:cs="宋体"/>
          <w:sz w:val="18"/>
          <w:szCs w:val="18"/>
        </w:rPr>
      </w:pPr>
      <w:r>
        <w:rPr>
          <w:rFonts w:ascii="宋体" w:hAnsi="宋体" w:eastAsia="宋体" w:cs="宋体"/>
          <w:sz w:val="18"/>
          <w:szCs w:val="18"/>
        </w:rPr>
        <w:t>控股股东、实际控制人同时担任上市公司董事长和总经理的情况</w:t>
      </w:r>
    </w:p>
    <w:p w14:paraId="6EC5D0F6">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254ED5CE">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sz w:val="18"/>
          <w:szCs w:val="18"/>
        </w:rPr>
      </w:pPr>
      <w:r>
        <w:rPr>
          <w:rFonts w:hint="eastAsia"/>
          <w:sz w:val="18"/>
          <w:szCs w:val="18"/>
        </w:rPr>
        <w:t>公司实际控制人之一孙伟挺先生同时担任公司董事长，实际控制人之一陈玲芬女士同时担任公司总裁。报告期内，公司严格按照《公司法》、《证券法》、《公司章程》等要求，建立健全各项内部控制管理制度、决策与审批机制。董事长与总裁在经营管理过程中严格履行股东会、董事会授权及决策程序，其相关职务行为均在公司治理框架内规范运作，不会对上市公司的独立性产生不利影响。</w:t>
      </w:r>
    </w:p>
    <w:p w14:paraId="22E10ADD">
      <w:pPr>
        <w:spacing w:before="100" w:after="100" w:line="240" w:lineRule="exact"/>
        <w:rPr>
          <w:rFonts w:ascii="宋体" w:hAnsi="宋体" w:eastAsia="宋体" w:cs="宋体"/>
          <w:sz w:val="18"/>
          <w:szCs w:val="18"/>
        </w:rPr>
      </w:pPr>
      <w:r>
        <w:rPr>
          <w:rFonts w:ascii="宋体" w:hAnsi="宋体" w:eastAsia="宋体" w:cs="宋体"/>
          <w:sz w:val="18"/>
          <w:szCs w:val="18"/>
        </w:rPr>
        <w:t>在股东单位任职情况</w:t>
      </w:r>
    </w:p>
    <w:p w14:paraId="17961793">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1795"/>
        <w:gridCol w:w="1606"/>
        <w:gridCol w:w="1844"/>
        <w:gridCol w:w="1368"/>
        <w:gridCol w:w="1608"/>
      </w:tblGrid>
      <w:tr w14:paraId="6D8B5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14:paraId="671C47D9">
            <w:pPr>
              <w:spacing w:before="40" w:after="40" w:line="240" w:lineRule="exact"/>
              <w:jc w:val="center"/>
              <w:rPr>
                <w:rFonts w:ascii="宋体" w:hAnsi="宋体" w:eastAsia="宋体" w:cs="宋体"/>
                <w:sz w:val="18"/>
                <w:szCs w:val="18"/>
              </w:rPr>
            </w:pPr>
            <w:r>
              <w:rPr>
                <w:rFonts w:ascii="宋体" w:hAnsi="宋体" w:eastAsia="宋体" w:cs="宋体"/>
                <w:sz w:val="18"/>
                <w:szCs w:val="18"/>
              </w:rPr>
              <w:t>任职人员姓名</w:t>
            </w:r>
          </w:p>
        </w:tc>
        <w:tc>
          <w:tcPr>
            <w:tcW w:w="1795" w:type="dxa"/>
            <w:tcBorders>
              <w:top w:val="single" w:color="auto" w:sz="2" w:space="0"/>
              <w:left w:val="single" w:color="auto" w:sz="2" w:space="0"/>
              <w:bottom w:val="single" w:color="auto" w:sz="2" w:space="0"/>
              <w:right w:val="single" w:color="auto" w:sz="2" w:space="0"/>
            </w:tcBorders>
            <w:shd w:val="clear" w:color="auto" w:fill="D3D3D3"/>
            <w:vAlign w:val="center"/>
          </w:tcPr>
          <w:p w14:paraId="310A6331">
            <w:pPr>
              <w:spacing w:before="40" w:after="40" w:line="240" w:lineRule="exact"/>
              <w:jc w:val="center"/>
              <w:rPr>
                <w:rFonts w:ascii="宋体" w:hAnsi="宋体" w:eastAsia="宋体" w:cs="宋体"/>
                <w:sz w:val="18"/>
                <w:szCs w:val="18"/>
              </w:rPr>
            </w:pPr>
            <w:r>
              <w:rPr>
                <w:rFonts w:ascii="宋体" w:hAnsi="宋体" w:eastAsia="宋体" w:cs="宋体"/>
                <w:sz w:val="18"/>
                <w:szCs w:val="18"/>
              </w:rPr>
              <w:t>股东单位名称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D17F10F">
            <w:pPr>
              <w:spacing w:before="40" w:after="40" w:line="240" w:lineRule="exact"/>
              <w:jc w:val="center"/>
              <w:rPr>
                <w:rFonts w:ascii="宋体" w:hAnsi="宋体" w:eastAsia="宋体" w:cs="宋体"/>
                <w:sz w:val="18"/>
                <w:szCs w:val="18"/>
              </w:rPr>
            </w:pPr>
            <w:r>
              <w:rPr>
                <w:rFonts w:ascii="宋体" w:hAnsi="宋体" w:eastAsia="宋体" w:cs="宋体"/>
                <w:sz w:val="18"/>
                <w:szCs w:val="18"/>
              </w:rPr>
              <w:t>在股东单位担任的职务</w:t>
            </w:r>
          </w:p>
        </w:tc>
        <w:tc>
          <w:tcPr>
            <w:tcW w:w="1844" w:type="dxa"/>
            <w:tcBorders>
              <w:top w:val="single" w:color="auto" w:sz="2" w:space="0"/>
              <w:left w:val="single" w:color="auto" w:sz="2" w:space="0"/>
              <w:bottom w:val="single" w:color="auto" w:sz="2" w:space="0"/>
              <w:right w:val="single" w:color="auto" w:sz="2" w:space="0"/>
            </w:tcBorders>
            <w:shd w:val="clear" w:color="auto" w:fill="D3D3D3"/>
            <w:vAlign w:val="center"/>
          </w:tcPr>
          <w:p w14:paraId="34A046DD">
            <w:pPr>
              <w:spacing w:before="40" w:after="40" w:line="240" w:lineRule="exact"/>
              <w:jc w:val="center"/>
              <w:rPr>
                <w:rFonts w:ascii="宋体" w:hAnsi="宋体" w:eastAsia="宋体" w:cs="宋体"/>
                <w:sz w:val="18"/>
                <w:szCs w:val="18"/>
              </w:rPr>
            </w:pPr>
            <w:r>
              <w:rPr>
                <w:rFonts w:ascii="宋体" w:hAnsi="宋体" w:eastAsia="宋体" w:cs="宋体"/>
                <w:sz w:val="18"/>
                <w:szCs w:val="18"/>
              </w:rPr>
              <w:t>任期起始日期</w:t>
            </w:r>
          </w:p>
        </w:tc>
        <w:tc>
          <w:tcPr>
            <w:tcW w:w="1368" w:type="dxa"/>
            <w:tcBorders>
              <w:top w:val="single" w:color="auto" w:sz="2" w:space="0"/>
              <w:left w:val="single" w:color="auto" w:sz="2" w:space="0"/>
              <w:bottom w:val="single" w:color="auto" w:sz="2" w:space="0"/>
              <w:right w:val="single" w:color="auto" w:sz="2" w:space="0"/>
            </w:tcBorders>
            <w:shd w:val="clear" w:color="auto" w:fill="D3D3D3"/>
            <w:vAlign w:val="center"/>
          </w:tcPr>
          <w:p w14:paraId="5944664D">
            <w:pPr>
              <w:spacing w:before="40" w:after="40" w:line="240" w:lineRule="exact"/>
              <w:jc w:val="center"/>
              <w:rPr>
                <w:rFonts w:ascii="宋体" w:hAnsi="宋体" w:eastAsia="宋体" w:cs="宋体"/>
                <w:sz w:val="18"/>
                <w:szCs w:val="18"/>
              </w:rPr>
            </w:pPr>
            <w:r>
              <w:rPr>
                <w:rFonts w:ascii="宋体" w:hAnsi="宋体" w:eastAsia="宋体" w:cs="宋体"/>
                <w:sz w:val="18"/>
                <w:szCs w:val="18"/>
              </w:rPr>
              <w:t>任期终止日期</w:t>
            </w:r>
          </w:p>
        </w:tc>
        <w:tc>
          <w:tcPr>
            <w:tcW w:w="1608" w:type="dxa"/>
            <w:tcBorders>
              <w:top w:val="single" w:color="auto" w:sz="2" w:space="0"/>
              <w:left w:val="single" w:color="auto" w:sz="2" w:space="0"/>
              <w:bottom w:val="single" w:color="auto" w:sz="2" w:space="0"/>
              <w:right w:val="single" w:color="auto" w:sz="2" w:space="0"/>
            </w:tcBorders>
            <w:shd w:val="clear" w:color="auto" w:fill="D3D3D3"/>
            <w:vAlign w:val="center"/>
          </w:tcPr>
          <w:p w14:paraId="0B72A7D2">
            <w:pPr>
              <w:spacing w:before="40" w:after="40" w:line="240" w:lineRule="exact"/>
              <w:jc w:val="center"/>
              <w:rPr>
                <w:rFonts w:ascii="宋体" w:hAnsi="宋体" w:eastAsia="宋体" w:cs="宋体"/>
                <w:sz w:val="18"/>
                <w:szCs w:val="18"/>
              </w:rPr>
            </w:pPr>
            <w:r>
              <w:rPr>
                <w:rFonts w:ascii="宋体" w:hAnsi="宋体" w:eastAsia="宋体" w:cs="宋体"/>
                <w:sz w:val="18"/>
                <w:szCs w:val="18"/>
              </w:rPr>
              <w:t>在股东单位是否领取报酬津贴</w:t>
            </w:r>
          </w:p>
        </w:tc>
      </w:tr>
      <w:tr w14:paraId="22C64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14:paraId="6396B888">
            <w:pPr>
              <w:spacing w:line="240" w:lineRule="exact"/>
              <w:rPr>
                <w:rFonts w:ascii="宋体" w:hAnsi="宋体" w:eastAsia="宋体" w:cs="宋体"/>
                <w:sz w:val="18"/>
                <w:szCs w:val="18"/>
              </w:rPr>
            </w:pPr>
            <w:r>
              <w:rPr>
                <w:rFonts w:ascii="宋体" w:hAnsi="宋体" w:eastAsia="宋体" w:cs="宋体"/>
                <w:sz w:val="18"/>
                <w:szCs w:val="18"/>
              </w:rPr>
              <w:t>孙伟挺</w:t>
            </w:r>
          </w:p>
        </w:tc>
        <w:tc>
          <w:tcPr>
            <w:tcW w:w="1795" w:type="dxa"/>
            <w:tcBorders>
              <w:top w:val="single" w:color="auto" w:sz="2" w:space="0"/>
              <w:left w:val="single" w:color="auto" w:sz="2" w:space="0"/>
              <w:bottom w:val="single" w:color="auto" w:sz="2" w:space="0"/>
              <w:right w:val="single" w:color="auto" w:sz="2" w:space="0"/>
            </w:tcBorders>
            <w:vAlign w:val="center"/>
          </w:tcPr>
          <w:p w14:paraId="4297CBF9">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5DD9CB16">
            <w:pPr>
              <w:spacing w:line="240" w:lineRule="exact"/>
              <w:rPr>
                <w:rFonts w:ascii="宋体" w:hAnsi="宋体" w:eastAsia="宋体" w:cs="宋体"/>
                <w:sz w:val="18"/>
                <w:szCs w:val="18"/>
              </w:rPr>
            </w:pPr>
            <w:r>
              <w:rPr>
                <w:rFonts w:ascii="宋体" w:hAnsi="宋体" w:eastAsia="宋体" w:cs="宋体"/>
                <w:sz w:val="18"/>
                <w:szCs w:val="18"/>
              </w:rPr>
              <w:t>董事、董事长、总经理</w:t>
            </w:r>
          </w:p>
        </w:tc>
        <w:tc>
          <w:tcPr>
            <w:tcW w:w="1844" w:type="dxa"/>
            <w:tcBorders>
              <w:top w:val="single" w:color="auto" w:sz="2" w:space="0"/>
              <w:left w:val="single" w:color="auto" w:sz="2" w:space="0"/>
              <w:bottom w:val="single" w:color="auto" w:sz="2" w:space="0"/>
              <w:right w:val="single" w:color="auto" w:sz="2" w:space="0"/>
            </w:tcBorders>
            <w:vAlign w:val="center"/>
          </w:tcPr>
          <w:p w14:paraId="2FA5EBEF">
            <w:pPr>
              <w:spacing w:line="240" w:lineRule="exact"/>
              <w:rPr>
                <w:rFonts w:ascii="宋体" w:hAnsi="宋体" w:eastAsia="宋体" w:cs="宋体"/>
                <w:sz w:val="18"/>
                <w:szCs w:val="18"/>
              </w:rPr>
            </w:pPr>
            <w:r>
              <w:rPr>
                <w:rFonts w:ascii="宋体" w:hAnsi="宋体" w:eastAsia="宋体" w:cs="宋体"/>
                <w:sz w:val="18"/>
                <w:szCs w:val="18"/>
              </w:rPr>
              <w:t>2011年10月15日</w:t>
            </w:r>
          </w:p>
        </w:tc>
        <w:tc>
          <w:tcPr>
            <w:tcW w:w="1368" w:type="dxa"/>
            <w:tcBorders>
              <w:top w:val="single" w:color="auto" w:sz="2" w:space="0"/>
              <w:left w:val="single" w:color="auto" w:sz="2" w:space="0"/>
              <w:bottom w:val="single" w:color="auto" w:sz="2" w:space="0"/>
              <w:right w:val="single" w:color="auto" w:sz="2" w:space="0"/>
            </w:tcBorders>
            <w:vAlign w:val="center"/>
          </w:tcPr>
          <w:p w14:paraId="50EAEF1D">
            <w:pPr>
              <w:spacing w:line="240" w:lineRule="exact"/>
              <w:rPr>
                <w:rFonts w:ascii="宋体" w:hAnsi="宋体" w:eastAsia="宋体" w:cs="宋体"/>
                <w:sz w:val="18"/>
                <w:szCs w:val="18"/>
              </w:rPr>
            </w:pPr>
          </w:p>
        </w:tc>
        <w:tc>
          <w:tcPr>
            <w:tcW w:w="1608" w:type="dxa"/>
            <w:tcBorders>
              <w:top w:val="single" w:color="auto" w:sz="2" w:space="0"/>
              <w:left w:val="single" w:color="auto" w:sz="2" w:space="0"/>
              <w:bottom w:val="single" w:color="auto" w:sz="2" w:space="0"/>
              <w:right w:val="single" w:color="auto" w:sz="2" w:space="0"/>
            </w:tcBorders>
            <w:vAlign w:val="center"/>
          </w:tcPr>
          <w:p w14:paraId="6501BBDA">
            <w:pPr>
              <w:spacing w:line="240" w:lineRule="exact"/>
              <w:rPr>
                <w:rFonts w:ascii="宋体" w:hAnsi="宋体" w:eastAsia="宋体" w:cs="宋体"/>
                <w:sz w:val="18"/>
                <w:szCs w:val="18"/>
              </w:rPr>
            </w:pPr>
            <w:r>
              <w:rPr>
                <w:rFonts w:ascii="宋体" w:hAnsi="宋体" w:eastAsia="宋体" w:cs="宋体"/>
                <w:sz w:val="18"/>
                <w:szCs w:val="18"/>
              </w:rPr>
              <w:t>否</w:t>
            </w:r>
          </w:p>
        </w:tc>
      </w:tr>
      <w:tr w14:paraId="14EF8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vAlign w:val="center"/>
          </w:tcPr>
          <w:p w14:paraId="67FBB907">
            <w:pPr>
              <w:spacing w:line="240" w:lineRule="exact"/>
              <w:rPr>
                <w:rFonts w:ascii="宋体" w:hAnsi="宋体" w:eastAsia="宋体" w:cs="宋体"/>
                <w:sz w:val="18"/>
                <w:szCs w:val="18"/>
              </w:rPr>
            </w:pPr>
            <w:r>
              <w:rPr>
                <w:rFonts w:ascii="宋体" w:hAnsi="宋体" w:eastAsia="宋体" w:cs="宋体"/>
                <w:sz w:val="18"/>
                <w:szCs w:val="18"/>
              </w:rPr>
              <w:t>陈玲芬</w:t>
            </w:r>
          </w:p>
        </w:tc>
        <w:tc>
          <w:tcPr>
            <w:tcW w:w="1795" w:type="dxa"/>
            <w:tcBorders>
              <w:top w:val="single" w:color="auto" w:sz="2" w:space="0"/>
              <w:left w:val="single" w:color="auto" w:sz="2" w:space="0"/>
              <w:bottom w:val="single" w:color="auto" w:sz="2" w:space="0"/>
              <w:right w:val="single" w:color="auto" w:sz="2" w:space="0"/>
            </w:tcBorders>
            <w:vAlign w:val="center"/>
          </w:tcPr>
          <w:p w14:paraId="66276E78">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2A58D93E">
            <w:pPr>
              <w:spacing w:line="240" w:lineRule="exact"/>
              <w:rPr>
                <w:rFonts w:ascii="宋体" w:hAnsi="宋体" w:eastAsia="宋体" w:cs="宋体"/>
                <w:sz w:val="18"/>
                <w:szCs w:val="18"/>
              </w:rPr>
            </w:pPr>
            <w:r>
              <w:rPr>
                <w:rFonts w:ascii="宋体" w:hAnsi="宋体" w:eastAsia="宋体" w:cs="宋体"/>
                <w:sz w:val="18"/>
                <w:szCs w:val="18"/>
              </w:rPr>
              <w:t>董事</w:t>
            </w:r>
          </w:p>
        </w:tc>
        <w:tc>
          <w:tcPr>
            <w:tcW w:w="1844" w:type="dxa"/>
            <w:tcBorders>
              <w:top w:val="single" w:color="auto" w:sz="2" w:space="0"/>
              <w:left w:val="single" w:color="auto" w:sz="2" w:space="0"/>
              <w:bottom w:val="single" w:color="auto" w:sz="2" w:space="0"/>
              <w:right w:val="single" w:color="auto" w:sz="2" w:space="0"/>
            </w:tcBorders>
            <w:vAlign w:val="center"/>
          </w:tcPr>
          <w:p w14:paraId="74C66638">
            <w:pPr>
              <w:spacing w:line="240" w:lineRule="exact"/>
              <w:rPr>
                <w:rFonts w:ascii="宋体" w:hAnsi="宋体" w:eastAsia="宋体" w:cs="宋体"/>
                <w:sz w:val="18"/>
                <w:szCs w:val="18"/>
              </w:rPr>
            </w:pPr>
            <w:r>
              <w:rPr>
                <w:rFonts w:ascii="宋体" w:hAnsi="宋体" w:eastAsia="宋体" w:cs="宋体"/>
                <w:sz w:val="18"/>
                <w:szCs w:val="18"/>
              </w:rPr>
              <w:t>2011年10月15日</w:t>
            </w:r>
          </w:p>
        </w:tc>
        <w:tc>
          <w:tcPr>
            <w:tcW w:w="1368" w:type="dxa"/>
            <w:tcBorders>
              <w:top w:val="single" w:color="auto" w:sz="2" w:space="0"/>
              <w:left w:val="single" w:color="auto" w:sz="2" w:space="0"/>
              <w:bottom w:val="single" w:color="auto" w:sz="2" w:space="0"/>
              <w:right w:val="single" w:color="auto" w:sz="2" w:space="0"/>
            </w:tcBorders>
            <w:vAlign w:val="center"/>
          </w:tcPr>
          <w:p w14:paraId="0765A723">
            <w:pPr>
              <w:spacing w:line="240" w:lineRule="exact"/>
              <w:rPr>
                <w:rFonts w:ascii="宋体" w:hAnsi="宋体" w:eastAsia="宋体" w:cs="宋体"/>
                <w:sz w:val="18"/>
                <w:szCs w:val="18"/>
              </w:rPr>
            </w:pPr>
          </w:p>
        </w:tc>
        <w:tc>
          <w:tcPr>
            <w:tcW w:w="1608" w:type="dxa"/>
            <w:tcBorders>
              <w:top w:val="single" w:color="auto" w:sz="2" w:space="0"/>
              <w:left w:val="single" w:color="auto" w:sz="2" w:space="0"/>
              <w:bottom w:val="single" w:color="auto" w:sz="2" w:space="0"/>
              <w:right w:val="single" w:color="auto" w:sz="2" w:space="0"/>
            </w:tcBorders>
            <w:vAlign w:val="center"/>
          </w:tcPr>
          <w:p w14:paraId="36738715">
            <w:pPr>
              <w:spacing w:line="240" w:lineRule="exact"/>
              <w:rPr>
                <w:rFonts w:ascii="宋体" w:hAnsi="宋体" w:eastAsia="宋体" w:cs="宋体"/>
                <w:sz w:val="18"/>
                <w:szCs w:val="18"/>
              </w:rPr>
            </w:pPr>
            <w:r>
              <w:rPr>
                <w:rFonts w:ascii="宋体" w:hAnsi="宋体" w:eastAsia="宋体" w:cs="宋体"/>
                <w:sz w:val="18"/>
                <w:szCs w:val="18"/>
              </w:rPr>
              <w:t>否</w:t>
            </w:r>
          </w:p>
        </w:tc>
      </w:tr>
      <w:tr w14:paraId="2D4E4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14:paraId="4967BCCD">
            <w:pPr>
              <w:spacing w:before="40" w:after="40" w:line="240" w:lineRule="exact"/>
              <w:rPr>
                <w:rFonts w:ascii="宋体" w:hAnsi="宋体" w:eastAsia="宋体" w:cs="宋体"/>
                <w:sz w:val="18"/>
                <w:szCs w:val="18"/>
              </w:rPr>
            </w:pPr>
            <w:r>
              <w:rPr>
                <w:rFonts w:ascii="宋体" w:hAnsi="宋体" w:eastAsia="宋体" w:cs="宋体"/>
                <w:sz w:val="18"/>
                <w:szCs w:val="18"/>
              </w:rPr>
              <w:t>在股东单位任职情况的说明</w:t>
            </w:r>
          </w:p>
        </w:tc>
        <w:tc>
          <w:tcPr>
            <w:tcW w:w="8221" w:type="dxa"/>
            <w:gridSpan w:val="5"/>
            <w:tcBorders>
              <w:top w:val="single" w:color="auto" w:sz="2" w:space="0"/>
              <w:left w:val="single" w:color="auto" w:sz="2" w:space="0"/>
              <w:bottom w:val="single" w:color="auto" w:sz="2" w:space="0"/>
              <w:right w:val="single" w:color="auto" w:sz="2" w:space="0"/>
            </w:tcBorders>
            <w:vAlign w:val="center"/>
          </w:tcPr>
          <w:p w14:paraId="09859A77">
            <w:pPr>
              <w:spacing w:line="240" w:lineRule="exact"/>
              <w:rPr>
                <w:rFonts w:ascii="宋体" w:hAnsi="宋体" w:eastAsia="宋体" w:cs="宋体"/>
                <w:sz w:val="18"/>
                <w:szCs w:val="18"/>
              </w:rPr>
            </w:pPr>
            <w:r>
              <w:rPr>
                <w:rFonts w:ascii="宋体" w:hAnsi="宋体" w:eastAsia="宋体" w:cs="宋体"/>
                <w:sz w:val="18"/>
                <w:szCs w:val="18"/>
              </w:rPr>
              <w:t>无</w:t>
            </w:r>
          </w:p>
        </w:tc>
      </w:tr>
    </w:tbl>
    <w:p w14:paraId="68CD76D1">
      <w:pPr>
        <w:spacing w:before="100" w:after="100" w:line="240" w:lineRule="exact"/>
        <w:rPr>
          <w:rFonts w:ascii="宋体" w:hAnsi="宋体" w:eastAsia="宋体" w:cs="宋体"/>
          <w:sz w:val="18"/>
          <w:szCs w:val="18"/>
        </w:rPr>
      </w:pPr>
      <w:r>
        <w:rPr>
          <w:rFonts w:ascii="宋体" w:hAnsi="宋体" w:eastAsia="宋体" w:cs="宋体"/>
          <w:sz w:val="18"/>
          <w:szCs w:val="18"/>
        </w:rPr>
        <w:t>在其他单位任职情况</w:t>
      </w:r>
    </w:p>
    <w:p w14:paraId="2DC82DBB">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7"/>
        <w:gridCol w:w="1606"/>
        <w:gridCol w:w="1323"/>
        <w:gridCol w:w="1843"/>
        <w:gridCol w:w="1701"/>
        <w:gridCol w:w="1559"/>
      </w:tblGrid>
      <w:tr w14:paraId="3759C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14:paraId="0B2737AB">
            <w:pPr>
              <w:spacing w:before="40" w:after="40" w:line="240" w:lineRule="exact"/>
              <w:jc w:val="center"/>
              <w:rPr>
                <w:rFonts w:ascii="宋体" w:hAnsi="宋体" w:eastAsia="宋体" w:cs="宋体"/>
                <w:sz w:val="18"/>
                <w:szCs w:val="18"/>
              </w:rPr>
            </w:pPr>
            <w:r>
              <w:rPr>
                <w:rFonts w:ascii="宋体" w:hAnsi="宋体" w:eastAsia="宋体" w:cs="宋体"/>
                <w:sz w:val="18"/>
                <w:szCs w:val="18"/>
              </w:rPr>
              <w:t>任职人员姓名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6FC7EFC">
            <w:pPr>
              <w:spacing w:before="40" w:after="40" w:line="240" w:lineRule="exact"/>
              <w:jc w:val="center"/>
              <w:rPr>
                <w:rFonts w:ascii="宋体" w:hAnsi="宋体" w:eastAsia="宋体" w:cs="宋体"/>
                <w:sz w:val="18"/>
                <w:szCs w:val="18"/>
              </w:rPr>
            </w:pPr>
            <w:r>
              <w:rPr>
                <w:rFonts w:ascii="宋体" w:hAnsi="宋体" w:eastAsia="宋体" w:cs="宋体"/>
                <w:sz w:val="18"/>
                <w:szCs w:val="18"/>
              </w:rPr>
              <w:t>其他单位名称</w:t>
            </w:r>
          </w:p>
        </w:tc>
        <w:tc>
          <w:tcPr>
            <w:tcW w:w="1323" w:type="dxa"/>
            <w:tcBorders>
              <w:top w:val="single" w:color="auto" w:sz="2" w:space="0"/>
              <w:left w:val="single" w:color="auto" w:sz="2" w:space="0"/>
              <w:bottom w:val="single" w:color="auto" w:sz="2" w:space="0"/>
              <w:right w:val="single" w:color="auto" w:sz="2" w:space="0"/>
            </w:tcBorders>
            <w:shd w:val="clear" w:color="auto" w:fill="D3D3D3"/>
            <w:vAlign w:val="center"/>
          </w:tcPr>
          <w:p w14:paraId="413679C7">
            <w:pPr>
              <w:spacing w:before="40" w:after="40" w:line="240" w:lineRule="exact"/>
              <w:jc w:val="center"/>
              <w:rPr>
                <w:rFonts w:ascii="宋体" w:hAnsi="宋体" w:eastAsia="宋体" w:cs="宋体"/>
                <w:sz w:val="18"/>
                <w:szCs w:val="18"/>
              </w:rPr>
            </w:pPr>
            <w:r>
              <w:rPr>
                <w:rFonts w:ascii="宋体" w:hAnsi="宋体" w:eastAsia="宋体" w:cs="宋体"/>
                <w:sz w:val="18"/>
                <w:szCs w:val="18"/>
              </w:rPr>
              <w:t>在其他单位担任的职务</w:t>
            </w: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14:paraId="40ED7899">
            <w:pPr>
              <w:spacing w:before="40" w:after="40" w:line="240" w:lineRule="exact"/>
              <w:jc w:val="center"/>
              <w:rPr>
                <w:rFonts w:ascii="宋体" w:hAnsi="宋体" w:eastAsia="宋体" w:cs="宋体"/>
                <w:sz w:val="18"/>
                <w:szCs w:val="18"/>
              </w:rPr>
            </w:pPr>
            <w:r>
              <w:rPr>
                <w:rFonts w:ascii="宋体" w:hAnsi="宋体" w:eastAsia="宋体" w:cs="宋体"/>
                <w:sz w:val="18"/>
                <w:szCs w:val="18"/>
              </w:rPr>
              <w:t>任期起始日期</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758C5174">
            <w:pPr>
              <w:spacing w:before="40" w:after="40" w:line="240" w:lineRule="exact"/>
              <w:jc w:val="center"/>
              <w:rPr>
                <w:rFonts w:ascii="宋体" w:hAnsi="宋体" w:eastAsia="宋体" w:cs="宋体"/>
                <w:sz w:val="18"/>
                <w:szCs w:val="18"/>
              </w:rPr>
            </w:pPr>
            <w:r>
              <w:rPr>
                <w:rFonts w:ascii="宋体" w:hAnsi="宋体" w:eastAsia="宋体" w:cs="宋体"/>
                <w:sz w:val="18"/>
                <w:szCs w:val="18"/>
              </w:rPr>
              <w:t>任期终止日期</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14:paraId="15A917E4">
            <w:pPr>
              <w:spacing w:before="40" w:after="40" w:line="240" w:lineRule="exact"/>
              <w:jc w:val="center"/>
              <w:rPr>
                <w:rFonts w:ascii="宋体" w:hAnsi="宋体" w:eastAsia="宋体" w:cs="宋体"/>
                <w:sz w:val="18"/>
                <w:szCs w:val="18"/>
              </w:rPr>
            </w:pPr>
            <w:r>
              <w:rPr>
                <w:rFonts w:ascii="宋体" w:hAnsi="宋体" w:eastAsia="宋体" w:cs="宋体"/>
                <w:sz w:val="18"/>
                <w:szCs w:val="18"/>
              </w:rPr>
              <w:t>在其他单位是否领取报酬津贴</w:t>
            </w:r>
          </w:p>
        </w:tc>
      </w:tr>
      <w:tr w14:paraId="7BF2D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7" w:type="dxa"/>
            <w:tcBorders>
              <w:top w:val="single" w:color="auto" w:sz="2" w:space="0"/>
              <w:left w:val="single" w:color="auto" w:sz="2" w:space="0"/>
              <w:bottom w:val="single" w:color="auto" w:sz="2" w:space="0"/>
              <w:right w:val="single" w:color="auto" w:sz="2" w:space="0"/>
            </w:tcBorders>
            <w:vAlign w:val="center"/>
          </w:tcPr>
          <w:p w14:paraId="17E01807">
            <w:pPr>
              <w:spacing w:line="240" w:lineRule="exact"/>
              <w:rPr>
                <w:rFonts w:ascii="宋体" w:hAnsi="宋体" w:eastAsia="宋体" w:cs="宋体"/>
                <w:sz w:val="18"/>
                <w:szCs w:val="18"/>
              </w:rPr>
            </w:pPr>
            <w:r>
              <w:rPr>
                <w:rFonts w:ascii="宋体" w:hAnsi="宋体" w:eastAsia="宋体" w:cs="宋体"/>
                <w:sz w:val="18"/>
                <w:szCs w:val="18"/>
              </w:rPr>
              <w:t>黄亚英</w:t>
            </w:r>
          </w:p>
        </w:tc>
        <w:tc>
          <w:tcPr>
            <w:tcW w:w="1606" w:type="dxa"/>
            <w:tcBorders>
              <w:top w:val="single" w:color="auto" w:sz="2" w:space="0"/>
              <w:left w:val="single" w:color="auto" w:sz="2" w:space="0"/>
              <w:bottom w:val="single" w:color="auto" w:sz="2" w:space="0"/>
              <w:right w:val="single" w:color="auto" w:sz="2" w:space="0"/>
            </w:tcBorders>
            <w:vAlign w:val="center"/>
          </w:tcPr>
          <w:p w14:paraId="65A2A4CD">
            <w:pPr>
              <w:spacing w:line="240" w:lineRule="exact"/>
              <w:rPr>
                <w:rFonts w:ascii="宋体" w:hAnsi="宋体" w:eastAsia="宋体" w:cs="宋体"/>
                <w:sz w:val="18"/>
                <w:szCs w:val="18"/>
              </w:rPr>
            </w:pPr>
            <w:r>
              <w:rPr>
                <w:rFonts w:ascii="宋体" w:hAnsi="宋体" w:eastAsia="宋体" w:cs="宋体"/>
                <w:sz w:val="18"/>
                <w:szCs w:val="18"/>
              </w:rPr>
              <w:t>广东北源律师事务所</w:t>
            </w:r>
          </w:p>
        </w:tc>
        <w:tc>
          <w:tcPr>
            <w:tcW w:w="1323" w:type="dxa"/>
            <w:tcBorders>
              <w:top w:val="single" w:color="auto" w:sz="2" w:space="0"/>
              <w:left w:val="single" w:color="auto" w:sz="2" w:space="0"/>
              <w:bottom w:val="single" w:color="auto" w:sz="2" w:space="0"/>
              <w:right w:val="single" w:color="auto" w:sz="2" w:space="0"/>
            </w:tcBorders>
            <w:vAlign w:val="center"/>
          </w:tcPr>
          <w:p w14:paraId="3779ACEF">
            <w:pPr>
              <w:spacing w:line="240" w:lineRule="exact"/>
              <w:rPr>
                <w:rFonts w:ascii="宋体" w:hAnsi="宋体" w:eastAsia="宋体" w:cs="宋体"/>
                <w:sz w:val="18"/>
                <w:szCs w:val="18"/>
              </w:rPr>
            </w:pPr>
            <w:r>
              <w:rPr>
                <w:rFonts w:ascii="宋体" w:hAnsi="宋体" w:eastAsia="宋体" w:cs="宋体"/>
                <w:sz w:val="18"/>
                <w:szCs w:val="18"/>
              </w:rPr>
              <w:t>律师</w:t>
            </w:r>
          </w:p>
        </w:tc>
        <w:tc>
          <w:tcPr>
            <w:tcW w:w="1843" w:type="dxa"/>
            <w:tcBorders>
              <w:top w:val="single" w:color="auto" w:sz="2" w:space="0"/>
              <w:left w:val="single" w:color="auto" w:sz="2" w:space="0"/>
              <w:bottom w:val="single" w:color="auto" w:sz="2" w:space="0"/>
              <w:right w:val="single" w:color="auto" w:sz="2" w:space="0"/>
            </w:tcBorders>
            <w:vAlign w:val="center"/>
          </w:tcPr>
          <w:p w14:paraId="2351F500">
            <w:pPr>
              <w:spacing w:line="240" w:lineRule="exact"/>
              <w:rPr>
                <w:rFonts w:ascii="宋体" w:hAnsi="宋体" w:eastAsia="宋体" w:cs="宋体"/>
                <w:sz w:val="18"/>
                <w:szCs w:val="18"/>
              </w:rPr>
            </w:pPr>
            <w:r>
              <w:rPr>
                <w:rFonts w:ascii="宋体" w:hAnsi="宋体" w:eastAsia="宋体" w:cs="宋体"/>
                <w:sz w:val="18"/>
                <w:szCs w:val="18"/>
              </w:rPr>
              <w:t>2020年04月01日</w:t>
            </w:r>
          </w:p>
        </w:tc>
        <w:tc>
          <w:tcPr>
            <w:tcW w:w="1701" w:type="dxa"/>
            <w:tcBorders>
              <w:top w:val="single" w:color="auto" w:sz="2" w:space="0"/>
              <w:left w:val="single" w:color="auto" w:sz="2" w:space="0"/>
              <w:bottom w:val="single" w:color="auto" w:sz="2" w:space="0"/>
              <w:right w:val="single" w:color="auto" w:sz="2" w:space="0"/>
            </w:tcBorders>
            <w:vAlign w:val="center"/>
          </w:tcPr>
          <w:p w14:paraId="765D59C1">
            <w:pPr>
              <w:spacing w:line="240" w:lineRule="exact"/>
              <w:rPr>
                <w:rFonts w:ascii="宋体" w:hAnsi="宋体" w:eastAsia="宋体" w:cs="宋体"/>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14:paraId="64E33B14">
            <w:pPr>
              <w:spacing w:line="240" w:lineRule="exact"/>
              <w:rPr>
                <w:rFonts w:ascii="宋体" w:hAnsi="宋体" w:eastAsia="宋体" w:cs="宋体"/>
                <w:sz w:val="18"/>
                <w:szCs w:val="18"/>
              </w:rPr>
            </w:pPr>
            <w:r>
              <w:rPr>
                <w:rFonts w:ascii="宋体" w:hAnsi="宋体" w:eastAsia="宋体" w:cs="宋体"/>
                <w:sz w:val="18"/>
                <w:szCs w:val="18"/>
              </w:rPr>
              <w:t>是</w:t>
            </w:r>
          </w:p>
        </w:tc>
      </w:tr>
      <w:tr w14:paraId="0640B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7" w:type="dxa"/>
            <w:tcBorders>
              <w:top w:val="single" w:color="auto" w:sz="2" w:space="0"/>
              <w:left w:val="single" w:color="auto" w:sz="2" w:space="0"/>
              <w:bottom w:val="single" w:color="auto" w:sz="2" w:space="0"/>
              <w:right w:val="single" w:color="auto" w:sz="2" w:space="0"/>
            </w:tcBorders>
            <w:vAlign w:val="center"/>
          </w:tcPr>
          <w:p w14:paraId="37FC03D8">
            <w:pPr>
              <w:spacing w:line="240" w:lineRule="exact"/>
              <w:rPr>
                <w:rFonts w:ascii="宋体" w:hAnsi="宋体" w:eastAsia="宋体" w:cs="宋体"/>
                <w:sz w:val="18"/>
                <w:szCs w:val="18"/>
              </w:rPr>
            </w:pPr>
            <w:r>
              <w:rPr>
                <w:rFonts w:ascii="宋体" w:hAnsi="宋体" w:eastAsia="宋体" w:cs="宋体"/>
                <w:sz w:val="18"/>
                <w:szCs w:val="18"/>
              </w:rPr>
              <w:t>黄亚英</w:t>
            </w:r>
          </w:p>
        </w:tc>
        <w:tc>
          <w:tcPr>
            <w:tcW w:w="1606" w:type="dxa"/>
            <w:tcBorders>
              <w:top w:val="single" w:color="auto" w:sz="2" w:space="0"/>
              <w:left w:val="single" w:color="auto" w:sz="2" w:space="0"/>
              <w:bottom w:val="single" w:color="auto" w:sz="2" w:space="0"/>
              <w:right w:val="single" w:color="auto" w:sz="2" w:space="0"/>
            </w:tcBorders>
            <w:vAlign w:val="center"/>
          </w:tcPr>
          <w:p w14:paraId="706496F1">
            <w:pPr>
              <w:spacing w:line="240" w:lineRule="exact"/>
              <w:rPr>
                <w:rFonts w:ascii="宋体" w:hAnsi="宋体" w:eastAsia="宋体" w:cs="宋体"/>
                <w:sz w:val="18"/>
                <w:szCs w:val="18"/>
              </w:rPr>
            </w:pPr>
            <w:r>
              <w:rPr>
                <w:rFonts w:ascii="宋体" w:hAnsi="宋体" w:eastAsia="宋体" w:cs="宋体"/>
                <w:sz w:val="18"/>
                <w:szCs w:val="18"/>
              </w:rPr>
              <w:t>深圳市力合科创股份有限公司</w:t>
            </w:r>
          </w:p>
        </w:tc>
        <w:tc>
          <w:tcPr>
            <w:tcW w:w="1323" w:type="dxa"/>
            <w:tcBorders>
              <w:top w:val="single" w:color="auto" w:sz="2" w:space="0"/>
              <w:left w:val="single" w:color="auto" w:sz="2" w:space="0"/>
              <w:bottom w:val="single" w:color="auto" w:sz="2" w:space="0"/>
              <w:right w:val="single" w:color="auto" w:sz="2" w:space="0"/>
            </w:tcBorders>
            <w:vAlign w:val="center"/>
          </w:tcPr>
          <w:p w14:paraId="2BAC3CA9">
            <w:pPr>
              <w:spacing w:line="240" w:lineRule="exact"/>
              <w:rPr>
                <w:rFonts w:ascii="宋体" w:hAnsi="宋体" w:eastAsia="宋体" w:cs="宋体"/>
                <w:sz w:val="18"/>
                <w:szCs w:val="18"/>
              </w:rPr>
            </w:pPr>
            <w:r>
              <w:rPr>
                <w:rFonts w:ascii="宋体" w:hAnsi="宋体" w:eastAsia="宋体" w:cs="宋体"/>
                <w:sz w:val="18"/>
                <w:szCs w:val="18"/>
              </w:rPr>
              <w:t>独立董事</w:t>
            </w:r>
          </w:p>
        </w:tc>
        <w:tc>
          <w:tcPr>
            <w:tcW w:w="1843" w:type="dxa"/>
            <w:tcBorders>
              <w:top w:val="single" w:color="auto" w:sz="2" w:space="0"/>
              <w:left w:val="single" w:color="auto" w:sz="2" w:space="0"/>
              <w:bottom w:val="single" w:color="auto" w:sz="2" w:space="0"/>
              <w:right w:val="single" w:color="auto" w:sz="2" w:space="0"/>
            </w:tcBorders>
            <w:vAlign w:val="center"/>
          </w:tcPr>
          <w:p w14:paraId="63486A65">
            <w:pPr>
              <w:spacing w:line="240" w:lineRule="exact"/>
              <w:rPr>
                <w:rFonts w:ascii="宋体" w:hAnsi="宋体" w:eastAsia="宋体" w:cs="宋体"/>
                <w:sz w:val="18"/>
                <w:szCs w:val="18"/>
              </w:rPr>
            </w:pPr>
            <w:r>
              <w:rPr>
                <w:rFonts w:ascii="宋体" w:hAnsi="宋体" w:eastAsia="宋体" w:cs="宋体"/>
                <w:sz w:val="18"/>
                <w:szCs w:val="18"/>
              </w:rPr>
              <w:t>2020年02月10日</w:t>
            </w:r>
          </w:p>
        </w:tc>
        <w:tc>
          <w:tcPr>
            <w:tcW w:w="1701" w:type="dxa"/>
            <w:tcBorders>
              <w:top w:val="single" w:color="auto" w:sz="2" w:space="0"/>
              <w:left w:val="single" w:color="auto" w:sz="2" w:space="0"/>
              <w:bottom w:val="single" w:color="auto" w:sz="2" w:space="0"/>
              <w:right w:val="single" w:color="auto" w:sz="2" w:space="0"/>
            </w:tcBorders>
            <w:vAlign w:val="center"/>
          </w:tcPr>
          <w:p w14:paraId="3EB485BB">
            <w:pPr>
              <w:spacing w:line="240" w:lineRule="exact"/>
              <w:rPr>
                <w:rFonts w:ascii="宋体" w:hAnsi="宋体" w:eastAsia="宋体" w:cs="宋体"/>
                <w:sz w:val="18"/>
                <w:szCs w:val="18"/>
              </w:rPr>
            </w:pPr>
            <w:r>
              <w:rPr>
                <w:rFonts w:ascii="宋体" w:hAnsi="宋体" w:eastAsia="宋体" w:cs="宋体"/>
                <w:sz w:val="18"/>
                <w:szCs w:val="18"/>
              </w:rPr>
              <w:t>2025年02月06日</w:t>
            </w:r>
          </w:p>
        </w:tc>
        <w:tc>
          <w:tcPr>
            <w:tcW w:w="1559" w:type="dxa"/>
            <w:tcBorders>
              <w:top w:val="single" w:color="auto" w:sz="2" w:space="0"/>
              <w:left w:val="single" w:color="auto" w:sz="2" w:space="0"/>
              <w:bottom w:val="single" w:color="auto" w:sz="2" w:space="0"/>
              <w:right w:val="single" w:color="auto" w:sz="2" w:space="0"/>
            </w:tcBorders>
            <w:vAlign w:val="center"/>
          </w:tcPr>
          <w:p w14:paraId="7DFA8240">
            <w:pPr>
              <w:spacing w:line="240" w:lineRule="exact"/>
              <w:rPr>
                <w:rFonts w:ascii="宋体" w:hAnsi="宋体" w:eastAsia="宋体" w:cs="宋体"/>
                <w:sz w:val="18"/>
                <w:szCs w:val="18"/>
              </w:rPr>
            </w:pPr>
            <w:r>
              <w:rPr>
                <w:rFonts w:ascii="宋体" w:hAnsi="宋体" w:eastAsia="宋体" w:cs="宋体"/>
                <w:sz w:val="18"/>
                <w:szCs w:val="18"/>
              </w:rPr>
              <w:t>是</w:t>
            </w:r>
          </w:p>
        </w:tc>
      </w:tr>
      <w:tr w14:paraId="647B0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7" w:type="dxa"/>
            <w:tcBorders>
              <w:top w:val="single" w:color="auto" w:sz="2" w:space="0"/>
              <w:left w:val="single" w:color="auto" w:sz="2" w:space="0"/>
              <w:bottom w:val="single" w:color="auto" w:sz="2" w:space="0"/>
              <w:right w:val="single" w:color="auto" w:sz="2" w:space="0"/>
            </w:tcBorders>
            <w:vAlign w:val="center"/>
          </w:tcPr>
          <w:p w14:paraId="01A69DEB">
            <w:pPr>
              <w:spacing w:line="240" w:lineRule="exact"/>
              <w:rPr>
                <w:rFonts w:ascii="宋体" w:hAnsi="宋体" w:eastAsia="宋体" w:cs="宋体"/>
                <w:sz w:val="18"/>
                <w:szCs w:val="18"/>
              </w:rPr>
            </w:pPr>
            <w:r>
              <w:rPr>
                <w:rFonts w:ascii="宋体" w:hAnsi="宋体" w:eastAsia="宋体" w:cs="宋体"/>
                <w:sz w:val="18"/>
                <w:szCs w:val="18"/>
              </w:rPr>
              <w:t>黄亚英</w:t>
            </w:r>
          </w:p>
        </w:tc>
        <w:tc>
          <w:tcPr>
            <w:tcW w:w="1606" w:type="dxa"/>
            <w:tcBorders>
              <w:top w:val="single" w:color="auto" w:sz="2" w:space="0"/>
              <w:left w:val="single" w:color="auto" w:sz="2" w:space="0"/>
              <w:bottom w:val="single" w:color="auto" w:sz="2" w:space="0"/>
              <w:right w:val="single" w:color="auto" w:sz="2" w:space="0"/>
            </w:tcBorders>
            <w:vAlign w:val="center"/>
          </w:tcPr>
          <w:p w14:paraId="130B2B83">
            <w:pPr>
              <w:spacing w:line="240" w:lineRule="exact"/>
              <w:rPr>
                <w:rFonts w:ascii="宋体" w:hAnsi="宋体" w:eastAsia="宋体" w:cs="宋体"/>
                <w:sz w:val="18"/>
                <w:szCs w:val="18"/>
              </w:rPr>
            </w:pPr>
            <w:r>
              <w:rPr>
                <w:rFonts w:ascii="宋体" w:hAnsi="宋体" w:eastAsia="宋体" w:cs="宋体"/>
                <w:sz w:val="18"/>
                <w:szCs w:val="18"/>
              </w:rPr>
              <w:t>深南电路股份有限公司</w:t>
            </w:r>
          </w:p>
        </w:tc>
        <w:tc>
          <w:tcPr>
            <w:tcW w:w="1323" w:type="dxa"/>
            <w:tcBorders>
              <w:top w:val="single" w:color="auto" w:sz="2" w:space="0"/>
              <w:left w:val="single" w:color="auto" w:sz="2" w:space="0"/>
              <w:bottom w:val="single" w:color="auto" w:sz="2" w:space="0"/>
              <w:right w:val="single" w:color="auto" w:sz="2" w:space="0"/>
            </w:tcBorders>
            <w:vAlign w:val="center"/>
          </w:tcPr>
          <w:p w14:paraId="76B28AB0">
            <w:pPr>
              <w:spacing w:line="240" w:lineRule="exact"/>
              <w:rPr>
                <w:rFonts w:ascii="宋体" w:hAnsi="宋体" w:eastAsia="宋体" w:cs="宋体"/>
                <w:sz w:val="18"/>
                <w:szCs w:val="18"/>
              </w:rPr>
            </w:pPr>
            <w:r>
              <w:rPr>
                <w:rFonts w:ascii="宋体" w:hAnsi="宋体" w:eastAsia="宋体" w:cs="宋体"/>
                <w:sz w:val="18"/>
                <w:szCs w:val="18"/>
              </w:rPr>
              <w:t>独立董事</w:t>
            </w:r>
          </w:p>
        </w:tc>
        <w:tc>
          <w:tcPr>
            <w:tcW w:w="1843" w:type="dxa"/>
            <w:tcBorders>
              <w:top w:val="single" w:color="auto" w:sz="2" w:space="0"/>
              <w:left w:val="single" w:color="auto" w:sz="2" w:space="0"/>
              <w:bottom w:val="single" w:color="auto" w:sz="2" w:space="0"/>
              <w:right w:val="single" w:color="auto" w:sz="2" w:space="0"/>
            </w:tcBorders>
            <w:vAlign w:val="center"/>
          </w:tcPr>
          <w:p w14:paraId="27B3E96C">
            <w:pPr>
              <w:spacing w:line="240" w:lineRule="exact"/>
              <w:rPr>
                <w:rFonts w:ascii="宋体" w:hAnsi="宋体" w:eastAsia="宋体" w:cs="宋体"/>
                <w:sz w:val="18"/>
                <w:szCs w:val="18"/>
              </w:rPr>
            </w:pPr>
            <w:r>
              <w:rPr>
                <w:rFonts w:ascii="宋体" w:hAnsi="宋体" w:eastAsia="宋体" w:cs="宋体"/>
                <w:sz w:val="18"/>
                <w:szCs w:val="18"/>
              </w:rPr>
              <w:t>2021年04月06日</w:t>
            </w:r>
          </w:p>
        </w:tc>
        <w:tc>
          <w:tcPr>
            <w:tcW w:w="1701" w:type="dxa"/>
            <w:tcBorders>
              <w:top w:val="single" w:color="auto" w:sz="2" w:space="0"/>
              <w:left w:val="single" w:color="auto" w:sz="2" w:space="0"/>
              <w:bottom w:val="single" w:color="auto" w:sz="2" w:space="0"/>
              <w:right w:val="single" w:color="auto" w:sz="2" w:space="0"/>
            </w:tcBorders>
            <w:vAlign w:val="center"/>
          </w:tcPr>
          <w:p w14:paraId="5C0CD4F7">
            <w:pPr>
              <w:spacing w:line="240" w:lineRule="exact"/>
              <w:rPr>
                <w:rFonts w:ascii="宋体" w:hAnsi="宋体" w:eastAsia="宋体" w:cs="宋体"/>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14:paraId="4DCEA1E4">
            <w:pPr>
              <w:spacing w:line="240" w:lineRule="exact"/>
              <w:rPr>
                <w:rFonts w:ascii="宋体" w:hAnsi="宋体" w:eastAsia="宋体" w:cs="宋体"/>
                <w:sz w:val="18"/>
                <w:szCs w:val="18"/>
              </w:rPr>
            </w:pPr>
            <w:r>
              <w:rPr>
                <w:rFonts w:ascii="宋体" w:hAnsi="宋体" w:eastAsia="宋体" w:cs="宋体"/>
                <w:sz w:val="18"/>
                <w:szCs w:val="18"/>
              </w:rPr>
              <w:t>是</w:t>
            </w:r>
          </w:p>
        </w:tc>
      </w:tr>
      <w:tr w14:paraId="7C0B3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7" w:type="dxa"/>
            <w:tcBorders>
              <w:top w:val="single" w:color="auto" w:sz="2" w:space="0"/>
              <w:left w:val="single" w:color="auto" w:sz="2" w:space="0"/>
              <w:bottom w:val="single" w:color="auto" w:sz="2" w:space="0"/>
              <w:right w:val="single" w:color="auto" w:sz="2" w:space="0"/>
            </w:tcBorders>
            <w:vAlign w:val="center"/>
          </w:tcPr>
          <w:p w14:paraId="5D573697">
            <w:pPr>
              <w:spacing w:line="240" w:lineRule="exact"/>
              <w:rPr>
                <w:rFonts w:ascii="宋体" w:hAnsi="宋体" w:eastAsia="宋体" w:cs="宋体"/>
                <w:sz w:val="18"/>
                <w:szCs w:val="18"/>
              </w:rPr>
            </w:pPr>
            <w:r>
              <w:rPr>
                <w:rFonts w:ascii="宋体" w:hAnsi="宋体" w:eastAsia="宋体" w:cs="宋体"/>
                <w:sz w:val="18"/>
                <w:szCs w:val="18"/>
              </w:rPr>
              <w:t>刁英峰</w:t>
            </w:r>
          </w:p>
        </w:tc>
        <w:tc>
          <w:tcPr>
            <w:tcW w:w="1606" w:type="dxa"/>
            <w:tcBorders>
              <w:top w:val="single" w:color="auto" w:sz="2" w:space="0"/>
              <w:left w:val="single" w:color="auto" w:sz="2" w:space="0"/>
              <w:bottom w:val="single" w:color="auto" w:sz="2" w:space="0"/>
              <w:right w:val="single" w:color="auto" w:sz="2" w:space="0"/>
            </w:tcBorders>
            <w:vAlign w:val="center"/>
          </w:tcPr>
          <w:p w14:paraId="70795953">
            <w:pPr>
              <w:spacing w:line="240" w:lineRule="exact"/>
              <w:rPr>
                <w:rFonts w:ascii="宋体" w:hAnsi="宋体" w:eastAsia="宋体" w:cs="宋体"/>
                <w:sz w:val="18"/>
                <w:szCs w:val="18"/>
              </w:rPr>
            </w:pPr>
            <w:r>
              <w:rPr>
                <w:rFonts w:ascii="宋体" w:hAnsi="宋体" w:eastAsia="宋体" w:cs="宋体"/>
                <w:sz w:val="18"/>
                <w:szCs w:val="18"/>
              </w:rPr>
              <w:t>立信税务师事务所有限公司</w:t>
            </w:r>
          </w:p>
        </w:tc>
        <w:tc>
          <w:tcPr>
            <w:tcW w:w="1323" w:type="dxa"/>
            <w:tcBorders>
              <w:top w:val="single" w:color="auto" w:sz="2" w:space="0"/>
              <w:left w:val="single" w:color="auto" w:sz="2" w:space="0"/>
              <w:bottom w:val="single" w:color="auto" w:sz="2" w:space="0"/>
              <w:right w:val="single" w:color="auto" w:sz="2" w:space="0"/>
            </w:tcBorders>
            <w:vAlign w:val="center"/>
          </w:tcPr>
          <w:p w14:paraId="27F0325A">
            <w:pPr>
              <w:spacing w:line="240" w:lineRule="exact"/>
              <w:rPr>
                <w:rFonts w:ascii="宋体" w:hAnsi="宋体" w:eastAsia="宋体" w:cs="宋体"/>
                <w:sz w:val="18"/>
                <w:szCs w:val="18"/>
              </w:rPr>
            </w:pPr>
            <w:r>
              <w:rPr>
                <w:rFonts w:ascii="宋体" w:hAnsi="宋体" w:eastAsia="宋体" w:cs="宋体"/>
                <w:sz w:val="18"/>
                <w:szCs w:val="18"/>
              </w:rPr>
              <w:t>董事</w:t>
            </w:r>
          </w:p>
        </w:tc>
        <w:tc>
          <w:tcPr>
            <w:tcW w:w="1843" w:type="dxa"/>
            <w:tcBorders>
              <w:top w:val="single" w:color="auto" w:sz="2" w:space="0"/>
              <w:left w:val="single" w:color="auto" w:sz="2" w:space="0"/>
              <w:bottom w:val="single" w:color="auto" w:sz="2" w:space="0"/>
              <w:right w:val="single" w:color="auto" w:sz="2" w:space="0"/>
            </w:tcBorders>
            <w:vAlign w:val="center"/>
          </w:tcPr>
          <w:p w14:paraId="26438105">
            <w:pPr>
              <w:spacing w:line="240" w:lineRule="exact"/>
              <w:rPr>
                <w:rFonts w:ascii="宋体" w:hAnsi="宋体" w:eastAsia="宋体" w:cs="宋体"/>
                <w:sz w:val="18"/>
                <w:szCs w:val="18"/>
              </w:rPr>
            </w:pPr>
            <w:r>
              <w:rPr>
                <w:rFonts w:ascii="宋体" w:hAnsi="宋体" w:eastAsia="宋体" w:cs="宋体"/>
                <w:sz w:val="18"/>
                <w:szCs w:val="18"/>
              </w:rPr>
              <w:t>2023年07月05日</w:t>
            </w:r>
          </w:p>
        </w:tc>
        <w:tc>
          <w:tcPr>
            <w:tcW w:w="1701" w:type="dxa"/>
            <w:tcBorders>
              <w:top w:val="single" w:color="auto" w:sz="2" w:space="0"/>
              <w:left w:val="single" w:color="auto" w:sz="2" w:space="0"/>
              <w:bottom w:val="single" w:color="auto" w:sz="2" w:space="0"/>
              <w:right w:val="single" w:color="auto" w:sz="2" w:space="0"/>
            </w:tcBorders>
            <w:vAlign w:val="center"/>
          </w:tcPr>
          <w:p w14:paraId="2AA51B32">
            <w:pPr>
              <w:spacing w:line="240" w:lineRule="exact"/>
              <w:rPr>
                <w:rFonts w:ascii="宋体" w:hAnsi="宋体" w:eastAsia="宋体" w:cs="宋体"/>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14:paraId="5AC85088">
            <w:pPr>
              <w:spacing w:line="240" w:lineRule="exact"/>
              <w:rPr>
                <w:rFonts w:ascii="宋体" w:hAnsi="宋体" w:eastAsia="宋体" w:cs="宋体"/>
                <w:sz w:val="18"/>
                <w:szCs w:val="18"/>
              </w:rPr>
            </w:pPr>
            <w:r>
              <w:rPr>
                <w:rFonts w:ascii="宋体" w:hAnsi="宋体" w:eastAsia="宋体" w:cs="宋体"/>
                <w:sz w:val="18"/>
                <w:szCs w:val="18"/>
              </w:rPr>
              <w:t>是</w:t>
            </w:r>
          </w:p>
        </w:tc>
      </w:tr>
      <w:tr w14:paraId="181C6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7" w:type="dxa"/>
            <w:tcBorders>
              <w:top w:val="single" w:color="auto" w:sz="2" w:space="0"/>
              <w:left w:val="single" w:color="auto" w:sz="2" w:space="0"/>
              <w:bottom w:val="single" w:color="auto" w:sz="2" w:space="0"/>
              <w:right w:val="single" w:color="auto" w:sz="2" w:space="0"/>
            </w:tcBorders>
            <w:vAlign w:val="center"/>
          </w:tcPr>
          <w:p w14:paraId="7831FBEA">
            <w:pPr>
              <w:spacing w:line="240" w:lineRule="exact"/>
              <w:rPr>
                <w:rFonts w:ascii="宋体" w:hAnsi="宋体" w:eastAsia="宋体" w:cs="宋体"/>
                <w:sz w:val="18"/>
                <w:szCs w:val="18"/>
              </w:rPr>
            </w:pPr>
            <w:r>
              <w:rPr>
                <w:rFonts w:ascii="宋体" w:hAnsi="宋体" w:eastAsia="宋体" w:cs="宋体"/>
                <w:sz w:val="18"/>
                <w:szCs w:val="18"/>
              </w:rPr>
              <w:t>刁英峰</w:t>
            </w:r>
          </w:p>
        </w:tc>
        <w:tc>
          <w:tcPr>
            <w:tcW w:w="1606" w:type="dxa"/>
            <w:tcBorders>
              <w:top w:val="single" w:color="auto" w:sz="2" w:space="0"/>
              <w:left w:val="single" w:color="auto" w:sz="2" w:space="0"/>
              <w:bottom w:val="single" w:color="auto" w:sz="2" w:space="0"/>
              <w:right w:val="single" w:color="auto" w:sz="2" w:space="0"/>
            </w:tcBorders>
            <w:vAlign w:val="center"/>
          </w:tcPr>
          <w:p w14:paraId="32576E67">
            <w:pPr>
              <w:spacing w:line="240" w:lineRule="exact"/>
              <w:rPr>
                <w:rFonts w:ascii="宋体" w:hAnsi="宋体" w:eastAsia="宋体" w:cs="宋体"/>
                <w:sz w:val="18"/>
                <w:szCs w:val="18"/>
              </w:rPr>
            </w:pPr>
            <w:r>
              <w:rPr>
                <w:rFonts w:ascii="宋体" w:hAnsi="宋体" w:eastAsia="宋体" w:cs="宋体"/>
                <w:sz w:val="18"/>
                <w:szCs w:val="18"/>
              </w:rPr>
              <w:t>立信德豪税务师事务所（深圳）有限公司</w:t>
            </w:r>
          </w:p>
        </w:tc>
        <w:tc>
          <w:tcPr>
            <w:tcW w:w="1323" w:type="dxa"/>
            <w:tcBorders>
              <w:top w:val="single" w:color="auto" w:sz="2" w:space="0"/>
              <w:left w:val="single" w:color="auto" w:sz="2" w:space="0"/>
              <w:bottom w:val="single" w:color="auto" w:sz="2" w:space="0"/>
              <w:right w:val="single" w:color="auto" w:sz="2" w:space="0"/>
            </w:tcBorders>
            <w:vAlign w:val="center"/>
          </w:tcPr>
          <w:p w14:paraId="0B3A3470">
            <w:pPr>
              <w:spacing w:line="240" w:lineRule="exact"/>
              <w:rPr>
                <w:rFonts w:ascii="宋体" w:hAnsi="宋体" w:eastAsia="宋体" w:cs="宋体"/>
                <w:sz w:val="18"/>
                <w:szCs w:val="18"/>
              </w:rPr>
            </w:pPr>
            <w:r>
              <w:rPr>
                <w:rFonts w:ascii="宋体" w:hAnsi="宋体" w:eastAsia="宋体" w:cs="宋体"/>
                <w:sz w:val="18"/>
                <w:szCs w:val="18"/>
              </w:rPr>
              <w:t>总经理、执行董事</w:t>
            </w:r>
          </w:p>
        </w:tc>
        <w:tc>
          <w:tcPr>
            <w:tcW w:w="1843" w:type="dxa"/>
            <w:tcBorders>
              <w:top w:val="single" w:color="auto" w:sz="2" w:space="0"/>
              <w:left w:val="single" w:color="auto" w:sz="2" w:space="0"/>
              <w:bottom w:val="single" w:color="auto" w:sz="2" w:space="0"/>
              <w:right w:val="single" w:color="auto" w:sz="2" w:space="0"/>
            </w:tcBorders>
            <w:vAlign w:val="center"/>
          </w:tcPr>
          <w:p w14:paraId="7A4D3018">
            <w:pPr>
              <w:spacing w:line="240" w:lineRule="exact"/>
              <w:rPr>
                <w:rFonts w:ascii="宋体" w:hAnsi="宋体" w:eastAsia="宋体" w:cs="宋体"/>
                <w:sz w:val="18"/>
                <w:szCs w:val="18"/>
              </w:rPr>
            </w:pPr>
            <w:r>
              <w:rPr>
                <w:rFonts w:ascii="宋体" w:hAnsi="宋体" w:eastAsia="宋体" w:cs="宋体"/>
                <w:sz w:val="18"/>
                <w:szCs w:val="18"/>
              </w:rPr>
              <w:t>2021年11月02日</w:t>
            </w:r>
          </w:p>
        </w:tc>
        <w:tc>
          <w:tcPr>
            <w:tcW w:w="1701" w:type="dxa"/>
            <w:tcBorders>
              <w:top w:val="single" w:color="auto" w:sz="2" w:space="0"/>
              <w:left w:val="single" w:color="auto" w:sz="2" w:space="0"/>
              <w:bottom w:val="single" w:color="auto" w:sz="2" w:space="0"/>
              <w:right w:val="single" w:color="auto" w:sz="2" w:space="0"/>
            </w:tcBorders>
            <w:vAlign w:val="center"/>
          </w:tcPr>
          <w:p w14:paraId="519E660A">
            <w:pPr>
              <w:spacing w:line="240" w:lineRule="exact"/>
              <w:rPr>
                <w:rFonts w:ascii="宋体" w:hAnsi="宋体" w:eastAsia="宋体" w:cs="宋体"/>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14:paraId="41784C33">
            <w:pPr>
              <w:spacing w:line="240" w:lineRule="exact"/>
              <w:rPr>
                <w:rFonts w:ascii="宋体" w:hAnsi="宋体" w:eastAsia="宋体" w:cs="宋体"/>
                <w:sz w:val="18"/>
                <w:szCs w:val="18"/>
              </w:rPr>
            </w:pPr>
            <w:r>
              <w:rPr>
                <w:rFonts w:ascii="宋体" w:hAnsi="宋体" w:eastAsia="宋体" w:cs="宋体"/>
                <w:sz w:val="18"/>
                <w:szCs w:val="18"/>
              </w:rPr>
              <w:t>是</w:t>
            </w:r>
          </w:p>
        </w:tc>
      </w:tr>
      <w:tr w14:paraId="73808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7" w:type="dxa"/>
            <w:tcBorders>
              <w:top w:val="single" w:color="auto" w:sz="2" w:space="0"/>
              <w:left w:val="single" w:color="auto" w:sz="2" w:space="0"/>
              <w:bottom w:val="single" w:color="auto" w:sz="2" w:space="0"/>
              <w:right w:val="single" w:color="auto" w:sz="2" w:space="0"/>
            </w:tcBorders>
            <w:vAlign w:val="center"/>
          </w:tcPr>
          <w:p w14:paraId="060561AD">
            <w:pPr>
              <w:spacing w:line="240" w:lineRule="exact"/>
              <w:rPr>
                <w:rFonts w:ascii="宋体" w:hAnsi="宋体" w:eastAsia="宋体" w:cs="宋体"/>
                <w:sz w:val="18"/>
                <w:szCs w:val="18"/>
              </w:rPr>
            </w:pPr>
            <w:r>
              <w:rPr>
                <w:rFonts w:ascii="宋体" w:hAnsi="宋体" w:eastAsia="宋体" w:cs="宋体"/>
                <w:sz w:val="18"/>
                <w:szCs w:val="18"/>
              </w:rPr>
              <w:t>刁英峰</w:t>
            </w:r>
          </w:p>
        </w:tc>
        <w:tc>
          <w:tcPr>
            <w:tcW w:w="1606" w:type="dxa"/>
            <w:tcBorders>
              <w:top w:val="single" w:color="auto" w:sz="2" w:space="0"/>
              <w:left w:val="single" w:color="auto" w:sz="2" w:space="0"/>
              <w:bottom w:val="single" w:color="auto" w:sz="2" w:space="0"/>
              <w:right w:val="single" w:color="auto" w:sz="2" w:space="0"/>
            </w:tcBorders>
            <w:vAlign w:val="center"/>
          </w:tcPr>
          <w:p w14:paraId="08E75FF1">
            <w:pPr>
              <w:spacing w:line="240" w:lineRule="exact"/>
              <w:rPr>
                <w:rFonts w:ascii="宋体" w:hAnsi="宋体" w:eastAsia="宋体" w:cs="宋体"/>
                <w:sz w:val="18"/>
                <w:szCs w:val="18"/>
              </w:rPr>
            </w:pPr>
            <w:r>
              <w:rPr>
                <w:rFonts w:ascii="宋体" w:hAnsi="宋体" w:eastAsia="宋体" w:cs="宋体"/>
                <w:sz w:val="18"/>
                <w:szCs w:val="18"/>
              </w:rPr>
              <w:t>广东塔牌集团股份有限公司</w:t>
            </w:r>
          </w:p>
        </w:tc>
        <w:tc>
          <w:tcPr>
            <w:tcW w:w="1323" w:type="dxa"/>
            <w:tcBorders>
              <w:top w:val="single" w:color="auto" w:sz="2" w:space="0"/>
              <w:left w:val="single" w:color="auto" w:sz="2" w:space="0"/>
              <w:bottom w:val="single" w:color="auto" w:sz="2" w:space="0"/>
              <w:right w:val="single" w:color="auto" w:sz="2" w:space="0"/>
            </w:tcBorders>
            <w:vAlign w:val="center"/>
          </w:tcPr>
          <w:p w14:paraId="5DCEFAC6">
            <w:pPr>
              <w:spacing w:line="240" w:lineRule="exact"/>
              <w:rPr>
                <w:rFonts w:ascii="宋体" w:hAnsi="宋体" w:eastAsia="宋体" w:cs="宋体"/>
                <w:sz w:val="18"/>
                <w:szCs w:val="18"/>
              </w:rPr>
            </w:pPr>
            <w:r>
              <w:rPr>
                <w:rFonts w:ascii="宋体" w:hAnsi="宋体" w:eastAsia="宋体" w:cs="宋体"/>
                <w:sz w:val="18"/>
                <w:szCs w:val="18"/>
              </w:rPr>
              <w:t>独立董事</w:t>
            </w:r>
          </w:p>
        </w:tc>
        <w:tc>
          <w:tcPr>
            <w:tcW w:w="1843" w:type="dxa"/>
            <w:tcBorders>
              <w:top w:val="single" w:color="auto" w:sz="2" w:space="0"/>
              <w:left w:val="single" w:color="auto" w:sz="2" w:space="0"/>
              <w:bottom w:val="single" w:color="auto" w:sz="2" w:space="0"/>
              <w:right w:val="single" w:color="auto" w:sz="2" w:space="0"/>
            </w:tcBorders>
            <w:vAlign w:val="center"/>
          </w:tcPr>
          <w:p w14:paraId="74520078">
            <w:pPr>
              <w:spacing w:line="240" w:lineRule="exact"/>
              <w:rPr>
                <w:rFonts w:ascii="宋体" w:hAnsi="宋体" w:eastAsia="宋体" w:cs="宋体"/>
                <w:sz w:val="18"/>
                <w:szCs w:val="18"/>
              </w:rPr>
            </w:pPr>
            <w:r>
              <w:rPr>
                <w:rFonts w:ascii="宋体" w:hAnsi="宋体" w:eastAsia="宋体" w:cs="宋体"/>
                <w:sz w:val="18"/>
                <w:szCs w:val="18"/>
              </w:rPr>
              <w:t>2025年04月29日</w:t>
            </w:r>
          </w:p>
        </w:tc>
        <w:tc>
          <w:tcPr>
            <w:tcW w:w="1701" w:type="dxa"/>
            <w:tcBorders>
              <w:top w:val="single" w:color="auto" w:sz="2" w:space="0"/>
              <w:left w:val="single" w:color="auto" w:sz="2" w:space="0"/>
              <w:bottom w:val="single" w:color="auto" w:sz="2" w:space="0"/>
              <w:right w:val="single" w:color="auto" w:sz="2" w:space="0"/>
            </w:tcBorders>
            <w:vAlign w:val="center"/>
          </w:tcPr>
          <w:p w14:paraId="46BD968A">
            <w:pPr>
              <w:spacing w:line="240" w:lineRule="exact"/>
              <w:rPr>
                <w:rFonts w:ascii="宋体" w:hAnsi="宋体" w:eastAsia="宋体" w:cs="宋体"/>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14:paraId="0048B2DE">
            <w:pPr>
              <w:spacing w:line="240" w:lineRule="exact"/>
              <w:rPr>
                <w:rFonts w:ascii="宋体" w:hAnsi="宋体" w:eastAsia="宋体" w:cs="宋体"/>
                <w:sz w:val="18"/>
                <w:szCs w:val="18"/>
              </w:rPr>
            </w:pPr>
            <w:r>
              <w:rPr>
                <w:rFonts w:ascii="宋体" w:hAnsi="宋体" w:eastAsia="宋体" w:cs="宋体"/>
                <w:sz w:val="18"/>
                <w:szCs w:val="18"/>
              </w:rPr>
              <w:t>是</w:t>
            </w:r>
          </w:p>
        </w:tc>
      </w:tr>
      <w:tr w14:paraId="2BBF7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7" w:type="dxa"/>
            <w:tcBorders>
              <w:top w:val="single" w:color="auto" w:sz="2" w:space="0"/>
              <w:left w:val="single" w:color="auto" w:sz="2" w:space="0"/>
              <w:bottom w:val="single" w:color="auto" w:sz="2" w:space="0"/>
              <w:right w:val="single" w:color="auto" w:sz="2" w:space="0"/>
            </w:tcBorders>
            <w:vAlign w:val="center"/>
          </w:tcPr>
          <w:p w14:paraId="4E8A9371">
            <w:pPr>
              <w:spacing w:line="240" w:lineRule="exact"/>
              <w:rPr>
                <w:rFonts w:ascii="宋体" w:hAnsi="宋体" w:eastAsia="宋体" w:cs="宋体"/>
                <w:sz w:val="18"/>
                <w:szCs w:val="18"/>
              </w:rPr>
            </w:pPr>
            <w:r>
              <w:rPr>
                <w:rFonts w:ascii="宋体" w:hAnsi="宋体" w:eastAsia="宋体" w:cs="宋体"/>
                <w:sz w:val="18"/>
                <w:szCs w:val="18"/>
              </w:rPr>
              <w:t>宋海涛</w:t>
            </w:r>
          </w:p>
        </w:tc>
        <w:tc>
          <w:tcPr>
            <w:tcW w:w="1606" w:type="dxa"/>
            <w:tcBorders>
              <w:top w:val="single" w:color="auto" w:sz="2" w:space="0"/>
              <w:left w:val="single" w:color="auto" w:sz="2" w:space="0"/>
              <w:bottom w:val="single" w:color="auto" w:sz="2" w:space="0"/>
              <w:right w:val="single" w:color="auto" w:sz="2" w:space="0"/>
            </w:tcBorders>
            <w:vAlign w:val="center"/>
          </w:tcPr>
          <w:p w14:paraId="379E7E7C">
            <w:pPr>
              <w:spacing w:line="240" w:lineRule="exact"/>
              <w:rPr>
                <w:rFonts w:ascii="宋体" w:hAnsi="宋体" w:eastAsia="宋体" w:cs="宋体"/>
                <w:sz w:val="18"/>
                <w:szCs w:val="18"/>
              </w:rPr>
            </w:pPr>
            <w:r>
              <w:rPr>
                <w:rFonts w:ascii="宋体" w:hAnsi="宋体" w:eastAsia="宋体" w:cs="宋体"/>
                <w:sz w:val="18"/>
                <w:szCs w:val="18"/>
              </w:rPr>
              <w:t>上海交通大学人工智能研究院</w:t>
            </w:r>
          </w:p>
        </w:tc>
        <w:tc>
          <w:tcPr>
            <w:tcW w:w="1323" w:type="dxa"/>
            <w:tcBorders>
              <w:top w:val="single" w:color="auto" w:sz="2" w:space="0"/>
              <w:left w:val="single" w:color="auto" w:sz="2" w:space="0"/>
              <w:bottom w:val="single" w:color="auto" w:sz="2" w:space="0"/>
              <w:right w:val="single" w:color="auto" w:sz="2" w:space="0"/>
            </w:tcBorders>
            <w:vAlign w:val="center"/>
          </w:tcPr>
          <w:p w14:paraId="751DDDDA">
            <w:pPr>
              <w:spacing w:line="240" w:lineRule="exact"/>
              <w:rPr>
                <w:rFonts w:ascii="宋体" w:hAnsi="宋体" w:eastAsia="宋体" w:cs="宋体"/>
                <w:sz w:val="18"/>
                <w:szCs w:val="18"/>
              </w:rPr>
            </w:pPr>
            <w:r>
              <w:rPr>
                <w:rFonts w:ascii="宋体" w:hAnsi="宋体" w:eastAsia="宋体" w:cs="宋体"/>
                <w:sz w:val="18"/>
                <w:szCs w:val="18"/>
              </w:rPr>
              <w:t>副院长</w:t>
            </w:r>
          </w:p>
        </w:tc>
        <w:tc>
          <w:tcPr>
            <w:tcW w:w="1843" w:type="dxa"/>
            <w:tcBorders>
              <w:top w:val="single" w:color="auto" w:sz="2" w:space="0"/>
              <w:left w:val="single" w:color="auto" w:sz="2" w:space="0"/>
              <w:bottom w:val="single" w:color="auto" w:sz="2" w:space="0"/>
              <w:right w:val="single" w:color="auto" w:sz="2" w:space="0"/>
            </w:tcBorders>
            <w:vAlign w:val="center"/>
          </w:tcPr>
          <w:p w14:paraId="6CE9458A">
            <w:pPr>
              <w:spacing w:line="240" w:lineRule="exact"/>
              <w:rPr>
                <w:rFonts w:ascii="宋体" w:hAnsi="宋体" w:eastAsia="宋体" w:cs="宋体"/>
                <w:sz w:val="18"/>
                <w:szCs w:val="18"/>
              </w:rPr>
            </w:pPr>
            <w:r>
              <w:rPr>
                <w:rFonts w:ascii="宋体" w:hAnsi="宋体" w:eastAsia="宋体" w:cs="宋体"/>
                <w:sz w:val="18"/>
                <w:szCs w:val="18"/>
              </w:rPr>
              <w:t>2019年07月01日</w:t>
            </w:r>
          </w:p>
        </w:tc>
        <w:tc>
          <w:tcPr>
            <w:tcW w:w="1701" w:type="dxa"/>
            <w:tcBorders>
              <w:top w:val="single" w:color="auto" w:sz="2" w:space="0"/>
              <w:left w:val="single" w:color="auto" w:sz="2" w:space="0"/>
              <w:bottom w:val="single" w:color="auto" w:sz="2" w:space="0"/>
              <w:right w:val="single" w:color="auto" w:sz="2" w:space="0"/>
            </w:tcBorders>
            <w:vAlign w:val="center"/>
          </w:tcPr>
          <w:p w14:paraId="21AF5B7B">
            <w:pPr>
              <w:spacing w:line="240" w:lineRule="exact"/>
              <w:rPr>
                <w:rFonts w:ascii="宋体" w:hAnsi="宋体" w:eastAsia="宋体" w:cs="宋体"/>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14:paraId="7C720011">
            <w:pPr>
              <w:spacing w:line="240" w:lineRule="exact"/>
              <w:rPr>
                <w:rFonts w:ascii="宋体" w:hAnsi="宋体" w:eastAsia="宋体" w:cs="宋体"/>
                <w:sz w:val="18"/>
                <w:szCs w:val="18"/>
              </w:rPr>
            </w:pPr>
            <w:r>
              <w:rPr>
                <w:rFonts w:ascii="宋体" w:hAnsi="宋体" w:eastAsia="宋体" w:cs="宋体"/>
                <w:sz w:val="18"/>
                <w:szCs w:val="18"/>
              </w:rPr>
              <w:t>是</w:t>
            </w:r>
          </w:p>
        </w:tc>
      </w:tr>
      <w:tr w14:paraId="4D296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7" w:type="dxa"/>
            <w:tcBorders>
              <w:top w:val="single" w:color="auto" w:sz="2" w:space="0"/>
              <w:left w:val="single" w:color="auto" w:sz="2" w:space="0"/>
              <w:bottom w:val="single" w:color="auto" w:sz="2" w:space="0"/>
              <w:right w:val="single" w:color="auto" w:sz="2" w:space="0"/>
            </w:tcBorders>
            <w:vAlign w:val="center"/>
          </w:tcPr>
          <w:p w14:paraId="7D52AC15">
            <w:pPr>
              <w:spacing w:line="240" w:lineRule="exact"/>
              <w:rPr>
                <w:rFonts w:ascii="宋体" w:hAnsi="宋体" w:eastAsia="宋体" w:cs="宋体"/>
                <w:sz w:val="18"/>
                <w:szCs w:val="18"/>
              </w:rPr>
            </w:pPr>
            <w:r>
              <w:rPr>
                <w:rFonts w:ascii="宋体" w:hAnsi="宋体" w:eastAsia="宋体" w:cs="宋体"/>
                <w:sz w:val="18"/>
                <w:szCs w:val="18"/>
              </w:rPr>
              <w:t>宋海涛</w:t>
            </w:r>
          </w:p>
        </w:tc>
        <w:tc>
          <w:tcPr>
            <w:tcW w:w="1606" w:type="dxa"/>
            <w:tcBorders>
              <w:top w:val="single" w:color="auto" w:sz="2" w:space="0"/>
              <w:left w:val="single" w:color="auto" w:sz="2" w:space="0"/>
              <w:bottom w:val="single" w:color="auto" w:sz="2" w:space="0"/>
              <w:right w:val="single" w:color="auto" w:sz="2" w:space="0"/>
            </w:tcBorders>
            <w:vAlign w:val="center"/>
          </w:tcPr>
          <w:p w14:paraId="37F6246D">
            <w:pPr>
              <w:spacing w:line="240" w:lineRule="exact"/>
              <w:rPr>
                <w:rFonts w:ascii="宋体" w:hAnsi="宋体" w:eastAsia="宋体" w:cs="宋体"/>
                <w:sz w:val="18"/>
                <w:szCs w:val="18"/>
              </w:rPr>
            </w:pPr>
            <w:r>
              <w:rPr>
                <w:rFonts w:ascii="宋体" w:hAnsi="宋体" w:eastAsia="宋体" w:cs="宋体"/>
                <w:sz w:val="18"/>
                <w:szCs w:val="18"/>
              </w:rPr>
              <w:t>上海人工智能研究院有限公司</w:t>
            </w:r>
          </w:p>
        </w:tc>
        <w:tc>
          <w:tcPr>
            <w:tcW w:w="1323" w:type="dxa"/>
            <w:tcBorders>
              <w:top w:val="single" w:color="auto" w:sz="2" w:space="0"/>
              <w:left w:val="single" w:color="auto" w:sz="2" w:space="0"/>
              <w:bottom w:val="single" w:color="auto" w:sz="2" w:space="0"/>
              <w:right w:val="single" w:color="auto" w:sz="2" w:space="0"/>
            </w:tcBorders>
            <w:vAlign w:val="center"/>
          </w:tcPr>
          <w:p w14:paraId="60CC566D">
            <w:pPr>
              <w:spacing w:line="240" w:lineRule="exact"/>
              <w:rPr>
                <w:rFonts w:ascii="宋体" w:hAnsi="宋体" w:eastAsia="宋体" w:cs="宋体"/>
                <w:sz w:val="18"/>
                <w:szCs w:val="18"/>
              </w:rPr>
            </w:pPr>
            <w:r>
              <w:rPr>
                <w:rFonts w:ascii="宋体" w:hAnsi="宋体" w:eastAsia="宋体" w:cs="宋体"/>
                <w:sz w:val="18"/>
                <w:szCs w:val="18"/>
              </w:rPr>
              <w:t>董事长、院长</w:t>
            </w:r>
          </w:p>
        </w:tc>
        <w:tc>
          <w:tcPr>
            <w:tcW w:w="1843" w:type="dxa"/>
            <w:tcBorders>
              <w:top w:val="single" w:color="auto" w:sz="2" w:space="0"/>
              <w:left w:val="single" w:color="auto" w:sz="2" w:space="0"/>
              <w:bottom w:val="single" w:color="auto" w:sz="2" w:space="0"/>
              <w:right w:val="single" w:color="auto" w:sz="2" w:space="0"/>
            </w:tcBorders>
            <w:vAlign w:val="center"/>
          </w:tcPr>
          <w:p w14:paraId="289F2730">
            <w:pPr>
              <w:spacing w:line="240" w:lineRule="exact"/>
              <w:rPr>
                <w:rFonts w:ascii="宋体" w:hAnsi="宋体" w:eastAsia="宋体" w:cs="宋体"/>
                <w:sz w:val="18"/>
                <w:szCs w:val="18"/>
              </w:rPr>
            </w:pPr>
            <w:r>
              <w:rPr>
                <w:rFonts w:ascii="宋体" w:hAnsi="宋体" w:eastAsia="宋体" w:cs="宋体"/>
                <w:sz w:val="18"/>
                <w:szCs w:val="18"/>
              </w:rPr>
              <w:t>2023年08月07日</w:t>
            </w:r>
          </w:p>
        </w:tc>
        <w:tc>
          <w:tcPr>
            <w:tcW w:w="1701" w:type="dxa"/>
            <w:tcBorders>
              <w:top w:val="single" w:color="auto" w:sz="2" w:space="0"/>
              <w:left w:val="single" w:color="auto" w:sz="2" w:space="0"/>
              <w:bottom w:val="single" w:color="auto" w:sz="2" w:space="0"/>
              <w:right w:val="single" w:color="auto" w:sz="2" w:space="0"/>
            </w:tcBorders>
            <w:vAlign w:val="center"/>
          </w:tcPr>
          <w:p w14:paraId="139F962B">
            <w:pPr>
              <w:spacing w:line="240" w:lineRule="exact"/>
              <w:rPr>
                <w:rFonts w:ascii="宋体" w:hAnsi="宋体" w:eastAsia="宋体" w:cs="宋体"/>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14:paraId="232BA275">
            <w:pPr>
              <w:spacing w:line="240" w:lineRule="exact"/>
              <w:rPr>
                <w:rFonts w:ascii="宋体" w:hAnsi="宋体" w:eastAsia="宋体" w:cs="宋体"/>
                <w:sz w:val="18"/>
                <w:szCs w:val="18"/>
              </w:rPr>
            </w:pPr>
            <w:r>
              <w:rPr>
                <w:rFonts w:ascii="宋体" w:hAnsi="宋体" w:eastAsia="宋体" w:cs="宋体"/>
                <w:sz w:val="18"/>
                <w:szCs w:val="18"/>
              </w:rPr>
              <w:t>是</w:t>
            </w:r>
          </w:p>
        </w:tc>
      </w:tr>
      <w:tr w14:paraId="78186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7" w:type="dxa"/>
            <w:tcBorders>
              <w:top w:val="single" w:color="auto" w:sz="2" w:space="0"/>
              <w:left w:val="single" w:color="auto" w:sz="2" w:space="0"/>
              <w:bottom w:val="single" w:color="auto" w:sz="2" w:space="0"/>
              <w:right w:val="single" w:color="auto" w:sz="2" w:space="0"/>
            </w:tcBorders>
            <w:vAlign w:val="center"/>
          </w:tcPr>
          <w:p w14:paraId="040CBD08">
            <w:pPr>
              <w:spacing w:line="240" w:lineRule="exact"/>
              <w:rPr>
                <w:rFonts w:ascii="宋体" w:hAnsi="宋体" w:eastAsia="宋体" w:cs="宋体"/>
                <w:sz w:val="18"/>
                <w:szCs w:val="18"/>
              </w:rPr>
            </w:pPr>
            <w:r>
              <w:rPr>
                <w:rFonts w:ascii="宋体" w:hAnsi="宋体" w:eastAsia="宋体" w:cs="宋体"/>
                <w:sz w:val="18"/>
                <w:szCs w:val="18"/>
              </w:rPr>
              <w:t>孙小挺</w:t>
            </w:r>
          </w:p>
        </w:tc>
        <w:tc>
          <w:tcPr>
            <w:tcW w:w="1606" w:type="dxa"/>
            <w:tcBorders>
              <w:top w:val="single" w:color="auto" w:sz="2" w:space="0"/>
              <w:left w:val="single" w:color="auto" w:sz="2" w:space="0"/>
              <w:bottom w:val="single" w:color="auto" w:sz="2" w:space="0"/>
              <w:right w:val="single" w:color="auto" w:sz="2" w:space="0"/>
            </w:tcBorders>
            <w:vAlign w:val="center"/>
          </w:tcPr>
          <w:p w14:paraId="1F4B3FE7">
            <w:pPr>
              <w:spacing w:line="240" w:lineRule="exact"/>
              <w:rPr>
                <w:rFonts w:ascii="宋体" w:hAnsi="宋体" w:eastAsia="宋体" w:cs="宋体"/>
                <w:sz w:val="18"/>
                <w:szCs w:val="18"/>
              </w:rPr>
            </w:pPr>
            <w:r>
              <w:rPr>
                <w:rFonts w:ascii="宋体" w:hAnsi="宋体" w:eastAsia="宋体" w:cs="宋体"/>
                <w:sz w:val="18"/>
                <w:szCs w:val="18"/>
              </w:rPr>
              <w:t>舟山汇程控股有限公司</w:t>
            </w:r>
          </w:p>
        </w:tc>
        <w:tc>
          <w:tcPr>
            <w:tcW w:w="1323" w:type="dxa"/>
            <w:tcBorders>
              <w:top w:val="single" w:color="auto" w:sz="2" w:space="0"/>
              <w:left w:val="single" w:color="auto" w:sz="2" w:space="0"/>
              <w:bottom w:val="single" w:color="auto" w:sz="2" w:space="0"/>
              <w:right w:val="single" w:color="auto" w:sz="2" w:space="0"/>
            </w:tcBorders>
            <w:vAlign w:val="center"/>
          </w:tcPr>
          <w:p w14:paraId="5B9CE4F4">
            <w:pPr>
              <w:spacing w:line="240" w:lineRule="exact"/>
              <w:rPr>
                <w:rFonts w:ascii="宋体" w:hAnsi="宋体" w:eastAsia="宋体" w:cs="宋体"/>
                <w:sz w:val="18"/>
                <w:szCs w:val="18"/>
              </w:rPr>
            </w:pPr>
            <w:r>
              <w:rPr>
                <w:rFonts w:ascii="宋体" w:hAnsi="宋体" w:eastAsia="宋体" w:cs="宋体"/>
                <w:sz w:val="18"/>
                <w:szCs w:val="18"/>
              </w:rPr>
              <w:t>监事</w:t>
            </w:r>
          </w:p>
        </w:tc>
        <w:tc>
          <w:tcPr>
            <w:tcW w:w="1843" w:type="dxa"/>
            <w:tcBorders>
              <w:top w:val="single" w:color="auto" w:sz="2" w:space="0"/>
              <w:left w:val="single" w:color="auto" w:sz="2" w:space="0"/>
              <w:bottom w:val="single" w:color="auto" w:sz="2" w:space="0"/>
              <w:right w:val="single" w:color="auto" w:sz="2" w:space="0"/>
            </w:tcBorders>
            <w:vAlign w:val="center"/>
          </w:tcPr>
          <w:p w14:paraId="79EFE32A">
            <w:pPr>
              <w:spacing w:line="240" w:lineRule="exact"/>
              <w:rPr>
                <w:rFonts w:ascii="宋体" w:hAnsi="宋体" w:eastAsia="宋体" w:cs="宋体"/>
                <w:sz w:val="18"/>
                <w:szCs w:val="18"/>
              </w:rPr>
            </w:pPr>
            <w:r>
              <w:rPr>
                <w:rFonts w:ascii="宋体" w:hAnsi="宋体" w:eastAsia="宋体" w:cs="宋体"/>
                <w:sz w:val="18"/>
                <w:szCs w:val="18"/>
              </w:rPr>
              <w:t>2009年08月05日</w:t>
            </w:r>
          </w:p>
        </w:tc>
        <w:tc>
          <w:tcPr>
            <w:tcW w:w="1701" w:type="dxa"/>
            <w:tcBorders>
              <w:top w:val="single" w:color="auto" w:sz="2" w:space="0"/>
              <w:left w:val="single" w:color="auto" w:sz="2" w:space="0"/>
              <w:bottom w:val="single" w:color="auto" w:sz="2" w:space="0"/>
              <w:right w:val="single" w:color="auto" w:sz="2" w:space="0"/>
            </w:tcBorders>
            <w:vAlign w:val="center"/>
          </w:tcPr>
          <w:p w14:paraId="6EF690CA">
            <w:pPr>
              <w:spacing w:line="240" w:lineRule="exact"/>
              <w:rPr>
                <w:rFonts w:ascii="宋体" w:hAnsi="宋体" w:eastAsia="宋体" w:cs="宋体"/>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14:paraId="325C285C">
            <w:pPr>
              <w:spacing w:line="240" w:lineRule="exact"/>
              <w:rPr>
                <w:rFonts w:ascii="宋体" w:hAnsi="宋体" w:eastAsia="宋体" w:cs="宋体"/>
                <w:sz w:val="18"/>
                <w:szCs w:val="18"/>
              </w:rPr>
            </w:pPr>
            <w:r>
              <w:rPr>
                <w:rFonts w:ascii="宋体" w:hAnsi="宋体" w:eastAsia="宋体" w:cs="宋体"/>
                <w:sz w:val="18"/>
                <w:szCs w:val="18"/>
              </w:rPr>
              <w:t>否</w:t>
            </w:r>
          </w:p>
        </w:tc>
      </w:tr>
      <w:tr w14:paraId="0A5AA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14:paraId="5F8CD687">
            <w:pPr>
              <w:spacing w:before="40" w:after="40" w:line="240" w:lineRule="exact"/>
              <w:rPr>
                <w:rFonts w:ascii="宋体" w:hAnsi="宋体" w:eastAsia="宋体" w:cs="宋体"/>
                <w:sz w:val="18"/>
                <w:szCs w:val="18"/>
              </w:rPr>
            </w:pPr>
            <w:r>
              <w:rPr>
                <w:rFonts w:ascii="宋体" w:hAnsi="宋体" w:eastAsia="宋体" w:cs="宋体"/>
                <w:sz w:val="18"/>
                <w:szCs w:val="18"/>
              </w:rPr>
              <w:t>在其他单位任职情况的说明</w:t>
            </w:r>
          </w:p>
        </w:tc>
        <w:tc>
          <w:tcPr>
            <w:tcW w:w="8032" w:type="dxa"/>
            <w:gridSpan w:val="5"/>
            <w:tcBorders>
              <w:top w:val="single" w:color="auto" w:sz="2" w:space="0"/>
              <w:left w:val="single" w:color="auto" w:sz="2" w:space="0"/>
              <w:bottom w:val="single" w:color="auto" w:sz="2" w:space="0"/>
              <w:right w:val="single" w:color="auto" w:sz="2" w:space="0"/>
            </w:tcBorders>
            <w:vAlign w:val="center"/>
          </w:tcPr>
          <w:p w14:paraId="2B6A3368">
            <w:pPr>
              <w:spacing w:line="240" w:lineRule="exact"/>
              <w:rPr>
                <w:rFonts w:ascii="宋体" w:hAnsi="宋体" w:eastAsia="宋体" w:cs="宋体"/>
                <w:sz w:val="18"/>
                <w:szCs w:val="18"/>
              </w:rPr>
            </w:pPr>
            <w:r>
              <w:rPr>
                <w:rFonts w:ascii="宋体" w:hAnsi="宋体" w:eastAsia="宋体" w:cs="宋体"/>
                <w:sz w:val="18"/>
                <w:szCs w:val="18"/>
              </w:rPr>
              <w:t>无</w:t>
            </w:r>
          </w:p>
        </w:tc>
      </w:tr>
    </w:tbl>
    <w:p w14:paraId="6204C0E4">
      <w:pPr>
        <w:spacing w:before="40" w:after="40" w:line="240" w:lineRule="exact"/>
        <w:rPr>
          <w:rFonts w:ascii="宋体" w:hAnsi="宋体" w:eastAsia="宋体" w:cs="宋体"/>
          <w:sz w:val="18"/>
          <w:szCs w:val="18"/>
        </w:rPr>
      </w:pPr>
      <w:r>
        <w:rPr>
          <w:rFonts w:ascii="宋体" w:hAnsi="宋体" w:eastAsia="宋体" w:cs="宋体"/>
          <w:sz w:val="18"/>
          <w:szCs w:val="18"/>
        </w:rPr>
        <w:t>公司现任及报告期内离任董事和高级管理人员近三年证券监管机构处罚的情况</w:t>
      </w:r>
    </w:p>
    <w:p w14:paraId="4E1CB995">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771738C">
      <w:pPr>
        <w:pStyle w:val="3"/>
        <w:spacing w:line="280" w:lineRule="exact"/>
        <w:jc w:val="left"/>
        <w:rPr>
          <w:rFonts w:ascii="宋体" w:hAnsi="宋体" w:cs="宋体"/>
          <w:b/>
          <w:bCs/>
        </w:rPr>
      </w:pPr>
      <w:bookmarkStart w:id="70" w:name="_Toc988959"/>
      <w:r>
        <w:rPr>
          <w:rFonts w:ascii="宋体" w:hAnsi="宋体" w:cs="宋体"/>
          <w:b/>
          <w:bCs/>
        </w:rPr>
        <w:t>3、董事、高级管理人员薪酬情况</w:t>
      </w:r>
      <w:bookmarkEnd w:id="70"/>
    </w:p>
    <w:p w14:paraId="39DCC9F8">
      <w:pPr>
        <w:spacing w:before="100" w:after="100" w:line="240" w:lineRule="exact"/>
        <w:rPr>
          <w:rFonts w:ascii="宋体" w:hAnsi="宋体" w:eastAsia="宋体" w:cs="宋体"/>
          <w:sz w:val="18"/>
          <w:szCs w:val="18"/>
        </w:rPr>
      </w:pPr>
      <w:r>
        <w:rPr>
          <w:rFonts w:ascii="宋体" w:hAnsi="宋体" w:eastAsia="宋体" w:cs="宋体"/>
          <w:sz w:val="18"/>
          <w:szCs w:val="18"/>
        </w:rPr>
        <w:t>董事、高级管理人员薪酬的决策程序、确定依据、实际支付情况</w:t>
      </w:r>
    </w:p>
    <w:p w14:paraId="6A2B9791">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pPr>
      <w:r>
        <w:rPr>
          <w:rFonts w:hint="eastAsia"/>
          <w:sz w:val="18"/>
          <w:szCs w:val="18"/>
        </w:rPr>
        <w:t>公司董事会薪酬与考核委员会是对董事、高级管理人员进行薪酬和考核管理的机构，负责具体测算、操作和兑现工作，拟定董事的薪酬方案，经股东会审批通过。高级管理人员的薪酬方案由董事会薪酬与考核委员会会同经营层拟定，报备董事会。决策程序符合《公司法》、《公司章程》的相关规定。</w:t>
      </w:r>
    </w:p>
    <w:p w14:paraId="19895DE0">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pPr>
      <w:r>
        <w:rPr>
          <w:rFonts w:hint="eastAsia"/>
          <w:sz w:val="18"/>
          <w:szCs w:val="18"/>
        </w:rPr>
        <w:t>董事、高级管理人员报酬情况依据年度经营效益、岗位职级等因素综合行业薪酬水平确定，年末对董事、高级管理人员的履职情况和年度实际业绩进行绩效考核，根据考核结果核发年度绩效薪酬。</w:t>
      </w:r>
    </w:p>
    <w:p w14:paraId="5E9209D8">
      <w:pPr>
        <w:spacing w:before="100" w:after="100" w:line="240" w:lineRule="exact"/>
        <w:rPr>
          <w:rFonts w:ascii="宋体" w:hAnsi="宋体" w:eastAsia="宋体" w:cs="宋体"/>
          <w:sz w:val="18"/>
          <w:szCs w:val="18"/>
        </w:rPr>
      </w:pPr>
      <w:r>
        <w:rPr>
          <w:rFonts w:ascii="宋体" w:hAnsi="宋体" w:eastAsia="宋体" w:cs="宋体"/>
          <w:sz w:val="18"/>
          <w:szCs w:val="18"/>
        </w:rPr>
        <w:t>公司报告期内董事和高级管理人员薪酬情况</w:t>
      </w:r>
    </w:p>
    <w:p w14:paraId="2FCFF460">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3"/>
        <w:gridCol w:w="850"/>
        <w:gridCol w:w="1276"/>
        <w:gridCol w:w="2389"/>
        <w:gridCol w:w="1377"/>
        <w:gridCol w:w="1377"/>
        <w:gridCol w:w="1377"/>
      </w:tblGrid>
      <w:tr w14:paraId="31327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14:paraId="62095FE5">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14:paraId="30922C84">
            <w:pPr>
              <w:spacing w:before="40" w:after="40" w:line="240" w:lineRule="exact"/>
              <w:jc w:val="center"/>
              <w:rPr>
                <w:rFonts w:ascii="宋体" w:hAnsi="宋体" w:eastAsia="宋体" w:cs="宋体"/>
                <w:sz w:val="18"/>
                <w:szCs w:val="18"/>
              </w:rPr>
            </w:pPr>
            <w:r>
              <w:rPr>
                <w:rFonts w:ascii="宋体" w:hAnsi="宋体" w:eastAsia="宋体" w:cs="宋体"/>
                <w:sz w:val="18"/>
                <w:szCs w:val="18"/>
              </w:rPr>
              <w:t>性别</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14:paraId="302621B4">
            <w:pPr>
              <w:spacing w:before="40" w:after="40" w:line="240" w:lineRule="exact"/>
              <w:jc w:val="center"/>
              <w:rPr>
                <w:rFonts w:ascii="宋体" w:hAnsi="宋体" w:eastAsia="宋体" w:cs="宋体"/>
                <w:sz w:val="18"/>
                <w:szCs w:val="18"/>
              </w:rPr>
            </w:pPr>
            <w:r>
              <w:rPr>
                <w:rFonts w:ascii="宋体" w:hAnsi="宋体" w:eastAsia="宋体" w:cs="宋体"/>
                <w:sz w:val="18"/>
                <w:szCs w:val="18"/>
              </w:rPr>
              <w:t>年龄</w:t>
            </w:r>
          </w:p>
        </w:tc>
        <w:tc>
          <w:tcPr>
            <w:tcW w:w="2389" w:type="dxa"/>
            <w:tcBorders>
              <w:top w:val="single" w:color="auto" w:sz="2" w:space="0"/>
              <w:left w:val="single" w:color="auto" w:sz="2" w:space="0"/>
              <w:bottom w:val="single" w:color="auto" w:sz="2" w:space="0"/>
              <w:right w:val="single" w:color="auto" w:sz="2" w:space="0"/>
            </w:tcBorders>
            <w:shd w:val="clear" w:color="auto" w:fill="D3D3D3"/>
            <w:vAlign w:val="center"/>
          </w:tcPr>
          <w:p w14:paraId="7F866E99">
            <w:pPr>
              <w:spacing w:before="40" w:after="40" w:line="240" w:lineRule="exact"/>
              <w:jc w:val="center"/>
              <w:rPr>
                <w:rFonts w:ascii="宋体" w:hAnsi="宋体" w:eastAsia="宋体" w:cs="宋体"/>
                <w:sz w:val="18"/>
                <w:szCs w:val="18"/>
              </w:rPr>
            </w:pPr>
            <w:r>
              <w:rPr>
                <w:rFonts w:ascii="宋体" w:hAnsi="宋体" w:eastAsia="宋体" w:cs="宋体"/>
                <w:sz w:val="18"/>
                <w:szCs w:val="18"/>
              </w:rPr>
              <w:t>职务</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93E4913">
            <w:pPr>
              <w:spacing w:before="40" w:after="40" w:line="240" w:lineRule="exact"/>
              <w:jc w:val="center"/>
              <w:rPr>
                <w:rFonts w:ascii="宋体" w:hAnsi="宋体" w:eastAsia="宋体" w:cs="宋体"/>
                <w:sz w:val="18"/>
                <w:szCs w:val="18"/>
              </w:rPr>
            </w:pPr>
            <w:r>
              <w:rPr>
                <w:rFonts w:ascii="宋体" w:hAnsi="宋体" w:eastAsia="宋体" w:cs="宋体"/>
                <w:sz w:val="18"/>
                <w:szCs w:val="18"/>
              </w:rPr>
              <w:t>任职状态</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1DB67A3">
            <w:pPr>
              <w:spacing w:before="40" w:after="40" w:line="240" w:lineRule="exact"/>
              <w:jc w:val="center"/>
              <w:rPr>
                <w:rFonts w:ascii="宋体" w:hAnsi="宋体" w:eastAsia="宋体" w:cs="宋体"/>
                <w:sz w:val="18"/>
                <w:szCs w:val="18"/>
              </w:rPr>
            </w:pPr>
            <w:r>
              <w:rPr>
                <w:rFonts w:ascii="宋体" w:hAnsi="宋体" w:eastAsia="宋体" w:cs="宋体"/>
                <w:sz w:val="18"/>
                <w:szCs w:val="18"/>
              </w:rPr>
              <w:t>从公司获得的税前报酬总额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1836382">
            <w:pPr>
              <w:spacing w:before="40" w:after="40" w:line="240" w:lineRule="exact"/>
              <w:jc w:val="center"/>
              <w:rPr>
                <w:rFonts w:ascii="宋体" w:hAnsi="宋体" w:eastAsia="宋体" w:cs="宋体"/>
                <w:sz w:val="18"/>
                <w:szCs w:val="18"/>
              </w:rPr>
            </w:pPr>
            <w:r>
              <w:rPr>
                <w:rFonts w:ascii="宋体" w:hAnsi="宋体" w:eastAsia="宋体" w:cs="宋体"/>
                <w:sz w:val="18"/>
                <w:szCs w:val="18"/>
              </w:rPr>
              <w:t>是否在公司关联方获取报酬</w:t>
            </w:r>
          </w:p>
        </w:tc>
      </w:tr>
      <w:tr w14:paraId="3F7AE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14:paraId="4B6474AF">
            <w:pPr>
              <w:spacing w:line="240" w:lineRule="exact"/>
              <w:rPr>
                <w:rFonts w:ascii="宋体" w:hAnsi="宋体" w:eastAsia="宋体" w:cs="宋体"/>
                <w:sz w:val="18"/>
                <w:szCs w:val="18"/>
              </w:rPr>
            </w:pPr>
            <w:r>
              <w:rPr>
                <w:rFonts w:ascii="宋体" w:hAnsi="宋体" w:eastAsia="宋体" w:cs="宋体"/>
                <w:sz w:val="18"/>
                <w:szCs w:val="18"/>
              </w:rPr>
              <w:t>孙伟挺</w:t>
            </w:r>
          </w:p>
        </w:tc>
        <w:tc>
          <w:tcPr>
            <w:tcW w:w="850" w:type="dxa"/>
            <w:tcBorders>
              <w:top w:val="single" w:color="auto" w:sz="2" w:space="0"/>
              <w:left w:val="single" w:color="auto" w:sz="2" w:space="0"/>
              <w:bottom w:val="single" w:color="auto" w:sz="2" w:space="0"/>
              <w:right w:val="single" w:color="auto" w:sz="2" w:space="0"/>
            </w:tcBorders>
            <w:vAlign w:val="center"/>
          </w:tcPr>
          <w:p w14:paraId="51661BB8">
            <w:pPr>
              <w:spacing w:line="240" w:lineRule="exact"/>
              <w:jc w:val="center"/>
              <w:rPr>
                <w:rFonts w:ascii="宋体" w:hAnsi="宋体" w:eastAsia="宋体" w:cs="宋体"/>
                <w:sz w:val="18"/>
                <w:szCs w:val="18"/>
              </w:rPr>
            </w:pPr>
            <w:r>
              <w:rPr>
                <w:rFonts w:ascii="宋体" w:hAnsi="宋体" w:eastAsia="宋体" w:cs="宋体"/>
                <w:sz w:val="18"/>
                <w:szCs w:val="18"/>
              </w:rPr>
              <w:t>男</w:t>
            </w:r>
          </w:p>
        </w:tc>
        <w:tc>
          <w:tcPr>
            <w:tcW w:w="1276" w:type="dxa"/>
            <w:tcBorders>
              <w:top w:val="single" w:color="auto" w:sz="2" w:space="0"/>
              <w:left w:val="single" w:color="auto" w:sz="2" w:space="0"/>
              <w:bottom w:val="single" w:color="auto" w:sz="2" w:space="0"/>
              <w:right w:val="single" w:color="auto" w:sz="2" w:space="0"/>
            </w:tcBorders>
            <w:vAlign w:val="center"/>
          </w:tcPr>
          <w:p w14:paraId="36E8A71B">
            <w:pPr>
              <w:spacing w:line="240" w:lineRule="exact"/>
              <w:jc w:val="right"/>
              <w:rPr>
                <w:rFonts w:ascii="宋体" w:hAnsi="宋体" w:eastAsia="宋体" w:cs="宋体"/>
                <w:sz w:val="18"/>
                <w:szCs w:val="18"/>
              </w:rPr>
            </w:pPr>
            <w:r>
              <w:rPr>
                <w:rFonts w:ascii="宋体" w:hAnsi="宋体" w:eastAsia="宋体" w:cs="宋体"/>
                <w:sz w:val="18"/>
                <w:szCs w:val="18"/>
              </w:rPr>
              <w:t>63</w:t>
            </w:r>
          </w:p>
        </w:tc>
        <w:tc>
          <w:tcPr>
            <w:tcW w:w="2389" w:type="dxa"/>
            <w:tcBorders>
              <w:top w:val="single" w:color="auto" w:sz="2" w:space="0"/>
              <w:left w:val="single" w:color="auto" w:sz="2" w:space="0"/>
              <w:bottom w:val="single" w:color="auto" w:sz="2" w:space="0"/>
              <w:right w:val="single" w:color="auto" w:sz="2" w:space="0"/>
            </w:tcBorders>
            <w:vAlign w:val="center"/>
          </w:tcPr>
          <w:p w14:paraId="7C34B004">
            <w:pPr>
              <w:spacing w:line="240" w:lineRule="exact"/>
              <w:rPr>
                <w:rFonts w:ascii="宋体" w:hAnsi="宋体" w:eastAsia="宋体" w:cs="宋体"/>
                <w:sz w:val="18"/>
                <w:szCs w:val="18"/>
              </w:rPr>
            </w:pPr>
            <w:r>
              <w:rPr>
                <w:rFonts w:ascii="宋体" w:hAnsi="宋体" w:eastAsia="宋体" w:cs="宋体"/>
                <w:sz w:val="18"/>
                <w:szCs w:val="18"/>
              </w:rPr>
              <w:t>董事、董事长</w:t>
            </w:r>
          </w:p>
        </w:tc>
        <w:tc>
          <w:tcPr>
            <w:tcW w:w="1377" w:type="dxa"/>
            <w:tcBorders>
              <w:top w:val="single" w:color="auto" w:sz="2" w:space="0"/>
              <w:left w:val="single" w:color="auto" w:sz="2" w:space="0"/>
              <w:bottom w:val="single" w:color="auto" w:sz="2" w:space="0"/>
              <w:right w:val="single" w:color="auto" w:sz="2" w:space="0"/>
            </w:tcBorders>
            <w:vAlign w:val="center"/>
          </w:tcPr>
          <w:p w14:paraId="49C60E43">
            <w:pPr>
              <w:spacing w:line="240" w:lineRule="exac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0F4DB0BE">
            <w:pPr>
              <w:spacing w:line="240" w:lineRule="exact"/>
              <w:jc w:val="right"/>
              <w:rPr>
                <w:rFonts w:ascii="宋体" w:hAnsi="宋体" w:eastAsia="宋体" w:cs="宋体"/>
                <w:sz w:val="18"/>
                <w:szCs w:val="18"/>
              </w:rPr>
            </w:pPr>
            <w:r>
              <w:rPr>
                <w:rFonts w:ascii="宋体" w:hAnsi="宋体" w:eastAsia="宋体" w:cs="宋体"/>
                <w:sz w:val="18"/>
                <w:szCs w:val="18"/>
              </w:rPr>
              <w:t>200</w:t>
            </w:r>
          </w:p>
        </w:tc>
        <w:tc>
          <w:tcPr>
            <w:tcW w:w="1377" w:type="dxa"/>
            <w:tcBorders>
              <w:top w:val="single" w:color="auto" w:sz="2" w:space="0"/>
              <w:left w:val="single" w:color="auto" w:sz="2" w:space="0"/>
              <w:bottom w:val="single" w:color="auto" w:sz="2" w:space="0"/>
              <w:right w:val="single" w:color="auto" w:sz="2" w:space="0"/>
            </w:tcBorders>
            <w:vAlign w:val="center"/>
          </w:tcPr>
          <w:p w14:paraId="4BECE41E">
            <w:pPr>
              <w:spacing w:line="240" w:lineRule="exact"/>
              <w:rPr>
                <w:rFonts w:ascii="宋体" w:hAnsi="宋体" w:eastAsia="宋体" w:cs="宋体"/>
                <w:sz w:val="18"/>
                <w:szCs w:val="18"/>
              </w:rPr>
            </w:pPr>
            <w:r>
              <w:rPr>
                <w:rFonts w:ascii="宋体" w:hAnsi="宋体" w:eastAsia="宋体" w:cs="宋体"/>
                <w:sz w:val="18"/>
                <w:szCs w:val="18"/>
              </w:rPr>
              <w:t>否</w:t>
            </w:r>
          </w:p>
        </w:tc>
      </w:tr>
      <w:tr w14:paraId="00007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14:paraId="219C86C8">
            <w:pPr>
              <w:spacing w:line="240" w:lineRule="exact"/>
              <w:rPr>
                <w:rFonts w:ascii="宋体" w:hAnsi="宋体" w:eastAsia="宋体" w:cs="宋体"/>
                <w:sz w:val="18"/>
                <w:szCs w:val="18"/>
              </w:rPr>
            </w:pPr>
            <w:r>
              <w:rPr>
                <w:rFonts w:ascii="宋体" w:hAnsi="宋体" w:eastAsia="宋体" w:cs="宋体"/>
                <w:sz w:val="18"/>
                <w:szCs w:val="18"/>
              </w:rPr>
              <w:t>陈玲芬</w:t>
            </w:r>
          </w:p>
        </w:tc>
        <w:tc>
          <w:tcPr>
            <w:tcW w:w="850" w:type="dxa"/>
            <w:tcBorders>
              <w:top w:val="single" w:color="auto" w:sz="2" w:space="0"/>
              <w:left w:val="single" w:color="auto" w:sz="2" w:space="0"/>
              <w:bottom w:val="single" w:color="auto" w:sz="2" w:space="0"/>
              <w:right w:val="single" w:color="auto" w:sz="2" w:space="0"/>
            </w:tcBorders>
            <w:vAlign w:val="center"/>
          </w:tcPr>
          <w:p w14:paraId="105D6F35">
            <w:pPr>
              <w:spacing w:line="240" w:lineRule="exact"/>
              <w:jc w:val="center"/>
              <w:rPr>
                <w:rFonts w:ascii="宋体" w:hAnsi="宋体" w:eastAsia="宋体" w:cs="宋体"/>
                <w:sz w:val="18"/>
                <w:szCs w:val="18"/>
              </w:rPr>
            </w:pPr>
            <w:r>
              <w:rPr>
                <w:rFonts w:ascii="宋体" w:hAnsi="宋体" w:eastAsia="宋体" w:cs="宋体"/>
                <w:sz w:val="18"/>
                <w:szCs w:val="18"/>
              </w:rPr>
              <w:t>女</w:t>
            </w:r>
          </w:p>
        </w:tc>
        <w:tc>
          <w:tcPr>
            <w:tcW w:w="1276" w:type="dxa"/>
            <w:tcBorders>
              <w:top w:val="single" w:color="auto" w:sz="2" w:space="0"/>
              <w:left w:val="single" w:color="auto" w:sz="2" w:space="0"/>
              <w:bottom w:val="single" w:color="auto" w:sz="2" w:space="0"/>
              <w:right w:val="single" w:color="auto" w:sz="2" w:space="0"/>
            </w:tcBorders>
            <w:vAlign w:val="center"/>
          </w:tcPr>
          <w:p w14:paraId="4CE186DE">
            <w:pPr>
              <w:spacing w:line="240" w:lineRule="exact"/>
              <w:jc w:val="right"/>
              <w:rPr>
                <w:rFonts w:ascii="宋体" w:hAnsi="宋体" w:eastAsia="宋体" w:cs="宋体"/>
                <w:sz w:val="18"/>
                <w:szCs w:val="18"/>
              </w:rPr>
            </w:pPr>
            <w:r>
              <w:rPr>
                <w:rFonts w:ascii="宋体" w:hAnsi="宋体" w:eastAsia="宋体" w:cs="宋体"/>
                <w:sz w:val="18"/>
                <w:szCs w:val="18"/>
              </w:rPr>
              <w:t>63</w:t>
            </w:r>
          </w:p>
        </w:tc>
        <w:tc>
          <w:tcPr>
            <w:tcW w:w="2389" w:type="dxa"/>
            <w:tcBorders>
              <w:top w:val="single" w:color="auto" w:sz="2" w:space="0"/>
              <w:left w:val="single" w:color="auto" w:sz="2" w:space="0"/>
              <w:bottom w:val="single" w:color="auto" w:sz="2" w:space="0"/>
              <w:right w:val="single" w:color="auto" w:sz="2" w:space="0"/>
            </w:tcBorders>
            <w:vAlign w:val="center"/>
          </w:tcPr>
          <w:p w14:paraId="69C8014E">
            <w:pPr>
              <w:spacing w:line="240" w:lineRule="exact"/>
              <w:rPr>
                <w:rFonts w:ascii="宋体" w:hAnsi="宋体" w:eastAsia="宋体" w:cs="宋体"/>
                <w:sz w:val="18"/>
                <w:szCs w:val="18"/>
              </w:rPr>
            </w:pPr>
            <w:r>
              <w:rPr>
                <w:rFonts w:ascii="宋体" w:hAnsi="宋体" w:eastAsia="宋体" w:cs="宋体"/>
                <w:sz w:val="18"/>
                <w:szCs w:val="18"/>
              </w:rPr>
              <w:t>董事、副董事长、总裁</w:t>
            </w:r>
          </w:p>
        </w:tc>
        <w:tc>
          <w:tcPr>
            <w:tcW w:w="1377" w:type="dxa"/>
            <w:tcBorders>
              <w:top w:val="single" w:color="auto" w:sz="2" w:space="0"/>
              <w:left w:val="single" w:color="auto" w:sz="2" w:space="0"/>
              <w:bottom w:val="single" w:color="auto" w:sz="2" w:space="0"/>
              <w:right w:val="single" w:color="auto" w:sz="2" w:space="0"/>
            </w:tcBorders>
            <w:vAlign w:val="center"/>
          </w:tcPr>
          <w:p w14:paraId="7A12FED9">
            <w:pPr>
              <w:spacing w:line="240" w:lineRule="exac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0617BA1D">
            <w:pPr>
              <w:spacing w:line="240" w:lineRule="exact"/>
              <w:jc w:val="right"/>
              <w:rPr>
                <w:rFonts w:ascii="宋体" w:hAnsi="宋体" w:eastAsia="宋体" w:cs="宋体"/>
                <w:sz w:val="18"/>
                <w:szCs w:val="18"/>
              </w:rPr>
            </w:pPr>
            <w:r>
              <w:rPr>
                <w:rFonts w:ascii="宋体" w:hAnsi="宋体" w:eastAsia="宋体" w:cs="宋体"/>
                <w:sz w:val="18"/>
                <w:szCs w:val="18"/>
              </w:rPr>
              <w:t>194.98</w:t>
            </w:r>
          </w:p>
        </w:tc>
        <w:tc>
          <w:tcPr>
            <w:tcW w:w="1377" w:type="dxa"/>
            <w:tcBorders>
              <w:top w:val="single" w:color="auto" w:sz="2" w:space="0"/>
              <w:left w:val="single" w:color="auto" w:sz="2" w:space="0"/>
              <w:bottom w:val="single" w:color="auto" w:sz="2" w:space="0"/>
              <w:right w:val="single" w:color="auto" w:sz="2" w:space="0"/>
            </w:tcBorders>
            <w:vAlign w:val="center"/>
          </w:tcPr>
          <w:p w14:paraId="44109910">
            <w:pPr>
              <w:spacing w:line="240" w:lineRule="exact"/>
              <w:rPr>
                <w:rFonts w:ascii="宋体" w:hAnsi="宋体" w:eastAsia="宋体" w:cs="宋体"/>
                <w:sz w:val="18"/>
                <w:szCs w:val="18"/>
              </w:rPr>
            </w:pPr>
            <w:r>
              <w:rPr>
                <w:rFonts w:ascii="宋体" w:hAnsi="宋体" w:eastAsia="宋体" w:cs="宋体"/>
                <w:sz w:val="18"/>
                <w:szCs w:val="18"/>
              </w:rPr>
              <w:t>否</w:t>
            </w:r>
          </w:p>
        </w:tc>
      </w:tr>
      <w:tr w14:paraId="66508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14:paraId="05AF3BD9">
            <w:pPr>
              <w:spacing w:line="240" w:lineRule="exact"/>
              <w:rPr>
                <w:rFonts w:ascii="宋体" w:hAnsi="宋体" w:eastAsia="宋体" w:cs="宋体"/>
                <w:sz w:val="18"/>
                <w:szCs w:val="18"/>
              </w:rPr>
            </w:pPr>
            <w:r>
              <w:rPr>
                <w:rFonts w:ascii="宋体" w:hAnsi="宋体" w:eastAsia="宋体" w:cs="宋体"/>
                <w:sz w:val="18"/>
                <w:szCs w:val="18"/>
              </w:rPr>
              <w:t>孙小挺</w:t>
            </w:r>
          </w:p>
        </w:tc>
        <w:tc>
          <w:tcPr>
            <w:tcW w:w="850" w:type="dxa"/>
            <w:tcBorders>
              <w:top w:val="single" w:color="auto" w:sz="2" w:space="0"/>
              <w:left w:val="single" w:color="auto" w:sz="2" w:space="0"/>
              <w:bottom w:val="single" w:color="auto" w:sz="2" w:space="0"/>
              <w:right w:val="single" w:color="auto" w:sz="2" w:space="0"/>
            </w:tcBorders>
            <w:vAlign w:val="center"/>
          </w:tcPr>
          <w:p w14:paraId="783C44D1">
            <w:pPr>
              <w:spacing w:line="240" w:lineRule="exact"/>
              <w:jc w:val="center"/>
              <w:rPr>
                <w:rFonts w:ascii="宋体" w:hAnsi="宋体" w:eastAsia="宋体" w:cs="宋体"/>
                <w:sz w:val="18"/>
                <w:szCs w:val="18"/>
              </w:rPr>
            </w:pPr>
            <w:r>
              <w:rPr>
                <w:rFonts w:ascii="宋体" w:hAnsi="宋体" w:eastAsia="宋体" w:cs="宋体"/>
                <w:sz w:val="18"/>
                <w:szCs w:val="18"/>
              </w:rPr>
              <w:t>男</w:t>
            </w:r>
          </w:p>
        </w:tc>
        <w:tc>
          <w:tcPr>
            <w:tcW w:w="1276" w:type="dxa"/>
            <w:tcBorders>
              <w:top w:val="single" w:color="auto" w:sz="2" w:space="0"/>
              <w:left w:val="single" w:color="auto" w:sz="2" w:space="0"/>
              <w:bottom w:val="single" w:color="auto" w:sz="2" w:space="0"/>
              <w:right w:val="single" w:color="auto" w:sz="2" w:space="0"/>
            </w:tcBorders>
            <w:vAlign w:val="center"/>
          </w:tcPr>
          <w:p w14:paraId="4BA8C243">
            <w:pPr>
              <w:spacing w:line="240" w:lineRule="exact"/>
              <w:jc w:val="right"/>
              <w:rPr>
                <w:rFonts w:ascii="宋体" w:hAnsi="宋体" w:eastAsia="宋体" w:cs="宋体"/>
                <w:sz w:val="18"/>
                <w:szCs w:val="18"/>
              </w:rPr>
            </w:pPr>
            <w:r>
              <w:rPr>
                <w:rFonts w:ascii="宋体" w:hAnsi="宋体" w:eastAsia="宋体" w:cs="宋体"/>
                <w:sz w:val="18"/>
                <w:szCs w:val="18"/>
              </w:rPr>
              <w:t>58</w:t>
            </w:r>
          </w:p>
        </w:tc>
        <w:tc>
          <w:tcPr>
            <w:tcW w:w="2389" w:type="dxa"/>
            <w:tcBorders>
              <w:top w:val="single" w:color="auto" w:sz="2" w:space="0"/>
              <w:left w:val="single" w:color="auto" w:sz="2" w:space="0"/>
              <w:bottom w:val="single" w:color="auto" w:sz="2" w:space="0"/>
              <w:right w:val="single" w:color="auto" w:sz="2" w:space="0"/>
            </w:tcBorders>
            <w:vAlign w:val="center"/>
          </w:tcPr>
          <w:p w14:paraId="2C922D06">
            <w:pPr>
              <w:spacing w:line="240" w:lineRule="exact"/>
              <w:rPr>
                <w:rFonts w:ascii="宋体" w:hAnsi="宋体" w:eastAsia="宋体" w:cs="宋体"/>
                <w:sz w:val="18"/>
                <w:szCs w:val="18"/>
              </w:rPr>
            </w:pPr>
            <w:r>
              <w:rPr>
                <w:rFonts w:ascii="宋体" w:hAnsi="宋体" w:eastAsia="宋体" w:cs="宋体"/>
                <w:sz w:val="18"/>
                <w:szCs w:val="18"/>
              </w:rPr>
              <w:t>副总裁</w:t>
            </w:r>
          </w:p>
        </w:tc>
        <w:tc>
          <w:tcPr>
            <w:tcW w:w="1377" w:type="dxa"/>
            <w:tcBorders>
              <w:top w:val="single" w:color="auto" w:sz="2" w:space="0"/>
              <w:left w:val="single" w:color="auto" w:sz="2" w:space="0"/>
              <w:bottom w:val="single" w:color="auto" w:sz="2" w:space="0"/>
              <w:right w:val="single" w:color="auto" w:sz="2" w:space="0"/>
            </w:tcBorders>
            <w:vAlign w:val="center"/>
          </w:tcPr>
          <w:p w14:paraId="0AD26A2B">
            <w:pPr>
              <w:spacing w:line="240" w:lineRule="exac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4E7D8881">
            <w:pPr>
              <w:spacing w:line="240" w:lineRule="exact"/>
              <w:jc w:val="right"/>
              <w:rPr>
                <w:rFonts w:ascii="宋体" w:hAnsi="宋体" w:eastAsia="宋体" w:cs="宋体"/>
                <w:sz w:val="18"/>
                <w:szCs w:val="18"/>
              </w:rPr>
            </w:pPr>
            <w:r>
              <w:rPr>
                <w:rFonts w:ascii="宋体" w:hAnsi="宋体" w:eastAsia="宋体" w:cs="宋体"/>
                <w:sz w:val="18"/>
                <w:szCs w:val="18"/>
              </w:rPr>
              <w:t>150</w:t>
            </w:r>
          </w:p>
        </w:tc>
        <w:tc>
          <w:tcPr>
            <w:tcW w:w="1377" w:type="dxa"/>
            <w:tcBorders>
              <w:top w:val="single" w:color="auto" w:sz="2" w:space="0"/>
              <w:left w:val="single" w:color="auto" w:sz="2" w:space="0"/>
              <w:bottom w:val="single" w:color="auto" w:sz="2" w:space="0"/>
              <w:right w:val="single" w:color="auto" w:sz="2" w:space="0"/>
            </w:tcBorders>
            <w:vAlign w:val="center"/>
          </w:tcPr>
          <w:p w14:paraId="298457B0">
            <w:pPr>
              <w:spacing w:line="240" w:lineRule="exact"/>
              <w:rPr>
                <w:rFonts w:ascii="宋体" w:hAnsi="宋体" w:eastAsia="宋体" w:cs="宋体"/>
                <w:sz w:val="18"/>
                <w:szCs w:val="18"/>
              </w:rPr>
            </w:pPr>
            <w:r>
              <w:rPr>
                <w:rFonts w:ascii="宋体" w:hAnsi="宋体" w:eastAsia="宋体" w:cs="宋体"/>
                <w:sz w:val="18"/>
                <w:szCs w:val="18"/>
              </w:rPr>
              <w:t>否</w:t>
            </w:r>
          </w:p>
        </w:tc>
      </w:tr>
      <w:tr w14:paraId="42E12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14:paraId="77FBEF13">
            <w:pPr>
              <w:spacing w:line="240" w:lineRule="exact"/>
              <w:rPr>
                <w:rFonts w:ascii="宋体" w:hAnsi="宋体" w:eastAsia="宋体" w:cs="宋体"/>
                <w:sz w:val="18"/>
                <w:szCs w:val="18"/>
              </w:rPr>
            </w:pPr>
            <w:r>
              <w:rPr>
                <w:rFonts w:ascii="宋体" w:hAnsi="宋体" w:eastAsia="宋体" w:cs="宋体"/>
                <w:sz w:val="18"/>
                <w:szCs w:val="18"/>
              </w:rPr>
              <w:t>陈翰</w:t>
            </w:r>
          </w:p>
        </w:tc>
        <w:tc>
          <w:tcPr>
            <w:tcW w:w="850" w:type="dxa"/>
            <w:tcBorders>
              <w:top w:val="single" w:color="auto" w:sz="2" w:space="0"/>
              <w:left w:val="single" w:color="auto" w:sz="2" w:space="0"/>
              <w:bottom w:val="single" w:color="auto" w:sz="2" w:space="0"/>
              <w:right w:val="single" w:color="auto" w:sz="2" w:space="0"/>
            </w:tcBorders>
            <w:vAlign w:val="center"/>
          </w:tcPr>
          <w:p w14:paraId="5C34877C">
            <w:pPr>
              <w:spacing w:line="240" w:lineRule="exact"/>
              <w:jc w:val="center"/>
              <w:rPr>
                <w:rFonts w:ascii="宋体" w:hAnsi="宋体" w:eastAsia="宋体" w:cs="宋体"/>
                <w:sz w:val="18"/>
                <w:szCs w:val="18"/>
              </w:rPr>
            </w:pPr>
            <w:r>
              <w:rPr>
                <w:rFonts w:ascii="宋体" w:hAnsi="宋体" w:eastAsia="宋体" w:cs="宋体"/>
                <w:sz w:val="18"/>
                <w:szCs w:val="18"/>
              </w:rPr>
              <w:t>男</w:t>
            </w:r>
          </w:p>
        </w:tc>
        <w:tc>
          <w:tcPr>
            <w:tcW w:w="1276" w:type="dxa"/>
            <w:tcBorders>
              <w:top w:val="single" w:color="auto" w:sz="2" w:space="0"/>
              <w:left w:val="single" w:color="auto" w:sz="2" w:space="0"/>
              <w:bottom w:val="single" w:color="auto" w:sz="2" w:space="0"/>
              <w:right w:val="single" w:color="auto" w:sz="2" w:space="0"/>
            </w:tcBorders>
            <w:vAlign w:val="center"/>
          </w:tcPr>
          <w:p w14:paraId="7702A1CD">
            <w:pPr>
              <w:spacing w:line="240" w:lineRule="exact"/>
              <w:jc w:val="right"/>
              <w:rPr>
                <w:rFonts w:ascii="宋体" w:hAnsi="宋体" w:eastAsia="宋体" w:cs="宋体"/>
                <w:sz w:val="18"/>
                <w:szCs w:val="18"/>
              </w:rPr>
            </w:pPr>
            <w:r>
              <w:rPr>
                <w:rFonts w:ascii="宋体" w:hAnsi="宋体" w:eastAsia="宋体" w:cs="宋体"/>
                <w:sz w:val="18"/>
                <w:szCs w:val="18"/>
              </w:rPr>
              <w:t>37</w:t>
            </w:r>
          </w:p>
        </w:tc>
        <w:tc>
          <w:tcPr>
            <w:tcW w:w="2389" w:type="dxa"/>
            <w:tcBorders>
              <w:top w:val="single" w:color="auto" w:sz="2" w:space="0"/>
              <w:left w:val="single" w:color="auto" w:sz="2" w:space="0"/>
              <w:bottom w:val="single" w:color="auto" w:sz="2" w:space="0"/>
              <w:right w:val="single" w:color="auto" w:sz="2" w:space="0"/>
            </w:tcBorders>
            <w:vAlign w:val="center"/>
          </w:tcPr>
          <w:p w14:paraId="497C71BA">
            <w:pPr>
              <w:spacing w:line="240" w:lineRule="exact"/>
              <w:rPr>
                <w:rFonts w:ascii="宋体" w:hAnsi="宋体" w:eastAsia="宋体" w:cs="宋体"/>
                <w:sz w:val="18"/>
                <w:szCs w:val="18"/>
              </w:rPr>
            </w:pPr>
            <w:r>
              <w:rPr>
                <w:rFonts w:ascii="宋体" w:hAnsi="宋体" w:eastAsia="宋体" w:cs="宋体"/>
                <w:sz w:val="18"/>
                <w:szCs w:val="18"/>
              </w:rPr>
              <w:t>董事</w:t>
            </w:r>
          </w:p>
        </w:tc>
        <w:tc>
          <w:tcPr>
            <w:tcW w:w="1377" w:type="dxa"/>
            <w:tcBorders>
              <w:top w:val="single" w:color="auto" w:sz="2" w:space="0"/>
              <w:left w:val="single" w:color="auto" w:sz="2" w:space="0"/>
              <w:bottom w:val="single" w:color="auto" w:sz="2" w:space="0"/>
              <w:right w:val="single" w:color="auto" w:sz="2" w:space="0"/>
            </w:tcBorders>
            <w:vAlign w:val="center"/>
          </w:tcPr>
          <w:p w14:paraId="62FDE788">
            <w:pPr>
              <w:spacing w:line="240" w:lineRule="exact"/>
              <w:rPr>
                <w:rFonts w:ascii="宋体" w:hAnsi="宋体" w:eastAsia="宋体" w:cs="宋体"/>
                <w:sz w:val="18"/>
                <w:szCs w:val="18"/>
              </w:rPr>
            </w:pPr>
            <w:r>
              <w:rPr>
                <w:rFonts w:ascii="宋体" w:hAnsi="宋体" w:eastAsia="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14:paraId="43F398E2">
            <w:pPr>
              <w:spacing w:line="240" w:lineRule="exact"/>
              <w:jc w:val="right"/>
              <w:rPr>
                <w:rFonts w:ascii="宋体" w:hAnsi="宋体" w:eastAsia="宋体" w:cs="宋体"/>
                <w:sz w:val="18"/>
                <w:szCs w:val="18"/>
              </w:rPr>
            </w:pPr>
            <w:r>
              <w:rPr>
                <w:rFonts w:ascii="宋体" w:hAnsi="宋体" w:eastAsia="宋体" w:cs="宋体"/>
                <w:sz w:val="18"/>
                <w:szCs w:val="18"/>
              </w:rPr>
              <w:t>15</w:t>
            </w:r>
          </w:p>
        </w:tc>
        <w:tc>
          <w:tcPr>
            <w:tcW w:w="1377" w:type="dxa"/>
            <w:tcBorders>
              <w:top w:val="single" w:color="auto" w:sz="2" w:space="0"/>
              <w:left w:val="single" w:color="auto" w:sz="2" w:space="0"/>
              <w:bottom w:val="single" w:color="auto" w:sz="2" w:space="0"/>
              <w:right w:val="single" w:color="auto" w:sz="2" w:space="0"/>
            </w:tcBorders>
            <w:vAlign w:val="center"/>
          </w:tcPr>
          <w:p w14:paraId="54851238">
            <w:pPr>
              <w:spacing w:line="240" w:lineRule="exact"/>
              <w:rPr>
                <w:rFonts w:ascii="宋体" w:hAnsi="宋体" w:eastAsia="宋体" w:cs="宋体"/>
                <w:sz w:val="18"/>
                <w:szCs w:val="18"/>
              </w:rPr>
            </w:pPr>
            <w:r>
              <w:rPr>
                <w:rFonts w:ascii="宋体" w:hAnsi="宋体" w:eastAsia="宋体" w:cs="宋体"/>
                <w:sz w:val="18"/>
                <w:szCs w:val="18"/>
              </w:rPr>
              <w:t>否</w:t>
            </w:r>
          </w:p>
        </w:tc>
      </w:tr>
      <w:tr w14:paraId="67E2C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14:paraId="6452BC44">
            <w:pPr>
              <w:spacing w:line="240" w:lineRule="exact"/>
              <w:rPr>
                <w:rFonts w:ascii="宋体" w:hAnsi="宋体" w:eastAsia="宋体" w:cs="宋体"/>
                <w:sz w:val="18"/>
                <w:szCs w:val="18"/>
              </w:rPr>
            </w:pPr>
            <w:r>
              <w:rPr>
                <w:rFonts w:ascii="宋体" w:hAnsi="宋体" w:eastAsia="宋体" w:cs="宋体"/>
                <w:sz w:val="18"/>
                <w:szCs w:val="18"/>
              </w:rPr>
              <w:t>程桂松</w:t>
            </w:r>
          </w:p>
        </w:tc>
        <w:tc>
          <w:tcPr>
            <w:tcW w:w="850" w:type="dxa"/>
            <w:tcBorders>
              <w:top w:val="single" w:color="auto" w:sz="2" w:space="0"/>
              <w:left w:val="single" w:color="auto" w:sz="2" w:space="0"/>
              <w:bottom w:val="single" w:color="auto" w:sz="2" w:space="0"/>
              <w:right w:val="single" w:color="auto" w:sz="2" w:space="0"/>
            </w:tcBorders>
            <w:vAlign w:val="center"/>
          </w:tcPr>
          <w:p w14:paraId="545BE6A6">
            <w:pPr>
              <w:spacing w:line="240" w:lineRule="exact"/>
              <w:jc w:val="center"/>
              <w:rPr>
                <w:rFonts w:ascii="宋体" w:hAnsi="宋体" w:eastAsia="宋体" w:cs="宋体"/>
                <w:sz w:val="18"/>
                <w:szCs w:val="18"/>
              </w:rPr>
            </w:pPr>
            <w:r>
              <w:rPr>
                <w:rFonts w:ascii="宋体" w:hAnsi="宋体" w:eastAsia="宋体" w:cs="宋体"/>
                <w:sz w:val="18"/>
                <w:szCs w:val="18"/>
              </w:rPr>
              <w:t>男</w:t>
            </w:r>
          </w:p>
        </w:tc>
        <w:tc>
          <w:tcPr>
            <w:tcW w:w="1276" w:type="dxa"/>
            <w:tcBorders>
              <w:top w:val="single" w:color="auto" w:sz="2" w:space="0"/>
              <w:left w:val="single" w:color="auto" w:sz="2" w:space="0"/>
              <w:bottom w:val="single" w:color="auto" w:sz="2" w:space="0"/>
              <w:right w:val="single" w:color="auto" w:sz="2" w:space="0"/>
            </w:tcBorders>
            <w:vAlign w:val="center"/>
          </w:tcPr>
          <w:p w14:paraId="645E755B">
            <w:pPr>
              <w:spacing w:line="240" w:lineRule="exact"/>
              <w:jc w:val="right"/>
              <w:rPr>
                <w:rFonts w:ascii="宋体" w:hAnsi="宋体" w:eastAsia="宋体" w:cs="宋体"/>
                <w:sz w:val="18"/>
                <w:szCs w:val="18"/>
              </w:rPr>
            </w:pPr>
            <w:r>
              <w:rPr>
                <w:rFonts w:ascii="宋体" w:hAnsi="宋体" w:eastAsia="宋体" w:cs="宋体"/>
                <w:sz w:val="18"/>
                <w:szCs w:val="18"/>
              </w:rPr>
              <w:t>60</w:t>
            </w:r>
          </w:p>
        </w:tc>
        <w:tc>
          <w:tcPr>
            <w:tcW w:w="2389" w:type="dxa"/>
            <w:tcBorders>
              <w:top w:val="single" w:color="auto" w:sz="2" w:space="0"/>
              <w:left w:val="single" w:color="auto" w:sz="2" w:space="0"/>
              <w:bottom w:val="single" w:color="auto" w:sz="2" w:space="0"/>
              <w:right w:val="single" w:color="auto" w:sz="2" w:space="0"/>
            </w:tcBorders>
            <w:vAlign w:val="center"/>
          </w:tcPr>
          <w:p w14:paraId="723EFE95">
            <w:pPr>
              <w:spacing w:line="240" w:lineRule="exact"/>
              <w:rPr>
                <w:rFonts w:ascii="宋体" w:hAnsi="宋体" w:eastAsia="宋体" w:cs="宋体"/>
                <w:sz w:val="18"/>
                <w:szCs w:val="18"/>
              </w:rPr>
            </w:pPr>
            <w:r>
              <w:rPr>
                <w:rFonts w:ascii="宋体" w:hAnsi="宋体" w:eastAsia="宋体" w:cs="宋体"/>
                <w:sz w:val="18"/>
                <w:szCs w:val="18"/>
              </w:rPr>
              <w:t>职工代表董事、副总裁</w:t>
            </w:r>
          </w:p>
        </w:tc>
        <w:tc>
          <w:tcPr>
            <w:tcW w:w="1377" w:type="dxa"/>
            <w:tcBorders>
              <w:top w:val="single" w:color="auto" w:sz="2" w:space="0"/>
              <w:left w:val="single" w:color="auto" w:sz="2" w:space="0"/>
              <w:bottom w:val="single" w:color="auto" w:sz="2" w:space="0"/>
              <w:right w:val="single" w:color="auto" w:sz="2" w:space="0"/>
            </w:tcBorders>
            <w:vAlign w:val="center"/>
          </w:tcPr>
          <w:p w14:paraId="51DFCD6F">
            <w:pPr>
              <w:spacing w:line="240" w:lineRule="exac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6202B0C7">
            <w:pPr>
              <w:spacing w:line="240" w:lineRule="exact"/>
              <w:jc w:val="right"/>
              <w:rPr>
                <w:rFonts w:ascii="宋体" w:hAnsi="宋体" w:eastAsia="宋体" w:cs="宋体"/>
                <w:sz w:val="18"/>
                <w:szCs w:val="18"/>
              </w:rPr>
            </w:pPr>
            <w:r>
              <w:rPr>
                <w:rFonts w:ascii="宋体" w:hAnsi="宋体" w:eastAsia="宋体" w:cs="宋体"/>
                <w:sz w:val="18"/>
                <w:szCs w:val="18"/>
              </w:rPr>
              <w:t>120</w:t>
            </w:r>
          </w:p>
        </w:tc>
        <w:tc>
          <w:tcPr>
            <w:tcW w:w="1377" w:type="dxa"/>
            <w:tcBorders>
              <w:top w:val="single" w:color="auto" w:sz="2" w:space="0"/>
              <w:left w:val="single" w:color="auto" w:sz="2" w:space="0"/>
              <w:bottom w:val="single" w:color="auto" w:sz="2" w:space="0"/>
              <w:right w:val="single" w:color="auto" w:sz="2" w:space="0"/>
            </w:tcBorders>
            <w:vAlign w:val="center"/>
          </w:tcPr>
          <w:p w14:paraId="603EA120">
            <w:pPr>
              <w:spacing w:line="240" w:lineRule="exact"/>
              <w:rPr>
                <w:rFonts w:ascii="宋体" w:hAnsi="宋体" w:eastAsia="宋体" w:cs="宋体"/>
                <w:sz w:val="18"/>
                <w:szCs w:val="18"/>
              </w:rPr>
            </w:pPr>
            <w:r>
              <w:rPr>
                <w:rFonts w:ascii="宋体" w:hAnsi="宋体" w:eastAsia="宋体" w:cs="宋体"/>
                <w:sz w:val="18"/>
                <w:szCs w:val="18"/>
              </w:rPr>
              <w:t>否</w:t>
            </w:r>
          </w:p>
        </w:tc>
      </w:tr>
      <w:tr w14:paraId="77252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14:paraId="1BAC3019">
            <w:pPr>
              <w:spacing w:line="240" w:lineRule="exact"/>
              <w:rPr>
                <w:rFonts w:ascii="宋体" w:hAnsi="宋体" w:eastAsia="宋体" w:cs="宋体"/>
                <w:sz w:val="18"/>
                <w:szCs w:val="18"/>
              </w:rPr>
            </w:pPr>
            <w:r>
              <w:rPr>
                <w:rFonts w:ascii="宋体" w:hAnsi="宋体" w:eastAsia="宋体" w:cs="宋体"/>
                <w:sz w:val="18"/>
                <w:szCs w:val="18"/>
              </w:rPr>
              <w:t>王国友</w:t>
            </w:r>
          </w:p>
        </w:tc>
        <w:tc>
          <w:tcPr>
            <w:tcW w:w="850" w:type="dxa"/>
            <w:tcBorders>
              <w:top w:val="single" w:color="auto" w:sz="2" w:space="0"/>
              <w:left w:val="single" w:color="auto" w:sz="2" w:space="0"/>
              <w:bottom w:val="single" w:color="auto" w:sz="2" w:space="0"/>
              <w:right w:val="single" w:color="auto" w:sz="2" w:space="0"/>
            </w:tcBorders>
            <w:vAlign w:val="center"/>
          </w:tcPr>
          <w:p w14:paraId="103BC512">
            <w:pPr>
              <w:spacing w:line="240" w:lineRule="exact"/>
              <w:jc w:val="center"/>
              <w:rPr>
                <w:rFonts w:ascii="宋体" w:hAnsi="宋体" w:eastAsia="宋体" w:cs="宋体"/>
                <w:sz w:val="18"/>
                <w:szCs w:val="18"/>
              </w:rPr>
            </w:pPr>
            <w:r>
              <w:rPr>
                <w:rFonts w:ascii="宋体" w:hAnsi="宋体" w:eastAsia="宋体" w:cs="宋体"/>
                <w:sz w:val="18"/>
                <w:szCs w:val="18"/>
              </w:rPr>
              <w:t>男</w:t>
            </w:r>
          </w:p>
        </w:tc>
        <w:tc>
          <w:tcPr>
            <w:tcW w:w="1276" w:type="dxa"/>
            <w:tcBorders>
              <w:top w:val="single" w:color="auto" w:sz="2" w:space="0"/>
              <w:left w:val="single" w:color="auto" w:sz="2" w:space="0"/>
              <w:bottom w:val="single" w:color="auto" w:sz="2" w:space="0"/>
              <w:right w:val="single" w:color="auto" w:sz="2" w:space="0"/>
            </w:tcBorders>
            <w:vAlign w:val="center"/>
          </w:tcPr>
          <w:p w14:paraId="62D0D20F">
            <w:pPr>
              <w:spacing w:line="240" w:lineRule="exact"/>
              <w:jc w:val="right"/>
              <w:rPr>
                <w:rFonts w:ascii="宋体" w:hAnsi="宋体" w:eastAsia="宋体" w:cs="宋体"/>
                <w:sz w:val="18"/>
                <w:szCs w:val="18"/>
              </w:rPr>
            </w:pPr>
            <w:r>
              <w:rPr>
                <w:rFonts w:ascii="宋体" w:hAnsi="宋体" w:eastAsia="宋体" w:cs="宋体"/>
                <w:sz w:val="18"/>
                <w:szCs w:val="18"/>
              </w:rPr>
              <w:t>63</w:t>
            </w:r>
          </w:p>
        </w:tc>
        <w:tc>
          <w:tcPr>
            <w:tcW w:w="2389" w:type="dxa"/>
            <w:tcBorders>
              <w:top w:val="single" w:color="auto" w:sz="2" w:space="0"/>
              <w:left w:val="single" w:color="auto" w:sz="2" w:space="0"/>
              <w:bottom w:val="single" w:color="auto" w:sz="2" w:space="0"/>
              <w:right w:val="single" w:color="auto" w:sz="2" w:space="0"/>
            </w:tcBorders>
            <w:vAlign w:val="center"/>
          </w:tcPr>
          <w:p w14:paraId="1F553FD9">
            <w:pPr>
              <w:spacing w:line="240" w:lineRule="exact"/>
              <w:rPr>
                <w:rFonts w:ascii="宋体" w:hAnsi="宋体" w:eastAsia="宋体" w:cs="宋体"/>
                <w:sz w:val="18"/>
                <w:szCs w:val="18"/>
              </w:rPr>
            </w:pPr>
            <w:r>
              <w:rPr>
                <w:rFonts w:ascii="宋体" w:hAnsi="宋体" w:eastAsia="宋体" w:cs="宋体"/>
                <w:sz w:val="18"/>
                <w:szCs w:val="18"/>
              </w:rPr>
              <w:t>董事、财务总监</w:t>
            </w:r>
          </w:p>
        </w:tc>
        <w:tc>
          <w:tcPr>
            <w:tcW w:w="1377" w:type="dxa"/>
            <w:tcBorders>
              <w:top w:val="single" w:color="auto" w:sz="2" w:space="0"/>
              <w:left w:val="single" w:color="auto" w:sz="2" w:space="0"/>
              <w:bottom w:val="single" w:color="auto" w:sz="2" w:space="0"/>
              <w:right w:val="single" w:color="auto" w:sz="2" w:space="0"/>
            </w:tcBorders>
            <w:vAlign w:val="center"/>
          </w:tcPr>
          <w:p w14:paraId="17A69127">
            <w:pPr>
              <w:spacing w:line="240" w:lineRule="exac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6539FB7E">
            <w:pPr>
              <w:spacing w:line="240" w:lineRule="exact"/>
              <w:jc w:val="right"/>
              <w:rPr>
                <w:rFonts w:ascii="宋体" w:hAnsi="宋体" w:eastAsia="宋体" w:cs="宋体"/>
                <w:sz w:val="18"/>
                <w:szCs w:val="18"/>
              </w:rPr>
            </w:pPr>
            <w:r>
              <w:rPr>
                <w:rFonts w:ascii="宋体" w:hAnsi="宋体" w:eastAsia="宋体" w:cs="宋体"/>
                <w:sz w:val="18"/>
                <w:szCs w:val="18"/>
              </w:rPr>
              <w:t>80</w:t>
            </w:r>
          </w:p>
        </w:tc>
        <w:tc>
          <w:tcPr>
            <w:tcW w:w="1377" w:type="dxa"/>
            <w:tcBorders>
              <w:top w:val="single" w:color="auto" w:sz="2" w:space="0"/>
              <w:left w:val="single" w:color="auto" w:sz="2" w:space="0"/>
              <w:bottom w:val="single" w:color="auto" w:sz="2" w:space="0"/>
              <w:right w:val="single" w:color="auto" w:sz="2" w:space="0"/>
            </w:tcBorders>
            <w:vAlign w:val="center"/>
          </w:tcPr>
          <w:p w14:paraId="60EB55F2">
            <w:pPr>
              <w:spacing w:line="240" w:lineRule="exact"/>
              <w:rPr>
                <w:rFonts w:ascii="宋体" w:hAnsi="宋体" w:eastAsia="宋体" w:cs="宋体"/>
                <w:sz w:val="18"/>
                <w:szCs w:val="18"/>
              </w:rPr>
            </w:pPr>
            <w:r>
              <w:rPr>
                <w:rFonts w:ascii="宋体" w:hAnsi="宋体" w:eastAsia="宋体" w:cs="宋体"/>
                <w:sz w:val="18"/>
                <w:szCs w:val="18"/>
              </w:rPr>
              <w:t>否</w:t>
            </w:r>
          </w:p>
        </w:tc>
      </w:tr>
      <w:tr w14:paraId="40569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14:paraId="6FA727EB">
            <w:pPr>
              <w:spacing w:line="240" w:lineRule="exact"/>
              <w:rPr>
                <w:rFonts w:ascii="宋体" w:hAnsi="宋体" w:eastAsia="宋体" w:cs="宋体"/>
                <w:sz w:val="18"/>
                <w:szCs w:val="18"/>
              </w:rPr>
            </w:pPr>
            <w:r>
              <w:rPr>
                <w:rFonts w:ascii="宋体" w:hAnsi="宋体" w:eastAsia="宋体" w:cs="宋体"/>
                <w:sz w:val="18"/>
                <w:szCs w:val="18"/>
              </w:rPr>
              <w:t>张正</w:t>
            </w:r>
          </w:p>
        </w:tc>
        <w:tc>
          <w:tcPr>
            <w:tcW w:w="850" w:type="dxa"/>
            <w:tcBorders>
              <w:top w:val="single" w:color="auto" w:sz="2" w:space="0"/>
              <w:left w:val="single" w:color="auto" w:sz="2" w:space="0"/>
              <w:bottom w:val="single" w:color="auto" w:sz="2" w:space="0"/>
              <w:right w:val="single" w:color="auto" w:sz="2" w:space="0"/>
            </w:tcBorders>
            <w:vAlign w:val="center"/>
          </w:tcPr>
          <w:p w14:paraId="3DE59453">
            <w:pPr>
              <w:spacing w:line="240" w:lineRule="exact"/>
              <w:jc w:val="center"/>
              <w:rPr>
                <w:rFonts w:ascii="宋体" w:hAnsi="宋体" w:eastAsia="宋体" w:cs="宋体"/>
                <w:sz w:val="18"/>
                <w:szCs w:val="18"/>
              </w:rPr>
            </w:pPr>
            <w:r>
              <w:rPr>
                <w:rFonts w:ascii="宋体" w:hAnsi="宋体" w:eastAsia="宋体" w:cs="宋体"/>
                <w:sz w:val="18"/>
                <w:szCs w:val="18"/>
              </w:rPr>
              <w:t>男</w:t>
            </w:r>
          </w:p>
        </w:tc>
        <w:tc>
          <w:tcPr>
            <w:tcW w:w="1276" w:type="dxa"/>
            <w:tcBorders>
              <w:top w:val="single" w:color="auto" w:sz="2" w:space="0"/>
              <w:left w:val="single" w:color="auto" w:sz="2" w:space="0"/>
              <w:bottom w:val="single" w:color="auto" w:sz="2" w:space="0"/>
              <w:right w:val="single" w:color="auto" w:sz="2" w:space="0"/>
            </w:tcBorders>
            <w:vAlign w:val="center"/>
          </w:tcPr>
          <w:p w14:paraId="5D78D715">
            <w:pPr>
              <w:spacing w:line="240" w:lineRule="exact"/>
              <w:jc w:val="right"/>
              <w:rPr>
                <w:rFonts w:ascii="宋体" w:hAnsi="宋体" w:eastAsia="宋体" w:cs="宋体"/>
                <w:sz w:val="18"/>
                <w:szCs w:val="18"/>
              </w:rPr>
            </w:pPr>
            <w:r>
              <w:rPr>
                <w:rFonts w:ascii="宋体" w:hAnsi="宋体" w:eastAsia="宋体" w:cs="宋体"/>
                <w:sz w:val="18"/>
                <w:szCs w:val="18"/>
              </w:rPr>
              <w:t>41</w:t>
            </w:r>
          </w:p>
        </w:tc>
        <w:tc>
          <w:tcPr>
            <w:tcW w:w="2389" w:type="dxa"/>
            <w:tcBorders>
              <w:top w:val="single" w:color="auto" w:sz="2" w:space="0"/>
              <w:left w:val="single" w:color="auto" w:sz="2" w:space="0"/>
              <w:bottom w:val="single" w:color="auto" w:sz="2" w:space="0"/>
              <w:right w:val="single" w:color="auto" w:sz="2" w:space="0"/>
            </w:tcBorders>
            <w:vAlign w:val="center"/>
          </w:tcPr>
          <w:p w14:paraId="29265F2D">
            <w:pPr>
              <w:spacing w:line="240" w:lineRule="exact"/>
              <w:rPr>
                <w:rFonts w:ascii="宋体" w:hAnsi="宋体" w:eastAsia="宋体" w:cs="宋体"/>
                <w:sz w:val="18"/>
                <w:szCs w:val="18"/>
              </w:rPr>
            </w:pPr>
            <w:r>
              <w:rPr>
                <w:rFonts w:ascii="宋体" w:hAnsi="宋体" w:eastAsia="宋体" w:cs="宋体"/>
                <w:sz w:val="18"/>
                <w:szCs w:val="18"/>
              </w:rPr>
              <w:t>董事、副总裁、董事会秘书</w:t>
            </w:r>
          </w:p>
        </w:tc>
        <w:tc>
          <w:tcPr>
            <w:tcW w:w="1377" w:type="dxa"/>
            <w:tcBorders>
              <w:top w:val="single" w:color="auto" w:sz="2" w:space="0"/>
              <w:left w:val="single" w:color="auto" w:sz="2" w:space="0"/>
              <w:bottom w:val="single" w:color="auto" w:sz="2" w:space="0"/>
              <w:right w:val="single" w:color="auto" w:sz="2" w:space="0"/>
            </w:tcBorders>
            <w:vAlign w:val="center"/>
          </w:tcPr>
          <w:p w14:paraId="3B4F0B57">
            <w:pPr>
              <w:spacing w:line="240" w:lineRule="exac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4365F8CD">
            <w:pPr>
              <w:spacing w:line="240" w:lineRule="exact"/>
              <w:jc w:val="right"/>
              <w:rPr>
                <w:rFonts w:ascii="宋体" w:hAnsi="宋体" w:eastAsia="宋体" w:cs="宋体"/>
                <w:sz w:val="18"/>
                <w:szCs w:val="18"/>
              </w:rPr>
            </w:pPr>
            <w:r>
              <w:rPr>
                <w:rFonts w:ascii="宋体" w:hAnsi="宋体" w:eastAsia="宋体" w:cs="宋体"/>
                <w:sz w:val="18"/>
                <w:szCs w:val="18"/>
              </w:rPr>
              <w:t>80</w:t>
            </w:r>
          </w:p>
        </w:tc>
        <w:tc>
          <w:tcPr>
            <w:tcW w:w="1377" w:type="dxa"/>
            <w:tcBorders>
              <w:top w:val="single" w:color="auto" w:sz="2" w:space="0"/>
              <w:left w:val="single" w:color="auto" w:sz="2" w:space="0"/>
              <w:bottom w:val="single" w:color="auto" w:sz="2" w:space="0"/>
              <w:right w:val="single" w:color="auto" w:sz="2" w:space="0"/>
            </w:tcBorders>
            <w:vAlign w:val="center"/>
          </w:tcPr>
          <w:p w14:paraId="642AAE92">
            <w:pPr>
              <w:spacing w:line="240" w:lineRule="exact"/>
              <w:rPr>
                <w:rFonts w:ascii="宋体" w:hAnsi="宋体" w:eastAsia="宋体" w:cs="宋体"/>
                <w:sz w:val="18"/>
                <w:szCs w:val="18"/>
              </w:rPr>
            </w:pPr>
            <w:r>
              <w:rPr>
                <w:rFonts w:ascii="宋体" w:hAnsi="宋体" w:eastAsia="宋体" w:cs="宋体"/>
                <w:sz w:val="18"/>
                <w:szCs w:val="18"/>
              </w:rPr>
              <w:t>否</w:t>
            </w:r>
          </w:p>
        </w:tc>
      </w:tr>
      <w:tr w14:paraId="13732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14:paraId="2946497C">
            <w:pPr>
              <w:spacing w:line="240" w:lineRule="exact"/>
              <w:rPr>
                <w:rFonts w:ascii="宋体" w:hAnsi="宋体" w:eastAsia="宋体" w:cs="宋体"/>
                <w:sz w:val="18"/>
                <w:szCs w:val="18"/>
              </w:rPr>
            </w:pPr>
            <w:r>
              <w:rPr>
                <w:rFonts w:ascii="宋体" w:hAnsi="宋体" w:eastAsia="宋体" w:cs="宋体"/>
                <w:sz w:val="18"/>
                <w:szCs w:val="18"/>
              </w:rPr>
              <w:t>宣刚江</w:t>
            </w:r>
          </w:p>
        </w:tc>
        <w:tc>
          <w:tcPr>
            <w:tcW w:w="850" w:type="dxa"/>
            <w:tcBorders>
              <w:top w:val="single" w:color="auto" w:sz="2" w:space="0"/>
              <w:left w:val="single" w:color="auto" w:sz="2" w:space="0"/>
              <w:bottom w:val="single" w:color="auto" w:sz="2" w:space="0"/>
              <w:right w:val="single" w:color="auto" w:sz="2" w:space="0"/>
            </w:tcBorders>
            <w:vAlign w:val="center"/>
          </w:tcPr>
          <w:p w14:paraId="6B3AD8FF">
            <w:pPr>
              <w:spacing w:line="240" w:lineRule="exact"/>
              <w:jc w:val="center"/>
              <w:rPr>
                <w:rFonts w:ascii="宋体" w:hAnsi="宋体" w:eastAsia="宋体" w:cs="宋体"/>
                <w:sz w:val="18"/>
                <w:szCs w:val="18"/>
              </w:rPr>
            </w:pPr>
            <w:r>
              <w:rPr>
                <w:rFonts w:ascii="宋体" w:hAnsi="宋体" w:eastAsia="宋体" w:cs="宋体"/>
                <w:sz w:val="18"/>
                <w:szCs w:val="18"/>
              </w:rPr>
              <w:t>男</w:t>
            </w:r>
          </w:p>
        </w:tc>
        <w:tc>
          <w:tcPr>
            <w:tcW w:w="1276" w:type="dxa"/>
            <w:tcBorders>
              <w:top w:val="single" w:color="auto" w:sz="2" w:space="0"/>
              <w:left w:val="single" w:color="auto" w:sz="2" w:space="0"/>
              <w:bottom w:val="single" w:color="auto" w:sz="2" w:space="0"/>
              <w:right w:val="single" w:color="auto" w:sz="2" w:space="0"/>
            </w:tcBorders>
            <w:vAlign w:val="center"/>
          </w:tcPr>
          <w:p w14:paraId="4404934B">
            <w:pPr>
              <w:spacing w:line="240" w:lineRule="exact"/>
              <w:jc w:val="right"/>
              <w:rPr>
                <w:rFonts w:ascii="宋体" w:hAnsi="宋体" w:eastAsia="宋体" w:cs="宋体"/>
                <w:sz w:val="18"/>
                <w:szCs w:val="18"/>
              </w:rPr>
            </w:pPr>
            <w:r>
              <w:rPr>
                <w:rFonts w:ascii="宋体" w:hAnsi="宋体" w:eastAsia="宋体" w:cs="宋体"/>
                <w:sz w:val="18"/>
                <w:szCs w:val="18"/>
              </w:rPr>
              <w:t>42</w:t>
            </w:r>
          </w:p>
        </w:tc>
        <w:tc>
          <w:tcPr>
            <w:tcW w:w="2389" w:type="dxa"/>
            <w:tcBorders>
              <w:top w:val="single" w:color="auto" w:sz="2" w:space="0"/>
              <w:left w:val="single" w:color="auto" w:sz="2" w:space="0"/>
              <w:bottom w:val="single" w:color="auto" w:sz="2" w:space="0"/>
              <w:right w:val="single" w:color="auto" w:sz="2" w:space="0"/>
            </w:tcBorders>
            <w:vAlign w:val="center"/>
          </w:tcPr>
          <w:p w14:paraId="7BCBBD82">
            <w:pPr>
              <w:spacing w:line="240" w:lineRule="exact"/>
              <w:rPr>
                <w:rFonts w:ascii="宋体" w:hAnsi="宋体" w:eastAsia="宋体" w:cs="宋体"/>
                <w:sz w:val="18"/>
                <w:szCs w:val="18"/>
              </w:rPr>
            </w:pPr>
            <w:r>
              <w:rPr>
                <w:rFonts w:ascii="宋体" w:hAnsi="宋体" w:eastAsia="宋体" w:cs="宋体"/>
                <w:sz w:val="18"/>
                <w:szCs w:val="18"/>
              </w:rPr>
              <w:t>董事</w:t>
            </w:r>
          </w:p>
        </w:tc>
        <w:tc>
          <w:tcPr>
            <w:tcW w:w="1377" w:type="dxa"/>
            <w:tcBorders>
              <w:top w:val="single" w:color="auto" w:sz="2" w:space="0"/>
              <w:left w:val="single" w:color="auto" w:sz="2" w:space="0"/>
              <w:bottom w:val="single" w:color="auto" w:sz="2" w:space="0"/>
              <w:right w:val="single" w:color="auto" w:sz="2" w:space="0"/>
            </w:tcBorders>
            <w:vAlign w:val="center"/>
          </w:tcPr>
          <w:p w14:paraId="37AD852B">
            <w:pPr>
              <w:spacing w:line="240" w:lineRule="exac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01B7CC2C">
            <w:pPr>
              <w:spacing w:line="240" w:lineRule="exact"/>
              <w:jc w:val="right"/>
              <w:rPr>
                <w:rFonts w:ascii="宋体" w:hAnsi="宋体" w:eastAsia="宋体" w:cs="宋体"/>
                <w:sz w:val="18"/>
                <w:szCs w:val="18"/>
              </w:rPr>
            </w:pPr>
            <w:r>
              <w:rPr>
                <w:rFonts w:ascii="宋体" w:hAnsi="宋体" w:eastAsia="宋体" w:cs="宋体"/>
                <w:sz w:val="18"/>
                <w:szCs w:val="18"/>
              </w:rPr>
              <w:t>50</w:t>
            </w:r>
          </w:p>
        </w:tc>
        <w:tc>
          <w:tcPr>
            <w:tcW w:w="1377" w:type="dxa"/>
            <w:tcBorders>
              <w:top w:val="single" w:color="auto" w:sz="2" w:space="0"/>
              <w:left w:val="single" w:color="auto" w:sz="2" w:space="0"/>
              <w:bottom w:val="single" w:color="auto" w:sz="2" w:space="0"/>
              <w:right w:val="single" w:color="auto" w:sz="2" w:space="0"/>
            </w:tcBorders>
            <w:vAlign w:val="center"/>
          </w:tcPr>
          <w:p w14:paraId="15638089">
            <w:pPr>
              <w:spacing w:line="240" w:lineRule="exact"/>
              <w:rPr>
                <w:rFonts w:ascii="宋体" w:hAnsi="宋体" w:eastAsia="宋体" w:cs="宋体"/>
                <w:sz w:val="18"/>
                <w:szCs w:val="18"/>
              </w:rPr>
            </w:pPr>
            <w:r>
              <w:rPr>
                <w:rFonts w:ascii="宋体" w:hAnsi="宋体" w:eastAsia="宋体" w:cs="宋体"/>
                <w:sz w:val="18"/>
                <w:szCs w:val="18"/>
              </w:rPr>
              <w:t>否</w:t>
            </w:r>
          </w:p>
        </w:tc>
      </w:tr>
      <w:tr w14:paraId="17572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14:paraId="7BF544D0">
            <w:pPr>
              <w:spacing w:line="240" w:lineRule="exact"/>
              <w:rPr>
                <w:rFonts w:ascii="宋体" w:hAnsi="宋体" w:eastAsia="宋体" w:cs="宋体"/>
                <w:sz w:val="18"/>
                <w:szCs w:val="18"/>
              </w:rPr>
            </w:pPr>
            <w:r>
              <w:rPr>
                <w:rFonts w:ascii="宋体" w:hAnsi="宋体" w:eastAsia="宋体" w:cs="宋体"/>
                <w:sz w:val="18"/>
                <w:szCs w:val="18"/>
              </w:rPr>
              <w:t>黄亚英</w:t>
            </w:r>
          </w:p>
        </w:tc>
        <w:tc>
          <w:tcPr>
            <w:tcW w:w="850" w:type="dxa"/>
            <w:tcBorders>
              <w:top w:val="single" w:color="auto" w:sz="2" w:space="0"/>
              <w:left w:val="single" w:color="auto" w:sz="2" w:space="0"/>
              <w:bottom w:val="single" w:color="auto" w:sz="2" w:space="0"/>
              <w:right w:val="single" w:color="auto" w:sz="2" w:space="0"/>
            </w:tcBorders>
            <w:vAlign w:val="center"/>
          </w:tcPr>
          <w:p w14:paraId="019A666B">
            <w:pPr>
              <w:spacing w:line="240" w:lineRule="exact"/>
              <w:jc w:val="center"/>
              <w:rPr>
                <w:rFonts w:ascii="宋体" w:hAnsi="宋体" w:eastAsia="宋体" w:cs="宋体"/>
                <w:sz w:val="18"/>
                <w:szCs w:val="18"/>
              </w:rPr>
            </w:pPr>
            <w:r>
              <w:rPr>
                <w:rFonts w:ascii="宋体" w:hAnsi="宋体" w:eastAsia="宋体" w:cs="宋体"/>
                <w:sz w:val="18"/>
                <w:szCs w:val="18"/>
              </w:rPr>
              <w:t>男</w:t>
            </w:r>
          </w:p>
        </w:tc>
        <w:tc>
          <w:tcPr>
            <w:tcW w:w="1276" w:type="dxa"/>
            <w:tcBorders>
              <w:top w:val="single" w:color="auto" w:sz="2" w:space="0"/>
              <w:left w:val="single" w:color="auto" w:sz="2" w:space="0"/>
              <w:bottom w:val="single" w:color="auto" w:sz="2" w:space="0"/>
              <w:right w:val="single" w:color="auto" w:sz="2" w:space="0"/>
            </w:tcBorders>
            <w:vAlign w:val="center"/>
          </w:tcPr>
          <w:p w14:paraId="37FAC424">
            <w:pPr>
              <w:spacing w:line="240" w:lineRule="exact"/>
              <w:jc w:val="right"/>
              <w:rPr>
                <w:rFonts w:ascii="宋体" w:hAnsi="宋体" w:eastAsia="宋体" w:cs="宋体"/>
                <w:sz w:val="18"/>
                <w:szCs w:val="18"/>
              </w:rPr>
            </w:pPr>
            <w:r>
              <w:rPr>
                <w:rFonts w:ascii="宋体" w:hAnsi="宋体" w:eastAsia="宋体" w:cs="宋体"/>
                <w:sz w:val="18"/>
                <w:szCs w:val="18"/>
              </w:rPr>
              <w:t>64</w:t>
            </w:r>
          </w:p>
        </w:tc>
        <w:tc>
          <w:tcPr>
            <w:tcW w:w="2389" w:type="dxa"/>
            <w:tcBorders>
              <w:top w:val="single" w:color="auto" w:sz="2" w:space="0"/>
              <w:left w:val="single" w:color="auto" w:sz="2" w:space="0"/>
              <w:bottom w:val="single" w:color="auto" w:sz="2" w:space="0"/>
              <w:right w:val="single" w:color="auto" w:sz="2" w:space="0"/>
            </w:tcBorders>
            <w:vAlign w:val="center"/>
          </w:tcPr>
          <w:p w14:paraId="12495041">
            <w:pPr>
              <w:spacing w:line="240" w:lineRule="exact"/>
              <w:rPr>
                <w:rFonts w:ascii="宋体" w:hAnsi="宋体" w:eastAsia="宋体" w:cs="宋体"/>
                <w:sz w:val="18"/>
                <w:szCs w:val="18"/>
              </w:rPr>
            </w:pPr>
            <w:r>
              <w:rPr>
                <w:rFonts w:ascii="宋体" w:hAnsi="宋体" w:eastAsia="宋体" w:cs="宋体"/>
                <w:sz w:val="18"/>
                <w:szCs w:val="18"/>
              </w:rPr>
              <w:t>独立董事</w:t>
            </w:r>
          </w:p>
        </w:tc>
        <w:tc>
          <w:tcPr>
            <w:tcW w:w="1377" w:type="dxa"/>
            <w:tcBorders>
              <w:top w:val="single" w:color="auto" w:sz="2" w:space="0"/>
              <w:left w:val="single" w:color="auto" w:sz="2" w:space="0"/>
              <w:bottom w:val="single" w:color="auto" w:sz="2" w:space="0"/>
              <w:right w:val="single" w:color="auto" w:sz="2" w:space="0"/>
            </w:tcBorders>
            <w:vAlign w:val="center"/>
          </w:tcPr>
          <w:p w14:paraId="716BA7A5">
            <w:pPr>
              <w:spacing w:line="240" w:lineRule="exac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3E2FE826">
            <w:pPr>
              <w:spacing w:line="240" w:lineRule="exact"/>
              <w:jc w:val="right"/>
              <w:rPr>
                <w:rFonts w:ascii="宋体" w:hAnsi="宋体" w:eastAsia="宋体" w:cs="宋体"/>
                <w:sz w:val="18"/>
                <w:szCs w:val="18"/>
              </w:rPr>
            </w:pPr>
            <w:r>
              <w:rPr>
                <w:rFonts w:ascii="宋体" w:hAnsi="宋体" w:eastAsia="宋体" w:cs="宋体"/>
                <w:sz w:val="18"/>
                <w:szCs w:val="18"/>
              </w:rPr>
              <w:t>12</w:t>
            </w:r>
          </w:p>
        </w:tc>
        <w:tc>
          <w:tcPr>
            <w:tcW w:w="1377" w:type="dxa"/>
            <w:tcBorders>
              <w:top w:val="single" w:color="auto" w:sz="2" w:space="0"/>
              <w:left w:val="single" w:color="auto" w:sz="2" w:space="0"/>
              <w:bottom w:val="single" w:color="auto" w:sz="2" w:space="0"/>
              <w:right w:val="single" w:color="auto" w:sz="2" w:space="0"/>
            </w:tcBorders>
            <w:vAlign w:val="center"/>
          </w:tcPr>
          <w:p w14:paraId="20482691">
            <w:pPr>
              <w:spacing w:line="240" w:lineRule="exact"/>
              <w:rPr>
                <w:rFonts w:ascii="宋体" w:hAnsi="宋体" w:eastAsia="宋体" w:cs="宋体"/>
                <w:sz w:val="18"/>
                <w:szCs w:val="18"/>
              </w:rPr>
            </w:pPr>
            <w:r>
              <w:rPr>
                <w:rFonts w:ascii="宋体" w:hAnsi="宋体" w:eastAsia="宋体" w:cs="宋体"/>
                <w:sz w:val="18"/>
                <w:szCs w:val="18"/>
              </w:rPr>
              <w:t>否</w:t>
            </w:r>
          </w:p>
        </w:tc>
      </w:tr>
      <w:tr w14:paraId="048DC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14:paraId="16BA9EF9">
            <w:pPr>
              <w:spacing w:line="240" w:lineRule="exact"/>
              <w:rPr>
                <w:rFonts w:ascii="宋体" w:hAnsi="宋体" w:eastAsia="宋体" w:cs="宋体"/>
                <w:sz w:val="18"/>
                <w:szCs w:val="18"/>
              </w:rPr>
            </w:pPr>
            <w:r>
              <w:rPr>
                <w:rFonts w:ascii="宋体" w:hAnsi="宋体" w:eastAsia="宋体" w:cs="宋体"/>
                <w:sz w:val="18"/>
                <w:szCs w:val="18"/>
              </w:rPr>
              <w:t>刁英峰</w:t>
            </w:r>
          </w:p>
        </w:tc>
        <w:tc>
          <w:tcPr>
            <w:tcW w:w="850" w:type="dxa"/>
            <w:tcBorders>
              <w:top w:val="single" w:color="auto" w:sz="2" w:space="0"/>
              <w:left w:val="single" w:color="auto" w:sz="2" w:space="0"/>
              <w:bottom w:val="single" w:color="auto" w:sz="2" w:space="0"/>
              <w:right w:val="single" w:color="auto" w:sz="2" w:space="0"/>
            </w:tcBorders>
            <w:vAlign w:val="center"/>
          </w:tcPr>
          <w:p w14:paraId="48B009CD">
            <w:pPr>
              <w:spacing w:line="240" w:lineRule="exact"/>
              <w:jc w:val="center"/>
              <w:rPr>
                <w:rFonts w:ascii="宋体" w:hAnsi="宋体" w:eastAsia="宋体" w:cs="宋体"/>
                <w:sz w:val="18"/>
                <w:szCs w:val="18"/>
              </w:rPr>
            </w:pPr>
            <w:r>
              <w:rPr>
                <w:rFonts w:ascii="宋体" w:hAnsi="宋体" w:eastAsia="宋体" w:cs="宋体"/>
                <w:sz w:val="18"/>
                <w:szCs w:val="18"/>
              </w:rPr>
              <w:t>男</w:t>
            </w:r>
          </w:p>
        </w:tc>
        <w:tc>
          <w:tcPr>
            <w:tcW w:w="1276" w:type="dxa"/>
            <w:tcBorders>
              <w:top w:val="single" w:color="auto" w:sz="2" w:space="0"/>
              <w:left w:val="single" w:color="auto" w:sz="2" w:space="0"/>
              <w:bottom w:val="single" w:color="auto" w:sz="2" w:space="0"/>
              <w:right w:val="single" w:color="auto" w:sz="2" w:space="0"/>
            </w:tcBorders>
            <w:vAlign w:val="center"/>
          </w:tcPr>
          <w:p w14:paraId="4301973F">
            <w:pPr>
              <w:spacing w:line="240" w:lineRule="exact"/>
              <w:jc w:val="right"/>
              <w:rPr>
                <w:rFonts w:ascii="宋体" w:hAnsi="宋体" w:eastAsia="宋体" w:cs="宋体"/>
                <w:sz w:val="18"/>
                <w:szCs w:val="18"/>
              </w:rPr>
            </w:pPr>
            <w:r>
              <w:rPr>
                <w:rFonts w:ascii="宋体" w:hAnsi="宋体" w:eastAsia="宋体" w:cs="宋体"/>
                <w:sz w:val="18"/>
                <w:szCs w:val="18"/>
              </w:rPr>
              <w:t>55</w:t>
            </w:r>
          </w:p>
        </w:tc>
        <w:tc>
          <w:tcPr>
            <w:tcW w:w="2389" w:type="dxa"/>
            <w:tcBorders>
              <w:top w:val="single" w:color="auto" w:sz="2" w:space="0"/>
              <w:left w:val="single" w:color="auto" w:sz="2" w:space="0"/>
              <w:bottom w:val="single" w:color="auto" w:sz="2" w:space="0"/>
              <w:right w:val="single" w:color="auto" w:sz="2" w:space="0"/>
            </w:tcBorders>
            <w:vAlign w:val="center"/>
          </w:tcPr>
          <w:p w14:paraId="30699B35">
            <w:pPr>
              <w:spacing w:line="240" w:lineRule="exact"/>
              <w:rPr>
                <w:rFonts w:ascii="宋体" w:hAnsi="宋体" w:eastAsia="宋体" w:cs="宋体"/>
                <w:sz w:val="18"/>
                <w:szCs w:val="18"/>
              </w:rPr>
            </w:pPr>
            <w:r>
              <w:rPr>
                <w:rFonts w:ascii="宋体" w:hAnsi="宋体" w:eastAsia="宋体" w:cs="宋体"/>
                <w:sz w:val="18"/>
                <w:szCs w:val="18"/>
              </w:rPr>
              <w:t>独立董事</w:t>
            </w:r>
          </w:p>
        </w:tc>
        <w:tc>
          <w:tcPr>
            <w:tcW w:w="1377" w:type="dxa"/>
            <w:tcBorders>
              <w:top w:val="single" w:color="auto" w:sz="2" w:space="0"/>
              <w:left w:val="single" w:color="auto" w:sz="2" w:space="0"/>
              <w:bottom w:val="single" w:color="auto" w:sz="2" w:space="0"/>
              <w:right w:val="single" w:color="auto" w:sz="2" w:space="0"/>
            </w:tcBorders>
            <w:vAlign w:val="center"/>
          </w:tcPr>
          <w:p w14:paraId="1B319C61">
            <w:pPr>
              <w:spacing w:line="240" w:lineRule="exac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6AFE1547">
            <w:pPr>
              <w:spacing w:line="240" w:lineRule="exact"/>
              <w:jc w:val="right"/>
              <w:rPr>
                <w:rFonts w:ascii="宋体" w:hAnsi="宋体" w:eastAsia="宋体" w:cs="宋体"/>
                <w:sz w:val="18"/>
                <w:szCs w:val="18"/>
              </w:rPr>
            </w:pPr>
            <w:r>
              <w:rPr>
                <w:rFonts w:ascii="宋体" w:hAnsi="宋体" w:eastAsia="宋体" w:cs="宋体"/>
                <w:sz w:val="18"/>
                <w:szCs w:val="18"/>
              </w:rPr>
              <w:t>12</w:t>
            </w:r>
          </w:p>
        </w:tc>
        <w:tc>
          <w:tcPr>
            <w:tcW w:w="1377" w:type="dxa"/>
            <w:tcBorders>
              <w:top w:val="single" w:color="auto" w:sz="2" w:space="0"/>
              <w:left w:val="single" w:color="auto" w:sz="2" w:space="0"/>
              <w:bottom w:val="single" w:color="auto" w:sz="2" w:space="0"/>
              <w:right w:val="single" w:color="auto" w:sz="2" w:space="0"/>
            </w:tcBorders>
            <w:vAlign w:val="center"/>
          </w:tcPr>
          <w:p w14:paraId="012A1E43">
            <w:pPr>
              <w:spacing w:line="240" w:lineRule="exact"/>
              <w:rPr>
                <w:rFonts w:ascii="宋体" w:hAnsi="宋体" w:eastAsia="宋体" w:cs="宋体"/>
                <w:sz w:val="18"/>
                <w:szCs w:val="18"/>
              </w:rPr>
            </w:pPr>
            <w:r>
              <w:rPr>
                <w:rFonts w:ascii="宋体" w:hAnsi="宋体" w:eastAsia="宋体" w:cs="宋体"/>
                <w:sz w:val="18"/>
                <w:szCs w:val="18"/>
              </w:rPr>
              <w:t>否</w:t>
            </w:r>
          </w:p>
        </w:tc>
      </w:tr>
      <w:tr w14:paraId="46915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14:paraId="67D8FC4A">
            <w:pPr>
              <w:spacing w:line="240" w:lineRule="exact"/>
              <w:rPr>
                <w:rFonts w:ascii="宋体" w:hAnsi="宋体" w:eastAsia="宋体" w:cs="宋体"/>
                <w:sz w:val="18"/>
                <w:szCs w:val="18"/>
              </w:rPr>
            </w:pPr>
            <w:r>
              <w:rPr>
                <w:rFonts w:ascii="宋体" w:hAnsi="宋体" w:eastAsia="宋体" w:cs="宋体"/>
                <w:sz w:val="18"/>
                <w:szCs w:val="18"/>
              </w:rPr>
              <w:t>宋海涛</w:t>
            </w:r>
          </w:p>
        </w:tc>
        <w:tc>
          <w:tcPr>
            <w:tcW w:w="850" w:type="dxa"/>
            <w:tcBorders>
              <w:top w:val="single" w:color="auto" w:sz="2" w:space="0"/>
              <w:left w:val="single" w:color="auto" w:sz="2" w:space="0"/>
              <w:bottom w:val="single" w:color="auto" w:sz="2" w:space="0"/>
              <w:right w:val="single" w:color="auto" w:sz="2" w:space="0"/>
            </w:tcBorders>
            <w:vAlign w:val="center"/>
          </w:tcPr>
          <w:p w14:paraId="3D8DEA72">
            <w:pPr>
              <w:spacing w:line="240" w:lineRule="exact"/>
              <w:jc w:val="center"/>
              <w:rPr>
                <w:rFonts w:ascii="宋体" w:hAnsi="宋体" w:eastAsia="宋体" w:cs="宋体"/>
                <w:sz w:val="18"/>
                <w:szCs w:val="18"/>
              </w:rPr>
            </w:pPr>
            <w:r>
              <w:rPr>
                <w:rFonts w:ascii="宋体" w:hAnsi="宋体" w:eastAsia="宋体" w:cs="宋体"/>
                <w:sz w:val="18"/>
                <w:szCs w:val="18"/>
              </w:rPr>
              <w:t>男</w:t>
            </w:r>
          </w:p>
        </w:tc>
        <w:tc>
          <w:tcPr>
            <w:tcW w:w="1276" w:type="dxa"/>
            <w:tcBorders>
              <w:top w:val="single" w:color="auto" w:sz="2" w:space="0"/>
              <w:left w:val="single" w:color="auto" w:sz="2" w:space="0"/>
              <w:bottom w:val="single" w:color="auto" w:sz="2" w:space="0"/>
              <w:right w:val="single" w:color="auto" w:sz="2" w:space="0"/>
            </w:tcBorders>
            <w:vAlign w:val="center"/>
          </w:tcPr>
          <w:p w14:paraId="512A5C01">
            <w:pPr>
              <w:spacing w:line="240" w:lineRule="exact"/>
              <w:jc w:val="right"/>
              <w:rPr>
                <w:rFonts w:ascii="宋体" w:hAnsi="宋体" w:eastAsia="宋体" w:cs="宋体"/>
                <w:sz w:val="18"/>
                <w:szCs w:val="18"/>
              </w:rPr>
            </w:pPr>
            <w:r>
              <w:rPr>
                <w:rFonts w:ascii="宋体" w:hAnsi="宋体" w:eastAsia="宋体" w:cs="宋体"/>
                <w:sz w:val="18"/>
                <w:szCs w:val="18"/>
              </w:rPr>
              <w:t>40</w:t>
            </w:r>
          </w:p>
        </w:tc>
        <w:tc>
          <w:tcPr>
            <w:tcW w:w="2389" w:type="dxa"/>
            <w:tcBorders>
              <w:top w:val="single" w:color="auto" w:sz="2" w:space="0"/>
              <w:left w:val="single" w:color="auto" w:sz="2" w:space="0"/>
              <w:bottom w:val="single" w:color="auto" w:sz="2" w:space="0"/>
              <w:right w:val="single" w:color="auto" w:sz="2" w:space="0"/>
            </w:tcBorders>
            <w:vAlign w:val="center"/>
          </w:tcPr>
          <w:p w14:paraId="1800D376">
            <w:pPr>
              <w:spacing w:line="240" w:lineRule="exact"/>
              <w:rPr>
                <w:rFonts w:ascii="宋体" w:hAnsi="宋体" w:eastAsia="宋体" w:cs="宋体"/>
                <w:sz w:val="18"/>
                <w:szCs w:val="18"/>
              </w:rPr>
            </w:pPr>
            <w:r>
              <w:rPr>
                <w:rFonts w:ascii="宋体" w:hAnsi="宋体" w:eastAsia="宋体" w:cs="宋体"/>
                <w:sz w:val="18"/>
                <w:szCs w:val="18"/>
              </w:rPr>
              <w:t>独立董事</w:t>
            </w:r>
          </w:p>
        </w:tc>
        <w:tc>
          <w:tcPr>
            <w:tcW w:w="1377" w:type="dxa"/>
            <w:tcBorders>
              <w:top w:val="single" w:color="auto" w:sz="2" w:space="0"/>
              <w:left w:val="single" w:color="auto" w:sz="2" w:space="0"/>
              <w:bottom w:val="single" w:color="auto" w:sz="2" w:space="0"/>
              <w:right w:val="single" w:color="auto" w:sz="2" w:space="0"/>
            </w:tcBorders>
            <w:vAlign w:val="center"/>
          </w:tcPr>
          <w:p w14:paraId="20A284BB">
            <w:pPr>
              <w:spacing w:line="240" w:lineRule="exac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12428576">
            <w:pPr>
              <w:spacing w:line="240" w:lineRule="exact"/>
              <w:jc w:val="right"/>
              <w:rPr>
                <w:rFonts w:ascii="宋体" w:hAnsi="宋体" w:eastAsia="宋体" w:cs="宋体"/>
                <w:sz w:val="18"/>
                <w:szCs w:val="18"/>
              </w:rPr>
            </w:pPr>
            <w:r>
              <w:rPr>
                <w:rFonts w:ascii="宋体" w:hAnsi="宋体" w:eastAsia="宋体" w:cs="宋体"/>
                <w:sz w:val="18"/>
                <w:szCs w:val="18"/>
              </w:rPr>
              <w:t>12</w:t>
            </w:r>
          </w:p>
        </w:tc>
        <w:tc>
          <w:tcPr>
            <w:tcW w:w="1377" w:type="dxa"/>
            <w:tcBorders>
              <w:top w:val="single" w:color="auto" w:sz="2" w:space="0"/>
              <w:left w:val="single" w:color="auto" w:sz="2" w:space="0"/>
              <w:bottom w:val="single" w:color="auto" w:sz="2" w:space="0"/>
              <w:right w:val="single" w:color="auto" w:sz="2" w:space="0"/>
            </w:tcBorders>
            <w:vAlign w:val="center"/>
          </w:tcPr>
          <w:p w14:paraId="19473A4D">
            <w:pPr>
              <w:spacing w:line="240" w:lineRule="exact"/>
              <w:rPr>
                <w:rFonts w:ascii="宋体" w:hAnsi="宋体" w:eastAsia="宋体" w:cs="宋体"/>
                <w:sz w:val="18"/>
                <w:szCs w:val="18"/>
              </w:rPr>
            </w:pPr>
            <w:r>
              <w:rPr>
                <w:rFonts w:ascii="宋体" w:hAnsi="宋体" w:eastAsia="宋体" w:cs="宋体"/>
                <w:sz w:val="18"/>
                <w:szCs w:val="18"/>
              </w:rPr>
              <w:t>否</w:t>
            </w:r>
          </w:p>
        </w:tc>
      </w:tr>
      <w:tr w14:paraId="1D70B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14:paraId="507710FD">
            <w:pPr>
              <w:spacing w:line="240" w:lineRule="exact"/>
              <w:rPr>
                <w:rFonts w:ascii="宋体" w:hAnsi="宋体" w:eastAsia="宋体" w:cs="宋体"/>
                <w:sz w:val="18"/>
                <w:szCs w:val="18"/>
              </w:rPr>
            </w:pPr>
            <w:r>
              <w:rPr>
                <w:rFonts w:ascii="宋体" w:hAnsi="宋体" w:eastAsia="宋体" w:cs="宋体"/>
                <w:sz w:val="18"/>
                <w:szCs w:val="18"/>
              </w:rPr>
              <w:t>张宝春</w:t>
            </w:r>
          </w:p>
        </w:tc>
        <w:tc>
          <w:tcPr>
            <w:tcW w:w="850" w:type="dxa"/>
            <w:tcBorders>
              <w:top w:val="single" w:color="auto" w:sz="2" w:space="0"/>
              <w:left w:val="single" w:color="auto" w:sz="2" w:space="0"/>
              <w:bottom w:val="single" w:color="auto" w:sz="2" w:space="0"/>
              <w:right w:val="single" w:color="auto" w:sz="2" w:space="0"/>
            </w:tcBorders>
            <w:vAlign w:val="center"/>
          </w:tcPr>
          <w:p w14:paraId="69CD158A">
            <w:pPr>
              <w:spacing w:line="240" w:lineRule="exact"/>
              <w:jc w:val="center"/>
              <w:rPr>
                <w:rFonts w:ascii="宋体" w:hAnsi="宋体" w:eastAsia="宋体" w:cs="宋体"/>
                <w:sz w:val="18"/>
                <w:szCs w:val="18"/>
              </w:rPr>
            </w:pPr>
            <w:r>
              <w:rPr>
                <w:rFonts w:ascii="宋体" w:hAnsi="宋体" w:eastAsia="宋体" w:cs="宋体"/>
                <w:sz w:val="18"/>
                <w:szCs w:val="18"/>
              </w:rPr>
              <w:t>男</w:t>
            </w:r>
          </w:p>
        </w:tc>
        <w:tc>
          <w:tcPr>
            <w:tcW w:w="1276" w:type="dxa"/>
            <w:tcBorders>
              <w:top w:val="single" w:color="auto" w:sz="2" w:space="0"/>
              <w:left w:val="single" w:color="auto" w:sz="2" w:space="0"/>
              <w:bottom w:val="single" w:color="auto" w:sz="2" w:space="0"/>
              <w:right w:val="single" w:color="auto" w:sz="2" w:space="0"/>
            </w:tcBorders>
            <w:vAlign w:val="center"/>
          </w:tcPr>
          <w:p w14:paraId="580AFC04">
            <w:pPr>
              <w:spacing w:line="240" w:lineRule="exact"/>
              <w:jc w:val="right"/>
              <w:rPr>
                <w:rFonts w:ascii="宋体" w:hAnsi="宋体" w:eastAsia="宋体" w:cs="宋体"/>
                <w:sz w:val="18"/>
                <w:szCs w:val="18"/>
              </w:rPr>
            </w:pPr>
            <w:r>
              <w:rPr>
                <w:rFonts w:ascii="宋体" w:hAnsi="宋体" w:eastAsia="宋体" w:cs="宋体"/>
                <w:sz w:val="18"/>
                <w:szCs w:val="18"/>
              </w:rPr>
              <w:t>46</w:t>
            </w:r>
          </w:p>
        </w:tc>
        <w:tc>
          <w:tcPr>
            <w:tcW w:w="2389" w:type="dxa"/>
            <w:tcBorders>
              <w:top w:val="single" w:color="auto" w:sz="2" w:space="0"/>
              <w:left w:val="single" w:color="auto" w:sz="2" w:space="0"/>
              <w:bottom w:val="single" w:color="auto" w:sz="2" w:space="0"/>
              <w:right w:val="single" w:color="auto" w:sz="2" w:space="0"/>
            </w:tcBorders>
            <w:vAlign w:val="center"/>
          </w:tcPr>
          <w:p w14:paraId="029E5052">
            <w:pPr>
              <w:spacing w:line="240" w:lineRule="exact"/>
              <w:rPr>
                <w:rFonts w:ascii="宋体" w:hAnsi="宋体" w:eastAsia="宋体" w:cs="宋体"/>
                <w:sz w:val="18"/>
                <w:szCs w:val="18"/>
              </w:rPr>
            </w:pPr>
            <w:r>
              <w:rPr>
                <w:rFonts w:ascii="宋体" w:hAnsi="宋体" w:eastAsia="宋体" w:cs="宋体"/>
                <w:sz w:val="18"/>
                <w:szCs w:val="18"/>
              </w:rPr>
              <w:t>副总裁</w:t>
            </w:r>
          </w:p>
        </w:tc>
        <w:tc>
          <w:tcPr>
            <w:tcW w:w="1377" w:type="dxa"/>
            <w:tcBorders>
              <w:top w:val="single" w:color="auto" w:sz="2" w:space="0"/>
              <w:left w:val="single" w:color="auto" w:sz="2" w:space="0"/>
              <w:bottom w:val="single" w:color="auto" w:sz="2" w:space="0"/>
              <w:right w:val="single" w:color="auto" w:sz="2" w:space="0"/>
            </w:tcBorders>
            <w:vAlign w:val="center"/>
          </w:tcPr>
          <w:p w14:paraId="6D6FF40A">
            <w:pPr>
              <w:spacing w:line="240" w:lineRule="exact"/>
              <w:rPr>
                <w:rFonts w:ascii="宋体" w:hAnsi="宋体" w:eastAsia="宋体" w:cs="宋体"/>
                <w:sz w:val="18"/>
                <w:szCs w:val="18"/>
              </w:rPr>
            </w:pPr>
            <w:r>
              <w:rPr>
                <w:rFonts w:ascii="宋体" w:hAnsi="宋体"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14:paraId="2C669CA6">
            <w:pPr>
              <w:spacing w:line="240" w:lineRule="exact"/>
              <w:jc w:val="right"/>
              <w:rPr>
                <w:rFonts w:ascii="宋体" w:hAnsi="宋体" w:eastAsia="宋体" w:cs="宋体"/>
                <w:sz w:val="18"/>
                <w:szCs w:val="18"/>
              </w:rPr>
            </w:pPr>
            <w:r>
              <w:rPr>
                <w:rFonts w:ascii="宋体" w:hAnsi="宋体" w:eastAsia="宋体" w:cs="宋体"/>
                <w:sz w:val="18"/>
                <w:szCs w:val="18"/>
              </w:rPr>
              <w:t>109.09</w:t>
            </w:r>
          </w:p>
        </w:tc>
        <w:tc>
          <w:tcPr>
            <w:tcW w:w="1377" w:type="dxa"/>
            <w:tcBorders>
              <w:top w:val="single" w:color="auto" w:sz="2" w:space="0"/>
              <w:left w:val="single" w:color="auto" w:sz="2" w:space="0"/>
              <w:bottom w:val="single" w:color="auto" w:sz="2" w:space="0"/>
              <w:right w:val="single" w:color="auto" w:sz="2" w:space="0"/>
            </w:tcBorders>
            <w:vAlign w:val="center"/>
          </w:tcPr>
          <w:p w14:paraId="6F7E3F87">
            <w:pPr>
              <w:spacing w:line="240" w:lineRule="exact"/>
              <w:rPr>
                <w:rFonts w:ascii="宋体" w:hAnsi="宋体" w:eastAsia="宋体" w:cs="宋体"/>
                <w:sz w:val="18"/>
                <w:szCs w:val="18"/>
              </w:rPr>
            </w:pPr>
            <w:r>
              <w:rPr>
                <w:rFonts w:ascii="宋体" w:hAnsi="宋体" w:eastAsia="宋体" w:cs="宋体"/>
                <w:sz w:val="18"/>
                <w:szCs w:val="18"/>
              </w:rPr>
              <w:t>否</w:t>
            </w:r>
          </w:p>
        </w:tc>
      </w:tr>
      <w:tr w14:paraId="136A5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14:paraId="7B68D3D0">
            <w:pPr>
              <w:spacing w:line="240" w:lineRule="exact"/>
              <w:rPr>
                <w:rFonts w:ascii="宋体" w:hAnsi="宋体" w:eastAsia="宋体" w:cs="宋体"/>
                <w:sz w:val="18"/>
                <w:szCs w:val="18"/>
              </w:rPr>
            </w:pPr>
            <w:r>
              <w:rPr>
                <w:rFonts w:ascii="宋体" w:hAnsi="宋体" w:eastAsia="宋体" w:cs="宋体"/>
                <w:sz w:val="18"/>
                <w:szCs w:val="18"/>
              </w:rPr>
              <w:t>陈存福</w:t>
            </w:r>
          </w:p>
        </w:tc>
        <w:tc>
          <w:tcPr>
            <w:tcW w:w="850" w:type="dxa"/>
            <w:tcBorders>
              <w:top w:val="single" w:color="auto" w:sz="2" w:space="0"/>
              <w:left w:val="single" w:color="auto" w:sz="2" w:space="0"/>
              <w:bottom w:val="single" w:color="auto" w:sz="2" w:space="0"/>
              <w:right w:val="single" w:color="auto" w:sz="2" w:space="0"/>
            </w:tcBorders>
            <w:vAlign w:val="center"/>
          </w:tcPr>
          <w:p w14:paraId="0A0C47BF">
            <w:pPr>
              <w:spacing w:line="240" w:lineRule="exact"/>
              <w:jc w:val="center"/>
              <w:rPr>
                <w:rFonts w:ascii="宋体" w:hAnsi="宋体" w:eastAsia="宋体" w:cs="宋体"/>
                <w:sz w:val="18"/>
                <w:szCs w:val="18"/>
              </w:rPr>
            </w:pPr>
            <w:r>
              <w:rPr>
                <w:rFonts w:ascii="宋体" w:hAnsi="宋体" w:eastAsia="宋体" w:cs="宋体"/>
                <w:sz w:val="18"/>
                <w:szCs w:val="18"/>
              </w:rPr>
              <w:t>男</w:t>
            </w:r>
          </w:p>
        </w:tc>
        <w:tc>
          <w:tcPr>
            <w:tcW w:w="1276" w:type="dxa"/>
            <w:tcBorders>
              <w:top w:val="single" w:color="auto" w:sz="2" w:space="0"/>
              <w:left w:val="single" w:color="auto" w:sz="2" w:space="0"/>
              <w:bottom w:val="single" w:color="auto" w:sz="2" w:space="0"/>
              <w:right w:val="single" w:color="auto" w:sz="2" w:space="0"/>
            </w:tcBorders>
            <w:vAlign w:val="center"/>
          </w:tcPr>
          <w:p w14:paraId="075A337D">
            <w:pPr>
              <w:spacing w:line="240" w:lineRule="exact"/>
              <w:jc w:val="right"/>
              <w:rPr>
                <w:rFonts w:ascii="宋体" w:hAnsi="宋体" w:eastAsia="宋体" w:cs="宋体"/>
                <w:sz w:val="18"/>
                <w:szCs w:val="18"/>
              </w:rPr>
            </w:pPr>
            <w:r>
              <w:rPr>
                <w:rFonts w:ascii="宋体" w:hAnsi="宋体" w:eastAsia="宋体" w:cs="宋体"/>
                <w:sz w:val="18"/>
                <w:szCs w:val="18"/>
              </w:rPr>
              <w:t>41</w:t>
            </w:r>
          </w:p>
        </w:tc>
        <w:tc>
          <w:tcPr>
            <w:tcW w:w="2389" w:type="dxa"/>
            <w:tcBorders>
              <w:top w:val="single" w:color="auto" w:sz="2" w:space="0"/>
              <w:left w:val="single" w:color="auto" w:sz="2" w:space="0"/>
              <w:bottom w:val="single" w:color="auto" w:sz="2" w:space="0"/>
              <w:right w:val="single" w:color="auto" w:sz="2" w:space="0"/>
            </w:tcBorders>
            <w:vAlign w:val="center"/>
          </w:tcPr>
          <w:p w14:paraId="443B3836">
            <w:pPr>
              <w:spacing w:line="240" w:lineRule="exact"/>
              <w:rPr>
                <w:rFonts w:ascii="宋体" w:hAnsi="宋体" w:eastAsia="宋体" w:cs="宋体"/>
                <w:sz w:val="18"/>
                <w:szCs w:val="18"/>
              </w:rPr>
            </w:pPr>
            <w:r>
              <w:rPr>
                <w:rFonts w:ascii="宋体" w:hAnsi="宋体" w:eastAsia="宋体" w:cs="宋体"/>
                <w:sz w:val="18"/>
                <w:szCs w:val="18"/>
              </w:rPr>
              <w:t>副总裁</w:t>
            </w:r>
          </w:p>
        </w:tc>
        <w:tc>
          <w:tcPr>
            <w:tcW w:w="1377" w:type="dxa"/>
            <w:tcBorders>
              <w:top w:val="single" w:color="auto" w:sz="2" w:space="0"/>
              <w:left w:val="single" w:color="auto" w:sz="2" w:space="0"/>
              <w:bottom w:val="single" w:color="auto" w:sz="2" w:space="0"/>
              <w:right w:val="single" w:color="auto" w:sz="2" w:space="0"/>
            </w:tcBorders>
            <w:vAlign w:val="center"/>
          </w:tcPr>
          <w:p w14:paraId="35331FBB">
            <w:pPr>
              <w:spacing w:line="240" w:lineRule="exact"/>
              <w:rPr>
                <w:rFonts w:ascii="宋体" w:hAnsi="宋体" w:eastAsia="宋体" w:cs="宋体"/>
                <w:sz w:val="18"/>
                <w:szCs w:val="18"/>
              </w:rPr>
            </w:pPr>
            <w:r>
              <w:rPr>
                <w:rFonts w:ascii="宋体" w:hAnsi="宋体" w:eastAsia="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14:paraId="4AA3BC78">
            <w:pPr>
              <w:spacing w:line="240" w:lineRule="exact"/>
              <w:jc w:val="right"/>
              <w:rPr>
                <w:rFonts w:ascii="宋体" w:hAnsi="宋体" w:eastAsia="宋体" w:cs="宋体"/>
                <w:sz w:val="18"/>
                <w:szCs w:val="18"/>
              </w:rPr>
            </w:pPr>
            <w:r>
              <w:rPr>
                <w:rFonts w:ascii="宋体" w:hAnsi="宋体" w:eastAsia="宋体" w:cs="宋体"/>
                <w:sz w:val="18"/>
                <w:szCs w:val="18"/>
              </w:rPr>
              <w:t>39.78</w:t>
            </w:r>
          </w:p>
        </w:tc>
        <w:tc>
          <w:tcPr>
            <w:tcW w:w="1377" w:type="dxa"/>
            <w:tcBorders>
              <w:top w:val="single" w:color="auto" w:sz="2" w:space="0"/>
              <w:left w:val="single" w:color="auto" w:sz="2" w:space="0"/>
              <w:bottom w:val="single" w:color="auto" w:sz="2" w:space="0"/>
              <w:right w:val="single" w:color="auto" w:sz="2" w:space="0"/>
            </w:tcBorders>
            <w:vAlign w:val="center"/>
          </w:tcPr>
          <w:p w14:paraId="4C7A7CED">
            <w:pPr>
              <w:spacing w:line="240" w:lineRule="exact"/>
              <w:rPr>
                <w:rFonts w:ascii="宋体" w:hAnsi="宋体" w:eastAsia="宋体" w:cs="宋体"/>
                <w:sz w:val="18"/>
                <w:szCs w:val="18"/>
              </w:rPr>
            </w:pPr>
            <w:r>
              <w:rPr>
                <w:rFonts w:ascii="宋体" w:hAnsi="宋体" w:eastAsia="宋体" w:cs="宋体"/>
                <w:sz w:val="18"/>
                <w:szCs w:val="18"/>
              </w:rPr>
              <w:t>否</w:t>
            </w:r>
          </w:p>
        </w:tc>
      </w:tr>
      <w:tr w14:paraId="1DB04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14:paraId="4199DF4F">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14:paraId="35513D07">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14:paraId="0FE3FCC7">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2389" w:type="dxa"/>
            <w:tcBorders>
              <w:top w:val="single" w:color="auto" w:sz="2" w:space="0"/>
              <w:left w:val="single" w:color="auto" w:sz="2" w:space="0"/>
              <w:bottom w:val="single" w:color="auto" w:sz="2" w:space="0"/>
              <w:right w:val="single" w:color="auto" w:sz="2" w:space="0"/>
            </w:tcBorders>
            <w:shd w:val="clear" w:color="auto" w:fill="D3D3D3"/>
            <w:vAlign w:val="center"/>
          </w:tcPr>
          <w:p w14:paraId="7BAA7CE7">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091590A">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14:paraId="791E8A24">
            <w:pPr>
              <w:spacing w:line="240" w:lineRule="exact"/>
              <w:jc w:val="right"/>
              <w:rPr>
                <w:rFonts w:ascii="宋体" w:hAnsi="宋体" w:eastAsia="宋体" w:cs="宋体"/>
                <w:sz w:val="18"/>
                <w:szCs w:val="18"/>
              </w:rPr>
            </w:pPr>
            <w:r>
              <w:rPr>
                <w:rFonts w:ascii="宋体" w:hAnsi="宋体" w:eastAsia="宋体" w:cs="宋体"/>
                <w:sz w:val="18"/>
                <w:szCs w:val="18"/>
              </w:rPr>
              <w:t>1,074.85</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76F6432">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14:paraId="54012369">
      <w:pPr>
        <w:spacing w:line="0" w:lineRule="atLeast"/>
      </w:pP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119"/>
        <w:gridCol w:w="6520"/>
      </w:tblGrid>
      <w:tr w14:paraId="0B852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14:paraId="0A49031F">
            <w:pPr>
              <w:spacing w:before="40" w:after="40" w:line="240" w:lineRule="exact"/>
              <w:rPr>
                <w:rFonts w:ascii="宋体" w:hAnsi="宋体" w:eastAsia="宋体" w:cs="宋体"/>
                <w:sz w:val="18"/>
                <w:szCs w:val="18"/>
              </w:rPr>
            </w:pPr>
            <w:r>
              <w:rPr>
                <w:rFonts w:ascii="宋体" w:hAnsi="宋体" w:eastAsia="宋体" w:cs="宋体"/>
                <w:sz w:val="18"/>
                <w:szCs w:val="18"/>
              </w:rPr>
              <w:t>报告期末全体董事和高级管理人员实际获得薪酬的考核依据</w:t>
            </w:r>
          </w:p>
        </w:tc>
        <w:tc>
          <w:tcPr>
            <w:tcW w:w="6520" w:type="dxa"/>
            <w:tcBorders>
              <w:top w:val="single" w:color="auto" w:sz="2" w:space="0"/>
              <w:left w:val="single" w:color="auto" w:sz="2" w:space="0"/>
              <w:bottom w:val="single" w:color="auto" w:sz="2" w:space="0"/>
              <w:right w:val="single" w:color="auto" w:sz="2" w:space="0"/>
            </w:tcBorders>
            <w:vAlign w:val="center"/>
          </w:tcPr>
          <w:p w14:paraId="4532A549">
            <w:pPr>
              <w:spacing w:line="240" w:lineRule="exact"/>
              <w:rPr>
                <w:rFonts w:ascii="宋体" w:hAnsi="宋体" w:eastAsia="宋体" w:cs="宋体"/>
                <w:sz w:val="18"/>
                <w:szCs w:val="18"/>
              </w:rPr>
            </w:pPr>
            <w:r>
              <w:rPr>
                <w:rFonts w:ascii="宋体" w:hAnsi="宋体" w:eastAsia="宋体" w:cs="宋体"/>
                <w:sz w:val="18"/>
                <w:szCs w:val="18"/>
              </w:rPr>
              <w:t>公司薪酬管理制度、绩效管理制度</w:t>
            </w:r>
          </w:p>
        </w:tc>
      </w:tr>
      <w:tr w14:paraId="3A8D3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14:paraId="776D3DB8">
            <w:pPr>
              <w:spacing w:before="40" w:after="40" w:line="240" w:lineRule="exact"/>
              <w:rPr>
                <w:rFonts w:ascii="宋体" w:hAnsi="宋体" w:eastAsia="宋体" w:cs="宋体"/>
                <w:sz w:val="18"/>
                <w:szCs w:val="18"/>
              </w:rPr>
            </w:pPr>
            <w:r>
              <w:rPr>
                <w:rFonts w:ascii="宋体" w:hAnsi="宋体" w:eastAsia="宋体" w:cs="宋体"/>
                <w:sz w:val="18"/>
                <w:szCs w:val="18"/>
              </w:rPr>
              <w:t>报告期末全体董事和高级管理人员实际获得薪酬的考核完成情况</w:t>
            </w:r>
          </w:p>
        </w:tc>
        <w:tc>
          <w:tcPr>
            <w:tcW w:w="6520" w:type="dxa"/>
            <w:tcBorders>
              <w:top w:val="single" w:color="auto" w:sz="2" w:space="0"/>
              <w:left w:val="single" w:color="auto" w:sz="2" w:space="0"/>
              <w:bottom w:val="single" w:color="auto" w:sz="2" w:space="0"/>
              <w:right w:val="single" w:color="auto" w:sz="2" w:space="0"/>
            </w:tcBorders>
            <w:vAlign w:val="center"/>
          </w:tcPr>
          <w:p w14:paraId="3FBAF4D2">
            <w:pPr>
              <w:spacing w:line="240" w:lineRule="exact"/>
              <w:rPr>
                <w:rFonts w:ascii="宋体" w:hAnsi="宋体" w:eastAsia="宋体" w:cs="宋体"/>
                <w:sz w:val="18"/>
                <w:szCs w:val="18"/>
              </w:rPr>
            </w:pPr>
            <w:r>
              <w:rPr>
                <w:rFonts w:ascii="宋体" w:hAnsi="宋体" w:eastAsia="宋体" w:cs="宋体"/>
                <w:sz w:val="18"/>
                <w:szCs w:val="18"/>
              </w:rPr>
              <w:t>独立董事领取的独立董事津贴不适用考核情况；公司非独立董事和高级管理人员依据公司绩效考核规定获得相应的薪酬。绩效考核工作按公司绩效考核规定，有效执行并完成。</w:t>
            </w:r>
          </w:p>
        </w:tc>
      </w:tr>
      <w:tr w14:paraId="06563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14:paraId="4339CCBD">
            <w:pPr>
              <w:spacing w:before="40" w:after="40" w:line="240" w:lineRule="exact"/>
              <w:rPr>
                <w:rFonts w:ascii="宋体" w:hAnsi="宋体" w:eastAsia="宋体" w:cs="宋体"/>
                <w:sz w:val="18"/>
                <w:szCs w:val="18"/>
              </w:rPr>
            </w:pPr>
            <w:r>
              <w:rPr>
                <w:rFonts w:ascii="宋体" w:hAnsi="宋体" w:eastAsia="宋体" w:cs="宋体"/>
                <w:sz w:val="18"/>
                <w:szCs w:val="18"/>
              </w:rPr>
              <w:t>报告期末全体董事和高级管理人员实际获得薪酬的递延支付安排</w:t>
            </w:r>
          </w:p>
        </w:tc>
        <w:tc>
          <w:tcPr>
            <w:tcW w:w="6520" w:type="dxa"/>
            <w:tcBorders>
              <w:top w:val="single" w:color="auto" w:sz="2" w:space="0"/>
              <w:left w:val="single" w:color="auto" w:sz="2" w:space="0"/>
              <w:bottom w:val="single" w:color="auto" w:sz="2" w:space="0"/>
              <w:right w:val="single" w:color="auto" w:sz="2" w:space="0"/>
            </w:tcBorders>
            <w:vAlign w:val="center"/>
          </w:tcPr>
          <w:p w14:paraId="61811023">
            <w:pPr>
              <w:spacing w:line="240" w:lineRule="exact"/>
              <w:rPr>
                <w:rFonts w:ascii="宋体" w:hAnsi="宋体" w:eastAsia="宋体" w:cs="宋体"/>
                <w:sz w:val="18"/>
                <w:szCs w:val="18"/>
              </w:rPr>
            </w:pPr>
            <w:r>
              <w:rPr>
                <w:rFonts w:ascii="宋体" w:hAnsi="宋体" w:eastAsia="宋体" w:cs="宋体"/>
                <w:sz w:val="18"/>
                <w:szCs w:val="18"/>
              </w:rPr>
              <w:t>不适用</w:t>
            </w:r>
          </w:p>
        </w:tc>
      </w:tr>
      <w:tr w14:paraId="53F9B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119" w:type="dxa"/>
            <w:tcBorders>
              <w:top w:val="single" w:color="auto" w:sz="2" w:space="0"/>
              <w:left w:val="single" w:color="auto" w:sz="2" w:space="0"/>
              <w:bottom w:val="single" w:color="auto" w:sz="2" w:space="0"/>
              <w:right w:val="single" w:color="auto" w:sz="2" w:space="0"/>
            </w:tcBorders>
            <w:shd w:val="clear" w:color="auto" w:fill="D3D3D3"/>
            <w:vAlign w:val="center"/>
          </w:tcPr>
          <w:p w14:paraId="7367F474">
            <w:pPr>
              <w:spacing w:before="40" w:after="40" w:line="240" w:lineRule="exact"/>
              <w:rPr>
                <w:rFonts w:ascii="宋体" w:hAnsi="宋体" w:eastAsia="宋体" w:cs="宋体"/>
                <w:sz w:val="18"/>
                <w:szCs w:val="18"/>
              </w:rPr>
            </w:pPr>
            <w:r>
              <w:rPr>
                <w:rFonts w:ascii="宋体" w:hAnsi="宋体" w:eastAsia="宋体" w:cs="宋体"/>
                <w:sz w:val="18"/>
                <w:szCs w:val="18"/>
              </w:rPr>
              <w:t>报告期末全体董事和高级管理人员实际获得薪酬的止付追索情况</w:t>
            </w:r>
          </w:p>
        </w:tc>
        <w:tc>
          <w:tcPr>
            <w:tcW w:w="6520" w:type="dxa"/>
            <w:tcBorders>
              <w:top w:val="single" w:color="auto" w:sz="2" w:space="0"/>
              <w:left w:val="single" w:color="auto" w:sz="2" w:space="0"/>
              <w:bottom w:val="single" w:color="auto" w:sz="2" w:space="0"/>
              <w:right w:val="single" w:color="auto" w:sz="2" w:space="0"/>
            </w:tcBorders>
            <w:vAlign w:val="center"/>
          </w:tcPr>
          <w:p w14:paraId="1C6E2EEC">
            <w:pPr>
              <w:spacing w:line="240" w:lineRule="exact"/>
              <w:rPr>
                <w:rFonts w:ascii="宋体" w:hAnsi="宋体" w:eastAsia="宋体" w:cs="宋体"/>
                <w:sz w:val="18"/>
                <w:szCs w:val="18"/>
              </w:rPr>
            </w:pPr>
            <w:r>
              <w:rPr>
                <w:rFonts w:ascii="宋体" w:hAnsi="宋体" w:eastAsia="宋体" w:cs="宋体"/>
                <w:sz w:val="18"/>
                <w:szCs w:val="18"/>
              </w:rPr>
              <w:t>不适用</w:t>
            </w:r>
          </w:p>
        </w:tc>
      </w:tr>
    </w:tbl>
    <w:p w14:paraId="4A31C18B">
      <w:pPr>
        <w:spacing w:before="100" w:after="100" w:line="240" w:lineRule="exact"/>
        <w:rPr>
          <w:rFonts w:ascii="宋体" w:hAnsi="宋体" w:eastAsia="宋体" w:cs="宋体"/>
          <w:sz w:val="18"/>
          <w:szCs w:val="18"/>
        </w:rPr>
      </w:pPr>
      <w:r>
        <w:rPr>
          <w:rFonts w:ascii="宋体" w:hAnsi="宋体" w:eastAsia="宋体" w:cs="宋体"/>
          <w:sz w:val="18"/>
          <w:szCs w:val="18"/>
        </w:rPr>
        <w:t>其他情况说明</w:t>
      </w:r>
    </w:p>
    <w:p w14:paraId="59AB3110">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2B34214">
      <w:pPr>
        <w:pStyle w:val="2"/>
        <w:spacing w:before="300" w:after="300" w:line="320" w:lineRule="exact"/>
        <w:rPr>
          <w:rFonts w:ascii="宋体" w:hAnsi="宋体" w:eastAsia="宋体" w:cs="宋体"/>
          <w:b/>
          <w:bCs/>
          <w:sz w:val="24"/>
          <w:szCs w:val="24"/>
        </w:rPr>
      </w:pPr>
      <w:bookmarkStart w:id="71" w:name="_Toc988960"/>
      <w:r>
        <w:rPr>
          <w:rFonts w:ascii="宋体" w:hAnsi="宋体" w:eastAsia="宋体" w:cs="宋体"/>
          <w:b/>
          <w:bCs/>
          <w:sz w:val="24"/>
          <w:szCs w:val="24"/>
        </w:rPr>
        <w:t>五、报告期内董事履行职责的情况</w:t>
      </w:r>
      <w:bookmarkEnd w:id="71"/>
    </w:p>
    <w:p w14:paraId="6C54A320">
      <w:pPr>
        <w:pStyle w:val="3"/>
        <w:spacing w:line="280" w:lineRule="exact"/>
        <w:jc w:val="left"/>
        <w:rPr>
          <w:rFonts w:ascii="宋体" w:hAnsi="宋体" w:cs="宋体"/>
          <w:b/>
          <w:bCs/>
        </w:rPr>
      </w:pPr>
      <w:bookmarkStart w:id="72" w:name="_Toc988961"/>
      <w:r>
        <w:rPr>
          <w:rFonts w:ascii="宋体" w:hAnsi="宋体" w:cs="宋体"/>
          <w:b/>
          <w:bCs/>
        </w:rPr>
        <w:t>1、董事出席董事会及股东会的情况</w:t>
      </w:r>
      <w:bookmarkEnd w:id="72"/>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14:paraId="5E56C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14:paraId="703D8B84">
            <w:pPr>
              <w:spacing w:before="40" w:after="40" w:line="240" w:lineRule="exact"/>
              <w:jc w:val="center"/>
              <w:rPr>
                <w:rFonts w:ascii="宋体" w:hAnsi="宋体" w:eastAsia="宋体" w:cs="宋体"/>
                <w:sz w:val="18"/>
                <w:szCs w:val="18"/>
              </w:rPr>
            </w:pPr>
            <w:r>
              <w:rPr>
                <w:rFonts w:ascii="宋体" w:hAnsi="宋体" w:eastAsia="宋体" w:cs="宋体"/>
                <w:sz w:val="18"/>
                <w:szCs w:val="18"/>
              </w:rPr>
              <w:t>董事出席董事会及股东会的情况</w:t>
            </w:r>
          </w:p>
        </w:tc>
      </w:tr>
      <w:tr w14:paraId="6DDBE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5F9F9C2">
            <w:pPr>
              <w:spacing w:before="40" w:after="40" w:line="240" w:lineRule="exact"/>
              <w:jc w:val="center"/>
              <w:rPr>
                <w:rFonts w:ascii="宋体" w:hAnsi="宋体" w:eastAsia="宋体" w:cs="宋体"/>
                <w:sz w:val="18"/>
                <w:szCs w:val="18"/>
              </w:rPr>
            </w:pPr>
            <w:r>
              <w:rPr>
                <w:rFonts w:ascii="宋体" w:hAnsi="宋体" w:eastAsia="宋体" w:cs="宋体"/>
                <w:sz w:val="18"/>
                <w:szCs w:val="18"/>
              </w:rPr>
              <w:t>董事姓名</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286D529">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本报告期应参加董事会次数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BEAA6F2">
            <w:pPr>
              <w:spacing w:before="40" w:after="40" w:line="240" w:lineRule="exact"/>
              <w:jc w:val="center"/>
              <w:rPr>
                <w:rFonts w:ascii="宋体" w:hAnsi="宋体" w:eastAsia="宋体" w:cs="宋体"/>
                <w:sz w:val="18"/>
                <w:szCs w:val="18"/>
              </w:rPr>
            </w:pPr>
            <w:r>
              <w:rPr>
                <w:rFonts w:ascii="宋体" w:hAnsi="宋体" w:eastAsia="宋体" w:cs="宋体"/>
                <w:sz w:val="18"/>
                <w:szCs w:val="18"/>
              </w:rPr>
              <w:t>现场出席董事会次数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23132989">
            <w:pPr>
              <w:spacing w:before="40" w:after="40" w:line="240" w:lineRule="exact"/>
              <w:jc w:val="center"/>
              <w:rPr>
                <w:rFonts w:ascii="宋体" w:hAnsi="宋体" w:eastAsia="宋体" w:cs="宋体"/>
                <w:sz w:val="18"/>
                <w:szCs w:val="18"/>
              </w:rPr>
            </w:pPr>
            <w:r>
              <w:rPr>
                <w:rFonts w:ascii="宋体" w:hAnsi="宋体" w:eastAsia="宋体" w:cs="宋体"/>
                <w:sz w:val="18"/>
                <w:szCs w:val="18"/>
              </w:rPr>
              <w:t>以通讯方式参加董事会次数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94D76F0">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124E2EFC">
            <w:pPr>
              <w:spacing w:before="40" w:after="40" w:line="240" w:lineRule="exact"/>
              <w:jc w:val="center"/>
              <w:rPr>
                <w:rFonts w:ascii="宋体" w:hAnsi="宋体" w:eastAsia="宋体" w:cs="宋体"/>
                <w:sz w:val="18"/>
                <w:szCs w:val="18"/>
              </w:rPr>
            </w:pPr>
            <w:r>
              <w:rPr>
                <w:rFonts w:ascii="宋体" w:hAnsi="宋体" w:eastAsia="宋体" w:cs="宋体"/>
                <w:sz w:val="18"/>
                <w:szCs w:val="18"/>
              </w:rPr>
              <w:t>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2A5C66EB">
            <w:pPr>
              <w:spacing w:before="40" w:after="40" w:line="240" w:lineRule="exact"/>
              <w:jc w:val="center"/>
              <w:rPr>
                <w:rFonts w:ascii="宋体" w:hAnsi="宋体" w:eastAsia="宋体" w:cs="宋体"/>
                <w:sz w:val="18"/>
                <w:szCs w:val="18"/>
              </w:rPr>
            </w:pPr>
            <w:r>
              <w:rPr>
                <w:rFonts w:ascii="宋体" w:hAnsi="宋体" w:eastAsia="宋体" w:cs="宋体"/>
                <w:sz w:val="18"/>
                <w:szCs w:val="18"/>
              </w:rPr>
              <w:t>是否连续两次未亲自参加董事会会议</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BB72EE2">
            <w:pPr>
              <w:spacing w:before="40" w:after="40" w:line="240" w:lineRule="exact"/>
              <w:jc w:val="center"/>
              <w:rPr>
                <w:rFonts w:ascii="宋体" w:hAnsi="宋体" w:eastAsia="宋体" w:cs="宋体"/>
                <w:sz w:val="18"/>
                <w:szCs w:val="18"/>
              </w:rPr>
            </w:pPr>
            <w:r>
              <w:rPr>
                <w:rFonts w:ascii="宋体" w:hAnsi="宋体" w:eastAsia="宋体" w:cs="宋体"/>
                <w:sz w:val="18"/>
                <w:szCs w:val="18"/>
              </w:rPr>
              <w:t>出席股东会次数</w:t>
            </w:r>
          </w:p>
        </w:tc>
      </w:tr>
      <w:tr w14:paraId="4AF0D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EDAE434">
            <w:pPr>
              <w:spacing w:line="240" w:lineRule="exact"/>
              <w:rPr>
                <w:rFonts w:ascii="宋体" w:hAnsi="宋体" w:eastAsia="宋体" w:cs="宋体"/>
                <w:sz w:val="18"/>
                <w:szCs w:val="18"/>
              </w:rPr>
            </w:pPr>
            <w:r>
              <w:rPr>
                <w:rFonts w:ascii="宋体" w:hAnsi="宋体" w:eastAsia="宋体" w:cs="宋体"/>
                <w:sz w:val="18"/>
                <w:szCs w:val="18"/>
              </w:rPr>
              <w:t>孙伟挺</w:t>
            </w:r>
          </w:p>
        </w:tc>
        <w:tc>
          <w:tcPr>
            <w:tcW w:w="1205" w:type="dxa"/>
            <w:tcBorders>
              <w:top w:val="single" w:color="auto" w:sz="2" w:space="0"/>
              <w:left w:val="single" w:color="auto" w:sz="2" w:space="0"/>
              <w:bottom w:val="single" w:color="auto" w:sz="2" w:space="0"/>
              <w:right w:val="single" w:color="auto" w:sz="2" w:space="0"/>
            </w:tcBorders>
            <w:vAlign w:val="center"/>
          </w:tcPr>
          <w:p w14:paraId="48FFF4E0">
            <w:pPr>
              <w:spacing w:line="240" w:lineRule="exact"/>
              <w:jc w:val="right"/>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14:paraId="4A49B640">
            <w:pPr>
              <w:spacing w:line="240" w:lineRule="exact"/>
              <w:jc w:val="right"/>
              <w:rPr>
                <w:rFonts w:ascii="宋体" w:hAnsi="宋体" w:eastAsia="宋体" w:cs="宋体"/>
                <w:sz w:val="18"/>
                <w:szCs w:val="18"/>
              </w:rPr>
            </w:pPr>
            <w:r>
              <w:rPr>
                <w:rFonts w:ascii="宋体" w:hAnsi="宋体"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14:paraId="6542B1D6">
            <w:pPr>
              <w:spacing w:line="240" w:lineRule="exact"/>
              <w:jc w:val="right"/>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14:paraId="77B9AF60">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2FBA25BE">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155F4E30">
            <w:pPr>
              <w:spacing w:line="240" w:lineRule="exac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73703B25">
            <w:pPr>
              <w:spacing w:line="240" w:lineRule="exact"/>
              <w:jc w:val="right"/>
              <w:rPr>
                <w:rFonts w:ascii="宋体" w:hAnsi="宋体" w:eastAsia="宋体" w:cs="宋体"/>
                <w:sz w:val="18"/>
                <w:szCs w:val="18"/>
              </w:rPr>
            </w:pPr>
            <w:r>
              <w:rPr>
                <w:rFonts w:ascii="宋体" w:hAnsi="宋体" w:eastAsia="宋体" w:cs="宋体"/>
                <w:sz w:val="18"/>
                <w:szCs w:val="18"/>
              </w:rPr>
              <w:t>3</w:t>
            </w:r>
          </w:p>
        </w:tc>
      </w:tr>
      <w:tr w14:paraId="59117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E9FBACC">
            <w:pPr>
              <w:spacing w:line="240" w:lineRule="exact"/>
              <w:rPr>
                <w:rFonts w:ascii="宋体" w:hAnsi="宋体" w:eastAsia="宋体" w:cs="宋体"/>
                <w:sz w:val="18"/>
                <w:szCs w:val="18"/>
              </w:rPr>
            </w:pPr>
            <w:r>
              <w:rPr>
                <w:rFonts w:ascii="宋体" w:hAnsi="宋体" w:eastAsia="宋体" w:cs="宋体"/>
                <w:sz w:val="18"/>
                <w:szCs w:val="18"/>
              </w:rPr>
              <w:t>陈玲芬</w:t>
            </w:r>
          </w:p>
        </w:tc>
        <w:tc>
          <w:tcPr>
            <w:tcW w:w="1205" w:type="dxa"/>
            <w:tcBorders>
              <w:top w:val="single" w:color="auto" w:sz="2" w:space="0"/>
              <w:left w:val="single" w:color="auto" w:sz="2" w:space="0"/>
              <w:bottom w:val="single" w:color="auto" w:sz="2" w:space="0"/>
              <w:right w:val="single" w:color="auto" w:sz="2" w:space="0"/>
            </w:tcBorders>
            <w:vAlign w:val="center"/>
          </w:tcPr>
          <w:p w14:paraId="2073A87C">
            <w:pPr>
              <w:spacing w:line="240" w:lineRule="exact"/>
              <w:jc w:val="right"/>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14:paraId="5925EB26">
            <w:pPr>
              <w:spacing w:line="240" w:lineRule="exact"/>
              <w:jc w:val="right"/>
              <w:rPr>
                <w:rFonts w:ascii="宋体" w:hAnsi="宋体" w:eastAsia="宋体" w:cs="宋体"/>
                <w:sz w:val="18"/>
                <w:szCs w:val="18"/>
              </w:rPr>
            </w:pPr>
            <w:r>
              <w:rPr>
                <w:rFonts w:ascii="宋体" w:hAnsi="宋体"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14:paraId="1BD4CD7C">
            <w:pPr>
              <w:spacing w:line="240" w:lineRule="exact"/>
              <w:jc w:val="right"/>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14:paraId="0227CAFB">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0CEF3E4A">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143FFCAF">
            <w:pPr>
              <w:spacing w:line="240" w:lineRule="exac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1FF30DA7">
            <w:pPr>
              <w:spacing w:line="240" w:lineRule="exact"/>
              <w:jc w:val="right"/>
              <w:rPr>
                <w:rFonts w:ascii="宋体" w:hAnsi="宋体" w:eastAsia="宋体" w:cs="宋体"/>
                <w:sz w:val="18"/>
                <w:szCs w:val="18"/>
              </w:rPr>
            </w:pPr>
            <w:r>
              <w:rPr>
                <w:rFonts w:ascii="宋体" w:hAnsi="宋体" w:eastAsia="宋体" w:cs="宋体"/>
                <w:sz w:val="18"/>
                <w:szCs w:val="18"/>
              </w:rPr>
              <w:t>3</w:t>
            </w:r>
          </w:p>
        </w:tc>
      </w:tr>
      <w:tr w14:paraId="592A3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410FF32">
            <w:pPr>
              <w:spacing w:line="240" w:lineRule="exact"/>
              <w:rPr>
                <w:rFonts w:ascii="宋体" w:hAnsi="宋体" w:eastAsia="宋体" w:cs="宋体"/>
                <w:sz w:val="18"/>
                <w:szCs w:val="18"/>
              </w:rPr>
            </w:pPr>
            <w:r>
              <w:rPr>
                <w:rFonts w:ascii="宋体" w:hAnsi="宋体" w:eastAsia="宋体" w:cs="宋体"/>
                <w:sz w:val="18"/>
                <w:szCs w:val="18"/>
              </w:rPr>
              <w:t>陈翰</w:t>
            </w:r>
          </w:p>
        </w:tc>
        <w:tc>
          <w:tcPr>
            <w:tcW w:w="1205" w:type="dxa"/>
            <w:tcBorders>
              <w:top w:val="single" w:color="auto" w:sz="2" w:space="0"/>
              <w:left w:val="single" w:color="auto" w:sz="2" w:space="0"/>
              <w:bottom w:val="single" w:color="auto" w:sz="2" w:space="0"/>
              <w:right w:val="single" w:color="auto" w:sz="2" w:space="0"/>
            </w:tcBorders>
            <w:vAlign w:val="center"/>
          </w:tcPr>
          <w:p w14:paraId="3C5F10BB">
            <w:pPr>
              <w:spacing w:line="240" w:lineRule="exact"/>
              <w:jc w:val="right"/>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14:paraId="23ECEF87">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5DA18006">
            <w:pPr>
              <w:spacing w:line="240" w:lineRule="exact"/>
              <w:jc w:val="right"/>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14:paraId="24BF77F7">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71F63739">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4E4CF0F8">
            <w:pPr>
              <w:spacing w:line="240" w:lineRule="exac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003C2FA0">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0576E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A3BD206">
            <w:pPr>
              <w:spacing w:line="240" w:lineRule="exact"/>
              <w:rPr>
                <w:rFonts w:ascii="宋体" w:hAnsi="宋体" w:eastAsia="宋体" w:cs="宋体"/>
                <w:sz w:val="18"/>
                <w:szCs w:val="18"/>
              </w:rPr>
            </w:pPr>
            <w:r>
              <w:rPr>
                <w:rFonts w:ascii="宋体" w:hAnsi="宋体" w:eastAsia="宋体" w:cs="宋体"/>
                <w:sz w:val="18"/>
                <w:szCs w:val="18"/>
              </w:rPr>
              <w:t>程桂松</w:t>
            </w:r>
          </w:p>
        </w:tc>
        <w:tc>
          <w:tcPr>
            <w:tcW w:w="1205" w:type="dxa"/>
            <w:tcBorders>
              <w:top w:val="single" w:color="auto" w:sz="2" w:space="0"/>
              <w:left w:val="single" w:color="auto" w:sz="2" w:space="0"/>
              <w:bottom w:val="single" w:color="auto" w:sz="2" w:space="0"/>
              <w:right w:val="single" w:color="auto" w:sz="2" w:space="0"/>
            </w:tcBorders>
            <w:vAlign w:val="center"/>
          </w:tcPr>
          <w:p w14:paraId="0A547B1C">
            <w:pPr>
              <w:spacing w:line="240" w:lineRule="exact"/>
              <w:jc w:val="right"/>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14:paraId="2ED6C2E5">
            <w:pPr>
              <w:spacing w:line="240" w:lineRule="exact"/>
              <w:jc w:val="right"/>
              <w:rPr>
                <w:rFonts w:ascii="宋体" w:hAnsi="宋体" w:eastAsia="宋体" w:cs="宋体"/>
                <w:sz w:val="18"/>
                <w:szCs w:val="18"/>
              </w:rPr>
            </w:pPr>
            <w:r>
              <w:rPr>
                <w:rFonts w:ascii="宋体" w:hAnsi="宋体"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14:paraId="1E5D859D">
            <w:pPr>
              <w:spacing w:line="240" w:lineRule="exact"/>
              <w:jc w:val="right"/>
              <w:rPr>
                <w:rFonts w:ascii="宋体" w:hAnsi="宋体" w:eastAsia="宋体" w:cs="宋体"/>
                <w:sz w:val="18"/>
                <w:szCs w:val="18"/>
              </w:rPr>
            </w:pPr>
            <w:r>
              <w:rPr>
                <w:rFonts w:ascii="宋体" w:hAnsi="宋体"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14:paraId="07B7A087">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143596B6">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065B36A5">
            <w:pPr>
              <w:spacing w:line="240" w:lineRule="exac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6B5AC6DA">
            <w:pPr>
              <w:spacing w:line="240" w:lineRule="exact"/>
              <w:jc w:val="right"/>
              <w:rPr>
                <w:rFonts w:ascii="宋体" w:hAnsi="宋体" w:eastAsia="宋体" w:cs="宋体"/>
                <w:sz w:val="18"/>
                <w:szCs w:val="18"/>
              </w:rPr>
            </w:pPr>
            <w:r>
              <w:rPr>
                <w:rFonts w:ascii="宋体" w:hAnsi="宋体" w:eastAsia="宋体" w:cs="宋体"/>
                <w:sz w:val="18"/>
                <w:szCs w:val="18"/>
              </w:rPr>
              <w:t>3</w:t>
            </w:r>
          </w:p>
        </w:tc>
      </w:tr>
      <w:tr w14:paraId="44869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FF124FB">
            <w:pPr>
              <w:spacing w:line="240" w:lineRule="exact"/>
              <w:rPr>
                <w:rFonts w:ascii="宋体" w:hAnsi="宋体" w:eastAsia="宋体" w:cs="宋体"/>
                <w:sz w:val="18"/>
                <w:szCs w:val="18"/>
              </w:rPr>
            </w:pPr>
            <w:r>
              <w:rPr>
                <w:rFonts w:ascii="宋体" w:hAnsi="宋体" w:eastAsia="宋体" w:cs="宋体"/>
                <w:sz w:val="18"/>
                <w:szCs w:val="18"/>
              </w:rPr>
              <w:t>王国友</w:t>
            </w:r>
          </w:p>
        </w:tc>
        <w:tc>
          <w:tcPr>
            <w:tcW w:w="1205" w:type="dxa"/>
            <w:tcBorders>
              <w:top w:val="single" w:color="auto" w:sz="2" w:space="0"/>
              <w:left w:val="single" w:color="auto" w:sz="2" w:space="0"/>
              <w:bottom w:val="single" w:color="auto" w:sz="2" w:space="0"/>
              <w:right w:val="single" w:color="auto" w:sz="2" w:space="0"/>
            </w:tcBorders>
            <w:vAlign w:val="center"/>
          </w:tcPr>
          <w:p w14:paraId="1AB38CC9">
            <w:pPr>
              <w:spacing w:line="240" w:lineRule="exact"/>
              <w:jc w:val="right"/>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14:paraId="7F500CB9">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6C8EE5CA">
            <w:pPr>
              <w:spacing w:line="240" w:lineRule="exact"/>
              <w:jc w:val="right"/>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14:paraId="46407A33">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217A4C9A">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09A20E98">
            <w:pPr>
              <w:spacing w:line="240" w:lineRule="exac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45012568">
            <w:pPr>
              <w:spacing w:line="240" w:lineRule="exact"/>
              <w:jc w:val="right"/>
              <w:rPr>
                <w:rFonts w:ascii="宋体" w:hAnsi="宋体" w:eastAsia="宋体" w:cs="宋体"/>
                <w:sz w:val="18"/>
                <w:szCs w:val="18"/>
              </w:rPr>
            </w:pPr>
            <w:r>
              <w:rPr>
                <w:rFonts w:ascii="宋体" w:hAnsi="宋体" w:eastAsia="宋体" w:cs="宋体"/>
                <w:sz w:val="18"/>
                <w:szCs w:val="18"/>
              </w:rPr>
              <w:t>3</w:t>
            </w:r>
          </w:p>
        </w:tc>
      </w:tr>
      <w:tr w14:paraId="6C3B7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ADDD49E">
            <w:pPr>
              <w:spacing w:line="240" w:lineRule="exact"/>
              <w:rPr>
                <w:rFonts w:ascii="宋体" w:hAnsi="宋体" w:eastAsia="宋体" w:cs="宋体"/>
                <w:sz w:val="18"/>
                <w:szCs w:val="18"/>
              </w:rPr>
            </w:pPr>
            <w:r>
              <w:rPr>
                <w:rFonts w:ascii="宋体" w:hAnsi="宋体" w:eastAsia="宋体" w:cs="宋体"/>
                <w:sz w:val="18"/>
                <w:szCs w:val="18"/>
              </w:rPr>
              <w:t>张正</w:t>
            </w:r>
          </w:p>
        </w:tc>
        <w:tc>
          <w:tcPr>
            <w:tcW w:w="1205" w:type="dxa"/>
            <w:tcBorders>
              <w:top w:val="single" w:color="auto" w:sz="2" w:space="0"/>
              <w:left w:val="single" w:color="auto" w:sz="2" w:space="0"/>
              <w:bottom w:val="single" w:color="auto" w:sz="2" w:space="0"/>
              <w:right w:val="single" w:color="auto" w:sz="2" w:space="0"/>
            </w:tcBorders>
            <w:vAlign w:val="center"/>
          </w:tcPr>
          <w:p w14:paraId="218574F3">
            <w:pPr>
              <w:spacing w:line="240" w:lineRule="exact"/>
              <w:jc w:val="right"/>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14:paraId="6E320608">
            <w:pPr>
              <w:spacing w:line="240" w:lineRule="exact"/>
              <w:jc w:val="right"/>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14:paraId="02E6FA87">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2C71F6EF">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69CDB49B">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62186AC2">
            <w:pPr>
              <w:spacing w:line="240" w:lineRule="exac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3C74FA34">
            <w:pPr>
              <w:spacing w:line="240" w:lineRule="exact"/>
              <w:jc w:val="right"/>
              <w:rPr>
                <w:rFonts w:ascii="宋体" w:hAnsi="宋体" w:eastAsia="宋体" w:cs="宋体"/>
                <w:sz w:val="18"/>
                <w:szCs w:val="18"/>
              </w:rPr>
            </w:pPr>
            <w:r>
              <w:rPr>
                <w:rFonts w:ascii="宋体" w:hAnsi="宋体" w:eastAsia="宋体" w:cs="宋体"/>
                <w:sz w:val="18"/>
                <w:szCs w:val="18"/>
              </w:rPr>
              <w:t>3</w:t>
            </w:r>
          </w:p>
        </w:tc>
      </w:tr>
      <w:tr w14:paraId="1352E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319E2C2">
            <w:pPr>
              <w:spacing w:line="240" w:lineRule="exact"/>
              <w:rPr>
                <w:rFonts w:ascii="宋体" w:hAnsi="宋体" w:eastAsia="宋体" w:cs="宋体"/>
                <w:sz w:val="18"/>
                <w:szCs w:val="18"/>
              </w:rPr>
            </w:pPr>
            <w:r>
              <w:rPr>
                <w:rFonts w:ascii="宋体" w:hAnsi="宋体" w:eastAsia="宋体" w:cs="宋体"/>
                <w:sz w:val="18"/>
                <w:szCs w:val="18"/>
              </w:rPr>
              <w:t>宣刚江</w:t>
            </w:r>
          </w:p>
        </w:tc>
        <w:tc>
          <w:tcPr>
            <w:tcW w:w="1205" w:type="dxa"/>
            <w:tcBorders>
              <w:top w:val="single" w:color="auto" w:sz="2" w:space="0"/>
              <w:left w:val="single" w:color="auto" w:sz="2" w:space="0"/>
              <w:bottom w:val="single" w:color="auto" w:sz="2" w:space="0"/>
              <w:right w:val="single" w:color="auto" w:sz="2" w:space="0"/>
            </w:tcBorders>
            <w:vAlign w:val="center"/>
          </w:tcPr>
          <w:p w14:paraId="435936F4">
            <w:pPr>
              <w:spacing w:line="240" w:lineRule="exact"/>
              <w:jc w:val="right"/>
              <w:rPr>
                <w:rFonts w:ascii="宋体" w:hAnsi="宋体" w:eastAsia="宋体" w:cs="宋体"/>
                <w:sz w:val="18"/>
                <w:szCs w:val="18"/>
              </w:rPr>
            </w:pPr>
            <w:r>
              <w:rPr>
                <w:rFonts w:ascii="宋体" w:hAnsi="宋体"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14:paraId="191F1439">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0FDACC53">
            <w:pPr>
              <w:spacing w:line="240" w:lineRule="exact"/>
              <w:jc w:val="right"/>
              <w:rPr>
                <w:rFonts w:ascii="宋体" w:hAnsi="宋体" w:eastAsia="宋体" w:cs="宋体"/>
                <w:sz w:val="18"/>
                <w:szCs w:val="18"/>
              </w:rPr>
            </w:pPr>
            <w:r>
              <w:rPr>
                <w:rFonts w:ascii="宋体" w:hAnsi="宋体"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14:paraId="59CC68C6">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042764C7">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23C238E4">
            <w:pPr>
              <w:spacing w:line="240" w:lineRule="exac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28BAFC51">
            <w:pPr>
              <w:spacing w:line="240" w:lineRule="exact"/>
              <w:jc w:val="right"/>
              <w:rPr>
                <w:rFonts w:ascii="宋体" w:hAnsi="宋体" w:eastAsia="宋体" w:cs="宋体"/>
                <w:sz w:val="18"/>
                <w:szCs w:val="18"/>
              </w:rPr>
            </w:pPr>
            <w:r>
              <w:rPr>
                <w:rFonts w:ascii="宋体" w:hAnsi="宋体" w:eastAsia="宋体" w:cs="宋体"/>
                <w:sz w:val="18"/>
                <w:szCs w:val="18"/>
              </w:rPr>
              <w:t>3</w:t>
            </w:r>
          </w:p>
        </w:tc>
      </w:tr>
      <w:tr w14:paraId="6E7F1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26FB923">
            <w:pPr>
              <w:spacing w:line="240" w:lineRule="exact"/>
              <w:rPr>
                <w:rFonts w:ascii="宋体" w:hAnsi="宋体" w:eastAsia="宋体" w:cs="宋体"/>
                <w:sz w:val="18"/>
                <w:szCs w:val="18"/>
              </w:rPr>
            </w:pPr>
            <w:r>
              <w:rPr>
                <w:rFonts w:ascii="宋体" w:hAnsi="宋体" w:eastAsia="宋体" w:cs="宋体"/>
                <w:sz w:val="18"/>
                <w:szCs w:val="18"/>
              </w:rPr>
              <w:t>黄亚英</w:t>
            </w:r>
          </w:p>
        </w:tc>
        <w:tc>
          <w:tcPr>
            <w:tcW w:w="1205" w:type="dxa"/>
            <w:tcBorders>
              <w:top w:val="single" w:color="auto" w:sz="2" w:space="0"/>
              <w:left w:val="single" w:color="auto" w:sz="2" w:space="0"/>
              <w:bottom w:val="single" w:color="auto" w:sz="2" w:space="0"/>
              <w:right w:val="single" w:color="auto" w:sz="2" w:space="0"/>
            </w:tcBorders>
            <w:vAlign w:val="center"/>
          </w:tcPr>
          <w:p w14:paraId="1716F36E">
            <w:pPr>
              <w:spacing w:line="240" w:lineRule="exact"/>
              <w:jc w:val="right"/>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14:paraId="3AF05CE6">
            <w:pPr>
              <w:spacing w:line="240" w:lineRule="exact"/>
              <w:jc w:val="right"/>
              <w:rPr>
                <w:rFonts w:ascii="宋体" w:hAnsi="宋体" w:eastAsia="宋体" w:cs="宋体"/>
                <w:sz w:val="18"/>
                <w:szCs w:val="18"/>
              </w:rPr>
            </w:pPr>
            <w:r>
              <w:rPr>
                <w:rFonts w:ascii="宋体" w:hAnsi="宋体"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14:paraId="6B112273">
            <w:pPr>
              <w:spacing w:line="240" w:lineRule="exact"/>
              <w:jc w:val="right"/>
              <w:rPr>
                <w:rFonts w:ascii="宋体" w:hAnsi="宋体" w:eastAsia="宋体" w:cs="宋体"/>
                <w:sz w:val="18"/>
                <w:szCs w:val="18"/>
              </w:rPr>
            </w:pPr>
            <w:r>
              <w:rPr>
                <w:rFonts w:ascii="宋体" w:hAnsi="宋体" w:eastAsia="宋体" w:cs="宋体"/>
                <w:sz w:val="18"/>
                <w:szCs w:val="18"/>
              </w:rPr>
              <w:t>4</w:t>
            </w:r>
          </w:p>
        </w:tc>
        <w:tc>
          <w:tcPr>
            <w:tcW w:w="1205" w:type="dxa"/>
            <w:tcBorders>
              <w:top w:val="single" w:color="auto" w:sz="2" w:space="0"/>
              <w:left w:val="single" w:color="auto" w:sz="2" w:space="0"/>
              <w:bottom w:val="single" w:color="auto" w:sz="2" w:space="0"/>
              <w:right w:val="single" w:color="auto" w:sz="2" w:space="0"/>
            </w:tcBorders>
            <w:vAlign w:val="center"/>
          </w:tcPr>
          <w:p w14:paraId="14190289">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6AD0D53B">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2C774FCF">
            <w:pPr>
              <w:spacing w:line="240" w:lineRule="exac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1E4038CF">
            <w:pPr>
              <w:spacing w:line="240" w:lineRule="exact"/>
              <w:jc w:val="right"/>
              <w:rPr>
                <w:rFonts w:ascii="宋体" w:hAnsi="宋体" w:eastAsia="宋体" w:cs="宋体"/>
                <w:sz w:val="18"/>
                <w:szCs w:val="18"/>
              </w:rPr>
            </w:pPr>
            <w:r>
              <w:rPr>
                <w:rFonts w:ascii="宋体" w:hAnsi="宋体" w:eastAsia="宋体" w:cs="宋体"/>
                <w:sz w:val="18"/>
                <w:szCs w:val="18"/>
              </w:rPr>
              <w:t>3</w:t>
            </w:r>
          </w:p>
        </w:tc>
      </w:tr>
      <w:tr w14:paraId="0CA83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D57D5F7">
            <w:pPr>
              <w:spacing w:line="240" w:lineRule="exact"/>
              <w:rPr>
                <w:rFonts w:ascii="宋体" w:hAnsi="宋体" w:eastAsia="宋体" w:cs="宋体"/>
                <w:sz w:val="18"/>
                <w:szCs w:val="18"/>
              </w:rPr>
            </w:pPr>
            <w:r>
              <w:rPr>
                <w:rFonts w:ascii="宋体" w:hAnsi="宋体" w:eastAsia="宋体" w:cs="宋体"/>
                <w:sz w:val="18"/>
                <w:szCs w:val="18"/>
              </w:rPr>
              <w:t>刁英峰</w:t>
            </w:r>
          </w:p>
        </w:tc>
        <w:tc>
          <w:tcPr>
            <w:tcW w:w="1205" w:type="dxa"/>
            <w:tcBorders>
              <w:top w:val="single" w:color="auto" w:sz="2" w:space="0"/>
              <w:left w:val="single" w:color="auto" w:sz="2" w:space="0"/>
              <w:bottom w:val="single" w:color="auto" w:sz="2" w:space="0"/>
              <w:right w:val="single" w:color="auto" w:sz="2" w:space="0"/>
            </w:tcBorders>
            <w:vAlign w:val="center"/>
          </w:tcPr>
          <w:p w14:paraId="39339312">
            <w:pPr>
              <w:spacing w:line="240" w:lineRule="exact"/>
              <w:jc w:val="right"/>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14:paraId="7015B2EE">
            <w:pPr>
              <w:spacing w:line="240" w:lineRule="exact"/>
              <w:jc w:val="right"/>
              <w:rPr>
                <w:rFonts w:ascii="宋体" w:hAnsi="宋体" w:eastAsia="宋体" w:cs="宋体"/>
                <w:sz w:val="18"/>
                <w:szCs w:val="18"/>
              </w:rPr>
            </w:pPr>
            <w:r>
              <w:rPr>
                <w:rFonts w:ascii="宋体" w:hAnsi="宋体"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14:paraId="2BE9A3DB">
            <w:pPr>
              <w:spacing w:line="240" w:lineRule="exact"/>
              <w:jc w:val="right"/>
              <w:rPr>
                <w:rFonts w:ascii="宋体" w:hAnsi="宋体" w:eastAsia="宋体" w:cs="宋体"/>
                <w:sz w:val="18"/>
                <w:szCs w:val="18"/>
              </w:rPr>
            </w:pPr>
            <w:r>
              <w:rPr>
                <w:rFonts w:ascii="宋体" w:hAnsi="宋体" w:eastAsia="宋体" w:cs="宋体"/>
                <w:sz w:val="18"/>
                <w:szCs w:val="18"/>
              </w:rPr>
              <w:t>4</w:t>
            </w:r>
          </w:p>
        </w:tc>
        <w:tc>
          <w:tcPr>
            <w:tcW w:w="1205" w:type="dxa"/>
            <w:tcBorders>
              <w:top w:val="single" w:color="auto" w:sz="2" w:space="0"/>
              <w:left w:val="single" w:color="auto" w:sz="2" w:space="0"/>
              <w:bottom w:val="single" w:color="auto" w:sz="2" w:space="0"/>
              <w:right w:val="single" w:color="auto" w:sz="2" w:space="0"/>
            </w:tcBorders>
            <w:vAlign w:val="center"/>
          </w:tcPr>
          <w:p w14:paraId="678AEE85">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13DB9F3F">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05F6BB54">
            <w:pPr>
              <w:spacing w:line="240" w:lineRule="exac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111BCA54">
            <w:pPr>
              <w:spacing w:line="240" w:lineRule="exact"/>
              <w:jc w:val="right"/>
              <w:rPr>
                <w:rFonts w:ascii="宋体" w:hAnsi="宋体" w:eastAsia="宋体" w:cs="宋体"/>
                <w:sz w:val="18"/>
                <w:szCs w:val="18"/>
              </w:rPr>
            </w:pPr>
            <w:r>
              <w:rPr>
                <w:rFonts w:ascii="宋体" w:hAnsi="宋体" w:eastAsia="宋体" w:cs="宋体"/>
                <w:sz w:val="18"/>
                <w:szCs w:val="18"/>
              </w:rPr>
              <w:t>2</w:t>
            </w:r>
          </w:p>
        </w:tc>
      </w:tr>
      <w:tr w14:paraId="0D313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565DF66">
            <w:pPr>
              <w:spacing w:line="240" w:lineRule="exact"/>
              <w:rPr>
                <w:rFonts w:ascii="宋体" w:hAnsi="宋体" w:eastAsia="宋体" w:cs="宋体"/>
                <w:sz w:val="18"/>
                <w:szCs w:val="18"/>
              </w:rPr>
            </w:pPr>
            <w:r>
              <w:rPr>
                <w:rFonts w:ascii="宋体" w:hAnsi="宋体" w:eastAsia="宋体" w:cs="宋体"/>
                <w:sz w:val="18"/>
                <w:szCs w:val="18"/>
              </w:rPr>
              <w:t>宋海涛</w:t>
            </w:r>
          </w:p>
        </w:tc>
        <w:tc>
          <w:tcPr>
            <w:tcW w:w="1205" w:type="dxa"/>
            <w:tcBorders>
              <w:top w:val="single" w:color="auto" w:sz="2" w:space="0"/>
              <w:left w:val="single" w:color="auto" w:sz="2" w:space="0"/>
              <w:bottom w:val="single" w:color="auto" w:sz="2" w:space="0"/>
              <w:right w:val="single" w:color="auto" w:sz="2" w:space="0"/>
            </w:tcBorders>
            <w:vAlign w:val="center"/>
          </w:tcPr>
          <w:p w14:paraId="69C479E9">
            <w:pPr>
              <w:spacing w:line="240" w:lineRule="exact"/>
              <w:jc w:val="right"/>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14:paraId="455094B8">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2323F1D4">
            <w:pPr>
              <w:spacing w:line="240" w:lineRule="exact"/>
              <w:jc w:val="right"/>
              <w:rPr>
                <w:rFonts w:ascii="宋体" w:hAnsi="宋体" w:eastAsia="宋体" w:cs="宋体"/>
                <w:sz w:val="18"/>
                <w:szCs w:val="18"/>
              </w:rPr>
            </w:pPr>
            <w:r>
              <w:rPr>
                <w:rFonts w:ascii="宋体" w:hAnsi="宋体" w:eastAsia="宋体" w:cs="宋体"/>
                <w:sz w:val="18"/>
                <w:szCs w:val="18"/>
              </w:rPr>
              <w:t>5</w:t>
            </w:r>
          </w:p>
        </w:tc>
        <w:tc>
          <w:tcPr>
            <w:tcW w:w="1205" w:type="dxa"/>
            <w:tcBorders>
              <w:top w:val="single" w:color="auto" w:sz="2" w:space="0"/>
              <w:left w:val="single" w:color="auto" w:sz="2" w:space="0"/>
              <w:bottom w:val="single" w:color="auto" w:sz="2" w:space="0"/>
              <w:right w:val="single" w:color="auto" w:sz="2" w:space="0"/>
            </w:tcBorders>
            <w:vAlign w:val="center"/>
          </w:tcPr>
          <w:p w14:paraId="18D3BCB3">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2D7FCFAF">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14:paraId="350C40B3">
            <w:pPr>
              <w:spacing w:line="240" w:lineRule="exac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14:paraId="5FE74CCA">
            <w:pPr>
              <w:spacing w:line="240" w:lineRule="exact"/>
              <w:jc w:val="right"/>
              <w:rPr>
                <w:rFonts w:ascii="宋体" w:hAnsi="宋体" w:eastAsia="宋体" w:cs="宋体"/>
                <w:sz w:val="18"/>
                <w:szCs w:val="18"/>
              </w:rPr>
            </w:pPr>
            <w:r>
              <w:rPr>
                <w:rFonts w:ascii="宋体" w:hAnsi="宋体" w:eastAsia="宋体" w:cs="宋体"/>
                <w:sz w:val="18"/>
                <w:szCs w:val="18"/>
              </w:rPr>
              <w:t>3</w:t>
            </w:r>
          </w:p>
        </w:tc>
      </w:tr>
    </w:tbl>
    <w:p w14:paraId="23702DB4">
      <w:pPr>
        <w:spacing w:before="100" w:after="100" w:line="240" w:lineRule="exact"/>
        <w:rPr>
          <w:rFonts w:ascii="宋体" w:hAnsi="宋体" w:eastAsia="宋体" w:cs="宋体"/>
          <w:sz w:val="18"/>
          <w:szCs w:val="18"/>
        </w:rPr>
      </w:pPr>
      <w:r>
        <w:rPr>
          <w:rFonts w:ascii="宋体" w:hAnsi="宋体" w:eastAsia="宋体" w:cs="宋体"/>
          <w:sz w:val="18"/>
          <w:szCs w:val="18"/>
        </w:rPr>
        <w:t>连续两次未亲自出席董事会的说明</w:t>
      </w:r>
      <w:r>
        <w:rPr>
          <w:rFonts w:hint="eastAsia" w:ascii="宋体" w:hAnsi="宋体" w:eastAsia="宋体" w:cs="宋体"/>
          <w:sz w:val="18"/>
          <w:szCs w:val="18"/>
        </w:rPr>
        <w:t>：</w:t>
      </w:r>
      <w:r>
        <w:rPr>
          <w:rFonts w:hint="eastAsia"/>
          <w:sz w:val="18"/>
          <w:szCs w:val="18"/>
        </w:rPr>
        <w:t>不适用</w:t>
      </w:r>
    </w:p>
    <w:p w14:paraId="3967712F">
      <w:pPr>
        <w:pStyle w:val="3"/>
        <w:spacing w:line="280" w:lineRule="exact"/>
        <w:jc w:val="left"/>
        <w:rPr>
          <w:rFonts w:ascii="宋体" w:hAnsi="宋体" w:cs="宋体"/>
          <w:b/>
          <w:bCs/>
        </w:rPr>
      </w:pPr>
      <w:bookmarkStart w:id="73" w:name="_Toc988962"/>
      <w:r>
        <w:rPr>
          <w:rFonts w:ascii="宋体" w:hAnsi="宋体" w:cs="宋体"/>
          <w:b/>
          <w:bCs/>
        </w:rPr>
        <w:t>2、董事对公司有关事项提出异议的情况</w:t>
      </w:r>
      <w:bookmarkEnd w:id="73"/>
    </w:p>
    <w:p w14:paraId="2C657BA4">
      <w:pPr>
        <w:spacing w:before="100" w:after="100" w:line="240" w:lineRule="exact"/>
        <w:rPr>
          <w:rFonts w:ascii="宋体" w:hAnsi="宋体" w:eastAsia="宋体" w:cs="宋体"/>
          <w:sz w:val="18"/>
          <w:szCs w:val="18"/>
        </w:rPr>
      </w:pPr>
      <w:r>
        <w:rPr>
          <w:rFonts w:ascii="宋体" w:hAnsi="宋体" w:eastAsia="宋体" w:cs="宋体"/>
          <w:sz w:val="18"/>
          <w:szCs w:val="18"/>
        </w:rPr>
        <w:t>董事对公司有关事项是否提出异议</w:t>
      </w:r>
    </w:p>
    <w:p w14:paraId="655DDC25">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1C5D9324">
      <w:pPr>
        <w:spacing w:before="100" w:after="100" w:line="240" w:lineRule="exact"/>
        <w:rPr>
          <w:rFonts w:ascii="宋体" w:hAnsi="宋体" w:eastAsia="宋体" w:cs="宋体"/>
          <w:sz w:val="18"/>
          <w:szCs w:val="18"/>
        </w:rPr>
      </w:pPr>
      <w:r>
        <w:rPr>
          <w:rFonts w:ascii="宋体" w:hAnsi="宋体" w:eastAsia="宋体" w:cs="宋体"/>
          <w:sz w:val="18"/>
          <w:szCs w:val="18"/>
        </w:rPr>
        <w:t>报告期内董事对公司有关事项未提出异议。</w:t>
      </w:r>
    </w:p>
    <w:p w14:paraId="08E96B96">
      <w:pPr>
        <w:pStyle w:val="3"/>
        <w:spacing w:line="280" w:lineRule="exact"/>
        <w:jc w:val="left"/>
        <w:rPr>
          <w:rFonts w:ascii="宋体" w:hAnsi="宋体" w:cs="宋体"/>
          <w:b/>
          <w:bCs/>
        </w:rPr>
      </w:pPr>
      <w:bookmarkStart w:id="74" w:name="_Toc988963"/>
      <w:r>
        <w:rPr>
          <w:rFonts w:ascii="宋体" w:hAnsi="宋体" w:cs="宋体"/>
          <w:b/>
          <w:bCs/>
        </w:rPr>
        <w:t>3、董事履行职责的其他说明</w:t>
      </w:r>
      <w:bookmarkEnd w:id="74"/>
    </w:p>
    <w:p w14:paraId="09252854">
      <w:pPr>
        <w:spacing w:before="100" w:after="100" w:line="240" w:lineRule="exact"/>
        <w:rPr>
          <w:rFonts w:ascii="宋体" w:hAnsi="宋体" w:eastAsia="宋体" w:cs="宋体"/>
          <w:sz w:val="18"/>
          <w:szCs w:val="18"/>
        </w:rPr>
      </w:pPr>
      <w:r>
        <w:rPr>
          <w:rFonts w:ascii="宋体" w:hAnsi="宋体" w:eastAsia="宋体" w:cs="宋体"/>
          <w:sz w:val="18"/>
          <w:szCs w:val="18"/>
        </w:rPr>
        <w:t>董事对公司有关建议是否被采纳</w:t>
      </w:r>
    </w:p>
    <w:p w14:paraId="130A7A19">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14:paraId="19470785">
      <w:pPr>
        <w:spacing w:before="100" w:after="100" w:line="240" w:lineRule="exact"/>
        <w:rPr>
          <w:rFonts w:ascii="宋体" w:hAnsi="宋体" w:eastAsia="宋体" w:cs="宋体"/>
          <w:sz w:val="18"/>
          <w:szCs w:val="18"/>
        </w:rPr>
      </w:pPr>
      <w:r>
        <w:rPr>
          <w:rFonts w:ascii="宋体" w:hAnsi="宋体" w:eastAsia="宋体" w:cs="宋体"/>
          <w:sz w:val="18"/>
          <w:szCs w:val="18"/>
        </w:rPr>
        <w:t>董事对公司有关建议被采纳或未被采纳的说明</w:t>
      </w:r>
    </w:p>
    <w:p w14:paraId="4A279F91">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报告期内，公司董事严格按照《公司法》、《证券法》、《深圳证券交易所股票上市规则》、《深圳证券交易所上市公司自律监管指引第1号——主板上市公司规范运作》、《上市公司独立董事管理办法》《公司章程》及《独立董事工作制度》等法律法规及规章制度的相关规定，忠实勤勉地履行独立董事职责，积极出席报告期内公司召开的相关会议，认真审议董事会各项议案，独立董事对相关事项发表了独立意见。报告期内，公司董事会共召开5次会议，审议并通过议案共30项，独立董事召开专门会议1次，审议并通过议案4项，在公司的制度完善和日常经营决策等方面提出了专业性建议，并被公司予以采纳，较好的发挥了董事的作用，切实维护了公司和股东特别是中小股东的权益。</w:t>
      </w:r>
    </w:p>
    <w:p w14:paraId="7AEA156A">
      <w:pPr>
        <w:pStyle w:val="2"/>
        <w:spacing w:before="300" w:after="300" w:line="320" w:lineRule="exact"/>
        <w:rPr>
          <w:rFonts w:ascii="宋体" w:hAnsi="宋体" w:eastAsia="宋体" w:cs="宋体"/>
          <w:b/>
          <w:bCs/>
          <w:sz w:val="24"/>
          <w:szCs w:val="24"/>
        </w:rPr>
      </w:pPr>
      <w:bookmarkStart w:id="75" w:name="_Toc988964"/>
      <w:r>
        <w:rPr>
          <w:rFonts w:ascii="宋体" w:hAnsi="宋体" w:eastAsia="宋体" w:cs="宋体"/>
          <w:b/>
          <w:bCs/>
          <w:sz w:val="24"/>
          <w:szCs w:val="24"/>
        </w:rPr>
        <w:t>六、董事会下设专门委员会在报告期内的情况</w:t>
      </w:r>
      <w:bookmarkEnd w:id="75"/>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1"/>
        <w:gridCol w:w="1134"/>
        <w:gridCol w:w="992"/>
        <w:gridCol w:w="1418"/>
        <w:gridCol w:w="1629"/>
        <w:gridCol w:w="1205"/>
        <w:gridCol w:w="1205"/>
        <w:gridCol w:w="1205"/>
      </w:tblGrid>
      <w:tr w14:paraId="4489B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14:paraId="10EFF8CA">
            <w:pPr>
              <w:spacing w:before="40" w:after="40" w:line="240" w:lineRule="exact"/>
              <w:jc w:val="center"/>
              <w:rPr>
                <w:rFonts w:ascii="宋体" w:hAnsi="宋体" w:eastAsia="宋体" w:cs="宋体"/>
                <w:sz w:val="18"/>
                <w:szCs w:val="18"/>
              </w:rPr>
            </w:pPr>
            <w:r>
              <w:rPr>
                <w:rFonts w:ascii="宋体" w:hAnsi="宋体" w:eastAsia="宋体" w:cs="宋体"/>
                <w:sz w:val="18"/>
                <w:szCs w:val="18"/>
              </w:rPr>
              <w:t>委员会名称</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14:paraId="3022AD4A">
            <w:pPr>
              <w:spacing w:before="40" w:after="40" w:line="240" w:lineRule="exact"/>
              <w:jc w:val="center"/>
              <w:rPr>
                <w:rFonts w:ascii="宋体" w:hAnsi="宋体" w:eastAsia="宋体" w:cs="宋体"/>
                <w:sz w:val="18"/>
                <w:szCs w:val="18"/>
              </w:rPr>
            </w:pPr>
            <w:r>
              <w:rPr>
                <w:rFonts w:ascii="宋体" w:hAnsi="宋体" w:eastAsia="宋体" w:cs="宋体"/>
                <w:sz w:val="18"/>
                <w:szCs w:val="18"/>
              </w:rPr>
              <w:t>成员情况</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14:paraId="29C23656">
            <w:pPr>
              <w:spacing w:before="40" w:after="40" w:line="240" w:lineRule="exact"/>
              <w:jc w:val="center"/>
              <w:rPr>
                <w:rFonts w:ascii="宋体" w:hAnsi="宋体" w:eastAsia="宋体" w:cs="宋体"/>
                <w:sz w:val="18"/>
                <w:szCs w:val="18"/>
              </w:rPr>
            </w:pPr>
            <w:r>
              <w:rPr>
                <w:rFonts w:ascii="宋体" w:hAnsi="宋体" w:eastAsia="宋体" w:cs="宋体"/>
                <w:sz w:val="18"/>
                <w:szCs w:val="18"/>
              </w:rPr>
              <w:t>召开会议次数</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14:paraId="1B0A4F33">
            <w:pPr>
              <w:spacing w:before="40" w:after="40" w:line="240" w:lineRule="exact"/>
              <w:jc w:val="center"/>
              <w:rPr>
                <w:rFonts w:ascii="宋体" w:hAnsi="宋体" w:eastAsia="宋体" w:cs="宋体"/>
                <w:sz w:val="18"/>
                <w:szCs w:val="18"/>
              </w:rPr>
            </w:pPr>
            <w:r>
              <w:rPr>
                <w:rFonts w:ascii="宋体" w:hAnsi="宋体" w:eastAsia="宋体" w:cs="宋体"/>
                <w:sz w:val="18"/>
                <w:szCs w:val="18"/>
              </w:rPr>
              <w:t>召开日期</w:t>
            </w:r>
          </w:p>
        </w:tc>
        <w:tc>
          <w:tcPr>
            <w:tcW w:w="1629" w:type="dxa"/>
            <w:tcBorders>
              <w:top w:val="single" w:color="auto" w:sz="2" w:space="0"/>
              <w:left w:val="single" w:color="auto" w:sz="2" w:space="0"/>
              <w:bottom w:val="single" w:color="auto" w:sz="2" w:space="0"/>
              <w:right w:val="single" w:color="auto" w:sz="2" w:space="0"/>
            </w:tcBorders>
            <w:shd w:val="clear" w:color="auto" w:fill="D3D3D3"/>
            <w:vAlign w:val="center"/>
          </w:tcPr>
          <w:p w14:paraId="209B7BDB">
            <w:pPr>
              <w:spacing w:before="40" w:after="40" w:line="240" w:lineRule="exact"/>
              <w:jc w:val="center"/>
              <w:rPr>
                <w:rFonts w:ascii="宋体" w:hAnsi="宋体" w:eastAsia="宋体" w:cs="宋体"/>
                <w:sz w:val="18"/>
                <w:szCs w:val="18"/>
              </w:rPr>
            </w:pPr>
            <w:r>
              <w:rPr>
                <w:rFonts w:ascii="宋体" w:hAnsi="宋体" w:eastAsia="宋体" w:cs="宋体"/>
                <w:sz w:val="18"/>
                <w:szCs w:val="18"/>
              </w:rPr>
              <w:t>会议内容</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2B080A10">
            <w:pPr>
              <w:spacing w:before="40" w:after="40" w:line="240" w:lineRule="exact"/>
              <w:jc w:val="center"/>
              <w:rPr>
                <w:rFonts w:ascii="宋体" w:hAnsi="宋体" w:eastAsia="宋体" w:cs="宋体"/>
                <w:sz w:val="18"/>
                <w:szCs w:val="18"/>
              </w:rPr>
            </w:pPr>
            <w:r>
              <w:rPr>
                <w:rFonts w:ascii="宋体" w:hAnsi="宋体" w:eastAsia="宋体" w:cs="宋体"/>
                <w:sz w:val="18"/>
                <w:szCs w:val="18"/>
              </w:rPr>
              <w:t>提出的重要意见和建议</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A6209DD">
            <w:pPr>
              <w:spacing w:before="40" w:after="40" w:line="240" w:lineRule="exact"/>
              <w:jc w:val="center"/>
              <w:rPr>
                <w:rFonts w:ascii="宋体" w:hAnsi="宋体" w:eastAsia="宋体" w:cs="宋体"/>
                <w:sz w:val="18"/>
                <w:szCs w:val="18"/>
              </w:rPr>
            </w:pPr>
            <w:r>
              <w:rPr>
                <w:rFonts w:ascii="宋体" w:hAnsi="宋体" w:eastAsia="宋体" w:cs="宋体"/>
                <w:sz w:val="18"/>
                <w:szCs w:val="18"/>
              </w:rPr>
              <w:t>其他履行职责的情况</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EAAC369">
            <w:pPr>
              <w:spacing w:before="40" w:after="40" w:line="240" w:lineRule="exact"/>
              <w:jc w:val="center"/>
              <w:rPr>
                <w:rFonts w:ascii="宋体" w:hAnsi="宋体" w:eastAsia="宋体" w:cs="宋体"/>
                <w:sz w:val="18"/>
                <w:szCs w:val="18"/>
              </w:rPr>
            </w:pPr>
            <w:r>
              <w:rPr>
                <w:rFonts w:ascii="宋体" w:hAnsi="宋体" w:eastAsia="宋体" w:cs="宋体"/>
                <w:sz w:val="18"/>
                <w:szCs w:val="18"/>
              </w:rPr>
              <w:t>异议事项具体情况（如有）</w:t>
            </w:r>
          </w:p>
        </w:tc>
      </w:tr>
      <w:tr w14:paraId="52537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vMerge w:val="restart"/>
            <w:tcBorders>
              <w:top w:val="single" w:color="auto" w:sz="2" w:space="0"/>
              <w:left w:val="single" w:color="auto" w:sz="2" w:space="0"/>
              <w:right w:val="single" w:color="auto" w:sz="2" w:space="0"/>
            </w:tcBorders>
            <w:vAlign w:val="center"/>
          </w:tcPr>
          <w:p w14:paraId="6436993E">
            <w:pPr>
              <w:spacing w:line="240" w:lineRule="exact"/>
              <w:rPr>
                <w:rFonts w:ascii="宋体" w:hAnsi="宋体" w:eastAsia="宋体" w:cs="宋体"/>
                <w:sz w:val="18"/>
                <w:szCs w:val="18"/>
              </w:rPr>
            </w:pPr>
            <w:r>
              <w:rPr>
                <w:rFonts w:ascii="宋体" w:hAnsi="宋体" w:eastAsia="宋体" w:cs="宋体"/>
                <w:sz w:val="18"/>
                <w:szCs w:val="18"/>
              </w:rPr>
              <w:t>董事会审计委员会</w:t>
            </w:r>
          </w:p>
        </w:tc>
        <w:tc>
          <w:tcPr>
            <w:tcW w:w="1134" w:type="dxa"/>
            <w:vMerge w:val="restart"/>
            <w:tcBorders>
              <w:top w:val="single" w:color="auto" w:sz="2" w:space="0"/>
              <w:left w:val="single" w:color="auto" w:sz="2" w:space="0"/>
              <w:right w:val="single" w:color="auto" w:sz="2" w:space="0"/>
            </w:tcBorders>
            <w:vAlign w:val="center"/>
          </w:tcPr>
          <w:p w14:paraId="061BA24E">
            <w:pPr>
              <w:spacing w:line="240" w:lineRule="exact"/>
              <w:rPr>
                <w:rFonts w:ascii="宋体" w:hAnsi="宋体" w:eastAsia="宋体" w:cs="宋体"/>
                <w:sz w:val="18"/>
                <w:szCs w:val="18"/>
              </w:rPr>
            </w:pPr>
            <w:r>
              <w:rPr>
                <w:rFonts w:ascii="宋体" w:hAnsi="宋体" w:eastAsia="宋体" w:cs="宋体"/>
                <w:sz w:val="18"/>
                <w:szCs w:val="18"/>
              </w:rPr>
              <w:t>刁英峰、陈翰、黄亚英</w:t>
            </w:r>
          </w:p>
        </w:tc>
        <w:tc>
          <w:tcPr>
            <w:tcW w:w="992" w:type="dxa"/>
            <w:vMerge w:val="restart"/>
            <w:tcBorders>
              <w:top w:val="single" w:color="auto" w:sz="2" w:space="0"/>
              <w:left w:val="single" w:color="auto" w:sz="2" w:space="0"/>
              <w:right w:val="single" w:color="auto" w:sz="2" w:space="0"/>
            </w:tcBorders>
            <w:vAlign w:val="center"/>
          </w:tcPr>
          <w:p w14:paraId="322DA5E1">
            <w:pPr>
              <w:spacing w:line="240" w:lineRule="exact"/>
              <w:jc w:val="right"/>
              <w:rPr>
                <w:rFonts w:ascii="宋体" w:hAnsi="宋体" w:eastAsia="宋体" w:cs="宋体"/>
                <w:sz w:val="18"/>
                <w:szCs w:val="18"/>
              </w:rPr>
            </w:pPr>
            <w:r>
              <w:rPr>
                <w:rFonts w:ascii="宋体" w:hAnsi="宋体" w:eastAsia="宋体" w:cs="宋体"/>
                <w:sz w:val="18"/>
                <w:szCs w:val="18"/>
              </w:rPr>
              <w:t>2</w:t>
            </w:r>
          </w:p>
        </w:tc>
        <w:tc>
          <w:tcPr>
            <w:tcW w:w="1418" w:type="dxa"/>
            <w:tcBorders>
              <w:top w:val="single" w:color="auto" w:sz="2" w:space="0"/>
              <w:left w:val="single" w:color="auto" w:sz="2" w:space="0"/>
              <w:bottom w:val="single" w:color="auto" w:sz="2" w:space="0"/>
              <w:right w:val="single" w:color="auto" w:sz="2" w:space="0"/>
            </w:tcBorders>
            <w:vAlign w:val="center"/>
          </w:tcPr>
          <w:p w14:paraId="7BF1837A">
            <w:pPr>
              <w:spacing w:line="240" w:lineRule="exact"/>
              <w:rPr>
                <w:rFonts w:ascii="宋体" w:hAnsi="宋体" w:eastAsia="宋体" w:cs="宋体"/>
                <w:sz w:val="18"/>
                <w:szCs w:val="18"/>
              </w:rPr>
            </w:pPr>
            <w:r>
              <w:rPr>
                <w:rFonts w:ascii="宋体" w:hAnsi="宋体" w:eastAsia="宋体" w:cs="宋体"/>
                <w:sz w:val="18"/>
                <w:szCs w:val="18"/>
              </w:rPr>
              <w:t>2025年03月31日</w:t>
            </w:r>
          </w:p>
        </w:tc>
        <w:tc>
          <w:tcPr>
            <w:tcW w:w="1629" w:type="dxa"/>
            <w:tcBorders>
              <w:top w:val="single" w:color="auto" w:sz="2" w:space="0"/>
              <w:left w:val="single" w:color="auto" w:sz="2" w:space="0"/>
              <w:bottom w:val="single" w:color="auto" w:sz="2" w:space="0"/>
              <w:right w:val="single" w:color="auto" w:sz="2" w:space="0"/>
            </w:tcBorders>
            <w:vAlign w:val="center"/>
          </w:tcPr>
          <w:p w14:paraId="28B4869D">
            <w:pPr>
              <w:spacing w:line="240" w:lineRule="exact"/>
              <w:rPr>
                <w:rFonts w:ascii="宋体" w:hAnsi="宋体" w:eastAsia="宋体" w:cs="宋体"/>
                <w:sz w:val="18"/>
                <w:szCs w:val="18"/>
              </w:rPr>
            </w:pPr>
            <w:r>
              <w:rPr>
                <w:rFonts w:ascii="宋体" w:hAnsi="宋体" w:eastAsia="宋体" w:cs="宋体"/>
                <w:sz w:val="18"/>
                <w:szCs w:val="18"/>
              </w:rPr>
              <w:t>审议公司《2025年第一季度内部控制审计工作报告》</w:t>
            </w:r>
          </w:p>
        </w:tc>
        <w:tc>
          <w:tcPr>
            <w:tcW w:w="1205" w:type="dxa"/>
            <w:tcBorders>
              <w:top w:val="single" w:color="auto" w:sz="2" w:space="0"/>
              <w:left w:val="single" w:color="auto" w:sz="2" w:space="0"/>
              <w:bottom w:val="single" w:color="auto" w:sz="2" w:space="0"/>
              <w:right w:val="single" w:color="auto" w:sz="2" w:space="0"/>
            </w:tcBorders>
            <w:vAlign w:val="center"/>
          </w:tcPr>
          <w:p w14:paraId="26048126">
            <w:pPr>
              <w:spacing w:line="240" w:lineRule="exact"/>
              <w:rPr>
                <w:rFonts w:ascii="宋体" w:hAnsi="宋体" w:eastAsia="宋体" w:cs="宋体"/>
                <w:sz w:val="18"/>
                <w:szCs w:val="18"/>
              </w:rPr>
            </w:pPr>
            <w:r>
              <w:rPr>
                <w:rFonts w:ascii="宋体" w:hAnsi="宋体" w:eastAsia="宋体" w:cs="宋体"/>
                <w:sz w:val="18"/>
                <w:szCs w:val="18"/>
              </w:rPr>
              <w:t>审议一致通过</w:t>
            </w:r>
          </w:p>
        </w:tc>
        <w:tc>
          <w:tcPr>
            <w:tcW w:w="1205" w:type="dxa"/>
            <w:tcBorders>
              <w:top w:val="single" w:color="auto" w:sz="2" w:space="0"/>
              <w:left w:val="single" w:color="auto" w:sz="2" w:space="0"/>
              <w:bottom w:val="single" w:color="auto" w:sz="2" w:space="0"/>
              <w:right w:val="single" w:color="auto" w:sz="2" w:space="0"/>
            </w:tcBorders>
            <w:vAlign w:val="center"/>
          </w:tcPr>
          <w:p w14:paraId="3D95606A">
            <w:pPr>
              <w:spacing w:line="240" w:lineRule="exac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14:paraId="439EA567">
            <w:pPr>
              <w:spacing w:line="240" w:lineRule="exact"/>
              <w:rPr>
                <w:rFonts w:ascii="宋体" w:hAnsi="宋体" w:eastAsia="宋体" w:cs="宋体"/>
                <w:sz w:val="18"/>
                <w:szCs w:val="18"/>
              </w:rPr>
            </w:pPr>
            <w:r>
              <w:rPr>
                <w:rFonts w:ascii="宋体" w:hAnsi="宋体" w:eastAsia="宋体" w:cs="宋体"/>
                <w:sz w:val="18"/>
                <w:szCs w:val="18"/>
              </w:rPr>
              <w:t>无</w:t>
            </w:r>
          </w:p>
        </w:tc>
      </w:tr>
      <w:tr w14:paraId="1E0EA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vMerge w:val="continue"/>
            <w:tcBorders>
              <w:left w:val="single" w:color="auto" w:sz="2" w:space="0"/>
              <w:bottom w:val="single" w:color="auto" w:sz="2" w:space="0"/>
              <w:right w:val="single" w:color="auto" w:sz="2" w:space="0"/>
            </w:tcBorders>
            <w:vAlign w:val="center"/>
          </w:tcPr>
          <w:p w14:paraId="210342AA">
            <w:pPr>
              <w:spacing w:line="240" w:lineRule="exact"/>
              <w:rPr>
                <w:rFonts w:ascii="宋体" w:hAnsi="宋体" w:eastAsia="宋体" w:cs="宋体"/>
                <w:sz w:val="18"/>
                <w:szCs w:val="18"/>
              </w:rPr>
            </w:pPr>
          </w:p>
        </w:tc>
        <w:tc>
          <w:tcPr>
            <w:tcW w:w="1134" w:type="dxa"/>
            <w:vMerge w:val="continue"/>
            <w:tcBorders>
              <w:left w:val="single" w:color="auto" w:sz="2" w:space="0"/>
              <w:bottom w:val="single" w:color="auto" w:sz="2" w:space="0"/>
              <w:right w:val="single" w:color="auto" w:sz="2" w:space="0"/>
            </w:tcBorders>
            <w:vAlign w:val="center"/>
          </w:tcPr>
          <w:p w14:paraId="49D009E0">
            <w:pPr>
              <w:spacing w:line="240" w:lineRule="exact"/>
              <w:rPr>
                <w:rFonts w:ascii="宋体" w:hAnsi="宋体" w:eastAsia="宋体" w:cs="宋体"/>
                <w:sz w:val="18"/>
                <w:szCs w:val="18"/>
              </w:rPr>
            </w:pPr>
          </w:p>
        </w:tc>
        <w:tc>
          <w:tcPr>
            <w:tcW w:w="992" w:type="dxa"/>
            <w:vMerge w:val="continue"/>
            <w:tcBorders>
              <w:left w:val="single" w:color="auto" w:sz="2" w:space="0"/>
              <w:bottom w:val="single" w:color="auto" w:sz="2" w:space="0"/>
              <w:right w:val="single" w:color="auto" w:sz="2" w:space="0"/>
            </w:tcBorders>
            <w:vAlign w:val="center"/>
          </w:tcPr>
          <w:p w14:paraId="0D145F09">
            <w:pPr>
              <w:spacing w:line="240" w:lineRule="exact"/>
              <w:jc w:val="right"/>
              <w:rPr>
                <w:rFonts w:ascii="宋体" w:hAnsi="宋体" w:eastAsia="宋体" w:cs="宋体"/>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14:paraId="38EADA90">
            <w:pPr>
              <w:spacing w:line="240" w:lineRule="exact"/>
              <w:rPr>
                <w:rFonts w:ascii="宋体" w:hAnsi="宋体" w:eastAsia="宋体" w:cs="宋体"/>
                <w:sz w:val="18"/>
                <w:szCs w:val="18"/>
              </w:rPr>
            </w:pPr>
            <w:r>
              <w:rPr>
                <w:rFonts w:ascii="宋体" w:hAnsi="宋体" w:eastAsia="宋体" w:cs="宋体"/>
                <w:sz w:val="18"/>
                <w:szCs w:val="18"/>
              </w:rPr>
              <w:t>2025年04月21日</w:t>
            </w:r>
          </w:p>
        </w:tc>
        <w:tc>
          <w:tcPr>
            <w:tcW w:w="1629" w:type="dxa"/>
            <w:tcBorders>
              <w:top w:val="single" w:color="auto" w:sz="2" w:space="0"/>
              <w:left w:val="single" w:color="auto" w:sz="2" w:space="0"/>
              <w:bottom w:val="single" w:color="auto" w:sz="2" w:space="0"/>
              <w:right w:val="single" w:color="auto" w:sz="2" w:space="0"/>
            </w:tcBorders>
            <w:vAlign w:val="center"/>
          </w:tcPr>
          <w:p w14:paraId="7BD25E26">
            <w:pPr>
              <w:spacing w:line="240" w:lineRule="exact"/>
              <w:rPr>
                <w:rFonts w:ascii="宋体" w:hAnsi="宋体" w:eastAsia="宋体" w:cs="宋体"/>
                <w:sz w:val="18"/>
                <w:szCs w:val="18"/>
              </w:rPr>
            </w:pPr>
            <w:r>
              <w:rPr>
                <w:rFonts w:ascii="宋体" w:hAnsi="宋体" w:eastAsia="宋体" w:cs="宋体"/>
                <w:sz w:val="18"/>
                <w:szCs w:val="18"/>
              </w:rPr>
              <w:t>1、审议《2024年度报告全文及摘要的议案》；</w:t>
            </w:r>
          </w:p>
          <w:p w14:paraId="78EE64D2">
            <w:pPr>
              <w:spacing w:line="240" w:lineRule="exact"/>
              <w:rPr>
                <w:rFonts w:ascii="宋体" w:hAnsi="宋体" w:eastAsia="宋体" w:cs="宋体"/>
                <w:sz w:val="18"/>
                <w:szCs w:val="18"/>
              </w:rPr>
            </w:pPr>
            <w:r>
              <w:rPr>
                <w:rFonts w:ascii="宋体" w:hAnsi="宋体" w:eastAsia="宋体" w:cs="宋体"/>
                <w:sz w:val="18"/>
                <w:szCs w:val="18"/>
              </w:rPr>
              <w:t>2、审议《2024年度内部控制自我评价报告》；</w:t>
            </w:r>
          </w:p>
          <w:p w14:paraId="40D00D75">
            <w:pPr>
              <w:spacing w:line="240" w:lineRule="exact"/>
              <w:rPr>
                <w:rFonts w:ascii="宋体" w:hAnsi="宋体" w:eastAsia="宋体" w:cs="宋体"/>
                <w:sz w:val="18"/>
                <w:szCs w:val="18"/>
              </w:rPr>
            </w:pPr>
            <w:r>
              <w:rPr>
                <w:rFonts w:ascii="宋体" w:hAnsi="宋体" w:eastAsia="宋体" w:cs="宋体"/>
                <w:sz w:val="18"/>
                <w:szCs w:val="18"/>
              </w:rPr>
              <w:t>3、审议《关于续聘2025年度会计师事务所的议案》；</w:t>
            </w:r>
          </w:p>
          <w:p w14:paraId="51E9C203">
            <w:pPr>
              <w:spacing w:line="240" w:lineRule="exact"/>
              <w:rPr>
                <w:rFonts w:ascii="宋体" w:hAnsi="宋体" w:eastAsia="宋体" w:cs="宋体"/>
                <w:sz w:val="18"/>
                <w:szCs w:val="18"/>
              </w:rPr>
            </w:pPr>
            <w:r>
              <w:rPr>
                <w:rFonts w:ascii="宋体" w:hAnsi="宋体" w:eastAsia="宋体" w:cs="宋体"/>
                <w:sz w:val="18"/>
                <w:szCs w:val="18"/>
              </w:rPr>
              <w:t>4、审议《2025年第一季度报告全文的议案》。</w:t>
            </w:r>
          </w:p>
        </w:tc>
        <w:tc>
          <w:tcPr>
            <w:tcW w:w="1205" w:type="dxa"/>
            <w:tcBorders>
              <w:top w:val="single" w:color="auto" w:sz="2" w:space="0"/>
              <w:left w:val="single" w:color="auto" w:sz="2" w:space="0"/>
              <w:bottom w:val="single" w:color="auto" w:sz="2" w:space="0"/>
              <w:right w:val="single" w:color="auto" w:sz="2" w:space="0"/>
            </w:tcBorders>
            <w:vAlign w:val="center"/>
          </w:tcPr>
          <w:p w14:paraId="621B6E96">
            <w:pPr>
              <w:spacing w:line="240" w:lineRule="exact"/>
              <w:rPr>
                <w:rFonts w:ascii="宋体" w:hAnsi="宋体" w:eastAsia="宋体" w:cs="宋体"/>
                <w:sz w:val="18"/>
                <w:szCs w:val="18"/>
              </w:rPr>
            </w:pPr>
            <w:r>
              <w:rPr>
                <w:rFonts w:ascii="宋体" w:hAnsi="宋体" w:eastAsia="宋体" w:cs="宋体"/>
                <w:sz w:val="18"/>
                <w:szCs w:val="18"/>
              </w:rPr>
              <w:t>审议一致通过</w:t>
            </w:r>
          </w:p>
        </w:tc>
        <w:tc>
          <w:tcPr>
            <w:tcW w:w="1205" w:type="dxa"/>
            <w:tcBorders>
              <w:top w:val="single" w:color="auto" w:sz="2" w:space="0"/>
              <w:left w:val="single" w:color="auto" w:sz="2" w:space="0"/>
              <w:bottom w:val="single" w:color="auto" w:sz="2" w:space="0"/>
              <w:right w:val="single" w:color="auto" w:sz="2" w:space="0"/>
            </w:tcBorders>
            <w:vAlign w:val="center"/>
          </w:tcPr>
          <w:p w14:paraId="47FF410B">
            <w:pPr>
              <w:spacing w:line="240" w:lineRule="exac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14:paraId="4763AA7C">
            <w:pPr>
              <w:spacing w:line="240" w:lineRule="exact"/>
              <w:rPr>
                <w:rFonts w:ascii="宋体" w:hAnsi="宋体" w:eastAsia="宋体" w:cs="宋体"/>
                <w:sz w:val="18"/>
                <w:szCs w:val="18"/>
              </w:rPr>
            </w:pPr>
            <w:r>
              <w:rPr>
                <w:rFonts w:ascii="宋体" w:hAnsi="宋体" w:eastAsia="宋体" w:cs="宋体"/>
                <w:sz w:val="18"/>
                <w:szCs w:val="18"/>
              </w:rPr>
              <w:t>无</w:t>
            </w:r>
          </w:p>
        </w:tc>
      </w:tr>
      <w:tr w14:paraId="75A5B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vMerge w:val="restart"/>
            <w:tcBorders>
              <w:top w:val="single" w:color="auto" w:sz="2" w:space="0"/>
              <w:left w:val="single" w:color="auto" w:sz="2" w:space="0"/>
              <w:right w:val="single" w:color="auto" w:sz="2" w:space="0"/>
            </w:tcBorders>
            <w:vAlign w:val="center"/>
          </w:tcPr>
          <w:p w14:paraId="1B5B65AE">
            <w:pPr>
              <w:spacing w:line="240" w:lineRule="exact"/>
              <w:rPr>
                <w:rFonts w:ascii="宋体" w:hAnsi="宋体" w:eastAsia="宋体" w:cs="宋体"/>
                <w:sz w:val="18"/>
                <w:szCs w:val="18"/>
              </w:rPr>
            </w:pPr>
            <w:r>
              <w:rPr>
                <w:rFonts w:ascii="宋体" w:hAnsi="宋体" w:eastAsia="宋体" w:cs="宋体"/>
                <w:sz w:val="18"/>
                <w:szCs w:val="18"/>
              </w:rPr>
              <w:t>董事会审计委员会</w:t>
            </w:r>
          </w:p>
          <w:p w14:paraId="51A0E404">
            <w:pPr>
              <w:spacing w:line="240" w:lineRule="exact"/>
              <w:rPr>
                <w:rFonts w:ascii="宋体" w:hAnsi="宋体" w:eastAsia="宋体" w:cs="宋体"/>
                <w:sz w:val="18"/>
                <w:szCs w:val="18"/>
              </w:rPr>
            </w:pPr>
          </w:p>
        </w:tc>
        <w:tc>
          <w:tcPr>
            <w:tcW w:w="1134" w:type="dxa"/>
            <w:vMerge w:val="restart"/>
            <w:tcBorders>
              <w:top w:val="single" w:color="auto" w:sz="2" w:space="0"/>
              <w:left w:val="single" w:color="auto" w:sz="2" w:space="0"/>
              <w:right w:val="single" w:color="auto" w:sz="2" w:space="0"/>
            </w:tcBorders>
            <w:vAlign w:val="center"/>
          </w:tcPr>
          <w:p w14:paraId="589B443A">
            <w:pPr>
              <w:spacing w:line="240" w:lineRule="exact"/>
              <w:rPr>
                <w:rFonts w:ascii="宋体" w:hAnsi="宋体" w:eastAsia="宋体" w:cs="宋体"/>
                <w:sz w:val="18"/>
                <w:szCs w:val="18"/>
              </w:rPr>
            </w:pPr>
            <w:r>
              <w:rPr>
                <w:rFonts w:ascii="宋体" w:hAnsi="宋体" w:eastAsia="宋体" w:cs="宋体"/>
                <w:sz w:val="18"/>
                <w:szCs w:val="18"/>
              </w:rPr>
              <w:t>刁英峰、黄亚英、宣刚江</w:t>
            </w:r>
          </w:p>
        </w:tc>
        <w:tc>
          <w:tcPr>
            <w:tcW w:w="992" w:type="dxa"/>
            <w:vMerge w:val="restart"/>
            <w:tcBorders>
              <w:top w:val="single" w:color="auto" w:sz="2" w:space="0"/>
              <w:left w:val="single" w:color="auto" w:sz="2" w:space="0"/>
              <w:right w:val="single" w:color="auto" w:sz="2" w:space="0"/>
            </w:tcBorders>
            <w:vAlign w:val="center"/>
          </w:tcPr>
          <w:p w14:paraId="238D6E9A">
            <w:pPr>
              <w:spacing w:line="240" w:lineRule="exact"/>
              <w:jc w:val="right"/>
              <w:rPr>
                <w:rFonts w:ascii="宋体" w:hAnsi="宋体" w:eastAsia="宋体" w:cs="宋体"/>
                <w:sz w:val="18"/>
                <w:szCs w:val="18"/>
              </w:rPr>
            </w:pPr>
            <w:r>
              <w:rPr>
                <w:rFonts w:ascii="宋体" w:hAnsi="宋体" w:eastAsia="宋体" w:cs="宋体"/>
                <w:sz w:val="18"/>
                <w:szCs w:val="18"/>
              </w:rPr>
              <w:t>2</w:t>
            </w:r>
          </w:p>
        </w:tc>
        <w:tc>
          <w:tcPr>
            <w:tcW w:w="1418" w:type="dxa"/>
            <w:tcBorders>
              <w:top w:val="single" w:color="auto" w:sz="2" w:space="0"/>
              <w:left w:val="single" w:color="auto" w:sz="2" w:space="0"/>
              <w:bottom w:val="single" w:color="auto" w:sz="2" w:space="0"/>
              <w:right w:val="single" w:color="auto" w:sz="2" w:space="0"/>
            </w:tcBorders>
            <w:vAlign w:val="center"/>
          </w:tcPr>
          <w:p w14:paraId="7787A878">
            <w:pPr>
              <w:spacing w:line="240" w:lineRule="exact"/>
              <w:rPr>
                <w:rFonts w:ascii="宋体" w:hAnsi="宋体" w:eastAsia="宋体" w:cs="宋体"/>
                <w:sz w:val="18"/>
                <w:szCs w:val="18"/>
              </w:rPr>
            </w:pPr>
            <w:r>
              <w:rPr>
                <w:rFonts w:ascii="宋体" w:hAnsi="宋体" w:eastAsia="宋体" w:cs="宋体"/>
                <w:sz w:val="18"/>
                <w:szCs w:val="18"/>
              </w:rPr>
              <w:t>2025年08月18日</w:t>
            </w:r>
          </w:p>
        </w:tc>
        <w:tc>
          <w:tcPr>
            <w:tcW w:w="1629" w:type="dxa"/>
            <w:tcBorders>
              <w:top w:val="single" w:color="auto" w:sz="2" w:space="0"/>
              <w:left w:val="single" w:color="auto" w:sz="2" w:space="0"/>
              <w:bottom w:val="single" w:color="auto" w:sz="2" w:space="0"/>
              <w:right w:val="single" w:color="auto" w:sz="2" w:space="0"/>
            </w:tcBorders>
            <w:vAlign w:val="center"/>
          </w:tcPr>
          <w:p w14:paraId="2784285E">
            <w:pPr>
              <w:spacing w:line="240" w:lineRule="exact"/>
              <w:rPr>
                <w:rFonts w:ascii="宋体" w:hAnsi="宋体" w:eastAsia="宋体" w:cs="宋体"/>
                <w:sz w:val="18"/>
                <w:szCs w:val="18"/>
              </w:rPr>
            </w:pPr>
            <w:r>
              <w:rPr>
                <w:rFonts w:ascii="宋体" w:hAnsi="宋体" w:eastAsia="宋体" w:cs="宋体"/>
                <w:sz w:val="18"/>
                <w:szCs w:val="18"/>
              </w:rPr>
              <w:t>1、审议《2025年半年度报告全文及摘要的议案》；</w:t>
            </w:r>
          </w:p>
          <w:p w14:paraId="6749220C">
            <w:pPr>
              <w:spacing w:line="240" w:lineRule="exact"/>
              <w:rPr>
                <w:rFonts w:ascii="宋体" w:hAnsi="宋体" w:eastAsia="宋体" w:cs="宋体"/>
                <w:sz w:val="18"/>
                <w:szCs w:val="18"/>
              </w:rPr>
            </w:pPr>
            <w:r>
              <w:rPr>
                <w:rFonts w:ascii="宋体" w:hAnsi="宋体" w:eastAsia="宋体" w:cs="宋体"/>
                <w:sz w:val="18"/>
                <w:szCs w:val="18"/>
              </w:rPr>
              <w:t>2、审议《2025年半年度内部审计工作报告》；</w:t>
            </w:r>
          </w:p>
          <w:p w14:paraId="73978942">
            <w:pPr>
              <w:spacing w:line="240" w:lineRule="exact"/>
              <w:rPr>
                <w:rFonts w:ascii="宋体" w:hAnsi="宋体" w:eastAsia="宋体" w:cs="宋体"/>
                <w:sz w:val="18"/>
                <w:szCs w:val="18"/>
              </w:rPr>
            </w:pPr>
            <w:r>
              <w:rPr>
                <w:rFonts w:ascii="宋体" w:hAnsi="宋体" w:eastAsia="宋体" w:cs="宋体"/>
                <w:sz w:val="18"/>
                <w:szCs w:val="18"/>
              </w:rPr>
              <w:t>3、审议《2025年半年度募集资金存放与使用情况专项报告》</w:t>
            </w:r>
          </w:p>
        </w:tc>
        <w:tc>
          <w:tcPr>
            <w:tcW w:w="1205" w:type="dxa"/>
            <w:tcBorders>
              <w:top w:val="single" w:color="auto" w:sz="2" w:space="0"/>
              <w:left w:val="single" w:color="auto" w:sz="2" w:space="0"/>
              <w:bottom w:val="single" w:color="auto" w:sz="2" w:space="0"/>
              <w:right w:val="single" w:color="auto" w:sz="2" w:space="0"/>
            </w:tcBorders>
            <w:vAlign w:val="center"/>
          </w:tcPr>
          <w:p w14:paraId="5749DBA9">
            <w:pPr>
              <w:spacing w:line="240" w:lineRule="exact"/>
              <w:rPr>
                <w:rFonts w:ascii="宋体" w:hAnsi="宋体" w:eastAsia="宋体" w:cs="宋体"/>
                <w:sz w:val="18"/>
                <w:szCs w:val="18"/>
              </w:rPr>
            </w:pPr>
            <w:r>
              <w:rPr>
                <w:rFonts w:ascii="宋体" w:hAnsi="宋体" w:eastAsia="宋体" w:cs="宋体"/>
                <w:sz w:val="18"/>
                <w:szCs w:val="18"/>
              </w:rPr>
              <w:t>审议一致通过</w:t>
            </w:r>
          </w:p>
        </w:tc>
        <w:tc>
          <w:tcPr>
            <w:tcW w:w="1205" w:type="dxa"/>
            <w:tcBorders>
              <w:top w:val="single" w:color="auto" w:sz="2" w:space="0"/>
              <w:left w:val="single" w:color="auto" w:sz="2" w:space="0"/>
              <w:bottom w:val="single" w:color="auto" w:sz="2" w:space="0"/>
              <w:right w:val="single" w:color="auto" w:sz="2" w:space="0"/>
            </w:tcBorders>
            <w:vAlign w:val="center"/>
          </w:tcPr>
          <w:p w14:paraId="49746373">
            <w:pPr>
              <w:spacing w:line="240" w:lineRule="exac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14:paraId="4EAA00EE">
            <w:pPr>
              <w:spacing w:line="240" w:lineRule="exact"/>
              <w:rPr>
                <w:rFonts w:ascii="宋体" w:hAnsi="宋体" w:eastAsia="宋体" w:cs="宋体"/>
                <w:sz w:val="18"/>
                <w:szCs w:val="18"/>
              </w:rPr>
            </w:pPr>
            <w:r>
              <w:rPr>
                <w:rFonts w:ascii="宋体" w:hAnsi="宋体" w:eastAsia="宋体" w:cs="宋体"/>
                <w:sz w:val="18"/>
                <w:szCs w:val="18"/>
              </w:rPr>
              <w:t>无</w:t>
            </w:r>
          </w:p>
        </w:tc>
      </w:tr>
      <w:tr w14:paraId="7E670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vMerge w:val="continue"/>
            <w:tcBorders>
              <w:left w:val="single" w:color="auto" w:sz="2" w:space="0"/>
              <w:bottom w:val="single" w:color="auto" w:sz="2" w:space="0"/>
              <w:right w:val="single" w:color="auto" w:sz="2" w:space="0"/>
            </w:tcBorders>
            <w:vAlign w:val="center"/>
          </w:tcPr>
          <w:p w14:paraId="42C1F840">
            <w:pPr>
              <w:spacing w:line="240" w:lineRule="exact"/>
              <w:rPr>
                <w:rFonts w:ascii="宋体" w:hAnsi="宋体" w:eastAsia="宋体" w:cs="宋体"/>
                <w:sz w:val="18"/>
                <w:szCs w:val="18"/>
              </w:rPr>
            </w:pPr>
          </w:p>
        </w:tc>
        <w:tc>
          <w:tcPr>
            <w:tcW w:w="1134" w:type="dxa"/>
            <w:vMerge w:val="continue"/>
            <w:tcBorders>
              <w:left w:val="single" w:color="auto" w:sz="2" w:space="0"/>
              <w:bottom w:val="single" w:color="auto" w:sz="2" w:space="0"/>
              <w:right w:val="single" w:color="auto" w:sz="2" w:space="0"/>
            </w:tcBorders>
            <w:vAlign w:val="center"/>
          </w:tcPr>
          <w:p w14:paraId="5CF3B353">
            <w:pPr>
              <w:spacing w:line="240" w:lineRule="exact"/>
              <w:rPr>
                <w:rFonts w:ascii="宋体" w:hAnsi="宋体" w:eastAsia="宋体" w:cs="宋体"/>
                <w:sz w:val="18"/>
                <w:szCs w:val="18"/>
              </w:rPr>
            </w:pPr>
          </w:p>
        </w:tc>
        <w:tc>
          <w:tcPr>
            <w:tcW w:w="992" w:type="dxa"/>
            <w:vMerge w:val="continue"/>
            <w:tcBorders>
              <w:left w:val="single" w:color="auto" w:sz="2" w:space="0"/>
              <w:bottom w:val="single" w:color="auto" w:sz="2" w:space="0"/>
              <w:right w:val="single" w:color="auto" w:sz="2" w:space="0"/>
            </w:tcBorders>
            <w:vAlign w:val="center"/>
          </w:tcPr>
          <w:p w14:paraId="5FDF57C8">
            <w:pPr>
              <w:spacing w:line="240" w:lineRule="exact"/>
              <w:jc w:val="right"/>
              <w:rPr>
                <w:rFonts w:ascii="宋体" w:hAnsi="宋体" w:eastAsia="宋体" w:cs="宋体"/>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14:paraId="59FACEFD">
            <w:pPr>
              <w:spacing w:line="240" w:lineRule="exact"/>
              <w:rPr>
                <w:rFonts w:ascii="宋体" w:hAnsi="宋体" w:eastAsia="宋体" w:cs="宋体"/>
                <w:sz w:val="18"/>
                <w:szCs w:val="18"/>
              </w:rPr>
            </w:pPr>
            <w:r>
              <w:rPr>
                <w:rFonts w:ascii="宋体" w:hAnsi="宋体" w:eastAsia="宋体" w:cs="宋体"/>
                <w:sz w:val="18"/>
                <w:szCs w:val="18"/>
              </w:rPr>
              <w:t>2025年10月17日</w:t>
            </w:r>
          </w:p>
        </w:tc>
        <w:tc>
          <w:tcPr>
            <w:tcW w:w="1629" w:type="dxa"/>
            <w:tcBorders>
              <w:top w:val="single" w:color="auto" w:sz="2" w:space="0"/>
              <w:left w:val="single" w:color="auto" w:sz="2" w:space="0"/>
              <w:bottom w:val="single" w:color="auto" w:sz="2" w:space="0"/>
              <w:right w:val="single" w:color="auto" w:sz="2" w:space="0"/>
            </w:tcBorders>
            <w:vAlign w:val="center"/>
          </w:tcPr>
          <w:p w14:paraId="2F87E4F0">
            <w:pPr>
              <w:spacing w:line="240" w:lineRule="exact"/>
              <w:rPr>
                <w:rFonts w:ascii="宋体" w:hAnsi="宋体" w:eastAsia="宋体" w:cs="宋体"/>
                <w:sz w:val="18"/>
                <w:szCs w:val="18"/>
              </w:rPr>
            </w:pPr>
            <w:r>
              <w:rPr>
                <w:rFonts w:ascii="宋体" w:hAnsi="宋体" w:eastAsia="宋体" w:cs="宋体"/>
                <w:sz w:val="18"/>
                <w:szCs w:val="18"/>
              </w:rPr>
              <w:t>1、审议公司《2025年三季度报告全文的议案》</w:t>
            </w:r>
          </w:p>
          <w:p w14:paraId="40DCEE2E">
            <w:pPr>
              <w:spacing w:line="240" w:lineRule="exact"/>
              <w:rPr>
                <w:rFonts w:ascii="宋体" w:hAnsi="宋体" w:eastAsia="宋体" w:cs="宋体"/>
                <w:sz w:val="18"/>
                <w:szCs w:val="18"/>
              </w:rPr>
            </w:pPr>
            <w:r>
              <w:rPr>
                <w:rFonts w:ascii="宋体" w:hAnsi="宋体" w:eastAsia="宋体" w:cs="宋体"/>
                <w:sz w:val="18"/>
                <w:szCs w:val="18"/>
              </w:rPr>
              <w:t>2、审议公司《2025年第三季度内部控制审计工作报告》。</w:t>
            </w:r>
          </w:p>
        </w:tc>
        <w:tc>
          <w:tcPr>
            <w:tcW w:w="1205" w:type="dxa"/>
            <w:tcBorders>
              <w:top w:val="single" w:color="auto" w:sz="2" w:space="0"/>
              <w:left w:val="single" w:color="auto" w:sz="2" w:space="0"/>
              <w:bottom w:val="single" w:color="auto" w:sz="2" w:space="0"/>
              <w:right w:val="single" w:color="auto" w:sz="2" w:space="0"/>
            </w:tcBorders>
            <w:vAlign w:val="center"/>
          </w:tcPr>
          <w:p w14:paraId="04CEAA2C">
            <w:pPr>
              <w:spacing w:line="240" w:lineRule="exact"/>
              <w:rPr>
                <w:rFonts w:ascii="宋体" w:hAnsi="宋体" w:eastAsia="宋体" w:cs="宋体"/>
                <w:sz w:val="18"/>
                <w:szCs w:val="18"/>
              </w:rPr>
            </w:pPr>
            <w:r>
              <w:rPr>
                <w:rFonts w:ascii="宋体" w:hAnsi="宋体" w:eastAsia="宋体" w:cs="宋体"/>
                <w:sz w:val="18"/>
                <w:szCs w:val="18"/>
              </w:rPr>
              <w:t>审议一致通过</w:t>
            </w:r>
          </w:p>
        </w:tc>
        <w:tc>
          <w:tcPr>
            <w:tcW w:w="1205" w:type="dxa"/>
            <w:tcBorders>
              <w:top w:val="single" w:color="auto" w:sz="2" w:space="0"/>
              <w:left w:val="single" w:color="auto" w:sz="2" w:space="0"/>
              <w:bottom w:val="single" w:color="auto" w:sz="2" w:space="0"/>
              <w:right w:val="single" w:color="auto" w:sz="2" w:space="0"/>
            </w:tcBorders>
            <w:vAlign w:val="center"/>
          </w:tcPr>
          <w:p w14:paraId="6626B40F">
            <w:pPr>
              <w:spacing w:line="240" w:lineRule="exac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14:paraId="3BC390A7">
            <w:pPr>
              <w:spacing w:line="240" w:lineRule="exact"/>
              <w:rPr>
                <w:rFonts w:ascii="宋体" w:hAnsi="宋体" w:eastAsia="宋体" w:cs="宋体"/>
                <w:sz w:val="18"/>
                <w:szCs w:val="18"/>
              </w:rPr>
            </w:pPr>
            <w:r>
              <w:rPr>
                <w:rFonts w:ascii="宋体" w:hAnsi="宋体" w:eastAsia="宋体" w:cs="宋体"/>
                <w:sz w:val="18"/>
                <w:szCs w:val="18"/>
              </w:rPr>
              <w:t>无</w:t>
            </w:r>
          </w:p>
        </w:tc>
      </w:tr>
      <w:tr w14:paraId="2594C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15104DC1">
            <w:pPr>
              <w:spacing w:line="240" w:lineRule="exact"/>
              <w:rPr>
                <w:rFonts w:ascii="宋体" w:hAnsi="宋体" w:eastAsia="宋体" w:cs="宋体"/>
                <w:sz w:val="18"/>
                <w:szCs w:val="18"/>
              </w:rPr>
            </w:pPr>
            <w:r>
              <w:rPr>
                <w:rFonts w:ascii="宋体" w:hAnsi="宋体" w:eastAsia="宋体" w:cs="宋体"/>
                <w:sz w:val="18"/>
                <w:szCs w:val="18"/>
              </w:rPr>
              <w:t>董事会提名委员会</w:t>
            </w:r>
          </w:p>
        </w:tc>
        <w:tc>
          <w:tcPr>
            <w:tcW w:w="1134" w:type="dxa"/>
            <w:tcBorders>
              <w:top w:val="single" w:color="auto" w:sz="2" w:space="0"/>
              <w:left w:val="single" w:color="auto" w:sz="2" w:space="0"/>
              <w:bottom w:val="single" w:color="auto" w:sz="2" w:space="0"/>
              <w:right w:val="single" w:color="auto" w:sz="2" w:space="0"/>
            </w:tcBorders>
            <w:vAlign w:val="center"/>
          </w:tcPr>
          <w:p w14:paraId="20E9BC04">
            <w:pPr>
              <w:spacing w:line="240" w:lineRule="exact"/>
              <w:rPr>
                <w:rFonts w:ascii="宋体" w:hAnsi="宋体" w:eastAsia="宋体" w:cs="宋体"/>
                <w:sz w:val="18"/>
                <w:szCs w:val="18"/>
              </w:rPr>
            </w:pPr>
            <w:r>
              <w:rPr>
                <w:rFonts w:ascii="宋体" w:hAnsi="宋体" w:eastAsia="宋体" w:cs="宋体"/>
                <w:sz w:val="18"/>
                <w:szCs w:val="18"/>
              </w:rPr>
              <w:t>宋海涛、黄亚英、陈玲芬</w:t>
            </w:r>
          </w:p>
        </w:tc>
        <w:tc>
          <w:tcPr>
            <w:tcW w:w="992" w:type="dxa"/>
            <w:tcBorders>
              <w:top w:val="single" w:color="auto" w:sz="2" w:space="0"/>
              <w:left w:val="single" w:color="auto" w:sz="2" w:space="0"/>
              <w:bottom w:val="single" w:color="auto" w:sz="2" w:space="0"/>
              <w:right w:val="single" w:color="auto" w:sz="2" w:space="0"/>
            </w:tcBorders>
            <w:vAlign w:val="center"/>
          </w:tcPr>
          <w:p w14:paraId="2D2A71F2">
            <w:pPr>
              <w:spacing w:line="240" w:lineRule="exact"/>
              <w:jc w:val="right"/>
              <w:rPr>
                <w:rFonts w:ascii="宋体" w:hAnsi="宋体" w:eastAsia="宋体" w:cs="宋体"/>
                <w:sz w:val="18"/>
                <w:szCs w:val="18"/>
              </w:rPr>
            </w:pPr>
            <w:r>
              <w:rPr>
                <w:rFonts w:ascii="宋体" w:hAnsi="宋体" w:eastAsia="宋体" w:cs="宋体"/>
                <w:sz w:val="18"/>
                <w:szCs w:val="18"/>
              </w:rPr>
              <w:t>1</w:t>
            </w:r>
          </w:p>
        </w:tc>
        <w:tc>
          <w:tcPr>
            <w:tcW w:w="1418" w:type="dxa"/>
            <w:tcBorders>
              <w:top w:val="single" w:color="auto" w:sz="2" w:space="0"/>
              <w:left w:val="single" w:color="auto" w:sz="2" w:space="0"/>
              <w:bottom w:val="single" w:color="auto" w:sz="2" w:space="0"/>
              <w:right w:val="single" w:color="auto" w:sz="2" w:space="0"/>
            </w:tcBorders>
            <w:vAlign w:val="center"/>
          </w:tcPr>
          <w:p w14:paraId="4E778D76">
            <w:pPr>
              <w:spacing w:line="240" w:lineRule="exact"/>
              <w:rPr>
                <w:rFonts w:ascii="宋体" w:hAnsi="宋体" w:eastAsia="宋体" w:cs="宋体"/>
                <w:sz w:val="18"/>
                <w:szCs w:val="18"/>
              </w:rPr>
            </w:pPr>
            <w:r>
              <w:rPr>
                <w:rFonts w:ascii="宋体" w:hAnsi="宋体" w:eastAsia="宋体" w:cs="宋体"/>
                <w:sz w:val="18"/>
                <w:szCs w:val="18"/>
              </w:rPr>
              <w:t>2025年07月21日</w:t>
            </w:r>
          </w:p>
        </w:tc>
        <w:tc>
          <w:tcPr>
            <w:tcW w:w="1629" w:type="dxa"/>
            <w:tcBorders>
              <w:top w:val="single" w:color="auto" w:sz="2" w:space="0"/>
              <w:left w:val="single" w:color="auto" w:sz="2" w:space="0"/>
              <w:bottom w:val="single" w:color="auto" w:sz="2" w:space="0"/>
              <w:right w:val="single" w:color="auto" w:sz="2" w:space="0"/>
            </w:tcBorders>
            <w:vAlign w:val="center"/>
          </w:tcPr>
          <w:p w14:paraId="3BEABBCA">
            <w:pPr>
              <w:spacing w:line="240" w:lineRule="exact"/>
              <w:rPr>
                <w:rFonts w:ascii="宋体" w:hAnsi="宋体" w:eastAsia="宋体" w:cs="宋体"/>
                <w:sz w:val="18"/>
                <w:szCs w:val="18"/>
              </w:rPr>
            </w:pPr>
            <w:r>
              <w:rPr>
                <w:rFonts w:ascii="宋体" w:hAnsi="宋体" w:eastAsia="宋体" w:cs="宋体"/>
                <w:sz w:val="18"/>
                <w:szCs w:val="18"/>
              </w:rPr>
              <w:t>审议《关于补选非独立董事的议案》</w:t>
            </w:r>
          </w:p>
        </w:tc>
        <w:tc>
          <w:tcPr>
            <w:tcW w:w="1205" w:type="dxa"/>
            <w:tcBorders>
              <w:top w:val="single" w:color="auto" w:sz="2" w:space="0"/>
              <w:left w:val="single" w:color="auto" w:sz="2" w:space="0"/>
              <w:bottom w:val="single" w:color="auto" w:sz="2" w:space="0"/>
              <w:right w:val="single" w:color="auto" w:sz="2" w:space="0"/>
            </w:tcBorders>
            <w:vAlign w:val="center"/>
          </w:tcPr>
          <w:p w14:paraId="06B9AAB3">
            <w:pPr>
              <w:spacing w:line="240" w:lineRule="exact"/>
              <w:rPr>
                <w:rFonts w:ascii="宋体" w:hAnsi="宋体" w:eastAsia="宋体" w:cs="宋体"/>
                <w:sz w:val="18"/>
                <w:szCs w:val="18"/>
              </w:rPr>
            </w:pPr>
            <w:r>
              <w:rPr>
                <w:rFonts w:ascii="宋体" w:hAnsi="宋体" w:eastAsia="宋体" w:cs="宋体"/>
                <w:sz w:val="18"/>
                <w:szCs w:val="18"/>
              </w:rPr>
              <w:t>审议一致通过</w:t>
            </w:r>
          </w:p>
        </w:tc>
        <w:tc>
          <w:tcPr>
            <w:tcW w:w="1205" w:type="dxa"/>
            <w:tcBorders>
              <w:top w:val="single" w:color="auto" w:sz="2" w:space="0"/>
              <w:left w:val="single" w:color="auto" w:sz="2" w:space="0"/>
              <w:bottom w:val="single" w:color="auto" w:sz="2" w:space="0"/>
              <w:right w:val="single" w:color="auto" w:sz="2" w:space="0"/>
            </w:tcBorders>
            <w:vAlign w:val="center"/>
          </w:tcPr>
          <w:p w14:paraId="1A0A0B22">
            <w:pPr>
              <w:spacing w:line="240" w:lineRule="exac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14:paraId="26F5E15F">
            <w:pPr>
              <w:spacing w:line="240" w:lineRule="exact"/>
              <w:rPr>
                <w:rFonts w:ascii="宋体" w:hAnsi="宋体" w:eastAsia="宋体" w:cs="宋体"/>
                <w:sz w:val="18"/>
                <w:szCs w:val="18"/>
              </w:rPr>
            </w:pPr>
            <w:r>
              <w:rPr>
                <w:rFonts w:ascii="宋体" w:hAnsi="宋体" w:eastAsia="宋体" w:cs="宋体"/>
                <w:sz w:val="18"/>
                <w:szCs w:val="18"/>
              </w:rPr>
              <w:t>无</w:t>
            </w:r>
          </w:p>
        </w:tc>
      </w:tr>
      <w:tr w14:paraId="6041D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14:paraId="408549EF">
            <w:pPr>
              <w:spacing w:line="240" w:lineRule="exact"/>
              <w:rPr>
                <w:rFonts w:ascii="宋体" w:hAnsi="宋体" w:eastAsia="宋体" w:cs="宋体"/>
                <w:sz w:val="18"/>
                <w:szCs w:val="18"/>
              </w:rPr>
            </w:pPr>
            <w:r>
              <w:rPr>
                <w:rFonts w:ascii="宋体" w:hAnsi="宋体" w:eastAsia="宋体" w:cs="宋体"/>
                <w:sz w:val="18"/>
                <w:szCs w:val="18"/>
              </w:rPr>
              <w:t>董事会薪酬与考核委员会</w:t>
            </w:r>
          </w:p>
        </w:tc>
        <w:tc>
          <w:tcPr>
            <w:tcW w:w="1134" w:type="dxa"/>
            <w:tcBorders>
              <w:top w:val="single" w:color="auto" w:sz="2" w:space="0"/>
              <w:left w:val="single" w:color="auto" w:sz="2" w:space="0"/>
              <w:bottom w:val="single" w:color="auto" w:sz="2" w:space="0"/>
              <w:right w:val="single" w:color="auto" w:sz="2" w:space="0"/>
            </w:tcBorders>
            <w:vAlign w:val="center"/>
          </w:tcPr>
          <w:p w14:paraId="15662685">
            <w:pPr>
              <w:spacing w:line="240" w:lineRule="exact"/>
              <w:rPr>
                <w:rFonts w:ascii="宋体" w:hAnsi="宋体" w:eastAsia="宋体" w:cs="宋体"/>
                <w:sz w:val="18"/>
                <w:szCs w:val="18"/>
              </w:rPr>
            </w:pPr>
            <w:r>
              <w:rPr>
                <w:rFonts w:ascii="宋体" w:hAnsi="宋体" w:eastAsia="宋体" w:cs="宋体"/>
                <w:sz w:val="18"/>
                <w:szCs w:val="18"/>
              </w:rPr>
              <w:t>黄亚英、刁英峰、王国友</w:t>
            </w:r>
          </w:p>
        </w:tc>
        <w:tc>
          <w:tcPr>
            <w:tcW w:w="992" w:type="dxa"/>
            <w:tcBorders>
              <w:top w:val="single" w:color="auto" w:sz="2" w:space="0"/>
              <w:left w:val="single" w:color="auto" w:sz="2" w:space="0"/>
              <w:bottom w:val="single" w:color="auto" w:sz="2" w:space="0"/>
              <w:right w:val="single" w:color="auto" w:sz="2" w:space="0"/>
            </w:tcBorders>
            <w:vAlign w:val="center"/>
          </w:tcPr>
          <w:p w14:paraId="7C0B44E4">
            <w:pPr>
              <w:spacing w:line="240" w:lineRule="exact"/>
              <w:jc w:val="right"/>
              <w:rPr>
                <w:rFonts w:ascii="宋体" w:hAnsi="宋体" w:eastAsia="宋体" w:cs="宋体"/>
                <w:sz w:val="18"/>
                <w:szCs w:val="18"/>
              </w:rPr>
            </w:pPr>
            <w:r>
              <w:rPr>
                <w:rFonts w:ascii="宋体" w:hAnsi="宋体" w:eastAsia="宋体" w:cs="宋体"/>
                <w:sz w:val="18"/>
                <w:szCs w:val="18"/>
              </w:rPr>
              <w:t>1</w:t>
            </w:r>
          </w:p>
        </w:tc>
        <w:tc>
          <w:tcPr>
            <w:tcW w:w="1418" w:type="dxa"/>
            <w:tcBorders>
              <w:top w:val="single" w:color="auto" w:sz="2" w:space="0"/>
              <w:left w:val="single" w:color="auto" w:sz="2" w:space="0"/>
              <w:bottom w:val="single" w:color="auto" w:sz="2" w:space="0"/>
              <w:right w:val="single" w:color="auto" w:sz="2" w:space="0"/>
            </w:tcBorders>
            <w:vAlign w:val="center"/>
          </w:tcPr>
          <w:p w14:paraId="60452887">
            <w:pPr>
              <w:spacing w:line="240" w:lineRule="exact"/>
              <w:rPr>
                <w:rFonts w:ascii="宋体" w:hAnsi="宋体" w:eastAsia="宋体" w:cs="宋体"/>
                <w:sz w:val="18"/>
                <w:szCs w:val="18"/>
              </w:rPr>
            </w:pPr>
            <w:r>
              <w:rPr>
                <w:rFonts w:ascii="宋体" w:hAnsi="宋体" w:eastAsia="宋体" w:cs="宋体"/>
                <w:sz w:val="18"/>
                <w:szCs w:val="18"/>
              </w:rPr>
              <w:t>2025年06月10日</w:t>
            </w:r>
          </w:p>
        </w:tc>
        <w:tc>
          <w:tcPr>
            <w:tcW w:w="1629" w:type="dxa"/>
            <w:tcBorders>
              <w:top w:val="single" w:color="auto" w:sz="2" w:space="0"/>
              <w:left w:val="single" w:color="auto" w:sz="2" w:space="0"/>
              <w:bottom w:val="single" w:color="auto" w:sz="2" w:space="0"/>
              <w:right w:val="single" w:color="auto" w:sz="2" w:space="0"/>
            </w:tcBorders>
            <w:vAlign w:val="center"/>
          </w:tcPr>
          <w:p w14:paraId="64C24722">
            <w:pPr>
              <w:spacing w:line="240" w:lineRule="exact"/>
              <w:rPr>
                <w:rFonts w:ascii="宋体" w:hAnsi="宋体" w:eastAsia="宋体" w:cs="宋体"/>
                <w:sz w:val="18"/>
                <w:szCs w:val="18"/>
              </w:rPr>
            </w:pPr>
            <w:r>
              <w:rPr>
                <w:rFonts w:ascii="宋体" w:hAnsi="宋体" w:eastAsia="宋体" w:cs="宋体"/>
                <w:sz w:val="18"/>
                <w:szCs w:val="18"/>
              </w:rPr>
              <w:t>审议《关于调整第四期员工持股相关事项的议案》</w:t>
            </w:r>
          </w:p>
        </w:tc>
        <w:tc>
          <w:tcPr>
            <w:tcW w:w="1205" w:type="dxa"/>
            <w:tcBorders>
              <w:top w:val="single" w:color="auto" w:sz="2" w:space="0"/>
              <w:left w:val="single" w:color="auto" w:sz="2" w:space="0"/>
              <w:bottom w:val="single" w:color="auto" w:sz="2" w:space="0"/>
              <w:right w:val="single" w:color="auto" w:sz="2" w:space="0"/>
            </w:tcBorders>
            <w:vAlign w:val="center"/>
          </w:tcPr>
          <w:p w14:paraId="0329468D">
            <w:pPr>
              <w:spacing w:line="240" w:lineRule="exact"/>
              <w:rPr>
                <w:rFonts w:ascii="宋体" w:hAnsi="宋体" w:eastAsia="宋体" w:cs="宋体"/>
                <w:sz w:val="18"/>
                <w:szCs w:val="18"/>
              </w:rPr>
            </w:pPr>
            <w:r>
              <w:rPr>
                <w:rFonts w:ascii="宋体" w:hAnsi="宋体" w:eastAsia="宋体" w:cs="宋体"/>
                <w:sz w:val="18"/>
                <w:szCs w:val="18"/>
              </w:rPr>
              <w:t>审议一致通过</w:t>
            </w:r>
          </w:p>
        </w:tc>
        <w:tc>
          <w:tcPr>
            <w:tcW w:w="1205" w:type="dxa"/>
            <w:tcBorders>
              <w:top w:val="single" w:color="auto" w:sz="2" w:space="0"/>
              <w:left w:val="single" w:color="auto" w:sz="2" w:space="0"/>
              <w:bottom w:val="single" w:color="auto" w:sz="2" w:space="0"/>
              <w:right w:val="single" w:color="auto" w:sz="2" w:space="0"/>
            </w:tcBorders>
            <w:vAlign w:val="center"/>
          </w:tcPr>
          <w:p w14:paraId="3DA348DF">
            <w:pPr>
              <w:spacing w:line="240" w:lineRule="exac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14:paraId="4F9ABED2">
            <w:pPr>
              <w:spacing w:line="240" w:lineRule="exact"/>
              <w:rPr>
                <w:rFonts w:ascii="宋体" w:hAnsi="宋体" w:eastAsia="宋体" w:cs="宋体"/>
                <w:sz w:val="18"/>
                <w:szCs w:val="18"/>
              </w:rPr>
            </w:pPr>
            <w:r>
              <w:rPr>
                <w:rFonts w:ascii="宋体" w:hAnsi="宋体" w:eastAsia="宋体" w:cs="宋体"/>
                <w:sz w:val="18"/>
                <w:szCs w:val="18"/>
              </w:rPr>
              <w:t>无</w:t>
            </w:r>
          </w:p>
        </w:tc>
      </w:tr>
    </w:tbl>
    <w:p w14:paraId="1124DD43">
      <w:pPr>
        <w:pStyle w:val="2"/>
        <w:spacing w:before="300" w:after="300" w:line="320" w:lineRule="exact"/>
        <w:rPr>
          <w:rFonts w:ascii="宋体" w:hAnsi="宋体" w:eastAsia="宋体" w:cs="宋体"/>
          <w:b/>
          <w:bCs/>
          <w:sz w:val="24"/>
          <w:szCs w:val="24"/>
        </w:rPr>
      </w:pPr>
      <w:bookmarkStart w:id="76" w:name="_Toc988965"/>
      <w:r>
        <w:rPr>
          <w:rFonts w:ascii="宋体" w:hAnsi="宋体" w:eastAsia="宋体" w:cs="宋体"/>
          <w:b/>
          <w:bCs/>
          <w:sz w:val="24"/>
          <w:szCs w:val="24"/>
        </w:rPr>
        <w:t>七、审计委员会工作情况</w:t>
      </w:r>
      <w:bookmarkEnd w:id="76"/>
    </w:p>
    <w:p w14:paraId="4CAE750B">
      <w:pPr>
        <w:spacing w:before="100" w:after="100" w:line="240" w:lineRule="exact"/>
        <w:rPr>
          <w:rFonts w:ascii="宋体" w:hAnsi="宋体" w:eastAsia="宋体" w:cs="宋体"/>
          <w:sz w:val="18"/>
          <w:szCs w:val="18"/>
        </w:rPr>
      </w:pPr>
      <w:r>
        <w:rPr>
          <w:rFonts w:ascii="宋体" w:hAnsi="宋体" w:eastAsia="宋体" w:cs="宋体"/>
          <w:sz w:val="18"/>
          <w:szCs w:val="18"/>
        </w:rPr>
        <w:t>审计委员会在报告期内的监督活动中发现公司是否存在风险</w:t>
      </w:r>
    </w:p>
    <w:p w14:paraId="11D2DF4E">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0D4263DF">
      <w:pPr>
        <w:spacing w:before="100" w:after="100" w:line="240" w:lineRule="exact"/>
        <w:rPr>
          <w:rFonts w:ascii="宋体" w:hAnsi="宋体" w:eastAsia="宋体" w:cs="宋体"/>
          <w:sz w:val="18"/>
          <w:szCs w:val="18"/>
        </w:rPr>
      </w:pPr>
      <w:r>
        <w:rPr>
          <w:rFonts w:ascii="宋体" w:hAnsi="宋体" w:eastAsia="宋体" w:cs="宋体"/>
          <w:sz w:val="18"/>
          <w:szCs w:val="18"/>
        </w:rPr>
        <w:t>审计委员会对报告期内的监督事项无异议。</w:t>
      </w:r>
    </w:p>
    <w:p w14:paraId="629AA716">
      <w:pPr>
        <w:pStyle w:val="2"/>
        <w:spacing w:before="300" w:after="300" w:line="320" w:lineRule="exact"/>
        <w:rPr>
          <w:rFonts w:ascii="宋体" w:hAnsi="宋体" w:eastAsia="宋体" w:cs="宋体"/>
          <w:b/>
          <w:bCs/>
          <w:sz w:val="24"/>
          <w:szCs w:val="24"/>
        </w:rPr>
      </w:pPr>
      <w:bookmarkStart w:id="77" w:name="_Toc988966"/>
      <w:r>
        <w:rPr>
          <w:rFonts w:ascii="宋体" w:hAnsi="宋体" w:eastAsia="宋体" w:cs="宋体"/>
          <w:b/>
          <w:bCs/>
          <w:sz w:val="24"/>
          <w:szCs w:val="24"/>
        </w:rPr>
        <w:t>八、公司员工情况</w:t>
      </w:r>
      <w:bookmarkEnd w:id="77"/>
    </w:p>
    <w:p w14:paraId="29E48814">
      <w:pPr>
        <w:pStyle w:val="3"/>
        <w:spacing w:line="280" w:lineRule="exact"/>
        <w:jc w:val="left"/>
        <w:rPr>
          <w:rFonts w:ascii="宋体" w:hAnsi="宋体" w:cs="宋体"/>
          <w:b/>
          <w:bCs/>
        </w:rPr>
      </w:pPr>
      <w:bookmarkStart w:id="78" w:name="_Toc988967"/>
      <w:r>
        <w:rPr>
          <w:rFonts w:ascii="宋体" w:hAnsi="宋体" w:cs="宋体"/>
          <w:b/>
          <w:bCs/>
        </w:rPr>
        <w:t>1、员工数量、专业构成及教育程度</w:t>
      </w:r>
      <w:bookmarkEnd w:id="78"/>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14:paraId="079C8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20C4316">
            <w:pPr>
              <w:spacing w:before="40" w:after="40" w:line="240" w:lineRule="exact"/>
              <w:rPr>
                <w:rFonts w:ascii="宋体" w:hAnsi="宋体" w:eastAsia="宋体" w:cs="宋体"/>
                <w:sz w:val="18"/>
                <w:szCs w:val="18"/>
              </w:rPr>
            </w:pPr>
            <w:r>
              <w:rPr>
                <w:rFonts w:ascii="宋体" w:hAnsi="宋体" w:eastAsia="宋体" w:cs="宋体"/>
                <w:sz w:val="18"/>
                <w:szCs w:val="18"/>
              </w:rPr>
              <w:t>报告期末母公司在职员工的数量（人）</w:t>
            </w:r>
          </w:p>
        </w:tc>
        <w:tc>
          <w:tcPr>
            <w:tcW w:w="4820" w:type="dxa"/>
            <w:tcBorders>
              <w:top w:val="single" w:color="auto" w:sz="2" w:space="0"/>
              <w:left w:val="single" w:color="auto" w:sz="2" w:space="0"/>
              <w:bottom w:val="single" w:color="auto" w:sz="2" w:space="0"/>
              <w:right w:val="single" w:color="auto" w:sz="2" w:space="0"/>
            </w:tcBorders>
            <w:vAlign w:val="center"/>
          </w:tcPr>
          <w:p w14:paraId="44AEAD38">
            <w:pPr>
              <w:spacing w:line="240" w:lineRule="exact"/>
              <w:jc w:val="right"/>
              <w:rPr>
                <w:rFonts w:ascii="宋体" w:hAnsi="宋体" w:eastAsia="宋体" w:cs="宋体"/>
                <w:sz w:val="18"/>
                <w:szCs w:val="18"/>
              </w:rPr>
            </w:pPr>
            <w:r>
              <w:rPr>
                <w:rFonts w:ascii="宋体" w:hAnsi="宋体" w:eastAsia="宋体" w:cs="宋体"/>
                <w:sz w:val="18"/>
                <w:szCs w:val="18"/>
              </w:rPr>
              <w:t>1,762</w:t>
            </w:r>
          </w:p>
        </w:tc>
      </w:tr>
      <w:tr w14:paraId="4205D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380E1C9">
            <w:pPr>
              <w:spacing w:before="40" w:after="40" w:line="240" w:lineRule="exact"/>
              <w:rPr>
                <w:rFonts w:ascii="宋体" w:hAnsi="宋体" w:eastAsia="宋体" w:cs="宋体"/>
                <w:sz w:val="18"/>
                <w:szCs w:val="18"/>
              </w:rPr>
            </w:pPr>
            <w:r>
              <w:rPr>
                <w:rFonts w:ascii="宋体" w:hAnsi="宋体" w:eastAsia="宋体" w:cs="宋体"/>
                <w:sz w:val="18"/>
                <w:szCs w:val="18"/>
              </w:rPr>
              <w:t>报告期末主要子公司在职员工的数量（人）</w:t>
            </w:r>
          </w:p>
        </w:tc>
        <w:tc>
          <w:tcPr>
            <w:tcW w:w="4820" w:type="dxa"/>
            <w:tcBorders>
              <w:top w:val="single" w:color="auto" w:sz="2" w:space="0"/>
              <w:left w:val="single" w:color="auto" w:sz="2" w:space="0"/>
              <w:bottom w:val="single" w:color="auto" w:sz="2" w:space="0"/>
              <w:right w:val="single" w:color="auto" w:sz="2" w:space="0"/>
            </w:tcBorders>
            <w:vAlign w:val="center"/>
          </w:tcPr>
          <w:p w14:paraId="3701BF98">
            <w:pPr>
              <w:spacing w:line="240" w:lineRule="exact"/>
              <w:jc w:val="right"/>
              <w:rPr>
                <w:rFonts w:ascii="宋体" w:hAnsi="宋体" w:eastAsia="宋体" w:cs="宋体"/>
                <w:sz w:val="18"/>
                <w:szCs w:val="18"/>
              </w:rPr>
            </w:pPr>
            <w:r>
              <w:rPr>
                <w:rFonts w:ascii="宋体" w:hAnsi="宋体" w:eastAsia="宋体" w:cs="宋体"/>
                <w:sz w:val="18"/>
                <w:szCs w:val="18"/>
              </w:rPr>
              <w:t>11,378</w:t>
            </w:r>
          </w:p>
        </w:tc>
      </w:tr>
      <w:tr w14:paraId="6CDDF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2600BBA">
            <w:pPr>
              <w:spacing w:before="40" w:after="40" w:line="240" w:lineRule="exact"/>
              <w:rPr>
                <w:rFonts w:ascii="宋体" w:hAnsi="宋体" w:eastAsia="宋体" w:cs="宋体"/>
                <w:sz w:val="18"/>
                <w:szCs w:val="18"/>
              </w:rPr>
            </w:pPr>
            <w:r>
              <w:rPr>
                <w:rFonts w:ascii="宋体" w:hAnsi="宋体" w:eastAsia="宋体" w:cs="宋体"/>
                <w:sz w:val="18"/>
                <w:szCs w:val="18"/>
              </w:rPr>
              <w:t>报告期末在职员工的数量合计（人）</w:t>
            </w:r>
          </w:p>
        </w:tc>
        <w:tc>
          <w:tcPr>
            <w:tcW w:w="4820" w:type="dxa"/>
            <w:tcBorders>
              <w:top w:val="single" w:color="auto" w:sz="2" w:space="0"/>
              <w:left w:val="single" w:color="auto" w:sz="2" w:space="0"/>
              <w:bottom w:val="single" w:color="auto" w:sz="2" w:space="0"/>
              <w:right w:val="single" w:color="auto" w:sz="2" w:space="0"/>
            </w:tcBorders>
            <w:vAlign w:val="center"/>
          </w:tcPr>
          <w:p w14:paraId="3ACC5AA3">
            <w:pPr>
              <w:spacing w:line="240" w:lineRule="exact"/>
              <w:jc w:val="right"/>
              <w:rPr>
                <w:rFonts w:ascii="宋体" w:hAnsi="宋体" w:eastAsia="宋体" w:cs="宋体"/>
                <w:sz w:val="18"/>
                <w:szCs w:val="18"/>
              </w:rPr>
            </w:pPr>
            <w:r>
              <w:rPr>
                <w:rFonts w:ascii="宋体" w:hAnsi="宋体" w:eastAsia="宋体" w:cs="宋体"/>
                <w:sz w:val="18"/>
                <w:szCs w:val="18"/>
              </w:rPr>
              <w:t>13,140</w:t>
            </w:r>
          </w:p>
        </w:tc>
      </w:tr>
      <w:tr w14:paraId="0FB1E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508565B">
            <w:pPr>
              <w:spacing w:before="40" w:after="40" w:line="240" w:lineRule="exact"/>
              <w:rPr>
                <w:rFonts w:ascii="宋体" w:hAnsi="宋体" w:eastAsia="宋体" w:cs="宋体"/>
                <w:sz w:val="18"/>
                <w:szCs w:val="18"/>
              </w:rPr>
            </w:pPr>
            <w:r>
              <w:rPr>
                <w:rFonts w:ascii="宋体" w:hAnsi="宋体" w:eastAsia="宋体" w:cs="宋体"/>
                <w:sz w:val="18"/>
                <w:szCs w:val="18"/>
              </w:rPr>
              <w:t>当期领取薪酬员工总人数（人）</w:t>
            </w:r>
          </w:p>
        </w:tc>
        <w:tc>
          <w:tcPr>
            <w:tcW w:w="4820" w:type="dxa"/>
            <w:tcBorders>
              <w:top w:val="single" w:color="auto" w:sz="2" w:space="0"/>
              <w:left w:val="single" w:color="auto" w:sz="2" w:space="0"/>
              <w:bottom w:val="single" w:color="auto" w:sz="2" w:space="0"/>
              <w:right w:val="single" w:color="auto" w:sz="2" w:space="0"/>
            </w:tcBorders>
            <w:vAlign w:val="center"/>
          </w:tcPr>
          <w:p w14:paraId="39F432C4">
            <w:pPr>
              <w:spacing w:line="240" w:lineRule="exact"/>
              <w:jc w:val="right"/>
              <w:rPr>
                <w:rFonts w:ascii="宋体" w:hAnsi="宋体" w:eastAsia="宋体" w:cs="宋体"/>
                <w:sz w:val="18"/>
                <w:szCs w:val="18"/>
              </w:rPr>
            </w:pPr>
            <w:r>
              <w:rPr>
                <w:rFonts w:ascii="宋体" w:hAnsi="宋体" w:eastAsia="宋体" w:cs="宋体"/>
                <w:sz w:val="18"/>
                <w:szCs w:val="18"/>
              </w:rPr>
              <w:t>13,140</w:t>
            </w:r>
          </w:p>
        </w:tc>
      </w:tr>
      <w:tr w14:paraId="202C2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5B4DAB9">
            <w:pPr>
              <w:spacing w:before="40" w:after="40" w:line="240" w:lineRule="exact"/>
              <w:rPr>
                <w:rFonts w:ascii="宋体" w:hAnsi="宋体" w:eastAsia="宋体" w:cs="宋体"/>
                <w:sz w:val="18"/>
                <w:szCs w:val="18"/>
              </w:rPr>
            </w:pPr>
            <w:r>
              <w:rPr>
                <w:rFonts w:ascii="宋体" w:hAnsi="宋体" w:eastAsia="宋体" w:cs="宋体"/>
                <w:sz w:val="18"/>
                <w:szCs w:val="18"/>
              </w:rPr>
              <w:t>母公司及主要子公司需承担费用的离退休职工人数（人）</w:t>
            </w:r>
          </w:p>
        </w:tc>
        <w:tc>
          <w:tcPr>
            <w:tcW w:w="4820" w:type="dxa"/>
            <w:tcBorders>
              <w:top w:val="single" w:color="auto" w:sz="2" w:space="0"/>
              <w:left w:val="single" w:color="auto" w:sz="2" w:space="0"/>
              <w:bottom w:val="single" w:color="auto" w:sz="2" w:space="0"/>
              <w:right w:val="single" w:color="auto" w:sz="2" w:space="0"/>
            </w:tcBorders>
            <w:vAlign w:val="center"/>
          </w:tcPr>
          <w:p w14:paraId="2BBA2708">
            <w:pPr>
              <w:spacing w:line="240" w:lineRule="exact"/>
              <w:jc w:val="right"/>
              <w:rPr>
                <w:rFonts w:ascii="宋体" w:hAnsi="宋体" w:eastAsia="宋体" w:cs="宋体"/>
                <w:sz w:val="18"/>
                <w:szCs w:val="18"/>
              </w:rPr>
            </w:pPr>
            <w:r>
              <w:rPr>
                <w:rFonts w:ascii="宋体" w:hAnsi="宋体" w:eastAsia="宋体" w:cs="宋体"/>
                <w:sz w:val="18"/>
                <w:szCs w:val="18"/>
              </w:rPr>
              <w:t>918</w:t>
            </w:r>
          </w:p>
        </w:tc>
      </w:tr>
      <w:tr w14:paraId="5F30D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4A2328D">
            <w:pPr>
              <w:spacing w:before="40" w:after="40" w:line="240" w:lineRule="exact"/>
              <w:jc w:val="center"/>
              <w:rPr>
                <w:rFonts w:ascii="宋体" w:hAnsi="宋体" w:eastAsia="宋体" w:cs="宋体"/>
                <w:sz w:val="18"/>
                <w:szCs w:val="18"/>
              </w:rPr>
            </w:pPr>
            <w:r>
              <w:rPr>
                <w:rFonts w:ascii="宋体" w:hAnsi="宋体" w:eastAsia="宋体" w:cs="宋体"/>
                <w:sz w:val="18"/>
                <w:szCs w:val="18"/>
              </w:rPr>
              <w:t>专业构成</w:t>
            </w:r>
          </w:p>
        </w:tc>
      </w:tr>
      <w:tr w14:paraId="58E71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A8820C8">
            <w:pPr>
              <w:spacing w:before="40" w:after="40" w:line="240" w:lineRule="exact"/>
              <w:jc w:val="center"/>
              <w:rPr>
                <w:rFonts w:ascii="宋体" w:hAnsi="宋体" w:eastAsia="宋体" w:cs="宋体"/>
                <w:sz w:val="18"/>
                <w:szCs w:val="18"/>
              </w:rPr>
            </w:pPr>
            <w:r>
              <w:rPr>
                <w:rFonts w:ascii="宋体" w:hAnsi="宋体" w:eastAsia="宋体" w:cs="宋体"/>
                <w:sz w:val="18"/>
                <w:szCs w:val="18"/>
              </w:rPr>
              <w:t>专业构成类别</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40FE996">
            <w:pPr>
              <w:spacing w:before="40" w:after="40" w:line="240" w:lineRule="exact"/>
              <w:jc w:val="center"/>
              <w:rPr>
                <w:rFonts w:ascii="宋体" w:hAnsi="宋体" w:eastAsia="宋体" w:cs="宋体"/>
                <w:sz w:val="18"/>
                <w:szCs w:val="18"/>
              </w:rPr>
            </w:pPr>
            <w:r>
              <w:rPr>
                <w:rFonts w:ascii="宋体" w:hAnsi="宋体" w:eastAsia="宋体" w:cs="宋体"/>
                <w:sz w:val="18"/>
                <w:szCs w:val="18"/>
              </w:rPr>
              <w:t>专业构成人数（人）</w:t>
            </w:r>
          </w:p>
        </w:tc>
      </w:tr>
      <w:tr w14:paraId="23DFF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FFA354A">
            <w:pPr>
              <w:spacing w:before="40" w:after="40" w:line="240" w:lineRule="exact"/>
              <w:rPr>
                <w:rFonts w:ascii="宋体" w:hAnsi="宋体" w:eastAsia="宋体" w:cs="宋体"/>
                <w:sz w:val="18"/>
                <w:szCs w:val="18"/>
              </w:rPr>
            </w:pPr>
            <w:r>
              <w:rPr>
                <w:rFonts w:ascii="宋体" w:hAnsi="宋体" w:eastAsia="宋体" w:cs="宋体"/>
                <w:sz w:val="18"/>
                <w:szCs w:val="18"/>
              </w:rPr>
              <w:t>生产人员</w:t>
            </w:r>
          </w:p>
        </w:tc>
        <w:tc>
          <w:tcPr>
            <w:tcW w:w="4820" w:type="dxa"/>
            <w:tcBorders>
              <w:top w:val="single" w:color="auto" w:sz="2" w:space="0"/>
              <w:left w:val="single" w:color="auto" w:sz="2" w:space="0"/>
              <w:bottom w:val="single" w:color="auto" w:sz="2" w:space="0"/>
              <w:right w:val="single" w:color="auto" w:sz="2" w:space="0"/>
            </w:tcBorders>
            <w:vAlign w:val="center"/>
          </w:tcPr>
          <w:p w14:paraId="5105100D">
            <w:pPr>
              <w:spacing w:line="240" w:lineRule="exact"/>
              <w:jc w:val="right"/>
              <w:rPr>
                <w:rFonts w:ascii="宋体" w:hAnsi="宋体" w:eastAsia="宋体" w:cs="宋体"/>
                <w:sz w:val="18"/>
                <w:szCs w:val="18"/>
              </w:rPr>
            </w:pPr>
            <w:r>
              <w:rPr>
                <w:rFonts w:ascii="宋体" w:hAnsi="宋体" w:eastAsia="宋体" w:cs="宋体"/>
                <w:sz w:val="18"/>
                <w:szCs w:val="18"/>
              </w:rPr>
              <w:t>11,301</w:t>
            </w:r>
          </w:p>
        </w:tc>
      </w:tr>
      <w:tr w14:paraId="3633E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97A86E7">
            <w:pPr>
              <w:spacing w:before="40" w:after="40" w:line="240" w:lineRule="exact"/>
              <w:rPr>
                <w:rFonts w:ascii="宋体" w:hAnsi="宋体" w:eastAsia="宋体" w:cs="宋体"/>
                <w:sz w:val="18"/>
                <w:szCs w:val="18"/>
              </w:rPr>
            </w:pPr>
            <w:r>
              <w:rPr>
                <w:rFonts w:ascii="宋体" w:hAnsi="宋体" w:eastAsia="宋体" w:cs="宋体"/>
                <w:sz w:val="18"/>
                <w:szCs w:val="18"/>
              </w:rPr>
              <w:t>销售人员</w:t>
            </w:r>
          </w:p>
        </w:tc>
        <w:tc>
          <w:tcPr>
            <w:tcW w:w="4820" w:type="dxa"/>
            <w:tcBorders>
              <w:top w:val="single" w:color="auto" w:sz="2" w:space="0"/>
              <w:left w:val="single" w:color="auto" w:sz="2" w:space="0"/>
              <w:bottom w:val="single" w:color="auto" w:sz="2" w:space="0"/>
              <w:right w:val="single" w:color="auto" w:sz="2" w:space="0"/>
            </w:tcBorders>
            <w:vAlign w:val="center"/>
          </w:tcPr>
          <w:p w14:paraId="3EE56511">
            <w:pPr>
              <w:spacing w:line="240" w:lineRule="exact"/>
              <w:jc w:val="right"/>
              <w:rPr>
                <w:rFonts w:ascii="宋体" w:hAnsi="宋体" w:eastAsia="宋体" w:cs="宋体"/>
                <w:sz w:val="18"/>
                <w:szCs w:val="18"/>
              </w:rPr>
            </w:pPr>
            <w:r>
              <w:rPr>
                <w:rFonts w:ascii="宋体" w:hAnsi="宋体" w:eastAsia="宋体" w:cs="宋体"/>
                <w:sz w:val="18"/>
                <w:szCs w:val="18"/>
              </w:rPr>
              <w:t>287</w:t>
            </w:r>
          </w:p>
        </w:tc>
      </w:tr>
      <w:tr w14:paraId="01D5A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BE44E0C">
            <w:pPr>
              <w:spacing w:before="40" w:after="40" w:line="240" w:lineRule="exact"/>
              <w:rPr>
                <w:rFonts w:ascii="宋体" w:hAnsi="宋体" w:eastAsia="宋体" w:cs="宋体"/>
                <w:sz w:val="18"/>
                <w:szCs w:val="18"/>
              </w:rPr>
            </w:pPr>
            <w:r>
              <w:rPr>
                <w:rFonts w:ascii="宋体" w:hAnsi="宋体" w:eastAsia="宋体" w:cs="宋体"/>
                <w:sz w:val="18"/>
                <w:szCs w:val="18"/>
              </w:rPr>
              <w:t>技术人员</w:t>
            </w:r>
          </w:p>
        </w:tc>
        <w:tc>
          <w:tcPr>
            <w:tcW w:w="4820" w:type="dxa"/>
            <w:tcBorders>
              <w:top w:val="single" w:color="auto" w:sz="2" w:space="0"/>
              <w:left w:val="single" w:color="auto" w:sz="2" w:space="0"/>
              <w:bottom w:val="single" w:color="auto" w:sz="2" w:space="0"/>
              <w:right w:val="single" w:color="auto" w:sz="2" w:space="0"/>
            </w:tcBorders>
            <w:vAlign w:val="center"/>
          </w:tcPr>
          <w:p w14:paraId="11BAD4A0">
            <w:pPr>
              <w:spacing w:line="240" w:lineRule="exact"/>
              <w:jc w:val="right"/>
              <w:rPr>
                <w:rFonts w:ascii="宋体" w:hAnsi="宋体" w:eastAsia="宋体" w:cs="宋体"/>
                <w:sz w:val="18"/>
                <w:szCs w:val="18"/>
              </w:rPr>
            </w:pPr>
            <w:r>
              <w:rPr>
                <w:rFonts w:ascii="宋体" w:hAnsi="宋体" w:eastAsia="宋体" w:cs="宋体"/>
                <w:sz w:val="18"/>
                <w:szCs w:val="18"/>
              </w:rPr>
              <w:t>799</w:t>
            </w:r>
          </w:p>
        </w:tc>
      </w:tr>
      <w:tr w14:paraId="4050C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C8ECC6A">
            <w:pPr>
              <w:spacing w:before="40" w:after="40" w:line="240" w:lineRule="exact"/>
              <w:rPr>
                <w:rFonts w:ascii="宋体" w:hAnsi="宋体" w:eastAsia="宋体" w:cs="宋体"/>
                <w:sz w:val="18"/>
                <w:szCs w:val="18"/>
              </w:rPr>
            </w:pPr>
            <w:r>
              <w:rPr>
                <w:rFonts w:ascii="宋体" w:hAnsi="宋体" w:eastAsia="宋体" w:cs="宋体"/>
                <w:sz w:val="18"/>
                <w:szCs w:val="18"/>
              </w:rPr>
              <w:t>财务人员</w:t>
            </w:r>
          </w:p>
        </w:tc>
        <w:tc>
          <w:tcPr>
            <w:tcW w:w="4820" w:type="dxa"/>
            <w:tcBorders>
              <w:top w:val="single" w:color="auto" w:sz="2" w:space="0"/>
              <w:left w:val="single" w:color="auto" w:sz="2" w:space="0"/>
              <w:bottom w:val="single" w:color="auto" w:sz="2" w:space="0"/>
              <w:right w:val="single" w:color="auto" w:sz="2" w:space="0"/>
            </w:tcBorders>
            <w:vAlign w:val="center"/>
          </w:tcPr>
          <w:p w14:paraId="1C7E6A98">
            <w:pPr>
              <w:spacing w:line="240" w:lineRule="exact"/>
              <w:jc w:val="right"/>
              <w:rPr>
                <w:rFonts w:ascii="宋体" w:hAnsi="宋体" w:eastAsia="宋体" w:cs="宋体"/>
                <w:sz w:val="18"/>
                <w:szCs w:val="18"/>
              </w:rPr>
            </w:pPr>
            <w:r>
              <w:rPr>
                <w:rFonts w:ascii="宋体" w:hAnsi="宋体" w:eastAsia="宋体" w:cs="宋体"/>
                <w:sz w:val="18"/>
                <w:szCs w:val="18"/>
              </w:rPr>
              <w:t>226</w:t>
            </w:r>
          </w:p>
        </w:tc>
      </w:tr>
      <w:tr w14:paraId="151F2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9E43A25">
            <w:pPr>
              <w:spacing w:before="40" w:after="40" w:line="240" w:lineRule="exact"/>
              <w:rPr>
                <w:rFonts w:ascii="宋体" w:hAnsi="宋体" w:eastAsia="宋体" w:cs="宋体"/>
                <w:sz w:val="18"/>
                <w:szCs w:val="18"/>
              </w:rPr>
            </w:pPr>
            <w:r>
              <w:rPr>
                <w:rFonts w:ascii="宋体" w:hAnsi="宋体" w:eastAsia="宋体" w:cs="宋体"/>
                <w:sz w:val="18"/>
                <w:szCs w:val="18"/>
              </w:rPr>
              <w:t>行政人员</w:t>
            </w:r>
          </w:p>
        </w:tc>
        <w:tc>
          <w:tcPr>
            <w:tcW w:w="4820" w:type="dxa"/>
            <w:tcBorders>
              <w:top w:val="single" w:color="auto" w:sz="2" w:space="0"/>
              <w:left w:val="single" w:color="auto" w:sz="2" w:space="0"/>
              <w:bottom w:val="single" w:color="auto" w:sz="2" w:space="0"/>
              <w:right w:val="single" w:color="auto" w:sz="2" w:space="0"/>
            </w:tcBorders>
            <w:vAlign w:val="center"/>
          </w:tcPr>
          <w:p w14:paraId="3FF4B14F">
            <w:pPr>
              <w:spacing w:line="240" w:lineRule="exact"/>
              <w:jc w:val="right"/>
              <w:rPr>
                <w:rFonts w:ascii="宋体" w:hAnsi="宋体" w:eastAsia="宋体" w:cs="宋体"/>
                <w:sz w:val="18"/>
                <w:szCs w:val="18"/>
              </w:rPr>
            </w:pPr>
            <w:r>
              <w:rPr>
                <w:rFonts w:ascii="宋体" w:hAnsi="宋体" w:eastAsia="宋体" w:cs="宋体"/>
                <w:sz w:val="18"/>
                <w:szCs w:val="18"/>
              </w:rPr>
              <w:t>527</w:t>
            </w:r>
          </w:p>
        </w:tc>
      </w:tr>
      <w:tr w14:paraId="1678A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8C5E4C0">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14:paraId="4312CCBF">
            <w:pPr>
              <w:spacing w:line="240" w:lineRule="exact"/>
              <w:jc w:val="right"/>
              <w:rPr>
                <w:rFonts w:ascii="宋体" w:hAnsi="宋体" w:eastAsia="宋体" w:cs="宋体"/>
                <w:sz w:val="18"/>
                <w:szCs w:val="18"/>
              </w:rPr>
            </w:pPr>
            <w:r>
              <w:rPr>
                <w:rFonts w:ascii="宋体" w:hAnsi="宋体" w:eastAsia="宋体" w:cs="宋体"/>
                <w:sz w:val="18"/>
                <w:szCs w:val="18"/>
              </w:rPr>
              <w:t>13,140</w:t>
            </w:r>
          </w:p>
        </w:tc>
      </w:tr>
      <w:tr w14:paraId="727C9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7B437C4">
            <w:pPr>
              <w:spacing w:before="40" w:after="40" w:line="240" w:lineRule="exact"/>
              <w:jc w:val="center"/>
              <w:rPr>
                <w:rFonts w:ascii="宋体" w:hAnsi="宋体" w:eastAsia="宋体" w:cs="宋体"/>
                <w:sz w:val="18"/>
                <w:szCs w:val="18"/>
              </w:rPr>
            </w:pPr>
            <w:r>
              <w:rPr>
                <w:rFonts w:ascii="宋体" w:hAnsi="宋体" w:eastAsia="宋体" w:cs="宋体"/>
                <w:sz w:val="18"/>
                <w:szCs w:val="18"/>
              </w:rPr>
              <w:t>教育程度</w:t>
            </w:r>
          </w:p>
        </w:tc>
      </w:tr>
      <w:tr w14:paraId="181D6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D21D7FD">
            <w:pPr>
              <w:spacing w:before="40" w:after="40" w:line="240" w:lineRule="exact"/>
              <w:jc w:val="center"/>
              <w:rPr>
                <w:rFonts w:ascii="宋体" w:hAnsi="宋体" w:eastAsia="宋体" w:cs="宋体"/>
                <w:sz w:val="18"/>
                <w:szCs w:val="18"/>
              </w:rPr>
            </w:pPr>
            <w:r>
              <w:rPr>
                <w:rFonts w:ascii="宋体" w:hAnsi="宋体" w:eastAsia="宋体" w:cs="宋体"/>
                <w:sz w:val="18"/>
                <w:szCs w:val="18"/>
              </w:rPr>
              <w:t>教育程度类别</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DBDB366">
            <w:pPr>
              <w:spacing w:before="40" w:after="40" w:line="240" w:lineRule="exact"/>
              <w:jc w:val="center"/>
              <w:rPr>
                <w:rFonts w:ascii="宋体" w:hAnsi="宋体" w:eastAsia="宋体" w:cs="宋体"/>
                <w:sz w:val="18"/>
                <w:szCs w:val="18"/>
              </w:rPr>
            </w:pPr>
            <w:r>
              <w:rPr>
                <w:rFonts w:ascii="宋体" w:hAnsi="宋体" w:eastAsia="宋体" w:cs="宋体"/>
                <w:sz w:val="18"/>
                <w:szCs w:val="18"/>
              </w:rPr>
              <w:t>数量（人）</w:t>
            </w:r>
          </w:p>
        </w:tc>
      </w:tr>
      <w:tr w14:paraId="2598D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0D1C525">
            <w:pPr>
              <w:spacing w:line="240" w:lineRule="exact"/>
              <w:rPr>
                <w:rFonts w:ascii="宋体" w:hAnsi="宋体" w:eastAsia="宋体" w:cs="宋体"/>
                <w:sz w:val="18"/>
                <w:szCs w:val="18"/>
              </w:rPr>
            </w:pPr>
            <w:r>
              <w:rPr>
                <w:rFonts w:ascii="宋体" w:hAnsi="宋体" w:eastAsia="宋体" w:cs="宋体"/>
                <w:sz w:val="18"/>
                <w:szCs w:val="18"/>
              </w:rPr>
              <w:t>大专及以上</w:t>
            </w:r>
          </w:p>
        </w:tc>
        <w:tc>
          <w:tcPr>
            <w:tcW w:w="4820" w:type="dxa"/>
            <w:tcBorders>
              <w:top w:val="single" w:color="auto" w:sz="2" w:space="0"/>
              <w:left w:val="single" w:color="auto" w:sz="2" w:space="0"/>
              <w:bottom w:val="single" w:color="auto" w:sz="2" w:space="0"/>
              <w:right w:val="single" w:color="auto" w:sz="2" w:space="0"/>
            </w:tcBorders>
            <w:vAlign w:val="center"/>
          </w:tcPr>
          <w:p w14:paraId="67550511">
            <w:pPr>
              <w:spacing w:line="240" w:lineRule="exact"/>
              <w:jc w:val="right"/>
              <w:rPr>
                <w:rFonts w:ascii="宋体" w:hAnsi="宋体" w:eastAsia="宋体" w:cs="宋体"/>
                <w:sz w:val="18"/>
                <w:szCs w:val="18"/>
              </w:rPr>
            </w:pPr>
            <w:r>
              <w:rPr>
                <w:rFonts w:ascii="宋体" w:hAnsi="宋体" w:eastAsia="宋体" w:cs="宋体"/>
                <w:sz w:val="18"/>
                <w:szCs w:val="18"/>
              </w:rPr>
              <w:t>1,301</w:t>
            </w:r>
          </w:p>
        </w:tc>
      </w:tr>
      <w:tr w14:paraId="3A333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31BA15E">
            <w:pPr>
              <w:spacing w:line="240" w:lineRule="exact"/>
              <w:rPr>
                <w:rFonts w:ascii="宋体" w:hAnsi="宋体" w:eastAsia="宋体" w:cs="宋体"/>
                <w:sz w:val="18"/>
                <w:szCs w:val="18"/>
              </w:rPr>
            </w:pPr>
            <w:r>
              <w:rPr>
                <w:rFonts w:ascii="宋体" w:hAnsi="宋体" w:eastAsia="宋体" w:cs="宋体"/>
                <w:sz w:val="18"/>
                <w:szCs w:val="18"/>
              </w:rPr>
              <w:t>中专</w:t>
            </w:r>
          </w:p>
        </w:tc>
        <w:tc>
          <w:tcPr>
            <w:tcW w:w="4820" w:type="dxa"/>
            <w:tcBorders>
              <w:top w:val="single" w:color="auto" w:sz="2" w:space="0"/>
              <w:left w:val="single" w:color="auto" w:sz="2" w:space="0"/>
              <w:bottom w:val="single" w:color="auto" w:sz="2" w:space="0"/>
              <w:right w:val="single" w:color="auto" w:sz="2" w:space="0"/>
            </w:tcBorders>
            <w:vAlign w:val="center"/>
          </w:tcPr>
          <w:p w14:paraId="05B89EB5">
            <w:pPr>
              <w:spacing w:line="240" w:lineRule="exact"/>
              <w:jc w:val="right"/>
              <w:rPr>
                <w:rFonts w:ascii="宋体" w:hAnsi="宋体" w:eastAsia="宋体" w:cs="宋体"/>
                <w:sz w:val="18"/>
                <w:szCs w:val="18"/>
              </w:rPr>
            </w:pPr>
            <w:r>
              <w:rPr>
                <w:rFonts w:ascii="宋体" w:hAnsi="宋体" w:eastAsia="宋体" w:cs="宋体"/>
                <w:sz w:val="18"/>
                <w:szCs w:val="18"/>
              </w:rPr>
              <w:t>2,123</w:t>
            </w:r>
          </w:p>
        </w:tc>
      </w:tr>
      <w:tr w14:paraId="7A555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F38C102">
            <w:pPr>
              <w:spacing w:line="240" w:lineRule="exact"/>
              <w:rPr>
                <w:rFonts w:ascii="宋体" w:hAnsi="宋体" w:eastAsia="宋体" w:cs="宋体"/>
                <w:sz w:val="18"/>
                <w:szCs w:val="18"/>
              </w:rPr>
            </w:pPr>
            <w:r>
              <w:rPr>
                <w:rFonts w:ascii="宋体" w:hAnsi="宋体" w:eastAsia="宋体" w:cs="宋体"/>
                <w:sz w:val="18"/>
                <w:szCs w:val="18"/>
              </w:rPr>
              <w:t>中专以下</w:t>
            </w:r>
          </w:p>
        </w:tc>
        <w:tc>
          <w:tcPr>
            <w:tcW w:w="4820" w:type="dxa"/>
            <w:tcBorders>
              <w:top w:val="single" w:color="auto" w:sz="2" w:space="0"/>
              <w:left w:val="single" w:color="auto" w:sz="2" w:space="0"/>
              <w:bottom w:val="single" w:color="auto" w:sz="2" w:space="0"/>
              <w:right w:val="single" w:color="auto" w:sz="2" w:space="0"/>
            </w:tcBorders>
            <w:vAlign w:val="center"/>
          </w:tcPr>
          <w:p w14:paraId="71D0FA57">
            <w:pPr>
              <w:spacing w:line="240" w:lineRule="exact"/>
              <w:jc w:val="right"/>
              <w:rPr>
                <w:rFonts w:ascii="宋体" w:hAnsi="宋体" w:eastAsia="宋体" w:cs="宋体"/>
                <w:sz w:val="18"/>
                <w:szCs w:val="18"/>
              </w:rPr>
            </w:pPr>
            <w:r>
              <w:rPr>
                <w:rFonts w:ascii="宋体" w:hAnsi="宋体" w:eastAsia="宋体" w:cs="宋体"/>
                <w:sz w:val="18"/>
                <w:szCs w:val="18"/>
              </w:rPr>
              <w:t>9,716</w:t>
            </w:r>
          </w:p>
        </w:tc>
      </w:tr>
      <w:tr w14:paraId="10E9A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6CDD886">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14:paraId="2A6FE091">
            <w:pPr>
              <w:spacing w:line="240" w:lineRule="exact"/>
              <w:jc w:val="right"/>
              <w:rPr>
                <w:rFonts w:ascii="宋体" w:hAnsi="宋体" w:eastAsia="宋体" w:cs="宋体"/>
                <w:sz w:val="18"/>
                <w:szCs w:val="18"/>
              </w:rPr>
            </w:pPr>
            <w:r>
              <w:rPr>
                <w:rFonts w:ascii="宋体" w:hAnsi="宋体" w:eastAsia="宋体" w:cs="宋体"/>
                <w:sz w:val="18"/>
                <w:szCs w:val="18"/>
              </w:rPr>
              <w:t>13,140</w:t>
            </w:r>
          </w:p>
        </w:tc>
      </w:tr>
    </w:tbl>
    <w:p w14:paraId="4B7004FD">
      <w:pPr>
        <w:pStyle w:val="3"/>
        <w:spacing w:line="280" w:lineRule="exact"/>
        <w:jc w:val="left"/>
        <w:rPr>
          <w:rFonts w:ascii="宋体" w:hAnsi="宋体" w:cs="宋体"/>
          <w:b/>
          <w:bCs/>
        </w:rPr>
      </w:pPr>
      <w:bookmarkStart w:id="79" w:name="_Toc988968"/>
      <w:r>
        <w:rPr>
          <w:rFonts w:ascii="宋体" w:hAnsi="宋体" w:cs="宋体"/>
          <w:b/>
          <w:bCs/>
        </w:rPr>
        <w:t>2、薪酬政策</w:t>
      </w:r>
      <w:bookmarkEnd w:id="79"/>
    </w:p>
    <w:p w14:paraId="1F594C4C">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360" w:firstLineChars="200"/>
        <w:jc w:val="both"/>
        <w:textAlignment w:val="auto"/>
        <w:rPr>
          <w:rFonts w:ascii="Calibri" w:hAnsi="Calibri" w:cs="Calibri"/>
          <w:sz w:val="21"/>
          <w:szCs w:val="21"/>
        </w:rPr>
      </w:pPr>
      <w:r>
        <w:rPr>
          <w:rFonts w:hint="eastAsia" w:cs="Calibri"/>
          <w:sz w:val="18"/>
          <w:szCs w:val="18"/>
        </w:rPr>
        <w:t>公司严格按照《中华人民共和国劳动合同法》和相关法律法规的规定，向员工提供具有竞争力的薪酬，通过多种薪酬分配方式留住和吸引优秀人才，为公司发展提供人力资源保障。</w:t>
      </w:r>
    </w:p>
    <w:p w14:paraId="62A6F8DF">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360" w:firstLineChars="200"/>
        <w:jc w:val="both"/>
        <w:textAlignment w:val="auto"/>
        <w:rPr>
          <w:sz w:val="18"/>
          <w:szCs w:val="18"/>
        </w:rPr>
      </w:pPr>
      <w:r>
        <w:rPr>
          <w:rFonts w:hint="eastAsia"/>
          <w:sz w:val="18"/>
          <w:szCs w:val="18"/>
        </w:rPr>
        <w:t>本报告期内，公司实施第四期员工持股计划，详见公司于2024年12月5日披露在《证券时报》、《中国证券报》及巨潮资讯网（www.cninfo.com.cn）上的《华孚时尚股份有限公司第四期员工持股计划（草案）》及其摘要。员工持股计划可充分调动员工积极性和创造性，使其利益与公司长远发展更紧密地结合，防止人才流失，实现企业可持续发展。</w:t>
      </w:r>
    </w:p>
    <w:p w14:paraId="54837EBE">
      <w:pPr>
        <w:pStyle w:val="3"/>
        <w:spacing w:line="280" w:lineRule="exact"/>
        <w:jc w:val="left"/>
        <w:rPr>
          <w:rFonts w:ascii="宋体" w:hAnsi="宋体" w:cs="宋体"/>
          <w:b/>
          <w:bCs/>
        </w:rPr>
      </w:pPr>
      <w:bookmarkStart w:id="80" w:name="_Toc988969"/>
      <w:r>
        <w:rPr>
          <w:rFonts w:ascii="宋体" w:hAnsi="宋体" w:cs="宋体"/>
          <w:b/>
          <w:bCs/>
        </w:rPr>
        <w:t>3、培训计划</w:t>
      </w:r>
      <w:bookmarkEnd w:id="80"/>
    </w:p>
    <w:p w14:paraId="69ED8AB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360" w:firstLineChars="200"/>
        <w:jc w:val="both"/>
        <w:textAlignment w:val="auto"/>
        <w:rPr>
          <w:rFonts w:ascii="Calibri" w:hAnsi="Calibri" w:cs="Calibri"/>
          <w:sz w:val="21"/>
          <w:szCs w:val="21"/>
        </w:rPr>
      </w:pPr>
      <w:r>
        <w:rPr>
          <w:rFonts w:hint="eastAsia" w:cs="Calibri"/>
          <w:sz w:val="18"/>
          <w:szCs w:val="18"/>
        </w:rPr>
        <w:t>公司核心价值观之一是“只有专业、敬业、职业、认同的员工才能保持华孚的基业长青”，围绕此条价值观，公司强调培训是员工最大的福利，注重员工成长与职业化发展，为每一位员工尽可能创造更好的成长与发展的机会。</w:t>
      </w:r>
    </w:p>
    <w:p w14:paraId="21B1139B">
      <w:pPr>
        <w:pStyle w:val="3"/>
        <w:spacing w:line="280" w:lineRule="exact"/>
        <w:jc w:val="left"/>
        <w:rPr>
          <w:rFonts w:ascii="宋体" w:hAnsi="宋体" w:cs="宋体"/>
          <w:b/>
          <w:bCs/>
        </w:rPr>
      </w:pPr>
      <w:bookmarkStart w:id="81" w:name="_Toc988970"/>
      <w:r>
        <w:rPr>
          <w:rFonts w:ascii="宋体" w:hAnsi="宋体" w:cs="宋体"/>
          <w:b/>
          <w:bCs/>
        </w:rPr>
        <w:t>4、劳务外包情况</w:t>
      </w:r>
      <w:bookmarkEnd w:id="81"/>
    </w:p>
    <w:p w14:paraId="7C5D1445">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269D25D">
      <w:pPr>
        <w:pStyle w:val="2"/>
        <w:spacing w:before="300" w:after="300" w:line="320" w:lineRule="exact"/>
        <w:rPr>
          <w:rFonts w:ascii="宋体" w:hAnsi="宋体" w:eastAsia="宋体" w:cs="宋体"/>
          <w:b/>
          <w:bCs/>
          <w:sz w:val="24"/>
          <w:szCs w:val="24"/>
        </w:rPr>
      </w:pPr>
      <w:bookmarkStart w:id="82" w:name="_Toc988971"/>
      <w:r>
        <w:rPr>
          <w:rFonts w:ascii="宋体" w:hAnsi="宋体" w:eastAsia="宋体" w:cs="宋体"/>
          <w:b/>
          <w:bCs/>
          <w:sz w:val="24"/>
          <w:szCs w:val="24"/>
        </w:rPr>
        <w:t>九、公司利润分配及资本公积金转增股本情况</w:t>
      </w:r>
      <w:bookmarkEnd w:id="82"/>
    </w:p>
    <w:p w14:paraId="4D9247EF">
      <w:pPr>
        <w:spacing w:before="40" w:after="40" w:line="240" w:lineRule="exact"/>
        <w:rPr>
          <w:rFonts w:ascii="宋体" w:hAnsi="宋体" w:eastAsia="宋体" w:cs="宋体"/>
          <w:sz w:val="18"/>
          <w:szCs w:val="18"/>
        </w:rPr>
      </w:pPr>
      <w:r>
        <w:rPr>
          <w:rFonts w:ascii="宋体" w:hAnsi="宋体" w:eastAsia="宋体" w:cs="宋体"/>
          <w:sz w:val="18"/>
          <w:szCs w:val="18"/>
        </w:rPr>
        <w:t>报告期内利润分配政策，特别是现金分红政策的制定、执行或调整情况</w:t>
      </w:r>
    </w:p>
    <w:p w14:paraId="53BEECBE">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F27E058">
      <w:pPr>
        <w:spacing w:before="100" w:after="100" w:line="240" w:lineRule="exact"/>
        <w:rPr>
          <w:rFonts w:ascii="宋体" w:hAnsi="宋体" w:eastAsia="宋体" w:cs="宋体"/>
          <w:sz w:val="18"/>
          <w:szCs w:val="18"/>
        </w:rPr>
      </w:pPr>
      <w:r>
        <w:rPr>
          <w:rFonts w:ascii="宋体" w:hAnsi="宋体" w:eastAsia="宋体" w:cs="宋体"/>
          <w:sz w:val="18"/>
          <w:szCs w:val="18"/>
        </w:rPr>
        <w:t>公司报告期内盈利且母公司可供股东分配利润为正但未提出现金红利分配预案</w:t>
      </w:r>
    </w:p>
    <w:p w14:paraId="6E568488">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A40D95B">
      <w:pPr>
        <w:spacing w:before="100" w:after="100" w:line="240" w:lineRule="exact"/>
        <w:rPr>
          <w:rFonts w:ascii="宋体" w:hAnsi="宋体" w:eastAsia="宋体" w:cs="宋体"/>
          <w:sz w:val="18"/>
          <w:szCs w:val="18"/>
        </w:rPr>
      </w:pPr>
      <w:r>
        <w:rPr>
          <w:rFonts w:ascii="宋体" w:hAnsi="宋体" w:eastAsia="宋体" w:cs="宋体"/>
          <w:sz w:val="18"/>
          <w:szCs w:val="18"/>
        </w:rPr>
        <w:t>本报告期利润分配及资本公积金转增股本情况</w:t>
      </w:r>
    </w:p>
    <w:p w14:paraId="37AB71A5">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14:paraId="3D27D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EB073BC">
            <w:pPr>
              <w:spacing w:before="40" w:after="40" w:line="240" w:lineRule="exact"/>
              <w:rPr>
                <w:rFonts w:ascii="宋体" w:hAnsi="宋体" w:eastAsia="宋体" w:cs="宋体"/>
                <w:sz w:val="18"/>
                <w:szCs w:val="18"/>
              </w:rPr>
            </w:pPr>
            <w:r>
              <w:rPr>
                <w:rFonts w:ascii="宋体" w:hAnsi="宋体" w:eastAsia="宋体" w:cs="宋体"/>
                <w:sz w:val="18"/>
                <w:szCs w:val="18"/>
              </w:rPr>
              <w:t>每10股送红股数（股）</w:t>
            </w:r>
          </w:p>
        </w:tc>
        <w:tc>
          <w:tcPr>
            <w:tcW w:w="4820" w:type="dxa"/>
            <w:tcBorders>
              <w:top w:val="single" w:color="auto" w:sz="2" w:space="0"/>
              <w:left w:val="single" w:color="auto" w:sz="2" w:space="0"/>
              <w:bottom w:val="single" w:color="auto" w:sz="2" w:space="0"/>
              <w:right w:val="single" w:color="auto" w:sz="2" w:space="0"/>
            </w:tcBorders>
            <w:vAlign w:val="center"/>
          </w:tcPr>
          <w:p w14:paraId="2B5FD0BA">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17C0E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A41B1CB">
            <w:pPr>
              <w:spacing w:before="40" w:after="40" w:line="240" w:lineRule="exact"/>
              <w:rPr>
                <w:rFonts w:ascii="宋体" w:hAnsi="宋体" w:eastAsia="宋体" w:cs="宋体"/>
                <w:sz w:val="18"/>
                <w:szCs w:val="18"/>
              </w:rPr>
            </w:pPr>
            <w:r>
              <w:rPr>
                <w:rFonts w:ascii="宋体" w:hAnsi="宋体" w:eastAsia="宋体" w:cs="宋体"/>
                <w:sz w:val="18"/>
                <w:szCs w:val="18"/>
              </w:rPr>
              <w:t>每10股派息数（元）（含税）</w:t>
            </w:r>
          </w:p>
        </w:tc>
        <w:tc>
          <w:tcPr>
            <w:tcW w:w="4820" w:type="dxa"/>
            <w:tcBorders>
              <w:top w:val="single" w:color="auto" w:sz="2" w:space="0"/>
              <w:left w:val="single" w:color="auto" w:sz="2" w:space="0"/>
              <w:bottom w:val="single" w:color="auto" w:sz="2" w:space="0"/>
              <w:right w:val="single" w:color="auto" w:sz="2" w:space="0"/>
            </w:tcBorders>
            <w:vAlign w:val="center"/>
          </w:tcPr>
          <w:p w14:paraId="2D565B4B">
            <w:pPr>
              <w:spacing w:line="240" w:lineRule="exact"/>
              <w:jc w:val="right"/>
              <w:rPr>
                <w:rFonts w:ascii="宋体" w:hAnsi="宋体" w:eastAsia="宋体" w:cs="宋体"/>
                <w:sz w:val="18"/>
                <w:szCs w:val="18"/>
              </w:rPr>
            </w:pPr>
            <w:r>
              <w:rPr>
                <w:rFonts w:ascii="宋体" w:hAnsi="宋体" w:eastAsia="宋体" w:cs="宋体"/>
                <w:sz w:val="18"/>
                <w:szCs w:val="18"/>
              </w:rPr>
              <w:t>0.1150</w:t>
            </w:r>
          </w:p>
        </w:tc>
      </w:tr>
      <w:tr w14:paraId="68889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D758B2F">
            <w:pPr>
              <w:spacing w:before="40" w:after="40" w:line="240" w:lineRule="exact"/>
              <w:rPr>
                <w:rFonts w:ascii="宋体" w:hAnsi="宋体" w:eastAsia="宋体" w:cs="宋体"/>
                <w:sz w:val="18"/>
                <w:szCs w:val="18"/>
              </w:rPr>
            </w:pPr>
            <w:r>
              <w:rPr>
                <w:rFonts w:ascii="宋体" w:hAnsi="宋体" w:eastAsia="宋体" w:cs="宋体"/>
                <w:sz w:val="18"/>
                <w:szCs w:val="18"/>
              </w:rPr>
              <w:t>分配预案的股本基数（股）</w:t>
            </w:r>
          </w:p>
        </w:tc>
        <w:tc>
          <w:tcPr>
            <w:tcW w:w="4820" w:type="dxa"/>
            <w:tcBorders>
              <w:top w:val="single" w:color="auto" w:sz="2" w:space="0"/>
              <w:left w:val="single" w:color="auto" w:sz="2" w:space="0"/>
              <w:bottom w:val="single" w:color="auto" w:sz="2" w:space="0"/>
              <w:right w:val="single" w:color="auto" w:sz="2" w:space="0"/>
            </w:tcBorders>
            <w:vAlign w:val="center"/>
          </w:tcPr>
          <w:p w14:paraId="4C05EED2">
            <w:pPr>
              <w:spacing w:line="240" w:lineRule="exact"/>
              <w:rPr>
                <w:rFonts w:ascii="宋体" w:hAnsi="宋体" w:eastAsia="宋体" w:cs="宋体"/>
                <w:sz w:val="18"/>
                <w:szCs w:val="18"/>
              </w:rPr>
            </w:pPr>
            <w:r>
              <w:rPr>
                <w:rFonts w:ascii="宋体" w:hAnsi="宋体" w:eastAsia="宋体" w:cs="宋体"/>
                <w:sz w:val="18"/>
                <w:szCs w:val="18"/>
              </w:rPr>
              <w:t>以未来实施利润分配预案时股权登记日的总股本（不含公司回购专户中的股份）为基数</w:t>
            </w:r>
          </w:p>
        </w:tc>
      </w:tr>
      <w:tr w14:paraId="6FB84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9F208B4">
            <w:pPr>
              <w:spacing w:before="40" w:after="40" w:line="240" w:lineRule="exact"/>
              <w:rPr>
                <w:rFonts w:ascii="宋体" w:hAnsi="宋体" w:eastAsia="宋体" w:cs="宋体"/>
                <w:sz w:val="18"/>
                <w:szCs w:val="18"/>
              </w:rPr>
            </w:pPr>
            <w:r>
              <w:rPr>
                <w:rFonts w:ascii="宋体" w:hAnsi="宋体" w:eastAsia="宋体" w:cs="宋体"/>
                <w:sz w:val="18"/>
                <w:szCs w:val="18"/>
              </w:rPr>
              <w:t>现金分红金额（元）（含税）</w:t>
            </w:r>
          </w:p>
        </w:tc>
        <w:tc>
          <w:tcPr>
            <w:tcW w:w="4820" w:type="dxa"/>
            <w:tcBorders>
              <w:top w:val="single" w:color="auto" w:sz="2" w:space="0"/>
              <w:left w:val="single" w:color="auto" w:sz="2" w:space="0"/>
              <w:bottom w:val="single" w:color="auto" w:sz="2" w:space="0"/>
              <w:right w:val="single" w:color="auto" w:sz="2" w:space="0"/>
            </w:tcBorders>
            <w:vAlign w:val="center"/>
          </w:tcPr>
          <w:p w14:paraId="42634188">
            <w:pPr>
              <w:spacing w:line="240" w:lineRule="exact"/>
              <w:jc w:val="right"/>
              <w:rPr>
                <w:rFonts w:ascii="宋体" w:hAnsi="宋体" w:eastAsia="宋体" w:cs="宋体"/>
                <w:sz w:val="18"/>
                <w:szCs w:val="18"/>
              </w:rPr>
            </w:pPr>
            <w:r>
              <w:rPr>
                <w:rFonts w:ascii="宋体" w:hAnsi="宋体" w:eastAsia="宋体" w:cs="宋体"/>
                <w:sz w:val="18"/>
                <w:szCs w:val="18"/>
              </w:rPr>
              <w:t>18,998,111.20</w:t>
            </w:r>
          </w:p>
        </w:tc>
      </w:tr>
      <w:tr w14:paraId="76C06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6431DA2">
            <w:pPr>
              <w:spacing w:before="40" w:after="40" w:line="240" w:lineRule="exact"/>
              <w:rPr>
                <w:rFonts w:ascii="宋体" w:hAnsi="宋体" w:eastAsia="宋体" w:cs="宋体"/>
                <w:sz w:val="18"/>
                <w:szCs w:val="18"/>
              </w:rPr>
            </w:pPr>
            <w:r>
              <w:rPr>
                <w:rFonts w:ascii="宋体" w:hAnsi="宋体" w:eastAsia="宋体" w:cs="宋体"/>
                <w:sz w:val="18"/>
                <w:szCs w:val="18"/>
              </w:rPr>
              <w:t>以其他方式（如回购股份）现金分红金额（元）</w:t>
            </w:r>
          </w:p>
        </w:tc>
        <w:tc>
          <w:tcPr>
            <w:tcW w:w="4820" w:type="dxa"/>
            <w:tcBorders>
              <w:top w:val="single" w:color="auto" w:sz="2" w:space="0"/>
              <w:left w:val="single" w:color="auto" w:sz="2" w:space="0"/>
              <w:bottom w:val="single" w:color="auto" w:sz="2" w:space="0"/>
              <w:right w:val="single" w:color="auto" w:sz="2" w:space="0"/>
            </w:tcBorders>
            <w:vAlign w:val="center"/>
          </w:tcPr>
          <w:p w14:paraId="026EB71F">
            <w:pPr>
              <w:spacing w:line="240" w:lineRule="exact"/>
              <w:jc w:val="right"/>
              <w:rPr>
                <w:rFonts w:ascii="宋体" w:hAnsi="宋体" w:eastAsia="宋体" w:cs="宋体"/>
                <w:sz w:val="18"/>
                <w:szCs w:val="18"/>
              </w:rPr>
            </w:pPr>
            <w:r>
              <w:rPr>
                <w:rFonts w:ascii="宋体" w:hAnsi="宋体" w:eastAsia="宋体" w:cs="宋体"/>
                <w:sz w:val="18"/>
                <w:szCs w:val="18"/>
              </w:rPr>
              <w:t>0.00</w:t>
            </w:r>
          </w:p>
        </w:tc>
      </w:tr>
      <w:tr w14:paraId="51688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858B412">
            <w:pPr>
              <w:spacing w:before="40" w:after="40" w:line="240" w:lineRule="exact"/>
              <w:rPr>
                <w:rFonts w:ascii="宋体" w:hAnsi="宋体" w:eastAsia="宋体" w:cs="宋体"/>
                <w:sz w:val="18"/>
                <w:szCs w:val="18"/>
              </w:rPr>
            </w:pPr>
            <w:r>
              <w:rPr>
                <w:rFonts w:ascii="宋体" w:hAnsi="宋体" w:eastAsia="宋体" w:cs="宋体"/>
                <w:sz w:val="18"/>
                <w:szCs w:val="18"/>
              </w:rPr>
              <w:t>现金分红总额（含其他方式）（元）</w:t>
            </w:r>
          </w:p>
        </w:tc>
        <w:tc>
          <w:tcPr>
            <w:tcW w:w="4820" w:type="dxa"/>
            <w:tcBorders>
              <w:top w:val="single" w:color="auto" w:sz="2" w:space="0"/>
              <w:left w:val="single" w:color="auto" w:sz="2" w:space="0"/>
              <w:bottom w:val="single" w:color="auto" w:sz="2" w:space="0"/>
              <w:right w:val="single" w:color="auto" w:sz="2" w:space="0"/>
            </w:tcBorders>
            <w:vAlign w:val="center"/>
          </w:tcPr>
          <w:p w14:paraId="2C14B111">
            <w:pPr>
              <w:spacing w:line="240" w:lineRule="exact"/>
              <w:jc w:val="right"/>
              <w:rPr>
                <w:rFonts w:ascii="宋体" w:hAnsi="宋体" w:eastAsia="宋体" w:cs="宋体"/>
                <w:sz w:val="18"/>
                <w:szCs w:val="18"/>
              </w:rPr>
            </w:pPr>
            <w:r>
              <w:rPr>
                <w:rFonts w:ascii="宋体" w:hAnsi="宋体" w:eastAsia="宋体" w:cs="宋体"/>
                <w:sz w:val="18"/>
                <w:szCs w:val="18"/>
              </w:rPr>
              <w:t>18,998,111.20</w:t>
            </w:r>
          </w:p>
        </w:tc>
      </w:tr>
      <w:tr w14:paraId="701F3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DCF8784">
            <w:pPr>
              <w:spacing w:before="40" w:after="40" w:line="240" w:lineRule="exact"/>
              <w:rPr>
                <w:rFonts w:ascii="宋体" w:hAnsi="宋体" w:eastAsia="宋体" w:cs="宋体"/>
                <w:sz w:val="18"/>
                <w:szCs w:val="18"/>
              </w:rPr>
            </w:pPr>
            <w:r>
              <w:rPr>
                <w:rFonts w:ascii="宋体" w:hAnsi="宋体" w:eastAsia="宋体" w:cs="宋体"/>
                <w:sz w:val="18"/>
                <w:szCs w:val="18"/>
              </w:rPr>
              <w:t>可分配利润（元）</w:t>
            </w:r>
          </w:p>
        </w:tc>
        <w:tc>
          <w:tcPr>
            <w:tcW w:w="4820" w:type="dxa"/>
            <w:tcBorders>
              <w:top w:val="single" w:color="auto" w:sz="2" w:space="0"/>
              <w:left w:val="single" w:color="auto" w:sz="2" w:space="0"/>
              <w:bottom w:val="single" w:color="auto" w:sz="2" w:space="0"/>
              <w:right w:val="single" w:color="auto" w:sz="2" w:space="0"/>
            </w:tcBorders>
            <w:vAlign w:val="center"/>
          </w:tcPr>
          <w:p w14:paraId="0EED1909">
            <w:pPr>
              <w:spacing w:line="240" w:lineRule="exact"/>
              <w:jc w:val="right"/>
              <w:rPr>
                <w:rFonts w:ascii="宋体" w:hAnsi="宋体" w:eastAsia="宋体" w:cs="宋体"/>
                <w:sz w:val="18"/>
                <w:szCs w:val="18"/>
              </w:rPr>
            </w:pPr>
            <w:r>
              <w:rPr>
                <w:rFonts w:ascii="宋体" w:hAnsi="宋体" w:eastAsia="宋体" w:cs="宋体"/>
                <w:sz w:val="18"/>
                <w:szCs w:val="18"/>
              </w:rPr>
              <w:t>550,091,582.70</w:t>
            </w:r>
          </w:p>
        </w:tc>
      </w:tr>
      <w:tr w14:paraId="3DEF1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7FDDFA5">
            <w:pPr>
              <w:spacing w:before="40" w:after="40" w:line="240" w:lineRule="exact"/>
              <w:rPr>
                <w:rFonts w:ascii="宋体" w:hAnsi="宋体" w:eastAsia="宋体" w:cs="宋体"/>
                <w:sz w:val="18"/>
                <w:szCs w:val="18"/>
              </w:rPr>
            </w:pPr>
            <w:r>
              <w:rPr>
                <w:rFonts w:ascii="宋体" w:hAnsi="宋体" w:eastAsia="宋体" w:cs="宋体"/>
                <w:sz w:val="18"/>
                <w:szCs w:val="18"/>
              </w:rPr>
              <w:t>现金分红总额（含其他方式）占利润分配总额的比例</w:t>
            </w:r>
          </w:p>
        </w:tc>
        <w:tc>
          <w:tcPr>
            <w:tcW w:w="4820" w:type="dxa"/>
            <w:tcBorders>
              <w:top w:val="single" w:color="auto" w:sz="2" w:space="0"/>
              <w:left w:val="single" w:color="auto" w:sz="2" w:space="0"/>
              <w:bottom w:val="single" w:color="auto" w:sz="2" w:space="0"/>
              <w:right w:val="single" w:color="auto" w:sz="2" w:space="0"/>
            </w:tcBorders>
            <w:vAlign w:val="center"/>
          </w:tcPr>
          <w:p w14:paraId="295B9F36">
            <w:pPr>
              <w:spacing w:line="240" w:lineRule="exact"/>
              <w:jc w:val="right"/>
              <w:rPr>
                <w:rFonts w:ascii="宋体" w:hAnsi="宋体" w:eastAsia="宋体" w:cs="宋体"/>
                <w:sz w:val="18"/>
                <w:szCs w:val="18"/>
              </w:rPr>
            </w:pPr>
            <w:r>
              <w:rPr>
                <w:rFonts w:ascii="宋体" w:hAnsi="宋体" w:eastAsia="宋体" w:cs="宋体"/>
                <w:sz w:val="18"/>
                <w:szCs w:val="18"/>
              </w:rPr>
              <w:t>100%</w:t>
            </w:r>
          </w:p>
        </w:tc>
      </w:tr>
      <w:tr w14:paraId="04C0D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D43737E">
            <w:pPr>
              <w:spacing w:before="40" w:after="40" w:line="240" w:lineRule="exact"/>
              <w:jc w:val="center"/>
              <w:rPr>
                <w:rFonts w:ascii="宋体" w:hAnsi="宋体" w:eastAsia="宋体" w:cs="宋体"/>
                <w:sz w:val="18"/>
                <w:szCs w:val="18"/>
              </w:rPr>
            </w:pPr>
            <w:r>
              <w:rPr>
                <w:rFonts w:ascii="宋体" w:hAnsi="宋体" w:eastAsia="宋体" w:cs="宋体"/>
                <w:sz w:val="18"/>
                <w:szCs w:val="18"/>
              </w:rPr>
              <w:t>本次现金分红情况</w:t>
            </w:r>
          </w:p>
        </w:tc>
      </w:tr>
      <w:tr w14:paraId="39E3C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vAlign w:val="center"/>
          </w:tcPr>
          <w:p w14:paraId="18F21700">
            <w:pPr>
              <w:spacing w:line="240" w:lineRule="exact"/>
              <w:rPr>
                <w:rFonts w:ascii="宋体" w:hAnsi="宋体" w:eastAsia="宋体" w:cs="宋体"/>
                <w:sz w:val="18"/>
                <w:szCs w:val="18"/>
              </w:rPr>
            </w:pPr>
            <w:r>
              <w:rPr>
                <w:rFonts w:ascii="宋体" w:hAnsi="宋体" w:eastAsia="宋体" w:cs="宋体"/>
                <w:sz w:val="18"/>
                <w:szCs w:val="18"/>
              </w:rPr>
              <w:t>公司发展阶段属成熟期且无重大资金支出安排的，进行利润分配时，现金分红在本次利润分配中所占比例最低应达到80％</w:t>
            </w:r>
          </w:p>
        </w:tc>
      </w:tr>
      <w:tr w14:paraId="62408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E0021A7">
            <w:pPr>
              <w:spacing w:before="40" w:after="40" w:line="240" w:lineRule="exact"/>
              <w:jc w:val="center"/>
              <w:rPr>
                <w:rFonts w:ascii="宋体" w:hAnsi="宋体" w:eastAsia="宋体" w:cs="宋体"/>
                <w:sz w:val="18"/>
                <w:szCs w:val="18"/>
              </w:rPr>
            </w:pPr>
            <w:r>
              <w:rPr>
                <w:rFonts w:ascii="宋体" w:hAnsi="宋体" w:eastAsia="宋体" w:cs="宋体"/>
                <w:sz w:val="18"/>
                <w:szCs w:val="18"/>
              </w:rPr>
              <w:t>利润分配或资本公积金转增预案的详细情况说明</w:t>
            </w:r>
          </w:p>
        </w:tc>
      </w:tr>
      <w:tr w14:paraId="52054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vAlign w:val="center"/>
          </w:tcPr>
          <w:p w14:paraId="200FC4E7">
            <w:pPr>
              <w:spacing w:line="240" w:lineRule="exact"/>
              <w:rPr>
                <w:rFonts w:ascii="宋体" w:hAnsi="宋体" w:eastAsia="宋体" w:cs="宋体"/>
                <w:sz w:val="18"/>
                <w:szCs w:val="18"/>
              </w:rPr>
            </w:pPr>
            <w:r>
              <w:rPr>
                <w:rFonts w:ascii="宋体" w:hAnsi="宋体" w:eastAsia="宋体" w:cs="宋体"/>
                <w:sz w:val="18"/>
                <w:szCs w:val="18"/>
              </w:rPr>
              <w:t>以未来实施利润分配预案时股权登记日的总股本（不含公司回购专户中的股份）为基数，每10股派发现金股利0.1150元（含税），不送红股，不以资本公积转增股本。预计派发现金股利18,998,111.20元。若利润分配预案披露至实施期间，因回购股份出售等情形致使公司总股本发生变动的，公司则按照分配总金额不变的原则对分配比例进行调整。</w:t>
            </w:r>
          </w:p>
        </w:tc>
      </w:tr>
    </w:tbl>
    <w:p w14:paraId="66405783">
      <w:pPr>
        <w:pStyle w:val="2"/>
        <w:keepNext/>
        <w:keepLines/>
        <w:spacing w:before="300" w:after="300" w:line="320" w:lineRule="exact"/>
        <w:jc w:val="left"/>
        <w:outlineLvl w:val="1"/>
        <w:rPr>
          <w:rFonts w:ascii="宋体" w:hAnsi="宋体" w:eastAsia="宋体" w:cs="宋体"/>
          <w:b/>
          <w:bCs/>
          <w:sz w:val="24"/>
          <w:szCs w:val="24"/>
        </w:rPr>
      </w:pPr>
      <w:bookmarkStart w:id="83" w:name="_Toc988972"/>
      <w:r>
        <w:rPr>
          <w:rFonts w:ascii="宋体" w:hAnsi="宋体" w:eastAsia="宋体" w:cs="宋体"/>
          <w:b/>
          <w:bCs/>
          <w:sz w:val="24"/>
          <w:szCs w:val="24"/>
        </w:rPr>
        <w:t>十、公司股权激励计划、员工持股计划或其他员工激励措施的实施情况</w:t>
      </w:r>
      <w:bookmarkEnd w:id="83"/>
    </w:p>
    <w:p w14:paraId="6E61B032">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0FED3FCC">
      <w:pPr>
        <w:pStyle w:val="3"/>
        <w:keepNext/>
        <w:keepLines/>
        <w:spacing w:before="300" w:after="300" w:line="280" w:lineRule="exact"/>
        <w:jc w:val="left"/>
        <w:outlineLvl w:val="2"/>
        <w:rPr>
          <w:rFonts w:ascii="宋体" w:hAnsi="宋体" w:eastAsia="宋体" w:cs="宋体"/>
          <w:b/>
          <w:bCs/>
          <w:sz w:val="21"/>
          <w:szCs w:val="21"/>
        </w:rPr>
      </w:pPr>
      <w:r>
        <w:rPr>
          <w:rFonts w:ascii="宋体" w:hAnsi="宋体" w:eastAsia="宋体" w:cs="宋体"/>
          <w:b/>
          <w:bCs/>
          <w:sz w:val="21"/>
          <w:szCs w:val="21"/>
        </w:rPr>
        <w:t>1、股权激励</w:t>
      </w:r>
    </w:p>
    <w:p w14:paraId="7C990313">
      <w:pPr>
        <w:pStyle w:val="9"/>
        <w:keepNext w:val="0"/>
        <w:keepLines w:val="0"/>
        <w:widowControl/>
        <w:suppressLineNumbers w:val="0"/>
      </w:pPr>
      <w:r>
        <w:rPr>
          <w:rFonts w:hint="eastAsia" w:ascii="宋体" w:hAnsi="宋体" w:eastAsia="宋体" w:cs="宋体"/>
          <w:sz w:val="18"/>
          <w:szCs w:val="18"/>
        </w:rPr>
        <w:t>无</w:t>
      </w:r>
    </w:p>
    <w:p w14:paraId="371530AF">
      <w:pPr>
        <w:spacing w:before="100" w:after="100" w:line="240" w:lineRule="exact"/>
        <w:jc w:val="left"/>
        <w:rPr>
          <w:rFonts w:ascii="宋体" w:hAnsi="宋体" w:eastAsia="宋体" w:cs="宋体"/>
          <w:sz w:val="18"/>
          <w:szCs w:val="18"/>
        </w:rPr>
      </w:pPr>
      <w:r>
        <w:rPr>
          <w:rFonts w:ascii="宋体" w:hAnsi="宋体" w:eastAsia="宋体" w:cs="宋体"/>
          <w:sz w:val="18"/>
          <w:szCs w:val="18"/>
        </w:rPr>
        <w:t>公司董事、高级管理人员获得的股权激励情况</w:t>
      </w:r>
    </w:p>
    <w:p w14:paraId="1CAD612F">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A0BC798">
      <w:pPr>
        <w:spacing w:before="100" w:after="100" w:line="240" w:lineRule="exact"/>
        <w:jc w:val="left"/>
        <w:rPr>
          <w:rFonts w:ascii="宋体" w:hAnsi="宋体" w:eastAsia="宋体" w:cs="宋体"/>
          <w:sz w:val="18"/>
          <w:szCs w:val="18"/>
        </w:rPr>
      </w:pPr>
      <w:r>
        <w:rPr>
          <w:rFonts w:ascii="宋体" w:hAnsi="宋体" w:eastAsia="宋体" w:cs="宋体"/>
          <w:sz w:val="18"/>
          <w:szCs w:val="18"/>
        </w:rPr>
        <w:t>高级管理人员的考评机制及激励情况</w:t>
      </w:r>
    </w:p>
    <w:p w14:paraId="180F4C62">
      <w:pPr>
        <w:spacing w:before="100" w:after="100" w:line="240" w:lineRule="exact"/>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w:t>
      </w:r>
    </w:p>
    <w:p w14:paraId="49CC9A55">
      <w:pPr>
        <w:pStyle w:val="3"/>
        <w:keepNext/>
        <w:keepLines/>
        <w:spacing w:before="300" w:after="300" w:line="280" w:lineRule="exact"/>
        <w:jc w:val="left"/>
        <w:outlineLvl w:val="2"/>
        <w:rPr>
          <w:rFonts w:ascii="宋体" w:hAnsi="宋体" w:eastAsia="宋体" w:cs="宋体"/>
          <w:b/>
          <w:bCs/>
          <w:sz w:val="21"/>
          <w:szCs w:val="21"/>
        </w:rPr>
      </w:pPr>
      <w:r>
        <w:rPr>
          <w:rFonts w:ascii="宋体" w:hAnsi="宋体" w:eastAsia="宋体" w:cs="宋体"/>
          <w:b/>
          <w:bCs/>
          <w:sz w:val="21"/>
          <w:szCs w:val="21"/>
        </w:rPr>
        <w:t>2、员工持股计划的实施情况</w:t>
      </w:r>
    </w:p>
    <w:p w14:paraId="2BB1BB41">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28FA1D14">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报告期内全部有效的员工持股计划情况</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14:paraId="186C1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A48BDFD">
            <w:pPr>
              <w:spacing w:before="40" w:after="40" w:line="240" w:lineRule="exact"/>
              <w:jc w:val="center"/>
              <w:rPr>
                <w:rFonts w:ascii="宋体" w:hAnsi="宋体" w:eastAsia="宋体" w:cs="宋体"/>
                <w:sz w:val="18"/>
                <w:szCs w:val="18"/>
              </w:rPr>
            </w:pPr>
            <w:r>
              <w:rPr>
                <w:rFonts w:ascii="宋体" w:hAnsi="宋体" w:eastAsia="宋体" w:cs="宋体"/>
                <w:sz w:val="18"/>
                <w:szCs w:val="18"/>
              </w:rPr>
              <w:t>员工的范围</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05E0E5D">
            <w:pPr>
              <w:spacing w:before="40" w:after="40" w:line="240" w:lineRule="exact"/>
              <w:jc w:val="center"/>
              <w:rPr>
                <w:rFonts w:ascii="宋体" w:hAnsi="宋体" w:eastAsia="宋体" w:cs="宋体"/>
                <w:sz w:val="18"/>
                <w:szCs w:val="18"/>
              </w:rPr>
            </w:pPr>
            <w:r>
              <w:rPr>
                <w:rFonts w:ascii="宋体" w:hAnsi="宋体" w:eastAsia="宋体" w:cs="宋体"/>
                <w:sz w:val="18"/>
                <w:szCs w:val="18"/>
              </w:rPr>
              <w:t>员工人数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E7E6776">
            <w:pPr>
              <w:spacing w:before="40" w:after="40" w:line="240" w:lineRule="exact"/>
              <w:jc w:val="center"/>
              <w:rPr>
                <w:rFonts w:ascii="宋体" w:hAnsi="宋体" w:eastAsia="宋体" w:cs="宋体"/>
                <w:sz w:val="18"/>
                <w:szCs w:val="18"/>
              </w:rPr>
            </w:pPr>
            <w:r>
              <w:rPr>
                <w:rFonts w:ascii="宋体" w:hAnsi="宋体" w:eastAsia="宋体" w:cs="宋体"/>
                <w:sz w:val="18"/>
                <w:szCs w:val="18"/>
              </w:rPr>
              <w:t>持有的股票总数（股）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6832586">
            <w:pPr>
              <w:spacing w:before="40" w:after="40" w:line="240" w:lineRule="exact"/>
              <w:jc w:val="center"/>
              <w:rPr>
                <w:rFonts w:ascii="宋体" w:hAnsi="宋体" w:eastAsia="宋体" w:cs="宋体"/>
                <w:sz w:val="18"/>
                <w:szCs w:val="18"/>
              </w:rPr>
            </w:pPr>
            <w:r>
              <w:rPr>
                <w:rFonts w:ascii="宋体" w:hAnsi="宋体" w:eastAsia="宋体" w:cs="宋体"/>
                <w:sz w:val="18"/>
                <w:szCs w:val="18"/>
              </w:rPr>
              <w:t>变更情况</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3442418">
            <w:pPr>
              <w:spacing w:before="40" w:after="40" w:line="240" w:lineRule="exact"/>
              <w:jc w:val="center"/>
              <w:rPr>
                <w:rFonts w:ascii="宋体" w:hAnsi="宋体" w:eastAsia="宋体" w:cs="宋体"/>
                <w:sz w:val="18"/>
                <w:szCs w:val="18"/>
              </w:rPr>
            </w:pPr>
            <w:r>
              <w:rPr>
                <w:rFonts w:ascii="宋体" w:hAnsi="宋体" w:eastAsia="宋体" w:cs="宋体"/>
                <w:sz w:val="18"/>
                <w:szCs w:val="18"/>
              </w:rPr>
              <w:t>占上市公司股本总额的比例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DE88B34">
            <w:pPr>
              <w:spacing w:before="40" w:after="40" w:line="240" w:lineRule="exact"/>
              <w:jc w:val="center"/>
              <w:rPr>
                <w:rFonts w:ascii="宋体" w:hAnsi="宋体" w:eastAsia="宋体" w:cs="宋体"/>
                <w:sz w:val="18"/>
                <w:szCs w:val="18"/>
              </w:rPr>
            </w:pPr>
            <w:r>
              <w:rPr>
                <w:rFonts w:ascii="宋体" w:hAnsi="宋体" w:eastAsia="宋体" w:cs="宋体"/>
                <w:sz w:val="18"/>
                <w:szCs w:val="18"/>
              </w:rPr>
              <w:t>实施计划的资金来源</w:t>
            </w:r>
          </w:p>
        </w:tc>
      </w:tr>
      <w:tr w14:paraId="66920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55B2922">
            <w:pPr>
              <w:spacing w:before="0" w:after="0" w:line="240" w:lineRule="exact"/>
              <w:jc w:val="left"/>
              <w:rPr>
                <w:rFonts w:ascii="宋体" w:hAnsi="宋体" w:eastAsia="宋体" w:cs="宋体"/>
                <w:sz w:val="18"/>
                <w:szCs w:val="18"/>
              </w:rPr>
            </w:pPr>
            <w:r>
              <w:rPr>
                <w:rFonts w:ascii="宋体" w:hAnsi="宋体" w:eastAsia="宋体" w:cs="宋体"/>
                <w:sz w:val="18"/>
                <w:szCs w:val="18"/>
              </w:rPr>
              <w:t>1、公司的董事（不含独立董事）、监事、高级管理人员；2、公司及公司的全资或控股子公司的中高层管理人员；3、公司及公司全资或控股子公司的核心业务技术骨干。</w:t>
            </w:r>
          </w:p>
        </w:tc>
        <w:tc>
          <w:tcPr>
            <w:tcW w:w="1606" w:type="dxa"/>
            <w:tcBorders>
              <w:top w:val="single" w:color="auto" w:sz="2" w:space="0"/>
              <w:left w:val="single" w:color="auto" w:sz="2" w:space="0"/>
              <w:bottom w:val="single" w:color="auto" w:sz="2" w:space="0"/>
              <w:right w:val="single" w:color="auto" w:sz="2" w:space="0"/>
            </w:tcBorders>
            <w:vAlign w:val="center"/>
          </w:tcPr>
          <w:p w14:paraId="33EE4551">
            <w:pPr>
              <w:spacing w:before="0" w:after="0" w:line="240" w:lineRule="exact"/>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不超过100人</w:t>
            </w:r>
          </w:p>
        </w:tc>
        <w:tc>
          <w:tcPr>
            <w:tcW w:w="1606" w:type="dxa"/>
            <w:tcBorders>
              <w:top w:val="single" w:color="auto" w:sz="2" w:space="0"/>
              <w:left w:val="single" w:color="auto" w:sz="2" w:space="0"/>
              <w:bottom w:val="single" w:color="auto" w:sz="2" w:space="0"/>
              <w:right w:val="single" w:color="auto" w:sz="2" w:space="0"/>
            </w:tcBorders>
            <w:vAlign w:val="center"/>
          </w:tcPr>
          <w:p w14:paraId="57265498">
            <w:pPr>
              <w:spacing w:before="0" w:after="0" w:line="240" w:lineRule="exact"/>
              <w:jc w:val="right"/>
              <w:rPr>
                <w:rFonts w:ascii="宋体" w:hAnsi="宋体" w:eastAsia="宋体" w:cs="宋体"/>
                <w:sz w:val="18"/>
                <w:szCs w:val="18"/>
              </w:rPr>
            </w:pPr>
            <w:r>
              <w:rPr>
                <w:rFonts w:ascii="宋体" w:hAnsi="宋体" w:eastAsia="宋体" w:cs="宋体"/>
                <w:sz w:val="18"/>
                <w:szCs w:val="18"/>
              </w:rPr>
              <w:t>29,800,000</w:t>
            </w:r>
          </w:p>
        </w:tc>
        <w:tc>
          <w:tcPr>
            <w:tcW w:w="1606" w:type="dxa"/>
            <w:tcBorders>
              <w:top w:val="single" w:color="auto" w:sz="2" w:space="0"/>
              <w:left w:val="single" w:color="auto" w:sz="2" w:space="0"/>
              <w:bottom w:val="single" w:color="auto" w:sz="2" w:space="0"/>
              <w:right w:val="single" w:color="auto" w:sz="2" w:space="0"/>
            </w:tcBorders>
            <w:vAlign w:val="center"/>
          </w:tcPr>
          <w:p w14:paraId="23731ED3">
            <w:pPr>
              <w:spacing w:before="0" w:after="0" w:line="240" w:lineRule="exact"/>
              <w:jc w:val="left"/>
              <w:rPr>
                <w:rFonts w:ascii="宋体" w:hAnsi="宋体" w:eastAsia="宋体" w:cs="宋体"/>
                <w:sz w:val="18"/>
                <w:szCs w:val="18"/>
              </w:rPr>
            </w:pPr>
            <w:r>
              <w:rPr>
                <w:rFonts w:ascii="宋体" w:hAnsi="宋体" w:eastAsia="宋体" w:cs="宋体"/>
                <w:sz w:val="18"/>
                <w:szCs w:val="18"/>
              </w:rPr>
              <w:t>公司于于2025年6月20日召开第九届董事会2025年第一次临时会议，审议通过了《关于调整第四期员工持股计划相关事项的议案》，对第四期员工持股计划的存续期、业绩考核等事项进行了调整。详见公司于2025年6月21日披露的《关于调整第四期员工持股计划相关事项的公告》（2025-30）、《华孚时尚股份有限公司第四期员工持股计划（修订版）》等相关公告。</w:t>
            </w:r>
          </w:p>
        </w:tc>
        <w:tc>
          <w:tcPr>
            <w:tcW w:w="1606" w:type="dxa"/>
            <w:tcBorders>
              <w:top w:val="single" w:color="auto" w:sz="2" w:space="0"/>
              <w:left w:val="single" w:color="auto" w:sz="2" w:space="0"/>
              <w:bottom w:val="single" w:color="auto" w:sz="2" w:space="0"/>
              <w:right w:val="single" w:color="auto" w:sz="2" w:space="0"/>
            </w:tcBorders>
            <w:vAlign w:val="center"/>
          </w:tcPr>
          <w:p w14:paraId="10B99E35">
            <w:pPr>
              <w:spacing w:before="0" w:after="0" w:line="240" w:lineRule="exact"/>
              <w:jc w:val="right"/>
              <w:rPr>
                <w:rFonts w:ascii="宋体" w:hAnsi="宋体" w:eastAsia="宋体" w:cs="宋体"/>
                <w:sz w:val="18"/>
                <w:szCs w:val="18"/>
              </w:rPr>
            </w:pPr>
            <w:r>
              <w:rPr>
                <w:rFonts w:ascii="宋体" w:hAnsi="宋体" w:eastAsia="宋体" w:cs="宋体"/>
                <w:sz w:val="18"/>
                <w:szCs w:val="18"/>
              </w:rPr>
              <w:t>1.75%</w:t>
            </w:r>
          </w:p>
        </w:tc>
        <w:tc>
          <w:tcPr>
            <w:tcW w:w="1606" w:type="dxa"/>
            <w:tcBorders>
              <w:top w:val="single" w:color="auto" w:sz="2" w:space="0"/>
              <w:left w:val="single" w:color="auto" w:sz="2" w:space="0"/>
              <w:bottom w:val="single" w:color="auto" w:sz="2" w:space="0"/>
              <w:right w:val="single" w:color="auto" w:sz="2" w:space="0"/>
            </w:tcBorders>
            <w:vAlign w:val="center"/>
          </w:tcPr>
          <w:p w14:paraId="1C9AB288">
            <w:pPr>
              <w:spacing w:before="0" w:after="0" w:line="240" w:lineRule="exact"/>
              <w:jc w:val="left"/>
              <w:rPr>
                <w:rFonts w:ascii="宋体" w:hAnsi="宋体" w:eastAsia="宋体" w:cs="宋体"/>
                <w:sz w:val="18"/>
                <w:szCs w:val="18"/>
              </w:rPr>
            </w:pPr>
            <w:r>
              <w:rPr>
                <w:rFonts w:ascii="宋体" w:hAnsi="宋体" w:eastAsia="宋体" w:cs="宋体"/>
                <w:sz w:val="18"/>
                <w:szCs w:val="18"/>
              </w:rPr>
              <w:t>员工合法薪酬及通过法律、行政法规允许的其他方式获得的自筹资金。</w:t>
            </w:r>
          </w:p>
        </w:tc>
      </w:tr>
    </w:tbl>
    <w:p w14:paraId="0A980289">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报告期内董事、高级管理人员在员工持股计划中的持股情况</w:t>
      </w:r>
    </w:p>
    <w:tbl>
      <w:tblPr>
        <w:tblStyle w:val="10"/>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6AA03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AB31282">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49DB9B9">
            <w:pPr>
              <w:spacing w:before="40" w:after="40" w:line="240" w:lineRule="exact"/>
              <w:jc w:val="center"/>
              <w:rPr>
                <w:rFonts w:ascii="宋体" w:hAnsi="宋体" w:eastAsia="宋体" w:cs="宋体"/>
                <w:sz w:val="18"/>
                <w:szCs w:val="18"/>
              </w:rPr>
            </w:pPr>
            <w:r>
              <w:rPr>
                <w:rFonts w:ascii="宋体" w:hAnsi="宋体" w:eastAsia="宋体" w:cs="宋体"/>
                <w:sz w:val="18"/>
                <w:szCs w:val="18"/>
              </w:rPr>
              <w:t>职务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AF9E5FC">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报告期初持股数（股）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A83DF43">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报告期末持股数（股）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E946FC7">
            <w:pPr>
              <w:spacing w:before="40" w:after="40" w:line="240" w:lineRule="exact"/>
              <w:jc w:val="center"/>
              <w:rPr>
                <w:rFonts w:ascii="宋体" w:hAnsi="宋体" w:eastAsia="宋体" w:cs="宋体"/>
                <w:sz w:val="18"/>
                <w:szCs w:val="18"/>
              </w:rPr>
            </w:pPr>
            <w:r>
              <w:rPr>
                <w:rFonts w:ascii="宋体" w:hAnsi="宋体" w:eastAsia="宋体" w:cs="宋体"/>
                <w:sz w:val="18"/>
                <w:szCs w:val="18"/>
              </w:rPr>
              <w:t>占上市公司股本总额的比例</w:t>
            </w:r>
          </w:p>
        </w:tc>
      </w:tr>
      <w:tr w14:paraId="5D20D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D850881">
            <w:pPr>
              <w:spacing w:before="0" w:after="0" w:line="240" w:lineRule="exact"/>
              <w:jc w:val="left"/>
              <w:rPr>
                <w:rFonts w:ascii="宋体" w:hAnsi="宋体" w:eastAsia="宋体" w:cs="宋体"/>
                <w:sz w:val="18"/>
                <w:szCs w:val="18"/>
              </w:rPr>
            </w:pPr>
            <w:r>
              <w:rPr>
                <w:rFonts w:ascii="宋体" w:hAnsi="宋体" w:eastAsia="宋体" w:cs="宋体"/>
                <w:sz w:val="18"/>
                <w:szCs w:val="18"/>
              </w:rPr>
              <w:t>孙小挺</w:t>
            </w:r>
          </w:p>
        </w:tc>
        <w:tc>
          <w:tcPr>
            <w:tcW w:w="1928" w:type="dxa"/>
            <w:tcBorders>
              <w:top w:val="single" w:color="auto" w:sz="2" w:space="0"/>
              <w:left w:val="single" w:color="auto" w:sz="2" w:space="0"/>
              <w:bottom w:val="single" w:color="auto" w:sz="2" w:space="0"/>
              <w:right w:val="single" w:color="auto" w:sz="2" w:space="0"/>
            </w:tcBorders>
            <w:vAlign w:val="center"/>
          </w:tcPr>
          <w:p w14:paraId="2DA07298">
            <w:pPr>
              <w:spacing w:before="0" w:after="0" w:line="240" w:lineRule="exact"/>
              <w:jc w:val="left"/>
              <w:rPr>
                <w:rFonts w:ascii="宋体" w:hAnsi="宋体" w:eastAsia="宋体" w:cs="宋体"/>
                <w:sz w:val="18"/>
                <w:szCs w:val="18"/>
              </w:rPr>
            </w:pPr>
            <w:r>
              <w:rPr>
                <w:rFonts w:ascii="宋体" w:hAnsi="宋体" w:eastAsia="宋体" w:cs="宋体"/>
                <w:sz w:val="18"/>
                <w:szCs w:val="18"/>
              </w:rPr>
              <w:t>副总裁</w:t>
            </w:r>
          </w:p>
        </w:tc>
        <w:tc>
          <w:tcPr>
            <w:tcW w:w="1928" w:type="dxa"/>
            <w:tcBorders>
              <w:top w:val="single" w:color="auto" w:sz="2" w:space="0"/>
              <w:left w:val="single" w:color="auto" w:sz="2" w:space="0"/>
              <w:bottom w:val="single" w:color="auto" w:sz="2" w:space="0"/>
              <w:right w:val="single" w:color="auto" w:sz="2" w:space="0"/>
            </w:tcBorders>
            <w:vAlign w:val="center"/>
          </w:tcPr>
          <w:p w14:paraId="5B9FE66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928" w:type="dxa"/>
            <w:tcBorders>
              <w:top w:val="single" w:color="auto" w:sz="2" w:space="0"/>
              <w:left w:val="single" w:color="auto" w:sz="2" w:space="0"/>
              <w:bottom w:val="single" w:color="auto" w:sz="2" w:space="0"/>
              <w:right w:val="single" w:color="auto" w:sz="2" w:space="0"/>
            </w:tcBorders>
            <w:vAlign w:val="center"/>
          </w:tcPr>
          <w:p w14:paraId="7D6856B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928" w:type="dxa"/>
            <w:tcBorders>
              <w:top w:val="single" w:color="auto" w:sz="2" w:space="0"/>
              <w:left w:val="single" w:color="auto" w:sz="2" w:space="0"/>
              <w:bottom w:val="single" w:color="auto" w:sz="2" w:space="0"/>
              <w:right w:val="single" w:color="auto" w:sz="2" w:space="0"/>
            </w:tcBorders>
            <w:vAlign w:val="center"/>
          </w:tcPr>
          <w:p w14:paraId="648FD78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6E74A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6331DAB1">
            <w:pPr>
              <w:spacing w:before="0" w:after="0" w:line="240" w:lineRule="exact"/>
              <w:jc w:val="left"/>
              <w:rPr>
                <w:rFonts w:ascii="宋体" w:hAnsi="宋体" w:eastAsia="宋体" w:cs="宋体"/>
                <w:sz w:val="18"/>
                <w:szCs w:val="18"/>
              </w:rPr>
            </w:pPr>
            <w:r>
              <w:rPr>
                <w:rFonts w:ascii="宋体" w:hAnsi="宋体" w:eastAsia="宋体" w:cs="宋体"/>
                <w:sz w:val="18"/>
                <w:szCs w:val="18"/>
              </w:rPr>
              <w:t>程桂松</w:t>
            </w:r>
          </w:p>
        </w:tc>
        <w:tc>
          <w:tcPr>
            <w:tcW w:w="1928" w:type="dxa"/>
            <w:tcBorders>
              <w:top w:val="single" w:color="auto" w:sz="2" w:space="0"/>
              <w:left w:val="single" w:color="auto" w:sz="2" w:space="0"/>
              <w:bottom w:val="single" w:color="auto" w:sz="2" w:space="0"/>
              <w:right w:val="single" w:color="auto" w:sz="2" w:space="0"/>
            </w:tcBorders>
            <w:vAlign w:val="center"/>
          </w:tcPr>
          <w:p w14:paraId="02A9ED1D">
            <w:pPr>
              <w:spacing w:before="0" w:after="0" w:line="240" w:lineRule="exact"/>
              <w:jc w:val="left"/>
              <w:rPr>
                <w:rFonts w:ascii="宋体" w:hAnsi="宋体" w:eastAsia="宋体" w:cs="宋体"/>
                <w:sz w:val="18"/>
                <w:szCs w:val="18"/>
              </w:rPr>
            </w:pPr>
            <w:r>
              <w:rPr>
                <w:rFonts w:ascii="宋体" w:hAnsi="宋体" w:eastAsia="宋体" w:cs="宋体"/>
                <w:sz w:val="18"/>
                <w:szCs w:val="18"/>
              </w:rPr>
              <w:t>董事、副总裁</w:t>
            </w:r>
          </w:p>
        </w:tc>
        <w:tc>
          <w:tcPr>
            <w:tcW w:w="1928" w:type="dxa"/>
            <w:tcBorders>
              <w:top w:val="single" w:color="auto" w:sz="2" w:space="0"/>
              <w:left w:val="single" w:color="auto" w:sz="2" w:space="0"/>
              <w:bottom w:val="single" w:color="auto" w:sz="2" w:space="0"/>
              <w:right w:val="single" w:color="auto" w:sz="2" w:space="0"/>
            </w:tcBorders>
            <w:vAlign w:val="center"/>
          </w:tcPr>
          <w:p w14:paraId="27018AC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928" w:type="dxa"/>
            <w:tcBorders>
              <w:top w:val="single" w:color="auto" w:sz="2" w:space="0"/>
              <w:left w:val="single" w:color="auto" w:sz="2" w:space="0"/>
              <w:bottom w:val="single" w:color="auto" w:sz="2" w:space="0"/>
              <w:right w:val="single" w:color="auto" w:sz="2" w:space="0"/>
            </w:tcBorders>
            <w:vAlign w:val="center"/>
          </w:tcPr>
          <w:p w14:paraId="6F310A9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928" w:type="dxa"/>
            <w:tcBorders>
              <w:top w:val="single" w:color="auto" w:sz="2" w:space="0"/>
              <w:left w:val="single" w:color="auto" w:sz="2" w:space="0"/>
              <w:bottom w:val="single" w:color="auto" w:sz="2" w:space="0"/>
              <w:right w:val="single" w:color="auto" w:sz="2" w:space="0"/>
            </w:tcBorders>
            <w:vAlign w:val="center"/>
          </w:tcPr>
          <w:p w14:paraId="102CAB0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2A935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E548CE5">
            <w:pPr>
              <w:spacing w:before="0" w:after="0" w:line="240" w:lineRule="exact"/>
              <w:jc w:val="left"/>
              <w:rPr>
                <w:rFonts w:ascii="宋体" w:hAnsi="宋体" w:eastAsia="宋体" w:cs="宋体"/>
                <w:sz w:val="18"/>
                <w:szCs w:val="18"/>
              </w:rPr>
            </w:pPr>
            <w:r>
              <w:rPr>
                <w:rFonts w:ascii="宋体" w:hAnsi="宋体" w:eastAsia="宋体" w:cs="宋体"/>
                <w:sz w:val="18"/>
                <w:szCs w:val="18"/>
              </w:rPr>
              <w:t>王国友</w:t>
            </w:r>
          </w:p>
        </w:tc>
        <w:tc>
          <w:tcPr>
            <w:tcW w:w="1928" w:type="dxa"/>
            <w:tcBorders>
              <w:top w:val="single" w:color="auto" w:sz="2" w:space="0"/>
              <w:left w:val="single" w:color="auto" w:sz="2" w:space="0"/>
              <w:bottom w:val="single" w:color="auto" w:sz="2" w:space="0"/>
              <w:right w:val="single" w:color="auto" w:sz="2" w:space="0"/>
            </w:tcBorders>
            <w:vAlign w:val="center"/>
          </w:tcPr>
          <w:p w14:paraId="69BB0A1C">
            <w:pPr>
              <w:spacing w:before="0" w:after="0" w:line="240" w:lineRule="exact"/>
              <w:jc w:val="left"/>
              <w:rPr>
                <w:rFonts w:ascii="宋体" w:hAnsi="宋体" w:eastAsia="宋体" w:cs="宋体"/>
                <w:sz w:val="18"/>
                <w:szCs w:val="18"/>
              </w:rPr>
            </w:pPr>
            <w:r>
              <w:rPr>
                <w:rFonts w:ascii="宋体" w:hAnsi="宋体" w:eastAsia="宋体" w:cs="宋体"/>
                <w:sz w:val="18"/>
                <w:szCs w:val="18"/>
              </w:rPr>
              <w:t>董事、财务总监</w:t>
            </w:r>
          </w:p>
        </w:tc>
        <w:tc>
          <w:tcPr>
            <w:tcW w:w="1928" w:type="dxa"/>
            <w:tcBorders>
              <w:top w:val="single" w:color="auto" w:sz="2" w:space="0"/>
              <w:left w:val="single" w:color="auto" w:sz="2" w:space="0"/>
              <w:bottom w:val="single" w:color="auto" w:sz="2" w:space="0"/>
              <w:right w:val="single" w:color="auto" w:sz="2" w:space="0"/>
            </w:tcBorders>
            <w:vAlign w:val="center"/>
          </w:tcPr>
          <w:p w14:paraId="489C0CA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928" w:type="dxa"/>
            <w:tcBorders>
              <w:top w:val="single" w:color="auto" w:sz="2" w:space="0"/>
              <w:left w:val="single" w:color="auto" w:sz="2" w:space="0"/>
              <w:bottom w:val="single" w:color="auto" w:sz="2" w:space="0"/>
              <w:right w:val="single" w:color="auto" w:sz="2" w:space="0"/>
            </w:tcBorders>
            <w:vAlign w:val="center"/>
          </w:tcPr>
          <w:p w14:paraId="2C2940F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928" w:type="dxa"/>
            <w:tcBorders>
              <w:top w:val="single" w:color="auto" w:sz="2" w:space="0"/>
              <w:left w:val="single" w:color="auto" w:sz="2" w:space="0"/>
              <w:bottom w:val="single" w:color="auto" w:sz="2" w:space="0"/>
              <w:right w:val="single" w:color="auto" w:sz="2" w:space="0"/>
            </w:tcBorders>
            <w:vAlign w:val="center"/>
          </w:tcPr>
          <w:p w14:paraId="5ABB5C23">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650F5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3ED2450C">
            <w:pPr>
              <w:spacing w:before="0" w:after="0" w:line="240" w:lineRule="exact"/>
              <w:jc w:val="left"/>
              <w:rPr>
                <w:rFonts w:ascii="宋体" w:hAnsi="宋体" w:eastAsia="宋体" w:cs="宋体"/>
                <w:sz w:val="18"/>
                <w:szCs w:val="18"/>
              </w:rPr>
            </w:pPr>
            <w:r>
              <w:rPr>
                <w:rFonts w:ascii="宋体" w:hAnsi="宋体" w:eastAsia="宋体" w:cs="宋体"/>
                <w:sz w:val="18"/>
                <w:szCs w:val="18"/>
              </w:rPr>
              <w:t>张正</w:t>
            </w:r>
          </w:p>
        </w:tc>
        <w:tc>
          <w:tcPr>
            <w:tcW w:w="1928" w:type="dxa"/>
            <w:tcBorders>
              <w:top w:val="single" w:color="auto" w:sz="2" w:space="0"/>
              <w:left w:val="single" w:color="auto" w:sz="2" w:space="0"/>
              <w:bottom w:val="single" w:color="auto" w:sz="2" w:space="0"/>
              <w:right w:val="single" w:color="auto" w:sz="2" w:space="0"/>
            </w:tcBorders>
            <w:vAlign w:val="center"/>
          </w:tcPr>
          <w:p w14:paraId="2E19D162">
            <w:pPr>
              <w:spacing w:before="0" w:after="0" w:line="240" w:lineRule="exact"/>
              <w:jc w:val="left"/>
              <w:rPr>
                <w:rFonts w:ascii="宋体" w:hAnsi="宋体" w:eastAsia="宋体" w:cs="宋体"/>
                <w:sz w:val="18"/>
                <w:szCs w:val="18"/>
              </w:rPr>
            </w:pPr>
            <w:r>
              <w:rPr>
                <w:rFonts w:ascii="宋体" w:hAnsi="宋体" w:eastAsia="宋体" w:cs="宋体"/>
                <w:sz w:val="18"/>
                <w:szCs w:val="18"/>
              </w:rPr>
              <w:t>董事、董事会秘书、副总裁</w:t>
            </w:r>
          </w:p>
        </w:tc>
        <w:tc>
          <w:tcPr>
            <w:tcW w:w="1928" w:type="dxa"/>
            <w:tcBorders>
              <w:top w:val="single" w:color="auto" w:sz="2" w:space="0"/>
              <w:left w:val="single" w:color="auto" w:sz="2" w:space="0"/>
              <w:bottom w:val="single" w:color="auto" w:sz="2" w:space="0"/>
              <w:right w:val="single" w:color="auto" w:sz="2" w:space="0"/>
            </w:tcBorders>
            <w:vAlign w:val="center"/>
          </w:tcPr>
          <w:p w14:paraId="2735E12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928" w:type="dxa"/>
            <w:tcBorders>
              <w:top w:val="single" w:color="auto" w:sz="2" w:space="0"/>
              <w:left w:val="single" w:color="auto" w:sz="2" w:space="0"/>
              <w:bottom w:val="single" w:color="auto" w:sz="2" w:space="0"/>
              <w:right w:val="single" w:color="auto" w:sz="2" w:space="0"/>
            </w:tcBorders>
            <w:vAlign w:val="center"/>
          </w:tcPr>
          <w:p w14:paraId="3B3E400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928" w:type="dxa"/>
            <w:tcBorders>
              <w:top w:val="single" w:color="auto" w:sz="2" w:space="0"/>
              <w:left w:val="single" w:color="auto" w:sz="2" w:space="0"/>
              <w:bottom w:val="single" w:color="auto" w:sz="2" w:space="0"/>
              <w:right w:val="single" w:color="auto" w:sz="2" w:space="0"/>
            </w:tcBorders>
            <w:vAlign w:val="center"/>
          </w:tcPr>
          <w:p w14:paraId="2F8FCFA4">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77570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A66D9AD">
            <w:pPr>
              <w:spacing w:before="0" w:after="0" w:line="240" w:lineRule="exact"/>
              <w:jc w:val="left"/>
              <w:rPr>
                <w:rFonts w:ascii="宋体" w:hAnsi="宋体" w:eastAsia="宋体" w:cs="宋体"/>
                <w:sz w:val="18"/>
                <w:szCs w:val="18"/>
              </w:rPr>
            </w:pPr>
            <w:r>
              <w:rPr>
                <w:rFonts w:ascii="宋体" w:hAnsi="宋体" w:eastAsia="宋体" w:cs="宋体"/>
                <w:sz w:val="18"/>
                <w:szCs w:val="18"/>
              </w:rPr>
              <w:t>宣刚江</w:t>
            </w:r>
          </w:p>
        </w:tc>
        <w:tc>
          <w:tcPr>
            <w:tcW w:w="1928" w:type="dxa"/>
            <w:tcBorders>
              <w:top w:val="single" w:color="auto" w:sz="2" w:space="0"/>
              <w:left w:val="single" w:color="auto" w:sz="2" w:space="0"/>
              <w:bottom w:val="single" w:color="auto" w:sz="2" w:space="0"/>
              <w:right w:val="single" w:color="auto" w:sz="2" w:space="0"/>
            </w:tcBorders>
            <w:vAlign w:val="center"/>
          </w:tcPr>
          <w:p w14:paraId="2741010D">
            <w:pPr>
              <w:spacing w:before="0" w:after="0" w:line="240" w:lineRule="exact"/>
              <w:jc w:val="left"/>
              <w:rPr>
                <w:rFonts w:ascii="宋体" w:hAnsi="宋体" w:eastAsia="宋体" w:cs="宋体"/>
                <w:sz w:val="18"/>
                <w:szCs w:val="18"/>
              </w:rPr>
            </w:pPr>
            <w:r>
              <w:rPr>
                <w:rFonts w:ascii="宋体" w:hAnsi="宋体" w:eastAsia="宋体" w:cs="宋体"/>
                <w:sz w:val="18"/>
                <w:szCs w:val="18"/>
              </w:rPr>
              <w:t>董事</w:t>
            </w:r>
          </w:p>
        </w:tc>
        <w:tc>
          <w:tcPr>
            <w:tcW w:w="1928" w:type="dxa"/>
            <w:tcBorders>
              <w:top w:val="single" w:color="auto" w:sz="2" w:space="0"/>
              <w:left w:val="single" w:color="auto" w:sz="2" w:space="0"/>
              <w:bottom w:val="single" w:color="auto" w:sz="2" w:space="0"/>
              <w:right w:val="single" w:color="auto" w:sz="2" w:space="0"/>
            </w:tcBorders>
            <w:vAlign w:val="center"/>
          </w:tcPr>
          <w:p w14:paraId="13909E1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928" w:type="dxa"/>
            <w:tcBorders>
              <w:top w:val="single" w:color="auto" w:sz="2" w:space="0"/>
              <w:left w:val="single" w:color="auto" w:sz="2" w:space="0"/>
              <w:bottom w:val="single" w:color="auto" w:sz="2" w:space="0"/>
              <w:right w:val="single" w:color="auto" w:sz="2" w:space="0"/>
            </w:tcBorders>
            <w:vAlign w:val="center"/>
          </w:tcPr>
          <w:p w14:paraId="1AC8561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928" w:type="dxa"/>
            <w:tcBorders>
              <w:top w:val="single" w:color="auto" w:sz="2" w:space="0"/>
              <w:left w:val="single" w:color="auto" w:sz="2" w:space="0"/>
              <w:bottom w:val="single" w:color="auto" w:sz="2" w:space="0"/>
              <w:right w:val="single" w:color="auto" w:sz="2" w:space="0"/>
            </w:tcBorders>
            <w:vAlign w:val="center"/>
          </w:tcPr>
          <w:p w14:paraId="6A87B885">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3AC36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E646CA2">
            <w:pPr>
              <w:spacing w:before="0" w:after="0" w:line="240" w:lineRule="exact"/>
              <w:jc w:val="left"/>
              <w:rPr>
                <w:rFonts w:ascii="宋体" w:hAnsi="宋体" w:eastAsia="宋体" w:cs="宋体"/>
                <w:sz w:val="18"/>
                <w:szCs w:val="18"/>
              </w:rPr>
            </w:pPr>
            <w:r>
              <w:rPr>
                <w:rFonts w:ascii="宋体" w:hAnsi="宋体" w:eastAsia="宋体" w:cs="宋体"/>
                <w:sz w:val="18"/>
                <w:szCs w:val="18"/>
              </w:rPr>
              <w:t>张宝春</w:t>
            </w:r>
          </w:p>
        </w:tc>
        <w:tc>
          <w:tcPr>
            <w:tcW w:w="1928" w:type="dxa"/>
            <w:tcBorders>
              <w:top w:val="single" w:color="auto" w:sz="2" w:space="0"/>
              <w:left w:val="single" w:color="auto" w:sz="2" w:space="0"/>
              <w:bottom w:val="single" w:color="auto" w:sz="2" w:space="0"/>
              <w:right w:val="single" w:color="auto" w:sz="2" w:space="0"/>
            </w:tcBorders>
            <w:vAlign w:val="center"/>
          </w:tcPr>
          <w:p w14:paraId="54FE12DD">
            <w:pPr>
              <w:spacing w:before="0" w:after="0" w:line="240" w:lineRule="exact"/>
              <w:jc w:val="left"/>
              <w:rPr>
                <w:rFonts w:ascii="宋体" w:hAnsi="宋体" w:eastAsia="宋体" w:cs="宋体"/>
                <w:sz w:val="18"/>
                <w:szCs w:val="18"/>
              </w:rPr>
            </w:pPr>
            <w:r>
              <w:rPr>
                <w:rFonts w:ascii="宋体" w:hAnsi="宋体" w:eastAsia="宋体" w:cs="宋体"/>
                <w:sz w:val="18"/>
                <w:szCs w:val="18"/>
              </w:rPr>
              <w:t>副总裁</w:t>
            </w:r>
          </w:p>
        </w:tc>
        <w:tc>
          <w:tcPr>
            <w:tcW w:w="1928" w:type="dxa"/>
            <w:tcBorders>
              <w:top w:val="single" w:color="auto" w:sz="2" w:space="0"/>
              <w:left w:val="single" w:color="auto" w:sz="2" w:space="0"/>
              <w:bottom w:val="single" w:color="auto" w:sz="2" w:space="0"/>
              <w:right w:val="single" w:color="auto" w:sz="2" w:space="0"/>
            </w:tcBorders>
            <w:vAlign w:val="center"/>
          </w:tcPr>
          <w:p w14:paraId="4C92BE9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928" w:type="dxa"/>
            <w:tcBorders>
              <w:top w:val="single" w:color="auto" w:sz="2" w:space="0"/>
              <w:left w:val="single" w:color="auto" w:sz="2" w:space="0"/>
              <w:bottom w:val="single" w:color="auto" w:sz="2" w:space="0"/>
              <w:right w:val="single" w:color="auto" w:sz="2" w:space="0"/>
            </w:tcBorders>
            <w:vAlign w:val="center"/>
          </w:tcPr>
          <w:p w14:paraId="0CCEB599">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928" w:type="dxa"/>
            <w:tcBorders>
              <w:top w:val="single" w:color="auto" w:sz="2" w:space="0"/>
              <w:left w:val="single" w:color="auto" w:sz="2" w:space="0"/>
              <w:bottom w:val="single" w:color="auto" w:sz="2" w:space="0"/>
              <w:right w:val="single" w:color="auto" w:sz="2" w:space="0"/>
            </w:tcBorders>
            <w:vAlign w:val="center"/>
          </w:tcPr>
          <w:p w14:paraId="1A3E865F">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14:paraId="5B7EC8EB">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报告期内资产管理机构的变更情况</w:t>
      </w:r>
    </w:p>
    <w:p w14:paraId="395075F2">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C3BB3F8">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报告期内因持有人处置份额等引起的权益变动情况</w:t>
      </w:r>
    </w:p>
    <w:p w14:paraId="3EA2E1D0">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EB3A2C8">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报告期内股东权利行使的情况</w:t>
      </w:r>
    </w:p>
    <w:p w14:paraId="4E36059C">
      <w:pPr>
        <w:pStyle w:val="9"/>
        <w:keepNext w:val="0"/>
        <w:keepLines w:val="0"/>
        <w:widowControl/>
        <w:suppressLineNumbers w:val="0"/>
      </w:pPr>
      <w:r>
        <w:rPr>
          <w:rFonts w:hint="eastAsia" w:ascii="宋体" w:hAnsi="宋体" w:eastAsia="宋体" w:cs="宋体"/>
          <w:sz w:val="18"/>
          <w:szCs w:val="18"/>
        </w:rPr>
        <w:t>无</w:t>
      </w:r>
    </w:p>
    <w:p w14:paraId="03149CA7">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报告期内员工持股计划的其他相关情形及说明</w:t>
      </w:r>
    </w:p>
    <w:p w14:paraId="0C93048E">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44D4ACA">
      <w:pPr>
        <w:spacing w:before="100" w:after="100" w:line="240" w:lineRule="exact"/>
        <w:jc w:val="left"/>
        <w:rPr>
          <w:rFonts w:ascii="宋体" w:hAnsi="宋体" w:eastAsia="宋体" w:cs="宋体"/>
          <w:sz w:val="18"/>
          <w:szCs w:val="18"/>
        </w:rPr>
      </w:pPr>
      <w:r>
        <w:rPr>
          <w:rFonts w:ascii="宋体" w:hAnsi="宋体" w:eastAsia="宋体" w:cs="宋体"/>
          <w:sz w:val="18"/>
          <w:szCs w:val="18"/>
        </w:rPr>
        <w:t>员工持股计划管理委员会成员发生变化</w:t>
      </w:r>
    </w:p>
    <w:p w14:paraId="5C056FAD">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0D492DA">
      <w:pPr>
        <w:spacing w:before="100" w:after="100" w:line="240" w:lineRule="exact"/>
        <w:jc w:val="left"/>
        <w:rPr>
          <w:rFonts w:ascii="宋体" w:hAnsi="宋体" w:eastAsia="宋体" w:cs="宋体"/>
          <w:sz w:val="18"/>
          <w:szCs w:val="18"/>
        </w:rPr>
      </w:pPr>
      <w:r>
        <w:rPr>
          <w:rFonts w:ascii="宋体" w:hAnsi="宋体" w:eastAsia="宋体" w:cs="宋体"/>
          <w:sz w:val="18"/>
          <w:szCs w:val="18"/>
        </w:rPr>
        <w:t>员工持股计划对报告期上市公司的财务影响及相关会计处理</w:t>
      </w:r>
    </w:p>
    <w:p w14:paraId="140408AE">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04FF072">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报告期内员工持股计划终止的情况</w:t>
      </w:r>
    </w:p>
    <w:p w14:paraId="3CD0126F">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62993BB">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14:paraId="4F2A133B">
      <w:pPr>
        <w:pStyle w:val="3"/>
        <w:keepNext/>
        <w:keepLines/>
        <w:spacing w:before="300" w:after="300" w:line="280" w:lineRule="exact"/>
        <w:jc w:val="left"/>
        <w:outlineLvl w:val="2"/>
        <w:rPr>
          <w:rFonts w:ascii="宋体" w:hAnsi="宋体" w:eastAsia="宋体" w:cs="宋体"/>
          <w:b/>
          <w:bCs/>
          <w:sz w:val="21"/>
          <w:szCs w:val="21"/>
        </w:rPr>
      </w:pPr>
      <w:r>
        <w:rPr>
          <w:rFonts w:ascii="宋体" w:hAnsi="宋体" w:eastAsia="宋体" w:cs="宋体"/>
          <w:b/>
          <w:bCs/>
          <w:sz w:val="21"/>
          <w:szCs w:val="21"/>
        </w:rPr>
        <w:t>3、其他员工激励措施</w:t>
      </w:r>
    </w:p>
    <w:p w14:paraId="6F203B19">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D48DBA3">
      <w:pPr>
        <w:pStyle w:val="2"/>
        <w:spacing w:before="300" w:after="300" w:line="320" w:lineRule="exact"/>
        <w:rPr>
          <w:rFonts w:ascii="宋体" w:hAnsi="宋体" w:eastAsia="宋体" w:cs="宋体"/>
          <w:b/>
          <w:bCs/>
          <w:sz w:val="24"/>
          <w:szCs w:val="24"/>
        </w:rPr>
      </w:pPr>
      <w:bookmarkStart w:id="84" w:name="_Toc988973"/>
      <w:r>
        <w:rPr>
          <w:rFonts w:ascii="宋体" w:hAnsi="宋体" w:eastAsia="宋体" w:cs="宋体"/>
          <w:b/>
          <w:bCs/>
          <w:sz w:val="24"/>
          <w:szCs w:val="24"/>
        </w:rPr>
        <w:t>十一、报告期内的内部控制制度建设及实施情况</w:t>
      </w:r>
      <w:bookmarkEnd w:id="84"/>
    </w:p>
    <w:p w14:paraId="4E8C8E52">
      <w:pPr>
        <w:pStyle w:val="3"/>
        <w:spacing w:line="280" w:lineRule="exact"/>
        <w:jc w:val="left"/>
        <w:rPr>
          <w:rFonts w:ascii="宋体" w:hAnsi="宋体" w:cs="宋体"/>
          <w:b/>
          <w:bCs/>
        </w:rPr>
      </w:pPr>
      <w:bookmarkStart w:id="85" w:name="_Toc988974"/>
      <w:r>
        <w:rPr>
          <w:rFonts w:ascii="宋体" w:hAnsi="宋体" w:cs="宋体"/>
          <w:b/>
          <w:bCs/>
        </w:rPr>
        <w:t>1、内部控制建设及实施情况</w:t>
      </w:r>
      <w:bookmarkEnd w:id="85"/>
    </w:p>
    <w:p w14:paraId="3A6D0FAF">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sz w:val="18"/>
          <w:szCs w:val="18"/>
        </w:rPr>
      </w:pPr>
      <w:r>
        <w:rPr>
          <w:rFonts w:hint="eastAsia"/>
          <w:sz w:val="18"/>
          <w:szCs w:val="18"/>
        </w:rPr>
        <w:t>报告期内，公司形成较完备的内部控制制度体系，内容涵盖资金活动、采购业务、资产管理、销售业务、研究开发、工程项目、担保业务、关联方及其交易、法律事务、财务报告、预算管理、合同管理、内部信息传递、信息系统等多个领域，公司持续完善内部控制制度建设，强化内部审计监督，提高内部审计工作的深度和广度，确保内部控制制度得到有效执行，切实提升公司规范运作水平，促进公司健康可持续发展。报告期内，公司内部控制制度设计健全、合理，内部控制执行基本有效，不存在重大遗漏。</w:t>
      </w:r>
    </w:p>
    <w:p w14:paraId="025A4785">
      <w:pPr>
        <w:pStyle w:val="3"/>
        <w:spacing w:line="280" w:lineRule="exact"/>
        <w:jc w:val="left"/>
        <w:rPr>
          <w:rFonts w:ascii="宋体" w:hAnsi="宋体" w:cs="宋体"/>
          <w:b/>
          <w:bCs/>
        </w:rPr>
      </w:pPr>
      <w:bookmarkStart w:id="86" w:name="_Toc988975"/>
      <w:r>
        <w:rPr>
          <w:rFonts w:ascii="宋体" w:hAnsi="宋体" w:cs="宋体"/>
          <w:b/>
          <w:bCs/>
        </w:rPr>
        <w:t>2、报告期内发现的内部控制重大缺陷的具体情况</w:t>
      </w:r>
      <w:bookmarkEnd w:id="86"/>
    </w:p>
    <w:p w14:paraId="0F862707">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1B474C8F">
      <w:pPr>
        <w:pStyle w:val="2"/>
        <w:spacing w:before="300" w:after="300" w:line="320" w:lineRule="exact"/>
        <w:rPr>
          <w:rFonts w:ascii="宋体" w:hAnsi="宋体" w:eastAsia="宋体" w:cs="宋体"/>
          <w:b/>
          <w:bCs/>
          <w:sz w:val="24"/>
          <w:szCs w:val="24"/>
        </w:rPr>
      </w:pPr>
      <w:bookmarkStart w:id="87" w:name="_Toc988976"/>
      <w:r>
        <w:rPr>
          <w:rFonts w:ascii="宋体" w:hAnsi="宋体" w:eastAsia="宋体" w:cs="宋体"/>
          <w:b/>
          <w:bCs/>
          <w:sz w:val="24"/>
          <w:szCs w:val="24"/>
        </w:rPr>
        <w:t>十二、公司报告期内对子公司的管理控制情况</w:t>
      </w:r>
      <w:bookmarkEnd w:id="87"/>
    </w:p>
    <w:p w14:paraId="0B9C20CE">
      <w:pPr>
        <w:spacing w:before="100" w:after="100" w:line="240" w:lineRule="exact"/>
        <w:rPr>
          <w:rFonts w:ascii="宋体" w:hAnsi="宋体" w:eastAsia="宋体" w:cs="宋体"/>
          <w:sz w:val="18"/>
          <w:szCs w:val="18"/>
        </w:rPr>
      </w:pPr>
      <w:r>
        <w:rPr>
          <w:rFonts w:ascii="宋体" w:hAnsi="宋体" w:eastAsia="宋体" w:cs="宋体"/>
          <w:sz w:val="18"/>
          <w:szCs w:val="18"/>
        </w:rPr>
        <w:t>对子公司的管理控制存在异常</w:t>
      </w:r>
    </w:p>
    <w:p w14:paraId="6A97E5D8">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64A34F80">
      <w:pPr>
        <w:pStyle w:val="2"/>
        <w:spacing w:before="300" w:after="300" w:line="320" w:lineRule="exact"/>
        <w:rPr>
          <w:rFonts w:ascii="宋体" w:hAnsi="宋体" w:eastAsia="宋体" w:cs="宋体"/>
          <w:b/>
          <w:bCs/>
          <w:sz w:val="24"/>
          <w:szCs w:val="24"/>
        </w:rPr>
      </w:pPr>
      <w:bookmarkStart w:id="88" w:name="_Toc988977"/>
      <w:r>
        <w:rPr>
          <w:rFonts w:ascii="宋体" w:hAnsi="宋体" w:eastAsia="宋体" w:cs="宋体"/>
          <w:b/>
          <w:bCs/>
          <w:sz w:val="24"/>
          <w:szCs w:val="24"/>
        </w:rPr>
        <w:t>十三、内部控制评价报告或内部控制审计报告</w:t>
      </w:r>
      <w:bookmarkEnd w:id="88"/>
    </w:p>
    <w:p w14:paraId="34B68746">
      <w:pPr>
        <w:pStyle w:val="3"/>
        <w:spacing w:line="280" w:lineRule="exact"/>
        <w:jc w:val="left"/>
        <w:rPr>
          <w:rFonts w:ascii="宋体" w:hAnsi="宋体" w:cs="宋体"/>
          <w:b/>
          <w:bCs/>
        </w:rPr>
      </w:pPr>
      <w:bookmarkStart w:id="89" w:name="_Toc988978"/>
      <w:r>
        <w:rPr>
          <w:rFonts w:ascii="宋体" w:hAnsi="宋体" w:cs="宋体"/>
          <w:b/>
          <w:bCs/>
        </w:rPr>
        <w:t>1、内控评价报告</w:t>
      </w:r>
      <w:bookmarkEnd w:id="89"/>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60"/>
        <w:gridCol w:w="1653"/>
        <w:gridCol w:w="2174"/>
        <w:gridCol w:w="4252"/>
      </w:tblGrid>
      <w:tr w14:paraId="08B2B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2E44609">
            <w:pPr>
              <w:spacing w:before="40" w:after="40" w:line="240" w:lineRule="exact"/>
              <w:rPr>
                <w:rFonts w:ascii="宋体" w:hAnsi="宋体" w:eastAsia="宋体" w:cs="宋体"/>
                <w:sz w:val="18"/>
                <w:szCs w:val="18"/>
              </w:rPr>
            </w:pPr>
            <w:r>
              <w:rPr>
                <w:rFonts w:ascii="宋体" w:hAnsi="宋体" w:eastAsia="宋体" w:cs="宋体"/>
                <w:sz w:val="18"/>
                <w:szCs w:val="18"/>
              </w:rPr>
              <w:t>内部控制评价报告全文披露日期</w:t>
            </w:r>
          </w:p>
        </w:tc>
        <w:tc>
          <w:tcPr>
            <w:tcW w:w="6426" w:type="dxa"/>
            <w:gridSpan w:val="2"/>
            <w:tcBorders>
              <w:top w:val="single" w:color="auto" w:sz="2" w:space="0"/>
              <w:left w:val="single" w:color="auto" w:sz="2" w:space="0"/>
              <w:bottom w:val="single" w:color="auto" w:sz="2" w:space="0"/>
              <w:right w:val="single" w:color="auto" w:sz="2" w:space="0"/>
            </w:tcBorders>
            <w:vAlign w:val="center"/>
          </w:tcPr>
          <w:p w14:paraId="65DB290D">
            <w:pPr>
              <w:spacing w:line="240" w:lineRule="exact"/>
              <w:rPr>
                <w:rFonts w:ascii="宋体" w:hAnsi="宋体" w:eastAsia="宋体" w:cs="宋体"/>
                <w:sz w:val="18"/>
                <w:szCs w:val="18"/>
              </w:rPr>
            </w:pPr>
            <w:r>
              <w:rPr>
                <w:rFonts w:ascii="宋体" w:hAnsi="宋体" w:eastAsia="宋体" w:cs="宋体"/>
                <w:sz w:val="18"/>
                <w:szCs w:val="18"/>
              </w:rPr>
              <w:t>2026年04月29日</w:t>
            </w:r>
          </w:p>
        </w:tc>
      </w:tr>
      <w:tr w14:paraId="01173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AB860D5">
            <w:pPr>
              <w:spacing w:before="40" w:after="40" w:line="240" w:lineRule="exact"/>
              <w:rPr>
                <w:rFonts w:ascii="宋体" w:hAnsi="宋体" w:eastAsia="宋体" w:cs="宋体"/>
                <w:sz w:val="18"/>
                <w:szCs w:val="18"/>
              </w:rPr>
            </w:pPr>
            <w:r>
              <w:rPr>
                <w:rFonts w:ascii="宋体" w:hAnsi="宋体" w:eastAsia="宋体" w:cs="宋体"/>
                <w:sz w:val="18"/>
                <w:szCs w:val="18"/>
              </w:rPr>
              <w:t>内部控制评价报告全文披露索引</w:t>
            </w:r>
          </w:p>
        </w:tc>
        <w:tc>
          <w:tcPr>
            <w:tcW w:w="6426" w:type="dxa"/>
            <w:gridSpan w:val="2"/>
            <w:tcBorders>
              <w:top w:val="single" w:color="auto" w:sz="2" w:space="0"/>
              <w:left w:val="single" w:color="auto" w:sz="2" w:space="0"/>
              <w:bottom w:val="single" w:color="auto" w:sz="2" w:space="0"/>
              <w:right w:val="single" w:color="auto" w:sz="2" w:space="0"/>
            </w:tcBorders>
            <w:vAlign w:val="center"/>
          </w:tcPr>
          <w:p w14:paraId="1D09B936">
            <w:pPr>
              <w:spacing w:line="240" w:lineRule="exact"/>
              <w:rPr>
                <w:rFonts w:ascii="宋体" w:hAnsi="宋体" w:eastAsia="宋体" w:cs="宋体"/>
                <w:sz w:val="18"/>
                <w:szCs w:val="18"/>
              </w:rPr>
            </w:pPr>
            <w:r>
              <w:rPr>
                <w:rFonts w:ascii="宋体" w:hAnsi="宋体" w:eastAsia="宋体" w:cs="宋体"/>
                <w:sz w:val="18"/>
                <w:szCs w:val="18"/>
              </w:rPr>
              <w:t>参照公司2026年4月29日于巨潮资讯网（www.cninfo.com.cn)披露的《2025年度内部控制评价报告》</w:t>
            </w:r>
          </w:p>
        </w:tc>
      </w:tr>
      <w:tr w14:paraId="0FA7A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C6F6DA0">
            <w:pPr>
              <w:spacing w:before="40" w:after="40" w:line="240" w:lineRule="exact"/>
              <w:rPr>
                <w:rFonts w:ascii="宋体" w:hAnsi="宋体" w:eastAsia="宋体" w:cs="宋体"/>
                <w:sz w:val="18"/>
                <w:szCs w:val="18"/>
              </w:rPr>
            </w:pPr>
            <w:r>
              <w:rPr>
                <w:rFonts w:ascii="宋体" w:hAnsi="宋体" w:eastAsia="宋体" w:cs="宋体"/>
                <w:sz w:val="18"/>
                <w:szCs w:val="18"/>
              </w:rPr>
              <w:t>纳入评价范围单位资产总额占公司合并财务报表资产总额的比例</w:t>
            </w:r>
          </w:p>
        </w:tc>
        <w:tc>
          <w:tcPr>
            <w:tcW w:w="6426" w:type="dxa"/>
            <w:gridSpan w:val="2"/>
            <w:tcBorders>
              <w:top w:val="single" w:color="auto" w:sz="2" w:space="0"/>
              <w:left w:val="single" w:color="auto" w:sz="2" w:space="0"/>
              <w:bottom w:val="single" w:color="auto" w:sz="2" w:space="0"/>
              <w:right w:val="single" w:color="auto" w:sz="2" w:space="0"/>
            </w:tcBorders>
            <w:vAlign w:val="center"/>
          </w:tcPr>
          <w:p w14:paraId="5F70A14A">
            <w:pPr>
              <w:spacing w:line="240" w:lineRule="exact"/>
              <w:jc w:val="right"/>
              <w:rPr>
                <w:rFonts w:ascii="宋体" w:hAnsi="宋体" w:eastAsia="宋体" w:cs="宋体"/>
                <w:sz w:val="18"/>
                <w:szCs w:val="18"/>
              </w:rPr>
            </w:pPr>
            <w:r>
              <w:rPr>
                <w:rFonts w:ascii="宋体" w:hAnsi="宋体" w:eastAsia="宋体" w:cs="宋体"/>
                <w:sz w:val="18"/>
                <w:szCs w:val="18"/>
              </w:rPr>
              <w:t>100.00%</w:t>
            </w:r>
          </w:p>
        </w:tc>
      </w:tr>
      <w:tr w14:paraId="642B6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D5C087F">
            <w:pPr>
              <w:spacing w:before="40" w:after="40" w:line="240" w:lineRule="exact"/>
              <w:rPr>
                <w:rFonts w:ascii="宋体" w:hAnsi="宋体" w:eastAsia="宋体" w:cs="宋体"/>
                <w:sz w:val="18"/>
                <w:szCs w:val="18"/>
              </w:rPr>
            </w:pPr>
            <w:r>
              <w:rPr>
                <w:rFonts w:ascii="宋体" w:hAnsi="宋体" w:eastAsia="宋体" w:cs="宋体"/>
                <w:sz w:val="18"/>
                <w:szCs w:val="18"/>
              </w:rPr>
              <w:t>纳入评价范围单位营业收入占公司合并财务报表营业收入的比例</w:t>
            </w:r>
          </w:p>
        </w:tc>
        <w:tc>
          <w:tcPr>
            <w:tcW w:w="6426" w:type="dxa"/>
            <w:gridSpan w:val="2"/>
            <w:tcBorders>
              <w:top w:val="single" w:color="auto" w:sz="2" w:space="0"/>
              <w:left w:val="single" w:color="auto" w:sz="2" w:space="0"/>
              <w:bottom w:val="single" w:color="auto" w:sz="2" w:space="0"/>
              <w:right w:val="single" w:color="auto" w:sz="2" w:space="0"/>
            </w:tcBorders>
            <w:vAlign w:val="center"/>
          </w:tcPr>
          <w:p w14:paraId="567FDE2C">
            <w:pPr>
              <w:spacing w:line="240" w:lineRule="exact"/>
              <w:jc w:val="right"/>
              <w:rPr>
                <w:rFonts w:ascii="宋体" w:hAnsi="宋体" w:eastAsia="宋体" w:cs="宋体"/>
                <w:sz w:val="18"/>
                <w:szCs w:val="18"/>
              </w:rPr>
            </w:pPr>
            <w:r>
              <w:rPr>
                <w:rFonts w:ascii="宋体" w:hAnsi="宋体" w:eastAsia="宋体" w:cs="宋体"/>
                <w:sz w:val="18"/>
                <w:szCs w:val="18"/>
              </w:rPr>
              <w:t>100.00%</w:t>
            </w:r>
          </w:p>
        </w:tc>
      </w:tr>
      <w:tr w14:paraId="3EA99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7C1A77A4">
            <w:pPr>
              <w:spacing w:before="40" w:after="40" w:line="240" w:lineRule="exact"/>
              <w:jc w:val="center"/>
              <w:rPr>
                <w:rFonts w:ascii="宋体" w:hAnsi="宋体" w:eastAsia="宋体" w:cs="宋体"/>
                <w:sz w:val="18"/>
                <w:szCs w:val="18"/>
              </w:rPr>
            </w:pPr>
            <w:r>
              <w:rPr>
                <w:rFonts w:ascii="宋体" w:hAnsi="宋体" w:eastAsia="宋体" w:cs="宋体"/>
                <w:sz w:val="18"/>
                <w:szCs w:val="18"/>
              </w:rPr>
              <w:t>缺陷认定标准</w:t>
            </w:r>
          </w:p>
        </w:tc>
      </w:tr>
      <w:tr w14:paraId="69CA7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14:paraId="4030F0FB">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382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1BCB4CD">
            <w:pPr>
              <w:spacing w:before="40" w:after="40" w:line="240" w:lineRule="exact"/>
              <w:jc w:val="center"/>
              <w:rPr>
                <w:rFonts w:ascii="宋体" w:hAnsi="宋体" w:eastAsia="宋体" w:cs="宋体"/>
                <w:sz w:val="18"/>
                <w:szCs w:val="18"/>
              </w:rPr>
            </w:pPr>
            <w:r>
              <w:rPr>
                <w:rFonts w:ascii="宋体" w:hAnsi="宋体" w:eastAsia="宋体" w:cs="宋体"/>
                <w:sz w:val="18"/>
                <w:szCs w:val="18"/>
              </w:rPr>
              <w:t>财务报告</w:t>
            </w:r>
          </w:p>
        </w:tc>
        <w:tc>
          <w:tcPr>
            <w:tcW w:w="4252" w:type="dxa"/>
            <w:tcBorders>
              <w:top w:val="single" w:color="auto" w:sz="2" w:space="0"/>
              <w:left w:val="single" w:color="auto" w:sz="2" w:space="0"/>
              <w:bottom w:val="single" w:color="auto" w:sz="2" w:space="0"/>
              <w:right w:val="single" w:color="auto" w:sz="2" w:space="0"/>
            </w:tcBorders>
            <w:shd w:val="clear" w:color="auto" w:fill="D3D3D3"/>
            <w:vAlign w:val="center"/>
          </w:tcPr>
          <w:p w14:paraId="002675BD">
            <w:pPr>
              <w:spacing w:before="40" w:after="40" w:line="240" w:lineRule="exact"/>
              <w:jc w:val="center"/>
              <w:rPr>
                <w:rFonts w:ascii="宋体" w:hAnsi="宋体" w:eastAsia="宋体" w:cs="宋体"/>
                <w:sz w:val="18"/>
                <w:szCs w:val="18"/>
              </w:rPr>
            </w:pPr>
            <w:r>
              <w:rPr>
                <w:rFonts w:ascii="宋体" w:hAnsi="宋体" w:eastAsia="宋体" w:cs="宋体"/>
                <w:sz w:val="18"/>
                <w:szCs w:val="18"/>
              </w:rPr>
              <w:t>非财务报告</w:t>
            </w:r>
          </w:p>
        </w:tc>
      </w:tr>
      <w:tr w14:paraId="336F2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14:paraId="1CEEC854">
            <w:pPr>
              <w:spacing w:before="40" w:after="40" w:line="240" w:lineRule="exact"/>
              <w:rPr>
                <w:rFonts w:ascii="宋体" w:hAnsi="宋体" w:eastAsia="宋体" w:cs="宋体"/>
                <w:sz w:val="18"/>
                <w:szCs w:val="18"/>
              </w:rPr>
            </w:pPr>
            <w:r>
              <w:rPr>
                <w:rFonts w:ascii="宋体" w:hAnsi="宋体" w:eastAsia="宋体" w:cs="宋体"/>
                <w:sz w:val="18"/>
                <w:szCs w:val="18"/>
              </w:rPr>
              <w:t>定性标准</w:t>
            </w:r>
          </w:p>
        </w:tc>
        <w:tc>
          <w:tcPr>
            <w:tcW w:w="3827" w:type="dxa"/>
            <w:gridSpan w:val="2"/>
            <w:tcBorders>
              <w:top w:val="single" w:color="auto" w:sz="2" w:space="0"/>
              <w:left w:val="single" w:color="auto" w:sz="2" w:space="0"/>
              <w:bottom w:val="single" w:color="auto" w:sz="2" w:space="0"/>
              <w:right w:val="single" w:color="auto" w:sz="2" w:space="0"/>
            </w:tcBorders>
            <w:vAlign w:val="center"/>
          </w:tcPr>
          <w:p w14:paraId="30BF9D21">
            <w:pPr>
              <w:spacing w:line="240" w:lineRule="exact"/>
              <w:rPr>
                <w:rFonts w:ascii="宋体" w:hAnsi="宋体" w:eastAsia="宋体" w:cs="宋体"/>
                <w:sz w:val="18"/>
                <w:szCs w:val="18"/>
              </w:rPr>
            </w:pPr>
            <w:r>
              <w:rPr>
                <w:rFonts w:ascii="宋体" w:hAnsi="宋体" w:eastAsia="宋体" w:cs="宋体"/>
                <w:sz w:val="18"/>
                <w:szCs w:val="18"/>
              </w:rPr>
              <w:t>（1）重大缺陷：单独缺陷或连同其他缺陷导致不能及时防止或发现并纠正财务报告中的重大错报。出现下列情形的，认定为重大缺陷：</w:t>
            </w:r>
          </w:p>
          <w:p w14:paraId="1D92A0E6">
            <w:pPr>
              <w:spacing w:line="240" w:lineRule="exact"/>
              <w:rPr>
                <w:rFonts w:ascii="宋体" w:hAnsi="宋体" w:eastAsia="宋体" w:cs="宋体"/>
                <w:sz w:val="18"/>
                <w:szCs w:val="18"/>
              </w:rPr>
            </w:pPr>
            <w:r>
              <w:rPr>
                <w:rFonts w:ascii="宋体" w:hAnsi="宋体" w:eastAsia="宋体" w:cs="宋体"/>
                <w:sz w:val="18"/>
                <w:szCs w:val="18"/>
              </w:rPr>
              <w:t>①经监管部门认定控制环境无效； </w:t>
            </w:r>
          </w:p>
          <w:p w14:paraId="741B1C44">
            <w:pPr>
              <w:spacing w:line="240" w:lineRule="exact"/>
              <w:rPr>
                <w:rFonts w:ascii="宋体" w:hAnsi="宋体" w:eastAsia="宋体" w:cs="宋体"/>
                <w:sz w:val="18"/>
                <w:szCs w:val="18"/>
              </w:rPr>
            </w:pPr>
            <w:r>
              <w:rPr>
                <w:rFonts w:ascii="宋体" w:hAnsi="宋体" w:eastAsia="宋体" w:cs="宋体"/>
                <w:sz w:val="18"/>
                <w:szCs w:val="18"/>
              </w:rPr>
              <w:t>②董事、高级管理人员舞弊行为；</w:t>
            </w:r>
          </w:p>
          <w:p w14:paraId="3550F92C">
            <w:pPr>
              <w:spacing w:line="240" w:lineRule="exact"/>
              <w:rPr>
                <w:rFonts w:ascii="宋体" w:hAnsi="宋体" w:eastAsia="宋体" w:cs="宋体"/>
                <w:sz w:val="18"/>
                <w:szCs w:val="18"/>
              </w:rPr>
            </w:pPr>
            <w:r>
              <w:rPr>
                <w:rFonts w:ascii="宋体" w:hAnsi="宋体" w:eastAsia="宋体" w:cs="宋体"/>
                <w:sz w:val="18"/>
                <w:szCs w:val="18"/>
              </w:rPr>
              <w:t>③因存在重大错报，公司更正已经公布的财务报告；</w:t>
            </w:r>
          </w:p>
          <w:p w14:paraId="3D55B317">
            <w:pPr>
              <w:spacing w:line="240" w:lineRule="exact"/>
              <w:rPr>
                <w:rFonts w:ascii="宋体" w:hAnsi="宋体" w:eastAsia="宋体" w:cs="宋体"/>
                <w:sz w:val="18"/>
                <w:szCs w:val="18"/>
              </w:rPr>
            </w:pPr>
            <w:r>
              <w:rPr>
                <w:rFonts w:ascii="宋体" w:hAnsi="宋体" w:eastAsia="宋体" w:cs="宋体"/>
                <w:sz w:val="18"/>
                <w:szCs w:val="18"/>
              </w:rPr>
              <w:t>④外部审计发现当期财务报告存在重大错报，公司在运行过程中未能发现该错报；</w:t>
            </w:r>
          </w:p>
          <w:p w14:paraId="7522C726">
            <w:pPr>
              <w:spacing w:line="240" w:lineRule="exact"/>
              <w:rPr>
                <w:rFonts w:ascii="宋体" w:hAnsi="宋体" w:eastAsia="宋体" w:cs="宋体"/>
                <w:sz w:val="18"/>
                <w:szCs w:val="18"/>
              </w:rPr>
            </w:pPr>
            <w:r>
              <w:rPr>
                <w:rFonts w:ascii="宋体" w:hAnsi="宋体" w:eastAsia="宋体" w:cs="宋体"/>
                <w:sz w:val="18"/>
                <w:szCs w:val="18"/>
              </w:rPr>
              <w:t>⑤已经发现并报告给管理层的重大缺陷在合理的时间后未加以改正；</w:t>
            </w:r>
          </w:p>
          <w:p w14:paraId="54946304">
            <w:pPr>
              <w:spacing w:line="240" w:lineRule="exact"/>
              <w:rPr>
                <w:rFonts w:ascii="宋体" w:hAnsi="宋体" w:eastAsia="宋体" w:cs="宋体"/>
                <w:sz w:val="18"/>
                <w:szCs w:val="18"/>
              </w:rPr>
            </w:pPr>
            <w:r>
              <w:rPr>
                <w:rFonts w:ascii="宋体" w:hAnsi="宋体" w:eastAsia="宋体" w:cs="宋体"/>
                <w:sz w:val="18"/>
                <w:szCs w:val="18"/>
              </w:rPr>
              <w:t>⑥公司审计委员会和内部审计部对内部控制的监督无效；</w:t>
            </w:r>
          </w:p>
          <w:p w14:paraId="721CA769">
            <w:pPr>
              <w:spacing w:line="240" w:lineRule="exact"/>
              <w:rPr>
                <w:rFonts w:ascii="宋体" w:hAnsi="宋体" w:eastAsia="宋体" w:cs="宋体"/>
                <w:sz w:val="18"/>
                <w:szCs w:val="18"/>
              </w:rPr>
            </w:pPr>
            <w:r>
              <w:rPr>
                <w:rFonts w:ascii="宋体" w:hAnsi="宋体" w:eastAsia="宋体" w:cs="宋体"/>
                <w:sz w:val="18"/>
                <w:szCs w:val="18"/>
              </w:rPr>
              <w:t>⑦因会计差错导致的监管机构处罚；</w:t>
            </w:r>
          </w:p>
          <w:p w14:paraId="238A4A19">
            <w:pPr>
              <w:spacing w:line="240" w:lineRule="exact"/>
              <w:rPr>
                <w:rFonts w:ascii="宋体" w:hAnsi="宋体" w:eastAsia="宋体" w:cs="宋体"/>
                <w:sz w:val="18"/>
                <w:szCs w:val="18"/>
              </w:rPr>
            </w:pPr>
            <w:r>
              <w:rPr>
                <w:rFonts w:ascii="宋体" w:hAnsi="宋体" w:eastAsia="宋体" w:cs="宋体"/>
                <w:sz w:val="18"/>
                <w:szCs w:val="18"/>
              </w:rPr>
              <w:t>⑧其他可能影响报表使用者正确判断的重大缺陷；</w:t>
            </w:r>
          </w:p>
          <w:p w14:paraId="5CD447C4">
            <w:pPr>
              <w:spacing w:line="240" w:lineRule="exact"/>
              <w:rPr>
                <w:rFonts w:ascii="宋体" w:hAnsi="宋体" w:eastAsia="宋体" w:cs="宋体"/>
                <w:sz w:val="18"/>
                <w:szCs w:val="18"/>
              </w:rPr>
            </w:pPr>
            <w:r>
              <w:rPr>
                <w:rFonts w:ascii="宋体" w:hAnsi="宋体" w:eastAsia="宋体" w:cs="宋体"/>
                <w:sz w:val="18"/>
                <w:szCs w:val="18"/>
              </w:rPr>
              <w:t>（2）重要缺陷：单独缺陷或连同其他缺陷导致不能及时防止或发现并纠正财务报告中虽然未达到和超过重要性水平，仍应引起管理层重视的错报。</w:t>
            </w:r>
          </w:p>
          <w:p w14:paraId="05650D2E">
            <w:pPr>
              <w:spacing w:line="240" w:lineRule="exact"/>
              <w:rPr>
                <w:rFonts w:ascii="宋体" w:hAnsi="宋体" w:eastAsia="宋体" w:cs="宋体"/>
                <w:sz w:val="18"/>
                <w:szCs w:val="18"/>
              </w:rPr>
            </w:pPr>
            <w:r>
              <w:rPr>
                <w:rFonts w:ascii="宋体" w:hAnsi="宋体" w:eastAsia="宋体" w:cs="宋体"/>
                <w:sz w:val="18"/>
                <w:szCs w:val="18"/>
              </w:rPr>
              <w:t>（3）一般缺陷：不构成重大缺陷或重要缺陷的其他内部控制缺陷。</w:t>
            </w:r>
          </w:p>
        </w:tc>
        <w:tc>
          <w:tcPr>
            <w:tcW w:w="4252" w:type="dxa"/>
            <w:tcBorders>
              <w:top w:val="single" w:color="auto" w:sz="2" w:space="0"/>
              <w:left w:val="single" w:color="auto" w:sz="2" w:space="0"/>
              <w:bottom w:val="single" w:color="auto" w:sz="2" w:space="0"/>
              <w:right w:val="single" w:color="auto" w:sz="2" w:space="0"/>
            </w:tcBorders>
            <w:vAlign w:val="center"/>
          </w:tcPr>
          <w:p w14:paraId="42F06089">
            <w:pPr>
              <w:spacing w:line="240" w:lineRule="exact"/>
              <w:rPr>
                <w:rFonts w:ascii="宋体" w:hAnsi="宋体" w:eastAsia="宋体" w:cs="宋体"/>
                <w:sz w:val="18"/>
                <w:szCs w:val="18"/>
              </w:rPr>
            </w:pPr>
            <w:r>
              <w:rPr>
                <w:rFonts w:ascii="宋体" w:hAnsi="宋体" w:eastAsia="宋体" w:cs="宋体"/>
                <w:sz w:val="18"/>
                <w:szCs w:val="18"/>
              </w:rPr>
              <w:t>（1）重大缺陷：出现以下情形的，认定为重大缺陷，其他情形按影响程度分别确定为重要缺陷或一般缺陷。</w:t>
            </w:r>
          </w:p>
          <w:p w14:paraId="65EA7277">
            <w:pPr>
              <w:spacing w:line="240" w:lineRule="exact"/>
              <w:rPr>
                <w:rFonts w:ascii="宋体" w:hAnsi="宋体" w:eastAsia="宋体" w:cs="宋体"/>
                <w:sz w:val="18"/>
                <w:szCs w:val="18"/>
              </w:rPr>
            </w:pPr>
            <w:r>
              <w:rPr>
                <w:rFonts w:ascii="宋体" w:hAnsi="宋体" w:eastAsia="宋体" w:cs="宋体"/>
                <w:sz w:val="18"/>
                <w:szCs w:val="18"/>
              </w:rPr>
              <w:t>①严重违犯国家法律、法规被处以重罚或承担刑事责任；</w:t>
            </w:r>
          </w:p>
          <w:p w14:paraId="42B681CC">
            <w:pPr>
              <w:spacing w:line="240" w:lineRule="exact"/>
              <w:rPr>
                <w:rFonts w:ascii="宋体" w:hAnsi="宋体" w:eastAsia="宋体" w:cs="宋体"/>
                <w:sz w:val="18"/>
                <w:szCs w:val="18"/>
              </w:rPr>
            </w:pPr>
            <w:r>
              <w:rPr>
                <w:rFonts w:ascii="宋体" w:hAnsi="宋体" w:eastAsia="宋体" w:cs="宋体"/>
                <w:sz w:val="18"/>
                <w:szCs w:val="18"/>
              </w:rPr>
              <w:t>②生产故障造成重大停产事件；</w:t>
            </w:r>
          </w:p>
          <w:p w14:paraId="56E6488F">
            <w:pPr>
              <w:spacing w:line="240" w:lineRule="exact"/>
              <w:rPr>
                <w:rFonts w:ascii="宋体" w:hAnsi="宋体" w:eastAsia="宋体" w:cs="宋体"/>
                <w:sz w:val="18"/>
                <w:szCs w:val="18"/>
              </w:rPr>
            </w:pPr>
            <w:r>
              <w:rPr>
                <w:rFonts w:ascii="宋体" w:hAnsi="宋体" w:eastAsia="宋体" w:cs="宋体"/>
                <w:sz w:val="18"/>
                <w:szCs w:val="18"/>
              </w:rPr>
              <w:t>③对周围环境造成永久污染或无法弥补的破坏； </w:t>
            </w:r>
          </w:p>
          <w:p w14:paraId="292978B5">
            <w:pPr>
              <w:spacing w:line="240" w:lineRule="exact"/>
              <w:rPr>
                <w:rFonts w:ascii="宋体" w:hAnsi="宋体" w:eastAsia="宋体" w:cs="宋体"/>
                <w:sz w:val="18"/>
                <w:szCs w:val="18"/>
              </w:rPr>
            </w:pPr>
            <w:r>
              <w:rPr>
                <w:rFonts w:ascii="宋体" w:hAnsi="宋体" w:eastAsia="宋体" w:cs="宋体"/>
                <w:sz w:val="18"/>
                <w:szCs w:val="18"/>
              </w:rPr>
              <w:t>④重要制度缺失可能导致系统性失效；</w:t>
            </w:r>
          </w:p>
          <w:p w14:paraId="05BAC8A3">
            <w:pPr>
              <w:spacing w:line="240" w:lineRule="exact"/>
              <w:rPr>
                <w:rFonts w:ascii="宋体" w:hAnsi="宋体" w:eastAsia="宋体" w:cs="宋体"/>
                <w:sz w:val="18"/>
                <w:szCs w:val="18"/>
              </w:rPr>
            </w:pPr>
            <w:r>
              <w:rPr>
                <w:rFonts w:ascii="宋体" w:hAnsi="宋体" w:eastAsia="宋体" w:cs="宋体"/>
                <w:sz w:val="18"/>
                <w:szCs w:val="18"/>
              </w:rPr>
              <w:t>⑤重大缺陷不能得到整改；</w:t>
            </w:r>
          </w:p>
          <w:p w14:paraId="678F9190">
            <w:pPr>
              <w:spacing w:line="240" w:lineRule="exact"/>
              <w:rPr>
                <w:rFonts w:ascii="宋体" w:hAnsi="宋体" w:eastAsia="宋体" w:cs="宋体"/>
                <w:sz w:val="18"/>
                <w:szCs w:val="18"/>
              </w:rPr>
            </w:pPr>
            <w:r>
              <w:rPr>
                <w:rFonts w:ascii="宋体" w:hAnsi="宋体" w:eastAsia="宋体" w:cs="宋体"/>
                <w:sz w:val="18"/>
                <w:szCs w:val="18"/>
              </w:rPr>
              <w:t>（2）重要缺陷: </w:t>
            </w:r>
          </w:p>
          <w:p w14:paraId="65F5681D">
            <w:pPr>
              <w:spacing w:line="240" w:lineRule="exact"/>
              <w:rPr>
                <w:rFonts w:ascii="宋体" w:hAnsi="宋体" w:eastAsia="宋体" w:cs="宋体"/>
                <w:sz w:val="18"/>
                <w:szCs w:val="18"/>
              </w:rPr>
            </w:pPr>
            <w:r>
              <w:rPr>
                <w:rFonts w:ascii="宋体" w:hAnsi="宋体" w:eastAsia="宋体" w:cs="宋体"/>
                <w:sz w:val="18"/>
                <w:szCs w:val="18"/>
              </w:rPr>
              <w:t>①违反国家法律、法规或规范性法律文件，如环境污染；</w:t>
            </w:r>
          </w:p>
          <w:p w14:paraId="4054FE16">
            <w:pPr>
              <w:spacing w:line="240" w:lineRule="exact"/>
              <w:rPr>
                <w:rFonts w:ascii="宋体" w:hAnsi="宋体" w:eastAsia="宋体" w:cs="宋体"/>
                <w:sz w:val="18"/>
                <w:szCs w:val="18"/>
              </w:rPr>
            </w:pPr>
            <w:r>
              <w:rPr>
                <w:rFonts w:ascii="宋体" w:hAnsi="宋体" w:eastAsia="宋体" w:cs="宋体"/>
                <w:sz w:val="18"/>
                <w:szCs w:val="18"/>
              </w:rPr>
              <w:t>②决策程序不科学，决策失误； </w:t>
            </w:r>
          </w:p>
          <w:p w14:paraId="0F0FB128">
            <w:pPr>
              <w:spacing w:line="240" w:lineRule="exact"/>
              <w:rPr>
                <w:rFonts w:ascii="宋体" w:hAnsi="宋体" w:eastAsia="宋体" w:cs="宋体"/>
                <w:sz w:val="18"/>
                <w:szCs w:val="18"/>
              </w:rPr>
            </w:pPr>
            <w:r>
              <w:rPr>
                <w:rFonts w:ascii="宋体" w:hAnsi="宋体" w:eastAsia="宋体" w:cs="宋体"/>
                <w:sz w:val="18"/>
                <w:szCs w:val="18"/>
              </w:rPr>
              <w:t>③重要业务制度或系统存在缺陷；</w:t>
            </w:r>
          </w:p>
          <w:p w14:paraId="4F30AFEF">
            <w:pPr>
              <w:spacing w:line="240" w:lineRule="exact"/>
              <w:rPr>
                <w:rFonts w:ascii="宋体" w:hAnsi="宋体" w:eastAsia="宋体" w:cs="宋体"/>
                <w:sz w:val="18"/>
                <w:szCs w:val="18"/>
              </w:rPr>
            </w:pPr>
            <w:r>
              <w:rPr>
                <w:rFonts w:ascii="宋体" w:hAnsi="宋体" w:eastAsia="宋体" w:cs="宋体"/>
                <w:sz w:val="18"/>
                <w:szCs w:val="18"/>
              </w:rPr>
              <w:t>④关键岗位业务人员流失严重；</w:t>
            </w:r>
          </w:p>
          <w:p w14:paraId="7BC43BB5">
            <w:pPr>
              <w:spacing w:line="240" w:lineRule="exact"/>
              <w:rPr>
                <w:rFonts w:ascii="宋体" w:hAnsi="宋体" w:eastAsia="宋体" w:cs="宋体"/>
                <w:sz w:val="18"/>
                <w:szCs w:val="18"/>
              </w:rPr>
            </w:pPr>
            <w:r>
              <w:rPr>
                <w:rFonts w:ascii="宋体" w:hAnsi="宋体" w:eastAsia="宋体" w:cs="宋体"/>
                <w:sz w:val="18"/>
                <w:szCs w:val="18"/>
              </w:rPr>
              <w:t>⑤内部控制评价的结果特别是重要缺陷未得到整改；</w:t>
            </w:r>
          </w:p>
        </w:tc>
      </w:tr>
      <w:tr w14:paraId="4F862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14:paraId="03C17564">
            <w:pPr>
              <w:spacing w:before="40" w:after="40" w:line="240" w:lineRule="exact"/>
              <w:rPr>
                <w:rFonts w:ascii="宋体" w:hAnsi="宋体" w:eastAsia="宋体" w:cs="宋体"/>
                <w:sz w:val="18"/>
                <w:szCs w:val="18"/>
              </w:rPr>
            </w:pPr>
            <w:r>
              <w:rPr>
                <w:rFonts w:ascii="宋体" w:hAnsi="宋体" w:eastAsia="宋体" w:cs="宋体"/>
                <w:sz w:val="18"/>
                <w:szCs w:val="18"/>
              </w:rPr>
              <w:t>定量标准</w:t>
            </w:r>
          </w:p>
        </w:tc>
        <w:tc>
          <w:tcPr>
            <w:tcW w:w="3827" w:type="dxa"/>
            <w:gridSpan w:val="2"/>
            <w:tcBorders>
              <w:top w:val="single" w:color="auto" w:sz="2" w:space="0"/>
              <w:left w:val="single" w:color="auto" w:sz="2" w:space="0"/>
              <w:bottom w:val="single" w:color="auto" w:sz="2" w:space="0"/>
              <w:right w:val="single" w:color="auto" w:sz="2" w:space="0"/>
            </w:tcBorders>
            <w:vAlign w:val="center"/>
          </w:tcPr>
          <w:p w14:paraId="4909106A">
            <w:pPr>
              <w:spacing w:line="240" w:lineRule="exact"/>
              <w:rPr>
                <w:rFonts w:ascii="宋体" w:hAnsi="宋体" w:eastAsia="宋体" w:cs="宋体"/>
                <w:sz w:val="18"/>
                <w:szCs w:val="18"/>
              </w:rPr>
            </w:pPr>
            <w:r>
              <w:rPr>
                <w:rFonts w:ascii="宋体" w:hAnsi="宋体" w:eastAsia="宋体" w:cs="宋体"/>
                <w:sz w:val="18"/>
                <w:szCs w:val="18"/>
              </w:rPr>
              <w:t>定量标准以营业收入、资产总额作为衡量指标。</w:t>
            </w:r>
          </w:p>
          <w:p w14:paraId="50ECE865">
            <w:pPr>
              <w:spacing w:line="240" w:lineRule="exact"/>
              <w:rPr>
                <w:rFonts w:ascii="宋体" w:hAnsi="宋体" w:eastAsia="宋体" w:cs="宋体"/>
                <w:sz w:val="18"/>
                <w:szCs w:val="18"/>
              </w:rPr>
            </w:pPr>
            <w:r>
              <w:rPr>
                <w:rFonts w:ascii="宋体" w:hAnsi="宋体" w:eastAsia="宋体" w:cs="宋体"/>
                <w:sz w:val="18"/>
                <w:szCs w:val="18"/>
              </w:rPr>
              <w:t>内部控制缺陷可能导致或导致的损失与利润表相关的，以营业收入指标衡量。如果该缺陷单独或连同其他缺陷可能导致的财务报告错报金额小于营业收入的0.5%，则认定为一般缺陷；如果超过营业收入的0.5%但小于1%，则为重要缺陷；如果超过营业收入的1%，则认定为重大缺陷。</w:t>
            </w:r>
          </w:p>
          <w:p w14:paraId="4E4DAE41">
            <w:pPr>
              <w:spacing w:line="240" w:lineRule="exact"/>
              <w:rPr>
                <w:rFonts w:ascii="宋体" w:hAnsi="宋体" w:eastAsia="宋体" w:cs="宋体"/>
                <w:sz w:val="18"/>
                <w:szCs w:val="18"/>
              </w:rPr>
            </w:pPr>
            <w:r>
              <w:rPr>
                <w:rFonts w:ascii="宋体" w:hAnsi="宋体" w:eastAsia="宋体" w:cs="宋体"/>
                <w:sz w:val="18"/>
                <w:szCs w:val="18"/>
              </w:rPr>
              <w:t>内部控制缺陷可能导致或导致的损失与资产管理相关的，以资产总额指标衡量。如果该缺陷单独或连同其他缺陷可能导致的财务报告错报金额小于资产总额的0.5%，则认定为一般缺陷；如果超过资产总额的0.5%但小于1%认定为重要缺陷；如果超过资产总额1%，则认定为重大缺陷。</w:t>
            </w:r>
          </w:p>
        </w:tc>
        <w:tc>
          <w:tcPr>
            <w:tcW w:w="4252" w:type="dxa"/>
            <w:tcBorders>
              <w:top w:val="single" w:color="auto" w:sz="2" w:space="0"/>
              <w:left w:val="single" w:color="auto" w:sz="2" w:space="0"/>
              <w:bottom w:val="single" w:color="auto" w:sz="2" w:space="0"/>
              <w:right w:val="single" w:color="auto" w:sz="2" w:space="0"/>
            </w:tcBorders>
            <w:vAlign w:val="center"/>
          </w:tcPr>
          <w:p w14:paraId="6DFF5131">
            <w:pPr>
              <w:spacing w:line="240" w:lineRule="exact"/>
              <w:rPr>
                <w:rFonts w:ascii="宋体" w:hAnsi="宋体" w:eastAsia="宋体" w:cs="宋体"/>
                <w:sz w:val="18"/>
                <w:szCs w:val="18"/>
              </w:rPr>
            </w:pPr>
            <w:r>
              <w:rPr>
                <w:rFonts w:ascii="宋体" w:hAnsi="宋体" w:eastAsia="宋体" w:cs="宋体"/>
                <w:sz w:val="18"/>
                <w:szCs w:val="18"/>
              </w:rPr>
              <w:t>重大缺陷：导致直接财产损失金额达1000万元以上或对公司造成较大负面影响并以公告形式对外披露；</w:t>
            </w:r>
          </w:p>
          <w:p w14:paraId="3A5EE67D">
            <w:pPr>
              <w:spacing w:line="240" w:lineRule="exact"/>
              <w:rPr>
                <w:rFonts w:ascii="宋体" w:hAnsi="宋体" w:eastAsia="宋体" w:cs="宋体"/>
                <w:sz w:val="18"/>
                <w:szCs w:val="18"/>
              </w:rPr>
            </w:pPr>
            <w:r>
              <w:rPr>
                <w:rFonts w:ascii="宋体" w:hAnsi="宋体" w:eastAsia="宋体" w:cs="宋体"/>
                <w:sz w:val="18"/>
                <w:szCs w:val="18"/>
              </w:rPr>
              <w:t>重要缺陷：导致直接财产损失金额为100万-1000万元（含1000万元）或受到国家政府部门处罚但未对公司造成负面影响</w:t>
            </w:r>
          </w:p>
          <w:p w14:paraId="72E440BB">
            <w:pPr>
              <w:spacing w:line="240" w:lineRule="exact"/>
              <w:rPr>
                <w:rFonts w:ascii="宋体" w:hAnsi="宋体" w:eastAsia="宋体" w:cs="宋体"/>
                <w:sz w:val="18"/>
                <w:szCs w:val="18"/>
              </w:rPr>
            </w:pPr>
            <w:r>
              <w:rPr>
                <w:rFonts w:ascii="宋体" w:hAnsi="宋体" w:eastAsia="宋体" w:cs="宋体"/>
                <w:sz w:val="18"/>
                <w:szCs w:val="18"/>
              </w:rPr>
              <w:t>一般缺陷：导致直接财产损失金额为100万元（含100万元）以下或受到省级（含省级）以下政府部门处罚但未对公司造成负面影响</w:t>
            </w:r>
          </w:p>
        </w:tc>
      </w:tr>
      <w:tr w14:paraId="3C15C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14:paraId="006DBF38">
            <w:pPr>
              <w:spacing w:before="40" w:after="40" w:line="240" w:lineRule="exact"/>
              <w:rPr>
                <w:rFonts w:ascii="宋体" w:hAnsi="宋体" w:eastAsia="宋体" w:cs="宋体"/>
                <w:sz w:val="18"/>
                <w:szCs w:val="18"/>
              </w:rPr>
            </w:pPr>
            <w:r>
              <w:rPr>
                <w:rFonts w:ascii="宋体" w:hAnsi="宋体" w:eastAsia="宋体" w:cs="宋体"/>
                <w:sz w:val="18"/>
                <w:szCs w:val="18"/>
              </w:rPr>
              <w:t>财务报告重大缺陷数量（个）</w:t>
            </w:r>
          </w:p>
        </w:tc>
        <w:tc>
          <w:tcPr>
            <w:tcW w:w="8079" w:type="dxa"/>
            <w:gridSpan w:val="3"/>
            <w:tcBorders>
              <w:top w:val="single" w:color="auto" w:sz="2" w:space="0"/>
              <w:left w:val="single" w:color="auto" w:sz="2" w:space="0"/>
              <w:bottom w:val="single" w:color="auto" w:sz="2" w:space="0"/>
              <w:right w:val="single" w:color="auto" w:sz="2" w:space="0"/>
            </w:tcBorders>
            <w:vAlign w:val="center"/>
          </w:tcPr>
          <w:p w14:paraId="14C72E08">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449DE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14:paraId="6F4F762D">
            <w:pPr>
              <w:spacing w:before="40" w:after="40" w:line="240" w:lineRule="exact"/>
              <w:rPr>
                <w:rFonts w:ascii="宋体" w:hAnsi="宋体" w:eastAsia="宋体" w:cs="宋体"/>
                <w:sz w:val="18"/>
                <w:szCs w:val="18"/>
              </w:rPr>
            </w:pPr>
            <w:r>
              <w:rPr>
                <w:rFonts w:ascii="宋体" w:hAnsi="宋体" w:eastAsia="宋体" w:cs="宋体"/>
                <w:sz w:val="18"/>
                <w:szCs w:val="18"/>
              </w:rPr>
              <w:t>非财务报告重大缺陷数量（个）</w:t>
            </w:r>
          </w:p>
        </w:tc>
        <w:tc>
          <w:tcPr>
            <w:tcW w:w="8079" w:type="dxa"/>
            <w:gridSpan w:val="3"/>
            <w:tcBorders>
              <w:top w:val="single" w:color="auto" w:sz="2" w:space="0"/>
              <w:left w:val="single" w:color="auto" w:sz="2" w:space="0"/>
              <w:bottom w:val="single" w:color="auto" w:sz="2" w:space="0"/>
              <w:right w:val="single" w:color="auto" w:sz="2" w:space="0"/>
            </w:tcBorders>
            <w:vAlign w:val="center"/>
          </w:tcPr>
          <w:p w14:paraId="3EECF1F0">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009A9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14:paraId="15C308B4">
            <w:pPr>
              <w:spacing w:before="40" w:after="40" w:line="240" w:lineRule="exact"/>
              <w:rPr>
                <w:rFonts w:ascii="宋体" w:hAnsi="宋体" w:eastAsia="宋体" w:cs="宋体"/>
                <w:sz w:val="18"/>
                <w:szCs w:val="18"/>
              </w:rPr>
            </w:pPr>
            <w:r>
              <w:rPr>
                <w:rFonts w:ascii="宋体" w:hAnsi="宋体" w:eastAsia="宋体" w:cs="宋体"/>
                <w:sz w:val="18"/>
                <w:szCs w:val="18"/>
              </w:rPr>
              <w:t>财务报告重要缺陷数量（个）</w:t>
            </w:r>
          </w:p>
        </w:tc>
        <w:tc>
          <w:tcPr>
            <w:tcW w:w="8079" w:type="dxa"/>
            <w:gridSpan w:val="3"/>
            <w:tcBorders>
              <w:top w:val="single" w:color="auto" w:sz="2" w:space="0"/>
              <w:left w:val="single" w:color="auto" w:sz="2" w:space="0"/>
              <w:bottom w:val="single" w:color="auto" w:sz="2" w:space="0"/>
              <w:right w:val="single" w:color="auto" w:sz="2" w:space="0"/>
            </w:tcBorders>
            <w:vAlign w:val="center"/>
          </w:tcPr>
          <w:p w14:paraId="38FEE820">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63714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14:paraId="10EFA035">
            <w:pPr>
              <w:spacing w:before="40" w:after="40" w:line="240" w:lineRule="exact"/>
              <w:rPr>
                <w:rFonts w:ascii="宋体" w:hAnsi="宋体" w:eastAsia="宋体" w:cs="宋体"/>
                <w:sz w:val="18"/>
                <w:szCs w:val="18"/>
              </w:rPr>
            </w:pPr>
            <w:r>
              <w:rPr>
                <w:rFonts w:ascii="宋体" w:hAnsi="宋体" w:eastAsia="宋体" w:cs="宋体"/>
                <w:sz w:val="18"/>
                <w:szCs w:val="18"/>
              </w:rPr>
              <w:t>非财务报告重要缺陷数量（个）</w:t>
            </w:r>
          </w:p>
        </w:tc>
        <w:tc>
          <w:tcPr>
            <w:tcW w:w="8079" w:type="dxa"/>
            <w:gridSpan w:val="3"/>
            <w:tcBorders>
              <w:top w:val="single" w:color="auto" w:sz="2" w:space="0"/>
              <w:left w:val="single" w:color="auto" w:sz="2" w:space="0"/>
              <w:bottom w:val="single" w:color="auto" w:sz="2" w:space="0"/>
              <w:right w:val="single" w:color="auto" w:sz="2" w:space="0"/>
            </w:tcBorders>
            <w:vAlign w:val="center"/>
          </w:tcPr>
          <w:p w14:paraId="313896A6">
            <w:pPr>
              <w:spacing w:line="240" w:lineRule="exact"/>
              <w:jc w:val="right"/>
              <w:rPr>
                <w:rFonts w:ascii="宋体" w:hAnsi="宋体" w:eastAsia="宋体" w:cs="宋体"/>
                <w:sz w:val="18"/>
                <w:szCs w:val="18"/>
              </w:rPr>
            </w:pPr>
            <w:r>
              <w:rPr>
                <w:rFonts w:ascii="宋体" w:hAnsi="宋体" w:eastAsia="宋体" w:cs="宋体"/>
                <w:sz w:val="18"/>
                <w:szCs w:val="18"/>
              </w:rPr>
              <w:t>0</w:t>
            </w:r>
          </w:p>
        </w:tc>
      </w:tr>
    </w:tbl>
    <w:p w14:paraId="673FED0B">
      <w:pPr>
        <w:pStyle w:val="3"/>
        <w:spacing w:line="280" w:lineRule="exact"/>
        <w:jc w:val="left"/>
        <w:rPr>
          <w:rFonts w:ascii="宋体" w:hAnsi="宋体" w:cs="宋体"/>
          <w:b/>
          <w:bCs/>
        </w:rPr>
      </w:pPr>
      <w:bookmarkStart w:id="90" w:name="_Toc988979"/>
      <w:r>
        <w:rPr>
          <w:rFonts w:ascii="宋体" w:hAnsi="宋体" w:cs="宋体"/>
          <w:b/>
          <w:bCs/>
        </w:rPr>
        <w:t>2、内部控制审计报告</w:t>
      </w:r>
      <w:bookmarkEnd w:id="90"/>
    </w:p>
    <w:p w14:paraId="06D509C5">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14:paraId="7AF37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72D3562">
            <w:pPr>
              <w:spacing w:before="40" w:after="40" w:line="240" w:lineRule="exact"/>
              <w:jc w:val="center"/>
              <w:rPr>
                <w:rFonts w:ascii="宋体" w:hAnsi="宋体" w:eastAsia="宋体" w:cs="宋体"/>
                <w:sz w:val="18"/>
                <w:szCs w:val="18"/>
              </w:rPr>
            </w:pPr>
            <w:r>
              <w:rPr>
                <w:rFonts w:ascii="宋体" w:hAnsi="宋体" w:eastAsia="宋体" w:cs="宋体"/>
                <w:sz w:val="18"/>
                <w:szCs w:val="18"/>
              </w:rPr>
              <w:t>内部控制审计报告中的审议意见段</w:t>
            </w:r>
          </w:p>
        </w:tc>
      </w:tr>
      <w:tr w14:paraId="262B2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vAlign w:val="center"/>
          </w:tcPr>
          <w:p w14:paraId="030E0663">
            <w:pPr>
              <w:spacing w:line="240" w:lineRule="exact"/>
              <w:rPr>
                <w:rFonts w:ascii="宋体" w:hAnsi="宋体" w:eastAsia="宋体" w:cs="宋体"/>
                <w:sz w:val="18"/>
                <w:szCs w:val="18"/>
              </w:rPr>
            </w:pPr>
            <w:r>
              <w:rPr>
                <w:rFonts w:ascii="宋体" w:hAnsi="宋体" w:eastAsia="宋体" w:cs="宋体"/>
                <w:sz w:val="18"/>
                <w:szCs w:val="18"/>
              </w:rPr>
              <w:t>我们认为，华孚时尚公司于2025年12月31日按照《企业内部控制基本规范》和相关规定在所有重大方面保持了有效的财务报告内部控制。</w:t>
            </w:r>
          </w:p>
        </w:tc>
      </w:tr>
      <w:tr w14:paraId="40FE2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DF90947">
            <w:pPr>
              <w:spacing w:before="40" w:after="40" w:line="240" w:lineRule="exact"/>
              <w:rPr>
                <w:rFonts w:ascii="宋体" w:hAnsi="宋体" w:eastAsia="宋体" w:cs="宋体"/>
                <w:sz w:val="18"/>
                <w:szCs w:val="18"/>
              </w:rPr>
            </w:pPr>
            <w:r>
              <w:rPr>
                <w:rFonts w:ascii="宋体" w:hAnsi="宋体" w:eastAsia="宋体" w:cs="宋体"/>
                <w:sz w:val="18"/>
                <w:szCs w:val="18"/>
              </w:rPr>
              <w:t>内控审计报告披露情况</w:t>
            </w:r>
          </w:p>
        </w:tc>
        <w:tc>
          <w:tcPr>
            <w:tcW w:w="4820" w:type="dxa"/>
            <w:tcBorders>
              <w:top w:val="single" w:color="auto" w:sz="2" w:space="0"/>
              <w:left w:val="single" w:color="auto" w:sz="2" w:space="0"/>
              <w:bottom w:val="single" w:color="auto" w:sz="2" w:space="0"/>
              <w:right w:val="single" w:color="auto" w:sz="2" w:space="0"/>
            </w:tcBorders>
            <w:vAlign w:val="center"/>
          </w:tcPr>
          <w:p w14:paraId="1A5AA35E">
            <w:pPr>
              <w:spacing w:line="240" w:lineRule="exact"/>
              <w:rPr>
                <w:rFonts w:ascii="宋体" w:hAnsi="宋体" w:eastAsia="宋体" w:cs="宋体"/>
                <w:sz w:val="18"/>
                <w:szCs w:val="18"/>
              </w:rPr>
            </w:pPr>
            <w:r>
              <w:rPr>
                <w:rFonts w:ascii="宋体" w:hAnsi="宋体" w:eastAsia="宋体" w:cs="宋体"/>
                <w:sz w:val="18"/>
                <w:szCs w:val="18"/>
              </w:rPr>
              <w:t>披露</w:t>
            </w:r>
          </w:p>
        </w:tc>
      </w:tr>
      <w:tr w14:paraId="78086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E252AFB">
            <w:pPr>
              <w:spacing w:before="40" w:after="40" w:line="240" w:lineRule="exact"/>
              <w:rPr>
                <w:rFonts w:ascii="宋体" w:hAnsi="宋体" w:eastAsia="宋体" w:cs="宋体"/>
                <w:sz w:val="18"/>
                <w:szCs w:val="18"/>
              </w:rPr>
            </w:pPr>
            <w:r>
              <w:rPr>
                <w:rFonts w:ascii="宋体" w:hAnsi="宋体" w:eastAsia="宋体" w:cs="宋体"/>
                <w:sz w:val="18"/>
                <w:szCs w:val="18"/>
              </w:rPr>
              <w:t>内部控制审计报告全文披露日期</w:t>
            </w:r>
          </w:p>
        </w:tc>
        <w:tc>
          <w:tcPr>
            <w:tcW w:w="4820" w:type="dxa"/>
            <w:tcBorders>
              <w:top w:val="single" w:color="auto" w:sz="2" w:space="0"/>
              <w:left w:val="single" w:color="auto" w:sz="2" w:space="0"/>
              <w:bottom w:val="single" w:color="auto" w:sz="2" w:space="0"/>
              <w:right w:val="single" w:color="auto" w:sz="2" w:space="0"/>
            </w:tcBorders>
            <w:vAlign w:val="center"/>
          </w:tcPr>
          <w:p w14:paraId="288FD04A">
            <w:pPr>
              <w:spacing w:line="240" w:lineRule="exact"/>
              <w:rPr>
                <w:rFonts w:ascii="宋体" w:hAnsi="宋体" w:eastAsia="宋体" w:cs="宋体"/>
                <w:sz w:val="18"/>
                <w:szCs w:val="18"/>
              </w:rPr>
            </w:pPr>
            <w:r>
              <w:rPr>
                <w:rFonts w:ascii="宋体" w:hAnsi="宋体" w:eastAsia="宋体" w:cs="宋体"/>
                <w:sz w:val="18"/>
                <w:szCs w:val="18"/>
              </w:rPr>
              <w:t>2026年04月2</w:t>
            </w:r>
            <w:r>
              <w:rPr>
                <w:rFonts w:hint="eastAsia" w:ascii="宋体" w:hAnsi="宋体" w:eastAsia="宋体" w:cs="宋体"/>
                <w:sz w:val="18"/>
                <w:szCs w:val="18"/>
              </w:rPr>
              <w:t>9</w:t>
            </w:r>
            <w:r>
              <w:rPr>
                <w:rFonts w:ascii="宋体" w:hAnsi="宋体" w:eastAsia="宋体" w:cs="宋体"/>
                <w:sz w:val="18"/>
                <w:szCs w:val="18"/>
              </w:rPr>
              <w:t>日</w:t>
            </w:r>
          </w:p>
        </w:tc>
      </w:tr>
      <w:tr w14:paraId="1A67B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F728AC2">
            <w:pPr>
              <w:spacing w:before="40" w:after="40" w:line="240" w:lineRule="exact"/>
              <w:rPr>
                <w:rFonts w:ascii="宋体" w:hAnsi="宋体" w:eastAsia="宋体" w:cs="宋体"/>
                <w:sz w:val="18"/>
                <w:szCs w:val="18"/>
              </w:rPr>
            </w:pPr>
            <w:r>
              <w:rPr>
                <w:rFonts w:ascii="宋体" w:hAnsi="宋体" w:eastAsia="宋体" w:cs="宋体"/>
                <w:sz w:val="18"/>
                <w:szCs w:val="18"/>
              </w:rPr>
              <w:t>内部控制审计报告全文披露索引</w:t>
            </w:r>
          </w:p>
        </w:tc>
        <w:tc>
          <w:tcPr>
            <w:tcW w:w="4820" w:type="dxa"/>
            <w:tcBorders>
              <w:top w:val="single" w:color="auto" w:sz="2" w:space="0"/>
              <w:left w:val="single" w:color="auto" w:sz="2" w:space="0"/>
              <w:bottom w:val="single" w:color="auto" w:sz="2" w:space="0"/>
              <w:right w:val="single" w:color="auto" w:sz="2" w:space="0"/>
            </w:tcBorders>
            <w:vAlign w:val="center"/>
          </w:tcPr>
          <w:p w14:paraId="12DB0CC8">
            <w:pPr>
              <w:spacing w:line="240" w:lineRule="exact"/>
              <w:rPr>
                <w:rFonts w:ascii="宋体" w:hAnsi="宋体" w:eastAsia="宋体" w:cs="宋体"/>
                <w:sz w:val="18"/>
                <w:szCs w:val="18"/>
              </w:rPr>
            </w:pPr>
            <w:r>
              <w:rPr>
                <w:rFonts w:ascii="宋体" w:hAnsi="宋体" w:eastAsia="宋体" w:cs="宋体"/>
                <w:sz w:val="18"/>
                <w:szCs w:val="18"/>
              </w:rPr>
              <w:t>政旦志远内字第260000049号</w:t>
            </w:r>
          </w:p>
        </w:tc>
      </w:tr>
      <w:tr w14:paraId="0C0E6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EE2E385">
            <w:pPr>
              <w:spacing w:before="40" w:after="40" w:line="240" w:lineRule="exact"/>
              <w:rPr>
                <w:rFonts w:ascii="宋体" w:hAnsi="宋体" w:eastAsia="宋体" w:cs="宋体"/>
                <w:sz w:val="18"/>
                <w:szCs w:val="18"/>
              </w:rPr>
            </w:pPr>
            <w:r>
              <w:rPr>
                <w:rFonts w:ascii="宋体" w:hAnsi="宋体" w:eastAsia="宋体" w:cs="宋体"/>
                <w:sz w:val="18"/>
                <w:szCs w:val="18"/>
              </w:rPr>
              <w:t>内控审计报告意见类型</w:t>
            </w:r>
          </w:p>
        </w:tc>
        <w:tc>
          <w:tcPr>
            <w:tcW w:w="4820" w:type="dxa"/>
            <w:tcBorders>
              <w:top w:val="single" w:color="auto" w:sz="2" w:space="0"/>
              <w:left w:val="single" w:color="auto" w:sz="2" w:space="0"/>
              <w:bottom w:val="single" w:color="auto" w:sz="2" w:space="0"/>
              <w:right w:val="single" w:color="auto" w:sz="2" w:space="0"/>
            </w:tcBorders>
            <w:vAlign w:val="center"/>
          </w:tcPr>
          <w:p w14:paraId="29D90B10">
            <w:pPr>
              <w:spacing w:line="240" w:lineRule="exact"/>
              <w:rPr>
                <w:rFonts w:ascii="宋体" w:hAnsi="宋体" w:eastAsia="宋体" w:cs="宋体"/>
                <w:sz w:val="18"/>
                <w:szCs w:val="18"/>
              </w:rPr>
            </w:pPr>
            <w:r>
              <w:rPr>
                <w:rFonts w:ascii="宋体" w:hAnsi="宋体" w:eastAsia="宋体" w:cs="宋体"/>
                <w:sz w:val="18"/>
                <w:szCs w:val="18"/>
              </w:rPr>
              <w:t>标准无保留意见</w:t>
            </w:r>
          </w:p>
        </w:tc>
      </w:tr>
      <w:tr w14:paraId="1E0E6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E316B5F">
            <w:pPr>
              <w:spacing w:before="40" w:after="40" w:line="240" w:lineRule="exact"/>
              <w:rPr>
                <w:rFonts w:ascii="宋体" w:hAnsi="宋体" w:eastAsia="宋体" w:cs="宋体"/>
                <w:sz w:val="18"/>
                <w:szCs w:val="18"/>
              </w:rPr>
            </w:pPr>
            <w:r>
              <w:rPr>
                <w:rFonts w:ascii="宋体" w:hAnsi="宋体" w:eastAsia="宋体" w:cs="宋体"/>
                <w:sz w:val="18"/>
                <w:szCs w:val="18"/>
              </w:rPr>
              <w:t>非财务报告是否存在重大缺陷</w:t>
            </w:r>
          </w:p>
        </w:tc>
        <w:tc>
          <w:tcPr>
            <w:tcW w:w="4820" w:type="dxa"/>
            <w:tcBorders>
              <w:top w:val="single" w:color="auto" w:sz="2" w:space="0"/>
              <w:left w:val="single" w:color="auto" w:sz="2" w:space="0"/>
              <w:bottom w:val="single" w:color="auto" w:sz="2" w:space="0"/>
              <w:right w:val="single" w:color="auto" w:sz="2" w:space="0"/>
            </w:tcBorders>
            <w:vAlign w:val="center"/>
          </w:tcPr>
          <w:p w14:paraId="071DBB8F">
            <w:pPr>
              <w:spacing w:line="240" w:lineRule="exact"/>
              <w:rPr>
                <w:rFonts w:ascii="宋体" w:hAnsi="宋体" w:eastAsia="宋体" w:cs="宋体"/>
                <w:sz w:val="18"/>
                <w:szCs w:val="18"/>
              </w:rPr>
            </w:pPr>
            <w:r>
              <w:rPr>
                <w:rFonts w:ascii="宋体" w:hAnsi="宋体" w:eastAsia="宋体" w:cs="宋体"/>
                <w:sz w:val="18"/>
                <w:szCs w:val="18"/>
              </w:rPr>
              <w:t>否</w:t>
            </w:r>
          </w:p>
        </w:tc>
      </w:tr>
    </w:tbl>
    <w:p w14:paraId="15B61E03">
      <w:pPr>
        <w:spacing w:before="100" w:after="100" w:line="240" w:lineRule="exact"/>
        <w:rPr>
          <w:rFonts w:ascii="宋体" w:hAnsi="宋体" w:eastAsia="宋体" w:cs="宋体"/>
          <w:sz w:val="18"/>
          <w:szCs w:val="18"/>
        </w:rPr>
      </w:pPr>
      <w:r>
        <w:rPr>
          <w:rFonts w:ascii="宋体" w:hAnsi="宋体" w:eastAsia="宋体" w:cs="宋体"/>
          <w:sz w:val="18"/>
          <w:szCs w:val="18"/>
        </w:rPr>
        <w:t>会计师事务所是否出具非标准意见的内部控制审计报告</w:t>
      </w:r>
    </w:p>
    <w:p w14:paraId="6BCA6BD3">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25CE8450">
      <w:pPr>
        <w:spacing w:before="100" w:after="100" w:line="240" w:lineRule="exact"/>
        <w:rPr>
          <w:rFonts w:ascii="宋体" w:hAnsi="宋体" w:eastAsia="宋体" w:cs="宋体"/>
          <w:sz w:val="18"/>
          <w:szCs w:val="18"/>
        </w:rPr>
      </w:pPr>
      <w:r>
        <w:rPr>
          <w:rFonts w:ascii="宋体" w:hAnsi="宋体" w:eastAsia="宋体" w:cs="宋体"/>
          <w:sz w:val="18"/>
          <w:szCs w:val="18"/>
        </w:rPr>
        <w:t>会计师事务所出具的内部控制审计报告与董事会的自我评价报告意见是否一致</w:t>
      </w:r>
    </w:p>
    <w:p w14:paraId="152776C2">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14:paraId="463D86DE">
      <w:pPr>
        <w:spacing w:before="100" w:after="100" w:line="240" w:lineRule="exact"/>
        <w:rPr>
          <w:rFonts w:ascii="宋体" w:hAnsi="宋体" w:eastAsia="宋体" w:cs="宋体"/>
          <w:sz w:val="18"/>
          <w:szCs w:val="18"/>
        </w:rPr>
      </w:pPr>
      <w:r>
        <w:rPr>
          <w:rFonts w:ascii="宋体" w:hAnsi="宋体" w:eastAsia="宋体" w:cs="宋体"/>
          <w:sz w:val="18"/>
          <w:szCs w:val="18"/>
        </w:rPr>
        <w:t>报告期或上年度是否被出具内部控制非标准审计意见</w:t>
      </w:r>
    </w:p>
    <w:p w14:paraId="56AEEB04">
      <w:pPr>
        <w:spacing w:before="40" w:after="4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0EF9FCB6">
      <w:pPr>
        <w:pStyle w:val="2"/>
        <w:spacing w:before="300" w:after="300" w:line="320" w:lineRule="exact"/>
        <w:rPr>
          <w:rFonts w:ascii="宋体" w:hAnsi="宋体" w:eastAsia="宋体" w:cs="宋体"/>
          <w:b/>
          <w:bCs/>
          <w:sz w:val="24"/>
          <w:szCs w:val="24"/>
        </w:rPr>
      </w:pPr>
      <w:bookmarkStart w:id="91" w:name="_Toc988980"/>
      <w:r>
        <w:rPr>
          <w:rFonts w:ascii="宋体" w:hAnsi="宋体" w:eastAsia="宋体" w:cs="宋体"/>
          <w:b/>
          <w:bCs/>
          <w:sz w:val="24"/>
          <w:szCs w:val="24"/>
        </w:rPr>
        <w:t>十四、上市公司治理专项行动自查问题整改情况</w:t>
      </w:r>
      <w:bookmarkEnd w:id="91"/>
    </w:p>
    <w:p w14:paraId="1AC79ABA">
      <w:pPr>
        <w:pStyle w:val="9"/>
        <w:rPr>
          <w:sz w:val="18"/>
          <w:szCs w:val="18"/>
        </w:rPr>
      </w:pPr>
      <w:r>
        <w:rPr>
          <w:rFonts w:hint="eastAsia"/>
          <w:sz w:val="18"/>
          <w:szCs w:val="18"/>
        </w:rPr>
        <w:t>无</w:t>
      </w:r>
    </w:p>
    <w:p w14:paraId="665428FF">
      <w:pPr>
        <w:pStyle w:val="2"/>
        <w:spacing w:before="300" w:after="300" w:line="320" w:lineRule="exact"/>
        <w:rPr>
          <w:rFonts w:ascii="宋体" w:hAnsi="宋体" w:eastAsia="宋体" w:cs="宋体"/>
          <w:b/>
          <w:bCs/>
          <w:sz w:val="24"/>
          <w:szCs w:val="24"/>
        </w:rPr>
      </w:pPr>
      <w:bookmarkStart w:id="92" w:name="_Toc988981"/>
      <w:r>
        <w:rPr>
          <w:rFonts w:ascii="宋体" w:hAnsi="宋体" w:eastAsia="宋体" w:cs="宋体"/>
          <w:b/>
          <w:bCs/>
          <w:sz w:val="24"/>
          <w:szCs w:val="24"/>
        </w:rPr>
        <w:t>十五、环境信息披露情况</w:t>
      </w:r>
      <w:bookmarkEnd w:id="92"/>
    </w:p>
    <w:p w14:paraId="123D4527">
      <w:pPr>
        <w:spacing w:before="40" w:after="40" w:line="240" w:lineRule="exact"/>
        <w:rPr>
          <w:rFonts w:ascii="宋体" w:hAnsi="宋体" w:eastAsia="宋体" w:cs="宋体"/>
          <w:sz w:val="18"/>
          <w:szCs w:val="18"/>
        </w:rPr>
      </w:pPr>
      <w:r>
        <w:rPr>
          <w:rFonts w:ascii="宋体" w:hAnsi="宋体" w:eastAsia="宋体" w:cs="宋体"/>
          <w:sz w:val="18"/>
          <w:szCs w:val="18"/>
        </w:rPr>
        <w:t>上市公司及其主要子公司是否纳入环境信息依法披露企业名单</w:t>
      </w:r>
    </w:p>
    <w:p w14:paraId="6CC5B066">
      <w:pPr>
        <w:spacing w:before="40" w:after="4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43"/>
        <w:gridCol w:w="2552"/>
        <w:gridCol w:w="5244"/>
      </w:tblGrid>
      <w:tr w14:paraId="091DF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9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1924849">
            <w:pPr>
              <w:spacing w:before="40" w:after="40" w:line="240" w:lineRule="exact"/>
              <w:rPr>
                <w:rFonts w:ascii="宋体" w:hAnsi="宋体" w:eastAsia="宋体" w:cs="宋体"/>
                <w:sz w:val="18"/>
                <w:szCs w:val="18"/>
              </w:rPr>
            </w:pPr>
            <w:r>
              <w:rPr>
                <w:rFonts w:ascii="宋体" w:hAnsi="宋体" w:eastAsia="宋体" w:cs="宋体"/>
                <w:sz w:val="18"/>
                <w:szCs w:val="18"/>
              </w:rPr>
              <w:t>纳入环境信息依法披露企业名单中的企业数量（家）</w:t>
            </w:r>
          </w:p>
        </w:tc>
        <w:tc>
          <w:tcPr>
            <w:tcW w:w="5244" w:type="dxa"/>
            <w:tcBorders>
              <w:top w:val="single" w:color="auto" w:sz="2" w:space="0"/>
              <w:left w:val="single" w:color="auto" w:sz="2" w:space="0"/>
              <w:bottom w:val="single" w:color="auto" w:sz="2" w:space="0"/>
              <w:right w:val="single" w:color="auto" w:sz="2" w:space="0"/>
            </w:tcBorders>
            <w:vAlign w:val="center"/>
          </w:tcPr>
          <w:p w14:paraId="14D1C219">
            <w:pPr>
              <w:spacing w:line="240" w:lineRule="exact"/>
              <w:jc w:val="right"/>
              <w:rPr>
                <w:rFonts w:ascii="宋体" w:hAnsi="宋体" w:eastAsia="宋体" w:cs="宋体"/>
                <w:sz w:val="18"/>
                <w:szCs w:val="18"/>
              </w:rPr>
            </w:pPr>
            <w:r>
              <w:rPr>
                <w:rFonts w:ascii="宋体" w:hAnsi="宋体" w:eastAsia="宋体" w:cs="宋体"/>
                <w:sz w:val="18"/>
                <w:szCs w:val="18"/>
              </w:rPr>
              <w:t>1</w:t>
            </w:r>
          </w:p>
        </w:tc>
      </w:tr>
      <w:tr w14:paraId="0143A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14:paraId="31186E91">
            <w:pPr>
              <w:spacing w:before="40" w:after="40" w:line="240" w:lineRule="exact"/>
              <w:jc w:val="center"/>
              <w:rPr>
                <w:rFonts w:ascii="宋体" w:hAnsi="宋体" w:eastAsia="宋体" w:cs="宋体"/>
                <w:sz w:val="18"/>
                <w:szCs w:val="18"/>
              </w:rPr>
            </w:pPr>
            <w:r>
              <w:rPr>
                <w:rFonts w:ascii="宋体" w:hAnsi="宋体" w:eastAsia="宋体" w:cs="宋体"/>
                <w:sz w:val="18"/>
                <w:szCs w:val="18"/>
              </w:rPr>
              <w:t>序号</w:t>
            </w:r>
          </w:p>
        </w:tc>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14:paraId="3A5DE74C">
            <w:pPr>
              <w:spacing w:before="40" w:after="40" w:line="240" w:lineRule="exact"/>
              <w:jc w:val="center"/>
              <w:rPr>
                <w:rFonts w:ascii="宋体" w:hAnsi="宋体" w:eastAsia="宋体" w:cs="宋体"/>
                <w:sz w:val="18"/>
                <w:szCs w:val="18"/>
              </w:rPr>
            </w:pPr>
            <w:r>
              <w:rPr>
                <w:rFonts w:ascii="宋体" w:hAnsi="宋体" w:eastAsia="宋体" w:cs="宋体"/>
                <w:sz w:val="18"/>
                <w:szCs w:val="18"/>
              </w:rPr>
              <w:t>企业名称</w:t>
            </w:r>
          </w:p>
        </w:tc>
        <w:tc>
          <w:tcPr>
            <w:tcW w:w="5244" w:type="dxa"/>
            <w:tcBorders>
              <w:top w:val="single" w:color="auto" w:sz="2" w:space="0"/>
              <w:left w:val="single" w:color="auto" w:sz="2" w:space="0"/>
              <w:bottom w:val="single" w:color="auto" w:sz="2" w:space="0"/>
              <w:right w:val="single" w:color="auto" w:sz="2" w:space="0"/>
            </w:tcBorders>
            <w:shd w:val="clear" w:color="auto" w:fill="D3D3D3"/>
            <w:vAlign w:val="center"/>
          </w:tcPr>
          <w:p w14:paraId="6B935ABF">
            <w:pPr>
              <w:spacing w:before="40" w:after="40" w:line="240" w:lineRule="exact"/>
              <w:jc w:val="center"/>
              <w:rPr>
                <w:rFonts w:ascii="宋体" w:hAnsi="宋体" w:eastAsia="宋体" w:cs="宋体"/>
                <w:sz w:val="18"/>
                <w:szCs w:val="18"/>
              </w:rPr>
            </w:pPr>
            <w:r>
              <w:rPr>
                <w:rFonts w:ascii="宋体" w:hAnsi="宋体" w:eastAsia="宋体" w:cs="宋体"/>
                <w:sz w:val="18"/>
                <w:szCs w:val="18"/>
              </w:rPr>
              <w:t>环境信息依法披露报告的查询索引</w:t>
            </w:r>
          </w:p>
        </w:tc>
      </w:tr>
      <w:tr w14:paraId="71190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43" w:type="dxa"/>
            <w:tcBorders>
              <w:top w:val="single" w:color="auto" w:sz="2" w:space="0"/>
              <w:left w:val="single" w:color="auto" w:sz="2" w:space="0"/>
              <w:bottom w:val="single" w:color="auto" w:sz="2" w:space="0"/>
              <w:right w:val="single" w:color="auto" w:sz="2" w:space="0"/>
            </w:tcBorders>
            <w:vAlign w:val="center"/>
          </w:tcPr>
          <w:p w14:paraId="41FCD55D">
            <w:pPr>
              <w:spacing w:before="40" w:after="40" w:line="240" w:lineRule="exact"/>
              <w:jc w:val="center"/>
              <w:rPr>
                <w:rFonts w:ascii="宋体" w:hAnsi="宋体" w:eastAsia="宋体" w:cs="宋体"/>
                <w:sz w:val="18"/>
                <w:szCs w:val="18"/>
              </w:rPr>
            </w:pPr>
            <w:r>
              <w:rPr>
                <w:rFonts w:ascii="宋体" w:hAnsi="宋体" w:eastAsia="宋体" w:cs="宋体"/>
                <w:sz w:val="18"/>
                <w:szCs w:val="18"/>
              </w:rPr>
              <w:t>1</w:t>
            </w:r>
          </w:p>
        </w:tc>
        <w:tc>
          <w:tcPr>
            <w:tcW w:w="2552" w:type="dxa"/>
            <w:tcBorders>
              <w:top w:val="single" w:color="auto" w:sz="2" w:space="0"/>
              <w:left w:val="single" w:color="auto" w:sz="2" w:space="0"/>
              <w:bottom w:val="single" w:color="auto" w:sz="2" w:space="0"/>
              <w:right w:val="single" w:color="auto" w:sz="2" w:space="0"/>
            </w:tcBorders>
            <w:vAlign w:val="center"/>
          </w:tcPr>
          <w:p w14:paraId="29C9B554">
            <w:pPr>
              <w:spacing w:line="240" w:lineRule="exact"/>
              <w:rPr>
                <w:rFonts w:ascii="宋体" w:hAnsi="宋体" w:eastAsia="宋体" w:cs="宋体"/>
                <w:sz w:val="18"/>
                <w:szCs w:val="18"/>
              </w:rPr>
            </w:pPr>
            <w:r>
              <w:rPr>
                <w:rFonts w:ascii="宋体" w:hAnsi="宋体" w:eastAsia="宋体" w:cs="宋体"/>
                <w:sz w:val="18"/>
                <w:szCs w:val="18"/>
              </w:rPr>
              <w:t>浙江社标纤维有限公司</w:t>
            </w:r>
          </w:p>
        </w:tc>
        <w:tc>
          <w:tcPr>
            <w:tcW w:w="5244" w:type="dxa"/>
            <w:tcBorders>
              <w:top w:val="single" w:color="auto" w:sz="2" w:space="0"/>
              <w:left w:val="single" w:color="auto" w:sz="2" w:space="0"/>
              <w:bottom w:val="single" w:color="auto" w:sz="2" w:space="0"/>
              <w:right w:val="single" w:color="auto" w:sz="2" w:space="0"/>
            </w:tcBorders>
            <w:vAlign w:val="center"/>
          </w:tcPr>
          <w:p w14:paraId="0EB2A51D">
            <w:pPr>
              <w:spacing w:line="240" w:lineRule="exact"/>
              <w:rPr>
                <w:rFonts w:ascii="宋体" w:hAnsi="宋体" w:eastAsia="宋体" w:cs="宋体"/>
                <w:sz w:val="18"/>
                <w:szCs w:val="18"/>
              </w:rPr>
            </w:pPr>
            <w:r>
              <w:rPr>
                <w:rFonts w:ascii="宋体" w:hAnsi="宋体" w:eastAsia="宋体" w:cs="宋体"/>
                <w:sz w:val="18"/>
                <w:szCs w:val="18"/>
              </w:rPr>
              <w:t>全国排污许可证管理信息平台https://permit.mee.gov.cn/permitExt/defaults/default-index!getInformation.action</w:t>
            </w:r>
          </w:p>
          <w:p w14:paraId="5E746B0E">
            <w:pPr>
              <w:spacing w:line="240" w:lineRule="exact"/>
              <w:rPr>
                <w:rFonts w:ascii="宋体" w:hAnsi="宋体" w:eastAsia="宋体" w:cs="宋体"/>
                <w:sz w:val="18"/>
                <w:szCs w:val="18"/>
              </w:rPr>
            </w:pPr>
            <w:r>
              <w:rPr>
                <w:rFonts w:ascii="宋体" w:hAnsi="宋体" w:eastAsia="宋体" w:cs="宋体"/>
                <w:sz w:val="18"/>
                <w:szCs w:val="18"/>
              </w:rPr>
              <w:t>浙江企业环境信息依法披露平台https://mlzj.sthjt.zj.gov.cn/eps/index/enterprise-search</w:t>
            </w:r>
          </w:p>
        </w:tc>
      </w:tr>
    </w:tbl>
    <w:p w14:paraId="3459D0BB">
      <w:pPr>
        <w:spacing w:before="100" w:after="100" w:line="240" w:lineRule="exact"/>
        <w:rPr>
          <w:rFonts w:ascii="宋体" w:hAnsi="宋体" w:eastAsia="宋体" w:cs="宋体"/>
          <w:sz w:val="18"/>
          <w:szCs w:val="18"/>
        </w:rPr>
      </w:pPr>
      <w:r>
        <w:rPr>
          <w:rFonts w:ascii="宋体" w:hAnsi="宋体" w:eastAsia="宋体" w:cs="宋体"/>
          <w:sz w:val="18"/>
          <w:szCs w:val="18"/>
        </w:rPr>
        <w:t>公司需遵守《深圳证券交易所上市公司自律监管指引第3号——行业信息披露》中纺织服装相关业的披露要求</w:t>
      </w:r>
    </w:p>
    <w:p w14:paraId="32F68590">
      <w:pPr>
        <w:spacing w:before="100" w:after="100" w:line="240" w:lineRule="exact"/>
        <w:rPr>
          <w:rFonts w:ascii="宋体" w:hAnsi="宋体" w:eastAsia="宋体" w:cs="宋体"/>
          <w:sz w:val="18"/>
          <w:szCs w:val="18"/>
        </w:rPr>
      </w:pPr>
      <w:r>
        <w:rPr>
          <w:rFonts w:ascii="宋体" w:hAnsi="宋体" w:eastAsia="宋体" w:cs="宋体"/>
          <w:sz w:val="18"/>
          <w:szCs w:val="18"/>
        </w:rPr>
        <w:t>上市公司发生环境事故的相关情况</w:t>
      </w:r>
    </w:p>
    <w:p w14:paraId="52D21EBD">
      <w:pPr>
        <w:pStyle w:val="2"/>
        <w:spacing w:before="300" w:after="300" w:line="320" w:lineRule="exact"/>
        <w:rPr>
          <w:rFonts w:ascii="宋体" w:hAnsi="宋体" w:eastAsia="宋体" w:cs="宋体"/>
          <w:b/>
          <w:bCs/>
          <w:sz w:val="24"/>
          <w:szCs w:val="24"/>
        </w:rPr>
      </w:pPr>
      <w:bookmarkStart w:id="93" w:name="_Toc988982"/>
      <w:r>
        <w:rPr>
          <w:rFonts w:ascii="宋体" w:hAnsi="宋体" w:eastAsia="宋体" w:cs="宋体"/>
          <w:b/>
          <w:bCs/>
          <w:sz w:val="24"/>
          <w:szCs w:val="24"/>
        </w:rPr>
        <w:t>十六、社会责任情况</w:t>
      </w:r>
      <w:bookmarkEnd w:id="93"/>
    </w:p>
    <w:p w14:paraId="76569652">
      <w:pPr>
        <w:pStyle w:val="9"/>
        <w:rPr>
          <w:sz w:val="18"/>
          <w:szCs w:val="18"/>
        </w:rPr>
      </w:pPr>
      <w:r>
        <w:rPr>
          <w:rFonts w:hint="eastAsia"/>
          <w:sz w:val="18"/>
          <w:szCs w:val="18"/>
        </w:rPr>
        <w:t>详见公司于2026年4月29日于巨潮资讯网（www.cninfo.com.cn）披露的《2025年度社会责任报告》。</w:t>
      </w:r>
    </w:p>
    <w:p w14:paraId="6DD9AA49">
      <w:pPr>
        <w:pStyle w:val="2"/>
        <w:spacing w:before="300" w:after="300" w:line="320" w:lineRule="exact"/>
        <w:rPr>
          <w:rFonts w:ascii="宋体" w:hAnsi="宋体" w:eastAsia="宋体" w:cs="宋体"/>
          <w:b/>
          <w:bCs/>
          <w:sz w:val="24"/>
          <w:szCs w:val="24"/>
        </w:rPr>
      </w:pPr>
      <w:bookmarkStart w:id="94" w:name="_Toc988983"/>
      <w:r>
        <w:rPr>
          <w:rFonts w:ascii="宋体" w:hAnsi="宋体" w:eastAsia="宋体" w:cs="宋体"/>
          <w:b/>
          <w:bCs/>
          <w:sz w:val="24"/>
          <w:szCs w:val="24"/>
        </w:rPr>
        <w:t>十七、巩固拓展脱贫攻坚成果、乡村振兴的情况</w:t>
      </w:r>
      <w:bookmarkEnd w:id="94"/>
    </w:p>
    <w:p w14:paraId="634953D0">
      <w:pPr>
        <w:pStyle w:val="9"/>
        <w:rPr>
          <w:sz w:val="18"/>
          <w:szCs w:val="18"/>
        </w:rPr>
      </w:pPr>
      <w:r>
        <w:rPr>
          <w:rFonts w:hint="eastAsia"/>
          <w:sz w:val="18"/>
          <w:szCs w:val="18"/>
        </w:rPr>
        <w:t>无</w:t>
      </w:r>
    </w:p>
    <w:p w14:paraId="17EC7A5F">
      <w:r>
        <w:br w:type="page"/>
      </w:r>
    </w:p>
    <w:p w14:paraId="26EB7819">
      <w:pPr>
        <w:pStyle w:val="15"/>
        <w:spacing w:before="340" w:after="330" w:line="773" w:lineRule="exact"/>
        <w:jc w:val="center"/>
        <w:rPr>
          <w:rFonts w:ascii="宋体" w:hAnsi="宋体" w:eastAsia="宋体" w:cs="宋体"/>
          <w:b/>
          <w:bCs/>
          <w:sz w:val="32"/>
          <w:szCs w:val="32"/>
        </w:rPr>
      </w:pPr>
      <w:bookmarkStart w:id="95" w:name="_Toc988984"/>
      <w:r>
        <w:rPr>
          <w:rFonts w:ascii="宋体" w:hAnsi="宋体" w:eastAsia="宋体" w:cs="宋体"/>
          <w:b/>
          <w:bCs/>
          <w:sz w:val="32"/>
          <w:szCs w:val="32"/>
        </w:rPr>
        <w:t>第五节 重要事项</w:t>
      </w:r>
      <w:bookmarkEnd w:id="95"/>
    </w:p>
    <w:p w14:paraId="6DA49828">
      <w:pPr>
        <w:pStyle w:val="2"/>
        <w:spacing w:before="300" w:after="300" w:line="320" w:lineRule="exact"/>
        <w:rPr>
          <w:rFonts w:ascii="宋体" w:hAnsi="宋体" w:eastAsia="宋体" w:cs="宋体"/>
          <w:b/>
          <w:bCs/>
          <w:sz w:val="24"/>
          <w:szCs w:val="24"/>
        </w:rPr>
      </w:pPr>
      <w:bookmarkStart w:id="96" w:name="_Toc988985"/>
      <w:r>
        <w:rPr>
          <w:rFonts w:ascii="宋体" w:hAnsi="宋体" w:eastAsia="宋体" w:cs="宋体"/>
          <w:b/>
          <w:bCs/>
          <w:sz w:val="24"/>
          <w:szCs w:val="24"/>
        </w:rPr>
        <w:t>一、承诺事项履行情况</w:t>
      </w:r>
      <w:bookmarkEnd w:id="96"/>
    </w:p>
    <w:p w14:paraId="19C7C2F2">
      <w:pPr>
        <w:pStyle w:val="3"/>
        <w:spacing w:line="280" w:lineRule="exact"/>
        <w:jc w:val="left"/>
        <w:rPr>
          <w:rFonts w:ascii="宋体" w:hAnsi="宋体" w:cs="宋体"/>
          <w:b/>
          <w:bCs/>
        </w:rPr>
      </w:pPr>
      <w:bookmarkStart w:id="97" w:name="_Toc988986"/>
      <w:r>
        <w:rPr>
          <w:rFonts w:ascii="宋体" w:hAnsi="宋体" w:cs="宋体"/>
          <w:b/>
          <w:bCs/>
        </w:rPr>
        <w:t>1、公司实际控制人、股东、关联方、收购人以及公司等承诺相关方在报告期内履行完毕及截至报告期末尚未履行完毕的承诺事项</w:t>
      </w:r>
      <w:bookmarkEnd w:id="97"/>
    </w:p>
    <w:p w14:paraId="4F7143BB">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4F7C8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292B5B6">
            <w:pPr>
              <w:spacing w:before="40" w:after="40" w:line="240" w:lineRule="exact"/>
              <w:jc w:val="center"/>
              <w:rPr>
                <w:rFonts w:ascii="宋体" w:hAnsi="宋体" w:eastAsia="宋体" w:cs="宋体"/>
                <w:sz w:val="18"/>
                <w:szCs w:val="18"/>
              </w:rPr>
            </w:pPr>
            <w:r>
              <w:rPr>
                <w:rFonts w:ascii="宋体" w:hAnsi="宋体" w:eastAsia="宋体" w:cs="宋体"/>
                <w:sz w:val="18"/>
                <w:szCs w:val="18"/>
              </w:rPr>
              <w:t>承诺事由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0D8F8AF">
            <w:pPr>
              <w:spacing w:before="40" w:after="40" w:line="240" w:lineRule="exact"/>
              <w:jc w:val="center"/>
              <w:rPr>
                <w:rFonts w:ascii="宋体" w:hAnsi="宋体" w:eastAsia="宋体" w:cs="宋体"/>
                <w:sz w:val="18"/>
                <w:szCs w:val="18"/>
              </w:rPr>
            </w:pPr>
            <w:r>
              <w:rPr>
                <w:rFonts w:ascii="宋体" w:hAnsi="宋体" w:eastAsia="宋体" w:cs="宋体"/>
                <w:sz w:val="18"/>
                <w:szCs w:val="18"/>
              </w:rPr>
              <w:t>承诺方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A76BC7C">
            <w:pPr>
              <w:spacing w:before="40" w:after="40" w:line="240" w:lineRule="exact"/>
              <w:jc w:val="center"/>
              <w:rPr>
                <w:rFonts w:ascii="宋体" w:hAnsi="宋体" w:eastAsia="宋体" w:cs="宋体"/>
                <w:sz w:val="18"/>
                <w:szCs w:val="18"/>
              </w:rPr>
            </w:pPr>
            <w:r>
              <w:rPr>
                <w:rFonts w:ascii="宋体" w:hAnsi="宋体" w:eastAsia="宋体" w:cs="宋体"/>
                <w:sz w:val="18"/>
                <w:szCs w:val="18"/>
              </w:rPr>
              <w:t>承诺类型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44E3DA4">
            <w:pPr>
              <w:spacing w:before="40" w:after="40" w:line="240" w:lineRule="exact"/>
              <w:jc w:val="center"/>
              <w:rPr>
                <w:rFonts w:ascii="宋体" w:hAnsi="宋体" w:eastAsia="宋体" w:cs="宋体"/>
                <w:sz w:val="18"/>
                <w:szCs w:val="18"/>
              </w:rPr>
            </w:pPr>
            <w:r>
              <w:rPr>
                <w:rFonts w:ascii="宋体" w:hAnsi="宋体" w:eastAsia="宋体" w:cs="宋体"/>
                <w:sz w:val="18"/>
                <w:szCs w:val="18"/>
              </w:rPr>
              <w:t>承诺内容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725F124">
            <w:pPr>
              <w:spacing w:before="40" w:after="40" w:line="240" w:lineRule="exact"/>
              <w:jc w:val="center"/>
              <w:rPr>
                <w:rFonts w:ascii="宋体" w:hAnsi="宋体" w:eastAsia="宋体" w:cs="宋体"/>
                <w:sz w:val="18"/>
                <w:szCs w:val="18"/>
              </w:rPr>
            </w:pPr>
            <w:r>
              <w:rPr>
                <w:rFonts w:ascii="宋体" w:hAnsi="宋体" w:eastAsia="宋体" w:cs="宋体"/>
                <w:sz w:val="18"/>
                <w:szCs w:val="18"/>
              </w:rPr>
              <w:t>承诺时间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7B86677">
            <w:pPr>
              <w:spacing w:before="40" w:after="40" w:line="240" w:lineRule="exact"/>
              <w:jc w:val="center"/>
              <w:rPr>
                <w:rFonts w:ascii="宋体" w:hAnsi="宋体" w:eastAsia="宋体" w:cs="宋体"/>
                <w:sz w:val="18"/>
                <w:szCs w:val="18"/>
              </w:rPr>
            </w:pPr>
            <w:r>
              <w:rPr>
                <w:rFonts w:ascii="宋体" w:hAnsi="宋体" w:eastAsia="宋体" w:cs="宋体"/>
                <w:sz w:val="18"/>
                <w:szCs w:val="18"/>
              </w:rPr>
              <w:t>承诺期限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5DD4B00">
            <w:pPr>
              <w:spacing w:before="40" w:after="40" w:line="240" w:lineRule="exact"/>
              <w:jc w:val="center"/>
              <w:rPr>
                <w:rFonts w:ascii="宋体" w:hAnsi="宋体" w:eastAsia="宋体" w:cs="宋体"/>
                <w:sz w:val="18"/>
                <w:szCs w:val="18"/>
              </w:rPr>
            </w:pPr>
            <w:r>
              <w:rPr>
                <w:rFonts w:ascii="宋体" w:hAnsi="宋体" w:eastAsia="宋体" w:cs="宋体"/>
                <w:sz w:val="18"/>
                <w:szCs w:val="18"/>
              </w:rPr>
              <w:t>履行情况</w:t>
            </w:r>
          </w:p>
        </w:tc>
      </w:tr>
      <w:tr w14:paraId="648CF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3107B21">
            <w:pPr>
              <w:spacing w:before="40" w:after="40" w:line="240" w:lineRule="exact"/>
              <w:rPr>
                <w:rFonts w:ascii="宋体" w:hAnsi="宋体" w:eastAsia="宋体" w:cs="宋体"/>
                <w:sz w:val="18"/>
                <w:szCs w:val="18"/>
              </w:rPr>
            </w:pPr>
            <w:r>
              <w:rPr>
                <w:rFonts w:ascii="宋体" w:hAnsi="宋体" w:eastAsia="宋体" w:cs="宋体"/>
                <w:sz w:val="18"/>
                <w:szCs w:val="18"/>
              </w:rPr>
              <w:t>其他承诺</w:t>
            </w:r>
          </w:p>
        </w:tc>
        <w:tc>
          <w:tcPr>
            <w:tcW w:w="1377" w:type="dxa"/>
            <w:tcBorders>
              <w:top w:val="single" w:color="auto" w:sz="2" w:space="0"/>
              <w:left w:val="single" w:color="auto" w:sz="2" w:space="0"/>
              <w:bottom w:val="single" w:color="auto" w:sz="2" w:space="0"/>
              <w:right w:val="single" w:color="auto" w:sz="2" w:space="0"/>
            </w:tcBorders>
            <w:vAlign w:val="center"/>
          </w:tcPr>
          <w:p w14:paraId="3CB10810">
            <w:pPr>
              <w:spacing w:line="240" w:lineRule="exact"/>
              <w:rPr>
                <w:rFonts w:ascii="宋体" w:hAnsi="宋体" w:eastAsia="宋体" w:cs="宋体"/>
                <w:sz w:val="18"/>
                <w:szCs w:val="18"/>
              </w:rPr>
            </w:pPr>
            <w:r>
              <w:rPr>
                <w:rFonts w:ascii="宋体" w:hAnsi="宋体" w:eastAsia="宋体" w:cs="宋体"/>
                <w:sz w:val="18"/>
                <w:szCs w:val="18"/>
              </w:rPr>
              <w:t>杭州兴健私募基金管理有限公司-兴健青龙私募证券投资基金</w:t>
            </w:r>
          </w:p>
        </w:tc>
        <w:tc>
          <w:tcPr>
            <w:tcW w:w="1377" w:type="dxa"/>
            <w:tcBorders>
              <w:top w:val="single" w:color="auto" w:sz="2" w:space="0"/>
              <w:left w:val="single" w:color="auto" w:sz="2" w:space="0"/>
              <w:bottom w:val="single" w:color="auto" w:sz="2" w:space="0"/>
              <w:right w:val="single" w:color="auto" w:sz="2" w:space="0"/>
            </w:tcBorders>
            <w:vAlign w:val="center"/>
          </w:tcPr>
          <w:p w14:paraId="704AFAB5">
            <w:pPr>
              <w:spacing w:line="240" w:lineRule="exact"/>
              <w:rPr>
                <w:rFonts w:ascii="宋体" w:hAnsi="宋体" w:eastAsia="宋体" w:cs="宋体"/>
                <w:sz w:val="18"/>
                <w:szCs w:val="18"/>
              </w:rPr>
            </w:pPr>
            <w:r>
              <w:rPr>
                <w:rFonts w:ascii="宋体" w:hAnsi="宋体" w:eastAsia="宋体" w:cs="宋体"/>
                <w:sz w:val="18"/>
                <w:szCs w:val="18"/>
              </w:rPr>
              <w:t>关于不减持的承诺</w:t>
            </w:r>
          </w:p>
        </w:tc>
        <w:tc>
          <w:tcPr>
            <w:tcW w:w="1377" w:type="dxa"/>
            <w:tcBorders>
              <w:top w:val="single" w:color="auto" w:sz="2" w:space="0"/>
              <w:left w:val="single" w:color="auto" w:sz="2" w:space="0"/>
              <w:bottom w:val="single" w:color="auto" w:sz="2" w:space="0"/>
              <w:right w:val="single" w:color="auto" w:sz="2" w:space="0"/>
            </w:tcBorders>
            <w:vAlign w:val="center"/>
          </w:tcPr>
          <w:p w14:paraId="52571C13">
            <w:pPr>
              <w:spacing w:line="240" w:lineRule="exact"/>
              <w:rPr>
                <w:rFonts w:ascii="宋体" w:hAnsi="宋体" w:eastAsia="宋体" w:cs="宋体"/>
                <w:sz w:val="18"/>
                <w:szCs w:val="18"/>
              </w:rPr>
            </w:pPr>
            <w:r>
              <w:rPr>
                <w:rFonts w:ascii="宋体" w:hAnsi="宋体" w:eastAsia="宋体" w:cs="宋体"/>
                <w:sz w:val="18"/>
                <w:szCs w:val="18"/>
              </w:rPr>
              <w:t>自本次协议转让标的股份过户完成之日起12个月以内不以任何方式减持所持华孚时尚股份有限公司股份</w:t>
            </w:r>
          </w:p>
        </w:tc>
        <w:tc>
          <w:tcPr>
            <w:tcW w:w="1377" w:type="dxa"/>
            <w:tcBorders>
              <w:top w:val="single" w:color="auto" w:sz="2" w:space="0"/>
              <w:left w:val="single" w:color="auto" w:sz="2" w:space="0"/>
              <w:bottom w:val="single" w:color="auto" w:sz="2" w:space="0"/>
              <w:right w:val="single" w:color="auto" w:sz="2" w:space="0"/>
            </w:tcBorders>
            <w:vAlign w:val="center"/>
          </w:tcPr>
          <w:p w14:paraId="5DC58E37">
            <w:pPr>
              <w:spacing w:line="240" w:lineRule="exact"/>
              <w:rPr>
                <w:rFonts w:ascii="宋体" w:hAnsi="宋体" w:eastAsia="宋体" w:cs="宋体"/>
                <w:sz w:val="18"/>
                <w:szCs w:val="18"/>
              </w:rPr>
            </w:pPr>
            <w:r>
              <w:rPr>
                <w:rFonts w:ascii="宋体" w:hAnsi="宋体" w:eastAsia="宋体" w:cs="宋体"/>
                <w:sz w:val="18"/>
                <w:szCs w:val="18"/>
              </w:rPr>
              <w:t>2025年08月14日</w:t>
            </w:r>
          </w:p>
        </w:tc>
        <w:tc>
          <w:tcPr>
            <w:tcW w:w="1377" w:type="dxa"/>
            <w:tcBorders>
              <w:top w:val="single" w:color="auto" w:sz="2" w:space="0"/>
              <w:left w:val="single" w:color="auto" w:sz="2" w:space="0"/>
              <w:bottom w:val="single" w:color="auto" w:sz="2" w:space="0"/>
              <w:right w:val="single" w:color="auto" w:sz="2" w:space="0"/>
            </w:tcBorders>
            <w:vAlign w:val="center"/>
          </w:tcPr>
          <w:p w14:paraId="08D8E28D">
            <w:pPr>
              <w:spacing w:line="240" w:lineRule="exact"/>
              <w:rPr>
                <w:rFonts w:ascii="宋体" w:hAnsi="宋体" w:eastAsia="宋体" w:cs="宋体"/>
                <w:sz w:val="18"/>
                <w:szCs w:val="18"/>
              </w:rPr>
            </w:pPr>
            <w:r>
              <w:rPr>
                <w:rFonts w:ascii="宋体" w:hAnsi="宋体" w:eastAsia="宋体" w:cs="宋体"/>
                <w:sz w:val="18"/>
                <w:szCs w:val="18"/>
              </w:rPr>
              <w:t>2025年9月19日-2026年9月19日</w:t>
            </w:r>
          </w:p>
        </w:tc>
        <w:tc>
          <w:tcPr>
            <w:tcW w:w="1377" w:type="dxa"/>
            <w:tcBorders>
              <w:top w:val="single" w:color="auto" w:sz="2" w:space="0"/>
              <w:left w:val="single" w:color="auto" w:sz="2" w:space="0"/>
              <w:bottom w:val="single" w:color="auto" w:sz="2" w:space="0"/>
              <w:right w:val="single" w:color="auto" w:sz="2" w:space="0"/>
            </w:tcBorders>
            <w:vAlign w:val="center"/>
          </w:tcPr>
          <w:p w14:paraId="3C0D647B">
            <w:pPr>
              <w:spacing w:line="240" w:lineRule="exact"/>
              <w:rPr>
                <w:rFonts w:ascii="宋体" w:hAnsi="宋体" w:eastAsia="宋体" w:cs="宋体"/>
                <w:sz w:val="18"/>
                <w:szCs w:val="18"/>
              </w:rPr>
            </w:pPr>
            <w:r>
              <w:rPr>
                <w:rFonts w:ascii="宋体" w:hAnsi="宋体" w:eastAsia="宋体" w:cs="宋体"/>
                <w:sz w:val="18"/>
                <w:szCs w:val="18"/>
              </w:rPr>
              <w:t>正常履行中</w:t>
            </w:r>
          </w:p>
        </w:tc>
      </w:tr>
      <w:tr w14:paraId="712F5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4C62BF5">
            <w:pPr>
              <w:spacing w:before="40" w:after="40" w:line="240" w:lineRule="exact"/>
              <w:rPr>
                <w:rFonts w:ascii="宋体" w:hAnsi="宋体" w:eastAsia="宋体" w:cs="宋体"/>
                <w:sz w:val="18"/>
                <w:szCs w:val="18"/>
              </w:rPr>
            </w:pPr>
            <w:r>
              <w:rPr>
                <w:rFonts w:ascii="宋体" w:hAnsi="宋体" w:eastAsia="宋体" w:cs="宋体"/>
                <w:sz w:val="18"/>
                <w:szCs w:val="18"/>
              </w:rPr>
              <w:t>承诺是否按时履行</w:t>
            </w:r>
          </w:p>
        </w:tc>
        <w:tc>
          <w:tcPr>
            <w:tcW w:w="8262" w:type="dxa"/>
            <w:gridSpan w:val="6"/>
            <w:tcBorders>
              <w:top w:val="single" w:color="auto" w:sz="2" w:space="0"/>
              <w:left w:val="single" w:color="auto" w:sz="2" w:space="0"/>
              <w:bottom w:val="single" w:color="auto" w:sz="2" w:space="0"/>
              <w:right w:val="single" w:color="auto" w:sz="2" w:space="0"/>
            </w:tcBorders>
            <w:vAlign w:val="center"/>
          </w:tcPr>
          <w:p w14:paraId="2970F32C">
            <w:pPr>
              <w:spacing w:line="240" w:lineRule="exact"/>
              <w:rPr>
                <w:rFonts w:ascii="宋体" w:hAnsi="宋体" w:eastAsia="宋体" w:cs="宋体"/>
                <w:sz w:val="18"/>
                <w:szCs w:val="18"/>
              </w:rPr>
            </w:pPr>
            <w:r>
              <w:rPr>
                <w:rFonts w:ascii="宋体" w:hAnsi="宋体" w:eastAsia="宋体" w:cs="宋体"/>
                <w:sz w:val="18"/>
                <w:szCs w:val="18"/>
              </w:rPr>
              <w:t>是</w:t>
            </w:r>
          </w:p>
        </w:tc>
      </w:tr>
    </w:tbl>
    <w:p w14:paraId="20A2D91C">
      <w:pPr>
        <w:pStyle w:val="3"/>
        <w:spacing w:line="280" w:lineRule="exact"/>
        <w:jc w:val="left"/>
        <w:rPr>
          <w:rFonts w:ascii="宋体" w:hAnsi="宋体" w:cs="宋体"/>
          <w:b/>
          <w:bCs/>
        </w:rPr>
      </w:pPr>
      <w:bookmarkStart w:id="98" w:name="_Toc988987"/>
      <w:r>
        <w:rPr>
          <w:rFonts w:ascii="宋体" w:hAnsi="宋体" w:cs="宋体"/>
          <w:b/>
          <w:bCs/>
        </w:rPr>
        <w:t>2、公司资产或项目存在盈利预测，且报告期仍处在盈利预测期间，公司就资产或项目达到原盈利预测及其原因做出说明</w:t>
      </w:r>
      <w:bookmarkEnd w:id="98"/>
    </w:p>
    <w:p w14:paraId="398F1716">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E76F5D7">
      <w:pPr>
        <w:pStyle w:val="3"/>
        <w:spacing w:line="280" w:lineRule="exact"/>
        <w:jc w:val="left"/>
        <w:rPr>
          <w:rFonts w:ascii="宋体" w:hAnsi="宋体" w:cs="宋体"/>
          <w:b/>
          <w:bCs/>
        </w:rPr>
      </w:pPr>
      <w:bookmarkStart w:id="99" w:name="_Toc988988"/>
      <w:r>
        <w:rPr>
          <w:rFonts w:ascii="宋体" w:hAnsi="宋体" w:cs="宋体"/>
          <w:b/>
          <w:bCs/>
        </w:rPr>
        <w:t>3、公司涉及业绩承诺</w:t>
      </w:r>
      <w:bookmarkEnd w:id="99"/>
    </w:p>
    <w:p w14:paraId="22320B8F">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016435E">
      <w:pPr>
        <w:pStyle w:val="2"/>
        <w:spacing w:before="300" w:after="300" w:line="320" w:lineRule="exact"/>
        <w:rPr>
          <w:rFonts w:ascii="宋体" w:hAnsi="宋体" w:eastAsia="宋体" w:cs="宋体"/>
          <w:b/>
          <w:bCs/>
          <w:sz w:val="24"/>
          <w:szCs w:val="24"/>
        </w:rPr>
      </w:pPr>
      <w:bookmarkStart w:id="100" w:name="_Toc988989"/>
      <w:r>
        <w:rPr>
          <w:rFonts w:ascii="宋体" w:hAnsi="宋体" w:eastAsia="宋体" w:cs="宋体"/>
          <w:b/>
          <w:bCs/>
          <w:sz w:val="24"/>
          <w:szCs w:val="24"/>
        </w:rPr>
        <w:t>二、控股股东及其他关联方对上市公司的非经营性占用资金情况</w:t>
      </w:r>
      <w:bookmarkEnd w:id="100"/>
    </w:p>
    <w:p w14:paraId="46AF4997">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A4FC29F">
      <w:pPr>
        <w:spacing w:before="100" w:after="100" w:line="240" w:lineRule="exact"/>
        <w:rPr>
          <w:rFonts w:ascii="宋体" w:hAnsi="宋体" w:eastAsia="宋体" w:cs="宋体"/>
          <w:sz w:val="18"/>
          <w:szCs w:val="18"/>
        </w:rPr>
      </w:pPr>
      <w:r>
        <w:rPr>
          <w:rFonts w:ascii="宋体" w:hAnsi="宋体" w:eastAsia="宋体" w:cs="宋体"/>
          <w:sz w:val="18"/>
          <w:szCs w:val="18"/>
        </w:rPr>
        <w:t>公司报告期不存在控股股东及其他关联方对上市公司的非经营性占用资金。</w:t>
      </w:r>
    </w:p>
    <w:p w14:paraId="404983F7">
      <w:pPr>
        <w:pStyle w:val="2"/>
        <w:spacing w:before="300" w:after="300" w:line="320" w:lineRule="exact"/>
        <w:rPr>
          <w:rFonts w:ascii="宋体" w:hAnsi="宋体" w:eastAsia="宋体" w:cs="宋体"/>
          <w:b/>
          <w:bCs/>
          <w:sz w:val="24"/>
          <w:szCs w:val="24"/>
        </w:rPr>
      </w:pPr>
      <w:bookmarkStart w:id="101" w:name="_Toc988990"/>
      <w:r>
        <w:rPr>
          <w:rFonts w:ascii="宋体" w:hAnsi="宋体" w:eastAsia="宋体" w:cs="宋体"/>
          <w:b/>
          <w:bCs/>
          <w:sz w:val="24"/>
          <w:szCs w:val="24"/>
        </w:rPr>
        <w:t>三、违规对外担保情况</w:t>
      </w:r>
      <w:bookmarkEnd w:id="101"/>
    </w:p>
    <w:p w14:paraId="562558A9">
      <w:pPr>
        <w:spacing w:before="40" w:after="4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EA8DC2F">
      <w:pPr>
        <w:spacing w:before="100" w:after="100" w:line="240" w:lineRule="exact"/>
        <w:rPr>
          <w:rFonts w:ascii="宋体" w:hAnsi="宋体" w:eastAsia="宋体" w:cs="宋体"/>
          <w:sz w:val="18"/>
          <w:szCs w:val="18"/>
        </w:rPr>
      </w:pPr>
      <w:r>
        <w:rPr>
          <w:rFonts w:ascii="宋体" w:hAnsi="宋体" w:eastAsia="宋体" w:cs="宋体"/>
          <w:sz w:val="18"/>
          <w:szCs w:val="18"/>
        </w:rPr>
        <w:t>公司报告期无违规对外担保情况。</w:t>
      </w:r>
    </w:p>
    <w:p w14:paraId="0334324B">
      <w:pPr>
        <w:pStyle w:val="2"/>
        <w:spacing w:before="300" w:after="300" w:line="320" w:lineRule="exact"/>
        <w:rPr>
          <w:rFonts w:ascii="宋体" w:hAnsi="宋体" w:eastAsia="宋体" w:cs="宋体"/>
          <w:b/>
          <w:bCs/>
          <w:sz w:val="24"/>
          <w:szCs w:val="24"/>
        </w:rPr>
      </w:pPr>
      <w:bookmarkStart w:id="102" w:name="_Toc988991"/>
      <w:r>
        <w:rPr>
          <w:rFonts w:ascii="宋体" w:hAnsi="宋体" w:eastAsia="宋体" w:cs="宋体"/>
          <w:b/>
          <w:bCs/>
          <w:sz w:val="24"/>
          <w:szCs w:val="24"/>
        </w:rPr>
        <w:t>四、董事会对最近一期“非标准审计报告”相关情况的说明</w:t>
      </w:r>
      <w:bookmarkEnd w:id="102"/>
    </w:p>
    <w:p w14:paraId="06CFE99E">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BE2DF76">
      <w:pPr>
        <w:pStyle w:val="2"/>
        <w:spacing w:before="300" w:after="300" w:line="320" w:lineRule="exact"/>
        <w:rPr>
          <w:rFonts w:ascii="宋体" w:hAnsi="宋体" w:eastAsia="宋体" w:cs="宋体"/>
          <w:b/>
          <w:bCs/>
          <w:sz w:val="24"/>
          <w:szCs w:val="24"/>
        </w:rPr>
      </w:pPr>
      <w:bookmarkStart w:id="103" w:name="_Toc988992"/>
      <w:r>
        <w:rPr>
          <w:rFonts w:ascii="宋体" w:hAnsi="宋体" w:eastAsia="宋体" w:cs="宋体"/>
          <w:b/>
          <w:bCs/>
          <w:sz w:val="24"/>
          <w:szCs w:val="24"/>
        </w:rPr>
        <w:t>五、董事会、独立董事（如有）对会计师事务所本报告期“非标准审计报告”的说明</w:t>
      </w:r>
      <w:bookmarkEnd w:id="103"/>
    </w:p>
    <w:p w14:paraId="47F83A9E">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6A80328">
      <w:pPr>
        <w:pStyle w:val="2"/>
        <w:spacing w:before="300" w:after="300" w:line="320" w:lineRule="exact"/>
        <w:rPr>
          <w:rFonts w:ascii="宋体" w:hAnsi="宋体" w:eastAsia="宋体" w:cs="宋体"/>
          <w:b/>
          <w:bCs/>
          <w:sz w:val="24"/>
          <w:szCs w:val="24"/>
        </w:rPr>
      </w:pPr>
      <w:bookmarkStart w:id="104" w:name="_Toc988993"/>
      <w:r>
        <w:rPr>
          <w:rFonts w:ascii="宋体" w:hAnsi="宋体" w:eastAsia="宋体" w:cs="宋体"/>
          <w:b/>
          <w:bCs/>
          <w:sz w:val="24"/>
          <w:szCs w:val="24"/>
        </w:rPr>
        <w:t xml:space="preserve">六、与上年度财务报告相比，会计政策、会计估计变更或重大会计差错更正的情况说明 </w:t>
      </w:r>
      <w:bookmarkEnd w:id="104"/>
    </w:p>
    <w:p w14:paraId="3C09E765">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593FFA5">
      <w:pPr>
        <w:spacing w:before="100" w:after="100" w:line="240" w:lineRule="exact"/>
        <w:rPr>
          <w:rFonts w:ascii="宋体" w:hAnsi="宋体" w:eastAsia="宋体" w:cs="宋体"/>
          <w:sz w:val="18"/>
          <w:szCs w:val="18"/>
        </w:rPr>
      </w:pPr>
      <w:r>
        <w:rPr>
          <w:rFonts w:ascii="宋体" w:hAnsi="宋体" w:eastAsia="宋体" w:cs="宋体"/>
          <w:sz w:val="18"/>
          <w:szCs w:val="18"/>
        </w:rPr>
        <w:t>公司报告期无会计政策、会计估计变更或重大会计差错更正的情况。</w:t>
      </w:r>
    </w:p>
    <w:p w14:paraId="696C0DDF">
      <w:pPr>
        <w:pStyle w:val="2"/>
        <w:spacing w:before="300" w:after="300" w:line="320" w:lineRule="exact"/>
        <w:rPr>
          <w:rFonts w:ascii="宋体" w:hAnsi="宋体" w:eastAsia="宋体" w:cs="宋体"/>
          <w:b/>
          <w:bCs/>
          <w:sz w:val="24"/>
          <w:szCs w:val="24"/>
        </w:rPr>
      </w:pPr>
      <w:bookmarkStart w:id="105" w:name="_Toc988994"/>
      <w:r>
        <w:rPr>
          <w:rFonts w:ascii="宋体" w:hAnsi="宋体" w:eastAsia="宋体" w:cs="宋体"/>
          <w:b/>
          <w:bCs/>
          <w:sz w:val="24"/>
          <w:szCs w:val="24"/>
        </w:rPr>
        <w:t>七、与上年度财务报告相比，合并报表范围发生变化的情况说明</w:t>
      </w:r>
      <w:bookmarkEnd w:id="105"/>
    </w:p>
    <w:p w14:paraId="2E0B72D2">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10"/>
        <w:tblW w:w="9654" w:type="dxa"/>
        <w:tblInd w:w="0" w:type="dxa"/>
        <w:tblLayout w:type="autofit"/>
        <w:tblCellMar>
          <w:top w:w="0" w:type="dxa"/>
          <w:left w:w="0" w:type="dxa"/>
          <w:bottom w:w="0" w:type="dxa"/>
          <w:right w:w="0" w:type="dxa"/>
        </w:tblCellMar>
      </w:tblPr>
      <w:tblGrid>
        <w:gridCol w:w="4835"/>
        <w:gridCol w:w="4819"/>
      </w:tblGrid>
      <w:tr w14:paraId="1AD1FA8C">
        <w:tblPrEx>
          <w:tblCellMar>
            <w:top w:w="0" w:type="dxa"/>
            <w:left w:w="0" w:type="dxa"/>
            <w:bottom w:w="0" w:type="dxa"/>
            <w:right w:w="0" w:type="dxa"/>
          </w:tblCellMar>
        </w:tblPrEx>
        <w:trPr>
          <w:trHeight w:val="306" w:hRule="atLeast"/>
        </w:trPr>
        <w:tc>
          <w:tcPr>
            <w:tcW w:w="483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tcPr>
          <w:p w14:paraId="623954FA">
            <w:pPr>
              <w:jc w:val="center"/>
              <w:rPr>
                <w:rFonts w:ascii="宋体" w:hAnsi="宋体" w:eastAsia="宋体" w:cs="宋体"/>
                <w:sz w:val="20"/>
                <w:szCs w:val="20"/>
              </w:rPr>
            </w:pPr>
            <w:r>
              <w:rPr>
                <w:rFonts w:hint="eastAsia"/>
                <w:sz w:val="20"/>
                <w:szCs w:val="20"/>
              </w:rPr>
              <w:t>名称</w:t>
            </w:r>
          </w:p>
        </w:tc>
        <w:tc>
          <w:tcPr>
            <w:tcW w:w="4819"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bottom"/>
          </w:tcPr>
          <w:p w14:paraId="06920051">
            <w:pPr>
              <w:jc w:val="center"/>
              <w:rPr>
                <w:rFonts w:ascii="宋体" w:hAnsi="宋体" w:eastAsia="宋体" w:cs="宋体"/>
                <w:sz w:val="20"/>
                <w:szCs w:val="20"/>
              </w:rPr>
            </w:pPr>
            <w:r>
              <w:rPr>
                <w:rFonts w:hint="eastAsia"/>
                <w:sz w:val="20"/>
                <w:szCs w:val="20"/>
              </w:rPr>
              <w:t>变更原因</w:t>
            </w:r>
          </w:p>
        </w:tc>
      </w:tr>
      <w:tr w14:paraId="032EABBD">
        <w:tblPrEx>
          <w:tblCellMar>
            <w:top w:w="0" w:type="dxa"/>
            <w:left w:w="0" w:type="dxa"/>
            <w:bottom w:w="0" w:type="dxa"/>
            <w:right w:w="0" w:type="dxa"/>
          </w:tblCellMar>
        </w:tblPrEx>
        <w:trPr>
          <w:trHeight w:val="306" w:hRule="atLeast"/>
        </w:trPr>
        <w:tc>
          <w:tcPr>
            <w:tcW w:w="4835"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bottom"/>
          </w:tcPr>
          <w:p w14:paraId="423B73ED">
            <w:pPr>
              <w:rPr>
                <w:rFonts w:ascii="宋体" w:hAnsi="宋体" w:eastAsia="宋体" w:cs="宋体"/>
                <w:sz w:val="20"/>
                <w:szCs w:val="20"/>
              </w:rPr>
            </w:pPr>
            <w:r>
              <w:rPr>
                <w:rFonts w:hint="eastAsia"/>
                <w:sz w:val="20"/>
                <w:szCs w:val="20"/>
              </w:rPr>
              <w:t>新疆硕丰种业有限公司</w:t>
            </w:r>
          </w:p>
        </w:tc>
        <w:tc>
          <w:tcPr>
            <w:tcW w:w="4819" w:type="dxa"/>
            <w:tcBorders>
              <w:top w:val="nil"/>
              <w:left w:val="nil"/>
              <w:bottom w:val="single" w:color="auto" w:sz="8" w:space="0"/>
              <w:right w:val="single" w:color="auto" w:sz="8" w:space="0"/>
            </w:tcBorders>
            <w:tcMar>
              <w:top w:w="15" w:type="dxa"/>
              <w:left w:w="15" w:type="dxa"/>
              <w:bottom w:w="0" w:type="dxa"/>
              <w:right w:w="15" w:type="dxa"/>
            </w:tcMar>
            <w:vAlign w:val="center"/>
          </w:tcPr>
          <w:p w14:paraId="2BF569D0">
            <w:pPr>
              <w:jc w:val="center"/>
              <w:rPr>
                <w:rFonts w:ascii="宋体" w:hAnsi="宋体" w:eastAsia="宋体" w:cs="宋体"/>
                <w:sz w:val="20"/>
                <w:szCs w:val="20"/>
              </w:rPr>
            </w:pPr>
            <w:r>
              <w:rPr>
                <w:rFonts w:hint="eastAsia"/>
                <w:sz w:val="20"/>
                <w:szCs w:val="20"/>
              </w:rPr>
              <w:t>收购</w:t>
            </w:r>
          </w:p>
        </w:tc>
      </w:tr>
      <w:tr w14:paraId="58D233C6">
        <w:tblPrEx>
          <w:tblCellMar>
            <w:top w:w="0" w:type="dxa"/>
            <w:left w:w="0" w:type="dxa"/>
            <w:bottom w:w="0" w:type="dxa"/>
            <w:right w:w="0" w:type="dxa"/>
          </w:tblCellMar>
        </w:tblPrEx>
        <w:trPr>
          <w:trHeight w:val="306" w:hRule="atLeast"/>
        </w:trPr>
        <w:tc>
          <w:tcPr>
            <w:tcW w:w="4835"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bottom"/>
          </w:tcPr>
          <w:p w14:paraId="277455A5">
            <w:pPr>
              <w:rPr>
                <w:rFonts w:ascii="宋体" w:hAnsi="宋体" w:eastAsia="宋体" w:cs="宋体"/>
                <w:sz w:val="20"/>
                <w:szCs w:val="20"/>
              </w:rPr>
            </w:pPr>
            <w:r>
              <w:rPr>
                <w:rFonts w:hint="eastAsia"/>
                <w:sz w:val="20"/>
                <w:szCs w:val="20"/>
              </w:rPr>
              <w:t>阿克苏恒孚医疗科技有限公司</w:t>
            </w:r>
          </w:p>
        </w:tc>
        <w:tc>
          <w:tcPr>
            <w:tcW w:w="4819" w:type="dxa"/>
            <w:tcBorders>
              <w:top w:val="nil"/>
              <w:left w:val="nil"/>
              <w:bottom w:val="single" w:color="auto" w:sz="8" w:space="0"/>
              <w:right w:val="single" w:color="auto" w:sz="8" w:space="0"/>
            </w:tcBorders>
            <w:tcMar>
              <w:top w:w="15" w:type="dxa"/>
              <w:left w:w="15" w:type="dxa"/>
              <w:bottom w:w="0" w:type="dxa"/>
              <w:right w:w="15" w:type="dxa"/>
            </w:tcMar>
            <w:vAlign w:val="center"/>
          </w:tcPr>
          <w:p w14:paraId="65566AF6">
            <w:pPr>
              <w:jc w:val="center"/>
              <w:rPr>
                <w:rFonts w:ascii="宋体" w:hAnsi="宋体" w:eastAsia="宋体" w:cs="宋体"/>
                <w:sz w:val="20"/>
                <w:szCs w:val="20"/>
              </w:rPr>
            </w:pPr>
            <w:r>
              <w:rPr>
                <w:rFonts w:hint="eastAsia"/>
                <w:sz w:val="20"/>
                <w:szCs w:val="20"/>
              </w:rPr>
              <w:t>新设</w:t>
            </w:r>
          </w:p>
        </w:tc>
      </w:tr>
      <w:tr w14:paraId="2B92AA63">
        <w:tblPrEx>
          <w:tblCellMar>
            <w:top w:w="0" w:type="dxa"/>
            <w:left w:w="0" w:type="dxa"/>
            <w:bottom w:w="0" w:type="dxa"/>
            <w:right w:w="0" w:type="dxa"/>
          </w:tblCellMar>
        </w:tblPrEx>
        <w:trPr>
          <w:trHeight w:val="306" w:hRule="atLeast"/>
        </w:trPr>
        <w:tc>
          <w:tcPr>
            <w:tcW w:w="4835"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bottom"/>
          </w:tcPr>
          <w:p w14:paraId="64E4A671">
            <w:pPr>
              <w:rPr>
                <w:rFonts w:ascii="宋体" w:hAnsi="宋体" w:eastAsia="宋体" w:cs="宋体"/>
                <w:sz w:val="20"/>
                <w:szCs w:val="20"/>
              </w:rPr>
            </w:pPr>
            <w:r>
              <w:rPr>
                <w:rFonts w:hint="eastAsia"/>
                <w:sz w:val="20"/>
                <w:szCs w:val="20"/>
              </w:rPr>
              <w:t>阿克苏恒鑫棉花有限公司</w:t>
            </w:r>
          </w:p>
        </w:tc>
        <w:tc>
          <w:tcPr>
            <w:tcW w:w="4819" w:type="dxa"/>
            <w:tcBorders>
              <w:top w:val="nil"/>
              <w:left w:val="nil"/>
              <w:bottom w:val="single" w:color="auto" w:sz="8" w:space="0"/>
              <w:right w:val="single" w:color="auto" w:sz="8" w:space="0"/>
            </w:tcBorders>
            <w:tcMar>
              <w:top w:w="15" w:type="dxa"/>
              <w:left w:w="15" w:type="dxa"/>
              <w:bottom w:w="0" w:type="dxa"/>
              <w:right w:w="15" w:type="dxa"/>
            </w:tcMar>
            <w:vAlign w:val="center"/>
          </w:tcPr>
          <w:p w14:paraId="52633032">
            <w:pPr>
              <w:jc w:val="center"/>
              <w:rPr>
                <w:rFonts w:ascii="宋体" w:hAnsi="宋体" w:eastAsia="宋体" w:cs="宋体"/>
                <w:sz w:val="20"/>
                <w:szCs w:val="20"/>
              </w:rPr>
            </w:pPr>
            <w:r>
              <w:rPr>
                <w:rFonts w:hint="eastAsia"/>
                <w:sz w:val="20"/>
                <w:szCs w:val="20"/>
              </w:rPr>
              <w:t>新设</w:t>
            </w:r>
          </w:p>
        </w:tc>
      </w:tr>
      <w:tr w14:paraId="037F62DE">
        <w:tblPrEx>
          <w:tblCellMar>
            <w:top w:w="0" w:type="dxa"/>
            <w:left w:w="0" w:type="dxa"/>
            <w:bottom w:w="0" w:type="dxa"/>
            <w:right w:w="0" w:type="dxa"/>
          </w:tblCellMar>
        </w:tblPrEx>
        <w:trPr>
          <w:trHeight w:val="306" w:hRule="atLeast"/>
        </w:trPr>
        <w:tc>
          <w:tcPr>
            <w:tcW w:w="4835" w:type="dxa"/>
            <w:tcBorders>
              <w:top w:val="nil"/>
              <w:left w:val="single" w:color="auto" w:sz="8" w:space="0"/>
              <w:bottom w:val="single" w:color="auto" w:sz="8" w:space="0"/>
              <w:right w:val="single" w:color="auto" w:sz="8" w:space="0"/>
            </w:tcBorders>
            <w:noWrap/>
            <w:tcMar>
              <w:top w:w="15" w:type="dxa"/>
              <w:left w:w="15" w:type="dxa"/>
              <w:bottom w:w="0" w:type="dxa"/>
              <w:right w:w="15" w:type="dxa"/>
            </w:tcMar>
            <w:vAlign w:val="bottom"/>
          </w:tcPr>
          <w:p w14:paraId="3FDE8812">
            <w:pPr>
              <w:rPr>
                <w:rFonts w:ascii="宋体" w:hAnsi="宋体" w:eastAsia="宋体" w:cs="宋体"/>
                <w:sz w:val="20"/>
                <w:szCs w:val="20"/>
              </w:rPr>
            </w:pPr>
            <w:r>
              <w:rPr>
                <w:rFonts w:hint="eastAsia"/>
                <w:sz w:val="20"/>
                <w:szCs w:val="20"/>
              </w:rPr>
              <w:t>淮北华孚新能源有限公司</w:t>
            </w:r>
          </w:p>
        </w:tc>
        <w:tc>
          <w:tcPr>
            <w:tcW w:w="4819" w:type="dxa"/>
            <w:tcBorders>
              <w:top w:val="nil"/>
              <w:left w:val="nil"/>
              <w:bottom w:val="single" w:color="auto" w:sz="8" w:space="0"/>
              <w:right w:val="single" w:color="auto" w:sz="8" w:space="0"/>
            </w:tcBorders>
            <w:tcMar>
              <w:top w:w="15" w:type="dxa"/>
              <w:left w:w="15" w:type="dxa"/>
              <w:bottom w:w="0" w:type="dxa"/>
              <w:right w:w="15" w:type="dxa"/>
            </w:tcMar>
            <w:vAlign w:val="center"/>
          </w:tcPr>
          <w:p w14:paraId="22E7DEA7">
            <w:pPr>
              <w:jc w:val="center"/>
              <w:rPr>
                <w:rFonts w:ascii="宋体" w:hAnsi="宋体" w:eastAsia="宋体" w:cs="宋体"/>
                <w:sz w:val="20"/>
                <w:szCs w:val="20"/>
              </w:rPr>
            </w:pPr>
            <w:r>
              <w:rPr>
                <w:rFonts w:hint="eastAsia"/>
                <w:sz w:val="20"/>
                <w:szCs w:val="20"/>
              </w:rPr>
              <w:t>注销</w:t>
            </w:r>
          </w:p>
        </w:tc>
      </w:tr>
    </w:tbl>
    <w:p w14:paraId="65F1F41A">
      <w:pPr>
        <w:pStyle w:val="2"/>
        <w:spacing w:before="300" w:after="300" w:line="320" w:lineRule="exact"/>
        <w:rPr>
          <w:rFonts w:ascii="宋体" w:hAnsi="宋体" w:eastAsia="宋体" w:cs="宋体"/>
          <w:b/>
          <w:bCs/>
          <w:sz w:val="24"/>
          <w:szCs w:val="24"/>
        </w:rPr>
      </w:pPr>
      <w:bookmarkStart w:id="106" w:name="_Toc988995"/>
      <w:r>
        <w:rPr>
          <w:rFonts w:ascii="宋体" w:hAnsi="宋体" w:eastAsia="宋体" w:cs="宋体"/>
          <w:b/>
          <w:bCs/>
          <w:sz w:val="24"/>
          <w:szCs w:val="24"/>
        </w:rPr>
        <w:t>八、聘任、解聘会计师事务所情况</w:t>
      </w:r>
      <w:bookmarkEnd w:id="106"/>
    </w:p>
    <w:p w14:paraId="6B3CDBA7">
      <w:pPr>
        <w:spacing w:before="100" w:after="100" w:line="240" w:lineRule="exact"/>
        <w:rPr>
          <w:rFonts w:ascii="宋体" w:hAnsi="宋体" w:eastAsia="宋体" w:cs="宋体"/>
          <w:sz w:val="18"/>
          <w:szCs w:val="18"/>
        </w:rPr>
      </w:pPr>
      <w:r>
        <w:rPr>
          <w:rFonts w:ascii="宋体" w:hAnsi="宋体" w:eastAsia="宋体" w:cs="宋体"/>
          <w:sz w:val="18"/>
          <w:szCs w:val="18"/>
        </w:rPr>
        <w:t>现聘任的会计师事务所</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14:paraId="442B4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8211F60">
            <w:pPr>
              <w:spacing w:before="40" w:after="40" w:line="240" w:lineRule="exact"/>
              <w:rPr>
                <w:rFonts w:ascii="宋体" w:hAnsi="宋体" w:eastAsia="宋体" w:cs="宋体"/>
                <w:sz w:val="18"/>
                <w:szCs w:val="18"/>
              </w:rPr>
            </w:pPr>
            <w:r>
              <w:rPr>
                <w:rFonts w:ascii="宋体" w:hAnsi="宋体" w:eastAsia="宋体" w:cs="宋体"/>
                <w:sz w:val="18"/>
                <w:szCs w:val="18"/>
              </w:rPr>
              <w:t>境内会计师事务所名称</w:t>
            </w:r>
          </w:p>
        </w:tc>
        <w:tc>
          <w:tcPr>
            <w:tcW w:w="4820" w:type="dxa"/>
            <w:tcBorders>
              <w:top w:val="single" w:color="auto" w:sz="2" w:space="0"/>
              <w:left w:val="single" w:color="auto" w:sz="2" w:space="0"/>
              <w:bottom w:val="single" w:color="auto" w:sz="2" w:space="0"/>
              <w:right w:val="single" w:color="auto" w:sz="2" w:space="0"/>
            </w:tcBorders>
            <w:vAlign w:val="center"/>
          </w:tcPr>
          <w:p w14:paraId="44C71CA9">
            <w:pPr>
              <w:spacing w:line="240" w:lineRule="exact"/>
              <w:rPr>
                <w:rFonts w:ascii="宋体" w:hAnsi="宋体" w:eastAsia="宋体" w:cs="宋体"/>
                <w:sz w:val="18"/>
                <w:szCs w:val="18"/>
              </w:rPr>
            </w:pPr>
            <w:r>
              <w:rPr>
                <w:rFonts w:ascii="宋体" w:hAnsi="宋体" w:eastAsia="宋体" w:cs="宋体"/>
                <w:sz w:val="18"/>
                <w:szCs w:val="18"/>
              </w:rPr>
              <w:t>政旦志远（深圳）会计师事务所（特殊普通合伙）</w:t>
            </w:r>
          </w:p>
        </w:tc>
      </w:tr>
      <w:tr w14:paraId="2EEF3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0709534">
            <w:pPr>
              <w:spacing w:before="40" w:after="40" w:line="240" w:lineRule="exact"/>
              <w:rPr>
                <w:rFonts w:ascii="宋体" w:hAnsi="宋体" w:eastAsia="宋体" w:cs="宋体"/>
                <w:sz w:val="18"/>
                <w:szCs w:val="18"/>
              </w:rPr>
            </w:pPr>
            <w:r>
              <w:rPr>
                <w:rFonts w:ascii="宋体" w:hAnsi="宋体" w:eastAsia="宋体" w:cs="宋体"/>
                <w:sz w:val="18"/>
                <w:szCs w:val="18"/>
              </w:rPr>
              <w:t>境内会计师事务所报酬（万元）</w:t>
            </w:r>
          </w:p>
        </w:tc>
        <w:tc>
          <w:tcPr>
            <w:tcW w:w="4820" w:type="dxa"/>
            <w:tcBorders>
              <w:top w:val="single" w:color="auto" w:sz="2" w:space="0"/>
              <w:left w:val="single" w:color="auto" w:sz="2" w:space="0"/>
              <w:bottom w:val="single" w:color="auto" w:sz="2" w:space="0"/>
              <w:right w:val="single" w:color="auto" w:sz="2" w:space="0"/>
            </w:tcBorders>
            <w:vAlign w:val="center"/>
          </w:tcPr>
          <w:p w14:paraId="543F9B7D">
            <w:pPr>
              <w:spacing w:line="240" w:lineRule="exact"/>
              <w:jc w:val="right"/>
              <w:rPr>
                <w:rFonts w:ascii="宋体" w:hAnsi="宋体" w:eastAsia="宋体" w:cs="宋体"/>
                <w:sz w:val="18"/>
                <w:szCs w:val="18"/>
              </w:rPr>
            </w:pPr>
            <w:r>
              <w:rPr>
                <w:rFonts w:ascii="宋体" w:hAnsi="宋体" w:eastAsia="宋体" w:cs="宋体"/>
                <w:sz w:val="18"/>
                <w:szCs w:val="18"/>
              </w:rPr>
              <w:t>100</w:t>
            </w:r>
          </w:p>
        </w:tc>
      </w:tr>
      <w:tr w14:paraId="58AE8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576F1D0">
            <w:pPr>
              <w:spacing w:before="40" w:after="40" w:line="240" w:lineRule="exact"/>
              <w:rPr>
                <w:rFonts w:ascii="宋体" w:hAnsi="宋体" w:eastAsia="宋体" w:cs="宋体"/>
                <w:sz w:val="18"/>
                <w:szCs w:val="18"/>
              </w:rPr>
            </w:pPr>
            <w:r>
              <w:rPr>
                <w:rFonts w:ascii="宋体" w:hAnsi="宋体" w:eastAsia="宋体" w:cs="宋体"/>
                <w:sz w:val="18"/>
                <w:szCs w:val="18"/>
              </w:rPr>
              <w:t>境内会计师事务所审计服务的连续年限</w:t>
            </w:r>
          </w:p>
        </w:tc>
        <w:tc>
          <w:tcPr>
            <w:tcW w:w="4820" w:type="dxa"/>
            <w:tcBorders>
              <w:top w:val="single" w:color="auto" w:sz="2" w:space="0"/>
              <w:left w:val="single" w:color="auto" w:sz="2" w:space="0"/>
              <w:bottom w:val="single" w:color="auto" w:sz="2" w:space="0"/>
              <w:right w:val="single" w:color="auto" w:sz="2" w:space="0"/>
            </w:tcBorders>
            <w:vAlign w:val="center"/>
          </w:tcPr>
          <w:p w14:paraId="5DCAAECF">
            <w:pPr>
              <w:spacing w:line="240" w:lineRule="exact"/>
              <w:rPr>
                <w:rFonts w:ascii="宋体" w:hAnsi="宋体" w:eastAsia="宋体" w:cs="宋体"/>
                <w:sz w:val="18"/>
                <w:szCs w:val="18"/>
              </w:rPr>
            </w:pPr>
            <w:r>
              <w:rPr>
                <w:rFonts w:ascii="宋体" w:hAnsi="宋体" w:eastAsia="宋体" w:cs="宋体"/>
                <w:sz w:val="18"/>
                <w:szCs w:val="18"/>
              </w:rPr>
              <w:t>3</w:t>
            </w:r>
          </w:p>
        </w:tc>
      </w:tr>
      <w:tr w14:paraId="0F0C1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048093B">
            <w:pPr>
              <w:spacing w:before="40" w:after="40" w:line="240" w:lineRule="exact"/>
              <w:rPr>
                <w:rFonts w:ascii="宋体" w:hAnsi="宋体" w:eastAsia="宋体" w:cs="宋体"/>
                <w:sz w:val="18"/>
                <w:szCs w:val="18"/>
              </w:rPr>
            </w:pPr>
            <w:r>
              <w:rPr>
                <w:rFonts w:ascii="宋体" w:hAnsi="宋体" w:eastAsia="宋体" w:cs="宋体"/>
                <w:sz w:val="18"/>
                <w:szCs w:val="18"/>
              </w:rPr>
              <w:t>境内会计师事务所注册会计师姓名</w:t>
            </w:r>
          </w:p>
        </w:tc>
        <w:tc>
          <w:tcPr>
            <w:tcW w:w="4820" w:type="dxa"/>
            <w:tcBorders>
              <w:top w:val="single" w:color="auto" w:sz="2" w:space="0"/>
              <w:left w:val="single" w:color="auto" w:sz="2" w:space="0"/>
              <w:bottom w:val="single" w:color="auto" w:sz="2" w:space="0"/>
              <w:right w:val="single" w:color="auto" w:sz="2" w:space="0"/>
            </w:tcBorders>
            <w:vAlign w:val="center"/>
          </w:tcPr>
          <w:p w14:paraId="56917041">
            <w:pPr>
              <w:spacing w:line="240" w:lineRule="exact"/>
              <w:rPr>
                <w:rFonts w:ascii="宋体" w:hAnsi="宋体" w:eastAsia="宋体" w:cs="宋体"/>
                <w:sz w:val="18"/>
                <w:szCs w:val="18"/>
              </w:rPr>
            </w:pPr>
            <w:r>
              <w:rPr>
                <w:rFonts w:ascii="宋体" w:hAnsi="宋体" w:eastAsia="宋体" w:cs="宋体"/>
                <w:sz w:val="18"/>
                <w:szCs w:val="18"/>
              </w:rPr>
              <w:t>陈磊、吴泽娜</w:t>
            </w:r>
          </w:p>
        </w:tc>
      </w:tr>
      <w:tr w14:paraId="2A589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2CCA96A">
            <w:pPr>
              <w:spacing w:before="40" w:after="40" w:line="240" w:lineRule="exact"/>
              <w:rPr>
                <w:rFonts w:ascii="宋体" w:hAnsi="宋体" w:eastAsia="宋体" w:cs="宋体"/>
                <w:sz w:val="18"/>
                <w:szCs w:val="18"/>
              </w:rPr>
            </w:pPr>
            <w:r>
              <w:rPr>
                <w:rFonts w:ascii="宋体" w:hAnsi="宋体" w:eastAsia="宋体" w:cs="宋体"/>
                <w:sz w:val="18"/>
                <w:szCs w:val="18"/>
              </w:rPr>
              <w:t>境内会计师事务所注册会计师审计服务的连续年限</w:t>
            </w:r>
          </w:p>
        </w:tc>
        <w:tc>
          <w:tcPr>
            <w:tcW w:w="4820" w:type="dxa"/>
            <w:tcBorders>
              <w:top w:val="single" w:color="auto" w:sz="2" w:space="0"/>
              <w:left w:val="single" w:color="auto" w:sz="2" w:space="0"/>
              <w:bottom w:val="single" w:color="auto" w:sz="2" w:space="0"/>
              <w:right w:val="single" w:color="auto" w:sz="2" w:space="0"/>
            </w:tcBorders>
            <w:vAlign w:val="center"/>
          </w:tcPr>
          <w:p w14:paraId="5E145D26">
            <w:pPr>
              <w:spacing w:line="240" w:lineRule="exact"/>
              <w:rPr>
                <w:rFonts w:ascii="宋体" w:hAnsi="宋体" w:eastAsia="宋体" w:cs="宋体"/>
                <w:sz w:val="18"/>
                <w:szCs w:val="18"/>
              </w:rPr>
            </w:pPr>
            <w:r>
              <w:rPr>
                <w:rFonts w:ascii="宋体" w:hAnsi="宋体" w:eastAsia="宋体" w:cs="宋体"/>
                <w:sz w:val="18"/>
                <w:szCs w:val="18"/>
              </w:rPr>
              <w:t>陈磊3年，吴泽娜1年</w:t>
            </w:r>
          </w:p>
        </w:tc>
      </w:tr>
    </w:tbl>
    <w:p w14:paraId="7EFB1A4D">
      <w:pPr>
        <w:spacing w:before="100" w:after="100" w:line="240" w:lineRule="exact"/>
        <w:rPr>
          <w:rFonts w:ascii="宋体" w:hAnsi="宋体" w:eastAsia="宋体" w:cs="宋体"/>
          <w:sz w:val="18"/>
          <w:szCs w:val="18"/>
        </w:rPr>
      </w:pPr>
      <w:r>
        <w:rPr>
          <w:rFonts w:ascii="宋体" w:hAnsi="宋体" w:eastAsia="宋体" w:cs="宋体"/>
          <w:sz w:val="18"/>
          <w:szCs w:val="18"/>
        </w:rPr>
        <w:t>当期是否改聘会计师事务所</w:t>
      </w:r>
    </w:p>
    <w:p w14:paraId="56604672">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789D7FD4">
      <w:pPr>
        <w:spacing w:before="100" w:after="100" w:line="240" w:lineRule="exact"/>
        <w:rPr>
          <w:rFonts w:ascii="宋体" w:hAnsi="宋体" w:eastAsia="宋体" w:cs="宋体"/>
          <w:sz w:val="18"/>
          <w:szCs w:val="18"/>
        </w:rPr>
      </w:pPr>
      <w:r>
        <w:rPr>
          <w:rFonts w:ascii="宋体" w:hAnsi="宋体" w:eastAsia="宋体" w:cs="宋体"/>
          <w:sz w:val="18"/>
          <w:szCs w:val="18"/>
        </w:rPr>
        <w:t>聘请内部控制审计会计师事务所、财务顾问或保荐人情况</w:t>
      </w:r>
    </w:p>
    <w:p w14:paraId="6BB4B97D">
      <w:pPr>
        <w:spacing w:before="100" w:after="100" w:line="240" w:lineRule="exact"/>
        <w:rPr>
          <w:rFonts w:hint="eastAsia" w:ascii="宋体" w:hAnsi="宋体" w:eastAsia="宋体" w:cs="宋体"/>
          <w:sz w:val="18"/>
          <w:szCs w:val="18"/>
        </w:rPr>
      </w:pPr>
      <w:bookmarkStart w:id="107" w:name="_Toc988996"/>
      <w:r>
        <w:rPr>
          <w:rFonts w:ascii="宋体" w:hAnsi="宋体" w:eastAsia="宋体" w:cs="宋体"/>
          <w:sz w:val="18"/>
          <w:szCs w:val="18"/>
        </w:rPr>
        <w:sym w:font="Wingdings 2" w:char="F052"/>
      </w:r>
      <w:r>
        <w:rPr>
          <w:rFonts w:ascii="宋体" w:hAnsi="宋体" w:eastAsia="宋体" w:cs="宋体"/>
          <w:sz w:val="18"/>
          <w:szCs w:val="18"/>
        </w:rPr>
        <w:t>适用 □不适用</w:t>
      </w:r>
    </w:p>
    <w:p w14:paraId="5466CBC1">
      <w:pPr>
        <w:spacing w:before="100" w:after="100" w:line="240" w:lineRule="exact"/>
        <w:rPr>
          <w:rFonts w:ascii="宋体" w:hAnsi="宋体" w:eastAsia="宋体" w:cs="宋体"/>
          <w:sz w:val="18"/>
          <w:szCs w:val="18"/>
        </w:rPr>
      </w:pPr>
      <w:r>
        <w:rPr>
          <w:rFonts w:hint="eastAsia" w:ascii="宋体" w:hAnsi="宋体" w:eastAsia="宋体" w:cs="宋体"/>
          <w:sz w:val="18"/>
          <w:szCs w:val="18"/>
        </w:rPr>
        <w:t>2025年，公司聘请旦志远（深圳）会计师事务所（特殊普通合伙）担任公司内部控制审计会计师事务所。</w:t>
      </w:r>
    </w:p>
    <w:p w14:paraId="37C7CAFA">
      <w:pPr>
        <w:pStyle w:val="2"/>
        <w:spacing w:before="300" w:after="300" w:line="320" w:lineRule="exact"/>
        <w:rPr>
          <w:rFonts w:ascii="宋体" w:hAnsi="宋体" w:eastAsia="宋体" w:cs="宋体"/>
          <w:b/>
          <w:bCs/>
          <w:sz w:val="24"/>
          <w:szCs w:val="24"/>
        </w:rPr>
      </w:pPr>
      <w:r>
        <w:rPr>
          <w:rFonts w:ascii="宋体" w:hAnsi="宋体" w:eastAsia="宋体" w:cs="宋体"/>
          <w:b/>
          <w:bCs/>
          <w:sz w:val="24"/>
          <w:szCs w:val="24"/>
        </w:rPr>
        <w:t>九、年度报告披露后面临退市情况</w:t>
      </w:r>
      <w:bookmarkEnd w:id="107"/>
    </w:p>
    <w:p w14:paraId="724D6B1D">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9BB8553">
      <w:pPr>
        <w:pStyle w:val="2"/>
        <w:spacing w:before="300" w:after="300" w:line="320" w:lineRule="exact"/>
        <w:rPr>
          <w:rFonts w:ascii="宋体" w:hAnsi="宋体" w:eastAsia="宋体" w:cs="宋体"/>
          <w:b/>
          <w:bCs/>
          <w:sz w:val="24"/>
          <w:szCs w:val="24"/>
        </w:rPr>
      </w:pPr>
      <w:bookmarkStart w:id="108" w:name="_Toc988997"/>
      <w:r>
        <w:rPr>
          <w:rFonts w:ascii="宋体" w:hAnsi="宋体" w:eastAsia="宋体" w:cs="宋体"/>
          <w:b/>
          <w:bCs/>
          <w:sz w:val="24"/>
          <w:szCs w:val="24"/>
        </w:rPr>
        <w:t>十、破产重整相关事项</w:t>
      </w:r>
      <w:bookmarkEnd w:id="108"/>
    </w:p>
    <w:p w14:paraId="0729D5A0">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44B264B">
      <w:pPr>
        <w:spacing w:before="40" w:after="40" w:line="240" w:lineRule="exact"/>
        <w:rPr>
          <w:rFonts w:ascii="宋体" w:hAnsi="宋体" w:eastAsia="宋体" w:cs="宋体"/>
          <w:sz w:val="18"/>
          <w:szCs w:val="18"/>
        </w:rPr>
      </w:pPr>
      <w:r>
        <w:rPr>
          <w:rFonts w:ascii="宋体" w:hAnsi="宋体" w:eastAsia="宋体" w:cs="宋体"/>
          <w:sz w:val="18"/>
          <w:szCs w:val="18"/>
        </w:rPr>
        <w:t>公司报告期未发生破产重整相关事项。</w:t>
      </w:r>
    </w:p>
    <w:p w14:paraId="49C36648">
      <w:pPr>
        <w:pStyle w:val="2"/>
        <w:spacing w:before="300" w:after="300" w:line="320" w:lineRule="exact"/>
        <w:rPr>
          <w:rFonts w:ascii="宋体" w:hAnsi="宋体" w:eastAsia="宋体" w:cs="宋体"/>
          <w:b/>
          <w:bCs/>
          <w:sz w:val="24"/>
          <w:szCs w:val="24"/>
        </w:rPr>
      </w:pPr>
      <w:bookmarkStart w:id="109" w:name="_Toc988998"/>
      <w:r>
        <w:rPr>
          <w:rFonts w:ascii="宋体" w:hAnsi="宋体" w:eastAsia="宋体" w:cs="宋体"/>
          <w:b/>
          <w:bCs/>
          <w:sz w:val="24"/>
          <w:szCs w:val="24"/>
        </w:rPr>
        <w:t>十一、重大诉讼、仲裁事项</w:t>
      </w:r>
      <w:bookmarkEnd w:id="109"/>
    </w:p>
    <w:p w14:paraId="21C94461">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34A79DE">
      <w:pPr>
        <w:spacing w:before="100" w:after="100" w:line="240" w:lineRule="exact"/>
        <w:rPr>
          <w:rFonts w:ascii="宋体" w:hAnsi="宋体" w:eastAsia="宋体" w:cs="宋体"/>
          <w:sz w:val="18"/>
          <w:szCs w:val="18"/>
        </w:rPr>
      </w:pPr>
      <w:r>
        <w:rPr>
          <w:rFonts w:ascii="宋体" w:hAnsi="宋体" w:eastAsia="宋体" w:cs="宋体"/>
          <w:sz w:val="18"/>
          <w:szCs w:val="18"/>
        </w:rPr>
        <w:t>本报告期公司无重大诉讼、仲裁事项。</w:t>
      </w:r>
    </w:p>
    <w:p w14:paraId="6D95F103">
      <w:pPr>
        <w:pStyle w:val="2"/>
        <w:spacing w:before="300" w:after="300" w:line="320" w:lineRule="exact"/>
        <w:rPr>
          <w:rFonts w:ascii="宋体" w:hAnsi="宋体" w:eastAsia="宋体" w:cs="宋体"/>
          <w:b/>
          <w:bCs/>
          <w:sz w:val="24"/>
          <w:szCs w:val="24"/>
        </w:rPr>
      </w:pPr>
      <w:bookmarkStart w:id="110" w:name="_Toc988999"/>
      <w:r>
        <w:rPr>
          <w:rFonts w:ascii="宋体" w:hAnsi="宋体" w:eastAsia="宋体" w:cs="宋体"/>
          <w:b/>
          <w:bCs/>
          <w:sz w:val="24"/>
          <w:szCs w:val="24"/>
        </w:rPr>
        <w:t>十二、处罚及整改情况</w:t>
      </w:r>
      <w:bookmarkEnd w:id="110"/>
    </w:p>
    <w:p w14:paraId="30E87E03">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29DBEA9">
      <w:pPr>
        <w:spacing w:before="100" w:after="100" w:line="240" w:lineRule="exact"/>
        <w:rPr>
          <w:rFonts w:ascii="宋体" w:hAnsi="宋体" w:eastAsia="宋体" w:cs="宋体"/>
          <w:sz w:val="18"/>
          <w:szCs w:val="18"/>
        </w:rPr>
      </w:pPr>
      <w:r>
        <w:rPr>
          <w:rFonts w:ascii="宋体" w:hAnsi="宋体" w:eastAsia="宋体" w:cs="宋体"/>
          <w:sz w:val="18"/>
          <w:szCs w:val="18"/>
        </w:rPr>
        <w:t>公司报告期不存在处罚及整改情况。</w:t>
      </w:r>
    </w:p>
    <w:p w14:paraId="0FD2F8BE">
      <w:pPr>
        <w:pStyle w:val="2"/>
        <w:spacing w:before="300" w:after="300" w:line="320" w:lineRule="exact"/>
        <w:rPr>
          <w:rFonts w:ascii="宋体" w:hAnsi="宋体" w:eastAsia="宋体" w:cs="宋体"/>
          <w:b/>
          <w:bCs/>
          <w:sz w:val="24"/>
          <w:szCs w:val="24"/>
        </w:rPr>
      </w:pPr>
      <w:bookmarkStart w:id="111" w:name="_Toc989000"/>
      <w:r>
        <w:rPr>
          <w:rFonts w:ascii="宋体" w:hAnsi="宋体" w:eastAsia="宋体" w:cs="宋体"/>
          <w:b/>
          <w:bCs/>
          <w:sz w:val="24"/>
          <w:szCs w:val="24"/>
        </w:rPr>
        <w:t>十三、公司及其控股股东、实际控制人的诚信状况</w:t>
      </w:r>
      <w:bookmarkEnd w:id="111"/>
    </w:p>
    <w:p w14:paraId="6B2A9A6A">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1D20B89">
      <w:pPr>
        <w:pStyle w:val="2"/>
        <w:spacing w:before="300" w:after="300" w:line="320" w:lineRule="exact"/>
        <w:rPr>
          <w:rFonts w:ascii="宋体" w:hAnsi="宋体" w:eastAsia="宋体" w:cs="宋体"/>
          <w:b/>
          <w:bCs/>
          <w:sz w:val="24"/>
          <w:szCs w:val="24"/>
        </w:rPr>
      </w:pPr>
      <w:bookmarkStart w:id="112" w:name="_Toc989001"/>
      <w:r>
        <w:rPr>
          <w:rFonts w:ascii="宋体" w:hAnsi="宋体" w:eastAsia="宋体" w:cs="宋体"/>
          <w:b/>
          <w:bCs/>
          <w:sz w:val="24"/>
          <w:szCs w:val="24"/>
        </w:rPr>
        <w:t>十四、重大关联交易</w:t>
      </w:r>
      <w:bookmarkEnd w:id="112"/>
    </w:p>
    <w:p w14:paraId="7EDC2C94">
      <w:pPr>
        <w:pStyle w:val="3"/>
        <w:spacing w:line="280" w:lineRule="exact"/>
        <w:jc w:val="left"/>
        <w:rPr>
          <w:rFonts w:ascii="宋体" w:hAnsi="宋体" w:cs="宋体"/>
          <w:b/>
          <w:bCs/>
        </w:rPr>
      </w:pPr>
      <w:bookmarkStart w:id="113" w:name="_Toc989002"/>
      <w:r>
        <w:rPr>
          <w:rFonts w:ascii="宋体" w:hAnsi="宋体" w:cs="宋体"/>
          <w:b/>
          <w:bCs/>
        </w:rPr>
        <w:t>1、与日常经营相关的关联交易</w:t>
      </w:r>
      <w:bookmarkEnd w:id="113"/>
    </w:p>
    <w:p w14:paraId="09BD211A">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DC189A5">
      <w:pPr>
        <w:spacing w:before="100" w:after="100" w:line="240" w:lineRule="exact"/>
        <w:rPr>
          <w:rFonts w:ascii="宋体" w:hAnsi="宋体" w:eastAsia="宋体" w:cs="宋体"/>
          <w:sz w:val="18"/>
          <w:szCs w:val="18"/>
        </w:rPr>
      </w:pPr>
      <w:r>
        <w:rPr>
          <w:rFonts w:ascii="宋体" w:hAnsi="宋体" w:eastAsia="宋体" w:cs="宋体"/>
          <w:sz w:val="18"/>
          <w:szCs w:val="18"/>
        </w:rPr>
        <w:t>公司报告期未发生与日常经营相关的关联交易。</w:t>
      </w:r>
    </w:p>
    <w:p w14:paraId="44F0DCBA">
      <w:pPr>
        <w:pStyle w:val="3"/>
        <w:spacing w:line="280" w:lineRule="exact"/>
        <w:jc w:val="left"/>
        <w:rPr>
          <w:rFonts w:ascii="宋体" w:hAnsi="宋体" w:cs="宋体"/>
          <w:b/>
          <w:bCs/>
        </w:rPr>
      </w:pPr>
      <w:bookmarkStart w:id="114" w:name="_Toc989003"/>
      <w:r>
        <w:rPr>
          <w:rFonts w:ascii="宋体" w:hAnsi="宋体" w:cs="宋体"/>
          <w:b/>
          <w:bCs/>
        </w:rPr>
        <w:t>2、资产或股权收购、出售发生的关联交易</w:t>
      </w:r>
      <w:bookmarkEnd w:id="114"/>
    </w:p>
    <w:p w14:paraId="45C2532D">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1AF1321">
      <w:pPr>
        <w:spacing w:before="100" w:after="100" w:line="240" w:lineRule="exact"/>
        <w:rPr>
          <w:rFonts w:ascii="宋体" w:hAnsi="宋体" w:eastAsia="宋体" w:cs="宋体"/>
          <w:sz w:val="18"/>
          <w:szCs w:val="18"/>
        </w:rPr>
      </w:pPr>
      <w:r>
        <w:rPr>
          <w:rFonts w:ascii="宋体" w:hAnsi="宋体" w:eastAsia="宋体" w:cs="宋体"/>
          <w:sz w:val="18"/>
          <w:szCs w:val="18"/>
        </w:rPr>
        <w:t>公司报告期未发生资产或股权收购、出售的关联交易。</w:t>
      </w:r>
    </w:p>
    <w:p w14:paraId="697F3CF1">
      <w:pPr>
        <w:pStyle w:val="3"/>
        <w:spacing w:line="280" w:lineRule="exact"/>
        <w:jc w:val="left"/>
        <w:rPr>
          <w:rFonts w:ascii="宋体" w:hAnsi="宋体" w:cs="宋体"/>
          <w:b/>
          <w:bCs/>
        </w:rPr>
      </w:pPr>
      <w:bookmarkStart w:id="115" w:name="_Toc989004"/>
      <w:r>
        <w:rPr>
          <w:rFonts w:ascii="宋体" w:hAnsi="宋体" w:cs="宋体"/>
          <w:b/>
          <w:bCs/>
        </w:rPr>
        <w:t>3、共同对外投资的关联交易</w:t>
      </w:r>
      <w:bookmarkEnd w:id="115"/>
    </w:p>
    <w:p w14:paraId="1A88CF2E">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B54BDC3">
      <w:pPr>
        <w:spacing w:before="100" w:after="100" w:line="240" w:lineRule="exact"/>
        <w:rPr>
          <w:rFonts w:ascii="宋体" w:hAnsi="宋体" w:eastAsia="宋体" w:cs="宋体"/>
          <w:sz w:val="18"/>
          <w:szCs w:val="18"/>
        </w:rPr>
      </w:pPr>
      <w:r>
        <w:rPr>
          <w:rFonts w:ascii="宋体" w:hAnsi="宋体" w:eastAsia="宋体" w:cs="宋体"/>
          <w:sz w:val="18"/>
          <w:szCs w:val="18"/>
        </w:rPr>
        <w:t>公司报告期未发生共同对外投资的关联交易。</w:t>
      </w:r>
    </w:p>
    <w:p w14:paraId="1B60C8F0">
      <w:pPr>
        <w:pStyle w:val="3"/>
        <w:spacing w:line="280" w:lineRule="exact"/>
        <w:jc w:val="left"/>
        <w:rPr>
          <w:rFonts w:ascii="宋体" w:hAnsi="宋体" w:cs="宋体"/>
          <w:b/>
          <w:bCs/>
        </w:rPr>
      </w:pPr>
      <w:bookmarkStart w:id="116" w:name="_Toc989005"/>
      <w:r>
        <w:rPr>
          <w:rFonts w:ascii="宋体" w:hAnsi="宋体" w:cs="宋体"/>
          <w:b/>
          <w:bCs/>
        </w:rPr>
        <w:t>4、关联债权债务往来</w:t>
      </w:r>
      <w:bookmarkEnd w:id="116"/>
    </w:p>
    <w:p w14:paraId="0CE22D7E">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B9D8F7A">
      <w:pPr>
        <w:spacing w:before="40" w:after="40" w:line="240" w:lineRule="exact"/>
        <w:rPr>
          <w:rFonts w:ascii="宋体" w:hAnsi="宋体" w:eastAsia="宋体" w:cs="宋体"/>
          <w:sz w:val="18"/>
          <w:szCs w:val="18"/>
        </w:rPr>
      </w:pPr>
      <w:r>
        <w:rPr>
          <w:rFonts w:ascii="宋体" w:hAnsi="宋体" w:eastAsia="宋体" w:cs="宋体"/>
          <w:sz w:val="18"/>
          <w:szCs w:val="18"/>
        </w:rPr>
        <w:t>公司报告期不存在关联债权债务往来。</w:t>
      </w:r>
    </w:p>
    <w:p w14:paraId="3780DC83">
      <w:pPr>
        <w:pStyle w:val="3"/>
        <w:spacing w:line="280" w:lineRule="exact"/>
        <w:jc w:val="left"/>
        <w:rPr>
          <w:rFonts w:ascii="宋体" w:hAnsi="宋体" w:cs="宋体"/>
          <w:b/>
          <w:bCs/>
        </w:rPr>
      </w:pPr>
      <w:bookmarkStart w:id="117" w:name="_Toc989006"/>
      <w:r>
        <w:rPr>
          <w:rFonts w:ascii="宋体" w:hAnsi="宋体" w:cs="宋体"/>
          <w:b/>
          <w:bCs/>
        </w:rPr>
        <w:t>5、与存在关联关系的财务公司的往来情况</w:t>
      </w:r>
      <w:bookmarkEnd w:id="117"/>
    </w:p>
    <w:p w14:paraId="01F112C5">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1115316">
      <w:pPr>
        <w:spacing w:before="100" w:after="100" w:line="240" w:lineRule="exact"/>
        <w:rPr>
          <w:rFonts w:ascii="宋体" w:hAnsi="宋体" w:eastAsia="宋体" w:cs="宋体"/>
          <w:sz w:val="18"/>
          <w:szCs w:val="18"/>
        </w:rPr>
      </w:pPr>
      <w:r>
        <w:rPr>
          <w:rFonts w:ascii="宋体" w:hAnsi="宋体" w:eastAsia="宋体" w:cs="宋体"/>
          <w:sz w:val="18"/>
          <w:szCs w:val="18"/>
        </w:rPr>
        <w:t>公司与存在关联关系的财务公司与关联方之间不存在存款、贷款、授信或其他金融业务。</w:t>
      </w:r>
    </w:p>
    <w:p w14:paraId="71361583">
      <w:pPr>
        <w:pStyle w:val="3"/>
        <w:spacing w:line="280" w:lineRule="exact"/>
        <w:jc w:val="left"/>
        <w:rPr>
          <w:rFonts w:ascii="宋体" w:hAnsi="宋体" w:cs="宋体"/>
          <w:b/>
          <w:bCs/>
        </w:rPr>
      </w:pPr>
      <w:bookmarkStart w:id="118" w:name="_Toc989007"/>
      <w:r>
        <w:rPr>
          <w:rFonts w:ascii="宋体" w:hAnsi="宋体" w:cs="宋体"/>
          <w:b/>
          <w:bCs/>
        </w:rPr>
        <w:t>6、公司控股的财务公司与关联方的往来情况</w:t>
      </w:r>
      <w:bookmarkEnd w:id="118"/>
    </w:p>
    <w:p w14:paraId="30FFAD0F">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7C0B737">
      <w:pPr>
        <w:spacing w:before="100" w:after="100" w:line="240" w:lineRule="exact"/>
        <w:rPr>
          <w:rFonts w:ascii="宋体" w:hAnsi="宋体" w:eastAsia="宋体" w:cs="宋体"/>
          <w:sz w:val="18"/>
          <w:szCs w:val="18"/>
        </w:rPr>
      </w:pPr>
      <w:r>
        <w:rPr>
          <w:rFonts w:ascii="宋体" w:hAnsi="宋体" w:eastAsia="宋体" w:cs="宋体"/>
          <w:sz w:val="18"/>
          <w:szCs w:val="18"/>
        </w:rPr>
        <w:t>公司控股的财务公司与关联方之间不存在存款、贷款、授信或其他金融业务。</w:t>
      </w:r>
    </w:p>
    <w:p w14:paraId="60FD2D9E">
      <w:pPr>
        <w:pStyle w:val="3"/>
        <w:spacing w:line="280" w:lineRule="exact"/>
        <w:jc w:val="left"/>
        <w:rPr>
          <w:rFonts w:ascii="宋体" w:hAnsi="宋体" w:cs="宋体"/>
          <w:b/>
          <w:bCs/>
        </w:rPr>
      </w:pPr>
      <w:bookmarkStart w:id="119" w:name="_Toc989008"/>
      <w:r>
        <w:rPr>
          <w:rFonts w:ascii="宋体" w:hAnsi="宋体" w:cs="宋体"/>
          <w:b/>
          <w:bCs/>
        </w:rPr>
        <w:t>7、其他重大关联交易</w:t>
      </w:r>
      <w:bookmarkEnd w:id="119"/>
    </w:p>
    <w:p w14:paraId="42BE90B3">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21525C8">
      <w:pPr>
        <w:spacing w:before="100" w:after="100" w:line="240" w:lineRule="exact"/>
        <w:rPr>
          <w:rFonts w:ascii="宋体" w:hAnsi="宋体" w:eastAsia="宋体" w:cs="宋体"/>
          <w:sz w:val="18"/>
          <w:szCs w:val="18"/>
        </w:rPr>
      </w:pPr>
      <w:r>
        <w:rPr>
          <w:rFonts w:ascii="宋体" w:hAnsi="宋体" w:eastAsia="宋体" w:cs="宋体"/>
          <w:sz w:val="18"/>
          <w:szCs w:val="18"/>
        </w:rPr>
        <w:t>公司报告期无其他重大关联交易。</w:t>
      </w:r>
    </w:p>
    <w:p w14:paraId="76E49ED3">
      <w:pPr>
        <w:pStyle w:val="2"/>
        <w:spacing w:before="300" w:after="300" w:line="320" w:lineRule="exact"/>
        <w:rPr>
          <w:rFonts w:ascii="宋体" w:hAnsi="宋体" w:eastAsia="宋体" w:cs="宋体"/>
          <w:b/>
          <w:bCs/>
          <w:sz w:val="24"/>
          <w:szCs w:val="24"/>
        </w:rPr>
      </w:pPr>
      <w:bookmarkStart w:id="120" w:name="_Toc989009"/>
      <w:r>
        <w:rPr>
          <w:rFonts w:ascii="宋体" w:hAnsi="宋体" w:eastAsia="宋体" w:cs="宋体"/>
          <w:b/>
          <w:bCs/>
          <w:sz w:val="24"/>
          <w:szCs w:val="24"/>
        </w:rPr>
        <w:t>十五、重大合同及其履行情况</w:t>
      </w:r>
      <w:bookmarkEnd w:id="120"/>
    </w:p>
    <w:p w14:paraId="3BED6D44">
      <w:pPr>
        <w:pStyle w:val="3"/>
        <w:spacing w:line="280" w:lineRule="exact"/>
        <w:jc w:val="left"/>
        <w:rPr>
          <w:rFonts w:ascii="宋体" w:hAnsi="宋体" w:cs="宋体"/>
          <w:b/>
          <w:bCs/>
        </w:rPr>
      </w:pPr>
      <w:bookmarkStart w:id="121" w:name="_Toc989010"/>
      <w:r>
        <w:rPr>
          <w:rFonts w:ascii="宋体" w:hAnsi="宋体" w:cs="宋体"/>
          <w:b/>
          <w:bCs/>
        </w:rPr>
        <w:t>1、托管、承包、租赁事项情况</w:t>
      </w:r>
      <w:bookmarkEnd w:id="121"/>
    </w:p>
    <w:p w14:paraId="10338F57">
      <w:pPr>
        <w:keepNext/>
        <w:keepLines/>
        <w:spacing w:before="300" w:after="300" w:line="280" w:lineRule="exact"/>
        <w:outlineLvl w:val="3"/>
        <w:rPr>
          <w:rFonts w:ascii="宋体" w:hAnsi="宋体" w:eastAsia="宋体" w:cs="宋体"/>
          <w:b/>
          <w:bCs/>
          <w:sz w:val="18"/>
          <w:szCs w:val="18"/>
        </w:rPr>
      </w:pPr>
      <w:bookmarkStart w:id="122" w:name="_Toc989011"/>
      <w:r>
        <w:rPr>
          <w:rFonts w:ascii="宋体" w:hAnsi="宋体" w:eastAsia="宋体" w:cs="宋体"/>
          <w:b/>
          <w:bCs/>
          <w:sz w:val="18"/>
          <w:szCs w:val="18"/>
        </w:rPr>
        <w:t>（1） 托管情况</w:t>
      </w:r>
      <w:bookmarkEnd w:id="122"/>
    </w:p>
    <w:p w14:paraId="1D3289CB">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9C368C0">
      <w:pPr>
        <w:spacing w:before="100" w:after="100" w:line="240" w:lineRule="exact"/>
        <w:rPr>
          <w:rFonts w:ascii="宋体" w:hAnsi="宋体" w:eastAsia="宋体" w:cs="宋体"/>
          <w:sz w:val="18"/>
          <w:szCs w:val="18"/>
        </w:rPr>
      </w:pPr>
      <w:r>
        <w:rPr>
          <w:rFonts w:ascii="宋体" w:hAnsi="宋体" w:eastAsia="宋体" w:cs="宋体"/>
          <w:sz w:val="18"/>
          <w:szCs w:val="18"/>
        </w:rPr>
        <w:t>公司报告期不存在托管情况。</w:t>
      </w:r>
    </w:p>
    <w:p w14:paraId="1B32819E">
      <w:pPr>
        <w:keepNext/>
        <w:keepLines/>
        <w:spacing w:before="300" w:after="300" w:line="280" w:lineRule="exact"/>
        <w:outlineLvl w:val="3"/>
        <w:rPr>
          <w:rFonts w:ascii="宋体" w:hAnsi="宋体" w:eastAsia="宋体" w:cs="宋体"/>
          <w:b/>
          <w:bCs/>
          <w:sz w:val="18"/>
          <w:szCs w:val="18"/>
        </w:rPr>
      </w:pPr>
      <w:bookmarkStart w:id="123" w:name="_Toc989012"/>
      <w:r>
        <w:rPr>
          <w:rFonts w:ascii="宋体" w:hAnsi="宋体" w:eastAsia="宋体" w:cs="宋体"/>
          <w:b/>
          <w:bCs/>
          <w:sz w:val="18"/>
          <w:szCs w:val="18"/>
        </w:rPr>
        <w:t>（2） 承包情况</w:t>
      </w:r>
      <w:bookmarkEnd w:id="123"/>
    </w:p>
    <w:p w14:paraId="47B26260">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DEAC4AB">
      <w:pPr>
        <w:spacing w:before="100" w:after="100" w:line="240" w:lineRule="exact"/>
        <w:rPr>
          <w:rFonts w:ascii="宋体" w:hAnsi="宋体" w:eastAsia="宋体" w:cs="宋体"/>
          <w:sz w:val="18"/>
          <w:szCs w:val="18"/>
        </w:rPr>
      </w:pPr>
      <w:r>
        <w:rPr>
          <w:rFonts w:ascii="宋体" w:hAnsi="宋体" w:eastAsia="宋体" w:cs="宋体"/>
          <w:sz w:val="18"/>
          <w:szCs w:val="18"/>
        </w:rPr>
        <w:t>公司报告期不存在承包情况。</w:t>
      </w:r>
    </w:p>
    <w:p w14:paraId="5F3529AE">
      <w:pPr>
        <w:keepNext/>
        <w:keepLines/>
        <w:spacing w:before="300" w:after="300" w:line="280" w:lineRule="exact"/>
        <w:outlineLvl w:val="3"/>
        <w:rPr>
          <w:rFonts w:ascii="宋体" w:hAnsi="宋体" w:eastAsia="宋体" w:cs="宋体"/>
          <w:b/>
          <w:bCs/>
          <w:sz w:val="18"/>
          <w:szCs w:val="18"/>
        </w:rPr>
      </w:pPr>
      <w:bookmarkStart w:id="124" w:name="_Toc989013"/>
      <w:r>
        <w:rPr>
          <w:rFonts w:ascii="宋体" w:hAnsi="宋体" w:eastAsia="宋体" w:cs="宋体"/>
          <w:b/>
          <w:bCs/>
          <w:sz w:val="18"/>
          <w:szCs w:val="18"/>
        </w:rPr>
        <w:t>（3） 租赁情况</w:t>
      </w:r>
      <w:bookmarkEnd w:id="124"/>
    </w:p>
    <w:p w14:paraId="680FC414">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576175F">
      <w:pPr>
        <w:spacing w:before="100" w:after="100" w:line="240" w:lineRule="exact"/>
        <w:rPr>
          <w:rFonts w:ascii="宋体" w:hAnsi="宋体" w:eastAsia="宋体" w:cs="宋体"/>
          <w:sz w:val="18"/>
          <w:szCs w:val="18"/>
        </w:rPr>
      </w:pPr>
      <w:r>
        <w:rPr>
          <w:rFonts w:ascii="宋体" w:hAnsi="宋体" w:eastAsia="宋体" w:cs="宋体"/>
          <w:sz w:val="18"/>
          <w:szCs w:val="18"/>
        </w:rPr>
        <w:t>公司报告期不存在租赁情况。</w:t>
      </w:r>
    </w:p>
    <w:p w14:paraId="265D2F7E">
      <w:pPr>
        <w:pStyle w:val="3"/>
        <w:spacing w:line="280" w:lineRule="exact"/>
        <w:jc w:val="left"/>
        <w:rPr>
          <w:rFonts w:ascii="宋体" w:hAnsi="宋体" w:cs="宋体"/>
          <w:b/>
          <w:bCs/>
        </w:rPr>
      </w:pPr>
      <w:bookmarkStart w:id="125" w:name="_Toc989014"/>
      <w:r>
        <w:rPr>
          <w:rFonts w:ascii="宋体" w:hAnsi="宋体" w:cs="宋体"/>
          <w:b/>
          <w:bCs/>
        </w:rPr>
        <w:t>2、重大担保</w:t>
      </w:r>
      <w:bookmarkEnd w:id="125"/>
    </w:p>
    <w:p w14:paraId="7FCF69D6">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4AF047FC">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7"/>
        <w:gridCol w:w="876"/>
        <w:gridCol w:w="877"/>
        <w:gridCol w:w="876"/>
        <w:gridCol w:w="877"/>
        <w:gridCol w:w="876"/>
        <w:gridCol w:w="876"/>
        <w:gridCol w:w="876"/>
        <w:gridCol w:w="876"/>
        <w:gridCol w:w="877"/>
      </w:tblGrid>
      <w:tr w14:paraId="02FD0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14:paraId="14F2708F">
            <w:pPr>
              <w:spacing w:before="40" w:after="40" w:line="240" w:lineRule="exact"/>
              <w:jc w:val="center"/>
              <w:rPr>
                <w:rFonts w:ascii="宋体" w:hAnsi="宋体" w:eastAsia="宋体" w:cs="宋体"/>
                <w:sz w:val="18"/>
                <w:szCs w:val="18"/>
              </w:rPr>
            </w:pPr>
            <w:r>
              <w:rPr>
                <w:rFonts w:ascii="宋体" w:hAnsi="宋体" w:eastAsia="宋体" w:cs="宋体"/>
                <w:sz w:val="18"/>
                <w:szCs w:val="18"/>
              </w:rPr>
              <w:t>公司及其子公司对外担保情况（不包括对子公司的担保）</w:t>
            </w:r>
          </w:p>
        </w:tc>
      </w:tr>
      <w:tr w14:paraId="2531E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1324CC5">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CF11D46">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01DD939">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C807C8C">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FDFE99A">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C4B843D">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D1959D3">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44B5BF2">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2DD5BD4">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4E76E98">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65E73B2">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14:paraId="4BC05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14:paraId="414C714E">
            <w:pPr>
              <w:spacing w:before="40" w:after="40" w:line="240" w:lineRule="exact"/>
              <w:jc w:val="center"/>
              <w:rPr>
                <w:rFonts w:ascii="宋体" w:hAnsi="宋体" w:eastAsia="宋体" w:cs="宋体"/>
                <w:sz w:val="18"/>
                <w:szCs w:val="18"/>
              </w:rPr>
            </w:pPr>
            <w:r>
              <w:rPr>
                <w:rFonts w:ascii="宋体" w:hAnsi="宋体" w:eastAsia="宋体" w:cs="宋体"/>
                <w:sz w:val="18"/>
                <w:szCs w:val="18"/>
              </w:rPr>
              <w:t>公司对子公司的担保情况</w:t>
            </w:r>
          </w:p>
        </w:tc>
      </w:tr>
      <w:tr w14:paraId="7186E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0337436">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B8B0D29">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299290C">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FECE309">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2B5284D">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60703C6">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1AD88B6">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1838B73">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FA38C6F">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AE73BD0">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D74B051">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14:paraId="1D3E8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74F04DB5">
            <w:pPr>
              <w:spacing w:line="240" w:lineRule="exact"/>
              <w:rPr>
                <w:rFonts w:ascii="宋体" w:hAnsi="宋体" w:eastAsia="宋体" w:cs="宋体"/>
                <w:sz w:val="18"/>
                <w:szCs w:val="18"/>
              </w:rPr>
            </w:pPr>
            <w:r>
              <w:rPr>
                <w:rFonts w:ascii="宋体" w:hAnsi="宋体" w:eastAsia="宋体" w:cs="宋体"/>
                <w:sz w:val="18"/>
                <w:szCs w:val="18"/>
              </w:rPr>
              <w:t>深圳市华孚进出口有限公司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6326CD3E">
            <w:pPr>
              <w:spacing w:line="240" w:lineRule="exact"/>
              <w:rPr>
                <w:rFonts w:ascii="宋体" w:hAnsi="宋体" w:eastAsia="宋体" w:cs="宋体"/>
                <w:sz w:val="18"/>
                <w:szCs w:val="18"/>
              </w:rPr>
            </w:pPr>
            <w:r>
              <w:rPr>
                <w:rFonts w:ascii="宋体" w:hAnsi="宋体" w:eastAsia="宋体" w:cs="宋体"/>
                <w:sz w:val="18"/>
                <w:szCs w:val="18"/>
              </w:rPr>
              <w:t>2025年04月26日</w:t>
            </w:r>
          </w:p>
        </w:tc>
        <w:tc>
          <w:tcPr>
            <w:tcW w:w="876" w:type="dxa"/>
            <w:tcBorders>
              <w:top w:val="single" w:color="auto" w:sz="2" w:space="0"/>
              <w:left w:val="single" w:color="auto" w:sz="2" w:space="0"/>
              <w:bottom w:val="single" w:color="auto" w:sz="2" w:space="0"/>
              <w:right w:val="single" w:color="auto" w:sz="2" w:space="0"/>
            </w:tcBorders>
            <w:vAlign w:val="center"/>
          </w:tcPr>
          <w:p w14:paraId="799F0762">
            <w:pPr>
              <w:spacing w:line="240" w:lineRule="exact"/>
              <w:jc w:val="right"/>
              <w:rPr>
                <w:rFonts w:ascii="宋体" w:hAnsi="宋体" w:eastAsia="宋体" w:cs="宋体"/>
                <w:sz w:val="18"/>
                <w:szCs w:val="18"/>
              </w:rPr>
            </w:pPr>
            <w:r>
              <w:rPr>
                <w:rFonts w:ascii="宋体" w:hAnsi="宋体" w:eastAsia="宋体" w:cs="宋体"/>
                <w:sz w:val="18"/>
                <w:szCs w:val="18"/>
              </w:rPr>
              <w:t>429,000</w:t>
            </w:r>
          </w:p>
        </w:tc>
        <w:tc>
          <w:tcPr>
            <w:tcW w:w="876" w:type="dxa"/>
            <w:tcBorders>
              <w:top w:val="single" w:color="auto" w:sz="2" w:space="0"/>
              <w:left w:val="single" w:color="auto" w:sz="2" w:space="0"/>
              <w:bottom w:val="single" w:color="auto" w:sz="2" w:space="0"/>
              <w:right w:val="single" w:color="auto" w:sz="2" w:space="0"/>
            </w:tcBorders>
            <w:vAlign w:val="center"/>
          </w:tcPr>
          <w:p w14:paraId="45EEF65C">
            <w:pPr>
              <w:spacing w:line="240" w:lineRule="exact"/>
              <w:rPr>
                <w:rFonts w:ascii="宋体" w:hAnsi="宋体" w:eastAsia="宋体" w:cs="宋体"/>
                <w:sz w:val="18"/>
                <w:szCs w:val="18"/>
              </w:rPr>
            </w:pPr>
            <w:r>
              <w:rPr>
                <w:rFonts w:ascii="宋体" w:hAnsi="宋体" w:eastAsia="宋体" w:cs="宋体"/>
                <w:sz w:val="18"/>
                <w:szCs w:val="18"/>
              </w:rPr>
              <w:t>2025年04月28日</w:t>
            </w:r>
          </w:p>
        </w:tc>
        <w:tc>
          <w:tcPr>
            <w:tcW w:w="876" w:type="dxa"/>
            <w:tcBorders>
              <w:top w:val="single" w:color="auto" w:sz="2" w:space="0"/>
              <w:left w:val="single" w:color="auto" w:sz="2" w:space="0"/>
              <w:bottom w:val="single" w:color="auto" w:sz="2" w:space="0"/>
              <w:right w:val="single" w:color="auto" w:sz="2" w:space="0"/>
            </w:tcBorders>
            <w:vAlign w:val="center"/>
          </w:tcPr>
          <w:p w14:paraId="4E404333">
            <w:pPr>
              <w:spacing w:line="240" w:lineRule="exact"/>
              <w:jc w:val="right"/>
              <w:rPr>
                <w:rFonts w:ascii="宋体" w:hAnsi="宋体" w:eastAsia="宋体" w:cs="宋体"/>
                <w:sz w:val="18"/>
                <w:szCs w:val="18"/>
              </w:rPr>
            </w:pPr>
            <w:r>
              <w:rPr>
                <w:rFonts w:ascii="宋体" w:hAnsi="宋体" w:eastAsia="宋体" w:cs="宋体"/>
                <w:sz w:val="18"/>
                <w:szCs w:val="18"/>
              </w:rPr>
              <w:t>137,308</w:t>
            </w:r>
          </w:p>
        </w:tc>
        <w:tc>
          <w:tcPr>
            <w:tcW w:w="876" w:type="dxa"/>
            <w:tcBorders>
              <w:top w:val="single" w:color="auto" w:sz="2" w:space="0"/>
              <w:left w:val="single" w:color="auto" w:sz="2" w:space="0"/>
              <w:bottom w:val="single" w:color="auto" w:sz="2" w:space="0"/>
              <w:right w:val="single" w:color="auto" w:sz="2" w:space="0"/>
            </w:tcBorders>
            <w:vAlign w:val="center"/>
          </w:tcPr>
          <w:p w14:paraId="5A1D157C">
            <w:pPr>
              <w:spacing w:line="240" w:lineRule="exact"/>
              <w:rPr>
                <w:rFonts w:ascii="宋体" w:hAnsi="宋体" w:eastAsia="宋体" w:cs="宋体"/>
                <w:sz w:val="18"/>
                <w:szCs w:val="18"/>
              </w:rPr>
            </w:pPr>
            <w:r>
              <w:rPr>
                <w:rFonts w:ascii="宋体" w:hAnsi="宋体"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14:paraId="30E54A33">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BC977AD">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417140E">
            <w:pPr>
              <w:spacing w:line="240" w:lineRule="exact"/>
              <w:rPr>
                <w:rFonts w:ascii="宋体" w:hAnsi="宋体" w:eastAsia="宋体" w:cs="宋体"/>
                <w:sz w:val="18"/>
                <w:szCs w:val="18"/>
              </w:rPr>
            </w:pPr>
            <w:r>
              <w:rPr>
                <w:rFonts w:ascii="宋体" w:hAnsi="宋体" w:eastAsia="宋体" w:cs="宋体"/>
                <w:sz w:val="18"/>
                <w:szCs w:val="18"/>
              </w:rPr>
              <w:t>三年</w:t>
            </w:r>
          </w:p>
        </w:tc>
        <w:tc>
          <w:tcPr>
            <w:tcW w:w="876" w:type="dxa"/>
            <w:tcBorders>
              <w:top w:val="single" w:color="auto" w:sz="2" w:space="0"/>
              <w:left w:val="single" w:color="auto" w:sz="2" w:space="0"/>
              <w:bottom w:val="single" w:color="auto" w:sz="2" w:space="0"/>
              <w:right w:val="single" w:color="auto" w:sz="2" w:space="0"/>
            </w:tcBorders>
            <w:vAlign w:val="center"/>
          </w:tcPr>
          <w:p w14:paraId="0E02CF12">
            <w:pPr>
              <w:spacing w:line="240" w:lineRule="exac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145CDD32">
            <w:pPr>
              <w:spacing w:line="240" w:lineRule="exact"/>
              <w:rPr>
                <w:rFonts w:ascii="宋体" w:hAnsi="宋体" w:eastAsia="宋体" w:cs="宋体"/>
                <w:sz w:val="18"/>
                <w:szCs w:val="18"/>
              </w:rPr>
            </w:pPr>
            <w:r>
              <w:rPr>
                <w:rFonts w:ascii="宋体" w:hAnsi="宋体" w:eastAsia="宋体" w:cs="宋体"/>
                <w:sz w:val="18"/>
                <w:szCs w:val="18"/>
              </w:rPr>
              <w:t>否</w:t>
            </w:r>
          </w:p>
        </w:tc>
      </w:tr>
      <w:tr w14:paraId="14D73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4621554B">
            <w:pPr>
              <w:spacing w:line="240" w:lineRule="exact"/>
              <w:rPr>
                <w:rFonts w:ascii="宋体" w:hAnsi="宋体" w:eastAsia="宋体" w:cs="宋体"/>
                <w:sz w:val="18"/>
                <w:szCs w:val="18"/>
              </w:rPr>
            </w:pPr>
            <w:r>
              <w:rPr>
                <w:rFonts w:ascii="宋体" w:hAnsi="宋体" w:eastAsia="宋体" w:cs="宋体"/>
                <w:sz w:val="18"/>
                <w:szCs w:val="18"/>
              </w:rPr>
              <w:t>深圳市华孚进出口有限公司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05022FD0">
            <w:pPr>
              <w:spacing w:line="240" w:lineRule="exact"/>
              <w:rPr>
                <w:rFonts w:ascii="宋体" w:hAnsi="宋体" w:eastAsia="宋体" w:cs="宋体"/>
                <w:sz w:val="18"/>
                <w:szCs w:val="18"/>
              </w:rPr>
            </w:pPr>
            <w:r>
              <w:rPr>
                <w:rFonts w:ascii="宋体" w:hAnsi="宋体" w:eastAsia="宋体" w:cs="宋体"/>
                <w:sz w:val="18"/>
                <w:szCs w:val="18"/>
              </w:rPr>
              <w:t>2024年04月27日</w:t>
            </w:r>
          </w:p>
        </w:tc>
        <w:tc>
          <w:tcPr>
            <w:tcW w:w="876" w:type="dxa"/>
            <w:tcBorders>
              <w:top w:val="single" w:color="auto" w:sz="2" w:space="0"/>
              <w:left w:val="single" w:color="auto" w:sz="2" w:space="0"/>
              <w:bottom w:val="single" w:color="auto" w:sz="2" w:space="0"/>
              <w:right w:val="single" w:color="auto" w:sz="2" w:space="0"/>
            </w:tcBorders>
            <w:vAlign w:val="center"/>
          </w:tcPr>
          <w:p w14:paraId="3C720129">
            <w:pPr>
              <w:spacing w:line="240" w:lineRule="exact"/>
              <w:jc w:val="right"/>
              <w:rPr>
                <w:rFonts w:ascii="宋体" w:hAnsi="宋体" w:eastAsia="宋体" w:cs="宋体"/>
                <w:sz w:val="18"/>
                <w:szCs w:val="18"/>
              </w:rPr>
            </w:pPr>
            <w:r>
              <w:rPr>
                <w:rFonts w:ascii="宋体" w:hAnsi="宋体" w:eastAsia="宋体" w:cs="宋体"/>
                <w:sz w:val="18"/>
                <w:szCs w:val="18"/>
              </w:rPr>
              <w:t>480,000</w:t>
            </w:r>
          </w:p>
        </w:tc>
        <w:tc>
          <w:tcPr>
            <w:tcW w:w="876" w:type="dxa"/>
            <w:tcBorders>
              <w:top w:val="single" w:color="auto" w:sz="2" w:space="0"/>
              <w:left w:val="single" w:color="auto" w:sz="2" w:space="0"/>
              <w:bottom w:val="single" w:color="auto" w:sz="2" w:space="0"/>
              <w:right w:val="single" w:color="auto" w:sz="2" w:space="0"/>
            </w:tcBorders>
            <w:vAlign w:val="center"/>
          </w:tcPr>
          <w:p w14:paraId="15160DB6">
            <w:pPr>
              <w:spacing w:line="240" w:lineRule="exact"/>
              <w:rPr>
                <w:rFonts w:ascii="宋体" w:hAnsi="宋体" w:eastAsia="宋体" w:cs="宋体"/>
                <w:sz w:val="18"/>
                <w:szCs w:val="18"/>
              </w:rPr>
            </w:pPr>
            <w:r>
              <w:rPr>
                <w:rFonts w:ascii="宋体" w:hAnsi="宋体" w:eastAsia="宋体" w:cs="宋体"/>
                <w:sz w:val="18"/>
                <w:szCs w:val="18"/>
              </w:rPr>
              <w:t>2025年01月24日</w:t>
            </w:r>
          </w:p>
        </w:tc>
        <w:tc>
          <w:tcPr>
            <w:tcW w:w="876" w:type="dxa"/>
            <w:tcBorders>
              <w:top w:val="single" w:color="auto" w:sz="2" w:space="0"/>
              <w:left w:val="single" w:color="auto" w:sz="2" w:space="0"/>
              <w:bottom w:val="single" w:color="auto" w:sz="2" w:space="0"/>
              <w:right w:val="single" w:color="auto" w:sz="2" w:space="0"/>
            </w:tcBorders>
            <w:vAlign w:val="center"/>
          </w:tcPr>
          <w:p w14:paraId="793DB63E">
            <w:pPr>
              <w:spacing w:line="240" w:lineRule="exact"/>
              <w:jc w:val="right"/>
              <w:rPr>
                <w:rFonts w:ascii="宋体" w:hAnsi="宋体" w:eastAsia="宋体" w:cs="宋体"/>
                <w:sz w:val="18"/>
                <w:szCs w:val="18"/>
              </w:rPr>
            </w:pPr>
            <w:r>
              <w:rPr>
                <w:rFonts w:ascii="宋体" w:hAnsi="宋体" w:eastAsia="宋体" w:cs="宋体"/>
                <w:sz w:val="18"/>
                <w:szCs w:val="18"/>
              </w:rPr>
              <w:t>36,000</w:t>
            </w:r>
          </w:p>
        </w:tc>
        <w:tc>
          <w:tcPr>
            <w:tcW w:w="876" w:type="dxa"/>
            <w:tcBorders>
              <w:top w:val="single" w:color="auto" w:sz="2" w:space="0"/>
              <w:left w:val="single" w:color="auto" w:sz="2" w:space="0"/>
              <w:bottom w:val="single" w:color="auto" w:sz="2" w:space="0"/>
              <w:right w:val="single" w:color="auto" w:sz="2" w:space="0"/>
            </w:tcBorders>
            <w:vAlign w:val="center"/>
          </w:tcPr>
          <w:p w14:paraId="279A901D">
            <w:pPr>
              <w:spacing w:line="240" w:lineRule="exact"/>
              <w:rPr>
                <w:rFonts w:ascii="宋体" w:hAnsi="宋体" w:eastAsia="宋体" w:cs="宋体"/>
                <w:sz w:val="18"/>
                <w:szCs w:val="18"/>
              </w:rPr>
            </w:pPr>
            <w:r>
              <w:rPr>
                <w:rFonts w:ascii="宋体" w:hAnsi="宋体"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14:paraId="100DFE58">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0CA1F30">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33771A7">
            <w:pPr>
              <w:spacing w:line="240" w:lineRule="exact"/>
              <w:rPr>
                <w:rFonts w:ascii="宋体" w:hAnsi="宋体" w:eastAsia="宋体" w:cs="宋体"/>
                <w:sz w:val="18"/>
                <w:szCs w:val="18"/>
              </w:rPr>
            </w:pPr>
            <w:r>
              <w:rPr>
                <w:rFonts w:ascii="宋体" w:hAnsi="宋体" w:eastAsia="宋体" w:cs="宋体"/>
                <w:sz w:val="18"/>
                <w:szCs w:val="18"/>
              </w:rPr>
              <w:t>三年</w:t>
            </w:r>
          </w:p>
        </w:tc>
        <w:tc>
          <w:tcPr>
            <w:tcW w:w="876" w:type="dxa"/>
            <w:tcBorders>
              <w:top w:val="single" w:color="auto" w:sz="2" w:space="0"/>
              <w:left w:val="single" w:color="auto" w:sz="2" w:space="0"/>
              <w:bottom w:val="single" w:color="auto" w:sz="2" w:space="0"/>
              <w:right w:val="single" w:color="auto" w:sz="2" w:space="0"/>
            </w:tcBorders>
            <w:vAlign w:val="center"/>
          </w:tcPr>
          <w:p w14:paraId="301C5BA0">
            <w:pPr>
              <w:spacing w:line="240" w:lineRule="exac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4AA723B6">
            <w:pPr>
              <w:spacing w:line="240" w:lineRule="exact"/>
              <w:rPr>
                <w:rFonts w:ascii="宋体" w:hAnsi="宋体" w:eastAsia="宋体" w:cs="宋体"/>
                <w:sz w:val="18"/>
                <w:szCs w:val="18"/>
              </w:rPr>
            </w:pPr>
            <w:r>
              <w:rPr>
                <w:rFonts w:ascii="宋体" w:hAnsi="宋体" w:eastAsia="宋体" w:cs="宋体"/>
                <w:sz w:val="18"/>
                <w:szCs w:val="18"/>
              </w:rPr>
              <w:t>否</w:t>
            </w:r>
          </w:p>
        </w:tc>
      </w:tr>
      <w:tr w14:paraId="70BFB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1DF1673C">
            <w:pPr>
              <w:spacing w:line="240" w:lineRule="exact"/>
              <w:rPr>
                <w:rFonts w:ascii="宋体" w:hAnsi="宋体" w:eastAsia="宋体" w:cs="宋体"/>
                <w:sz w:val="18"/>
                <w:szCs w:val="18"/>
              </w:rPr>
            </w:pPr>
            <w:r>
              <w:rPr>
                <w:rFonts w:ascii="宋体" w:hAnsi="宋体" w:eastAsia="宋体" w:cs="宋体"/>
                <w:sz w:val="18"/>
                <w:szCs w:val="18"/>
              </w:rPr>
              <w:t>阿克苏华孚色纺有限公司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20398F63">
            <w:pPr>
              <w:spacing w:line="240" w:lineRule="exact"/>
              <w:rPr>
                <w:rFonts w:ascii="宋体" w:hAnsi="宋体" w:eastAsia="宋体" w:cs="宋体"/>
                <w:sz w:val="18"/>
                <w:szCs w:val="18"/>
              </w:rPr>
            </w:pPr>
            <w:r>
              <w:rPr>
                <w:rFonts w:ascii="宋体" w:hAnsi="宋体" w:eastAsia="宋体" w:cs="宋体"/>
                <w:sz w:val="18"/>
                <w:szCs w:val="18"/>
              </w:rPr>
              <w:t>2025年04月26日</w:t>
            </w:r>
          </w:p>
        </w:tc>
        <w:tc>
          <w:tcPr>
            <w:tcW w:w="876" w:type="dxa"/>
            <w:tcBorders>
              <w:top w:val="single" w:color="auto" w:sz="2" w:space="0"/>
              <w:left w:val="single" w:color="auto" w:sz="2" w:space="0"/>
              <w:bottom w:val="single" w:color="auto" w:sz="2" w:space="0"/>
              <w:right w:val="single" w:color="auto" w:sz="2" w:space="0"/>
            </w:tcBorders>
            <w:vAlign w:val="center"/>
          </w:tcPr>
          <w:p w14:paraId="09760E51">
            <w:pPr>
              <w:spacing w:line="240" w:lineRule="exact"/>
              <w:jc w:val="right"/>
              <w:rPr>
                <w:rFonts w:ascii="宋体" w:hAnsi="宋体" w:eastAsia="宋体" w:cs="宋体"/>
                <w:sz w:val="18"/>
                <w:szCs w:val="18"/>
              </w:rPr>
            </w:pPr>
            <w:r>
              <w:rPr>
                <w:rFonts w:ascii="宋体" w:hAnsi="宋体" w:eastAsia="宋体" w:cs="宋体"/>
                <w:sz w:val="18"/>
                <w:szCs w:val="18"/>
              </w:rPr>
              <w:t>300,000</w:t>
            </w:r>
          </w:p>
        </w:tc>
        <w:tc>
          <w:tcPr>
            <w:tcW w:w="876" w:type="dxa"/>
            <w:tcBorders>
              <w:top w:val="single" w:color="auto" w:sz="2" w:space="0"/>
              <w:left w:val="single" w:color="auto" w:sz="2" w:space="0"/>
              <w:bottom w:val="single" w:color="auto" w:sz="2" w:space="0"/>
              <w:right w:val="single" w:color="auto" w:sz="2" w:space="0"/>
            </w:tcBorders>
            <w:vAlign w:val="center"/>
          </w:tcPr>
          <w:p w14:paraId="2EBFF42C">
            <w:pPr>
              <w:spacing w:line="240" w:lineRule="exact"/>
              <w:rPr>
                <w:rFonts w:ascii="宋体" w:hAnsi="宋体" w:eastAsia="宋体" w:cs="宋体"/>
                <w:sz w:val="18"/>
                <w:szCs w:val="18"/>
              </w:rPr>
            </w:pPr>
            <w:r>
              <w:rPr>
                <w:rFonts w:ascii="宋体" w:hAnsi="宋体" w:eastAsia="宋体" w:cs="宋体"/>
                <w:sz w:val="18"/>
                <w:szCs w:val="18"/>
              </w:rPr>
              <w:t>2025年05月28日</w:t>
            </w:r>
          </w:p>
        </w:tc>
        <w:tc>
          <w:tcPr>
            <w:tcW w:w="876" w:type="dxa"/>
            <w:tcBorders>
              <w:top w:val="single" w:color="auto" w:sz="2" w:space="0"/>
              <w:left w:val="single" w:color="auto" w:sz="2" w:space="0"/>
              <w:bottom w:val="single" w:color="auto" w:sz="2" w:space="0"/>
              <w:right w:val="single" w:color="auto" w:sz="2" w:space="0"/>
            </w:tcBorders>
            <w:vAlign w:val="center"/>
          </w:tcPr>
          <w:p w14:paraId="366F6EE1">
            <w:pPr>
              <w:spacing w:line="240" w:lineRule="exact"/>
              <w:jc w:val="right"/>
              <w:rPr>
                <w:rFonts w:ascii="宋体" w:hAnsi="宋体" w:eastAsia="宋体" w:cs="宋体"/>
                <w:sz w:val="18"/>
                <w:szCs w:val="18"/>
              </w:rPr>
            </w:pPr>
            <w:r>
              <w:rPr>
                <w:rFonts w:ascii="宋体" w:hAnsi="宋体" w:eastAsia="宋体" w:cs="宋体"/>
                <w:sz w:val="18"/>
                <w:szCs w:val="18"/>
              </w:rPr>
              <w:t>124,833</w:t>
            </w:r>
          </w:p>
        </w:tc>
        <w:tc>
          <w:tcPr>
            <w:tcW w:w="876" w:type="dxa"/>
            <w:tcBorders>
              <w:top w:val="single" w:color="auto" w:sz="2" w:space="0"/>
              <w:left w:val="single" w:color="auto" w:sz="2" w:space="0"/>
              <w:bottom w:val="single" w:color="auto" w:sz="2" w:space="0"/>
              <w:right w:val="single" w:color="auto" w:sz="2" w:space="0"/>
            </w:tcBorders>
            <w:vAlign w:val="center"/>
          </w:tcPr>
          <w:p w14:paraId="55275221">
            <w:pPr>
              <w:spacing w:line="240" w:lineRule="exact"/>
              <w:rPr>
                <w:rFonts w:ascii="宋体" w:hAnsi="宋体" w:eastAsia="宋体" w:cs="宋体"/>
                <w:sz w:val="18"/>
                <w:szCs w:val="18"/>
              </w:rPr>
            </w:pPr>
            <w:r>
              <w:rPr>
                <w:rFonts w:ascii="宋体" w:hAnsi="宋体"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14:paraId="2E238844">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3E51C791">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29ABDEA3">
            <w:pPr>
              <w:spacing w:line="240" w:lineRule="exact"/>
              <w:rPr>
                <w:rFonts w:ascii="宋体" w:hAnsi="宋体" w:eastAsia="宋体" w:cs="宋体"/>
                <w:sz w:val="18"/>
                <w:szCs w:val="18"/>
              </w:rPr>
            </w:pPr>
            <w:r>
              <w:rPr>
                <w:rFonts w:ascii="宋体" w:hAnsi="宋体" w:eastAsia="宋体" w:cs="宋体"/>
                <w:sz w:val="18"/>
                <w:szCs w:val="18"/>
              </w:rPr>
              <w:t>三年</w:t>
            </w:r>
          </w:p>
        </w:tc>
        <w:tc>
          <w:tcPr>
            <w:tcW w:w="876" w:type="dxa"/>
            <w:tcBorders>
              <w:top w:val="single" w:color="auto" w:sz="2" w:space="0"/>
              <w:left w:val="single" w:color="auto" w:sz="2" w:space="0"/>
              <w:bottom w:val="single" w:color="auto" w:sz="2" w:space="0"/>
              <w:right w:val="single" w:color="auto" w:sz="2" w:space="0"/>
            </w:tcBorders>
            <w:vAlign w:val="center"/>
          </w:tcPr>
          <w:p w14:paraId="1B821D7B">
            <w:pPr>
              <w:spacing w:line="240" w:lineRule="exac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55589407">
            <w:pPr>
              <w:spacing w:line="240" w:lineRule="exact"/>
              <w:rPr>
                <w:rFonts w:ascii="宋体" w:hAnsi="宋体" w:eastAsia="宋体" w:cs="宋体"/>
                <w:sz w:val="18"/>
                <w:szCs w:val="18"/>
              </w:rPr>
            </w:pPr>
            <w:r>
              <w:rPr>
                <w:rFonts w:ascii="宋体" w:hAnsi="宋体" w:eastAsia="宋体" w:cs="宋体"/>
                <w:sz w:val="18"/>
                <w:szCs w:val="18"/>
              </w:rPr>
              <w:t>否</w:t>
            </w:r>
          </w:p>
        </w:tc>
      </w:tr>
      <w:tr w14:paraId="0EE37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3A01446B">
            <w:pPr>
              <w:spacing w:line="240" w:lineRule="exact"/>
              <w:rPr>
                <w:rFonts w:ascii="宋体" w:hAnsi="宋体" w:eastAsia="宋体" w:cs="宋体"/>
                <w:sz w:val="18"/>
                <w:szCs w:val="18"/>
              </w:rPr>
            </w:pPr>
            <w:r>
              <w:rPr>
                <w:rFonts w:ascii="宋体" w:hAnsi="宋体" w:eastAsia="宋体" w:cs="宋体"/>
                <w:sz w:val="18"/>
                <w:szCs w:val="18"/>
              </w:rPr>
              <w:t>阿克苏华孚色纺有限公司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58C96759">
            <w:pPr>
              <w:spacing w:line="240" w:lineRule="exact"/>
              <w:rPr>
                <w:rFonts w:ascii="宋体" w:hAnsi="宋体" w:eastAsia="宋体" w:cs="宋体"/>
                <w:sz w:val="18"/>
                <w:szCs w:val="18"/>
              </w:rPr>
            </w:pPr>
            <w:r>
              <w:rPr>
                <w:rFonts w:ascii="宋体" w:hAnsi="宋体" w:eastAsia="宋体" w:cs="宋体"/>
                <w:sz w:val="18"/>
                <w:szCs w:val="18"/>
              </w:rPr>
              <w:t>2024年04月27日</w:t>
            </w:r>
          </w:p>
        </w:tc>
        <w:tc>
          <w:tcPr>
            <w:tcW w:w="876" w:type="dxa"/>
            <w:tcBorders>
              <w:top w:val="single" w:color="auto" w:sz="2" w:space="0"/>
              <w:left w:val="single" w:color="auto" w:sz="2" w:space="0"/>
              <w:bottom w:val="single" w:color="auto" w:sz="2" w:space="0"/>
              <w:right w:val="single" w:color="auto" w:sz="2" w:space="0"/>
            </w:tcBorders>
            <w:vAlign w:val="center"/>
          </w:tcPr>
          <w:p w14:paraId="658EE410">
            <w:pPr>
              <w:spacing w:line="240" w:lineRule="exact"/>
              <w:jc w:val="right"/>
              <w:rPr>
                <w:rFonts w:ascii="宋体" w:hAnsi="宋体" w:eastAsia="宋体" w:cs="宋体"/>
                <w:sz w:val="18"/>
                <w:szCs w:val="18"/>
              </w:rPr>
            </w:pPr>
            <w:r>
              <w:rPr>
                <w:rFonts w:ascii="宋体" w:hAnsi="宋体" w:eastAsia="宋体" w:cs="宋体"/>
                <w:sz w:val="18"/>
                <w:szCs w:val="18"/>
              </w:rPr>
              <w:t>300,000</w:t>
            </w:r>
          </w:p>
        </w:tc>
        <w:tc>
          <w:tcPr>
            <w:tcW w:w="876" w:type="dxa"/>
            <w:tcBorders>
              <w:top w:val="single" w:color="auto" w:sz="2" w:space="0"/>
              <w:left w:val="single" w:color="auto" w:sz="2" w:space="0"/>
              <w:bottom w:val="single" w:color="auto" w:sz="2" w:space="0"/>
              <w:right w:val="single" w:color="auto" w:sz="2" w:space="0"/>
            </w:tcBorders>
            <w:vAlign w:val="center"/>
          </w:tcPr>
          <w:p w14:paraId="4BF67E73">
            <w:pPr>
              <w:spacing w:line="240" w:lineRule="exact"/>
              <w:rPr>
                <w:rFonts w:ascii="宋体" w:hAnsi="宋体" w:eastAsia="宋体" w:cs="宋体"/>
                <w:sz w:val="18"/>
                <w:szCs w:val="18"/>
              </w:rPr>
            </w:pPr>
            <w:r>
              <w:rPr>
                <w:rFonts w:ascii="宋体" w:hAnsi="宋体" w:eastAsia="宋体" w:cs="宋体"/>
                <w:sz w:val="18"/>
                <w:szCs w:val="18"/>
              </w:rPr>
              <w:t>2025年01月16日</w:t>
            </w:r>
          </w:p>
        </w:tc>
        <w:tc>
          <w:tcPr>
            <w:tcW w:w="876" w:type="dxa"/>
            <w:tcBorders>
              <w:top w:val="single" w:color="auto" w:sz="2" w:space="0"/>
              <w:left w:val="single" w:color="auto" w:sz="2" w:space="0"/>
              <w:bottom w:val="single" w:color="auto" w:sz="2" w:space="0"/>
              <w:right w:val="single" w:color="auto" w:sz="2" w:space="0"/>
            </w:tcBorders>
            <w:vAlign w:val="center"/>
          </w:tcPr>
          <w:p w14:paraId="320909FE">
            <w:pPr>
              <w:spacing w:line="240" w:lineRule="exact"/>
              <w:jc w:val="right"/>
              <w:rPr>
                <w:rFonts w:ascii="宋体" w:hAnsi="宋体" w:eastAsia="宋体" w:cs="宋体"/>
                <w:sz w:val="18"/>
                <w:szCs w:val="18"/>
              </w:rPr>
            </w:pPr>
            <w:r>
              <w:rPr>
                <w:rFonts w:ascii="宋体" w:hAnsi="宋体" w:eastAsia="宋体" w:cs="宋体"/>
                <w:sz w:val="18"/>
                <w:szCs w:val="18"/>
              </w:rPr>
              <w:t>53,249</w:t>
            </w:r>
          </w:p>
        </w:tc>
        <w:tc>
          <w:tcPr>
            <w:tcW w:w="876" w:type="dxa"/>
            <w:tcBorders>
              <w:top w:val="single" w:color="auto" w:sz="2" w:space="0"/>
              <w:left w:val="single" w:color="auto" w:sz="2" w:space="0"/>
              <w:bottom w:val="single" w:color="auto" w:sz="2" w:space="0"/>
              <w:right w:val="single" w:color="auto" w:sz="2" w:space="0"/>
            </w:tcBorders>
            <w:vAlign w:val="center"/>
          </w:tcPr>
          <w:p w14:paraId="46D50D34">
            <w:pPr>
              <w:spacing w:line="240" w:lineRule="exact"/>
              <w:rPr>
                <w:rFonts w:ascii="宋体" w:hAnsi="宋体" w:eastAsia="宋体" w:cs="宋体"/>
                <w:sz w:val="18"/>
                <w:szCs w:val="18"/>
              </w:rPr>
            </w:pPr>
            <w:r>
              <w:rPr>
                <w:rFonts w:ascii="宋体" w:hAnsi="宋体"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14:paraId="18CCC913">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23F985DA">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3C7606F">
            <w:pPr>
              <w:spacing w:line="240" w:lineRule="exact"/>
              <w:rPr>
                <w:rFonts w:ascii="宋体" w:hAnsi="宋体" w:eastAsia="宋体" w:cs="宋体"/>
                <w:sz w:val="18"/>
                <w:szCs w:val="18"/>
              </w:rPr>
            </w:pPr>
            <w:r>
              <w:rPr>
                <w:rFonts w:ascii="宋体" w:hAnsi="宋体" w:eastAsia="宋体" w:cs="宋体"/>
                <w:sz w:val="18"/>
                <w:szCs w:val="18"/>
              </w:rPr>
              <w:t>三年</w:t>
            </w:r>
          </w:p>
        </w:tc>
        <w:tc>
          <w:tcPr>
            <w:tcW w:w="876" w:type="dxa"/>
            <w:tcBorders>
              <w:top w:val="single" w:color="auto" w:sz="2" w:space="0"/>
              <w:left w:val="single" w:color="auto" w:sz="2" w:space="0"/>
              <w:bottom w:val="single" w:color="auto" w:sz="2" w:space="0"/>
              <w:right w:val="single" w:color="auto" w:sz="2" w:space="0"/>
            </w:tcBorders>
            <w:vAlign w:val="center"/>
          </w:tcPr>
          <w:p w14:paraId="7AE0F30C">
            <w:pPr>
              <w:spacing w:line="240" w:lineRule="exac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59CAE836">
            <w:pPr>
              <w:spacing w:line="240" w:lineRule="exact"/>
              <w:rPr>
                <w:rFonts w:ascii="宋体" w:hAnsi="宋体" w:eastAsia="宋体" w:cs="宋体"/>
                <w:sz w:val="18"/>
                <w:szCs w:val="18"/>
              </w:rPr>
            </w:pPr>
            <w:r>
              <w:rPr>
                <w:rFonts w:ascii="宋体" w:hAnsi="宋体" w:eastAsia="宋体" w:cs="宋体"/>
                <w:sz w:val="18"/>
                <w:szCs w:val="18"/>
              </w:rPr>
              <w:t>否</w:t>
            </w:r>
          </w:p>
        </w:tc>
      </w:tr>
      <w:tr w14:paraId="4F1B1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72E8BEF8">
            <w:pPr>
              <w:spacing w:line="240" w:lineRule="exact"/>
              <w:rPr>
                <w:rFonts w:ascii="宋体" w:hAnsi="宋体" w:eastAsia="宋体" w:cs="宋体"/>
                <w:sz w:val="18"/>
                <w:szCs w:val="18"/>
              </w:rPr>
            </w:pPr>
            <w:r>
              <w:rPr>
                <w:rFonts w:ascii="宋体" w:hAnsi="宋体" w:eastAsia="宋体" w:cs="宋体"/>
                <w:sz w:val="18"/>
                <w:szCs w:val="18"/>
              </w:rPr>
              <w:t>阿克苏华孚色纺有限公司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31AE08A0">
            <w:pPr>
              <w:spacing w:line="240" w:lineRule="exact"/>
              <w:rPr>
                <w:rFonts w:ascii="宋体" w:hAnsi="宋体" w:eastAsia="宋体" w:cs="宋体"/>
                <w:sz w:val="18"/>
                <w:szCs w:val="18"/>
              </w:rPr>
            </w:pPr>
            <w:r>
              <w:rPr>
                <w:rFonts w:ascii="宋体" w:hAnsi="宋体" w:eastAsia="宋体" w:cs="宋体"/>
                <w:sz w:val="18"/>
                <w:szCs w:val="18"/>
              </w:rPr>
              <w:t>2019年04月25日</w:t>
            </w:r>
          </w:p>
        </w:tc>
        <w:tc>
          <w:tcPr>
            <w:tcW w:w="876" w:type="dxa"/>
            <w:tcBorders>
              <w:top w:val="single" w:color="auto" w:sz="2" w:space="0"/>
              <w:left w:val="single" w:color="auto" w:sz="2" w:space="0"/>
              <w:bottom w:val="single" w:color="auto" w:sz="2" w:space="0"/>
              <w:right w:val="single" w:color="auto" w:sz="2" w:space="0"/>
            </w:tcBorders>
            <w:vAlign w:val="center"/>
          </w:tcPr>
          <w:p w14:paraId="6CB88B94">
            <w:pPr>
              <w:spacing w:line="240" w:lineRule="exact"/>
              <w:jc w:val="right"/>
              <w:rPr>
                <w:rFonts w:ascii="宋体" w:hAnsi="宋体" w:eastAsia="宋体" w:cs="宋体"/>
                <w:sz w:val="18"/>
                <w:szCs w:val="18"/>
              </w:rPr>
            </w:pPr>
            <w:r>
              <w:rPr>
                <w:rFonts w:ascii="宋体" w:hAnsi="宋体" w:eastAsia="宋体" w:cs="宋体"/>
                <w:sz w:val="18"/>
                <w:szCs w:val="18"/>
              </w:rPr>
              <w:t>120,000</w:t>
            </w:r>
          </w:p>
        </w:tc>
        <w:tc>
          <w:tcPr>
            <w:tcW w:w="876" w:type="dxa"/>
            <w:tcBorders>
              <w:top w:val="single" w:color="auto" w:sz="2" w:space="0"/>
              <w:left w:val="single" w:color="auto" w:sz="2" w:space="0"/>
              <w:bottom w:val="single" w:color="auto" w:sz="2" w:space="0"/>
              <w:right w:val="single" w:color="auto" w:sz="2" w:space="0"/>
            </w:tcBorders>
            <w:vAlign w:val="center"/>
          </w:tcPr>
          <w:p w14:paraId="47BA7CA6">
            <w:pPr>
              <w:spacing w:line="240" w:lineRule="exact"/>
              <w:rPr>
                <w:rFonts w:ascii="宋体" w:hAnsi="宋体" w:eastAsia="宋体" w:cs="宋体"/>
                <w:sz w:val="18"/>
                <w:szCs w:val="18"/>
              </w:rPr>
            </w:pPr>
            <w:r>
              <w:rPr>
                <w:rFonts w:ascii="宋体" w:hAnsi="宋体" w:eastAsia="宋体" w:cs="宋体"/>
                <w:sz w:val="18"/>
                <w:szCs w:val="18"/>
              </w:rPr>
              <w:t>2019年07月30日</w:t>
            </w:r>
          </w:p>
        </w:tc>
        <w:tc>
          <w:tcPr>
            <w:tcW w:w="876" w:type="dxa"/>
            <w:tcBorders>
              <w:top w:val="single" w:color="auto" w:sz="2" w:space="0"/>
              <w:left w:val="single" w:color="auto" w:sz="2" w:space="0"/>
              <w:bottom w:val="single" w:color="auto" w:sz="2" w:space="0"/>
              <w:right w:val="single" w:color="auto" w:sz="2" w:space="0"/>
            </w:tcBorders>
            <w:vAlign w:val="center"/>
          </w:tcPr>
          <w:p w14:paraId="4A48EBFF">
            <w:pPr>
              <w:spacing w:line="240" w:lineRule="exact"/>
              <w:jc w:val="right"/>
              <w:rPr>
                <w:rFonts w:ascii="宋体" w:hAnsi="宋体" w:eastAsia="宋体" w:cs="宋体"/>
                <w:sz w:val="18"/>
                <w:szCs w:val="18"/>
              </w:rPr>
            </w:pPr>
            <w:r>
              <w:rPr>
                <w:rFonts w:ascii="宋体" w:hAnsi="宋体" w:eastAsia="宋体" w:cs="宋体"/>
                <w:sz w:val="18"/>
                <w:szCs w:val="18"/>
              </w:rPr>
              <w:t>9,560</w:t>
            </w:r>
          </w:p>
        </w:tc>
        <w:tc>
          <w:tcPr>
            <w:tcW w:w="876" w:type="dxa"/>
            <w:tcBorders>
              <w:top w:val="single" w:color="auto" w:sz="2" w:space="0"/>
              <w:left w:val="single" w:color="auto" w:sz="2" w:space="0"/>
              <w:bottom w:val="single" w:color="auto" w:sz="2" w:space="0"/>
              <w:right w:val="single" w:color="auto" w:sz="2" w:space="0"/>
            </w:tcBorders>
            <w:vAlign w:val="center"/>
          </w:tcPr>
          <w:p w14:paraId="016EC75C">
            <w:pPr>
              <w:spacing w:line="240" w:lineRule="exact"/>
              <w:rPr>
                <w:rFonts w:ascii="宋体" w:hAnsi="宋体" w:eastAsia="宋体" w:cs="宋体"/>
                <w:sz w:val="18"/>
                <w:szCs w:val="18"/>
              </w:rPr>
            </w:pPr>
            <w:r>
              <w:rPr>
                <w:rFonts w:ascii="宋体" w:hAnsi="宋体"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14:paraId="3933DB37">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94D836E">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670337A">
            <w:pPr>
              <w:spacing w:line="240" w:lineRule="exact"/>
              <w:rPr>
                <w:rFonts w:ascii="宋体" w:hAnsi="宋体" w:eastAsia="宋体" w:cs="宋体"/>
                <w:sz w:val="18"/>
                <w:szCs w:val="18"/>
              </w:rPr>
            </w:pPr>
            <w:r>
              <w:rPr>
                <w:rFonts w:ascii="宋体" w:hAnsi="宋体" w:eastAsia="宋体" w:cs="宋体"/>
                <w:sz w:val="18"/>
                <w:szCs w:val="18"/>
              </w:rPr>
              <w:t>三年</w:t>
            </w:r>
          </w:p>
        </w:tc>
        <w:tc>
          <w:tcPr>
            <w:tcW w:w="876" w:type="dxa"/>
            <w:tcBorders>
              <w:top w:val="single" w:color="auto" w:sz="2" w:space="0"/>
              <w:left w:val="single" w:color="auto" w:sz="2" w:space="0"/>
              <w:bottom w:val="single" w:color="auto" w:sz="2" w:space="0"/>
              <w:right w:val="single" w:color="auto" w:sz="2" w:space="0"/>
            </w:tcBorders>
            <w:vAlign w:val="center"/>
          </w:tcPr>
          <w:p w14:paraId="33FB8598">
            <w:pPr>
              <w:spacing w:line="240" w:lineRule="exac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164E24AF">
            <w:pPr>
              <w:spacing w:line="240" w:lineRule="exact"/>
              <w:rPr>
                <w:rFonts w:ascii="宋体" w:hAnsi="宋体" w:eastAsia="宋体" w:cs="宋体"/>
                <w:sz w:val="18"/>
                <w:szCs w:val="18"/>
              </w:rPr>
            </w:pPr>
            <w:r>
              <w:rPr>
                <w:rFonts w:ascii="宋体" w:hAnsi="宋体" w:eastAsia="宋体" w:cs="宋体"/>
                <w:sz w:val="18"/>
                <w:szCs w:val="18"/>
              </w:rPr>
              <w:t>否</w:t>
            </w:r>
          </w:p>
        </w:tc>
      </w:tr>
      <w:tr w14:paraId="47C72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457CCA73">
            <w:pPr>
              <w:spacing w:line="240" w:lineRule="exact"/>
              <w:rPr>
                <w:rFonts w:ascii="宋体" w:hAnsi="宋体" w:eastAsia="宋体" w:cs="宋体"/>
                <w:sz w:val="18"/>
                <w:szCs w:val="18"/>
              </w:rPr>
            </w:pPr>
            <w:r>
              <w:rPr>
                <w:rFonts w:ascii="宋体" w:hAnsi="宋体" w:eastAsia="宋体" w:cs="宋体"/>
                <w:sz w:val="18"/>
                <w:szCs w:val="18"/>
              </w:rPr>
              <w:t>阿克苏华孚色纺有限公司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77F61D4C">
            <w:pPr>
              <w:spacing w:line="240" w:lineRule="exact"/>
              <w:rPr>
                <w:rFonts w:ascii="宋体" w:hAnsi="宋体" w:eastAsia="宋体" w:cs="宋体"/>
                <w:sz w:val="18"/>
                <w:szCs w:val="18"/>
              </w:rPr>
            </w:pPr>
            <w:r>
              <w:rPr>
                <w:rFonts w:ascii="宋体" w:hAnsi="宋体" w:eastAsia="宋体" w:cs="宋体"/>
                <w:sz w:val="18"/>
                <w:szCs w:val="18"/>
              </w:rPr>
              <w:t>2021年04月28日</w:t>
            </w:r>
          </w:p>
        </w:tc>
        <w:tc>
          <w:tcPr>
            <w:tcW w:w="876" w:type="dxa"/>
            <w:tcBorders>
              <w:top w:val="single" w:color="auto" w:sz="2" w:space="0"/>
              <w:left w:val="single" w:color="auto" w:sz="2" w:space="0"/>
              <w:bottom w:val="single" w:color="auto" w:sz="2" w:space="0"/>
              <w:right w:val="single" w:color="auto" w:sz="2" w:space="0"/>
            </w:tcBorders>
            <w:vAlign w:val="center"/>
          </w:tcPr>
          <w:p w14:paraId="13E227F1">
            <w:pPr>
              <w:spacing w:line="240" w:lineRule="exact"/>
              <w:jc w:val="right"/>
              <w:rPr>
                <w:rFonts w:ascii="宋体" w:hAnsi="宋体" w:eastAsia="宋体" w:cs="宋体"/>
                <w:sz w:val="18"/>
                <w:szCs w:val="18"/>
              </w:rPr>
            </w:pPr>
            <w:r>
              <w:rPr>
                <w:rFonts w:ascii="宋体" w:hAnsi="宋体" w:eastAsia="宋体" w:cs="宋体"/>
                <w:sz w:val="18"/>
                <w:szCs w:val="18"/>
              </w:rPr>
              <w:t>307,000</w:t>
            </w:r>
          </w:p>
        </w:tc>
        <w:tc>
          <w:tcPr>
            <w:tcW w:w="876" w:type="dxa"/>
            <w:tcBorders>
              <w:top w:val="single" w:color="auto" w:sz="2" w:space="0"/>
              <w:left w:val="single" w:color="auto" w:sz="2" w:space="0"/>
              <w:bottom w:val="single" w:color="auto" w:sz="2" w:space="0"/>
              <w:right w:val="single" w:color="auto" w:sz="2" w:space="0"/>
            </w:tcBorders>
            <w:vAlign w:val="center"/>
          </w:tcPr>
          <w:p w14:paraId="5730519B">
            <w:pPr>
              <w:spacing w:line="240" w:lineRule="exact"/>
              <w:rPr>
                <w:rFonts w:ascii="宋体" w:hAnsi="宋体" w:eastAsia="宋体" w:cs="宋体"/>
                <w:sz w:val="18"/>
                <w:szCs w:val="18"/>
              </w:rPr>
            </w:pPr>
            <w:r>
              <w:rPr>
                <w:rFonts w:ascii="宋体" w:hAnsi="宋体" w:eastAsia="宋体" w:cs="宋体"/>
                <w:sz w:val="18"/>
                <w:szCs w:val="18"/>
              </w:rPr>
              <w:t>2021年08月31日</w:t>
            </w:r>
          </w:p>
        </w:tc>
        <w:tc>
          <w:tcPr>
            <w:tcW w:w="876" w:type="dxa"/>
            <w:tcBorders>
              <w:top w:val="single" w:color="auto" w:sz="2" w:space="0"/>
              <w:left w:val="single" w:color="auto" w:sz="2" w:space="0"/>
              <w:bottom w:val="single" w:color="auto" w:sz="2" w:space="0"/>
              <w:right w:val="single" w:color="auto" w:sz="2" w:space="0"/>
            </w:tcBorders>
            <w:vAlign w:val="center"/>
          </w:tcPr>
          <w:p w14:paraId="7DB66A2D">
            <w:pPr>
              <w:spacing w:line="240" w:lineRule="exact"/>
              <w:jc w:val="right"/>
              <w:rPr>
                <w:rFonts w:ascii="宋体" w:hAnsi="宋体" w:eastAsia="宋体" w:cs="宋体"/>
                <w:sz w:val="18"/>
                <w:szCs w:val="18"/>
              </w:rPr>
            </w:pPr>
            <w:r>
              <w:rPr>
                <w:rFonts w:ascii="宋体" w:hAnsi="宋体" w:eastAsia="宋体" w:cs="宋体"/>
                <w:sz w:val="18"/>
                <w:szCs w:val="18"/>
              </w:rPr>
              <w:t>13,600</w:t>
            </w:r>
          </w:p>
        </w:tc>
        <w:tc>
          <w:tcPr>
            <w:tcW w:w="876" w:type="dxa"/>
            <w:tcBorders>
              <w:top w:val="single" w:color="auto" w:sz="2" w:space="0"/>
              <w:left w:val="single" w:color="auto" w:sz="2" w:space="0"/>
              <w:bottom w:val="single" w:color="auto" w:sz="2" w:space="0"/>
              <w:right w:val="single" w:color="auto" w:sz="2" w:space="0"/>
            </w:tcBorders>
            <w:vAlign w:val="center"/>
          </w:tcPr>
          <w:p w14:paraId="67AE767E">
            <w:pPr>
              <w:spacing w:line="240" w:lineRule="exact"/>
              <w:rPr>
                <w:rFonts w:ascii="宋体" w:hAnsi="宋体" w:eastAsia="宋体" w:cs="宋体"/>
                <w:sz w:val="18"/>
                <w:szCs w:val="18"/>
              </w:rPr>
            </w:pPr>
            <w:r>
              <w:rPr>
                <w:rFonts w:ascii="宋体" w:hAnsi="宋体"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14:paraId="68A82618">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3CBDDE8">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5DFCD024">
            <w:pPr>
              <w:spacing w:line="240" w:lineRule="exact"/>
              <w:rPr>
                <w:rFonts w:ascii="宋体" w:hAnsi="宋体" w:eastAsia="宋体" w:cs="宋体"/>
                <w:sz w:val="18"/>
                <w:szCs w:val="18"/>
              </w:rPr>
            </w:pPr>
            <w:r>
              <w:rPr>
                <w:rFonts w:ascii="宋体" w:hAnsi="宋体" w:eastAsia="宋体" w:cs="宋体"/>
                <w:sz w:val="18"/>
                <w:szCs w:val="18"/>
              </w:rPr>
              <w:t>三年</w:t>
            </w:r>
          </w:p>
        </w:tc>
        <w:tc>
          <w:tcPr>
            <w:tcW w:w="876" w:type="dxa"/>
            <w:tcBorders>
              <w:top w:val="single" w:color="auto" w:sz="2" w:space="0"/>
              <w:left w:val="single" w:color="auto" w:sz="2" w:space="0"/>
              <w:bottom w:val="single" w:color="auto" w:sz="2" w:space="0"/>
              <w:right w:val="single" w:color="auto" w:sz="2" w:space="0"/>
            </w:tcBorders>
            <w:vAlign w:val="center"/>
          </w:tcPr>
          <w:p w14:paraId="209162E9">
            <w:pPr>
              <w:spacing w:line="240" w:lineRule="exac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129D2325">
            <w:pPr>
              <w:spacing w:line="240" w:lineRule="exact"/>
              <w:rPr>
                <w:rFonts w:ascii="宋体" w:hAnsi="宋体" w:eastAsia="宋体" w:cs="宋体"/>
                <w:sz w:val="18"/>
                <w:szCs w:val="18"/>
              </w:rPr>
            </w:pPr>
            <w:r>
              <w:rPr>
                <w:rFonts w:ascii="宋体" w:hAnsi="宋体" w:eastAsia="宋体" w:cs="宋体"/>
                <w:sz w:val="18"/>
                <w:szCs w:val="18"/>
              </w:rPr>
              <w:t>否</w:t>
            </w:r>
          </w:p>
        </w:tc>
      </w:tr>
      <w:tr w14:paraId="73AA5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5393E810">
            <w:pPr>
              <w:spacing w:line="240" w:lineRule="exact"/>
              <w:rPr>
                <w:rFonts w:ascii="宋体" w:hAnsi="宋体" w:eastAsia="宋体" w:cs="宋体"/>
                <w:sz w:val="18"/>
                <w:szCs w:val="18"/>
              </w:rPr>
            </w:pPr>
            <w:r>
              <w:rPr>
                <w:rFonts w:ascii="宋体" w:hAnsi="宋体" w:eastAsia="宋体" w:cs="宋体"/>
                <w:sz w:val="18"/>
                <w:szCs w:val="18"/>
              </w:rPr>
              <w:t>新疆六孚纺织工业园有限公司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105044C1">
            <w:pPr>
              <w:spacing w:line="240" w:lineRule="exact"/>
              <w:rPr>
                <w:rFonts w:ascii="宋体" w:hAnsi="宋体" w:eastAsia="宋体" w:cs="宋体"/>
                <w:sz w:val="18"/>
                <w:szCs w:val="18"/>
              </w:rPr>
            </w:pPr>
            <w:r>
              <w:rPr>
                <w:rFonts w:ascii="宋体" w:hAnsi="宋体" w:eastAsia="宋体" w:cs="宋体"/>
                <w:sz w:val="18"/>
                <w:szCs w:val="18"/>
              </w:rPr>
              <w:t>2024年04月27日</w:t>
            </w:r>
          </w:p>
        </w:tc>
        <w:tc>
          <w:tcPr>
            <w:tcW w:w="876" w:type="dxa"/>
            <w:tcBorders>
              <w:top w:val="single" w:color="auto" w:sz="2" w:space="0"/>
              <w:left w:val="single" w:color="auto" w:sz="2" w:space="0"/>
              <w:bottom w:val="single" w:color="auto" w:sz="2" w:space="0"/>
              <w:right w:val="single" w:color="auto" w:sz="2" w:space="0"/>
            </w:tcBorders>
            <w:vAlign w:val="center"/>
          </w:tcPr>
          <w:p w14:paraId="1B3FEE27">
            <w:pPr>
              <w:spacing w:line="240" w:lineRule="exact"/>
              <w:jc w:val="right"/>
              <w:rPr>
                <w:rFonts w:ascii="宋体" w:hAnsi="宋体" w:eastAsia="宋体" w:cs="宋体"/>
                <w:sz w:val="18"/>
                <w:szCs w:val="18"/>
              </w:rPr>
            </w:pPr>
            <w:r>
              <w:rPr>
                <w:rFonts w:ascii="宋体" w:hAnsi="宋体" w:eastAsia="宋体" w:cs="宋体"/>
                <w:sz w:val="18"/>
                <w:szCs w:val="18"/>
              </w:rPr>
              <w:t>40,000</w:t>
            </w:r>
          </w:p>
        </w:tc>
        <w:tc>
          <w:tcPr>
            <w:tcW w:w="876" w:type="dxa"/>
            <w:tcBorders>
              <w:top w:val="single" w:color="auto" w:sz="2" w:space="0"/>
              <w:left w:val="single" w:color="auto" w:sz="2" w:space="0"/>
              <w:bottom w:val="single" w:color="auto" w:sz="2" w:space="0"/>
              <w:right w:val="single" w:color="auto" w:sz="2" w:space="0"/>
            </w:tcBorders>
            <w:vAlign w:val="center"/>
          </w:tcPr>
          <w:p w14:paraId="4DFD786E">
            <w:pPr>
              <w:spacing w:line="240" w:lineRule="exact"/>
              <w:rPr>
                <w:rFonts w:ascii="宋体" w:hAnsi="宋体" w:eastAsia="宋体" w:cs="宋体"/>
                <w:sz w:val="18"/>
                <w:szCs w:val="18"/>
              </w:rPr>
            </w:pPr>
            <w:r>
              <w:rPr>
                <w:rFonts w:ascii="宋体" w:hAnsi="宋体" w:eastAsia="宋体" w:cs="宋体"/>
                <w:sz w:val="18"/>
                <w:szCs w:val="18"/>
              </w:rPr>
              <w:t>2025年02月28日</w:t>
            </w:r>
          </w:p>
        </w:tc>
        <w:tc>
          <w:tcPr>
            <w:tcW w:w="876" w:type="dxa"/>
            <w:tcBorders>
              <w:top w:val="single" w:color="auto" w:sz="2" w:space="0"/>
              <w:left w:val="single" w:color="auto" w:sz="2" w:space="0"/>
              <w:bottom w:val="single" w:color="auto" w:sz="2" w:space="0"/>
              <w:right w:val="single" w:color="auto" w:sz="2" w:space="0"/>
            </w:tcBorders>
            <w:vAlign w:val="center"/>
          </w:tcPr>
          <w:p w14:paraId="62540231">
            <w:pPr>
              <w:spacing w:line="240" w:lineRule="exact"/>
              <w:jc w:val="right"/>
              <w:rPr>
                <w:rFonts w:ascii="宋体" w:hAnsi="宋体" w:eastAsia="宋体" w:cs="宋体"/>
                <w:sz w:val="18"/>
                <w:szCs w:val="18"/>
              </w:rPr>
            </w:pPr>
            <w:r>
              <w:rPr>
                <w:rFonts w:ascii="宋体" w:hAnsi="宋体" w:eastAsia="宋体" w:cs="宋体"/>
                <w:sz w:val="18"/>
                <w:szCs w:val="18"/>
              </w:rPr>
              <w:t>27,000</w:t>
            </w:r>
          </w:p>
        </w:tc>
        <w:tc>
          <w:tcPr>
            <w:tcW w:w="876" w:type="dxa"/>
            <w:tcBorders>
              <w:top w:val="single" w:color="auto" w:sz="2" w:space="0"/>
              <w:left w:val="single" w:color="auto" w:sz="2" w:space="0"/>
              <w:bottom w:val="single" w:color="auto" w:sz="2" w:space="0"/>
              <w:right w:val="single" w:color="auto" w:sz="2" w:space="0"/>
            </w:tcBorders>
            <w:vAlign w:val="center"/>
          </w:tcPr>
          <w:p w14:paraId="68F57B5E">
            <w:pPr>
              <w:spacing w:line="240" w:lineRule="exact"/>
              <w:rPr>
                <w:rFonts w:ascii="宋体" w:hAnsi="宋体" w:eastAsia="宋体" w:cs="宋体"/>
                <w:sz w:val="18"/>
                <w:szCs w:val="18"/>
              </w:rPr>
            </w:pPr>
            <w:r>
              <w:rPr>
                <w:rFonts w:ascii="宋体" w:hAnsi="宋体"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14:paraId="4B57AEE3">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E39DD1F">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22F5BDC">
            <w:pPr>
              <w:spacing w:line="240" w:lineRule="exact"/>
              <w:rPr>
                <w:rFonts w:ascii="宋体" w:hAnsi="宋体" w:eastAsia="宋体" w:cs="宋体"/>
                <w:sz w:val="18"/>
                <w:szCs w:val="18"/>
              </w:rPr>
            </w:pPr>
            <w:r>
              <w:rPr>
                <w:rFonts w:ascii="宋体" w:hAnsi="宋体" w:eastAsia="宋体" w:cs="宋体"/>
                <w:sz w:val="18"/>
                <w:szCs w:val="18"/>
              </w:rPr>
              <w:t>三年</w:t>
            </w:r>
          </w:p>
        </w:tc>
        <w:tc>
          <w:tcPr>
            <w:tcW w:w="876" w:type="dxa"/>
            <w:tcBorders>
              <w:top w:val="single" w:color="auto" w:sz="2" w:space="0"/>
              <w:left w:val="single" w:color="auto" w:sz="2" w:space="0"/>
              <w:bottom w:val="single" w:color="auto" w:sz="2" w:space="0"/>
              <w:right w:val="single" w:color="auto" w:sz="2" w:space="0"/>
            </w:tcBorders>
            <w:vAlign w:val="center"/>
          </w:tcPr>
          <w:p w14:paraId="5BFBAD29">
            <w:pPr>
              <w:spacing w:line="240" w:lineRule="exac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1A13BF31">
            <w:pPr>
              <w:spacing w:line="240" w:lineRule="exact"/>
              <w:rPr>
                <w:rFonts w:ascii="宋体" w:hAnsi="宋体" w:eastAsia="宋体" w:cs="宋体"/>
                <w:sz w:val="18"/>
                <w:szCs w:val="18"/>
              </w:rPr>
            </w:pPr>
            <w:r>
              <w:rPr>
                <w:rFonts w:ascii="宋体" w:hAnsi="宋体" w:eastAsia="宋体" w:cs="宋体"/>
                <w:sz w:val="18"/>
                <w:szCs w:val="18"/>
              </w:rPr>
              <w:t>否</w:t>
            </w:r>
          </w:p>
        </w:tc>
      </w:tr>
      <w:tr w14:paraId="7C3F3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110EFD44">
            <w:pPr>
              <w:spacing w:line="240" w:lineRule="exact"/>
              <w:rPr>
                <w:rFonts w:ascii="宋体" w:hAnsi="宋体" w:eastAsia="宋体" w:cs="宋体"/>
                <w:sz w:val="18"/>
                <w:szCs w:val="18"/>
              </w:rPr>
            </w:pPr>
            <w:r>
              <w:rPr>
                <w:rFonts w:ascii="宋体" w:hAnsi="宋体" w:eastAsia="宋体" w:cs="宋体"/>
                <w:sz w:val="18"/>
                <w:szCs w:val="18"/>
              </w:rPr>
              <w:t>浙江华孚色纺有限公司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56B26F5D">
            <w:pPr>
              <w:spacing w:line="240" w:lineRule="exact"/>
              <w:rPr>
                <w:rFonts w:ascii="宋体" w:hAnsi="宋体" w:eastAsia="宋体" w:cs="宋体"/>
                <w:sz w:val="18"/>
                <w:szCs w:val="18"/>
              </w:rPr>
            </w:pPr>
            <w:r>
              <w:rPr>
                <w:rFonts w:ascii="宋体" w:hAnsi="宋体" w:eastAsia="宋体" w:cs="宋体"/>
                <w:sz w:val="18"/>
                <w:szCs w:val="18"/>
              </w:rPr>
              <w:t>2025年04月26日</w:t>
            </w:r>
          </w:p>
        </w:tc>
        <w:tc>
          <w:tcPr>
            <w:tcW w:w="876" w:type="dxa"/>
            <w:tcBorders>
              <w:top w:val="single" w:color="auto" w:sz="2" w:space="0"/>
              <w:left w:val="single" w:color="auto" w:sz="2" w:space="0"/>
              <w:bottom w:val="single" w:color="auto" w:sz="2" w:space="0"/>
              <w:right w:val="single" w:color="auto" w:sz="2" w:space="0"/>
            </w:tcBorders>
            <w:vAlign w:val="center"/>
          </w:tcPr>
          <w:p w14:paraId="212033FE">
            <w:pPr>
              <w:spacing w:line="240" w:lineRule="exact"/>
              <w:jc w:val="right"/>
              <w:rPr>
                <w:rFonts w:ascii="宋体" w:hAnsi="宋体" w:eastAsia="宋体" w:cs="宋体"/>
                <w:sz w:val="18"/>
                <w:szCs w:val="18"/>
              </w:rPr>
            </w:pPr>
            <w:r>
              <w:rPr>
                <w:rFonts w:ascii="宋体" w:hAnsi="宋体" w:eastAsia="宋体" w:cs="宋体"/>
                <w:sz w:val="18"/>
                <w:szCs w:val="18"/>
              </w:rPr>
              <w:t>70,000</w:t>
            </w:r>
          </w:p>
        </w:tc>
        <w:tc>
          <w:tcPr>
            <w:tcW w:w="876" w:type="dxa"/>
            <w:tcBorders>
              <w:top w:val="single" w:color="auto" w:sz="2" w:space="0"/>
              <w:left w:val="single" w:color="auto" w:sz="2" w:space="0"/>
              <w:bottom w:val="single" w:color="auto" w:sz="2" w:space="0"/>
              <w:right w:val="single" w:color="auto" w:sz="2" w:space="0"/>
            </w:tcBorders>
            <w:vAlign w:val="center"/>
          </w:tcPr>
          <w:p w14:paraId="5675CC79">
            <w:pPr>
              <w:spacing w:line="240" w:lineRule="exact"/>
              <w:rPr>
                <w:rFonts w:ascii="宋体" w:hAnsi="宋体" w:eastAsia="宋体" w:cs="宋体"/>
                <w:sz w:val="18"/>
                <w:szCs w:val="18"/>
              </w:rPr>
            </w:pPr>
            <w:r>
              <w:rPr>
                <w:rFonts w:ascii="宋体" w:hAnsi="宋体" w:eastAsia="宋体" w:cs="宋体"/>
                <w:sz w:val="18"/>
                <w:szCs w:val="18"/>
              </w:rPr>
              <w:t>2025年06月13日</w:t>
            </w:r>
          </w:p>
        </w:tc>
        <w:tc>
          <w:tcPr>
            <w:tcW w:w="876" w:type="dxa"/>
            <w:tcBorders>
              <w:top w:val="single" w:color="auto" w:sz="2" w:space="0"/>
              <w:left w:val="single" w:color="auto" w:sz="2" w:space="0"/>
              <w:bottom w:val="single" w:color="auto" w:sz="2" w:space="0"/>
              <w:right w:val="single" w:color="auto" w:sz="2" w:space="0"/>
            </w:tcBorders>
            <w:vAlign w:val="center"/>
          </w:tcPr>
          <w:p w14:paraId="748D0D8F">
            <w:pPr>
              <w:spacing w:line="240" w:lineRule="exact"/>
              <w:jc w:val="right"/>
              <w:rPr>
                <w:rFonts w:ascii="宋体" w:hAnsi="宋体" w:eastAsia="宋体" w:cs="宋体"/>
                <w:sz w:val="18"/>
                <w:szCs w:val="18"/>
              </w:rPr>
            </w:pPr>
            <w:r>
              <w:rPr>
                <w:rFonts w:ascii="宋体" w:hAnsi="宋体" w:eastAsia="宋体" w:cs="宋体"/>
                <w:sz w:val="18"/>
                <w:szCs w:val="18"/>
              </w:rPr>
              <w:t>11,000</w:t>
            </w:r>
          </w:p>
        </w:tc>
        <w:tc>
          <w:tcPr>
            <w:tcW w:w="876" w:type="dxa"/>
            <w:tcBorders>
              <w:top w:val="single" w:color="auto" w:sz="2" w:space="0"/>
              <w:left w:val="single" w:color="auto" w:sz="2" w:space="0"/>
              <w:bottom w:val="single" w:color="auto" w:sz="2" w:space="0"/>
              <w:right w:val="single" w:color="auto" w:sz="2" w:space="0"/>
            </w:tcBorders>
            <w:vAlign w:val="center"/>
          </w:tcPr>
          <w:p w14:paraId="155743EB">
            <w:pPr>
              <w:spacing w:line="240" w:lineRule="exact"/>
              <w:rPr>
                <w:rFonts w:ascii="宋体" w:hAnsi="宋体" w:eastAsia="宋体" w:cs="宋体"/>
                <w:sz w:val="18"/>
                <w:szCs w:val="18"/>
              </w:rPr>
            </w:pPr>
            <w:r>
              <w:rPr>
                <w:rFonts w:ascii="宋体" w:hAnsi="宋体"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14:paraId="105D1EBC">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0283D60">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468F874">
            <w:pPr>
              <w:spacing w:line="240" w:lineRule="exact"/>
              <w:rPr>
                <w:rFonts w:ascii="宋体" w:hAnsi="宋体" w:eastAsia="宋体" w:cs="宋体"/>
                <w:sz w:val="18"/>
                <w:szCs w:val="18"/>
              </w:rPr>
            </w:pPr>
            <w:r>
              <w:rPr>
                <w:rFonts w:ascii="宋体" w:hAnsi="宋体" w:eastAsia="宋体" w:cs="宋体"/>
                <w:sz w:val="18"/>
                <w:szCs w:val="18"/>
              </w:rPr>
              <w:t>三年</w:t>
            </w:r>
          </w:p>
        </w:tc>
        <w:tc>
          <w:tcPr>
            <w:tcW w:w="876" w:type="dxa"/>
            <w:tcBorders>
              <w:top w:val="single" w:color="auto" w:sz="2" w:space="0"/>
              <w:left w:val="single" w:color="auto" w:sz="2" w:space="0"/>
              <w:bottom w:val="single" w:color="auto" w:sz="2" w:space="0"/>
              <w:right w:val="single" w:color="auto" w:sz="2" w:space="0"/>
            </w:tcBorders>
            <w:vAlign w:val="center"/>
          </w:tcPr>
          <w:p w14:paraId="68983D73">
            <w:pPr>
              <w:spacing w:line="240" w:lineRule="exac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2DBC66F1">
            <w:pPr>
              <w:spacing w:line="240" w:lineRule="exact"/>
              <w:rPr>
                <w:rFonts w:ascii="宋体" w:hAnsi="宋体" w:eastAsia="宋体" w:cs="宋体"/>
                <w:sz w:val="18"/>
                <w:szCs w:val="18"/>
              </w:rPr>
            </w:pPr>
            <w:r>
              <w:rPr>
                <w:rFonts w:ascii="宋体" w:hAnsi="宋体" w:eastAsia="宋体" w:cs="宋体"/>
                <w:sz w:val="18"/>
                <w:szCs w:val="18"/>
              </w:rPr>
              <w:t>否</w:t>
            </w:r>
          </w:p>
        </w:tc>
      </w:tr>
      <w:tr w14:paraId="30485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7C7C12C6">
            <w:pPr>
              <w:spacing w:line="240" w:lineRule="exact"/>
              <w:rPr>
                <w:rFonts w:ascii="宋体" w:hAnsi="宋体" w:eastAsia="宋体" w:cs="宋体"/>
                <w:sz w:val="18"/>
                <w:szCs w:val="18"/>
              </w:rPr>
            </w:pPr>
            <w:r>
              <w:rPr>
                <w:rFonts w:ascii="宋体" w:hAnsi="宋体" w:eastAsia="宋体" w:cs="宋体"/>
                <w:sz w:val="18"/>
                <w:szCs w:val="18"/>
              </w:rPr>
              <w:t>浙江华孚色纺有限公司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2F8DE62A">
            <w:pPr>
              <w:spacing w:line="240" w:lineRule="exact"/>
              <w:rPr>
                <w:rFonts w:ascii="宋体" w:hAnsi="宋体" w:eastAsia="宋体" w:cs="宋体"/>
                <w:sz w:val="18"/>
                <w:szCs w:val="18"/>
              </w:rPr>
            </w:pPr>
            <w:r>
              <w:rPr>
                <w:rFonts w:ascii="宋体" w:hAnsi="宋体" w:eastAsia="宋体" w:cs="宋体"/>
                <w:sz w:val="18"/>
                <w:szCs w:val="18"/>
              </w:rPr>
              <w:t>2024年04月27日</w:t>
            </w:r>
          </w:p>
        </w:tc>
        <w:tc>
          <w:tcPr>
            <w:tcW w:w="876" w:type="dxa"/>
            <w:tcBorders>
              <w:top w:val="single" w:color="auto" w:sz="2" w:space="0"/>
              <w:left w:val="single" w:color="auto" w:sz="2" w:space="0"/>
              <w:bottom w:val="single" w:color="auto" w:sz="2" w:space="0"/>
              <w:right w:val="single" w:color="auto" w:sz="2" w:space="0"/>
            </w:tcBorders>
            <w:vAlign w:val="center"/>
          </w:tcPr>
          <w:p w14:paraId="0768F9D5">
            <w:pPr>
              <w:spacing w:line="240" w:lineRule="exact"/>
              <w:jc w:val="right"/>
              <w:rPr>
                <w:rFonts w:ascii="宋体" w:hAnsi="宋体" w:eastAsia="宋体" w:cs="宋体"/>
                <w:sz w:val="18"/>
                <w:szCs w:val="18"/>
              </w:rPr>
            </w:pPr>
            <w:r>
              <w:rPr>
                <w:rFonts w:ascii="宋体" w:hAnsi="宋体" w:eastAsia="宋体" w:cs="宋体"/>
                <w:sz w:val="18"/>
                <w:szCs w:val="18"/>
              </w:rPr>
              <w:t>80,000</w:t>
            </w:r>
          </w:p>
        </w:tc>
        <w:tc>
          <w:tcPr>
            <w:tcW w:w="876" w:type="dxa"/>
            <w:tcBorders>
              <w:top w:val="single" w:color="auto" w:sz="2" w:space="0"/>
              <w:left w:val="single" w:color="auto" w:sz="2" w:space="0"/>
              <w:bottom w:val="single" w:color="auto" w:sz="2" w:space="0"/>
              <w:right w:val="single" w:color="auto" w:sz="2" w:space="0"/>
            </w:tcBorders>
            <w:vAlign w:val="center"/>
          </w:tcPr>
          <w:p w14:paraId="533EB3F6">
            <w:pPr>
              <w:spacing w:line="240" w:lineRule="exact"/>
              <w:rPr>
                <w:rFonts w:ascii="宋体" w:hAnsi="宋体" w:eastAsia="宋体" w:cs="宋体"/>
                <w:sz w:val="18"/>
                <w:szCs w:val="18"/>
              </w:rPr>
            </w:pPr>
            <w:r>
              <w:rPr>
                <w:rFonts w:ascii="宋体" w:hAnsi="宋体" w:eastAsia="宋体" w:cs="宋体"/>
                <w:sz w:val="18"/>
                <w:szCs w:val="18"/>
              </w:rPr>
              <w:t>2025年01月03日</w:t>
            </w:r>
          </w:p>
        </w:tc>
        <w:tc>
          <w:tcPr>
            <w:tcW w:w="876" w:type="dxa"/>
            <w:tcBorders>
              <w:top w:val="single" w:color="auto" w:sz="2" w:space="0"/>
              <w:left w:val="single" w:color="auto" w:sz="2" w:space="0"/>
              <w:bottom w:val="single" w:color="auto" w:sz="2" w:space="0"/>
              <w:right w:val="single" w:color="auto" w:sz="2" w:space="0"/>
            </w:tcBorders>
            <w:vAlign w:val="center"/>
          </w:tcPr>
          <w:p w14:paraId="7614C92E">
            <w:pPr>
              <w:spacing w:line="240" w:lineRule="exact"/>
              <w:jc w:val="right"/>
              <w:rPr>
                <w:rFonts w:ascii="宋体" w:hAnsi="宋体" w:eastAsia="宋体" w:cs="宋体"/>
                <w:sz w:val="18"/>
                <w:szCs w:val="18"/>
              </w:rPr>
            </w:pPr>
            <w:r>
              <w:rPr>
                <w:rFonts w:ascii="宋体" w:hAnsi="宋体" w:eastAsia="宋体" w:cs="宋体"/>
                <w:sz w:val="18"/>
                <w:szCs w:val="18"/>
              </w:rPr>
              <w:t>27,990</w:t>
            </w:r>
          </w:p>
        </w:tc>
        <w:tc>
          <w:tcPr>
            <w:tcW w:w="876" w:type="dxa"/>
            <w:tcBorders>
              <w:top w:val="single" w:color="auto" w:sz="2" w:space="0"/>
              <w:left w:val="single" w:color="auto" w:sz="2" w:space="0"/>
              <w:bottom w:val="single" w:color="auto" w:sz="2" w:space="0"/>
              <w:right w:val="single" w:color="auto" w:sz="2" w:space="0"/>
            </w:tcBorders>
            <w:vAlign w:val="center"/>
          </w:tcPr>
          <w:p w14:paraId="3E0A3A29">
            <w:pPr>
              <w:spacing w:line="240" w:lineRule="exact"/>
              <w:rPr>
                <w:rFonts w:ascii="宋体" w:hAnsi="宋体" w:eastAsia="宋体" w:cs="宋体"/>
                <w:sz w:val="18"/>
                <w:szCs w:val="18"/>
              </w:rPr>
            </w:pPr>
            <w:r>
              <w:rPr>
                <w:rFonts w:ascii="宋体" w:hAnsi="宋体"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14:paraId="40006D32">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F425EBC">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4887AF4E">
            <w:pPr>
              <w:spacing w:line="240" w:lineRule="exact"/>
              <w:rPr>
                <w:rFonts w:ascii="宋体" w:hAnsi="宋体" w:eastAsia="宋体" w:cs="宋体"/>
                <w:sz w:val="18"/>
                <w:szCs w:val="18"/>
              </w:rPr>
            </w:pPr>
            <w:r>
              <w:rPr>
                <w:rFonts w:ascii="宋体" w:hAnsi="宋体" w:eastAsia="宋体" w:cs="宋体"/>
                <w:sz w:val="18"/>
                <w:szCs w:val="18"/>
              </w:rPr>
              <w:t>三年</w:t>
            </w:r>
          </w:p>
        </w:tc>
        <w:tc>
          <w:tcPr>
            <w:tcW w:w="876" w:type="dxa"/>
            <w:tcBorders>
              <w:top w:val="single" w:color="auto" w:sz="2" w:space="0"/>
              <w:left w:val="single" w:color="auto" w:sz="2" w:space="0"/>
              <w:bottom w:val="single" w:color="auto" w:sz="2" w:space="0"/>
              <w:right w:val="single" w:color="auto" w:sz="2" w:space="0"/>
            </w:tcBorders>
            <w:vAlign w:val="center"/>
          </w:tcPr>
          <w:p w14:paraId="68F8AEE3">
            <w:pPr>
              <w:spacing w:line="240" w:lineRule="exac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0760380B">
            <w:pPr>
              <w:spacing w:line="240" w:lineRule="exact"/>
              <w:rPr>
                <w:rFonts w:ascii="宋体" w:hAnsi="宋体" w:eastAsia="宋体" w:cs="宋体"/>
                <w:sz w:val="18"/>
                <w:szCs w:val="18"/>
              </w:rPr>
            </w:pPr>
            <w:r>
              <w:rPr>
                <w:rFonts w:ascii="宋体" w:hAnsi="宋体" w:eastAsia="宋体" w:cs="宋体"/>
                <w:sz w:val="18"/>
                <w:szCs w:val="18"/>
              </w:rPr>
              <w:t>否</w:t>
            </w:r>
          </w:p>
        </w:tc>
      </w:tr>
      <w:tr w14:paraId="7501A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4B0029EA">
            <w:pPr>
              <w:spacing w:line="240" w:lineRule="exact"/>
              <w:rPr>
                <w:rFonts w:ascii="宋体" w:hAnsi="宋体" w:eastAsia="宋体" w:cs="宋体"/>
                <w:sz w:val="18"/>
                <w:szCs w:val="18"/>
              </w:rPr>
            </w:pPr>
            <w:r>
              <w:rPr>
                <w:rFonts w:ascii="宋体" w:hAnsi="宋体" w:eastAsia="宋体" w:cs="宋体"/>
                <w:sz w:val="18"/>
                <w:szCs w:val="18"/>
              </w:rPr>
              <w:t>新疆华孚棉业集团有限公司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0160A560">
            <w:pPr>
              <w:spacing w:line="240" w:lineRule="exact"/>
              <w:rPr>
                <w:rFonts w:ascii="宋体" w:hAnsi="宋体" w:eastAsia="宋体" w:cs="宋体"/>
                <w:sz w:val="18"/>
                <w:szCs w:val="18"/>
              </w:rPr>
            </w:pPr>
            <w:r>
              <w:rPr>
                <w:rFonts w:ascii="宋体" w:hAnsi="宋体" w:eastAsia="宋体" w:cs="宋体"/>
                <w:sz w:val="18"/>
                <w:szCs w:val="18"/>
              </w:rPr>
              <w:t>2025年04月26日</w:t>
            </w:r>
          </w:p>
        </w:tc>
        <w:tc>
          <w:tcPr>
            <w:tcW w:w="876" w:type="dxa"/>
            <w:tcBorders>
              <w:top w:val="single" w:color="auto" w:sz="2" w:space="0"/>
              <w:left w:val="single" w:color="auto" w:sz="2" w:space="0"/>
              <w:bottom w:val="single" w:color="auto" w:sz="2" w:space="0"/>
              <w:right w:val="single" w:color="auto" w:sz="2" w:space="0"/>
            </w:tcBorders>
            <w:vAlign w:val="center"/>
          </w:tcPr>
          <w:p w14:paraId="00800EEE">
            <w:pPr>
              <w:spacing w:line="240" w:lineRule="exact"/>
              <w:jc w:val="right"/>
              <w:rPr>
                <w:rFonts w:ascii="宋体" w:hAnsi="宋体" w:eastAsia="宋体" w:cs="宋体"/>
                <w:sz w:val="18"/>
                <w:szCs w:val="18"/>
              </w:rPr>
            </w:pPr>
            <w:r>
              <w:rPr>
                <w:rFonts w:ascii="宋体" w:hAnsi="宋体" w:eastAsia="宋体" w:cs="宋体"/>
                <w:sz w:val="18"/>
                <w:szCs w:val="18"/>
              </w:rPr>
              <w:t>120,000</w:t>
            </w:r>
          </w:p>
        </w:tc>
        <w:tc>
          <w:tcPr>
            <w:tcW w:w="876" w:type="dxa"/>
            <w:tcBorders>
              <w:top w:val="single" w:color="auto" w:sz="2" w:space="0"/>
              <w:left w:val="single" w:color="auto" w:sz="2" w:space="0"/>
              <w:bottom w:val="single" w:color="auto" w:sz="2" w:space="0"/>
              <w:right w:val="single" w:color="auto" w:sz="2" w:space="0"/>
            </w:tcBorders>
            <w:vAlign w:val="center"/>
          </w:tcPr>
          <w:p w14:paraId="5A0F2A97">
            <w:pPr>
              <w:spacing w:line="240" w:lineRule="exact"/>
              <w:rPr>
                <w:rFonts w:ascii="宋体" w:hAnsi="宋体" w:eastAsia="宋体" w:cs="宋体"/>
                <w:sz w:val="18"/>
                <w:szCs w:val="18"/>
              </w:rPr>
            </w:pPr>
            <w:r>
              <w:rPr>
                <w:rFonts w:ascii="宋体" w:hAnsi="宋体" w:eastAsia="宋体" w:cs="宋体"/>
                <w:sz w:val="18"/>
                <w:szCs w:val="18"/>
              </w:rPr>
              <w:t>2025年09月17日</w:t>
            </w:r>
          </w:p>
        </w:tc>
        <w:tc>
          <w:tcPr>
            <w:tcW w:w="876" w:type="dxa"/>
            <w:tcBorders>
              <w:top w:val="single" w:color="auto" w:sz="2" w:space="0"/>
              <w:left w:val="single" w:color="auto" w:sz="2" w:space="0"/>
              <w:bottom w:val="single" w:color="auto" w:sz="2" w:space="0"/>
              <w:right w:val="single" w:color="auto" w:sz="2" w:space="0"/>
            </w:tcBorders>
            <w:vAlign w:val="center"/>
          </w:tcPr>
          <w:p w14:paraId="34C79C45">
            <w:pPr>
              <w:spacing w:line="240" w:lineRule="exact"/>
              <w:jc w:val="right"/>
              <w:rPr>
                <w:rFonts w:ascii="宋体" w:hAnsi="宋体" w:eastAsia="宋体" w:cs="宋体"/>
                <w:sz w:val="18"/>
                <w:szCs w:val="18"/>
              </w:rPr>
            </w:pPr>
            <w:r>
              <w:rPr>
                <w:rFonts w:ascii="宋体" w:hAnsi="宋体" w:eastAsia="宋体" w:cs="宋体"/>
                <w:sz w:val="18"/>
                <w:szCs w:val="18"/>
              </w:rPr>
              <w:t>11,200</w:t>
            </w:r>
          </w:p>
        </w:tc>
        <w:tc>
          <w:tcPr>
            <w:tcW w:w="876" w:type="dxa"/>
            <w:tcBorders>
              <w:top w:val="single" w:color="auto" w:sz="2" w:space="0"/>
              <w:left w:val="single" w:color="auto" w:sz="2" w:space="0"/>
              <w:bottom w:val="single" w:color="auto" w:sz="2" w:space="0"/>
              <w:right w:val="single" w:color="auto" w:sz="2" w:space="0"/>
            </w:tcBorders>
            <w:vAlign w:val="center"/>
          </w:tcPr>
          <w:p w14:paraId="731C98E3">
            <w:pPr>
              <w:spacing w:line="240" w:lineRule="exact"/>
              <w:rPr>
                <w:rFonts w:ascii="宋体" w:hAnsi="宋体" w:eastAsia="宋体" w:cs="宋体"/>
                <w:sz w:val="18"/>
                <w:szCs w:val="18"/>
              </w:rPr>
            </w:pPr>
            <w:r>
              <w:rPr>
                <w:rFonts w:ascii="宋体" w:hAnsi="宋体"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14:paraId="331FDD56">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30F1B700">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F13C8BF">
            <w:pPr>
              <w:spacing w:line="240" w:lineRule="exact"/>
              <w:rPr>
                <w:rFonts w:ascii="宋体" w:hAnsi="宋体" w:eastAsia="宋体" w:cs="宋体"/>
                <w:sz w:val="18"/>
                <w:szCs w:val="18"/>
              </w:rPr>
            </w:pPr>
            <w:r>
              <w:rPr>
                <w:rFonts w:ascii="宋体" w:hAnsi="宋体" w:eastAsia="宋体" w:cs="宋体"/>
                <w:sz w:val="18"/>
                <w:szCs w:val="18"/>
              </w:rPr>
              <w:t>三年</w:t>
            </w:r>
          </w:p>
        </w:tc>
        <w:tc>
          <w:tcPr>
            <w:tcW w:w="876" w:type="dxa"/>
            <w:tcBorders>
              <w:top w:val="single" w:color="auto" w:sz="2" w:space="0"/>
              <w:left w:val="single" w:color="auto" w:sz="2" w:space="0"/>
              <w:bottom w:val="single" w:color="auto" w:sz="2" w:space="0"/>
              <w:right w:val="single" w:color="auto" w:sz="2" w:space="0"/>
            </w:tcBorders>
            <w:vAlign w:val="center"/>
          </w:tcPr>
          <w:p w14:paraId="7144480B">
            <w:pPr>
              <w:spacing w:line="240" w:lineRule="exac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6F751449">
            <w:pPr>
              <w:spacing w:line="240" w:lineRule="exact"/>
              <w:rPr>
                <w:rFonts w:ascii="宋体" w:hAnsi="宋体" w:eastAsia="宋体" w:cs="宋体"/>
                <w:sz w:val="18"/>
                <w:szCs w:val="18"/>
              </w:rPr>
            </w:pPr>
            <w:r>
              <w:rPr>
                <w:rFonts w:ascii="宋体" w:hAnsi="宋体" w:eastAsia="宋体" w:cs="宋体"/>
                <w:sz w:val="18"/>
                <w:szCs w:val="18"/>
              </w:rPr>
              <w:t>否</w:t>
            </w:r>
          </w:p>
        </w:tc>
      </w:tr>
      <w:tr w14:paraId="2F9A8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35A9EB93">
            <w:pPr>
              <w:spacing w:line="240" w:lineRule="exact"/>
              <w:rPr>
                <w:rFonts w:ascii="宋体" w:hAnsi="宋体" w:eastAsia="宋体" w:cs="宋体"/>
                <w:sz w:val="18"/>
                <w:szCs w:val="18"/>
              </w:rPr>
            </w:pPr>
            <w:r>
              <w:rPr>
                <w:rFonts w:ascii="宋体" w:hAnsi="宋体" w:eastAsia="宋体" w:cs="宋体"/>
                <w:sz w:val="18"/>
                <w:szCs w:val="18"/>
              </w:rPr>
              <w:t>新疆华孚棉业集团有限公司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58C7F97F">
            <w:pPr>
              <w:spacing w:line="240" w:lineRule="exact"/>
              <w:rPr>
                <w:rFonts w:ascii="宋体" w:hAnsi="宋体" w:eastAsia="宋体" w:cs="宋体"/>
                <w:sz w:val="18"/>
                <w:szCs w:val="18"/>
              </w:rPr>
            </w:pPr>
            <w:r>
              <w:rPr>
                <w:rFonts w:ascii="宋体" w:hAnsi="宋体" w:eastAsia="宋体" w:cs="宋体"/>
                <w:sz w:val="18"/>
                <w:szCs w:val="18"/>
              </w:rPr>
              <w:t>2024年04月27日</w:t>
            </w:r>
          </w:p>
        </w:tc>
        <w:tc>
          <w:tcPr>
            <w:tcW w:w="876" w:type="dxa"/>
            <w:tcBorders>
              <w:top w:val="single" w:color="auto" w:sz="2" w:space="0"/>
              <w:left w:val="single" w:color="auto" w:sz="2" w:space="0"/>
              <w:bottom w:val="single" w:color="auto" w:sz="2" w:space="0"/>
              <w:right w:val="single" w:color="auto" w:sz="2" w:space="0"/>
            </w:tcBorders>
            <w:vAlign w:val="center"/>
          </w:tcPr>
          <w:p w14:paraId="6D147D53">
            <w:pPr>
              <w:spacing w:line="240" w:lineRule="exact"/>
              <w:jc w:val="right"/>
              <w:rPr>
                <w:rFonts w:ascii="宋体" w:hAnsi="宋体" w:eastAsia="宋体" w:cs="宋体"/>
                <w:sz w:val="18"/>
                <w:szCs w:val="18"/>
              </w:rPr>
            </w:pPr>
            <w:r>
              <w:rPr>
                <w:rFonts w:ascii="宋体" w:hAnsi="宋体" w:eastAsia="宋体" w:cs="宋体"/>
                <w:sz w:val="18"/>
                <w:szCs w:val="18"/>
              </w:rPr>
              <w:t>120,000</w:t>
            </w:r>
          </w:p>
        </w:tc>
        <w:tc>
          <w:tcPr>
            <w:tcW w:w="876" w:type="dxa"/>
            <w:tcBorders>
              <w:top w:val="single" w:color="auto" w:sz="2" w:space="0"/>
              <w:left w:val="single" w:color="auto" w:sz="2" w:space="0"/>
              <w:bottom w:val="single" w:color="auto" w:sz="2" w:space="0"/>
              <w:right w:val="single" w:color="auto" w:sz="2" w:space="0"/>
            </w:tcBorders>
            <w:vAlign w:val="center"/>
          </w:tcPr>
          <w:p w14:paraId="56931119">
            <w:pPr>
              <w:spacing w:line="240" w:lineRule="exact"/>
              <w:rPr>
                <w:rFonts w:ascii="宋体" w:hAnsi="宋体" w:eastAsia="宋体" w:cs="宋体"/>
                <w:sz w:val="18"/>
                <w:szCs w:val="18"/>
              </w:rPr>
            </w:pPr>
            <w:r>
              <w:rPr>
                <w:rFonts w:ascii="宋体" w:hAnsi="宋体" w:eastAsia="宋体" w:cs="宋体"/>
                <w:sz w:val="18"/>
                <w:szCs w:val="18"/>
              </w:rPr>
              <w:t>2025年03月18日</w:t>
            </w:r>
          </w:p>
        </w:tc>
        <w:tc>
          <w:tcPr>
            <w:tcW w:w="876" w:type="dxa"/>
            <w:tcBorders>
              <w:top w:val="single" w:color="auto" w:sz="2" w:space="0"/>
              <w:left w:val="single" w:color="auto" w:sz="2" w:space="0"/>
              <w:bottom w:val="single" w:color="auto" w:sz="2" w:space="0"/>
              <w:right w:val="single" w:color="auto" w:sz="2" w:space="0"/>
            </w:tcBorders>
            <w:vAlign w:val="center"/>
          </w:tcPr>
          <w:p w14:paraId="2D031F78">
            <w:pPr>
              <w:spacing w:line="240" w:lineRule="exact"/>
              <w:jc w:val="right"/>
              <w:rPr>
                <w:rFonts w:ascii="宋体" w:hAnsi="宋体" w:eastAsia="宋体" w:cs="宋体"/>
                <w:sz w:val="18"/>
                <w:szCs w:val="18"/>
              </w:rPr>
            </w:pPr>
            <w:r>
              <w:rPr>
                <w:rFonts w:ascii="宋体" w:hAnsi="宋体" w:eastAsia="宋体" w:cs="宋体"/>
                <w:sz w:val="18"/>
                <w:szCs w:val="18"/>
              </w:rPr>
              <w:t>16,000</w:t>
            </w:r>
          </w:p>
        </w:tc>
        <w:tc>
          <w:tcPr>
            <w:tcW w:w="876" w:type="dxa"/>
            <w:tcBorders>
              <w:top w:val="single" w:color="auto" w:sz="2" w:space="0"/>
              <w:left w:val="single" w:color="auto" w:sz="2" w:space="0"/>
              <w:bottom w:val="single" w:color="auto" w:sz="2" w:space="0"/>
              <w:right w:val="single" w:color="auto" w:sz="2" w:space="0"/>
            </w:tcBorders>
            <w:vAlign w:val="center"/>
          </w:tcPr>
          <w:p w14:paraId="13CD8BDC">
            <w:pPr>
              <w:spacing w:line="240" w:lineRule="exact"/>
              <w:rPr>
                <w:rFonts w:ascii="宋体" w:hAnsi="宋体" w:eastAsia="宋体" w:cs="宋体"/>
                <w:sz w:val="18"/>
                <w:szCs w:val="18"/>
              </w:rPr>
            </w:pPr>
            <w:r>
              <w:rPr>
                <w:rFonts w:ascii="宋体" w:hAnsi="宋体"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14:paraId="66F4E2C1">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59B5C49B">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48A8798A">
            <w:pPr>
              <w:spacing w:line="240" w:lineRule="exact"/>
              <w:rPr>
                <w:rFonts w:ascii="宋体" w:hAnsi="宋体" w:eastAsia="宋体" w:cs="宋体"/>
                <w:sz w:val="18"/>
                <w:szCs w:val="18"/>
              </w:rPr>
            </w:pPr>
            <w:r>
              <w:rPr>
                <w:rFonts w:ascii="宋体" w:hAnsi="宋体" w:eastAsia="宋体" w:cs="宋体"/>
                <w:sz w:val="18"/>
                <w:szCs w:val="18"/>
              </w:rPr>
              <w:t>三年</w:t>
            </w:r>
          </w:p>
        </w:tc>
        <w:tc>
          <w:tcPr>
            <w:tcW w:w="876" w:type="dxa"/>
            <w:tcBorders>
              <w:top w:val="single" w:color="auto" w:sz="2" w:space="0"/>
              <w:left w:val="single" w:color="auto" w:sz="2" w:space="0"/>
              <w:bottom w:val="single" w:color="auto" w:sz="2" w:space="0"/>
              <w:right w:val="single" w:color="auto" w:sz="2" w:space="0"/>
            </w:tcBorders>
            <w:vAlign w:val="center"/>
          </w:tcPr>
          <w:p w14:paraId="0A4B6CA9">
            <w:pPr>
              <w:spacing w:line="240" w:lineRule="exac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4F948667">
            <w:pPr>
              <w:spacing w:line="240" w:lineRule="exact"/>
              <w:rPr>
                <w:rFonts w:ascii="宋体" w:hAnsi="宋体" w:eastAsia="宋体" w:cs="宋体"/>
                <w:sz w:val="18"/>
                <w:szCs w:val="18"/>
              </w:rPr>
            </w:pPr>
            <w:r>
              <w:rPr>
                <w:rFonts w:ascii="宋体" w:hAnsi="宋体" w:eastAsia="宋体" w:cs="宋体"/>
                <w:sz w:val="18"/>
                <w:szCs w:val="18"/>
              </w:rPr>
              <w:t>否</w:t>
            </w:r>
          </w:p>
        </w:tc>
      </w:tr>
      <w:tr w14:paraId="491A4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0038866B">
            <w:pPr>
              <w:spacing w:line="240" w:lineRule="exact"/>
              <w:rPr>
                <w:rFonts w:ascii="宋体" w:hAnsi="宋体" w:eastAsia="宋体" w:cs="宋体"/>
                <w:sz w:val="18"/>
                <w:szCs w:val="18"/>
              </w:rPr>
            </w:pPr>
            <w:r>
              <w:rPr>
                <w:rFonts w:ascii="宋体" w:hAnsi="宋体" w:eastAsia="宋体" w:cs="宋体"/>
                <w:sz w:val="18"/>
                <w:szCs w:val="18"/>
              </w:rPr>
              <w:t>浙江阿大互联科技有限公司</w:t>
            </w:r>
          </w:p>
        </w:tc>
        <w:tc>
          <w:tcPr>
            <w:tcW w:w="876" w:type="dxa"/>
            <w:tcBorders>
              <w:top w:val="single" w:color="auto" w:sz="2" w:space="0"/>
              <w:left w:val="single" w:color="auto" w:sz="2" w:space="0"/>
              <w:bottom w:val="single" w:color="auto" w:sz="2" w:space="0"/>
              <w:right w:val="single" w:color="auto" w:sz="2" w:space="0"/>
            </w:tcBorders>
            <w:vAlign w:val="center"/>
          </w:tcPr>
          <w:p w14:paraId="6275F082">
            <w:pPr>
              <w:spacing w:line="240" w:lineRule="exact"/>
              <w:rPr>
                <w:rFonts w:ascii="宋体" w:hAnsi="宋体" w:eastAsia="宋体" w:cs="宋体"/>
                <w:sz w:val="18"/>
                <w:szCs w:val="18"/>
              </w:rPr>
            </w:pPr>
            <w:r>
              <w:rPr>
                <w:rFonts w:ascii="宋体" w:hAnsi="宋体" w:eastAsia="宋体" w:cs="宋体"/>
                <w:sz w:val="18"/>
                <w:szCs w:val="18"/>
              </w:rPr>
              <w:t>2025年04月26日</w:t>
            </w:r>
          </w:p>
        </w:tc>
        <w:tc>
          <w:tcPr>
            <w:tcW w:w="876" w:type="dxa"/>
            <w:tcBorders>
              <w:top w:val="single" w:color="auto" w:sz="2" w:space="0"/>
              <w:left w:val="single" w:color="auto" w:sz="2" w:space="0"/>
              <w:bottom w:val="single" w:color="auto" w:sz="2" w:space="0"/>
              <w:right w:val="single" w:color="auto" w:sz="2" w:space="0"/>
            </w:tcBorders>
            <w:vAlign w:val="center"/>
          </w:tcPr>
          <w:p w14:paraId="2B8D5D49">
            <w:pPr>
              <w:spacing w:line="240" w:lineRule="exact"/>
              <w:jc w:val="right"/>
              <w:rPr>
                <w:rFonts w:ascii="宋体" w:hAnsi="宋体" w:eastAsia="宋体" w:cs="宋体"/>
                <w:sz w:val="18"/>
                <w:szCs w:val="18"/>
              </w:rPr>
            </w:pPr>
            <w:r>
              <w:rPr>
                <w:rFonts w:ascii="宋体" w:hAnsi="宋体" w:eastAsia="宋体" w:cs="宋体"/>
                <w:sz w:val="18"/>
                <w:szCs w:val="18"/>
              </w:rPr>
              <w:t>15,000</w:t>
            </w:r>
          </w:p>
        </w:tc>
        <w:tc>
          <w:tcPr>
            <w:tcW w:w="876" w:type="dxa"/>
            <w:tcBorders>
              <w:top w:val="single" w:color="auto" w:sz="2" w:space="0"/>
              <w:left w:val="single" w:color="auto" w:sz="2" w:space="0"/>
              <w:bottom w:val="single" w:color="auto" w:sz="2" w:space="0"/>
              <w:right w:val="single" w:color="auto" w:sz="2" w:space="0"/>
            </w:tcBorders>
            <w:vAlign w:val="center"/>
          </w:tcPr>
          <w:p w14:paraId="21E8A0FA">
            <w:pPr>
              <w:spacing w:line="240" w:lineRule="exact"/>
              <w:rPr>
                <w:rFonts w:ascii="宋体" w:hAnsi="宋体" w:eastAsia="宋体" w:cs="宋体"/>
                <w:sz w:val="18"/>
                <w:szCs w:val="18"/>
              </w:rPr>
            </w:pPr>
            <w:r>
              <w:rPr>
                <w:rFonts w:ascii="宋体" w:hAnsi="宋体" w:eastAsia="宋体" w:cs="宋体"/>
                <w:sz w:val="18"/>
                <w:szCs w:val="18"/>
              </w:rPr>
              <w:t>2025年12月10日</w:t>
            </w:r>
          </w:p>
        </w:tc>
        <w:tc>
          <w:tcPr>
            <w:tcW w:w="876" w:type="dxa"/>
            <w:tcBorders>
              <w:top w:val="single" w:color="auto" w:sz="2" w:space="0"/>
              <w:left w:val="single" w:color="auto" w:sz="2" w:space="0"/>
              <w:bottom w:val="single" w:color="auto" w:sz="2" w:space="0"/>
              <w:right w:val="single" w:color="auto" w:sz="2" w:space="0"/>
            </w:tcBorders>
            <w:vAlign w:val="center"/>
          </w:tcPr>
          <w:p w14:paraId="4E4387DD">
            <w:pPr>
              <w:spacing w:line="240" w:lineRule="exact"/>
              <w:jc w:val="right"/>
              <w:rPr>
                <w:rFonts w:ascii="宋体" w:hAnsi="宋体" w:eastAsia="宋体" w:cs="宋体"/>
                <w:sz w:val="18"/>
                <w:szCs w:val="18"/>
              </w:rPr>
            </w:pPr>
            <w:r>
              <w:rPr>
                <w:rFonts w:ascii="宋体" w:hAnsi="宋体" w:eastAsia="宋体" w:cs="宋体"/>
                <w:sz w:val="18"/>
                <w:szCs w:val="18"/>
              </w:rPr>
              <w:t>2,273</w:t>
            </w:r>
          </w:p>
        </w:tc>
        <w:tc>
          <w:tcPr>
            <w:tcW w:w="876" w:type="dxa"/>
            <w:tcBorders>
              <w:top w:val="single" w:color="auto" w:sz="2" w:space="0"/>
              <w:left w:val="single" w:color="auto" w:sz="2" w:space="0"/>
              <w:bottom w:val="single" w:color="auto" w:sz="2" w:space="0"/>
              <w:right w:val="single" w:color="auto" w:sz="2" w:space="0"/>
            </w:tcBorders>
            <w:vAlign w:val="center"/>
          </w:tcPr>
          <w:p w14:paraId="22CA8B38">
            <w:pPr>
              <w:spacing w:line="240" w:lineRule="exact"/>
              <w:rPr>
                <w:rFonts w:ascii="宋体" w:hAnsi="宋体" w:eastAsia="宋体" w:cs="宋体"/>
                <w:sz w:val="18"/>
                <w:szCs w:val="18"/>
              </w:rPr>
            </w:pPr>
            <w:r>
              <w:rPr>
                <w:rFonts w:ascii="宋体" w:hAnsi="宋体"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14:paraId="48F7DF20">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55E8617E">
            <w:pPr>
              <w:spacing w:line="240" w:lineRule="exac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29E5D8C4">
            <w:pPr>
              <w:spacing w:line="240" w:lineRule="exact"/>
              <w:rPr>
                <w:rFonts w:ascii="宋体" w:hAnsi="宋体" w:eastAsia="宋体" w:cs="宋体"/>
                <w:sz w:val="18"/>
                <w:szCs w:val="18"/>
              </w:rPr>
            </w:pPr>
            <w:r>
              <w:rPr>
                <w:rFonts w:ascii="宋体" w:hAnsi="宋体" w:eastAsia="宋体" w:cs="宋体"/>
                <w:sz w:val="18"/>
                <w:szCs w:val="18"/>
              </w:rPr>
              <w:t>两年</w:t>
            </w:r>
          </w:p>
        </w:tc>
        <w:tc>
          <w:tcPr>
            <w:tcW w:w="876" w:type="dxa"/>
            <w:tcBorders>
              <w:top w:val="single" w:color="auto" w:sz="2" w:space="0"/>
              <w:left w:val="single" w:color="auto" w:sz="2" w:space="0"/>
              <w:bottom w:val="single" w:color="auto" w:sz="2" w:space="0"/>
              <w:right w:val="single" w:color="auto" w:sz="2" w:space="0"/>
            </w:tcBorders>
            <w:vAlign w:val="center"/>
          </w:tcPr>
          <w:p w14:paraId="0926FC27">
            <w:pPr>
              <w:spacing w:line="240" w:lineRule="exact"/>
              <w:rPr>
                <w:rFonts w:ascii="宋体" w:hAnsi="宋体" w:eastAsia="宋体" w:cs="宋体"/>
                <w:sz w:val="18"/>
                <w:szCs w:val="18"/>
              </w:rPr>
            </w:pPr>
            <w:r>
              <w:rPr>
                <w:rFonts w:ascii="宋体" w:hAnsi="宋体"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14:paraId="76B81091">
            <w:pPr>
              <w:spacing w:line="240" w:lineRule="exact"/>
              <w:rPr>
                <w:rFonts w:ascii="宋体" w:hAnsi="宋体" w:eastAsia="宋体" w:cs="宋体"/>
                <w:sz w:val="18"/>
                <w:szCs w:val="18"/>
              </w:rPr>
            </w:pPr>
            <w:r>
              <w:rPr>
                <w:rFonts w:ascii="宋体" w:hAnsi="宋体" w:eastAsia="宋体" w:cs="宋体"/>
                <w:sz w:val="18"/>
                <w:szCs w:val="18"/>
              </w:rPr>
              <w:t>否</w:t>
            </w:r>
          </w:p>
        </w:tc>
      </w:tr>
      <w:tr w14:paraId="75DF1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1A80199">
            <w:pPr>
              <w:spacing w:before="40" w:after="40" w:line="240" w:lineRule="exact"/>
              <w:rPr>
                <w:rFonts w:ascii="宋体" w:hAnsi="宋体" w:eastAsia="宋体" w:cs="宋体"/>
                <w:sz w:val="18"/>
                <w:szCs w:val="18"/>
              </w:rPr>
            </w:pPr>
            <w:r>
              <w:rPr>
                <w:rFonts w:ascii="宋体" w:hAnsi="宋体" w:eastAsia="宋体" w:cs="宋体"/>
                <w:sz w:val="18"/>
                <w:szCs w:val="18"/>
              </w:rPr>
              <w:t>报告期内审批对子公司担保额度合计（B1）</w:t>
            </w:r>
          </w:p>
        </w:tc>
        <w:tc>
          <w:tcPr>
            <w:tcW w:w="1753" w:type="dxa"/>
            <w:gridSpan w:val="2"/>
            <w:tcBorders>
              <w:top w:val="single" w:color="auto" w:sz="2" w:space="0"/>
              <w:left w:val="single" w:color="auto" w:sz="2" w:space="0"/>
              <w:bottom w:val="single" w:color="auto" w:sz="2" w:space="0"/>
              <w:right w:val="single" w:color="auto" w:sz="2" w:space="0"/>
            </w:tcBorders>
            <w:vAlign w:val="center"/>
          </w:tcPr>
          <w:p w14:paraId="0AAC518F">
            <w:pPr>
              <w:spacing w:line="240" w:lineRule="exact"/>
              <w:jc w:val="right"/>
              <w:rPr>
                <w:rFonts w:ascii="宋体" w:hAnsi="宋体" w:eastAsia="宋体" w:cs="宋体"/>
                <w:sz w:val="18"/>
                <w:szCs w:val="18"/>
              </w:rPr>
            </w:pPr>
            <w:r>
              <w:rPr>
                <w:rFonts w:ascii="宋体" w:hAnsi="宋体" w:eastAsia="宋体" w:cs="宋体"/>
                <w:sz w:val="18"/>
                <w:szCs w:val="18"/>
              </w:rPr>
              <w:t>1,090,000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5563C56">
            <w:pPr>
              <w:spacing w:before="40" w:after="40" w:line="240" w:lineRule="exact"/>
              <w:rPr>
                <w:rFonts w:ascii="宋体" w:hAnsi="宋体" w:eastAsia="宋体" w:cs="宋体"/>
                <w:sz w:val="18"/>
                <w:szCs w:val="18"/>
              </w:rPr>
            </w:pPr>
            <w:r>
              <w:rPr>
                <w:rFonts w:ascii="宋体" w:hAnsi="宋体" w:eastAsia="宋体" w:cs="宋体"/>
                <w:sz w:val="18"/>
                <w:szCs w:val="18"/>
              </w:rPr>
              <w:t>报告期内对子公司担保实际发生额合计（B2）</w:t>
            </w:r>
          </w:p>
        </w:tc>
        <w:tc>
          <w:tcPr>
            <w:tcW w:w="4381" w:type="dxa"/>
            <w:gridSpan w:val="5"/>
            <w:tcBorders>
              <w:top w:val="single" w:color="auto" w:sz="2" w:space="0"/>
              <w:left w:val="single" w:color="auto" w:sz="2" w:space="0"/>
              <w:bottom w:val="single" w:color="auto" w:sz="2" w:space="0"/>
              <w:right w:val="single" w:color="auto" w:sz="2" w:space="0"/>
            </w:tcBorders>
            <w:vAlign w:val="center"/>
          </w:tcPr>
          <w:p w14:paraId="0FEC08F1">
            <w:pPr>
              <w:spacing w:line="240" w:lineRule="exact"/>
              <w:jc w:val="right"/>
              <w:rPr>
                <w:rFonts w:ascii="宋体" w:hAnsi="宋体" w:eastAsia="宋体" w:cs="宋体"/>
                <w:sz w:val="18"/>
                <w:szCs w:val="18"/>
              </w:rPr>
            </w:pPr>
            <w:r>
              <w:rPr>
                <w:rFonts w:ascii="宋体" w:hAnsi="宋体" w:eastAsia="宋体" w:cs="宋体"/>
                <w:sz w:val="18"/>
                <w:szCs w:val="18"/>
              </w:rPr>
              <w:t>446,853.03</w:t>
            </w:r>
          </w:p>
        </w:tc>
      </w:tr>
      <w:tr w14:paraId="46A42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88DA941">
            <w:pPr>
              <w:spacing w:before="40" w:after="40" w:line="240" w:lineRule="exact"/>
              <w:rPr>
                <w:rFonts w:ascii="宋体" w:hAnsi="宋体" w:eastAsia="宋体" w:cs="宋体"/>
                <w:sz w:val="18"/>
                <w:szCs w:val="18"/>
              </w:rPr>
            </w:pPr>
            <w:r>
              <w:rPr>
                <w:rFonts w:ascii="宋体" w:hAnsi="宋体" w:eastAsia="宋体" w:cs="宋体"/>
                <w:sz w:val="18"/>
                <w:szCs w:val="18"/>
              </w:rPr>
              <w:t>报告期末已审批的对子公司担保额度合计（B3）</w:t>
            </w:r>
          </w:p>
        </w:tc>
        <w:tc>
          <w:tcPr>
            <w:tcW w:w="1753" w:type="dxa"/>
            <w:gridSpan w:val="2"/>
            <w:tcBorders>
              <w:top w:val="single" w:color="auto" w:sz="2" w:space="0"/>
              <w:left w:val="single" w:color="auto" w:sz="2" w:space="0"/>
              <w:bottom w:val="single" w:color="auto" w:sz="2" w:space="0"/>
              <w:right w:val="single" w:color="auto" w:sz="2" w:space="0"/>
            </w:tcBorders>
            <w:vAlign w:val="center"/>
          </w:tcPr>
          <w:p w14:paraId="08B0816C">
            <w:pPr>
              <w:spacing w:line="240" w:lineRule="exact"/>
              <w:jc w:val="right"/>
              <w:rPr>
                <w:rFonts w:ascii="宋体" w:hAnsi="宋体" w:eastAsia="宋体" w:cs="宋体"/>
                <w:sz w:val="18"/>
                <w:szCs w:val="18"/>
              </w:rPr>
            </w:pPr>
            <w:r>
              <w:rPr>
                <w:rFonts w:ascii="宋体" w:hAnsi="宋体" w:eastAsia="宋体" w:cs="宋体"/>
                <w:sz w:val="18"/>
                <w:szCs w:val="18"/>
              </w:rPr>
              <w:t>1,090,000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82813B4">
            <w:pPr>
              <w:spacing w:before="40" w:after="40" w:line="240" w:lineRule="exact"/>
              <w:rPr>
                <w:rFonts w:ascii="宋体" w:hAnsi="宋体" w:eastAsia="宋体" w:cs="宋体"/>
                <w:sz w:val="18"/>
                <w:szCs w:val="18"/>
              </w:rPr>
            </w:pPr>
            <w:r>
              <w:rPr>
                <w:rFonts w:ascii="宋体" w:hAnsi="宋体" w:eastAsia="宋体" w:cs="宋体"/>
                <w:sz w:val="18"/>
                <w:szCs w:val="18"/>
              </w:rPr>
              <w:t>报告期末对子公司实际担保余额合计（B4）</w:t>
            </w:r>
          </w:p>
        </w:tc>
        <w:tc>
          <w:tcPr>
            <w:tcW w:w="4381" w:type="dxa"/>
            <w:gridSpan w:val="5"/>
            <w:tcBorders>
              <w:top w:val="single" w:color="auto" w:sz="2" w:space="0"/>
              <w:left w:val="single" w:color="auto" w:sz="2" w:space="0"/>
              <w:bottom w:val="single" w:color="auto" w:sz="2" w:space="0"/>
              <w:right w:val="single" w:color="auto" w:sz="2" w:space="0"/>
            </w:tcBorders>
            <w:vAlign w:val="center"/>
          </w:tcPr>
          <w:p w14:paraId="2CCD7BD8">
            <w:pPr>
              <w:spacing w:line="240" w:lineRule="exact"/>
              <w:jc w:val="right"/>
              <w:rPr>
                <w:rFonts w:ascii="宋体" w:hAnsi="宋体" w:eastAsia="宋体" w:cs="宋体"/>
                <w:sz w:val="18"/>
                <w:szCs w:val="18"/>
              </w:rPr>
            </w:pPr>
            <w:r>
              <w:rPr>
                <w:rFonts w:ascii="宋体" w:hAnsi="宋体" w:eastAsia="宋体" w:cs="宋体"/>
                <w:sz w:val="18"/>
                <w:szCs w:val="18"/>
              </w:rPr>
              <w:t>470,013.03</w:t>
            </w:r>
          </w:p>
        </w:tc>
      </w:tr>
      <w:tr w14:paraId="11FB9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14:paraId="693464BA">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子公司对子公司的担保情况</w:t>
            </w:r>
          </w:p>
        </w:tc>
      </w:tr>
      <w:tr w14:paraId="43114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DCE3539">
            <w:pPr>
              <w:spacing w:before="40" w:after="40" w:line="240" w:lineRule="exact"/>
              <w:jc w:val="center"/>
              <w:rPr>
                <w:rFonts w:ascii="宋体" w:hAnsi="宋体" w:eastAsia="宋体" w:cs="宋体"/>
                <w:sz w:val="18"/>
                <w:szCs w:val="18"/>
              </w:rPr>
            </w:pPr>
            <w:r>
              <w:rPr>
                <w:rFonts w:ascii="宋体" w:hAnsi="宋体" w:eastAsia="宋体" w:cs="宋体"/>
                <w:sz w:val="18"/>
                <w:szCs w:val="18"/>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79AF7B7">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64940C0">
            <w:pPr>
              <w:spacing w:before="40" w:after="40" w:line="240" w:lineRule="exact"/>
              <w:jc w:val="center"/>
              <w:rPr>
                <w:rFonts w:ascii="宋体" w:hAnsi="宋体" w:eastAsia="宋体" w:cs="宋体"/>
                <w:sz w:val="18"/>
                <w:szCs w:val="18"/>
              </w:rPr>
            </w:pPr>
            <w:r>
              <w:rPr>
                <w:rFonts w:ascii="宋体" w:hAnsi="宋体" w:eastAsia="宋体" w:cs="宋体"/>
                <w:sz w:val="18"/>
                <w:szCs w:val="18"/>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785AAF5">
            <w:pPr>
              <w:spacing w:before="40" w:after="40" w:line="240" w:lineRule="exact"/>
              <w:jc w:val="center"/>
              <w:rPr>
                <w:rFonts w:ascii="宋体" w:hAnsi="宋体" w:eastAsia="宋体" w:cs="宋体"/>
                <w:sz w:val="18"/>
                <w:szCs w:val="18"/>
              </w:rPr>
            </w:pPr>
            <w:r>
              <w:rPr>
                <w:rFonts w:ascii="宋体" w:hAnsi="宋体"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3CC62D3">
            <w:pPr>
              <w:spacing w:before="40" w:after="40" w:line="240" w:lineRule="exact"/>
              <w:jc w:val="center"/>
              <w:rPr>
                <w:rFonts w:ascii="宋体" w:hAnsi="宋体" w:eastAsia="宋体" w:cs="宋体"/>
                <w:sz w:val="18"/>
                <w:szCs w:val="18"/>
              </w:rPr>
            </w:pPr>
            <w:r>
              <w:rPr>
                <w:rFonts w:ascii="宋体" w:hAnsi="宋体"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1CDBFEA">
            <w:pPr>
              <w:spacing w:before="40" w:after="40" w:line="240" w:lineRule="exact"/>
              <w:jc w:val="center"/>
              <w:rPr>
                <w:rFonts w:ascii="宋体" w:hAnsi="宋体" w:eastAsia="宋体" w:cs="宋体"/>
                <w:sz w:val="18"/>
                <w:szCs w:val="18"/>
              </w:rPr>
            </w:pPr>
            <w:r>
              <w:rPr>
                <w:rFonts w:ascii="宋体" w:hAnsi="宋体" w:eastAsia="宋体" w:cs="宋体"/>
                <w:sz w:val="18"/>
                <w:szCs w:val="18"/>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A2F2B76">
            <w:pPr>
              <w:spacing w:before="40" w:after="40" w:line="240" w:lineRule="exact"/>
              <w:jc w:val="center"/>
              <w:rPr>
                <w:rFonts w:ascii="宋体" w:hAnsi="宋体" w:eastAsia="宋体" w:cs="宋体"/>
                <w:sz w:val="18"/>
                <w:szCs w:val="18"/>
              </w:rPr>
            </w:pPr>
            <w:r>
              <w:rPr>
                <w:rFonts w:ascii="宋体" w:hAnsi="宋体" w:eastAsia="宋体" w:cs="宋体"/>
                <w:sz w:val="18"/>
                <w:szCs w:val="18"/>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CB758E0">
            <w:pPr>
              <w:spacing w:before="40" w:after="40" w:line="240" w:lineRule="exact"/>
              <w:jc w:val="center"/>
              <w:rPr>
                <w:rFonts w:ascii="宋体" w:hAnsi="宋体" w:eastAsia="宋体" w:cs="宋体"/>
                <w:sz w:val="18"/>
                <w:szCs w:val="18"/>
              </w:rPr>
            </w:pPr>
            <w:r>
              <w:rPr>
                <w:rFonts w:ascii="宋体" w:hAnsi="宋体" w:eastAsia="宋体" w:cs="宋体"/>
                <w:sz w:val="18"/>
                <w:szCs w:val="18"/>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C9ED297">
            <w:pPr>
              <w:spacing w:before="40" w:after="40" w:line="240" w:lineRule="exact"/>
              <w:jc w:val="center"/>
              <w:rPr>
                <w:rFonts w:ascii="宋体" w:hAnsi="宋体" w:eastAsia="宋体" w:cs="宋体"/>
                <w:sz w:val="18"/>
                <w:szCs w:val="18"/>
              </w:rPr>
            </w:pPr>
            <w:r>
              <w:rPr>
                <w:rFonts w:ascii="宋体" w:hAnsi="宋体"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88E2794">
            <w:pPr>
              <w:spacing w:before="40" w:after="40" w:line="240" w:lineRule="exact"/>
              <w:jc w:val="center"/>
              <w:rPr>
                <w:rFonts w:ascii="宋体" w:hAnsi="宋体" w:eastAsia="宋体" w:cs="宋体"/>
                <w:sz w:val="18"/>
                <w:szCs w:val="18"/>
              </w:rPr>
            </w:pPr>
            <w:r>
              <w:rPr>
                <w:rFonts w:ascii="宋体" w:hAnsi="宋体"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355C261">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是否为关联方担保</w:t>
            </w:r>
          </w:p>
        </w:tc>
      </w:tr>
      <w:tr w14:paraId="79755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14:paraId="150A6C62">
            <w:pPr>
              <w:spacing w:before="40" w:after="40" w:line="240" w:lineRule="exact"/>
              <w:jc w:val="center"/>
              <w:rPr>
                <w:rFonts w:ascii="宋体" w:hAnsi="宋体" w:eastAsia="宋体" w:cs="宋体"/>
                <w:sz w:val="18"/>
                <w:szCs w:val="18"/>
              </w:rPr>
            </w:pPr>
            <w:r>
              <w:rPr>
                <w:rFonts w:ascii="宋体" w:hAnsi="宋体" w:eastAsia="宋体" w:cs="宋体"/>
                <w:sz w:val="18"/>
                <w:szCs w:val="18"/>
              </w:rPr>
              <w:t>公司担保总额（即前三大项的合计）</w:t>
            </w:r>
          </w:p>
        </w:tc>
      </w:tr>
      <w:tr w14:paraId="3833E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EDFAA10">
            <w:pPr>
              <w:spacing w:before="40" w:after="40" w:line="240" w:lineRule="exact"/>
              <w:rPr>
                <w:rFonts w:ascii="宋体" w:hAnsi="宋体" w:eastAsia="宋体" w:cs="宋体"/>
                <w:sz w:val="18"/>
                <w:szCs w:val="18"/>
              </w:rPr>
            </w:pPr>
            <w:r>
              <w:rPr>
                <w:rFonts w:ascii="宋体" w:hAnsi="宋体" w:eastAsia="宋体" w:cs="宋体"/>
                <w:sz w:val="18"/>
                <w:szCs w:val="18"/>
              </w:rPr>
              <w:t>报告期内审批担保额度合计（A1+B1+C1）</w:t>
            </w:r>
          </w:p>
        </w:tc>
        <w:tc>
          <w:tcPr>
            <w:tcW w:w="1753" w:type="dxa"/>
            <w:gridSpan w:val="2"/>
            <w:tcBorders>
              <w:top w:val="single" w:color="auto" w:sz="2" w:space="0"/>
              <w:left w:val="single" w:color="auto" w:sz="2" w:space="0"/>
              <w:bottom w:val="single" w:color="auto" w:sz="2" w:space="0"/>
              <w:right w:val="single" w:color="auto" w:sz="2" w:space="0"/>
            </w:tcBorders>
            <w:vAlign w:val="center"/>
          </w:tcPr>
          <w:p w14:paraId="7C524612">
            <w:pPr>
              <w:spacing w:line="240" w:lineRule="exact"/>
              <w:jc w:val="right"/>
              <w:rPr>
                <w:rFonts w:ascii="宋体" w:hAnsi="宋体" w:eastAsia="宋体" w:cs="宋体"/>
                <w:sz w:val="18"/>
                <w:szCs w:val="18"/>
              </w:rPr>
            </w:pPr>
            <w:r>
              <w:rPr>
                <w:rFonts w:ascii="宋体" w:hAnsi="宋体" w:eastAsia="宋体" w:cs="宋体"/>
                <w:sz w:val="18"/>
                <w:szCs w:val="18"/>
              </w:rPr>
              <w:t>1,090,000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20CA568">
            <w:pPr>
              <w:spacing w:before="40" w:after="40" w:line="240" w:lineRule="exact"/>
              <w:rPr>
                <w:rFonts w:ascii="宋体" w:hAnsi="宋体" w:eastAsia="宋体" w:cs="宋体"/>
                <w:sz w:val="18"/>
                <w:szCs w:val="18"/>
              </w:rPr>
            </w:pPr>
            <w:r>
              <w:rPr>
                <w:rFonts w:ascii="宋体" w:hAnsi="宋体" w:eastAsia="宋体" w:cs="宋体"/>
                <w:sz w:val="18"/>
                <w:szCs w:val="18"/>
              </w:rPr>
              <w:t>报告期内担保实际发生额合计（A2+B2+C2）</w:t>
            </w:r>
          </w:p>
        </w:tc>
        <w:tc>
          <w:tcPr>
            <w:tcW w:w="4381" w:type="dxa"/>
            <w:gridSpan w:val="5"/>
            <w:tcBorders>
              <w:top w:val="single" w:color="auto" w:sz="2" w:space="0"/>
              <w:left w:val="single" w:color="auto" w:sz="2" w:space="0"/>
              <w:bottom w:val="single" w:color="auto" w:sz="2" w:space="0"/>
              <w:right w:val="single" w:color="auto" w:sz="2" w:space="0"/>
            </w:tcBorders>
            <w:vAlign w:val="center"/>
          </w:tcPr>
          <w:p w14:paraId="00B890DF">
            <w:pPr>
              <w:spacing w:line="240" w:lineRule="exact"/>
              <w:jc w:val="right"/>
              <w:rPr>
                <w:rFonts w:ascii="宋体" w:hAnsi="宋体" w:eastAsia="宋体" w:cs="宋体"/>
                <w:sz w:val="18"/>
                <w:szCs w:val="18"/>
              </w:rPr>
            </w:pPr>
            <w:r>
              <w:rPr>
                <w:rFonts w:ascii="宋体" w:hAnsi="宋体" w:eastAsia="宋体" w:cs="宋体"/>
                <w:sz w:val="18"/>
                <w:szCs w:val="18"/>
              </w:rPr>
              <w:t>446,853.03</w:t>
            </w:r>
          </w:p>
        </w:tc>
      </w:tr>
      <w:tr w14:paraId="7C307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A7435AE">
            <w:pPr>
              <w:spacing w:before="40" w:after="40" w:line="240" w:lineRule="exact"/>
              <w:rPr>
                <w:rFonts w:ascii="宋体" w:hAnsi="宋体" w:eastAsia="宋体" w:cs="宋体"/>
                <w:sz w:val="18"/>
                <w:szCs w:val="18"/>
              </w:rPr>
            </w:pPr>
            <w:r>
              <w:rPr>
                <w:rFonts w:ascii="宋体" w:hAnsi="宋体" w:eastAsia="宋体" w:cs="宋体"/>
                <w:sz w:val="18"/>
                <w:szCs w:val="18"/>
              </w:rPr>
              <w:t>报告期末已审批的担保额度合计（A3+B3+C3）</w:t>
            </w:r>
          </w:p>
        </w:tc>
        <w:tc>
          <w:tcPr>
            <w:tcW w:w="1753" w:type="dxa"/>
            <w:gridSpan w:val="2"/>
            <w:tcBorders>
              <w:top w:val="single" w:color="auto" w:sz="2" w:space="0"/>
              <w:left w:val="single" w:color="auto" w:sz="2" w:space="0"/>
              <w:bottom w:val="single" w:color="auto" w:sz="2" w:space="0"/>
              <w:right w:val="single" w:color="auto" w:sz="2" w:space="0"/>
            </w:tcBorders>
            <w:vAlign w:val="center"/>
          </w:tcPr>
          <w:p w14:paraId="577B7CA2">
            <w:pPr>
              <w:spacing w:line="240" w:lineRule="exact"/>
              <w:jc w:val="right"/>
              <w:rPr>
                <w:rFonts w:ascii="宋体" w:hAnsi="宋体" w:eastAsia="宋体" w:cs="宋体"/>
                <w:sz w:val="18"/>
                <w:szCs w:val="18"/>
              </w:rPr>
            </w:pPr>
            <w:r>
              <w:rPr>
                <w:rFonts w:ascii="宋体" w:hAnsi="宋体" w:eastAsia="宋体" w:cs="宋体"/>
                <w:sz w:val="18"/>
                <w:szCs w:val="18"/>
              </w:rPr>
              <w:t>1,090,000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75E1B65">
            <w:pPr>
              <w:spacing w:before="40" w:after="40" w:line="240" w:lineRule="exact"/>
              <w:rPr>
                <w:rFonts w:ascii="宋体" w:hAnsi="宋体" w:eastAsia="宋体" w:cs="宋体"/>
                <w:sz w:val="18"/>
                <w:szCs w:val="18"/>
              </w:rPr>
            </w:pPr>
            <w:r>
              <w:rPr>
                <w:rFonts w:ascii="宋体" w:hAnsi="宋体" w:eastAsia="宋体" w:cs="宋体"/>
                <w:sz w:val="18"/>
                <w:szCs w:val="18"/>
              </w:rPr>
              <w:t>报告期末实际担保余额合计（A4+B4+C4）</w:t>
            </w:r>
          </w:p>
        </w:tc>
        <w:tc>
          <w:tcPr>
            <w:tcW w:w="4381" w:type="dxa"/>
            <w:gridSpan w:val="5"/>
            <w:tcBorders>
              <w:top w:val="single" w:color="auto" w:sz="2" w:space="0"/>
              <w:left w:val="single" w:color="auto" w:sz="2" w:space="0"/>
              <w:bottom w:val="single" w:color="auto" w:sz="2" w:space="0"/>
              <w:right w:val="single" w:color="auto" w:sz="2" w:space="0"/>
            </w:tcBorders>
            <w:vAlign w:val="center"/>
          </w:tcPr>
          <w:p w14:paraId="25E09F51">
            <w:pPr>
              <w:spacing w:line="240" w:lineRule="exact"/>
              <w:jc w:val="right"/>
              <w:rPr>
                <w:rFonts w:ascii="宋体" w:hAnsi="宋体" w:eastAsia="宋体" w:cs="宋体"/>
                <w:sz w:val="18"/>
                <w:szCs w:val="18"/>
              </w:rPr>
            </w:pPr>
            <w:r>
              <w:rPr>
                <w:rFonts w:ascii="宋体" w:hAnsi="宋体" w:eastAsia="宋体" w:cs="宋体"/>
                <w:sz w:val="18"/>
                <w:szCs w:val="18"/>
              </w:rPr>
              <w:t>470,013.03</w:t>
            </w:r>
          </w:p>
        </w:tc>
      </w:tr>
      <w:tr w14:paraId="58224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1A086766">
            <w:pPr>
              <w:spacing w:before="40" w:after="40" w:line="240" w:lineRule="exact"/>
              <w:rPr>
                <w:rFonts w:ascii="宋体" w:hAnsi="宋体" w:eastAsia="宋体" w:cs="宋体"/>
                <w:sz w:val="18"/>
                <w:szCs w:val="18"/>
              </w:rPr>
            </w:pPr>
            <w:r>
              <w:rPr>
                <w:rFonts w:ascii="宋体" w:hAnsi="宋体" w:eastAsia="宋体" w:cs="宋体"/>
                <w:sz w:val="18"/>
                <w:szCs w:val="18"/>
              </w:rPr>
              <w:t>全部担保余额（即A4+B4+C4）占公司净资产的比例</w:t>
            </w:r>
          </w:p>
        </w:tc>
        <w:tc>
          <w:tcPr>
            <w:tcW w:w="6134" w:type="dxa"/>
            <w:gridSpan w:val="7"/>
            <w:tcBorders>
              <w:top w:val="single" w:color="auto" w:sz="2" w:space="0"/>
              <w:left w:val="single" w:color="auto" w:sz="2" w:space="0"/>
              <w:bottom w:val="single" w:color="auto" w:sz="2" w:space="0"/>
              <w:right w:val="single" w:color="auto" w:sz="2" w:space="0"/>
            </w:tcBorders>
            <w:vAlign w:val="center"/>
          </w:tcPr>
          <w:p w14:paraId="0F0C7324">
            <w:pPr>
              <w:spacing w:line="240" w:lineRule="exact"/>
              <w:jc w:val="right"/>
              <w:rPr>
                <w:rFonts w:ascii="宋体" w:hAnsi="宋体" w:eastAsia="宋体" w:cs="宋体"/>
                <w:sz w:val="18"/>
                <w:szCs w:val="18"/>
              </w:rPr>
            </w:pPr>
            <w:r>
              <w:rPr>
                <w:rFonts w:ascii="宋体" w:hAnsi="宋体" w:eastAsia="宋体" w:cs="宋体"/>
                <w:sz w:val="18"/>
                <w:szCs w:val="18"/>
              </w:rPr>
              <w:t>81.14%</w:t>
            </w:r>
          </w:p>
        </w:tc>
      </w:tr>
      <w:tr w14:paraId="4A42A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14:paraId="71F76B1A">
            <w:pPr>
              <w:spacing w:before="40" w:after="40" w:line="240" w:lineRule="exact"/>
              <w:rPr>
                <w:rFonts w:ascii="宋体" w:hAnsi="宋体" w:eastAsia="宋体" w:cs="宋体"/>
                <w:sz w:val="18"/>
                <w:szCs w:val="18"/>
              </w:rPr>
            </w:pPr>
            <w:r>
              <w:rPr>
                <w:rFonts w:ascii="宋体" w:hAnsi="宋体" w:eastAsia="宋体" w:cs="宋体"/>
                <w:sz w:val="18"/>
                <w:szCs w:val="18"/>
              </w:rPr>
              <w:t>其中：</w:t>
            </w:r>
          </w:p>
        </w:tc>
      </w:tr>
      <w:tr w14:paraId="29B99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6026924C">
            <w:pPr>
              <w:spacing w:before="40" w:after="40" w:line="240" w:lineRule="exact"/>
              <w:rPr>
                <w:rFonts w:ascii="宋体" w:hAnsi="宋体" w:eastAsia="宋体" w:cs="宋体"/>
                <w:sz w:val="18"/>
                <w:szCs w:val="18"/>
              </w:rPr>
            </w:pPr>
            <w:r>
              <w:rPr>
                <w:rFonts w:ascii="宋体" w:hAnsi="宋体" w:eastAsia="宋体" w:cs="宋体"/>
                <w:sz w:val="18"/>
                <w:szCs w:val="18"/>
              </w:rPr>
              <w:t>为股东、实际控制人及其关联方提供担保的余额（D）</w:t>
            </w:r>
          </w:p>
        </w:tc>
        <w:tc>
          <w:tcPr>
            <w:tcW w:w="6134" w:type="dxa"/>
            <w:gridSpan w:val="7"/>
            <w:tcBorders>
              <w:top w:val="single" w:color="auto" w:sz="2" w:space="0"/>
              <w:left w:val="single" w:color="auto" w:sz="2" w:space="0"/>
              <w:bottom w:val="single" w:color="auto" w:sz="2" w:space="0"/>
              <w:right w:val="single" w:color="auto" w:sz="2" w:space="0"/>
            </w:tcBorders>
            <w:vAlign w:val="center"/>
          </w:tcPr>
          <w:p w14:paraId="673E34B8">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4C019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66C00EB2">
            <w:pPr>
              <w:spacing w:before="40" w:after="40" w:line="240" w:lineRule="exact"/>
              <w:rPr>
                <w:rFonts w:ascii="宋体" w:hAnsi="宋体" w:eastAsia="宋体" w:cs="宋体"/>
                <w:sz w:val="18"/>
                <w:szCs w:val="18"/>
              </w:rPr>
            </w:pPr>
            <w:r>
              <w:rPr>
                <w:rFonts w:ascii="宋体" w:hAnsi="宋体" w:eastAsia="宋体" w:cs="宋体"/>
                <w:sz w:val="18"/>
                <w:szCs w:val="18"/>
              </w:rPr>
              <w:t>直接或间接为资产负债率超过70%的被担保对象提供的债务担保余额（E）</w:t>
            </w:r>
          </w:p>
        </w:tc>
        <w:tc>
          <w:tcPr>
            <w:tcW w:w="6134" w:type="dxa"/>
            <w:gridSpan w:val="7"/>
            <w:tcBorders>
              <w:top w:val="single" w:color="auto" w:sz="2" w:space="0"/>
              <w:left w:val="single" w:color="auto" w:sz="2" w:space="0"/>
              <w:bottom w:val="single" w:color="auto" w:sz="2" w:space="0"/>
              <w:right w:val="single" w:color="auto" w:sz="2" w:space="0"/>
            </w:tcBorders>
            <w:vAlign w:val="center"/>
          </w:tcPr>
          <w:p w14:paraId="2F8948ED">
            <w:pPr>
              <w:spacing w:line="240" w:lineRule="exact"/>
              <w:jc w:val="right"/>
              <w:rPr>
                <w:rFonts w:ascii="宋体" w:hAnsi="宋体" w:eastAsia="宋体" w:cs="宋体"/>
                <w:sz w:val="18"/>
                <w:szCs w:val="18"/>
              </w:rPr>
            </w:pPr>
            <w:r>
              <w:rPr>
                <w:rFonts w:ascii="宋体" w:hAnsi="宋体" w:eastAsia="宋体" w:cs="宋体"/>
                <w:sz w:val="18"/>
                <w:szCs w:val="18"/>
              </w:rPr>
              <w:t>38,990</w:t>
            </w:r>
          </w:p>
        </w:tc>
      </w:tr>
      <w:tr w14:paraId="4B14B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261F17C7">
            <w:pPr>
              <w:spacing w:before="40" w:after="40" w:line="240" w:lineRule="exact"/>
              <w:rPr>
                <w:rFonts w:ascii="宋体" w:hAnsi="宋体" w:eastAsia="宋体" w:cs="宋体"/>
                <w:sz w:val="18"/>
                <w:szCs w:val="18"/>
              </w:rPr>
            </w:pPr>
            <w:r>
              <w:rPr>
                <w:rFonts w:ascii="宋体" w:hAnsi="宋体" w:eastAsia="宋体" w:cs="宋体"/>
                <w:sz w:val="18"/>
                <w:szCs w:val="18"/>
              </w:rPr>
              <w:t>担保总额超过净资产50%部分的金额（F）</w:t>
            </w:r>
          </w:p>
        </w:tc>
        <w:tc>
          <w:tcPr>
            <w:tcW w:w="6134" w:type="dxa"/>
            <w:gridSpan w:val="7"/>
            <w:tcBorders>
              <w:top w:val="single" w:color="auto" w:sz="2" w:space="0"/>
              <w:left w:val="single" w:color="auto" w:sz="2" w:space="0"/>
              <w:bottom w:val="single" w:color="auto" w:sz="2" w:space="0"/>
              <w:right w:val="single" w:color="auto" w:sz="2" w:space="0"/>
            </w:tcBorders>
            <w:vAlign w:val="center"/>
          </w:tcPr>
          <w:p w14:paraId="0D519003">
            <w:pPr>
              <w:spacing w:line="240" w:lineRule="exact"/>
              <w:jc w:val="right"/>
              <w:rPr>
                <w:rFonts w:ascii="宋体" w:hAnsi="宋体" w:eastAsia="宋体" w:cs="宋体"/>
                <w:sz w:val="18"/>
                <w:szCs w:val="18"/>
              </w:rPr>
            </w:pPr>
            <w:r>
              <w:rPr>
                <w:rFonts w:ascii="宋体" w:hAnsi="宋体" w:eastAsia="宋体" w:cs="宋体"/>
                <w:sz w:val="18"/>
                <w:szCs w:val="18"/>
              </w:rPr>
              <w:t>180,390.8</w:t>
            </w:r>
          </w:p>
        </w:tc>
      </w:tr>
      <w:tr w14:paraId="21254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14CF95D8">
            <w:pPr>
              <w:spacing w:before="40" w:after="40" w:line="240" w:lineRule="exact"/>
              <w:rPr>
                <w:rFonts w:ascii="宋体" w:hAnsi="宋体" w:eastAsia="宋体" w:cs="宋体"/>
                <w:sz w:val="18"/>
                <w:szCs w:val="18"/>
              </w:rPr>
            </w:pPr>
            <w:r>
              <w:rPr>
                <w:rFonts w:ascii="宋体" w:hAnsi="宋体" w:eastAsia="宋体" w:cs="宋体"/>
                <w:sz w:val="18"/>
                <w:szCs w:val="18"/>
              </w:rPr>
              <w:t>上述三项担保金额合计（D+E+F）</w:t>
            </w:r>
          </w:p>
        </w:tc>
        <w:tc>
          <w:tcPr>
            <w:tcW w:w="6134" w:type="dxa"/>
            <w:gridSpan w:val="7"/>
            <w:tcBorders>
              <w:top w:val="single" w:color="auto" w:sz="2" w:space="0"/>
              <w:left w:val="single" w:color="auto" w:sz="2" w:space="0"/>
              <w:bottom w:val="single" w:color="auto" w:sz="2" w:space="0"/>
              <w:right w:val="single" w:color="auto" w:sz="2" w:space="0"/>
            </w:tcBorders>
            <w:vAlign w:val="center"/>
          </w:tcPr>
          <w:p w14:paraId="12EC2A0A">
            <w:pPr>
              <w:spacing w:line="240" w:lineRule="exact"/>
              <w:jc w:val="right"/>
              <w:rPr>
                <w:rFonts w:ascii="宋体" w:hAnsi="宋体" w:eastAsia="宋体" w:cs="宋体"/>
                <w:sz w:val="18"/>
                <w:szCs w:val="18"/>
              </w:rPr>
            </w:pPr>
            <w:r>
              <w:rPr>
                <w:rFonts w:ascii="宋体" w:hAnsi="宋体" w:eastAsia="宋体" w:cs="宋体"/>
                <w:sz w:val="18"/>
                <w:szCs w:val="18"/>
              </w:rPr>
              <w:t>219,380.8</w:t>
            </w:r>
          </w:p>
        </w:tc>
      </w:tr>
      <w:tr w14:paraId="2ACF6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4AEF246F">
            <w:pPr>
              <w:spacing w:before="40" w:after="40" w:line="240" w:lineRule="exact"/>
              <w:rPr>
                <w:rFonts w:ascii="宋体" w:hAnsi="宋体" w:eastAsia="宋体" w:cs="宋体"/>
                <w:sz w:val="18"/>
                <w:szCs w:val="18"/>
              </w:rPr>
            </w:pPr>
            <w:r>
              <w:rPr>
                <w:rFonts w:ascii="宋体" w:hAnsi="宋体" w:eastAsia="宋体" w:cs="宋体"/>
                <w:sz w:val="18"/>
                <w:szCs w:val="18"/>
              </w:rPr>
              <w:t>对未到期担保合同，报告期内发生担保责任或有证据表明有可能承担连带清偿责任的情况说明（如有）</w:t>
            </w:r>
          </w:p>
        </w:tc>
        <w:tc>
          <w:tcPr>
            <w:tcW w:w="6134" w:type="dxa"/>
            <w:gridSpan w:val="7"/>
            <w:tcBorders>
              <w:top w:val="single" w:color="auto" w:sz="2" w:space="0"/>
              <w:left w:val="single" w:color="auto" w:sz="2" w:space="0"/>
              <w:bottom w:val="single" w:color="auto" w:sz="2" w:space="0"/>
              <w:right w:val="single" w:color="auto" w:sz="2" w:space="0"/>
            </w:tcBorders>
            <w:vAlign w:val="center"/>
          </w:tcPr>
          <w:p w14:paraId="59A25D97">
            <w:pPr>
              <w:spacing w:line="240" w:lineRule="exact"/>
              <w:rPr>
                <w:rFonts w:ascii="宋体" w:hAnsi="宋体" w:eastAsia="宋体" w:cs="宋体"/>
                <w:sz w:val="18"/>
                <w:szCs w:val="18"/>
              </w:rPr>
            </w:pPr>
            <w:r>
              <w:rPr>
                <w:rFonts w:ascii="宋体" w:hAnsi="宋体" w:eastAsia="宋体" w:cs="宋体"/>
                <w:sz w:val="18"/>
                <w:szCs w:val="18"/>
              </w:rPr>
              <w:t>无</w:t>
            </w:r>
          </w:p>
        </w:tc>
      </w:tr>
      <w:tr w14:paraId="41F4A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34FF2A90">
            <w:pPr>
              <w:spacing w:before="40" w:after="40" w:line="240" w:lineRule="exact"/>
              <w:rPr>
                <w:rFonts w:ascii="宋体" w:hAnsi="宋体" w:eastAsia="宋体" w:cs="宋体"/>
                <w:sz w:val="18"/>
                <w:szCs w:val="18"/>
              </w:rPr>
            </w:pPr>
            <w:r>
              <w:rPr>
                <w:rFonts w:ascii="宋体" w:hAnsi="宋体" w:eastAsia="宋体" w:cs="宋体"/>
                <w:sz w:val="18"/>
                <w:szCs w:val="18"/>
              </w:rPr>
              <w:t>违反规定程序对外提供担保的说明（如有）</w:t>
            </w:r>
          </w:p>
        </w:tc>
        <w:tc>
          <w:tcPr>
            <w:tcW w:w="6134" w:type="dxa"/>
            <w:gridSpan w:val="7"/>
            <w:tcBorders>
              <w:top w:val="single" w:color="auto" w:sz="2" w:space="0"/>
              <w:left w:val="single" w:color="auto" w:sz="2" w:space="0"/>
              <w:bottom w:val="single" w:color="auto" w:sz="2" w:space="0"/>
              <w:right w:val="single" w:color="auto" w:sz="2" w:space="0"/>
            </w:tcBorders>
            <w:vAlign w:val="center"/>
          </w:tcPr>
          <w:p w14:paraId="4B8EFC0C">
            <w:pPr>
              <w:spacing w:line="240" w:lineRule="exact"/>
              <w:rPr>
                <w:rFonts w:ascii="宋体" w:hAnsi="宋体" w:eastAsia="宋体" w:cs="宋体"/>
                <w:sz w:val="18"/>
                <w:szCs w:val="18"/>
              </w:rPr>
            </w:pPr>
            <w:r>
              <w:rPr>
                <w:rFonts w:ascii="宋体" w:hAnsi="宋体" w:eastAsia="宋体" w:cs="宋体"/>
                <w:sz w:val="18"/>
                <w:szCs w:val="18"/>
              </w:rPr>
              <w:t>无</w:t>
            </w:r>
          </w:p>
        </w:tc>
      </w:tr>
    </w:tbl>
    <w:p w14:paraId="66B7F915">
      <w:pPr>
        <w:spacing w:before="100" w:after="100" w:line="240" w:lineRule="exact"/>
        <w:rPr>
          <w:rFonts w:ascii="宋体" w:hAnsi="宋体" w:eastAsia="宋体" w:cs="宋体"/>
          <w:sz w:val="18"/>
          <w:szCs w:val="18"/>
        </w:rPr>
      </w:pPr>
      <w:r>
        <w:rPr>
          <w:rFonts w:ascii="宋体" w:hAnsi="宋体" w:eastAsia="宋体" w:cs="宋体"/>
          <w:sz w:val="18"/>
          <w:szCs w:val="18"/>
        </w:rPr>
        <w:t>公司需遵守《深圳证券交易所上市公司自律监管指引第3号——行业信息披露》中纺织服装相关业的披露要求</w:t>
      </w:r>
    </w:p>
    <w:p w14:paraId="521B160C">
      <w:pPr>
        <w:spacing w:before="100" w:after="100" w:line="240" w:lineRule="exact"/>
        <w:rPr>
          <w:rFonts w:ascii="宋体" w:hAnsi="宋体" w:eastAsia="宋体" w:cs="宋体"/>
          <w:sz w:val="18"/>
          <w:szCs w:val="18"/>
        </w:rPr>
      </w:pPr>
      <w:r>
        <w:rPr>
          <w:rFonts w:ascii="宋体" w:hAnsi="宋体" w:eastAsia="宋体" w:cs="宋体"/>
          <w:sz w:val="18"/>
          <w:szCs w:val="18"/>
        </w:rPr>
        <w:t>公司是否存在为经销商提供担保或财务资助</w:t>
      </w:r>
    </w:p>
    <w:p w14:paraId="0DCE88FB">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20BD6C66">
      <w:pPr>
        <w:pStyle w:val="3"/>
        <w:spacing w:line="280" w:lineRule="exact"/>
        <w:jc w:val="left"/>
        <w:rPr>
          <w:rFonts w:ascii="宋体" w:hAnsi="宋体" w:cs="宋体"/>
          <w:b/>
          <w:bCs/>
        </w:rPr>
      </w:pPr>
      <w:bookmarkStart w:id="126" w:name="_Toc989015"/>
      <w:r>
        <w:rPr>
          <w:rFonts w:ascii="宋体" w:hAnsi="宋体" w:cs="宋体"/>
          <w:b/>
          <w:bCs/>
        </w:rPr>
        <w:t>3、委托他人进行现金资产管理情况</w:t>
      </w:r>
      <w:bookmarkEnd w:id="126"/>
    </w:p>
    <w:p w14:paraId="58613ECC">
      <w:pPr>
        <w:keepNext/>
        <w:keepLines/>
        <w:spacing w:before="300" w:after="300" w:line="280" w:lineRule="exact"/>
        <w:outlineLvl w:val="3"/>
        <w:rPr>
          <w:rFonts w:ascii="宋体" w:hAnsi="宋体" w:eastAsia="宋体" w:cs="宋体"/>
          <w:b/>
          <w:bCs/>
          <w:sz w:val="18"/>
          <w:szCs w:val="18"/>
        </w:rPr>
      </w:pPr>
      <w:bookmarkStart w:id="127" w:name="_Toc989016"/>
      <w:r>
        <w:rPr>
          <w:rFonts w:ascii="宋体" w:hAnsi="宋体" w:eastAsia="宋体" w:cs="宋体"/>
          <w:b/>
          <w:bCs/>
          <w:sz w:val="18"/>
          <w:szCs w:val="18"/>
        </w:rPr>
        <w:t>（1） 委托理财情况</w:t>
      </w:r>
      <w:bookmarkEnd w:id="127"/>
    </w:p>
    <w:p w14:paraId="1C05A944">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455C399D">
      <w:pPr>
        <w:spacing w:before="100" w:after="100" w:line="240" w:lineRule="exact"/>
        <w:rPr>
          <w:rFonts w:ascii="宋体" w:hAnsi="宋体" w:eastAsia="宋体" w:cs="宋体"/>
          <w:sz w:val="18"/>
          <w:szCs w:val="18"/>
        </w:rPr>
      </w:pPr>
      <w:r>
        <w:rPr>
          <w:rFonts w:ascii="宋体" w:hAnsi="宋体" w:eastAsia="宋体" w:cs="宋体"/>
          <w:sz w:val="18"/>
          <w:szCs w:val="18"/>
        </w:rPr>
        <w:t>报告期内委托理财概况</w:t>
      </w:r>
    </w:p>
    <w:p w14:paraId="62060608">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5D497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95F31AC">
            <w:pPr>
              <w:spacing w:before="40" w:after="40" w:line="240" w:lineRule="exact"/>
              <w:jc w:val="center"/>
              <w:rPr>
                <w:rFonts w:ascii="宋体" w:hAnsi="宋体" w:eastAsia="宋体" w:cs="宋体"/>
                <w:sz w:val="18"/>
                <w:szCs w:val="18"/>
              </w:rPr>
            </w:pPr>
            <w:r>
              <w:rPr>
                <w:rFonts w:ascii="宋体" w:hAnsi="宋体" w:eastAsia="宋体" w:cs="宋体"/>
                <w:sz w:val="18"/>
                <w:szCs w:val="18"/>
              </w:rPr>
              <w:t>产品类别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F93D34A">
            <w:pPr>
              <w:spacing w:before="40" w:after="40" w:line="240" w:lineRule="exact"/>
              <w:jc w:val="center"/>
              <w:rPr>
                <w:rFonts w:ascii="宋体" w:hAnsi="宋体" w:eastAsia="宋体" w:cs="宋体"/>
                <w:sz w:val="18"/>
                <w:szCs w:val="18"/>
              </w:rPr>
            </w:pPr>
            <w:r>
              <w:rPr>
                <w:rFonts w:ascii="宋体" w:hAnsi="宋体" w:eastAsia="宋体" w:cs="宋体"/>
                <w:sz w:val="18"/>
                <w:szCs w:val="18"/>
              </w:rPr>
              <w:t>风险特征</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065147E">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报告期内委托理财的余额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CAA7653">
            <w:pPr>
              <w:spacing w:before="40" w:after="40" w:line="240" w:lineRule="exact"/>
              <w:jc w:val="center"/>
              <w:rPr>
                <w:rFonts w:ascii="宋体" w:hAnsi="宋体" w:eastAsia="宋体" w:cs="宋体"/>
                <w:sz w:val="18"/>
                <w:szCs w:val="18"/>
              </w:rPr>
            </w:pPr>
            <w:r>
              <w:rPr>
                <w:rFonts w:ascii="宋体" w:hAnsi="宋体" w:eastAsia="宋体" w:cs="宋体"/>
                <w:sz w:val="18"/>
                <w:szCs w:val="18"/>
              </w:rPr>
              <w:t>逾期未收回的金额</w:t>
            </w:r>
          </w:p>
        </w:tc>
      </w:tr>
      <w:tr w14:paraId="24A5D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D26A22C">
            <w:pPr>
              <w:spacing w:line="240" w:lineRule="exact"/>
              <w:rPr>
                <w:rFonts w:ascii="宋体" w:hAnsi="宋体" w:eastAsia="宋体" w:cs="宋体"/>
                <w:sz w:val="18"/>
                <w:szCs w:val="18"/>
              </w:rPr>
            </w:pPr>
            <w:r>
              <w:rPr>
                <w:rFonts w:ascii="宋体" w:hAnsi="宋体" w:eastAsia="宋体" w:cs="宋体"/>
                <w:sz w:val="18"/>
                <w:szCs w:val="18"/>
              </w:rPr>
              <w:t>银行理财产品</w:t>
            </w:r>
          </w:p>
        </w:tc>
        <w:tc>
          <w:tcPr>
            <w:tcW w:w="2410" w:type="dxa"/>
            <w:tcBorders>
              <w:top w:val="single" w:color="auto" w:sz="2" w:space="0"/>
              <w:left w:val="single" w:color="auto" w:sz="2" w:space="0"/>
              <w:bottom w:val="single" w:color="auto" w:sz="2" w:space="0"/>
              <w:right w:val="single" w:color="auto" w:sz="2" w:space="0"/>
            </w:tcBorders>
            <w:vAlign w:val="center"/>
          </w:tcPr>
          <w:p w14:paraId="7C46EDD6">
            <w:pPr>
              <w:spacing w:line="240" w:lineRule="exact"/>
              <w:rPr>
                <w:rFonts w:ascii="宋体" w:hAnsi="宋体" w:eastAsia="宋体" w:cs="宋体"/>
                <w:sz w:val="18"/>
                <w:szCs w:val="18"/>
              </w:rPr>
            </w:pPr>
            <w:r>
              <w:rPr>
                <w:rFonts w:ascii="宋体" w:hAnsi="宋体" w:eastAsia="宋体" w:cs="宋体"/>
                <w:sz w:val="18"/>
                <w:szCs w:val="18"/>
              </w:rPr>
              <w:t>低风险</w:t>
            </w:r>
          </w:p>
        </w:tc>
        <w:tc>
          <w:tcPr>
            <w:tcW w:w="2410" w:type="dxa"/>
            <w:tcBorders>
              <w:top w:val="single" w:color="auto" w:sz="2" w:space="0"/>
              <w:left w:val="single" w:color="auto" w:sz="2" w:space="0"/>
              <w:bottom w:val="single" w:color="auto" w:sz="2" w:space="0"/>
              <w:right w:val="single" w:color="auto" w:sz="2" w:space="0"/>
            </w:tcBorders>
            <w:vAlign w:val="center"/>
          </w:tcPr>
          <w:p w14:paraId="7E14F309">
            <w:pPr>
              <w:spacing w:line="240" w:lineRule="exact"/>
              <w:jc w:val="right"/>
              <w:rPr>
                <w:rFonts w:ascii="宋体" w:hAnsi="宋体" w:eastAsia="宋体" w:cs="宋体"/>
                <w:sz w:val="18"/>
                <w:szCs w:val="18"/>
              </w:rPr>
            </w:pPr>
            <w:r>
              <w:rPr>
                <w:rFonts w:ascii="宋体" w:hAnsi="宋体" w:eastAsia="宋体" w:cs="宋体"/>
                <w:sz w:val="18"/>
                <w:szCs w:val="18"/>
              </w:rPr>
              <w:t>16,973.64</w:t>
            </w:r>
          </w:p>
        </w:tc>
        <w:tc>
          <w:tcPr>
            <w:tcW w:w="2410" w:type="dxa"/>
            <w:tcBorders>
              <w:top w:val="single" w:color="auto" w:sz="2" w:space="0"/>
              <w:left w:val="single" w:color="auto" w:sz="2" w:space="0"/>
              <w:bottom w:val="single" w:color="auto" w:sz="2" w:space="0"/>
              <w:right w:val="single" w:color="auto" w:sz="2" w:space="0"/>
            </w:tcBorders>
            <w:vAlign w:val="center"/>
          </w:tcPr>
          <w:p w14:paraId="6A7D319C">
            <w:pPr>
              <w:spacing w:line="240" w:lineRule="exact"/>
              <w:jc w:val="right"/>
              <w:rPr>
                <w:rFonts w:ascii="宋体" w:hAnsi="宋体" w:eastAsia="宋体" w:cs="宋体"/>
                <w:sz w:val="18"/>
                <w:szCs w:val="18"/>
              </w:rPr>
            </w:pPr>
            <w:r>
              <w:rPr>
                <w:rFonts w:ascii="宋体" w:hAnsi="宋体" w:eastAsia="宋体" w:cs="宋体"/>
                <w:sz w:val="18"/>
                <w:szCs w:val="18"/>
              </w:rPr>
              <w:t>0</w:t>
            </w:r>
          </w:p>
        </w:tc>
      </w:tr>
    </w:tbl>
    <w:p w14:paraId="1121E3F5">
      <w:pPr>
        <w:spacing w:before="100" w:after="100" w:line="240" w:lineRule="exact"/>
        <w:rPr>
          <w:rFonts w:ascii="宋体" w:hAnsi="宋体" w:eastAsia="宋体" w:cs="宋体"/>
          <w:sz w:val="18"/>
          <w:szCs w:val="18"/>
        </w:rPr>
      </w:pPr>
      <w:r>
        <w:rPr>
          <w:rFonts w:ascii="宋体" w:hAnsi="宋体" w:eastAsia="宋体" w:cs="宋体"/>
          <w:sz w:val="18"/>
          <w:szCs w:val="18"/>
        </w:rPr>
        <w:t>公司作为单一委托人委托金融机构开展资产管理，或投资安全性较低、流动性较差的高风险委托理财具体情况</w:t>
      </w:r>
    </w:p>
    <w:p w14:paraId="271DC32D">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8503D4C">
      <w:pPr>
        <w:keepNext/>
        <w:keepLines/>
        <w:spacing w:before="300" w:after="300" w:line="280" w:lineRule="exact"/>
        <w:outlineLvl w:val="3"/>
        <w:rPr>
          <w:rFonts w:ascii="宋体" w:hAnsi="宋体" w:eastAsia="宋体" w:cs="宋体"/>
          <w:b/>
          <w:bCs/>
          <w:sz w:val="18"/>
          <w:szCs w:val="18"/>
        </w:rPr>
      </w:pPr>
      <w:bookmarkStart w:id="128" w:name="_Toc989017"/>
      <w:r>
        <w:rPr>
          <w:rFonts w:ascii="宋体" w:hAnsi="宋体" w:eastAsia="宋体" w:cs="宋体"/>
          <w:b/>
          <w:bCs/>
          <w:sz w:val="18"/>
          <w:szCs w:val="18"/>
        </w:rPr>
        <w:t>（2） 委托贷款情况</w:t>
      </w:r>
      <w:bookmarkEnd w:id="128"/>
    </w:p>
    <w:p w14:paraId="6A8EA0CD">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13E87DE">
      <w:pPr>
        <w:spacing w:before="100" w:after="100" w:line="240" w:lineRule="exact"/>
        <w:rPr>
          <w:rFonts w:ascii="宋体" w:hAnsi="宋体" w:eastAsia="宋体" w:cs="宋体"/>
          <w:sz w:val="18"/>
          <w:szCs w:val="18"/>
        </w:rPr>
      </w:pPr>
      <w:r>
        <w:rPr>
          <w:rFonts w:ascii="宋体" w:hAnsi="宋体" w:eastAsia="宋体" w:cs="宋体"/>
          <w:sz w:val="18"/>
          <w:szCs w:val="18"/>
        </w:rPr>
        <w:t>公司报告期不存在委托贷款。</w:t>
      </w:r>
    </w:p>
    <w:p w14:paraId="24DADF6D">
      <w:pPr>
        <w:pStyle w:val="3"/>
        <w:spacing w:line="280" w:lineRule="exact"/>
        <w:jc w:val="left"/>
        <w:rPr>
          <w:rFonts w:ascii="宋体" w:hAnsi="宋体" w:cs="宋体"/>
          <w:b/>
          <w:bCs/>
        </w:rPr>
      </w:pPr>
      <w:bookmarkStart w:id="129" w:name="_Toc989018"/>
      <w:r>
        <w:rPr>
          <w:rFonts w:ascii="宋体" w:hAnsi="宋体" w:cs="宋体"/>
          <w:b/>
          <w:bCs/>
        </w:rPr>
        <w:t>4、其他重大合同</w:t>
      </w:r>
      <w:bookmarkEnd w:id="129"/>
    </w:p>
    <w:p w14:paraId="5FA28098">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528EE34">
      <w:pPr>
        <w:spacing w:before="100" w:after="100" w:line="240" w:lineRule="exact"/>
        <w:rPr>
          <w:rFonts w:ascii="宋体" w:hAnsi="宋体" w:eastAsia="宋体" w:cs="宋体"/>
          <w:sz w:val="18"/>
          <w:szCs w:val="18"/>
        </w:rPr>
      </w:pPr>
      <w:r>
        <w:rPr>
          <w:rFonts w:ascii="宋体" w:hAnsi="宋体" w:eastAsia="宋体" w:cs="宋体"/>
          <w:sz w:val="18"/>
          <w:szCs w:val="18"/>
        </w:rPr>
        <w:t>公司报告期不存在其他重大合同。</w:t>
      </w:r>
    </w:p>
    <w:p w14:paraId="0F4AAB70">
      <w:pPr>
        <w:pStyle w:val="2"/>
        <w:spacing w:before="300" w:after="300" w:line="320" w:lineRule="exact"/>
        <w:rPr>
          <w:rFonts w:ascii="宋体" w:hAnsi="宋体" w:eastAsia="宋体" w:cs="宋体"/>
          <w:b/>
          <w:bCs/>
          <w:sz w:val="24"/>
          <w:szCs w:val="24"/>
        </w:rPr>
      </w:pPr>
      <w:bookmarkStart w:id="130" w:name="_Toc989019"/>
      <w:r>
        <w:rPr>
          <w:rFonts w:ascii="宋体" w:hAnsi="宋体" w:eastAsia="宋体" w:cs="宋体"/>
          <w:b/>
          <w:bCs/>
          <w:sz w:val="24"/>
          <w:szCs w:val="24"/>
        </w:rPr>
        <w:t>十六、募集资金使用情况</w:t>
      </w:r>
      <w:bookmarkEnd w:id="130"/>
    </w:p>
    <w:p w14:paraId="090A9D1C">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21D6920E">
      <w:pPr>
        <w:pStyle w:val="3"/>
        <w:spacing w:line="280" w:lineRule="exact"/>
        <w:jc w:val="left"/>
        <w:rPr>
          <w:rFonts w:ascii="宋体" w:hAnsi="宋体" w:cs="宋体"/>
          <w:b/>
          <w:bCs/>
        </w:rPr>
      </w:pPr>
      <w:bookmarkStart w:id="131" w:name="_Toc989020"/>
      <w:r>
        <w:rPr>
          <w:rFonts w:ascii="宋体" w:hAnsi="宋体" w:cs="宋体"/>
          <w:b/>
          <w:bCs/>
        </w:rPr>
        <w:t>1、募集资金总体使用情况</w:t>
      </w:r>
      <w:bookmarkEnd w:id="131"/>
    </w:p>
    <w:p w14:paraId="7DDE1247">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56439116">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8"/>
        <w:gridCol w:w="688"/>
        <w:gridCol w:w="688"/>
        <w:gridCol w:w="688"/>
        <w:gridCol w:w="688"/>
        <w:gridCol w:w="688"/>
        <w:gridCol w:w="688"/>
      </w:tblGrid>
      <w:tr w14:paraId="09048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34A9D126">
            <w:pPr>
              <w:spacing w:before="40" w:after="40" w:line="240" w:lineRule="exact"/>
              <w:jc w:val="center"/>
              <w:rPr>
                <w:rFonts w:ascii="宋体" w:hAnsi="宋体" w:eastAsia="宋体" w:cs="宋体"/>
                <w:sz w:val="18"/>
                <w:szCs w:val="18"/>
              </w:rPr>
            </w:pPr>
            <w:r>
              <w:rPr>
                <w:rFonts w:ascii="宋体" w:hAnsi="宋体" w:eastAsia="宋体" w:cs="宋体"/>
                <w:sz w:val="18"/>
                <w:szCs w:val="18"/>
              </w:rPr>
              <w:t>募集年份</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3D24D9EF">
            <w:pPr>
              <w:spacing w:before="40" w:after="40" w:line="240" w:lineRule="exact"/>
              <w:jc w:val="center"/>
              <w:rPr>
                <w:rFonts w:ascii="宋体" w:hAnsi="宋体" w:eastAsia="宋体" w:cs="宋体"/>
                <w:sz w:val="18"/>
                <w:szCs w:val="18"/>
              </w:rPr>
            </w:pPr>
            <w:r>
              <w:rPr>
                <w:rFonts w:ascii="宋体" w:hAnsi="宋体" w:eastAsia="宋体" w:cs="宋体"/>
                <w:sz w:val="18"/>
                <w:szCs w:val="18"/>
              </w:rPr>
              <w:t>募集方式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6F8EB74">
            <w:pPr>
              <w:spacing w:before="40" w:after="40" w:line="240" w:lineRule="exact"/>
              <w:jc w:val="center"/>
              <w:rPr>
                <w:rFonts w:ascii="宋体" w:hAnsi="宋体" w:eastAsia="宋体" w:cs="宋体"/>
                <w:sz w:val="18"/>
                <w:szCs w:val="18"/>
              </w:rPr>
            </w:pPr>
            <w:r>
              <w:rPr>
                <w:rFonts w:ascii="宋体" w:hAnsi="宋体" w:eastAsia="宋体" w:cs="宋体"/>
                <w:sz w:val="18"/>
                <w:szCs w:val="18"/>
              </w:rPr>
              <w:t>证券上市日期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15F1C15B">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24A5F2B9">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募集资金净额（1）</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78C9A915">
            <w:pPr>
              <w:spacing w:before="40" w:after="40" w:line="240" w:lineRule="exact"/>
              <w:jc w:val="center"/>
              <w:rPr>
                <w:rFonts w:ascii="宋体" w:hAnsi="宋体" w:eastAsia="宋体" w:cs="宋体"/>
                <w:sz w:val="18"/>
                <w:szCs w:val="18"/>
              </w:rPr>
            </w:pPr>
            <w:r>
              <w:rPr>
                <w:rFonts w:ascii="宋体" w:hAnsi="宋体" w:eastAsia="宋体" w:cs="宋体"/>
                <w:sz w:val="18"/>
                <w:szCs w:val="18"/>
              </w:rPr>
              <w:t>本期已使用募集资金总额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7CD81E8">
            <w:pPr>
              <w:spacing w:before="40" w:after="40" w:line="240" w:lineRule="exact"/>
              <w:jc w:val="center"/>
              <w:rPr>
                <w:rFonts w:ascii="宋体" w:hAnsi="宋体" w:eastAsia="宋体" w:cs="宋体"/>
                <w:sz w:val="18"/>
                <w:szCs w:val="18"/>
              </w:rPr>
            </w:pPr>
            <w:r>
              <w:rPr>
                <w:rFonts w:ascii="宋体" w:hAnsi="宋体" w:eastAsia="宋体" w:cs="宋体"/>
                <w:sz w:val="18"/>
                <w:szCs w:val="18"/>
              </w:rPr>
              <w:t>已累计使用募集资金总额（2）</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341A7328">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报告期末募集资金使用比例（3）=（2）/（1）</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5DC63707">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报告期内变更用途的募集资金总额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6F0F6733">
            <w:pPr>
              <w:spacing w:before="40" w:after="40" w:line="240" w:lineRule="exact"/>
              <w:jc w:val="center"/>
              <w:rPr>
                <w:rFonts w:ascii="宋体" w:hAnsi="宋体" w:eastAsia="宋体" w:cs="宋体"/>
                <w:sz w:val="18"/>
                <w:szCs w:val="18"/>
              </w:rPr>
            </w:pPr>
            <w:r>
              <w:rPr>
                <w:rFonts w:ascii="宋体" w:hAnsi="宋体" w:eastAsia="宋体" w:cs="宋体"/>
                <w:sz w:val="18"/>
                <w:szCs w:val="18"/>
              </w:rPr>
              <w:t>累计变更用途的募集资金总额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7CBFF051">
            <w:pPr>
              <w:spacing w:before="40" w:after="40" w:line="240" w:lineRule="exact"/>
              <w:jc w:val="center"/>
              <w:rPr>
                <w:rFonts w:ascii="宋体" w:hAnsi="宋体" w:eastAsia="宋体" w:cs="宋体"/>
                <w:sz w:val="18"/>
                <w:szCs w:val="18"/>
              </w:rPr>
            </w:pPr>
            <w:r>
              <w:rPr>
                <w:rFonts w:ascii="宋体" w:hAnsi="宋体" w:eastAsia="宋体" w:cs="宋体"/>
                <w:sz w:val="18"/>
                <w:szCs w:val="18"/>
              </w:rPr>
              <w:t>累计变更用途的募集资金总额比例</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07A8C2FB">
            <w:pPr>
              <w:spacing w:before="40" w:after="40" w:line="240" w:lineRule="exact"/>
              <w:jc w:val="center"/>
              <w:rPr>
                <w:rFonts w:ascii="宋体" w:hAnsi="宋体" w:eastAsia="宋体" w:cs="宋体"/>
                <w:sz w:val="18"/>
                <w:szCs w:val="18"/>
              </w:rPr>
            </w:pPr>
            <w:r>
              <w:rPr>
                <w:rFonts w:ascii="宋体" w:hAnsi="宋体" w:eastAsia="宋体" w:cs="宋体"/>
                <w:sz w:val="18"/>
                <w:szCs w:val="18"/>
              </w:rPr>
              <w:t>尚未使用募集资金总额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3DB3A47A">
            <w:pPr>
              <w:spacing w:before="40" w:after="40" w:line="240" w:lineRule="exact"/>
              <w:jc w:val="center"/>
              <w:rPr>
                <w:rFonts w:ascii="宋体" w:hAnsi="宋体" w:eastAsia="宋体" w:cs="宋体"/>
                <w:sz w:val="18"/>
                <w:szCs w:val="18"/>
              </w:rPr>
            </w:pPr>
            <w:r>
              <w:rPr>
                <w:rFonts w:ascii="宋体" w:hAnsi="宋体" w:eastAsia="宋体" w:cs="宋体"/>
                <w:sz w:val="18"/>
                <w:szCs w:val="18"/>
              </w:rPr>
              <w:t>尚未使用募集资金用途及去向</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610F5AC2">
            <w:pPr>
              <w:spacing w:before="40" w:after="40" w:line="240" w:lineRule="exact"/>
              <w:jc w:val="center"/>
              <w:rPr>
                <w:rFonts w:ascii="宋体" w:hAnsi="宋体" w:eastAsia="宋体" w:cs="宋体"/>
                <w:sz w:val="18"/>
                <w:szCs w:val="18"/>
              </w:rPr>
            </w:pPr>
            <w:r>
              <w:rPr>
                <w:rFonts w:ascii="宋体" w:hAnsi="宋体" w:eastAsia="宋体" w:cs="宋体"/>
                <w:sz w:val="18"/>
                <w:szCs w:val="18"/>
              </w:rPr>
              <w:t>闲置两年以上募集资金金额</w:t>
            </w:r>
          </w:p>
        </w:tc>
      </w:tr>
      <w:tr w14:paraId="6D29A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14:paraId="420C3C04">
            <w:pPr>
              <w:spacing w:line="240" w:lineRule="exact"/>
              <w:rPr>
                <w:rFonts w:ascii="宋体" w:hAnsi="宋体" w:eastAsia="宋体" w:cs="宋体"/>
                <w:sz w:val="18"/>
                <w:szCs w:val="18"/>
              </w:rPr>
            </w:pPr>
            <w:r>
              <w:rPr>
                <w:rFonts w:ascii="宋体" w:hAnsi="宋体" w:eastAsia="宋体" w:cs="宋体"/>
                <w:sz w:val="18"/>
                <w:szCs w:val="18"/>
              </w:rPr>
              <w:t>2021年</w:t>
            </w:r>
          </w:p>
        </w:tc>
        <w:tc>
          <w:tcPr>
            <w:tcW w:w="689" w:type="dxa"/>
            <w:tcBorders>
              <w:top w:val="single" w:color="auto" w:sz="2" w:space="0"/>
              <w:left w:val="single" w:color="auto" w:sz="2" w:space="0"/>
              <w:bottom w:val="single" w:color="auto" w:sz="2" w:space="0"/>
              <w:right w:val="single" w:color="auto" w:sz="2" w:space="0"/>
            </w:tcBorders>
            <w:vAlign w:val="center"/>
          </w:tcPr>
          <w:p w14:paraId="684522C5">
            <w:pPr>
              <w:spacing w:line="240" w:lineRule="exact"/>
              <w:rPr>
                <w:rFonts w:ascii="宋体" w:hAnsi="宋体" w:eastAsia="宋体" w:cs="宋体"/>
                <w:sz w:val="18"/>
                <w:szCs w:val="18"/>
              </w:rPr>
            </w:pPr>
            <w:r>
              <w:rPr>
                <w:rFonts w:ascii="宋体" w:hAnsi="宋体" w:eastAsia="宋体" w:cs="宋体"/>
                <w:sz w:val="18"/>
                <w:szCs w:val="18"/>
              </w:rPr>
              <w:t>非公开发行 </w:t>
            </w:r>
          </w:p>
        </w:tc>
        <w:tc>
          <w:tcPr>
            <w:tcW w:w="689" w:type="dxa"/>
            <w:tcBorders>
              <w:top w:val="single" w:color="auto" w:sz="2" w:space="0"/>
              <w:left w:val="single" w:color="auto" w:sz="2" w:space="0"/>
              <w:bottom w:val="single" w:color="auto" w:sz="2" w:space="0"/>
              <w:right w:val="single" w:color="auto" w:sz="2" w:space="0"/>
            </w:tcBorders>
            <w:vAlign w:val="center"/>
          </w:tcPr>
          <w:p w14:paraId="7421028D">
            <w:pPr>
              <w:spacing w:line="240" w:lineRule="exact"/>
              <w:rPr>
                <w:rFonts w:ascii="宋体" w:hAnsi="宋体" w:eastAsia="宋体" w:cs="宋体"/>
                <w:sz w:val="18"/>
                <w:szCs w:val="18"/>
              </w:rPr>
            </w:pPr>
            <w:r>
              <w:rPr>
                <w:rFonts w:ascii="宋体" w:hAnsi="宋体" w:eastAsia="宋体" w:cs="宋体"/>
                <w:sz w:val="18"/>
                <w:szCs w:val="18"/>
              </w:rPr>
              <w:t>2021年10月14日</w:t>
            </w:r>
          </w:p>
        </w:tc>
        <w:tc>
          <w:tcPr>
            <w:tcW w:w="689" w:type="dxa"/>
            <w:tcBorders>
              <w:top w:val="single" w:color="auto" w:sz="2" w:space="0"/>
              <w:left w:val="single" w:color="auto" w:sz="2" w:space="0"/>
              <w:bottom w:val="single" w:color="auto" w:sz="2" w:space="0"/>
              <w:right w:val="single" w:color="auto" w:sz="2" w:space="0"/>
            </w:tcBorders>
            <w:vAlign w:val="center"/>
          </w:tcPr>
          <w:p w14:paraId="3EF48FF3">
            <w:pPr>
              <w:spacing w:line="240" w:lineRule="exact"/>
              <w:jc w:val="right"/>
              <w:rPr>
                <w:rFonts w:ascii="宋体" w:hAnsi="宋体" w:eastAsia="宋体" w:cs="宋体"/>
                <w:sz w:val="18"/>
                <w:szCs w:val="18"/>
              </w:rPr>
            </w:pPr>
            <w:r>
              <w:rPr>
                <w:rFonts w:ascii="宋体" w:hAnsi="宋体" w:eastAsia="宋体" w:cs="宋体"/>
                <w:sz w:val="18"/>
                <w:szCs w:val="18"/>
              </w:rPr>
              <w:t>112,637.54</w:t>
            </w:r>
          </w:p>
        </w:tc>
        <w:tc>
          <w:tcPr>
            <w:tcW w:w="689" w:type="dxa"/>
            <w:tcBorders>
              <w:top w:val="single" w:color="auto" w:sz="2" w:space="0"/>
              <w:left w:val="single" w:color="auto" w:sz="2" w:space="0"/>
              <w:bottom w:val="single" w:color="auto" w:sz="2" w:space="0"/>
              <w:right w:val="single" w:color="auto" w:sz="2" w:space="0"/>
            </w:tcBorders>
            <w:vAlign w:val="center"/>
          </w:tcPr>
          <w:p w14:paraId="09D9720A">
            <w:pPr>
              <w:spacing w:line="240" w:lineRule="exact"/>
              <w:jc w:val="right"/>
              <w:rPr>
                <w:rFonts w:ascii="宋体" w:hAnsi="宋体" w:eastAsia="宋体" w:cs="宋体"/>
                <w:sz w:val="18"/>
                <w:szCs w:val="18"/>
              </w:rPr>
            </w:pPr>
            <w:r>
              <w:rPr>
                <w:rFonts w:ascii="宋体" w:hAnsi="宋体" w:eastAsia="宋体" w:cs="宋体"/>
                <w:sz w:val="18"/>
                <w:szCs w:val="18"/>
              </w:rPr>
              <w:t>112,637.54</w:t>
            </w:r>
          </w:p>
        </w:tc>
        <w:tc>
          <w:tcPr>
            <w:tcW w:w="689" w:type="dxa"/>
            <w:tcBorders>
              <w:top w:val="single" w:color="auto" w:sz="2" w:space="0"/>
              <w:left w:val="single" w:color="auto" w:sz="2" w:space="0"/>
              <w:bottom w:val="single" w:color="auto" w:sz="2" w:space="0"/>
              <w:right w:val="single" w:color="auto" w:sz="2" w:space="0"/>
            </w:tcBorders>
            <w:vAlign w:val="center"/>
          </w:tcPr>
          <w:p w14:paraId="3F85638F">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14:paraId="77B6DD92">
            <w:pPr>
              <w:spacing w:line="240" w:lineRule="exact"/>
              <w:jc w:val="right"/>
              <w:rPr>
                <w:rFonts w:ascii="宋体" w:hAnsi="宋体" w:eastAsia="宋体" w:cs="宋体"/>
                <w:sz w:val="18"/>
                <w:szCs w:val="18"/>
              </w:rPr>
            </w:pPr>
            <w:r>
              <w:rPr>
                <w:rFonts w:ascii="宋体" w:hAnsi="宋体" w:eastAsia="宋体" w:cs="宋体"/>
                <w:sz w:val="18"/>
                <w:szCs w:val="18"/>
              </w:rPr>
              <w:t>113,685.68</w:t>
            </w:r>
          </w:p>
        </w:tc>
        <w:tc>
          <w:tcPr>
            <w:tcW w:w="689" w:type="dxa"/>
            <w:tcBorders>
              <w:top w:val="single" w:color="auto" w:sz="2" w:space="0"/>
              <w:left w:val="single" w:color="auto" w:sz="2" w:space="0"/>
              <w:bottom w:val="single" w:color="auto" w:sz="2" w:space="0"/>
              <w:right w:val="single" w:color="auto" w:sz="2" w:space="0"/>
            </w:tcBorders>
            <w:vAlign w:val="center"/>
          </w:tcPr>
          <w:p w14:paraId="33FD371C">
            <w:pPr>
              <w:spacing w:line="240" w:lineRule="exact"/>
              <w:jc w:val="right"/>
              <w:rPr>
                <w:rFonts w:ascii="宋体" w:hAnsi="宋体" w:eastAsia="宋体" w:cs="宋体"/>
                <w:sz w:val="18"/>
                <w:szCs w:val="18"/>
              </w:rPr>
            </w:pPr>
            <w:r>
              <w:rPr>
                <w:rFonts w:ascii="宋体" w:hAnsi="宋体" w:eastAsia="宋体" w:cs="宋体"/>
                <w:sz w:val="18"/>
                <w:szCs w:val="18"/>
              </w:rPr>
              <w:t>100.93%</w:t>
            </w:r>
          </w:p>
        </w:tc>
        <w:tc>
          <w:tcPr>
            <w:tcW w:w="689" w:type="dxa"/>
            <w:tcBorders>
              <w:top w:val="single" w:color="auto" w:sz="2" w:space="0"/>
              <w:left w:val="single" w:color="auto" w:sz="2" w:space="0"/>
              <w:bottom w:val="single" w:color="auto" w:sz="2" w:space="0"/>
              <w:right w:val="single" w:color="auto" w:sz="2" w:space="0"/>
            </w:tcBorders>
            <w:vAlign w:val="center"/>
          </w:tcPr>
          <w:p w14:paraId="4386B46E">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14:paraId="2BB38913">
            <w:pPr>
              <w:spacing w:line="240" w:lineRule="exact"/>
              <w:jc w:val="right"/>
              <w:rPr>
                <w:rFonts w:ascii="宋体" w:hAnsi="宋体" w:eastAsia="宋体" w:cs="宋体"/>
                <w:sz w:val="18"/>
                <w:szCs w:val="18"/>
              </w:rPr>
            </w:pPr>
            <w:r>
              <w:rPr>
                <w:rFonts w:ascii="宋体" w:hAnsi="宋体" w:eastAsia="宋体" w:cs="宋体"/>
                <w:sz w:val="18"/>
                <w:szCs w:val="18"/>
              </w:rPr>
              <w:t>78,846.28</w:t>
            </w:r>
          </w:p>
        </w:tc>
        <w:tc>
          <w:tcPr>
            <w:tcW w:w="689" w:type="dxa"/>
            <w:tcBorders>
              <w:top w:val="single" w:color="auto" w:sz="2" w:space="0"/>
              <w:left w:val="single" w:color="auto" w:sz="2" w:space="0"/>
              <w:bottom w:val="single" w:color="auto" w:sz="2" w:space="0"/>
              <w:right w:val="single" w:color="auto" w:sz="2" w:space="0"/>
            </w:tcBorders>
            <w:vAlign w:val="center"/>
          </w:tcPr>
          <w:p w14:paraId="1EE3917E">
            <w:pPr>
              <w:spacing w:line="240" w:lineRule="exact"/>
              <w:jc w:val="right"/>
              <w:rPr>
                <w:rFonts w:ascii="宋体" w:hAnsi="宋体" w:eastAsia="宋体" w:cs="宋体"/>
                <w:sz w:val="18"/>
                <w:szCs w:val="18"/>
              </w:rPr>
            </w:pPr>
            <w:r>
              <w:rPr>
                <w:rFonts w:ascii="宋体" w:hAnsi="宋体" w:eastAsia="宋体" w:cs="宋体"/>
                <w:sz w:val="18"/>
                <w:szCs w:val="18"/>
              </w:rPr>
              <w:t>70.00%</w:t>
            </w:r>
          </w:p>
        </w:tc>
        <w:tc>
          <w:tcPr>
            <w:tcW w:w="689" w:type="dxa"/>
            <w:tcBorders>
              <w:top w:val="single" w:color="auto" w:sz="2" w:space="0"/>
              <w:left w:val="single" w:color="auto" w:sz="2" w:space="0"/>
              <w:bottom w:val="single" w:color="auto" w:sz="2" w:space="0"/>
              <w:right w:val="single" w:color="auto" w:sz="2" w:space="0"/>
            </w:tcBorders>
            <w:vAlign w:val="center"/>
          </w:tcPr>
          <w:p w14:paraId="50B13490">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14:paraId="00E827A0">
            <w:pPr>
              <w:spacing w:line="240" w:lineRule="exact"/>
              <w:rPr>
                <w:rFonts w:ascii="宋体" w:hAnsi="宋体" w:eastAsia="宋体" w:cs="宋体"/>
                <w:sz w:val="18"/>
                <w:szCs w:val="18"/>
              </w:rPr>
            </w:pPr>
            <w:r>
              <w:rPr>
                <w:rFonts w:ascii="宋体" w:hAnsi="宋体" w:eastAsia="宋体" w:cs="宋体"/>
                <w:sz w:val="18"/>
                <w:szCs w:val="18"/>
              </w:rPr>
              <w:t> -</w:t>
            </w:r>
          </w:p>
        </w:tc>
        <w:tc>
          <w:tcPr>
            <w:tcW w:w="689" w:type="dxa"/>
            <w:tcBorders>
              <w:top w:val="single" w:color="auto" w:sz="2" w:space="0"/>
              <w:left w:val="single" w:color="auto" w:sz="2" w:space="0"/>
              <w:bottom w:val="single" w:color="auto" w:sz="2" w:space="0"/>
              <w:right w:val="single" w:color="auto" w:sz="2" w:space="0"/>
            </w:tcBorders>
            <w:vAlign w:val="center"/>
          </w:tcPr>
          <w:p w14:paraId="43D82CE9">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5AA53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420B2820">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79C21809">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3186E110">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vAlign w:val="center"/>
          </w:tcPr>
          <w:p w14:paraId="3EA98B6D">
            <w:pPr>
              <w:spacing w:line="240" w:lineRule="exact"/>
              <w:jc w:val="right"/>
              <w:rPr>
                <w:rFonts w:ascii="宋体" w:hAnsi="宋体" w:eastAsia="宋体" w:cs="宋体"/>
                <w:sz w:val="18"/>
                <w:szCs w:val="18"/>
              </w:rPr>
            </w:pPr>
            <w:r>
              <w:rPr>
                <w:rFonts w:ascii="宋体" w:hAnsi="宋体" w:eastAsia="宋体" w:cs="宋体"/>
                <w:sz w:val="18"/>
                <w:szCs w:val="18"/>
              </w:rPr>
              <w:t>112,637.54</w:t>
            </w:r>
          </w:p>
        </w:tc>
        <w:tc>
          <w:tcPr>
            <w:tcW w:w="689" w:type="dxa"/>
            <w:tcBorders>
              <w:top w:val="single" w:color="auto" w:sz="2" w:space="0"/>
              <w:left w:val="single" w:color="auto" w:sz="2" w:space="0"/>
              <w:bottom w:val="single" w:color="auto" w:sz="2" w:space="0"/>
              <w:right w:val="single" w:color="auto" w:sz="2" w:space="0"/>
            </w:tcBorders>
            <w:vAlign w:val="center"/>
          </w:tcPr>
          <w:p w14:paraId="42F76FE2">
            <w:pPr>
              <w:spacing w:line="240" w:lineRule="exact"/>
              <w:jc w:val="right"/>
              <w:rPr>
                <w:rFonts w:ascii="宋体" w:hAnsi="宋体" w:eastAsia="宋体" w:cs="宋体"/>
                <w:sz w:val="18"/>
                <w:szCs w:val="18"/>
              </w:rPr>
            </w:pPr>
            <w:r>
              <w:rPr>
                <w:rFonts w:ascii="宋体" w:hAnsi="宋体" w:eastAsia="宋体" w:cs="宋体"/>
                <w:sz w:val="18"/>
                <w:szCs w:val="18"/>
              </w:rPr>
              <w:t>112,637.54</w:t>
            </w:r>
          </w:p>
        </w:tc>
        <w:tc>
          <w:tcPr>
            <w:tcW w:w="689" w:type="dxa"/>
            <w:tcBorders>
              <w:top w:val="single" w:color="auto" w:sz="2" w:space="0"/>
              <w:left w:val="single" w:color="auto" w:sz="2" w:space="0"/>
              <w:bottom w:val="single" w:color="auto" w:sz="2" w:space="0"/>
              <w:right w:val="single" w:color="auto" w:sz="2" w:space="0"/>
            </w:tcBorders>
            <w:vAlign w:val="center"/>
          </w:tcPr>
          <w:p w14:paraId="6F32B248">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14:paraId="1AB104B2">
            <w:pPr>
              <w:spacing w:line="240" w:lineRule="exact"/>
              <w:jc w:val="right"/>
              <w:rPr>
                <w:rFonts w:ascii="宋体" w:hAnsi="宋体" w:eastAsia="宋体" w:cs="宋体"/>
                <w:sz w:val="18"/>
                <w:szCs w:val="18"/>
              </w:rPr>
            </w:pPr>
            <w:r>
              <w:rPr>
                <w:rFonts w:ascii="宋体" w:hAnsi="宋体" w:eastAsia="宋体" w:cs="宋体"/>
                <w:sz w:val="18"/>
                <w:szCs w:val="18"/>
              </w:rPr>
              <w:t>113,685.68</w:t>
            </w:r>
          </w:p>
        </w:tc>
        <w:tc>
          <w:tcPr>
            <w:tcW w:w="689" w:type="dxa"/>
            <w:tcBorders>
              <w:top w:val="single" w:color="auto" w:sz="2" w:space="0"/>
              <w:left w:val="single" w:color="auto" w:sz="2" w:space="0"/>
              <w:bottom w:val="single" w:color="auto" w:sz="2" w:space="0"/>
              <w:right w:val="single" w:color="auto" w:sz="2" w:space="0"/>
            </w:tcBorders>
            <w:vAlign w:val="center"/>
          </w:tcPr>
          <w:p w14:paraId="370D1004">
            <w:pPr>
              <w:spacing w:line="240" w:lineRule="exact"/>
              <w:jc w:val="right"/>
              <w:rPr>
                <w:rFonts w:ascii="宋体" w:hAnsi="宋体" w:eastAsia="宋体" w:cs="宋体"/>
                <w:sz w:val="18"/>
                <w:szCs w:val="18"/>
              </w:rPr>
            </w:pPr>
            <w:r>
              <w:rPr>
                <w:rFonts w:ascii="宋体" w:hAnsi="宋体" w:eastAsia="宋体" w:cs="宋体"/>
                <w:sz w:val="18"/>
                <w:szCs w:val="18"/>
              </w:rPr>
              <w:t>100.93%</w:t>
            </w:r>
          </w:p>
        </w:tc>
        <w:tc>
          <w:tcPr>
            <w:tcW w:w="689" w:type="dxa"/>
            <w:tcBorders>
              <w:top w:val="single" w:color="auto" w:sz="2" w:space="0"/>
              <w:left w:val="single" w:color="auto" w:sz="2" w:space="0"/>
              <w:bottom w:val="single" w:color="auto" w:sz="2" w:space="0"/>
              <w:right w:val="single" w:color="auto" w:sz="2" w:space="0"/>
            </w:tcBorders>
            <w:vAlign w:val="center"/>
          </w:tcPr>
          <w:p w14:paraId="21498943">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14:paraId="6D5A9846">
            <w:pPr>
              <w:spacing w:line="240" w:lineRule="exact"/>
              <w:jc w:val="right"/>
              <w:rPr>
                <w:rFonts w:ascii="宋体" w:hAnsi="宋体" w:eastAsia="宋体" w:cs="宋体"/>
                <w:sz w:val="18"/>
                <w:szCs w:val="18"/>
              </w:rPr>
            </w:pPr>
            <w:r>
              <w:rPr>
                <w:rFonts w:ascii="宋体" w:hAnsi="宋体" w:eastAsia="宋体" w:cs="宋体"/>
                <w:sz w:val="18"/>
                <w:szCs w:val="18"/>
              </w:rPr>
              <w:t>78,846.28</w:t>
            </w:r>
          </w:p>
        </w:tc>
        <w:tc>
          <w:tcPr>
            <w:tcW w:w="689" w:type="dxa"/>
            <w:tcBorders>
              <w:top w:val="single" w:color="auto" w:sz="2" w:space="0"/>
              <w:left w:val="single" w:color="auto" w:sz="2" w:space="0"/>
              <w:bottom w:val="single" w:color="auto" w:sz="2" w:space="0"/>
              <w:right w:val="single" w:color="auto" w:sz="2" w:space="0"/>
            </w:tcBorders>
            <w:vAlign w:val="center"/>
          </w:tcPr>
          <w:p w14:paraId="727925EA">
            <w:pPr>
              <w:spacing w:line="240" w:lineRule="exact"/>
              <w:jc w:val="right"/>
              <w:rPr>
                <w:rFonts w:ascii="宋体" w:hAnsi="宋体" w:eastAsia="宋体" w:cs="宋体"/>
                <w:sz w:val="18"/>
                <w:szCs w:val="18"/>
              </w:rPr>
            </w:pPr>
            <w:r>
              <w:rPr>
                <w:rFonts w:ascii="宋体" w:hAnsi="宋体" w:eastAsia="宋体" w:cs="宋体"/>
                <w:sz w:val="18"/>
                <w:szCs w:val="18"/>
              </w:rPr>
              <w:t>70.00%</w:t>
            </w:r>
          </w:p>
        </w:tc>
        <w:tc>
          <w:tcPr>
            <w:tcW w:w="689" w:type="dxa"/>
            <w:tcBorders>
              <w:top w:val="single" w:color="auto" w:sz="2" w:space="0"/>
              <w:left w:val="single" w:color="auto" w:sz="2" w:space="0"/>
              <w:bottom w:val="single" w:color="auto" w:sz="2" w:space="0"/>
              <w:right w:val="single" w:color="auto" w:sz="2" w:space="0"/>
            </w:tcBorders>
            <w:vAlign w:val="center"/>
          </w:tcPr>
          <w:p w14:paraId="6156DA53">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14:paraId="330C07A2">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vAlign w:val="center"/>
          </w:tcPr>
          <w:p w14:paraId="3B37C675">
            <w:pPr>
              <w:spacing w:line="240" w:lineRule="exact"/>
              <w:jc w:val="right"/>
              <w:rPr>
                <w:rFonts w:ascii="宋体" w:hAnsi="宋体" w:eastAsia="宋体" w:cs="宋体"/>
                <w:sz w:val="18"/>
                <w:szCs w:val="18"/>
              </w:rPr>
            </w:pPr>
            <w:r>
              <w:rPr>
                <w:rFonts w:ascii="宋体" w:hAnsi="宋体" w:eastAsia="宋体" w:cs="宋体"/>
                <w:sz w:val="18"/>
                <w:szCs w:val="18"/>
              </w:rPr>
              <w:t>0</w:t>
            </w:r>
          </w:p>
        </w:tc>
      </w:tr>
    </w:tbl>
    <w:p w14:paraId="29A535DC">
      <w:pPr>
        <w:spacing w:before="100" w:after="100" w:line="240" w:lineRule="exact"/>
        <w:rPr>
          <w:rFonts w:ascii="宋体" w:hAnsi="宋体" w:eastAsia="宋体" w:cs="宋体"/>
          <w:sz w:val="18"/>
          <w:szCs w:val="18"/>
        </w:rPr>
      </w:pPr>
      <w:r>
        <w:rPr>
          <w:rFonts w:ascii="宋体" w:hAnsi="宋体" w:eastAsia="宋体" w:cs="宋体"/>
          <w:sz w:val="18"/>
          <w:szCs w:val="18"/>
        </w:rPr>
        <w:t>募集资金总体使用情况说明：</w:t>
      </w:r>
      <w:r>
        <w:rPr>
          <w:rFonts w:hint="eastAsia"/>
          <w:sz w:val="18"/>
          <w:szCs w:val="18"/>
        </w:rPr>
        <w:t>详见2026年4月29日披露于巨潮资讯网（www.cninfo.com.cn）上的《公司2025年度募集资金存放和实际使用情况的专项报告》。</w:t>
      </w:r>
    </w:p>
    <w:p w14:paraId="599D39C8">
      <w:pPr>
        <w:pStyle w:val="3"/>
        <w:spacing w:line="280" w:lineRule="exact"/>
        <w:jc w:val="left"/>
        <w:rPr>
          <w:rFonts w:ascii="宋体" w:hAnsi="宋体" w:cs="宋体"/>
          <w:b/>
          <w:bCs/>
        </w:rPr>
      </w:pPr>
      <w:bookmarkStart w:id="132" w:name="_Toc989021"/>
      <w:r>
        <w:rPr>
          <w:rFonts w:ascii="宋体" w:hAnsi="宋体" w:cs="宋体"/>
          <w:b/>
          <w:bCs/>
        </w:rPr>
        <w:t>2、募集资金承诺项目情况</w:t>
      </w:r>
      <w:bookmarkEnd w:id="132"/>
    </w:p>
    <w:p w14:paraId="5D44C027">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0E2AFDE3">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2"/>
        <w:gridCol w:w="642"/>
        <w:gridCol w:w="642"/>
        <w:gridCol w:w="642"/>
        <w:gridCol w:w="642"/>
        <w:gridCol w:w="51"/>
        <w:gridCol w:w="591"/>
        <w:gridCol w:w="643"/>
        <w:gridCol w:w="643"/>
        <w:gridCol w:w="643"/>
        <w:gridCol w:w="643"/>
        <w:gridCol w:w="643"/>
        <w:gridCol w:w="643"/>
        <w:gridCol w:w="643"/>
        <w:gridCol w:w="643"/>
        <w:gridCol w:w="643"/>
      </w:tblGrid>
      <w:tr w14:paraId="24C43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2" w:type="dxa"/>
            <w:tcBorders>
              <w:top w:val="single" w:color="auto" w:sz="2" w:space="0"/>
              <w:left w:val="single" w:color="auto" w:sz="2" w:space="0"/>
              <w:bottom w:val="single" w:color="auto" w:sz="2" w:space="0"/>
              <w:right w:val="single" w:color="auto" w:sz="2" w:space="0"/>
            </w:tcBorders>
            <w:shd w:val="clear" w:color="auto" w:fill="D3D3D3"/>
            <w:vAlign w:val="center"/>
          </w:tcPr>
          <w:p w14:paraId="194DA6A4">
            <w:pPr>
              <w:spacing w:before="40" w:after="40" w:line="240" w:lineRule="exact"/>
              <w:jc w:val="center"/>
              <w:rPr>
                <w:rFonts w:ascii="宋体" w:hAnsi="宋体" w:eastAsia="宋体" w:cs="宋体"/>
                <w:sz w:val="18"/>
                <w:szCs w:val="18"/>
              </w:rPr>
            </w:pPr>
            <w:r>
              <w:rPr>
                <w:rFonts w:ascii="宋体" w:hAnsi="宋体" w:eastAsia="宋体" w:cs="宋体"/>
                <w:sz w:val="18"/>
                <w:szCs w:val="18"/>
              </w:rPr>
              <w:t>融资项目名称</w:t>
            </w:r>
          </w:p>
        </w:tc>
        <w:tc>
          <w:tcPr>
            <w:tcW w:w="642" w:type="dxa"/>
            <w:tcBorders>
              <w:top w:val="single" w:color="auto" w:sz="2" w:space="0"/>
              <w:left w:val="single" w:color="auto" w:sz="2" w:space="0"/>
              <w:bottom w:val="single" w:color="auto" w:sz="2" w:space="0"/>
              <w:right w:val="single" w:color="auto" w:sz="2" w:space="0"/>
            </w:tcBorders>
            <w:shd w:val="clear" w:color="auto" w:fill="D3D3D3"/>
            <w:vAlign w:val="center"/>
          </w:tcPr>
          <w:p w14:paraId="5C882AEC">
            <w:pPr>
              <w:spacing w:before="40" w:after="40" w:line="240" w:lineRule="exact"/>
              <w:jc w:val="center"/>
              <w:rPr>
                <w:rFonts w:ascii="宋体" w:hAnsi="宋体" w:eastAsia="宋体" w:cs="宋体"/>
                <w:sz w:val="18"/>
                <w:szCs w:val="18"/>
              </w:rPr>
            </w:pPr>
            <w:r>
              <w:rPr>
                <w:rFonts w:ascii="宋体" w:hAnsi="宋体" w:eastAsia="宋体" w:cs="宋体"/>
                <w:sz w:val="18"/>
                <w:szCs w:val="18"/>
              </w:rPr>
              <w:t>证券上市日期</w:t>
            </w:r>
          </w:p>
        </w:tc>
        <w:tc>
          <w:tcPr>
            <w:tcW w:w="642" w:type="dxa"/>
            <w:tcBorders>
              <w:top w:val="single" w:color="auto" w:sz="2" w:space="0"/>
              <w:left w:val="single" w:color="auto" w:sz="2" w:space="0"/>
              <w:bottom w:val="single" w:color="auto" w:sz="2" w:space="0"/>
              <w:right w:val="single" w:color="auto" w:sz="2" w:space="0"/>
            </w:tcBorders>
            <w:shd w:val="clear" w:color="auto" w:fill="D3D3D3"/>
            <w:vAlign w:val="center"/>
          </w:tcPr>
          <w:p w14:paraId="038F8FC3">
            <w:pPr>
              <w:spacing w:before="40" w:after="40" w:line="240" w:lineRule="exact"/>
              <w:jc w:val="center"/>
              <w:rPr>
                <w:rFonts w:ascii="宋体" w:hAnsi="宋体" w:eastAsia="宋体" w:cs="宋体"/>
                <w:sz w:val="18"/>
                <w:szCs w:val="18"/>
              </w:rPr>
            </w:pPr>
            <w:r>
              <w:rPr>
                <w:rFonts w:ascii="宋体" w:hAnsi="宋体" w:eastAsia="宋体" w:cs="宋体"/>
                <w:sz w:val="18"/>
                <w:szCs w:val="18"/>
              </w:rPr>
              <w:t>承诺投资项目和超募资金投向</w:t>
            </w:r>
          </w:p>
        </w:tc>
        <w:tc>
          <w:tcPr>
            <w:tcW w:w="642" w:type="dxa"/>
            <w:tcBorders>
              <w:top w:val="single" w:color="auto" w:sz="2" w:space="0"/>
              <w:left w:val="single" w:color="auto" w:sz="2" w:space="0"/>
              <w:bottom w:val="single" w:color="auto" w:sz="2" w:space="0"/>
              <w:right w:val="single" w:color="auto" w:sz="2" w:space="0"/>
            </w:tcBorders>
            <w:shd w:val="clear" w:color="auto" w:fill="D3D3D3"/>
            <w:vAlign w:val="center"/>
          </w:tcPr>
          <w:p w14:paraId="4EBBA997">
            <w:pPr>
              <w:spacing w:before="40" w:after="40" w:line="240" w:lineRule="exact"/>
              <w:jc w:val="center"/>
              <w:rPr>
                <w:rFonts w:ascii="宋体" w:hAnsi="宋体" w:eastAsia="宋体" w:cs="宋体"/>
                <w:sz w:val="18"/>
                <w:szCs w:val="18"/>
              </w:rPr>
            </w:pPr>
            <w:r>
              <w:rPr>
                <w:rFonts w:ascii="宋体" w:hAnsi="宋体" w:eastAsia="宋体" w:cs="宋体"/>
                <w:sz w:val="18"/>
                <w:szCs w:val="18"/>
              </w:rPr>
              <w:t>项目性质</w:t>
            </w:r>
          </w:p>
        </w:tc>
        <w:tc>
          <w:tcPr>
            <w:tcW w:w="642" w:type="dxa"/>
            <w:tcBorders>
              <w:top w:val="single" w:color="auto" w:sz="2" w:space="0"/>
              <w:left w:val="single" w:color="auto" w:sz="2" w:space="0"/>
              <w:bottom w:val="single" w:color="auto" w:sz="2" w:space="0"/>
              <w:right w:val="single" w:color="auto" w:sz="2" w:space="0"/>
            </w:tcBorders>
            <w:shd w:val="clear" w:color="auto" w:fill="D3D3D3"/>
            <w:vAlign w:val="center"/>
          </w:tcPr>
          <w:p w14:paraId="2349F518">
            <w:pPr>
              <w:spacing w:before="40" w:after="40" w:line="240" w:lineRule="exact"/>
              <w:jc w:val="center"/>
              <w:rPr>
                <w:rFonts w:ascii="宋体" w:hAnsi="宋体" w:eastAsia="宋体" w:cs="宋体"/>
                <w:sz w:val="18"/>
                <w:szCs w:val="18"/>
              </w:rPr>
            </w:pPr>
            <w:r>
              <w:rPr>
                <w:rFonts w:ascii="宋体" w:hAnsi="宋体" w:eastAsia="宋体" w:cs="宋体"/>
                <w:sz w:val="18"/>
                <w:szCs w:val="18"/>
              </w:rPr>
              <w:t>是否已变更项目(含部分变更)</w:t>
            </w:r>
          </w:p>
        </w:tc>
        <w:tc>
          <w:tcPr>
            <w:tcW w:w="6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4200BF7">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募集资金承诺投资总额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5C22676D">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调整后投资总额(1)</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6B26FBDC">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本报告期投入金额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515B3EDB">
            <w:pPr>
              <w:spacing w:before="40" w:after="40" w:line="240" w:lineRule="exact"/>
              <w:jc w:val="center"/>
              <w:rPr>
                <w:rFonts w:ascii="宋体" w:hAnsi="宋体" w:eastAsia="宋体" w:cs="宋体"/>
                <w:sz w:val="18"/>
                <w:szCs w:val="18"/>
              </w:rPr>
            </w:pPr>
            <w:r>
              <w:rPr>
                <w:rFonts w:ascii="宋体" w:hAnsi="宋体" w:eastAsia="宋体" w:cs="宋体"/>
                <w:sz w:val="18"/>
                <w:szCs w:val="18"/>
              </w:rPr>
              <w:t>截至期末累计投入金额(2)</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0CB99D15">
            <w:pPr>
              <w:spacing w:before="40" w:after="40" w:line="240" w:lineRule="exact"/>
              <w:jc w:val="center"/>
              <w:rPr>
                <w:rFonts w:ascii="宋体" w:hAnsi="宋体" w:eastAsia="宋体" w:cs="宋体"/>
                <w:sz w:val="18"/>
                <w:szCs w:val="18"/>
              </w:rPr>
            </w:pPr>
            <w:r>
              <w:rPr>
                <w:rFonts w:ascii="宋体" w:hAnsi="宋体" w:eastAsia="宋体" w:cs="宋体"/>
                <w:sz w:val="18"/>
                <w:szCs w:val="18"/>
              </w:rPr>
              <w:t>截至期末投资进度(3)＝(2)/(1)</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51B0D2F2">
            <w:pPr>
              <w:spacing w:before="40" w:after="40" w:line="240" w:lineRule="exact"/>
              <w:jc w:val="center"/>
              <w:rPr>
                <w:rFonts w:ascii="宋体" w:hAnsi="宋体" w:eastAsia="宋体" w:cs="宋体"/>
                <w:sz w:val="18"/>
                <w:szCs w:val="18"/>
              </w:rPr>
            </w:pPr>
            <w:r>
              <w:rPr>
                <w:rFonts w:ascii="宋体" w:hAnsi="宋体" w:eastAsia="宋体" w:cs="宋体"/>
                <w:sz w:val="18"/>
                <w:szCs w:val="18"/>
              </w:rPr>
              <w:t>项目达到预定可使用状态日期</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5C9C1461">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本报告期实现的效益</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142389C8">
            <w:pPr>
              <w:spacing w:before="40" w:after="40" w:line="240" w:lineRule="exact"/>
              <w:jc w:val="center"/>
              <w:rPr>
                <w:rFonts w:ascii="宋体" w:hAnsi="宋体" w:eastAsia="宋体" w:cs="宋体"/>
                <w:sz w:val="18"/>
                <w:szCs w:val="18"/>
              </w:rPr>
            </w:pPr>
            <w:r>
              <w:rPr>
                <w:rFonts w:ascii="宋体" w:hAnsi="宋体" w:eastAsia="宋体" w:cs="宋体"/>
                <w:sz w:val="18"/>
                <w:szCs w:val="18"/>
              </w:rPr>
              <w:t>截止报告期末累计实现的效益</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49D0DBE1">
            <w:pPr>
              <w:spacing w:before="40" w:after="40" w:line="240" w:lineRule="exact"/>
              <w:jc w:val="center"/>
              <w:rPr>
                <w:rFonts w:ascii="宋体" w:hAnsi="宋体" w:eastAsia="宋体" w:cs="宋体"/>
                <w:sz w:val="18"/>
                <w:szCs w:val="18"/>
              </w:rPr>
            </w:pPr>
            <w:r>
              <w:rPr>
                <w:rFonts w:ascii="宋体" w:hAnsi="宋体" w:eastAsia="宋体" w:cs="宋体"/>
                <w:sz w:val="18"/>
                <w:szCs w:val="18"/>
              </w:rPr>
              <w:t>是否达到预计效益</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6C7884CA">
            <w:pPr>
              <w:spacing w:before="40" w:after="40" w:line="240" w:lineRule="exact"/>
              <w:jc w:val="center"/>
              <w:rPr>
                <w:rFonts w:ascii="宋体" w:hAnsi="宋体" w:eastAsia="宋体" w:cs="宋体"/>
                <w:sz w:val="18"/>
                <w:szCs w:val="18"/>
              </w:rPr>
            </w:pPr>
            <w:r>
              <w:rPr>
                <w:rFonts w:ascii="宋体" w:hAnsi="宋体" w:eastAsia="宋体" w:cs="宋体"/>
                <w:sz w:val="18"/>
                <w:szCs w:val="18"/>
              </w:rPr>
              <w:t>项目可行性是否发生重大变化</w:t>
            </w:r>
          </w:p>
        </w:tc>
      </w:tr>
      <w:tr w14:paraId="6B7AA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6"/>
            <w:tcBorders>
              <w:top w:val="single" w:color="auto" w:sz="2" w:space="0"/>
              <w:left w:val="single" w:color="auto" w:sz="2" w:space="0"/>
              <w:bottom w:val="single" w:color="auto" w:sz="2" w:space="0"/>
              <w:right w:val="single" w:color="auto" w:sz="2" w:space="0"/>
            </w:tcBorders>
            <w:shd w:val="clear" w:color="auto" w:fill="D3D3D3"/>
            <w:vAlign w:val="center"/>
          </w:tcPr>
          <w:p w14:paraId="33CF4B2D">
            <w:pPr>
              <w:spacing w:before="40" w:after="40" w:line="240" w:lineRule="exact"/>
              <w:rPr>
                <w:rFonts w:ascii="宋体" w:hAnsi="宋体" w:eastAsia="宋体" w:cs="宋体"/>
                <w:sz w:val="18"/>
                <w:szCs w:val="18"/>
              </w:rPr>
            </w:pPr>
            <w:r>
              <w:rPr>
                <w:rFonts w:ascii="宋体" w:hAnsi="宋体" w:eastAsia="宋体" w:cs="宋体"/>
                <w:sz w:val="18"/>
                <w:szCs w:val="18"/>
              </w:rPr>
              <w:t>承诺投资项目</w:t>
            </w:r>
          </w:p>
        </w:tc>
      </w:tr>
      <w:tr w14:paraId="759CB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2" w:type="dxa"/>
            <w:tcBorders>
              <w:top w:val="single" w:color="auto" w:sz="2" w:space="0"/>
              <w:left w:val="single" w:color="auto" w:sz="2" w:space="0"/>
              <w:bottom w:val="single" w:color="auto" w:sz="2" w:space="0"/>
              <w:right w:val="single" w:color="auto" w:sz="2" w:space="0"/>
            </w:tcBorders>
            <w:vAlign w:val="center"/>
          </w:tcPr>
          <w:p w14:paraId="483FCF95">
            <w:pPr>
              <w:spacing w:line="240" w:lineRule="exact"/>
              <w:rPr>
                <w:rFonts w:ascii="宋体" w:hAnsi="宋体" w:eastAsia="宋体" w:cs="宋体"/>
                <w:sz w:val="18"/>
                <w:szCs w:val="18"/>
              </w:rPr>
            </w:pPr>
            <w:r>
              <w:rPr>
                <w:rFonts w:ascii="宋体" w:hAnsi="宋体" w:eastAsia="宋体" w:cs="宋体"/>
                <w:sz w:val="18"/>
                <w:szCs w:val="18"/>
              </w:rPr>
              <w:t>华孚（越南）50万锭新型纱线项目（一期)</w:t>
            </w:r>
          </w:p>
        </w:tc>
        <w:tc>
          <w:tcPr>
            <w:tcW w:w="642" w:type="dxa"/>
            <w:tcBorders>
              <w:top w:val="single" w:color="auto" w:sz="2" w:space="0"/>
              <w:left w:val="single" w:color="auto" w:sz="2" w:space="0"/>
              <w:bottom w:val="single" w:color="auto" w:sz="2" w:space="0"/>
              <w:right w:val="single" w:color="auto" w:sz="2" w:space="0"/>
            </w:tcBorders>
            <w:vAlign w:val="center"/>
          </w:tcPr>
          <w:p w14:paraId="06666F2D">
            <w:pPr>
              <w:spacing w:line="240" w:lineRule="exact"/>
              <w:rPr>
                <w:rFonts w:ascii="宋体" w:hAnsi="宋体" w:eastAsia="宋体" w:cs="宋体"/>
                <w:sz w:val="18"/>
                <w:szCs w:val="18"/>
              </w:rPr>
            </w:pPr>
            <w:r>
              <w:rPr>
                <w:rFonts w:ascii="宋体" w:hAnsi="宋体" w:eastAsia="宋体" w:cs="宋体"/>
                <w:sz w:val="18"/>
                <w:szCs w:val="18"/>
              </w:rPr>
              <w:t>2021年10月14日</w:t>
            </w:r>
          </w:p>
        </w:tc>
        <w:tc>
          <w:tcPr>
            <w:tcW w:w="642" w:type="dxa"/>
            <w:tcBorders>
              <w:top w:val="single" w:color="auto" w:sz="2" w:space="0"/>
              <w:left w:val="single" w:color="auto" w:sz="2" w:space="0"/>
              <w:bottom w:val="single" w:color="auto" w:sz="2" w:space="0"/>
              <w:right w:val="single" w:color="auto" w:sz="2" w:space="0"/>
            </w:tcBorders>
            <w:vAlign w:val="center"/>
          </w:tcPr>
          <w:p w14:paraId="1BFF9114">
            <w:pPr>
              <w:spacing w:line="240" w:lineRule="exact"/>
              <w:rPr>
                <w:rFonts w:ascii="宋体" w:hAnsi="宋体" w:eastAsia="宋体" w:cs="宋体"/>
                <w:sz w:val="18"/>
                <w:szCs w:val="18"/>
              </w:rPr>
            </w:pPr>
            <w:r>
              <w:rPr>
                <w:rFonts w:ascii="宋体" w:hAnsi="宋体" w:eastAsia="宋体" w:cs="宋体"/>
                <w:sz w:val="18"/>
                <w:szCs w:val="18"/>
              </w:rPr>
              <w:t>华孚（越南）50万锭新型纱线项目（一期)</w:t>
            </w:r>
          </w:p>
        </w:tc>
        <w:tc>
          <w:tcPr>
            <w:tcW w:w="642" w:type="dxa"/>
            <w:tcBorders>
              <w:top w:val="single" w:color="auto" w:sz="2" w:space="0"/>
              <w:left w:val="single" w:color="auto" w:sz="2" w:space="0"/>
              <w:bottom w:val="single" w:color="auto" w:sz="2" w:space="0"/>
              <w:right w:val="single" w:color="auto" w:sz="2" w:space="0"/>
            </w:tcBorders>
            <w:vAlign w:val="center"/>
          </w:tcPr>
          <w:p w14:paraId="27E30008">
            <w:pPr>
              <w:spacing w:line="240" w:lineRule="exact"/>
              <w:rPr>
                <w:rFonts w:ascii="宋体" w:hAnsi="宋体" w:eastAsia="宋体" w:cs="宋体"/>
                <w:sz w:val="18"/>
                <w:szCs w:val="18"/>
              </w:rPr>
            </w:pPr>
            <w:r>
              <w:rPr>
                <w:rFonts w:ascii="宋体" w:hAnsi="宋体" w:eastAsia="宋体" w:cs="宋体"/>
                <w:sz w:val="18"/>
                <w:szCs w:val="18"/>
              </w:rPr>
              <w:t>生产建设 </w:t>
            </w:r>
          </w:p>
        </w:tc>
        <w:tc>
          <w:tcPr>
            <w:tcW w:w="642" w:type="dxa"/>
            <w:tcBorders>
              <w:top w:val="single" w:color="auto" w:sz="2" w:space="0"/>
              <w:left w:val="single" w:color="auto" w:sz="2" w:space="0"/>
              <w:bottom w:val="single" w:color="auto" w:sz="2" w:space="0"/>
              <w:right w:val="single" w:color="auto" w:sz="2" w:space="0"/>
            </w:tcBorders>
            <w:vAlign w:val="center"/>
          </w:tcPr>
          <w:p w14:paraId="319CCF07">
            <w:pPr>
              <w:spacing w:line="240" w:lineRule="exact"/>
              <w:rPr>
                <w:rFonts w:ascii="宋体" w:hAnsi="宋体" w:eastAsia="宋体" w:cs="宋体"/>
                <w:sz w:val="18"/>
                <w:szCs w:val="18"/>
              </w:rPr>
            </w:pPr>
            <w:r>
              <w:rPr>
                <w:rFonts w:ascii="宋体" w:hAnsi="宋体" w:eastAsia="宋体" w:cs="宋体"/>
                <w:sz w:val="18"/>
                <w:szCs w:val="18"/>
              </w:rPr>
              <w:t>是</w:t>
            </w:r>
          </w:p>
        </w:tc>
        <w:tc>
          <w:tcPr>
            <w:tcW w:w="642" w:type="dxa"/>
            <w:gridSpan w:val="2"/>
            <w:tcBorders>
              <w:top w:val="single" w:color="auto" w:sz="2" w:space="0"/>
              <w:left w:val="single" w:color="auto" w:sz="2" w:space="0"/>
              <w:bottom w:val="single" w:color="auto" w:sz="2" w:space="0"/>
              <w:right w:val="single" w:color="auto" w:sz="2" w:space="0"/>
            </w:tcBorders>
            <w:vAlign w:val="center"/>
          </w:tcPr>
          <w:p w14:paraId="6F686595">
            <w:pPr>
              <w:spacing w:line="240" w:lineRule="exact"/>
              <w:jc w:val="right"/>
              <w:rPr>
                <w:rFonts w:ascii="宋体" w:hAnsi="宋体" w:eastAsia="宋体" w:cs="宋体"/>
                <w:sz w:val="18"/>
                <w:szCs w:val="18"/>
              </w:rPr>
            </w:pPr>
            <w:r>
              <w:rPr>
                <w:rFonts w:ascii="宋体" w:hAnsi="宋体" w:eastAsia="宋体" w:cs="宋体"/>
                <w:sz w:val="18"/>
                <w:szCs w:val="18"/>
              </w:rPr>
              <w:t>105,000</w:t>
            </w:r>
          </w:p>
        </w:tc>
        <w:tc>
          <w:tcPr>
            <w:tcW w:w="643" w:type="dxa"/>
            <w:tcBorders>
              <w:top w:val="single" w:color="auto" w:sz="2" w:space="0"/>
              <w:left w:val="single" w:color="auto" w:sz="2" w:space="0"/>
              <w:bottom w:val="single" w:color="auto" w:sz="2" w:space="0"/>
              <w:right w:val="single" w:color="auto" w:sz="2" w:space="0"/>
            </w:tcBorders>
            <w:vAlign w:val="center"/>
          </w:tcPr>
          <w:p w14:paraId="3D20A6D4">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349ABBB0">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37B71AC7">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7146B504">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55E844D9">
            <w:pPr>
              <w:spacing w:line="240" w:lineRule="exac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3022A358">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3C7AF5D6">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06FB975C">
            <w:pPr>
              <w:spacing w:line="240" w:lineRule="exact"/>
              <w:rPr>
                <w:rFonts w:ascii="宋体" w:hAnsi="宋体" w:eastAsia="宋体" w:cs="宋体"/>
                <w:sz w:val="18"/>
                <w:szCs w:val="18"/>
              </w:rPr>
            </w:pPr>
            <w:r>
              <w:rPr>
                <w:rFonts w:ascii="宋体" w:hAnsi="宋体" w:eastAsia="宋体" w:cs="宋体"/>
                <w:sz w:val="18"/>
                <w:szCs w:val="18"/>
              </w:rPr>
              <w:t>不适用</w:t>
            </w:r>
          </w:p>
        </w:tc>
        <w:tc>
          <w:tcPr>
            <w:tcW w:w="643" w:type="dxa"/>
            <w:tcBorders>
              <w:top w:val="single" w:color="auto" w:sz="2" w:space="0"/>
              <w:left w:val="single" w:color="auto" w:sz="2" w:space="0"/>
              <w:bottom w:val="single" w:color="auto" w:sz="2" w:space="0"/>
              <w:right w:val="single" w:color="auto" w:sz="2" w:space="0"/>
            </w:tcBorders>
            <w:vAlign w:val="center"/>
          </w:tcPr>
          <w:p w14:paraId="3921474F">
            <w:pPr>
              <w:spacing w:line="240" w:lineRule="exact"/>
              <w:rPr>
                <w:rFonts w:ascii="宋体" w:hAnsi="宋体" w:eastAsia="宋体" w:cs="宋体"/>
                <w:sz w:val="18"/>
                <w:szCs w:val="18"/>
              </w:rPr>
            </w:pPr>
            <w:r>
              <w:rPr>
                <w:rFonts w:ascii="宋体" w:hAnsi="宋体" w:eastAsia="宋体" w:cs="宋体"/>
                <w:sz w:val="18"/>
                <w:szCs w:val="18"/>
              </w:rPr>
              <w:t>是</w:t>
            </w:r>
          </w:p>
        </w:tc>
      </w:tr>
      <w:tr w14:paraId="69691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2" w:type="dxa"/>
            <w:tcBorders>
              <w:top w:val="single" w:color="auto" w:sz="2" w:space="0"/>
              <w:left w:val="single" w:color="auto" w:sz="2" w:space="0"/>
              <w:bottom w:val="single" w:color="auto" w:sz="2" w:space="0"/>
              <w:right w:val="single" w:color="auto" w:sz="2" w:space="0"/>
            </w:tcBorders>
            <w:vAlign w:val="center"/>
          </w:tcPr>
          <w:p w14:paraId="7247D4BD">
            <w:pPr>
              <w:spacing w:line="240" w:lineRule="exact"/>
              <w:rPr>
                <w:rFonts w:ascii="宋体" w:hAnsi="宋体" w:eastAsia="宋体" w:cs="宋体"/>
                <w:sz w:val="18"/>
                <w:szCs w:val="18"/>
              </w:rPr>
            </w:pPr>
            <w:r>
              <w:rPr>
                <w:rFonts w:ascii="宋体" w:hAnsi="宋体" w:eastAsia="宋体" w:cs="宋体"/>
                <w:sz w:val="18"/>
                <w:szCs w:val="18"/>
              </w:rPr>
              <w:t>30万锭智能纺纱产业园项目)</w:t>
            </w:r>
          </w:p>
        </w:tc>
        <w:tc>
          <w:tcPr>
            <w:tcW w:w="642" w:type="dxa"/>
            <w:tcBorders>
              <w:top w:val="single" w:color="auto" w:sz="2" w:space="0"/>
              <w:left w:val="single" w:color="auto" w:sz="2" w:space="0"/>
              <w:bottom w:val="single" w:color="auto" w:sz="2" w:space="0"/>
              <w:right w:val="single" w:color="auto" w:sz="2" w:space="0"/>
            </w:tcBorders>
            <w:vAlign w:val="center"/>
          </w:tcPr>
          <w:p w14:paraId="21F74682">
            <w:pPr>
              <w:spacing w:line="240" w:lineRule="exact"/>
              <w:rPr>
                <w:rFonts w:ascii="宋体" w:hAnsi="宋体" w:eastAsia="宋体" w:cs="宋体"/>
                <w:sz w:val="18"/>
                <w:szCs w:val="18"/>
              </w:rPr>
            </w:pPr>
            <w:r>
              <w:rPr>
                <w:rFonts w:ascii="宋体" w:hAnsi="宋体" w:eastAsia="宋体" w:cs="宋体"/>
                <w:sz w:val="18"/>
                <w:szCs w:val="18"/>
              </w:rPr>
              <w:t>2021年10月14日</w:t>
            </w:r>
          </w:p>
        </w:tc>
        <w:tc>
          <w:tcPr>
            <w:tcW w:w="642" w:type="dxa"/>
            <w:tcBorders>
              <w:top w:val="single" w:color="auto" w:sz="2" w:space="0"/>
              <w:left w:val="single" w:color="auto" w:sz="2" w:space="0"/>
              <w:bottom w:val="single" w:color="auto" w:sz="2" w:space="0"/>
              <w:right w:val="single" w:color="auto" w:sz="2" w:space="0"/>
            </w:tcBorders>
            <w:vAlign w:val="center"/>
          </w:tcPr>
          <w:p w14:paraId="335BFBA4">
            <w:pPr>
              <w:spacing w:line="240" w:lineRule="exact"/>
              <w:rPr>
                <w:rFonts w:ascii="宋体" w:hAnsi="宋体" w:eastAsia="宋体" w:cs="宋体"/>
                <w:sz w:val="18"/>
                <w:szCs w:val="18"/>
              </w:rPr>
            </w:pPr>
            <w:r>
              <w:rPr>
                <w:rFonts w:ascii="宋体" w:hAnsi="宋体" w:eastAsia="宋体" w:cs="宋体"/>
                <w:sz w:val="18"/>
                <w:szCs w:val="18"/>
              </w:rPr>
              <w:t>30万锭智能纺纱产业园项目)</w:t>
            </w:r>
          </w:p>
        </w:tc>
        <w:tc>
          <w:tcPr>
            <w:tcW w:w="642" w:type="dxa"/>
            <w:tcBorders>
              <w:top w:val="single" w:color="auto" w:sz="2" w:space="0"/>
              <w:left w:val="single" w:color="auto" w:sz="2" w:space="0"/>
              <w:bottom w:val="single" w:color="auto" w:sz="2" w:space="0"/>
              <w:right w:val="single" w:color="auto" w:sz="2" w:space="0"/>
            </w:tcBorders>
            <w:vAlign w:val="center"/>
          </w:tcPr>
          <w:p w14:paraId="12841520">
            <w:pPr>
              <w:spacing w:line="240" w:lineRule="exact"/>
              <w:rPr>
                <w:rFonts w:ascii="宋体" w:hAnsi="宋体" w:eastAsia="宋体" w:cs="宋体"/>
                <w:sz w:val="18"/>
                <w:szCs w:val="18"/>
              </w:rPr>
            </w:pPr>
            <w:r>
              <w:rPr>
                <w:rFonts w:ascii="宋体" w:hAnsi="宋体" w:eastAsia="宋体" w:cs="宋体"/>
                <w:sz w:val="18"/>
                <w:szCs w:val="18"/>
              </w:rPr>
              <w:t>生产建设 </w:t>
            </w:r>
          </w:p>
        </w:tc>
        <w:tc>
          <w:tcPr>
            <w:tcW w:w="642" w:type="dxa"/>
            <w:tcBorders>
              <w:top w:val="single" w:color="auto" w:sz="2" w:space="0"/>
              <w:left w:val="single" w:color="auto" w:sz="2" w:space="0"/>
              <w:bottom w:val="single" w:color="auto" w:sz="2" w:space="0"/>
              <w:right w:val="single" w:color="auto" w:sz="2" w:space="0"/>
            </w:tcBorders>
            <w:vAlign w:val="center"/>
          </w:tcPr>
          <w:p w14:paraId="3B45FF7C">
            <w:pPr>
              <w:spacing w:line="240" w:lineRule="exact"/>
              <w:rPr>
                <w:rFonts w:ascii="宋体" w:hAnsi="宋体" w:eastAsia="宋体" w:cs="宋体"/>
                <w:sz w:val="18"/>
                <w:szCs w:val="18"/>
              </w:rPr>
            </w:pPr>
            <w:r>
              <w:rPr>
                <w:rFonts w:ascii="宋体" w:hAnsi="宋体" w:eastAsia="宋体" w:cs="宋体"/>
                <w:sz w:val="18"/>
                <w:szCs w:val="18"/>
              </w:rPr>
              <w:t>是</w:t>
            </w:r>
          </w:p>
        </w:tc>
        <w:tc>
          <w:tcPr>
            <w:tcW w:w="642" w:type="dxa"/>
            <w:gridSpan w:val="2"/>
            <w:tcBorders>
              <w:top w:val="single" w:color="auto" w:sz="2" w:space="0"/>
              <w:left w:val="single" w:color="auto" w:sz="2" w:space="0"/>
              <w:bottom w:val="single" w:color="auto" w:sz="2" w:space="0"/>
              <w:right w:val="single" w:color="auto" w:sz="2" w:space="0"/>
            </w:tcBorders>
            <w:vAlign w:val="center"/>
          </w:tcPr>
          <w:p w14:paraId="1E3DBA78">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50C1BC1B">
            <w:pPr>
              <w:spacing w:line="240" w:lineRule="exact"/>
              <w:jc w:val="right"/>
              <w:rPr>
                <w:rFonts w:ascii="宋体" w:hAnsi="宋体" w:eastAsia="宋体" w:cs="宋体"/>
                <w:sz w:val="18"/>
                <w:szCs w:val="18"/>
              </w:rPr>
            </w:pPr>
            <w:r>
              <w:rPr>
                <w:rFonts w:ascii="宋体" w:hAnsi="宋体" w:eastAsia="宋体" w:cs="宋体"/>
                <w:sz w:val="18"/>
                <w:szCs w:val="18"/>
              </w:rPr>
              <w:t>78,846.28</w:t>
            </w:r>
          </w:p>
        </w:tc>
        <w:tc>
          <w:tcPr>
            <w:tcW w:w="643" w:type="dxa"/>
            <w:tcBorders>
              <w:top w:val="single" w:color="auto" w:sz="2" w:space="0"/>
              <w:left w:val="single" w:color="auto" w:sz="2" w:space="0"/>
              <w:bottom w:val="single" w:color="auto" w:sz="2" w:space="0"/>
              <w:right w:val="single" w:color="auto" w:sz="2" w:space="0"/>
            </w:tcBorders>
            <w:vAlign w:val="center"/>
          </w:tcPr>
          <w:p w14:paraId="225C8450">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684F4155">
            <w:pPr>
              <w:spacing w:line="240" w:lineRule="exact"/>
              <w:jc w:val="right"/>
              <w:rPr>
                <w:rFonts w:ascii="宋体" w:hAnsi="宋体" w:eastAsia="宋体" w:cs="宋体"/>
                <w:sz w:val="18"/>
                <w:szCs w:val="18"/>
              </w:rPr>
            </w:pPr>
            <w:r>
              <w:rPr>
                <w:rFonts w:ascii="宋体" w:hAnsi="宋体" w:eastAsia="宋体" w:cs="宋体"/>
                <w:sz w:val="18"/>
                <w:szCs w:val="18"/>
              </w:rPr>
              <w:t>79,894.42</w:t>
            </w:r>
          </w:p>
        </w:tc>
        <w:tc>
          <w:tcPr>
            <w:tcW w:w="643" w:type="dxa"/>
            <w:tcBorders>
              <w:top w:val="single" w:color="auto" w:sz="2" w:space="0"/>
              <w:left w:val="single" w:color="auto" w:sz="2" w:space="0"/>
              <w:bottom w:val="single" w:color="auto" w:sz="2" w:space="0"/>
              <w:right w:val="single" w:color="auto" w:sz="2" w:space="0"/>
            </w:tcBorders>
            <w:vAlign w:val="center"/>
          </w:tcPr>
          <w:p w14:paraId="37FF98A2">
            <w:pPr>
              <w:spacing w:line="240" w:lineRule="exact"/>
              <w:jc w:val="right"/>
              <w:rPr>
                <w:rFonts w:ascii="宋体" w:hAnsi="宋体" w:eastAsia="宋体" w:cs="宋体"/>
                <w:sz w:val="18"/>
                <w:szCs w:val="18"/>
              </w:rPr>
            </w:pPr>
            <w:r>
              <w:rPr>
                <w:rFonts w:ascii="宋体" w:hAnsi="宋体" w:eastAsia="宋体" w:cs="宋体"/>
                <w:sz w:val="18"/>
                <w:szCs w:val="18"/>
              </w:rPr>
              <w:t>101.33%</w:t>
            </w:r>
          </w:p>
        </w:tc>
        <w:tc>
          <w:tcPr>
            <w:tcW w:w="643" w:type="dxa"/>
            <w:tcBorders>
              <w:top w:val="single" w:color="auto" w:sz="2" w:space="0"/>
              <w:left w:val="single" w:color="auto" w:sz="2" w:space="0"/>
              <w:bottom w:val="single" w:color="auto" w:sz="2" w:space="0"/>
              <w:right w:val="single" w:color="auto" w:sz="2" w:space="0"/>
            </w:tcBorders>
            <w:vAlign w:val="center"/>
          </w:tcPr>
          <w:p w14:paraId="33C8FE0E">
            <w:pPr>
              <w:spacing w:line="240" w:lineRule="exact"/>
              <w:rPr>
                <w:rFonts w:ascii="宋体" w:hAnsi="宋体" w:eastAsia="宋体" w:cs="宋体"/>
                <w:sz w:val="18"/>
                <w:szCs w:val="18"/>
              </w:rPr>
            </w:pPr>
            <w:r>
              <w:rPr>
                <w:rFonts w:ascii="宋体" w:hAnsi="宋体" w:eastAsia="宋体" w:cs="宋体"/>
                <w:sz w:val="18"/>
                <w:szCs w:val="18"/>
              </w:rPr>
              <w:t>2025年12月31日</w:t>
            </w:r>
          </w:p>
        </w:tc>
        <w:tc>
          <w:tcPr>
            <w:tcW w:w="643" w:type="dxa"/>
            <w:tcBorders>
              <w:top w:val="single" w:color="auto" w:sz="2" w:space="0"/>
              <w:left w:val="single" w:color="auto" w:sz="2" w:space="0"/>
              <w:bottom w:val="single" w:color="auto" w:sz="2" w:space="0"/>
              <w:right w:val="single" w:color="auto" w:sz="2" w:space="0"/>
            </w:tcBorders>
            <w:vAlign w:val="center"/>
          </w:tcPr>
          <w:p w14:paraId="31078CFE">
            <w:pPr>
              <w:spacing w:line="240" w:lineRule="exact"/>
              <w:jc w:val="right"/>
              <w:rPr>
                <w:rFonts w:ascii="宋体" w:hAnsi="宋体" w:eastAsia="宋体" w:cs="宋体"/>
                <w:sz w:val="18"/>
                <w:szCs w:val="18"/>
              </w:rPr>
            </w:pPr>
            <w:r>
              <w:rPr>
                <w:rFonts w:ascii="宋体" w:hAnsi="宋体" w:eastAsia="宋体" w:cs="宋体"/>
                <w:sz w:val="18"/>
                <w:szCs w:val="18"/>
              </w:rPr>
              <w:t>585.75</w:t>
            </w:r>
          </w:p>
        </w:tc>
        <w:tc>
          <w:tcPr>
            <w:tcW w:w="643" w:type="dxa"/>
            <w:tcBorders>
              <w:top w:val="single" w:color="auto" w:sz="2" w:space="0"/>
              <w:left w:val="single" w:color="auto" w:sz="2" w:space="0"/>
              <w:bottom w:val="single" w:color="auto" w:sz="2" w:space="0"/>
              <w:right w:val="single" w:color="auto" w:sz="2" w:space="0"/>
            </w:tcBorders>
            <w:vAlign w:val="center"/>
          </w:tcPr>
          <w:p w14:paraId="35E92F5E">
            <w:pPr>
              <w:spacing w:line="240" w:lineRule="exact"/>
              <w:jc w:val="right"/>
              <w:rPr>
                <w:rFonts w:ascii="宋体" w:hAnsi="宋体" w:eastAsia="宋体" w:cs="宋体"/>
                <w:sz w:val="18"/>
                <w:szCs w:val="18"/>
              </w:rPr>
            </w:pPr>
            <w:r>
              <w:rPr>
                <w:rFonts w:ascii="宋体" w:hAnsi="宋体" w:eastAsia="宋体" w:cs="宋体"/>
                <w:sz w:val="18"/>
                <w:szCs w:val="18"/>
              </w:rPr>
              <w:t>3,048.13</w:t>
            </w:r>
          </w:p>
        </w:tc>
        <w:tc>
          <w:tcPr>
            <w:tcW w:w="643" w:type="dxa"/>
            <w:tcBorders>
              <w:top w:val="single" w:color="auto" w:sz="2" w:space="0"/>
              <w:left w:val="single" w:color="auto" w:sz="2" w:space="0"/>
              <w:bottom w:val="single" w:color="auto" w:sz="2" w:space="0"/>
              <w:right w:val="single" w:color="auto" w:sz="2" w:space="0"/>
            </w:tcBorders>
            <w:vAlign w:val="center"/>
          </w:tcPr>
          <w:p w14:paraId="2505C680">
            <w:pPr>
              <w:spacing w:line="240" w:lineRule="exact"/>
              <w:rPr>
                <w:rFonts w:ascii="宋体" w:hAnsi="宋体" w:eastAsia="宋体" w:cs="宋体"/>
                <w:sz w:val="18"/>
                <w:szCs w:val="18"/>
              </w:rPr>
            </w:pPr>
            <w:r>
              <w:rPr>
                <w:rFonts w:ascii="宋体" w:hAnsi="宋体" w:eastAsia="宋体" w:cs="宋体"/>
                <w:sz w:val="18"/>
                <w:szCs w:val="18"/>
              </w:rPr>
              <w:t>是</w:t>
            </w:r>
          </w:p>
        </w:tc>
        <w:tc>
          <w:tcPr>
            <w:tcW w:w="643" w:type="dxa"/>
            <w:tcBorders>
              <w:top w:val="single" w:color="auto" w:sz="2" w:space="0"/>
              <w:left w:val="single" w:color="auto" w:sz="2" w:space="0"/>
              <w:bottom w:val="single" w:color="auto" w:sz="2" w:space="0"/>
              <w:right w:val="single" w:color="auto" w:sz="2" w:space="0"/>
            </w:tcBorders>
            <w:vAlign w:val="center"/>
          </w:tcPr>
          <w:p w14:paraId="43644E15">
            <w:pPr>
              <w:spacing w:line="240" w:lineRule="exact"/>
              <w:rPr>
                <w:rFonts w:ascii="宋体" w:hAnsi="宋体" w:eastAsia="宋体" w:cs="宋体"/>
                <w:sz w:val="18"/>
                <w:szCs w:val="18"/>
              </w:rPr>
            </w:pPr>
            <w:r>
              <w:rPr>
                <w:rFonts w:ascii="宋体" w:hAnsi="宋体" w:eastAsia="宋体" w:cs="宋体"/>
                <w:sz w:val="18"/>
                <w:szCs w:val="18"/>
              </w:rPr>
              <w:t>否</w:t>
            </w:r>
          </w:p>
        </w:tc>
      </w:tr>
      <w:tr w14:paraId="3B714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2" w:type="dxa"/>
            <w:tcBorders>
              <w:top w:val="single" w:color="auto" w:sz="2" w:space="0"/>
              <w:left w:val="single" w:color="auto" w:sz="2" w:space="0"/>
              <w:bottom w:val="single" w:color="auto" w:sz="2" w:space="0"/>
              <w:right w:val="single" w:color="auto" w:sz="2" w:space="0"/>
            </w:tcBorders>
            <w:vAlign w:val="center"/>
          </w:tcPr>
          <w:p w14:paraId="0B8CF8D4">
            <w:pPr>
              <w:spacing w:line="240" w:lineRule="exact"/>
              <w:rPr>
                <w:rFonts w:ascii="宋体" w:hAnsi="宋体" w:eastAsia="宋体" w:cs="宋体"/>
                <w:sz w:val="18"/>
                <w:szCs w:val="18"/>
              </w:rPr>
            </w:pPr>
            <w:r>
              <w:rPr>
                <w:rFonts w:ascii="宋体" w:hAnsi="宋体" w:eastAsia="宋体" w:cs="宋体"/>
                <w:sz w:val="18"/>
                <w:szCs w:val="18"/>
              </w:rPr>
              <w:t>补充流动资金</w:t>
            </w:r>
          </w:p>
        </w:tc>
        <w:tc>
          <w:tcPr>
            <w:tcW w:w="642" w:type="dxa"/>
            <w:tcBorders>
              <w:top w:val="single" w:color="auto" w:sz="2" w:space="0"/>
              <w:left w:val="single" w:color="auto" w:sz="2" w:space="0"/>
              <w:bottom w:val="single" w:color="auto" w:sz="2" w:space="0"/>
              <w:right w:val="single" w:color="auto" w:sz="2" w:space="0"/>
            </w:tcBorders>
            <w:vAlign w:val="center"/>
          </w:tcPr>
          <w:p w14:paraId="268437AA">
            <w:pPr>
              <w:spacing w:line="240" w:lineRule="exact"/>
              <w:rPr>
                <w:rFonts w:ascii="宋体" w:hAnsi="宋体" w:eastAsia="宋体" w:cs="宋体"/>
                <w:sz w:val="18"/>
                <w:szCs w:val="18"/>
              </w:rPr>
            </w:pPr>
            <w:r>
              <w:rPr>
                <w:rFonts w:ascii="宋体" w:hAnsi="宋体" w:eastAsia="宋体" w:cs="宋体"/>
                <w:sz w:val="18"/>
                <w:szCs w:val="18"/>
              </w:rPr>
              <w:t>2021年10月14日</w:t>
            </w:r>
          </w:p>
        </w:tc>
        <w:tc>
          <w:tcPr>
            <w:tcW w:w="642" w:type="dxa"/>
            <w:tcBorders>
              <w:top w:val="single" w:color="auto" w:sz="2" w:space="0"/>
              <w:left w:val="single" w:color="auto" w:sz="2" w:space="0"/>
              <w:bottom w:val="single" w:color="auto" w:sz="2" w:space="0"/>
              <w:right w:val="single" w:color="auto" w:sz="2" w:space="0"/>
            </w:tcBorders>
            <w:vAlign w:val="center"/>
          </w:tcPr>
          <w:p w14:paraId="42852D1C">
            <w:pPr>
              <w:spacing w:line="240" w:lineRule="exact"/>
              <w:rPr>
                <w:rFonts w:ascii="宋体" w:hAnsi="宋体" w:eastAsia="宋体" w:cs="宋体"/>
                <w:sz w:val="18"/>
                <w:szCs w:val="18"/>
              </w:rPr>
            </w:pPr>
            <w:r>
              <w:rPr>
                <w:rFonts w:ascii="宋体" w:hAnsi="宋体" w:eastAsia="宋体" w:cs="宋体"/>
                <w:sz w:val="18"/>
                <w:szCs w:val="18"/>
              </w:rPr>
              <w:t> 补充流动资金</w:t>
            </w:r>
          </w:p>
        </w:tc>
        <w:tc>
          <w:tcPr>
            <w:tcW w:w="642" w:type="dxa"/>
            <w:tcBorders>
              <w:top w:val="single" w:color="auto" w:sz="2" w:space="0"/>
              <w:left w:val="single" w:color="auto" w:sz="2" w:space="0"/>
              <w:bottom w:val="single" w:color="auto" w:sz="2" w:space="0"/>
              <w:right w:val="single" w:color="auto" w:sz="2" w:space="0"/>
            </w:tcBorders>
            <w:vAlign w:val="center"/>
          </w:tcPr>
          <w:p w14:paraId="6AF3B7D5">
            <w:pPr>
              <w:spacing w:line="240" w:lineRule="exact"/>
              <w:rPr>
                <w:rFonts w:ascii="宋体" w:hAnsi="宋体" w:eastAsia="宋体" w:cs="宋体"/>
                <w:sz w:val="18"/>
                <w:szCs w:val="18"/>
              </w:rPr>
            </w:pPr>
            <w:r>
              <w:rPr>
                <w:rFonts w:ascii="宋体" w:hAnsi="宋体" w:eastAsia="宋体" w:cs="宋体"/>
                <w:sz w:val="18"/>
                <w:szCs w:val="18"/>
              </w:rPr>
              <w:t>补流 </w:t>
            </w:r>
          </w:p>
        </w:tc>
        <w:tc>
          <w:tcPr>
            <w:tcW w:w="642" w:type="dxa"/>
            <w:tcBorders>
              <w:top w:val="single" w:color="auto" w:sz="2" w:space="0"/>
              <w:left w:val="single" w:color="auto" w:sz="2" w:space="0"/>
              <w:bottom w:val="single" w:color="auto" w:sz="2" w:space="0"/>
              <w:right w:val="single" w:color="auto" w:sz="2" w:space="0"/>
            </w:tcBorders>
            <w:vAlign w:val="center"/>
          </w:tcPr>
          <w:p w14:paraId="14A3D77C">
            <w:pPr>
              <w:spacing w:line="240" w:lineRule="exact"/>
              <w:rPr>
                <w:rFonts w:ascii="宋体" w:hAnsi="宋体" w:eastAsia="宋体" w:cs="宋体"/>
                <w:sz w:val="18"/>
                <w:szCs w:val="18"/>
              </w:rPr>
            </w:pPr>
            <w:r>
              <w:rPr>
                <w:rFonts w:ascii="宋体" w:hAnsi="宋体" w:eastAsia="宋体" w:cs="宋体"/>
                <w:sz w:val="18"/>
                <w:szCs w:val="18"/>
              </w:rPr>
              <w:t>否</w:t>
            </w:r>
          </w:p>
        </w:tc>
        <w:tc>
          <w:tcPr>
            <w:tcW w:w="642" w:type="dxa"/>
            <w:gridSpan w:val="2"/>
            <w:tcBorders>
              <w:top w:val="single" w:color="auto" w:sz="2" w:space="0"/>
              <w:left w:val="single" w:color="auto" w:sz="2" w:space="0"/>
              <w:bottom w:val="single" w:color="auto" w:sz="2" w:space="0"/>
              <w:right w:val="single" w:color="auto" w:sz="2" w:space="0"/>
            </w:tcBorders>
            <w:vAlign w:val="center"/>
          </w:tcPr>
          <w:p w14:paraId="26E17B3F">
            <w:pPr>
              <w:spacing w:line="240" w:lineRule="exact"/>
              <w:jc w:val="right"/>
              <w:rPr>
                <w:rFonts w:ascii="宋体" w:hAnsi="宋体" w:eastAsia="宋体" w:cs="宋体"/>
                <w:sz w:val="18"/>
                <w:szCs w:val="18"/>
              </w:rPr>
            </w:pPr>
            <w:r>
              <w:rPr>
                <w:rFonts w:ascii="宋体" w:hAnsi="宋体" w:eastAsia="宋体" w:cs="宋体"/>
                <w:sz w:val="18"/>
                <w:szCs w:val="18"/>
              </w:rPr>
              <w:t>45,000</w:t>
            </w:r>
          </w:p>
        </w:tc>
        <w:tc>
          <w:tcPr>
            <w:tcW w:w="643" w:type="dxa"/>
            <w:tcBorders>
              <w:top w:val="single" w:color="auto" w:sz="2" w:space="0"/>
              <w:left w:val="single" w:color="auto" w:sz="2" w:space="0"/>
              <w:bottom w:val="single" w:color="auto" w:sz="2" w:space="0"/>
              <w:right w:val="single" w:color="auto" w:sz="2" w:space="0"/>
            </w:tcBorders>
            <w:vAlign w:val="center"/>
          </w:tcPr>
          <w:p w14:paraId="18C58A3E">
            <w:pPr>
              <w:spacing w:line="240" w:lineRule="exact"/>
              <w:jc w:val="right"/>
              <w:rPr>
                <w:rFonts w:ascii="宋体" w:hAnsi="宋体" w:eastAsia="宋体" w:cs="宋体"/>
                <w:sz w:val="18"/>
                <w:szCs w:val="18"/>
              </w:rPr>
            </w:pPr>
            <w:r>
              <w:rPr>
                <w:rFonts w:ascii="宋体" w:hAnsi="宋体" w:eastAsia="宋体" w:cs="宋体"/>
                <w:sz w:val="18"/>
                <w:szCs w:val="18"/>
              </w:rPr>
              <w:t>33,791.26</w:t>
            </w:r>
          </w:p>
        </w:tc>
        <w:tc>
          <w:tcPr>
            <w:tcW w:w="643" w:type="dxa"/>
            <w:tcBorders>
              <w:top w:val="single" w:color="auto" w:sz="2" w:space="0"/>
              <w:left w:val="single" w:color="auto" w:sz="2" w:space="0"/>
              <w:bottom w:val="single" w:color="auto" w:sz="2" w:space="0"/>
              <w:right w:val="single" w:color="auto" w:sz="2" w:space="0"/>
            </w:tcBorders>
            <w:vAlign w:val="center"/>
          </w:tcPr>
          <w:p w14:paraId="445F8702">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67F2930A">
            <w:pPr>
              <w:spacing w:line="240" w:lineRule="exact"/>
              <w:jc w:val="right"/>
              <w:rPr>
                <w:rFonts w:ascii="宋体" w:hAnsi="宋体" w:eastAsia="宋体" w:cs="宋体"/>
                <w:sz w:val="18"/>
                <w:szCs w:val="18"/>
              </w:rPr>
            </w:pPr>
            <w:r>
              <w:rPr>
                <w:rFonts w:ascii="宋体" w:hAnsi="宋体" w:eastAsia="宋体" w:cs="宋体"/>
                <w:sz w:val="18"/>
                <w:szCs w:val="18"/>
              </w:rPr>
              <w:t>33,791.26</w:t>
            </w:r>
          </w:p>
        </w:tc>
        <w:tc>
          <w:tcPr>
            <w:tcW w:w="643" w:type="dxa"/>
            <w:tcBorders>
              <w:top w:val="single" w:color="auto" w:sz="2" w:space="0"/>
              <w:left w:val="single" w:color="auto" w:sz="2" w:space="0"/>
              <w:bottom w:val="single" w:color="auto" w:sz="2" w:space="0"/>
              <w:right w:val="single" w:color="auto" w:sz="2" w:space="0"/>
            </w:tcBorders>
            <w:vAlign w:val="center"/>
          </w:tcPr>
          <w:p w14:paraId="4A8CD14C">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643" w:type="dxa"/>
            <w:tcBorders>
              <w:top w:val="single" w:color="auto" w:sz="2" w:space="0"/>
              <w:left w:val="single" w:color="auto" w:sz="2" w:space="0"/>
              <w:bottom w:val="single" w:color="auto" w:sz="2" w:space="0"/>
              <w:right w:val="single" w:color="auto" w:sz="2" w:space="0"/>
            </w:tcBorders>
            <w:vAlign w:val="center"/>
          </w:tcPr>
          <w:p w14:paraId="53EAF61F">
            <w:pPr>
              <w:spacing w:line="240" w:lineRule="exac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40A24CCA">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2E3992FF">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5F932EDC">
            <w:pPr>
              <w:spacing w:line="240" w:lineRule="exact"/>
              <w:rPr>
                <w:rFonts w:ascii="宋体" w:hAnsi="宋体" w:eastAsia="宋体" w:cs="宋体"/>
                <w:sz w:val="18"/>
                <w:szCs w:val="18"/>
              </w:rPr>
            </w:pPr>
            <w:r>
              <w:rPr>
                <w:rFonts w:ascii="宋体" w:hAnsi="宋体" w:eastAsia="宋体" w:cs="宋体"/>
                <w:sz w:val="18"/>
                <w:szCs w:val="18"/>
              </w:rPr>
              <w:t>不适用</w:t>
            </w:r>
          </w:p>
        </w:tc>
        <w:tc>
          <w:tcPr>
            <w:tcW w:w="643" w:type="dxa"/>
            <w:tcBorders>
              <w:top w:val="single" w:color="auto" w:sz="2" w:space="0"/>
              <w:left w:val="single" w:color="auto" w:sz="2" w:space="0"/>
              <w:bottom w:val="single" w:color="auto" w:sz="2" w:space="0"/>
              <w:right w:val="single" w:color="auto" w:sz="2" w:space="0"/>
            </w:tcBorders>
            <w:vAlign w:val="center"/>
          </w:tcPr>
          <w:p w14:paraId="17C6B733">
            <w:pPr>
              <w:spacing w:line="240" w:lineRule="exact"/>
              <w:rPr>
                <w:rFonts w:ascii="宋体" w:hAnsi="宋体" w:eastAsia="宋体" w:cs="宋体"/>
                <w:sz w:val="18"/>
                <w:szCs w:val="18"/>
              </w:rPr>
            </w:pPr>
            <w:r>
              <w:rPr>
                <w:rFonts w:ascii="宋体" w:hAnsi="宋体" w:eastAsia="宋体" w:cs="宋体"/>
                <w:sz w:val="18"/>
                <w:szCs w:val="18"/>
              </w:rPr>
              <w:t>是</w:t>
            </w:r>
          </w:p>
        </w:tc>
      </w:tr>
      <w:tr w14:paraId="26A90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2" w:type="dxa"/>
            <w:tcBorders>
              <w:top w:val="single" w:color="auto" w:sz="2" w:space="0"/>
              <w:left w:val="single" w:color="auto" w:sz="2" w:space="0"/>
              <w:bottom w:val="single" w:color="auto" w:sz="2" w:space="0"/>
              <w:right w:val="single" w:color="auto" w:sz="2" w:space="0"/>
            </w:tcBorders>
            <w:vAlign w:val="center"/>
          </w:tcPr>
          <w:p w14:paraId="23593C3D">
            <w:pPr>
              <w:spacing w:line="240" w:lineRule="exact"/>
              <w:rPr>
                <w:rFonts w:ascii="宋体" w:hAnsi="宋体" w:eastAsia="宋体" w:cs="宋体"/>
                <w:sz w:val="18"/>
                <w:szCs w:val="18"/>
              </w:rPr>
            </w:pPr>
            <w:r>
              <w:rPr>
                <w:rFonts w:ascii="宋体" w:hAnsi="宋体" w:eastAsia="宋体" w:cs="宋体"/>
                <w:sz w:val="18"/>
                <w:szCs w:val="18"/>
              </w:rPr>
              <w:t>临时性补充流动资金</w:t>
            </w:r>
          </w:p>
        </w:tc>
        <w:tc>
          <w:tcPr>
            <w:tcW w:w="642" w:type="dxa"/>
            <w:tcBorders>
              <w:top w:val="single" w:color="auto" w:sz="2" w:space="0"/>
              <w:left w:val="single" w:color="auto" w:sz="2" w:space="0"/>
              <w:bottom w:val="single" w:color="auto" w:sz="2" w:space="0"/>
              <w:right w:val="single" w:color="auto" w:sz="2" w:space="0"/>
            </w:tcBorders>
            <w:vAlign w:val="center"/>
          </w:tcPr>
          <w:p w14:paraId="63F6847B">
            <w:pPr>
              <w:spacing w:line="240" w:lineRule="exact"/>
              <w:rPr>
                <w:rFonts w:ascii="宋体" w:hAnsi="宋体" w:eastAsia="宋体" w:cs="宋体"/>
                <w:sz w:val="18"/>
                <w:szCs w:val="18"/>
              </w:rPr>
            </w:pPr>
            <w:r>
              <w:rPr>
                <w:rFonts w:ascii="宋体" w:hAnsi="宋体" w:eastAsia="宋体" w:cs="宋体"/>
                <w:sz w:val="18"/>
                <w:szCs w:val="18"/>
              </w:rPr>
              <w:t>2021年10月14日</w:t>
            </w:r>
          </w:p>
        </w:tc>
        <w:tc>
          <w:tcPr>
            <w:tcW w:w="642" w:type="dxa"/>
            <w:tcBorders>
              <w:top w:val="single" w:color="auto" w:sz="2" w:space="0"/>
              <w:left w:val="single" w:color="auto" w:sz="2" w:space="0"/>
              <w:bottom w:val="single" w:color="auto" w:sz="2" w:space="0"/>
              <w:right w:val="single" w:color="auto" w:sz="2" w:space="0"/>
            </w:tcBorders>
            <w:vAlign w:val="center"/>
          </w:tcPr>
          <w:p w14:paraId="3610B3D7">
            <w:pPr>
              <w:spacing w:line="240" w:lineRule="exact"/>
              <w:rPr>
                <w:rFonts w:ascii="宋体" w:hAnsi="宋体" w:eastAsia="宋体" w:cs="宋体"/>
                <w:sz w:val="18"/>
                <w:szCs w:val="18"/>
              </w:rPr>
            </w:pPr>
            <w:r>
              <w:rPr>
                <w:rFonts w:ascii="宋体" w:hAnsi="宋体" w:eastAsia="宋体" w:cs="宋体"/>
                <w:sz w:val="18"/>
                <w:szCs w:val="18"/>
              </w:rPr>
              <w:t> 临时性补充流动资金</w:t>
            </w:r>
          </w:p>
        </w:tc>
        <w:tc>
          <w:tcPr>
            <w:tcW w:w="642" w:type="dxa"/>
            <w:tcBorders>
              <w:top w:val="single" w:color="auto" w:sz="2" w:space="0"/>
              <w:left w:val="single" w:color="auto" w:sz="2" w:space="0"/>
              <w:bottom w:val="single" w:color="auto" w:sz="2" w:space="0"/>
              <w:right w:val="single" w:color="auto" w:sz="2" w:space="0"/>
            </w:tcBorders>
            <w:vAlign w:val="center"/>
          </w:tcPr>
          <w:p w14:paraId="6261DC9E">
            <w:pPr>
              <w:spacing w:line="240" w:lineRule="exact"/>
              <w:rPr>
                <w:rFonts w:ascii="宋体" w:hAnsi="宋体" w:eastAsia="宋体" w:cs="宋体"/>
                <w:sz w:val="18"/>
                <w:szCs w:val="18"/>
              </w:rPr>
            </w:pPr>
            <w:r>
              <w:rPr>
                <w:rFonts w:ascii="宋体" w:hAnsi="宋体" w:eastAsia="宋体" w:cs="宋体"/>
                <w:sz w:val="18"/>
                <w:szCs w:val="18"/>
              </w:rPr>
              <w:t>补流 </w:t>
            </w:r>
          </w:p>
        </w:tc>
        <w:tc>
          <w:tcPr>
            <w:tcW w:w="642" w:type="dxa"/>
            <w:tcBorders>
              <w:top w:val="single" w:color="auto" w:sz="2" w:space="0"/>
              <w:left w:val="single" w:color="auto" w:sz="2" w:space="0"/>
              <w:bottom w:val="single" w:color="auto" w:sz="2" w:space="0"/>
              <w:right w:val="single" w:color="auto" w:sz="2" w:space="0"/>
            </w:tcBorders>
            <w:vAlign w:val="center"/>
          </w:tcPr>
          <w:p w14:paraId="149197BF">
            <w:pPr>
              <w:spacing w:line="240" w:lineRule="exact"/>
              <w:rPr>
                <w:rFonts w:ascii="宋体" w:hAnsi="宋体" w:eastAsia="宋体" w:cs="宋体"/>
                <w:sz w:val="18"/>
                <w:szCs w:val="18"/>
              </w:rPr>
            </w:pPr>
            <w:r>
              <w:rPr>
                <w:rFonts w:ascii="宋体" w:hAnsi="宋体" w:eastAsia="宋体" w:cs="宋体"/>
                <w:sz w:val="18"/>
                <w:szCs w:val="18"/>
              </w:rPr>
              <w:t>是</w:t>
            </w:r>
          </w:p>
        </w:tc>
        <w:tc>
          <w:tcPr>
            <w:tcW w:w="642" w:type="dxa"/>
            <w:gridSpan w:val="2"/>
            <w:tcBorders>
              <w:top w:val="single" w:color="auto" w:sz="2" w:space="0"/>
              <w:left w:val="single" w:color="auto" w:sz="2" w:space="0"/>
              <w:bottom w:val="single" w:color="auto" w:sz="2" w:space="0"/>
              <w:right w:val="single" w:color="auto" w:sz="2" w:space="0"/>
            </w:tcBorders>
            <w:vAlign w:val="center"/>
          </w:tcPr>
          <w:p w14:paraId="152E925D">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7913A568">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2D939F95">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1BF171A5">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00608ED6">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2C226751">
            <w:pPr>
              <w:spacing w:line="240" w:lineRule="exac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4CB1C6D2">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16007EE1">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49B1D408">
            <w:pPr>
              <w:spacing w:line="240" w:lineRule="exact"/>
              <w:rPr>
                <w:rFonts w:ascii="宋体" w:hAnsi="宋体" w:eastAsia="宋体" w:cs="宋体"/>
                <w:sz w:val="18"/>
                <w:szCs w:val="18"/>
              </w:rPr>
            </w:pPr>
            <w:r>
              <w:rPr>
                <w:rFonts w:ascii="宋体" w:hAnsi="宋体" w:eastAsia="宋体" w:cs="宋体"/>
                <w:sz w:val="18"/>
                <w:szCs w:val="18"/>
              </w:rPr>
              <w:t>不适用</w:t>
            </w:r>
          </w:p>
        </w:tc>
        <w:tc>
          <w:tcPr>
            <w:tcW w:w="643" w:type="dxa"/>
            <w:tcBorders>
              <w:top w:val="single" w:color="auto" w:sz="2" w:space="0"/>
              <w:left w:val="single" w:color="auto" w:sz="2" w:space="0"/>
              <w:bottom w:val="single" w:color="auto" w:sz="2" w:space="0"/>
              <w:right w:val="single" w:color="auto" w:sz="2" w:space="0"/>
            </w:tcBorders>
            <w:vAlign w:val="center"/>
          </w:tcPr>
          <w:p w14:paraId="52583F03">
            <w:pPr>
              <w:spacing w:line="240" w:lineRule="exact"/>
              <w:rPr>
                <w:rFonts w:ascii="宋体" w:hAnsi="宋体" w:eastAsia="宋体" w:cs="宋体"/>
                <w:sz w:val="18"/>
                <w:szCs w:val="18"/>
              </w:rPr>
            </w:pPr>
            <w:r>
              <w:rPr>
                <w:rFonts w:ascii="宋体" w:hAnsi="宋体" w:eastAsia="宋体" w:cs="宋体"/>
                <w:sz w:val="18"/>
                <w:szCs w:val="18"/>
              </w:rPr>
              <w:t>是</w:t>
            </w:r>
          </w:p>
        </w:tc>
      </w:tr>
      <w:tr w14:paraId="34C87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6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44D7CDAA">
            <w:pPr>
              <w:spacing w:before="40" w:after="40" w:line="240" w:lineRule="exact"/>
              <w:rPr>
                <w:rFonts w:ascii="宋体" w:hAnsi="宋体" w:eastAsia="宋体" w:cs="宋体"/>
                <w:sz w:val="18"/>
                <w:szCs w:val="18"/>
              </w:rPr>
            </w:pPr>
            <w:r>
              <w:rPr>
                <w:rFonts w:ascii="宋体" w:hAnsi="宋体" w:eastAsia="宋体" w:cs="宋体"/>
                <w:sz w:val="18"/>
                <w:szCs w:val="18"/>
              </w:rPr>
              <w:t>承诺投资项目小计</w:t>
            </w:r>
          </w:p>
        </w:tc>
        <w:tc>
          <w:tcPr>
            <w:tcW w:w="642" w:type="dxa"/>
            <w:tcBorders>
              <w:top w:val="single" w:color="auto" w:sz="2" w:space="0"/>
              <w:left w:val="single" w:color="auto" w:sz="2" w:space="0"/>
              <w:bottom w:val="single" w:color="auto" w:sz="2" w:space="0"/>
              <w:right w:val="single" w:color="auto" w:sz="2" w:space="0"/>
            </w:tcBorders>
            <w:shd w:val="clear" w:color="auto" w:fill="D3D3D3"/>
            <w:vAlign w:val="center"/>
          </w:tcPr>
          <w:p w14:paraId="2D2845C7">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2" w:type="dxa"/>
            <w:gridSpan w:val="2"/>
            <w:tcBorders>
              <w:top w:val="single" w:color="auto" w:sz="2" w:space="0"/>
              <w:left w:val="single" w:color="auto" w:sz="2" w:space="0"/>
              <w:bottom w:val="single" w:color="auto" w:sz="2" w:space="0"/>
              <w:right w:val="single" w:color="auto" w:sz="2" w:space="0"/>
            </w:tcBorders>
            <w:vAlign w:val="center"/>
          </w:tcPr>
          <w:p w14:paraId="0443978C">
            <w:pPr>
              <w:spacing w:line="240" w:lineRule="exact"/>
              <w:jc w:val="right"/>
              <w:rPr>
                <w:rFonts w:ascii="宋体" w:hAnsi="宋体" w:eastAsia="宋体" w:cs="宋体"/>
                <w:sz w:val="18"/>
                <w:szCs w:val="18"/>
              </w:rPr>
            </w:pPr>
            <w:r>
              <w:rPr>
                <w:rFonts w:ascii="宋体" w:hAnsi="宋体" w:eastAsia="宋体" w:cs="宋体"/>
                <w:sz w:val="18"/>
                <w:szCs w:val="18"/>
              </w:rPr>
              <w:t>150,000</w:t>
            </w:r>
          </w:p>
        </w:tc>
        <w:tc>
          <w:tcPr>
            <w:tcW w:w="643" w:type="dxa"/>
            <w:tcBorders>
              <w:top w:val="single" w:color="auto" w:sz="2" w:space="0"/>
              <w:left w:val="single" w:color="auto" w:sz="2" w:space="0"/>
              <w:bottom w:val="single" w:color="auto" w:sz="2" w:space="0"/>
              <w:right w:val="single" w:color="auto" w:sz="2" w:space="0"/>
            </w:tcBorders>
            <w:vAlign w:val="center"/>
          </w:tcPr>
          <w:p w14:paraId="6B1F75CB">
            <w:pPr>
              <w:spacing w:line="240" w:lineRule="exact"/>
              <w:jc w:val="right"/>
              <w:rPr>
                <w:rFonts w:ascii="宋体" w:hAnsi="宋体" w:eastAsia="宋体" w:cs="宋体"/>
                <w:sz w:val="18"/>
                <w:szCs w:val="18"/>
              </w:rPr>
            </w:pPr>
            <w:r>
              <w:rPr>
                <w:rFonts w:ascii="宋体" w:hAnsi="宋体" w:eastAsia="宋体" w:cs="宋体"/>
                <w:sz w:val="18"/>
                <w:szCs w:val="18"/>
              </w:rPr>
              <w:t>112,637.54</w:t>
            </w:r>
          </w:p>
        </w:tc>
        <w:tc>
          <w:tcPr>
            <w:tcW w:w="643" w:type="dxa"/>
            <w:tcBorders>
              <w:top w:val="single" w:color="auto" w:sz="2" w:space="0"/>
              <w:left w:val="single" w:color="auto" w:sz="2" w:space="0"/>
              <w:bottom w:val="single" w:color="auto" w:sz="2" w:space="0"/>
              <w:right w:val="single" w:color="auto" w:sz="2" w:space="0"/>
            </w:tcBorders>
            <w:vAlign w:val="center"/>
          </w:tcPr>
          <w:p w14:paraId="68294882">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6F07A517">
            <w:pPr>
              <w:spacing w:line="240" w:lineRule="exact"/>
              <w:jc w:val="right"/>
              <w:rPr>
                <w:rFonts w:ascii="宋体" w:hAnsi="宋体" w:eastAsia="宋体" w:cs="宋体"/>
                <w:sz w:val="18"/>
                <w:szCs w:val="18"/>
              </w:rPr>
            </w:pPr>
            <w:r>
              <w:rPr>
                <w:rFonts w:ascii="宋体" w:hAnsi="宋体" w:eastAsia="宋体" w:cs="宋体"/>
                <w:sz w:val="18"/>
                <w:szCs w:val="18"/>
              </w:rPr>
              <w:t>113,685.68</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0E353311">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3B0753B4">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vAlign w:val="center"/>
          </w:tcPr>
          <w:p w14:paraId="61F1DB4D">
            <w:pPr>
              <w:spacing w:line="240" w:lineRule="exact"/>
              <w:jc w:val="right"/>
              <w:rPr>
                <w:rFonts w:ascii="宋体" w:hAnsi="宋体" w:eastAsia="宋体" w:cs="宋体"/>
                <w:sz w:val="18"/>
                <w:szCs w:val="18"/>
              </w:rPr>
            </w:pPr>
            <w:r>
              <w:rPr>
                <w:rFonts w:ascii="宋体" w:hAnsi="宋体" w:eastAsia="宋体" w:cs="宋体"/>
                <w:sz w:val="18"/>
                <w:szCs w:val="18"/>
              </w:rPr>
              <w:t>585.75</w:t>
            </w:r>
          </w:p>
        </w:tc>
        <w:tc>
          <w:tcPr>
            <w:tcW w:w="643" w:type="dxa"/>
            <w:tcBorders>
              <w:top w:val="single" w:color="auto" w:sz="2" w:space="0"/>
              <w:left w:val="single" w:color="auto" w:sz="2" w:space="0"/>
              <w:bottom w:val="single" w:color="auto" w:sz="2" w:space="0"/>
              <w:right w:val="single" w:color="auto" w:sz="2" w:space="0"/>
            </w:tcBorders>
            <w:vAlign w:val="center"/>
          </w:tcPr>
          <w:p w14:paraId="10F877FE">
            <w:pPr>
              <w:spacing w:line="240" w:lineRule="exact"/>
              <w:jc w:val="right"/>
              <w:rPr>
                <w:rFonts w:ascii="宋体" w:hAnsi="宋体" w:eastAsia="宋体" w:cs="宋体"/>
                <w:sz w:val="18"/>
                <w:szCs w:val="18"/>
              </w:rPr>
            </w:pPr>
            <w:r>
              <w:rPr>
                <w:rFonts w:ascii="宋体" w:hAnsi="宋体" w:eastAsia="宋体" w:cs="宋体"/>
                <w:sz w:val="18"/>
                <w:szCs w:val="18"/>
              </w:rPr>
              <w:t>3,048.13</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1AB5CF3D">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2EF0A5E0">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14:paraId="0D604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6"/>
            <w:tcBorders>
              <w:top w:val="single" w:color="auto" w:sz="2" w:space="0"/>
              <w:left w:val="single" w:color="auto" w:sz="2" w:space="0"/>
              <w:bottom w:val="single" w:color="auto" w:sz="2" w:space="0"/>
              <w:right w:val="single" w:color="auto" w:sz="2" w:space="0"/>
            </w:tcBorders>
            <w:shd w:val="clear" w:color="auto" w:fill="D3D3D3"/>
            <w:vAlign w:val="center"/>
          </w:tcPr>
          <w:p w14:paraId="51BCBEF8">
            <w:pPr>
              <w:spacing w:before="40" w:after="40" w:line="240" w:lineRule="exact"/>
              <w:rPr>
                <w:rFonts w:ascii="宋体" w:hAnsi="宋体" w:eastAsia="宋体" w:cs="宋体"/>
                <w:sz w:val="18"/>
                <w:szCs w:val="18"/>
              </w:rPr>
            </w:pPr>
            <w:r>
              <w:rPr>
                <w:rFonts w:ascii="宋体" w:hAnsi="宋体" w:eastAsia="宋体" w:cs="宋体"/>
                <w:sz w:val="18"/>
                <w:szCs w:val="18"/>
              </w:rPr>
              <w:t>超募资金投向</w:t>
            </w:r>
          </w:p>
        </w:tc>
      </w:tr>
      <w:tr w14:paraId="17ABA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2" w:type="dxa"/>
            <w:tcBorders>
              <w:top w:val="single" w:color="auto" w:sz="2" w:space="0"/>
              <w:left w:val="single" w:color="auto" w:sz="2" w:space="0"/>
              <w:bottom w:val="single" w:color="auto" w:sz="2" w:space="0"/>
              <w:right w:val="single" w:color="auto" w:sz="2" w:space="0"/>
            </w:tcBorders>
            <w:vAlign w:val="center"/>
          </w:tcPr>
          <w:p w14:paraId="5E2CD0D0">
            <w:pPr>
              <w:spacing w:line="240" w:lineRule="exact"/>
              <w:rPr>
                <w:rFonts w:ascii="宋体" w:hAnsi="宋体" w:eastAsia="宋体" w:cs="宋体"/>
                <w:sz w:val="18"/>
                <w:szCs w:val="18"/>
              </w:rPr>
            </w:pPr>
            <w:r>
              <w:rPr>
                <w:rFonts w:ascii="宋体" w:hAnsi="宋体" w:eastAsia="宋体" w:cs="宋体"/>
                <w:sz w:val="18"/>
                <w:szCs w:val="18"/>
              </w:rPr>
              <w:t>无</w:t>
            </w:r>
          </w:p>
        </w:tc>
        <w:tc>
          <w:tcPr>
            <w:tcW w:w="642" w:type="dxa"/>
            <w:tcBorders>
              <w:top w:val="single" w:color="auto" w:sz="2" w:space="0"/>
              <w:left w:val="single" w:color="auto" w:sz="2" w:space="0"/>
              <w:bottom w:val="single" w:color="auto" w:sz="2" w:space="0"/>
              <w:right w:val="single" w:color="auto" w:sz="2" w:space="0"/>
            </w:tcBorders>
            <w:vAlign w:val="center"/>
          </w:tcPr>
          <w:p w14:paraId="0EC918E8">
            <w:pPr>
              <w:spacing w:line="240" w:lineRule="exact"/>
              <w:rPr>
                <w:rFonts w:ascii="宋体" w:hAnsi="宋体" w:eastAsia="宋体" w:cs="宋体"/>
                <w:sz w:val="18"/>
                <w:szCs w:val="18"/>
              </w:rPr>
            </w:pPr>
            <w:r>
              <w:rPr>
                <w:rFonts w:ascii="宋体" w:hAnsi="宋体" w:eastAsia="宋体" w:cs="宋体"/>
                <w:sz w:val="18"/>
                <w:szCs w:val="18"/>
              </w:rPr>
              <w:t>2029年12月31日</w:t>
            </w:r>
          </w:p>
        </w:tc>
        <w:tc>
          <w:tcPr>
            <w:tcW w:w="642" w:type="dxa"/>
            <w:tcBorders>
              <w:top w:val="single" w:color="auto" w:sz="2" w:space="0"/>
              <w:left w:val="single" w:color="auto" w:sz="2" w:space="0"/>
              <w:bottom w:val="single" w:color="auto" w:sz="2" w:space="0"/>
              <w:right w:val="single" w:color="auto" w:sz="2" w:space="0"/>
            </w:tcBorders>
            <w:vAlign w:val="center"/>
          </w:tcPr>
          <w:p w14:paraId="0ED36EC2">
            <w:pPr>
              <w:spacing w:line="240" w:lineRule="exact"/>
              <w:rPr>
                <w:rFonts w:ascii="宋体" w:hAnsi="宋体" w:eastAsia="宋体" w:cs="宋体"/>
                <w:sz w:val="18"/>
                <w:szCs w:val="18"/>
              </w:rPr>
            </w:pPr>
            <w:r>
              <w:rPr>
                <w:rFonts w:ascii="宋体" w:hAnsi="宋体" w:eastAsia="宋体" w:cs="宋体"/>
                <w:sz w:val="18"/>
                <w:szCs w:val="18"/>
              </w:rPr>
              <w:t>无</w:t>
            </w:r>
          </w:p>
        </w:tc>
        <w:tc>
          <w:tcPr>
            <w:tcW w:w="642" w:type="dxa"/>
            <w:tcBorders>
              <w:top w:val="single" w:color="auto" w:sz="2" w:space="0"/>
              <w:left w:val="single" w:color="auto" w:sz="2" w:space="0"/>
              <w:bottom w:val="single" w:color="auto" w:sz="2" w:space="0"/>
              <w:right w:val="single" w:color="auto" w:sz="2" w:space="0"/>
            </w:tcBorders>
            <w:vAlign w:val="center"/>
          </w:tcPr>
          <w:p w14:paraId="7FBE99CE">
            <w:pPr>
              <w:spacing w:line="240" w:lineRule="exact"/>
              <w:rPr>
                <w:rFonts w:ascii="宋体" w:hAnsi="宋体" w:eastAsia="宋体" w:cs="宋体"/>
                <w:sz w:val="18"/>
                <w:szCs w:val="18"/>
              </w:rPr>
            </w:pPr>
            <w:r>
              <w:rPr>
                <w:rFonts w:ascii="宋体" w:hAnsi="宋体" w:eastAsia="宋体" w:cs="宋体"/>
                <w:sz w:val="18"/>
                <w:szCs w:val="18"/>
              </w:rPr>
              <w:t>不适用</w:t>
            </w:r>
          </w:p>
        </w:tc>
        <w:tc>
          <w:tcPr>
            <w:tcW w:w="693" w:type="dxa"/>
            <w:gridSpan w:val="2"/>
            <w:tcBorders>
              <w:top w:val="single" w:color="auto" w:sz="2" w:space="0"/>
              <w:left w:val="single" w:color="auto" w:sz="2" w:space="0"/>
              <w:bottom w:val="single" w:color="auto" w:sz="2" w:space="0"/>
              <w:right w:val="single" w:color="auto" w:sz="2" w:space="0"/>
            </w:tcBorders>
            <w:vAlign w:val="center"/>
          </w:tcPr>
          <w:p w14:paraId="024131E9">
            <w:pPr>
              <w:spacing w:line="240" w:lineRule="exact"/>
              <w:rPr>
                <w:rFonts w:ascii="宋体" w:hAnsi="宋体" w:eastAsia="宋体" w:cs="宋体"/>
                <w:sz w:val="18"/>
                <w:szCs w:val="18"/>
              </w:rPr>
            </w:pPr>
            <w:r>
              <w:rPr>
                <w:rFonts w:ascii="宋体" w:hAnsi="宋体" w:eastAsia="宋体" w:cs="宋体"/>
                <w:sz w:val="18"/>
                <w:szCs w:val="18"/>
              </w:rPr>
              <w:t>否</w:t>
            </w:r>
          </w:p>
        </w:tc>
        <w:tc>
          <w:tcPr>
            <w:tcW w:w="591" w:type="dxa"/>
            <w:tcBorders>
              <w:top w:val="single" w:color="auto" w:sz="2" w:space="0"/>
              <w:left w:val="single" w:color="auto" w:sz="2" w:space="0"/>
              <w:bottom w:val="single" w:color="auto" w:sz="2" w:space="0"/>
              <w:right w:val="single" w:color="auto" w:sz="2" w:space="0"/>
            </w:tcBorders>
            <w:vAlign w:val="center"/>
          </w:tcPr>
          <w:p w14:paraId="33C19423">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65C7D158">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264D331E">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611B2EF9">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71769035">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56B4EDD8">
            <w:pPr>
              <w:spacing w:line="240" w:lineRule="exac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79BE4405">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51EDAA01">
            <w:pPr>
              <w:spacing w:line="240" w:lineRule="exact"/>
              <w:jc w:val="righ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14:paraId="7CAD9A5E">
            <w:pPr>
              <w:spacing w:line="240" w:lineRule="exact"/>
              <w:rPr>
                <w:rFonts w:ascii="宋体" w:hAnsi="宋体" w:eastAsia="宋体" w:cs="宋体"/>
                <w:sz w:val="18"/>
                <w:szCs w:val="18"/>
              </w:rPr>
            </w:pPr>
            <w:r>
              <w:rPr>
                <w:rFonts w:ascii="宋体" w:hAnsi="宋体" w:eastAsia="宋体" w:cs="宋体"/>
                <w:sz w:val="18"/>
                <w:szCs w:val="18"/>
              </w:rPr>
              <w:t>不适用</w:t>
            </w:r>
          </w:p>
        </w:tc>
        <w:tc>
          <w:tcPr>
            <w:tcW w:w="643" w:type="dxa"/>
            <w:tcBorders>
              <w:top w:val="single" w:color="auto" w:sz="2" w:space="0"/>
              <w:left w:val="single" w:color="auto" w:sz="2" w:space="0"/>
              <w:bottom w:val="single" w:color="auto" w:sz="2" w:space="0"/>
              <w:right w:val="single" w:color="auto" w:sz="2" w:space="0"/>
            </w:tcBorders>
            <w:vAlign w:val="center"/>
          </w:tcPr>
          <w:p w14:paraId="2EA138AC">
            <w:pPr>
              <w:spacing w:line="240" w:lineRule="exact"/>
              <w:rPr>
                <w:rFonts w:ascii="宋体" w:hAnsi="宋体" w:eastAsia="宋体" w:cs="宋体"/>
                <w:sz w:val="18"/>
                <w:szCs w:val="18"/>
              </w:rPr>
            </w:pPr>
            <w:r>
              <w:rPr>
                <w:rFonts w:ascii="宋体" w:hAnsi="宋体" w:eastAsia="宋体" w:cs="宋体"/>
                <w:sz w:val="18"/>
                <w:szCs w:val="18"/>
              </w:rPr>
              <w:t>否</w:t>
            </w:r>
          </w:p>
        </w:tc>
      </w:tr>
      <w:tr w14:paraId="779EE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6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44DB5E39">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69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03110C6">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591" w:type="dxa"/>
            <w:tcBorders>
              <w:top w:val="single" w:color="auto" w:sz="2" w:space="0"/>
              <w:left w:val="single" w:color="auto" w:sz="2" w:space="0"/>
              <w:bottom w:val="single" w:color="auto" w:sz="2" w:space="0"/>
              <w:right w:val="single" w:color="auto" w:sz="2" w:space="0"/>
            </w:tcBorders>
            <w:vAlign w:val="center"/>
          </w:tcPr>
          <w:p w14:paraId="3C4E5D15">
            <w:pPr>
              <w:spacing w:line="240" w:lineRule="exact"/>
              <w:jc w:val="right"/>
              <w:rPr>
                <w:rFonts w:ascii="宋体" w:hAnsi="宋体" w:eastAsia="宋体" w:cs="宋体"/>
                <w:sz w:val="18"/>
                <w:szCs w:val="18"/>
              </w:rPr>
            </w:pPr>
            <w:r>
              <w:rPr>
                <w:rFonts w:ascii="宋体" w:hAnsi="宋体" w:eastAsia="宋体" w:cs="宋体"/>
                <w:sz w:val="18"/>
                <w:szCs w:val="18"/>
              </w:rPr>
              <w:t>150,000</w:t>
            </w:r>
          </w:p>
        </w:tc>
        <w:tc>
          <w:tcPr>
            <w:tcW w:w="643" w:type="dxa"/>
            <w:tcBorders>
              <w:top w:val="single" w:color="auto" w:sz="2" w:space="0"/>
              <w:left w:val="single" w:color="auto" w:sz="2" w:space="0"/>
              <w:bottom w:val="single" w:color="auto" w:sz="2" w:space="0"/>
              <w:right w:val="single" w:color="auto" w:sz="2" w:space="0"/>
            </w:tcBorders>
            <w:vAlign w:val="center"/>
          </w:tcPr>
          <w:p w14:paraId="4E55B518">
            <w:pPr>
              <w:spacing w:line="240" w:lineRule="exact"/>
              <w:jc w:val="right"/>
              <w:rPr>
                <w:rFonts w:ascii="宋体" w:hAnsi="宋体" w:eastAsia="宋体" w:cs="宋体"/>
                <w:sz w:val="18"/>
                <w:szCs w:val="18"/>
              </w:rPr>
            </w:pPr>
            <w:r>
              <w:rPr>
                <w:rFonts w:ascii="宋体" w:hAnsi="宋体" w:eastAsia="宋体" w:cs="宋体"/>
                <w:sz w:val="18"/>
                <w:szCs w:val="18"/>
              </w:rPr>
              <w:t>112,637.54</w:t>
            </w:r>
          </w:p>
        </w:tc>
        <w:tc>
          <w:tcPr>
            <w:tcW w:w="643" w:type="dxa"/>
            <w:tcBorders>
              <w:top w:val="single" w:color="auto" w:sz="2" w:space="0"/>
              <w:left w:val="single" w:color="auto" w:sz="2" w:space="0"/>
              <w:bottom w:val="single" w:color="auto" w:sz="2" w:space="0"/>
              <w:right w:val="single" w:color="auto" w:sz="2" w:space="0"/>
            </w:tcBorders>
            <w:vAlign w:val="center"/>
          </w:tcPr>
          <w:p w14:paraId="4F9EF569">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643" w:type="dxa"/>
            <w:tcBorders>
              <w:top w:val="single" w:color="auto" w:sz="2" w:space="0"/>
              <w:left w:val="single" w:color="auto" w:sz="2" w:space="0"/>
              <w:bottom w:val="single" w:color="auto" w:sz="2" w:space="0"/>
              <w:right w:val="single" w:color="auto" w:sz="2" w:space="0"/>
            </w:tcBorders>
            <w:vAlign w:val="center"/>
          </w:tcPr>
          <w:p w14:paraId="70B493DC">
            <w:pPr>
              <w:spacing w:line="240" w:lineRule="exact"/>
              <w:jc w:val="right"/>
              <w:rPr>
                <w:rFonts w:ascii="宋体" w:hAnsi="宋体" w:eastAsia="宋体" w:cs="宋体"/>
                <w:sz w:val="18"/>
                <w:szCs w:val="18"/>
              </w:rPr>
            </w:pPr>
            <w:r>
              <w:rPr>
                <w:rFonts w:ascii="宋体" w:hAnsi="宋体" w:eastAsia="宋体" w:cs="宋体"/>
                <w:sz w:val="18"/>
                <w:szCs w:val="18"/>
              </w:rPr>
              <w:t>113,685.68</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09021174">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435246DF">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vAlign w:val="center"/>
          </w:tcPr>
          <w:p w14:paraId="3D1251CB">
            <w:pPr>
              <w:spacing w:line="240" w:lineRule="exact"/>
              <w:jc w:val="right"/>
              <w:rPr>
                <w:rFonts w:ascii="宋体" w:hAnsi="宋体" w:eastAsia="宋体" w:cs="宋体"/>
                <w:sz w:val="18"/>
                <w:szCs w:val="18"/>
              </w:rPr>
            </w:pPr>
            <w:r>
              <w:rPr>
                <w:rFonts w:ascii="宋体" w:hAnsi="宋体" w:eastAsia="宋体" w:cs="宋体"/>
                <w:sz w:val="18"/>
                <w:szCs w:val="18"/>
              </w:rPr>
              <w:t>585.75</w:t>
            </w:r>
          </w:p>
        </w:tc>
        <w:tc>
          <w:tcPr>
            <w:tcW w:w="643" w:type="dxa"/>
            <w:tcBorders>
              <w:top w:val="single" w:color="auto" w:sz="2" w:space="0"/>
              <w:left w:val="single" w:color="auto" w:sz="2" w:space="0"/>
              <w:bottom w:val="single" w:color="auto" w:sz="2" w:space="0"/>
              <w:right w:val="single" w:color="auto" w:sz="2" w:space="0"/>
            </w:tcBorders>
            <w:vAlign w:val="center"/>
          </w:tcPr>
          <w:p w14:paraId="267656B2">
            <w:pPr>
              <w:spacing w:line="240" w:lineRule="exact"/>
              <w:jc w:val="right"/>
              <w:rPr>
                <w:rFonts w:ascii="宋体" w:hAnsi="宋体" w:eastAsia="宋体" w:cs="宋体"/>
                <w:sz w:val="18"/>
                <w:szCs w:val="18"/>
              </w:rPr>
            </w:pPr>
            <w:r>
              <w:rPr>
                <w:rFonts w:ascii="宋体" w:hAnsi="宋体" w:eastAsia="宋体" w:cs="宋体"/>
                <w:sz w:val="18"/>
                <w:szCs w:val="18"/>
              </w:rPr>
              <w:t>3,048.13</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63EC0B22">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14:paraId="115B2953">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14:paraId="0D066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4F99A042">
            <w:pPr>
              <w:spacing w:before="40" w:after="40" w:line="240" w:lineRule="exact"/>
              <w:rPr>
                <w:rFonts w:ascii="宋体" w:hAnsi="宋体" w:eastAsia="宋体" w:cs="宋体"/>
                <w:sz w:val="18"/>
                <w:szCs w:val="18"/>
              </w:rPr>
            </w:pPr>
            <w:r>
              <w:rPr>
                <w:rFonts w:ascii="宋体" w:hAnsi="宋体" w:eastAsia="宋体" w:cs="宋体"/>
                <w:sz w:val="18"/>
                <w:szCs w:val="18"/>
              </w:rPr>
              <w:t>分项目说明未达到计划进度、预计收益的情况和原因（含“是否达到预计效益”选择“不适用”的原因）</w:t>
            </w:r>
          </w:p>
        </w:tc>
        <w:tc>
          <w:tcPr>
            <w:tcW w:w="6378" w:type="dxa"/>
            <w:gridSpan w:val="10"/>
            <w:tcBorders>
              <w:top w:val="single" w:color="auto" w:sz="2" w:space="0"/>
              <w:left w:val="single" w:color="auto" w:sz="2" w:space="0"/>
              <w:bottom w:val="single" w:color="auto" w:sz="2" w:space="0"/>
              <w:right w:val="single" w:color="auto" w:sz="2" w:space="0"/>
            </w:tcBorders>
            <w:vAlign w:val="center"/>
          </w:tcPr>
          <w:p w14:paraId="23037552">
            <w:pPr>
              <w:spacing w:line="240" w:lineRule="exact"/>
              <w:rPr>
                <w:rFonts w:ascii="宋体" w:hAnsi="宋体" w:eastAsia="宋体" w:cs="宋体"/>
                <w:sz w:val="18"/>
                <w:szCs w:val="18"/>
              </w:rPr>
            </w:pPr>
            <w:r>
              <w:rPr>
                <w:rFonts w:ascii="宋体" w:hAnsi="宋体" w:eastAsia="宋体" w:cs="宋体"/>
                <w:sz w:val="18"/>
                <w:szCs w:val="18"/>
              </w:rPr>
              <w:t>公司于2025年6月20日召开第九届董事会2025年第一次临时会议、第九届监事会第三次会议，审议通过了《关于募投项目延期的议案》，公司在募投项目实施主体、实施方式、投资总额不发生变更的情况下，根据实际情况决定对募投项目进行延期。由于宏观环境因素影响，项目整体进度放缓，预计无法在原定计划内完成建设。结合目前募投项目的实施进展以及公司业务发展规划，经审慎研究，公司决定将募投项目达到预定可使用状态的时间延长至2025年12月31日。</w:t>
            </w:r>
          </w:p>
        </w:tc>
      </w:tr>
      <w:tr w14:paraId="47EB6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22CDFEB2">
            <w:pPr>
              <w:spacing w:before="40" w:after="40" w:line="240" w:lineRule="exact"/>
              <w:rPr>
                <w:rFonts w:ascii="宋体" w:hAnsi="宋体" w:eastAsia="宋体" w:cs="宋体"/>
                <w:sz w:val="18"/>
                <w:szCs w:val="18"/>
              </w:rPr>
            </w:pPr>
            <w:r>
              <w:rPr>
                <w:rFonts w:ascii="宋体" w:hAnsi="宋体" w:eastAsia="宋体" w:cs="宋体"/>
                <w:sz w:val="18"/>
                <w:szCs w:val="18"/>
              </w:rPr>
              <w:t>项目可行性发生重大变化的情况说明</w:t>
            </w:r>
          </w:p>
        </w:tc>
        <w:tc>
          <w:tcPr>
            <w:tcW w:w="6378" w:type="dxa"/>
            <w:gridSpan w:val="10"/>
            <w:tcBorders>
              <w:top w:val="single" w:color="auto" w:sz="2" w:space="0"/>
              <w:left w:val="single" w:color="auto" w:sz="2" w:space="0"/>
              <w:bottom w:val="single" w:color="auto" w:sz="2" w:space="0"/>
              <w:right w:val="single" w:color="auto" w:sz="2" w:space="0"/>
            </w:tcBorders>
            <w:vAlign w:val="center"/>
          </w:tcPr>
          <w:p w14:paraId="72A5E6ED">
            <w:pPr>
              <w:spacing w:line="240" w:lineRule="exact"/>
              <w:rPr>
                <w:rFonts w:ascii="宋体" w:hAnsi="宋体" w:eastAsia="宋体" w:cs="宋体"/>
                <w:sz w:val="18"/>
                <w:szCs w:val="18"/>
              </w:rPr>
            </w:pPr>
            <w:r>
              <w:rPr>
                <w:rFonts w:ascii="宋体" w:hAnsi="宋体" w:eastAsia="宋体" w:cs="宋体"/>
                <w:sz w:val="18"/>
                <w:szCs w:val="18"/>
              </w:rPr>
              <w:t>本次募集资金投资项目在前期虽然经过了充分的可行性论证,但由于宏观环境因素影响，项目整体进度放缓，预计无法在原定计划内完成建设。结合目前募投项目的实施进展以及公司业务发展规划，经审慎研究，公司决定将募投项目达到预定可使用状态的时间延长至2025年12月31日。</w:t>
            </w:r>
          </w:p>
        </w:tc>
      </w:tr>
      <w:tr w14:paraId="08359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76851762">
            <w:pPr>
              <w:spacing w:before="40" w:after="40" w:line="240" w:lineRule="exact"/>
              <w:rPr>
                <w:rFonts w:ascii="宋体" w:hAnsi="宋体" w:eastAsia="宋体" w:cs="宋体"/>
                <w:sz w:val="18"/>
                <w:szCs w:val="18"/>
              </w:rPr>
            </w:pPr>
            <w:r>
              <w:rPr>
                <w:rFonts w:ascii="宋体" w:hAnsi="宋体" w:eastAsia="宋体" w:cs="宋体"/>
                <w:sz w:val="18"/>
                <w:szCs w:val="18"/>
              </w:rPr>
              <w:t>超募资金的金额、用途及使用进展情况</w:t>
            </w:r>
          </w:p>
        </w:tc>
        <w:tc>
          <w:tcPr>
            <w:tcW w:w="6378" w:type="dxa"/>
            <w:gridSpan w:val="10"/>
            <w:tcBorders>
              <w:top w:val="single" w:color="auto" w:sz="2" w:space="0"/>
              <w:left w:val="single" w:color="auto" w:sz="2" w:space="0"/>
              <w:bottom w:val="single" w:color="auto" w:sz="2" w:space="0"/>
              <w:right w:val="single" w:color="auto" w:sz="2" w:space="0"/>
            </w:tcBorders>
            <w:vAlign w:val="center"/>
          </w:tcPr>
          <w:p w14:paraId="0ED6703C">
            <w:pPr>
              <w:spacing w:line="240" w:lineRule="exact"/>
              <w:rPr>
                <w:rFonts w:ascii="宋体" w:hAnsi="宋体" w:eastAsia="宋体" w:cs="宋体"/>
                <w:sz w:val="18"/>
                <w:szCs w:val="18"/>
              </w:rPr>
            </w:pPr>
            <w:r>
              <w:rPr>
                <w:rFonts w:ascii="宋体" w:hAnsi="宋体" w:eastAsia="宋体" w:cs="宋体"/>
                <w:sz w:val="18"/>
                <w:szCs w:val="18"/>
              </w:rPr>
              <w:t>不适用</w:t>
            </w:r>
          </w:p>
        </w:tc>
      </w:tr>
      <w:tr w14:paraId="67E8B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4CFBC0E9">
            <w:pPr>
              <w:spacing w:before="40" w:after="40" w:line="240" w:lineRule="exact"/>
              <w:rPr>
                <w:rFonts w:ascii="宋体" w:hAnsi="宋体" w:eastAsia="宋体" w:cs="宋体"/>
                <w:sz w:val="18"/>
                <w:szCs w:val="18"/>
              </w:rPr>
            </w:pPr>
            <w:r>
              <w:rPr>
                <w:rFonts w:ascii="宋体" w:hAnsi="宋体" w:eastAsia="宋体" w:cs="宋体"/>
                <w:sz w:val="18"/>
                <w:szCs w:val="18"/>
              </w:rPr>
              <w:t>存在擅自变更募集资金用途、违规占用募集资金的情形</w:t>
            </w:r>
          </w:p>
        </w:tc>
        <w:tc>
          <w:tcPr>
            <w:tcW w:w="6378" w:type="dxa"/>
            <w:gridSpan w:val="10"/>
            <w:tcBorders>
              <w:top w:val="single" w:color="auto" w:sz="2" w:space="0"/>
              <w:left w:val="single" w:color="auto" w:sz="2" w:space="0"/>
              <w:bottom w:val="single" w:color="auto" w:sz="2" w:space="0"/>
              <w:right w:val="single" w:color="auto" w:sz="2" w:space="0"/>
            </w:tcBorders>
            <w:vAlign w:val="center"/>
          </w:tcPr>
          <w:p w14:paraId="6AE462BE">
            <w:pPr>
              <w:spacing w:line="240" w:lineRule="exact"/>
              <w:rPr>
                <w:rFonts w:ascii="宋体" w:hAnsi="宋体" w:eastAsia="宋体" w:cs="宋体"/>
                <w:sz w:val="18"/>
                <w:szCs w:val="18"/>
              </w:rPr>
            </w:pPr>
            <w:r>
              <w:rPr>
                <w:rFonts w:ascii="宋体" w:hAnsi="宋体" w:eastAsia="宋体" w:cs="宋体"/>
                <w:sz w:val="18"/>
                <w:szCs w:val="18"/>
              </w:rPr>
              <w:t>不适用</w:t>
            </w:r>
          </w:p>
        </w:tc>
      </w:tr>
      <w:tr w14:paraId="3DCA7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0C5A1036">
            <w:pPr>
              <w:spacing w:before="40" w:after="40" w:line="240" w:lineRule="exact"/>
              <w:rPr>
                <w:rFonts w:ascii="宋体" w:hAnsi="宋体" w:eastAsia="宋体" w:cs="宋体"/>
                <w:sz w:val="18"/>
                <w:szCs w:val="18"/>
              </w:rPr>
            </w:pPr>
            <w:r>
              <w:rPr>
                <w:rFonts w:ascii="宋体" w:hAnsi="宋体" w:eastAsia="宋体" w:cs="宋体"/>
                <w:sz w:val="18"/>
                <w:szCs w:val="18"/>
              </w:rPr>
              <w:t>募集资金投资项目实施地点变更情况</w:t>
            </w:r>
          </w:p>
        </w:tc>
        <w:tc>
          <w:tcPr>
            <w:tcW w:w="6378" w:type="dxa"/>
            <w:gridSpan w:val="10"/>
            <w:tcBorders>
              <w:top w:val="single" w:color="auto" w:sz="2" w:space="0"/>
              <w:left w:val="single" w:color="auto" w:sz="2" w:space="0"/>
              <w:bottom w:val="single" w:color="auto" w:sz="2" w:space="0"/>
              <w:right w:val="single" w:color="auto" w:sz="2" w:space="0"/>
            </w:tcBorders>
            <w:vAlign w:val="center"/>
          </w:tcPr>
          <w:p w14:paraId="241405A0">
            <w:pPr>
              <w:spacing w:line="240" w:lineRule="exact"/>
              <w:rPr>
                <w:rFonts w:ascii="宋体" w:hAnsi="宋体" w:eastAsia="宋体" w:cs="宋体"/>
                <w:sz w:val="18"/>
                <w:szCs w:val="18"/>
              </w:rPr>
            </w:pPr>
            <w:r>
              <w:rPr>
                <w:rFonts w:ascii="宋体" w:hAnsi="宋体" w:eastAsia="宋体" w:cs="宋体"/>
                <w:sz w:val="18"/>
                <w:szCs w:val="18"/>
              </w:rPr>
              <w:t>不适用</w:t>
            </w:r>
          </w:p>
        </w:tc>
      </w:tr>
      <w:tr w14:paraId="2E603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622DCE4A">
            <w:pPr>
              <w:spacing w:before="40" w:after="40" w:line="240" w:lineRule="exact"/>
              <w:rPr>
                <w:rFonts w:ascii="宋体" w:hAnsi="宋体" w:eastAsia="宋体" w:cs="宋体"/>
                <w:sz w:val="18"/>
                <w:szCs w:val="18"/>
              </w:rPr>
            </w:pPr>
            <w:r>
              <w:rPr>
                <w:rFonts w:ascii="宋体" w:hAnsi="宋体" w:eastAsia="宋体" w:cs="宋体"/>
                <w:sz w:val="18"/>
                <w:szCs w:val="18"/>
              </w:rPr>
              <w:t>募集资金投资项目实施方式调整情况</w:t>
            </w:r>
          </w:p>
        </w:tc>
        <w:tc>
          <w:tcPr>
            <w:tcW w:w="6378" w:type="dxa"/>
            <w:gridSpan w:val="10"/>
            <w:tcBorders>
              <w:top w:val="single" w:color="auto" w:sz="2" w:space="0"/>
              <w:left w:val="single" w:color="auto" w:sz="2" w:space="0"/>
              <w:bottom w:val="single" w:color="auto" w:sz="2" w:space="0"/>
              <w:right w:val="single" w:color="auto" w:sz="2" w:space="0"/>
            </w:tcBorders>
            <w:vAlign w:val="center"/>
          </w:tcPr>
          <w:p w14:paraId="439DF9A9">
            <w:pPr>
              <w:spacing w:line="240" w:lineRule="exact"/>
              <w:rPr>
                <w:rFonts w:ascii="宋体" w:hAnsi="宋体" w:eastAsia="宋体" w:cs="宋体"/>
                <w:sz w:val="18"/>
                <w:szCs w:val="18"/>
              </w:rPr>
            </w:pPr>
            <w:r>
              <w:rPr>
                <w:rFonts w:ascii="宋体" w:hAnsi="宋体" w:eastAsia="宋体" w:cs="宋体"/>
                <w:sz w:val="18"/>
                <w:szCs w:val="18"/>
              </w:rPr>
              <w:t>不适用</w:t>
            </w:r>
          </w:p>
        </w:tc>
      </w:tr>
      <w:tr w14:paraId="36F9B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6"/>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37D6E44">
            <w:pPr>
              <w:spacing w:before="40" w:after="40" w:line="240" w:lineRule="exact"/>
              <w:rPr>
                <w:rFonts w:ascii="宋体" w:hAnsi="宋体" w:eastAsia="宋体" w:cs="宋体"/>
                <w:sz w:val="18"/>
                <w:szCs w:val="18"/>
              </w:rPr>
            </w:pPr>
            <w:r>
              <w:rPr>
                <w:rFonts w:ascii="宋体" w:hAnsi="宋体" w:eastAsia="宋体" w:cs="宋体"/>
                <w:sz w:val="18"/>
                <w:szCs w:val="18"/>
              </w:rPr>
              <w:t>募集资金投资项目先期投入及置换情况</w:t>
            </w:r>
          </w:p>
        </w:tc>
        <w:tc>
          <w:tcPr>
            <w:tcW w:w="6378" w:type="dxa"/>
            <w:gridSpan w:val="10"/>
            <w:tcBorders>
              <w:top w:val="single" w:color="auto" w:sz="2" w:space="0"/>
              <w:left w:val="single" w:color="auto" w:sz="2" w:space="0"/>
              <w:bottom w:val="single" w:color="auto" w:sz="2" w:space="0"/>
              <w:right w:val="single" w:color="auto" w:sz="2" w:space="0"/>
            </w:tcBorders>
            <w:vAlign w:val="center"/>
          </w:tcPr>
          <w:p w14:paraId="157969C3">
            <w:pPr>
              <w:spacing w:line="240" w:lineRule="exact"/>
              <w:rPr>
                <w:rFonts w:ascii="宋体" w:hAnsi="宋体" w:eastAsia="宋体" w:cs="宋体"/>
                <w:sz w:val="18"/>
                <w:szCs w:val="18"/>
              </w:rPr>
            </w:pPr>
            <w:r>
              <w:rPr>
                <w:rFonts w:ascii="宋体" w:hAnsi="宋体" w:eastAsia="宋体" w:cs="宋体"/>
                <w:sz w:val="18"/>
                <w:szCs w:val="18"/>
              </w:rPr>
              <w:t>适用</w:t>
            </w:r>
          </w:p>
        </w:tc>
      </w:tr>
      <w:tr w14:paraId="0DF15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6"/>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DBE9AE4"/>
        </w:tc>
        <w:tc>
          <w:tcPr>
            <w:tcW w:w="6378" w:type="dxa"/>
            <w:gridSpan w:val="10"/>
            <w:tcBorders>
              <w:top w:val="single" w:color="auto" w:sz="2" w:space="0"/>
              <w:left w:val="single" w:color="auto" w:sz="2" w:space="0"/>
              <w:bottom w:val="single" w:color="auto" w:sz="2" w:space="0"/>
              <w:right w:val="single" w:color="auto" w:sz="2" w:space="0"/>
            </w:tcBorders>
            <w:vAlign w:val="center"/>
          </w:tcPr>
          <w:p w14:paraId="2BA7463A">
            <w:pPr>
              <w:spacing w:line="240" w:lineRule="exact"/>
              <w:rPr>
                <w:rFonts w:ascii="宋体" w:hAnsi="宋体" w:eastAsia="宋体" w:cs="宋体"/>
                <w:sz w:val="18"/>
                <w:szCs w:val="18"/>
              </w:rPr>
            </w:pPr>
            <w:r>
              <w:rPr>
                <w:rFonts w:ascii="宋体" w:hAnsi="宋体" w:eastAsia="宋体" w:cs="宋体"/>
                <w:sz w:val="18"/>
                <w:szCs w:val="18"/>
              </w:rPr>
              <w:t> 2025年度，公司不存在募集资金投资项目先期投入及置换情况。</w:t>
            </w:r>
          </w:p>
        </w:tc>
      </w:tr>
      <w:tr w14:paraId="20B56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2118FBAC">
            <w:pPr>
              <w:spacing w:before="40" w:after="40" w:line="240" w:lineRule="exact"/>
              <w:rPr>
                <w:rFonts w:ascii="宋体" w:hAnsi="宋体" w:eastAsia="宋体" w:cs="宋体"/>
                <w:sz w:val="18"/>
                <w:szCs w:val="18"/>
              </w:rPr>
            </w:pPr>
            <w:r>
              <w:rPr>
                <w:rFonts w:ascii="宋体" w:hAnsi="宋体" w:eastAsia="宋体" w:cs="宋体"/>
                <w:sz w:val="18"/>
                <w:szCs w:val="18"/>
              </w:rPr>
              <w:t>用闲置募集资金暂时补充流动资金情况</w:t>
            </w:r>
          </w:p>
        </w:tc>
        <w:tc>
          <w:tcPr>
            <w:tcW w:w="6378" w:type="dxa"/>
            <w:gridSpan w:val="10"/>
            <w:tcBorders>
              <w:top w:val="single" w:color="auto" w:sz="2" w:space="0"/>
              <w:left w:val="single" w:color="auto" w:sz="2" w:space="0"/>
              <w:bottom w:val="single" w:color="auto" w:sz="2" w:space="0"/>
              <w:right w:val="single" w:color="auto" w:sz="2" w:space="0"/>
            </w:tcBorders>
            <w:vAlign w:val="center"/>
          </w:tcPr>
          <w:p w14:paraId="261B40C1">
            <w:pPr>
              <w:spacing w:line="240" w:lineRule="exact"/>
              <w:rPr>
                <w:rFonts w:ascii="宋体" w:hAnsi="宋体" w:eastAsia="宋体" w:cs="宋体"/>
                <w:sz w:val="18"/>
                <w:szCs w:val="18"/>
              </w:rPr>
            </w:pPr>
            <w:r>
              <w:rPr>
                <w:rFonts w:ascii="宋体" w:hAnsi="宋体" w:eastAsia="宋体" w:cs="宋体"/>
                <w:sz w:val="18"/>
                <w:szCs w:val="18"/>
              </w:rPr>
              <w:t>不适用</w:t>
            </w:r>
          </w:p>
        </w:tc>
      </w:tr>
      <w:tr w14:paraId="77BD2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66CE8EAF">
            <w:pPr>
              <w:spacing w:before="40" w:after="40" w:line="240" w:lineRule="exact"/>
              <w:rPr>
                <w:rFonts w:ascii="宋体" w:hAnsi="宋体" w:eastAsia="宋体" w:cs="宋体"/>
                <w:sz w:val="18"/>
                <w:szCs w:val="18"/>
              </w:rPr>
            </w:pPr>
            <w:r>
              <w:rPr>
                <w:rFonts w:ascii="宋体" w:hAnsi="宋体" w:eastAsia="宋体" w:cs="宋体"/>
                <w:sz w:val="18"/>
                <w:szCs w:val="18"/>
              </w:rPr>
              <w:t>项目实施出现募集资金结余的金额及原因</w:t>
            </w:r>
          </w:p>
        </w:tc>
        <w:tc>
          <w:tcPr>
            <w:tcW w:w="6378" w:type="dxa"/>
            <w:gridSpan w:val="10"/>
            <w:tcBorders>
              <w:top w:val="single" w:color="auto" w:sz="2" w:space="0"/>
              <w:left w:val="single" w:color="auto" w:sz="2" w:space="0"/>
              <w:bottom w:val="single" w:color="auto" w:sz="2" w:space="0"/>
              <w:right w:val="single" w:color="auto" w:sz="2" w:space="0"/>
            </w:tcBorders>
            <w:vAlign w:val="center"/>
          </w:tcPr>
          <w:p w14:paraId="7C4BC2FE">
            <w:pPr>
              <w:spacing w:line="240" w:lineRule="exact"/>
              <w:rPr>
                <w:rFonts w:ascii="宋体" w:hAnsi="宋体" w:eastAsia="宋体" w:cs="宋体"/>
                <w:sz w:val="18"/>
                <w:szCs w:val="18"/>
              </w:rPr>
            </w:pPr>
            <w:r>
              <w:rPr>
                <w:rFonts w:ascii="宋体" w:hAnsi="宋体" w:eastAsia="宋体" w:cs="宋体"/>
                <w:sz w:val="18"/>
                <w:szCs w:val="18"/>
              </w:rPr>
              <w:t>不适用</w:t>
            </w:r>
          </w:p>
        </w:tc>
      </w:tr>
      <w:tr w14:paraId="28E4C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69758B7D">
            <w:pPr>
              <w:spacing w:before="40" w:after="40" w:line="240" w:lineRule="exact"/>
              <w:rPr>
                <w:rFonts w:ascii="宋体" w:hAnsi="宋体" w:eastAsia="宋体" w:cs="宋体"/>
                <w:sz w:val="18"/>
                <w:szCs w:val="18"/>
              </w:rPr>
            </w:pPr>
            <w:r>
              <w:rPr>
                <w:rFonts w:ascii="宋体" w:hAnsi="宋体" w:eastAsia="宋体" w:cs="宋体"/>
                <w:sz w:val="18"/>
                <w:szCs w:val="18"/>
              </w:rPr>
              <w:t>尚未使用的募集资金用途及去向</w:t>
            </w:r>
          </w:p>
        </w:tc>
        <w:tc>
          <w:tcPr>
            <w:tcW w:w="6378" w:type="dxa"/>
            <w:gridSpan w:val="10"/>
            <w:tcBorders>
              <w:top w:val="single" w:color="auto" w:sz="2" w:space="0"/>
              <w:left w:val="single" w:color="auto" w:sz="2" w:space="0"/>
              <w:bottom w:val="single" w:color="auto" w:sz="2" w:space="0"/>
              <w:right w:val="single" w:color="auto" w:sz="2" w:space="0"/>
            </w:tcBorders>
            <w:vAlign w:val="center"/>
          </w:tcPr>
          <w:p w14:paraId="607BD5DD">
            <w:pPr>
              <w:spacing w:line="240" w:lineRule="exact"/>
              <w:rPr>
                <w:rFonts w:ascii="宋体" w:hAnsi="宋体" w:eastAsia="宋体" w:cs="宋体"/>
                <w:sz w:val="18"/>
                <w:szCs w:val="18"/>
              </w:rPr>
            </w:pPr>
            <w:r>
              <w:rPr>
                <w:rFonts w:ascii="宋体" w:hAnsi="宋体" w:eastAsia="宋体" w:cs="宋体"/>
                <w:sz w:val="18"/>
                <w:szCs w:val="18"/>
              </w:rPr>
              <w:t>2025年度，公司尚未使用募集资金1,947.67元在扣除销户手续费后已转至公司基本户。</w:t>
            </w:r>
          </w:p>
        </w:tc>
      </w:tr>
      <w:tr w14:paraId="63DEA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61"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085953DD">
            <w:pPr>
              <w:spacing w:before="40" w:after="40" w:line="240" w:lineRule="exact"/>
              <w:rPr>
                <w:rFonts w:ascii="宋体" w:hAnsi="宋体" w:eastAsia="宋体" w:cs="宋体"/>
                <w:sz w:val="18"/>
                <w:szCs w:val="18"/>
              </w:rPr>
            </w:pPr>
            <w:r>
              <w:rPr>
                <w:rFonts w:ascii="宋体" w:hAnsi="宋体" w:eastAsia="宋体" w:cs="宋体"/>
                <w:sz w:val="18"/>
                <w:szCs w:val="18"/>
              </w:rPr>
              <w:t>募集资金使用及披露中存在的问题或其他情况</w:t>
            </w:r>
          </w:p>
        </w:tc>
        <w:tc>
          <w:tcPr>
            <w:tcW w:w="6378" w:type="dxa"/>
            <w:gridSpan w:val="10"/>
            <w:tcBorders>
              <w:top w:val="single" w:color="auto" w:sz="2" w:space="0"/>
              <w:left w:val="single" w:color="auto" w:sz="2" w:space="0"/>
              <w:bottom w:val="single" w:color="auto" w:sz="2" w:space="0"/>
              <w:right w:val="single" w:color="auto" w:sz="2" w:space="0"/>
            </w:tcBorders>
            <w:vAlign w:val="center"/>
          </w:tcPr>
          <w:p w14:paraId="0A23EF03">
            <w:pPr>
              <w:spacing w:line="240" w:lineRule="exact"/>
              <w:rPr>
                <w:rFonts w:ascii="宋体" w:hAnsi="宋体" w:eastAsia="宋体" w:cs="宋体"/>
                <w:sz w:val="18"/>
                <w:szCs w:val="18"/>
              </w:rPr>
            </w:pPr>
            <w:r>
              <w:rPr>
                <w:rFonts w:ascii="宋体" w:hAnsi="宋体" w:eastAsia="宋体" w:cs="宋体"/>
                <w:sz w:val="18"/>
                <w:szCs w:val="18"/>
              </w:rPr>
              <w:t>2025年年度，公司已按《深圳证券交易所上市公司自律监管指引第1号——主板上市公司规范运作》等相关法律法规的规定及时、真实、准确、完整披露募集资金的使用与存放情况，不存在募集资金管理违规的情况。公司对募集资金的投向和进展情况均如实履行了披露义务，公司募集资金使用及披露不存在重大问题。</w:t>
            </w:r>
          </w:p>
        </w:tc>
      </w:tr>
    </w:tbl>
    <w:p w14:paraId="72D5EC63">
      <w:pPr>
        <w:pStyle w:val="3"/>
        <w:spacing w:line="280" w:lineRule="exact"/>
        <w:jc w:val="left"/>
        <w:rPr>
          <w:rFonts w:ascii="宋体" w:hAnsi="宋体" w:cs="宋体"/>
          <w:b/>
          <w:bCs/>
        </w:rPr>
      </w:pPr>
      <w:bookmarkStart w:id="133" w:name="_Toc989022"/>
      <w:r>
        <w:rPr>
          <w:rFonts w:ascii="宋体" w:hAnsi="宋体" w:cs="宋体"/>
          <w:b/>
          <w:bCs/>
        </w:rPr>
        <w:t>3、募集资金变更项目情况</w:t>
      </w:r>
      <w:bookmarkEnd w:id="133"/>
    </w:p>
    <w:p w14:paraId="2D6AA4FD">
      <w:pPr>
        <w:spacing w:before="40" w:after="4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13010C7A">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4"/>
        <w:gridCol w:w="803"/>
        <w:gridCol w:w="803"/>
        <w:gridCol w:w="803"/>
        <w:gridCol w:w="803"/>
        <w:gridCol w:w="803"/>
        <w:gridCol w:w="803"/>
        <w:gridCol w:w="803"/>
        <w:gridCol w:w="803"/>
        <w:gridCol w:w="805"/>
      </w:tblGrid>
      <w:tr w14:paraId="15F80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717A0AF3">
            <w:pPr>
              <w:spacing w:before="40" w:after="40" w:line="240" w:lineRule="exact"/>
              <w:jc w:val="center"/>
              <w:rPr>
                <w:rFonts w:ascii="宋体" w:hAnsi="宋体" w:eastAsia="宋体" w:cs="宋体"/>
                <w:sz w:val="18"/>
                <w:szCs w:val="18"/>
              </w:rPr>
            </w:pPr>
            <w:r>
              <w:rPr>
                <w:rFonts w:ascii="宋体" w:hAnsi="宋体" w:eastAsia="宋体" w:cs="宋体"/>
                <w:sz w:val="18"/>
                <w:szCs w:val="18"/>
              </w:rPr>
              <w:t>融资项目名称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21CFA167">
            <w:pPr>
              <w:spacing w:before="40" w:after="40" w:line="240" w:lineRule="exact"/>
              <w:jc w:val="center"/>
              <w:rPr>
                <w:rFonts w:ascii="宋体" w:hAnsi="宋体" w:eastAsia="宋体" w:cs="宋体"/>
                <w:sz w:val="18"/>
                <w:szCs w:val="18"/>
              </w:rPr>
            </w:pPr>
            <w:r>
              <w:rPr>
                <w:rFonts w:ascii="宋体" w:hAnsi="宋体" w:eastAsia="宋体" w:cs="宋体"/>
                <w:sz w:val="18"/>
                <w:szCs w:val="18"/>
              </w:rPr>
              <w:t>募集方式</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6D4649C5">
            <w:pPr>
              <w:spacing w:before="40" w:after="40" w:line="240" w:lineRule="exact"/>
              <w:jc w:val="center"/>
              <w:rPr>
                <w:rFonts w:ascii="宋体" w:hAnsi="宋体" w:eastAsia="宋体" w:cs="宋体"/>
                <w:sz w:val="18"/>
                <w:szCs w:val="18"/>
              </w:rPr>
            </w:pPr>
            <w:r>
              <w:rPr>
                <w:rFonts w:ascii="宋体" w:hAnsi="宋体" w:eastAsia="宋体" w:cs="宋体"/>
                <w:sz w:val="18"/>
                <w:szCs w:val="18"/>
              </w:rPr>
              <w:t>变更后的项目</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64732A11">
            <w:pPr>
              <w:spacing w:before="40" w:after="40" w:line="240" w:lineRule="exact"/>
              <w:jc w:val="center"/>
              <w:rPr>
                <w:rFonts w:ascii="宋体" w:hAnsi="宋体" w:eastAsia="宋体" w:cs="宋体"/>
                <w:sz w:val="18"/>
                <w:szCs w:val="18"/>
              </w:rPr>
            </w:pPr>
            <w:r>
              <w:rPr>
                <w:rFonts w:ascii="宋体" w:hAnsi="宋体" w:eastAsia="宋体" w:cs="宋体"/>
                <w:sz w:val="18"/>
                <w:szCs w:val="18"/>
              </w:rPr>
              <w:t>对应的原承诺项目</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0C4FFC56">
            <w:pPr>
              <w:spacing w:before="40" w:after="40" w:line="240" w:lineRule="exact"/>
              <w:jc w:val="center"/>
              <w:rPr>
                <w:rFonts w:ascii="宋体" w:hAnsi="宋体" w:eastAsia="宋体" w:cs="宋体"/>
                <w:sz w:val="18"/>
                <w:szCs w:val="18"/>
              </w:rPr>
            </w:pPr>
            <w:r>
              <w:rPr>
                <w:rFonts w:ascii="宋体" w:hAnsi="宋体" w:eastAsia="宋体" w:cs="宋体"/>
                <w:sz w:val="18"/>
                <w:szCs w:val="18"/>
              </w:rPr>
              <w:t>变更后项目拟投入募集资金总额(1)</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2EB2DF8B">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本报告期实际投入金额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6032A251">
            <w:pPr>
              <w:spacing w:before="40" w:after="40" w:line="240" w:lineRule="exact"/>
              <w:jc w:val="center"/>
              <w:rPr>
                <w:rFonts w:ascii="宋体" w:hAnsi="宋体" w:eastAsia="宋体" w:cs="宋体"/>
                <w:sz w:val="18"/>
                <w:szCs w:val="18"/>
              </w:rPr>
            </w:pPr>
            <w:r>
              <w:rPr>
                <w:rFonts w:ascii="宋体" w:hAnsi="宋体" w:eastAsia="宋体" w:cs="宋体"/>
                <w:sz w:val="18"/>
                <w:szCs w:val="18"/>
              </w:rPr>
              <w:t>截至期末实际累计投入金额(2)</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1DA2CE7E">
            <w:pPr>
              <w:spacing w:before="40" w:after="40" w:line="240" w:lineRule="exact"/>
              <w:jc w:val="center"/>
              <w:rPr>
                <w:rFonts w:ascii="宋体" w:hAnsi="宋体" w:eastAsia="宋体" w:cs="宋体"/>
                <w:sz w:val="18"/>
                <w:szCs w:val="18"/>
              </w:rPr>
            </w:pPr>
            <w:r>
              <w:rPr>
                <w:rFonts w:ascii="宋体" w:hAnsi="宋体" w:eastAsia="宋体" w:cs="宋体"/>
                <w:sz w:val="18"/>
                <w:szCs w:val="18"/>
              </w:rPr>
              <w:t>截至期末投资进度(3)=(2)/(1)</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42012D00">
            <w:pPr>
              <w:spacing w:before="40" w:after="40" w:line="240" w:lineRule="exact"/>
              <w:jc w:val="center"/>
              <w:rPr>
                <w:rFonts w:ascii="宋体" w:hAnsi="宋体" w:eastAsia="宋体" w:cs="宋体"/>
                <w:sz w:val="18"/>
                <w:szCs w:val="18"/>
              </w:rPr>
            </w:pPr>
            <w:r>
              <w:rPr>
                <w:rFonts w:ascii="宋体" w:hAnsi="宋体" w:eastAsia="宋体" w:cs="宋体"/>
                <w:sz w:val="18"/>
                <w:szCs w:val="18"/>
              </w:rPr>
              <w:t>项目达到预定可使用状态日期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4BB4E076">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本报告期实现的效益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5BC9CF9D">
            <w:pPr>
              <w:spacing w:before="40" w:after="40" w:line="240" w:lineRule="exact"/>
              <w:jc w:val="center"/>
              <w:rPr>
                <w:rFonts w:ascii="宋体" w:hAnsi="宋体" w:eastAsia="宋体" w:cs="宋体"/>
                <w:sz w:val="18"/>
                <w:szCs w:val="18"/>
              </w:rPr>
            </w:pPr>
            <w:r>
              <w:rPr>
                <w:rFonts w:ascii="宋体" w:hAnsi="宋体" w:eastAsia="宋体" w:cs="宋体"/>
                <w:sz w:val="18"/>
                <w:szCs w:val="18"/>
              </w:rPr>
              <w:t>是否达到预计效益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1C84337E">
            <w:pPr>
              <w:spacing w:before="40" w:after="40" w:line="240" w:lineRule="exact"/>
              <w:jc w:val="center"/>
              <w:rPr>
                <w:rFonts w:ascii="宋体" w:hAnsi="宋体" w:eastAsia="宋体" w:cs="宋体"/>
                <w:sz w:val="18"/>
                <w:szCs w:val="18"/>
              </w:rPr>
            </w:pPr>
            <w:r>
              <w:rPr>
                <w:rFonts w:ascii="宋体" w:hAnsi="宋体" w:eastAsia="宋体" w:cs="宋体"/>
                <w:sz w:val="18"/>
                <w:szCs w:val="18"/>
              </w:rPr>
              <w:t>变更后的项目可行性是否发生重大变化</w:t>
            </w:r>
          </w:p>
        </w:tc>
      </w:tr>
      <w:tr w14:paraId="51AFC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61BD5972">
            <w:pPr>
              <w:spacing w:line="240" w:lineRule="exact"/>
              <w:rPr>
                <w:rFonts w:ascii="宋体" w:hAnsi="宋体" w:eastAsia="宋体" w:cs="宋体"/>
                <w:sz w:val="18"/>
                <w:szCs w:val="18"/>
              </w:rPr>
            </w:pPr>
            <w:r>
              <w:rPr>
                <w:rFonts w:ascii="宋体" w:hAnsi="宋体" w:eastAsia="宋体" w:cs="宋体"/>
                <w:sz w:val="18"/>
                <w:szCs w:val="18"/>
              </w:rPr>
              <w:t>淮北30万锭智能纺纱产业园项目</w:t>
            </w:r>
          </w:p>
        </w:tc>
        <w:tc>
          <w:tcPr>
            <w:tcW w:w="803" w:type="dxa"/>
            <w:tcBorders>
              <w:top w:val="single" w:color="auto" w:sz="2" w:space="0"/>
              <w:left w:val="single" w:color="auto" w:sz="2" w:space="0"/>
              <w:bottom w:val="single" w:color="auto" w:sz="2" w:space="0"/>
              <w:right w:val="single" w:color="auto" w:sz="2" w:space="0"/>
            </w:tcBorders>
            <w:vAlign w:val="center"/>
          </w:tcPr>
          <w:p w14:paraId="517CC517">
            <w:pPr>
              <w:spacing w:line="240" w:lineRule="exact"/>
              <w:rPr>
                <w:rFonts w:ascii="宋体" w:hAnsi="宋体" w:eastAsia="宋体" w:cs="宋体"/>
                <w:sz w:val="18"/>
                <w:szCs w:val="18"/>
              </w:rPr>
            </w:pPr>
            <w:r>
              <w:rPr>
                <w:rFonts w:ascii="宋体" w:hAnsi="宋体" w:eastAsia="宋体" w:cs="宋体"/>
                <w:sz w:val="18"/>
                <w:szCs w:val="18"/>
              </w:rPr>
              <w:t>非公开发行公司债券 </w:t>
            </w:r>
          </w:p>
        </w:tc>
        <w:tc>
          <w:tcPr>
            <w:tcW w:w="803" w:type="dxa"/>
            <w:tcBorders>
              <w:top w:val="single" w:color="auto" w:sz="2" w:space="0"/>
              <w:left w:val="single" w:color="auto" w:sz="2" w:space="0"/>
              <w:bottom w:val="single" w:color="auto" w:sz="2" w:space="0"/>
              <w:right w:val="single" w:color="auto" w:sz="2" w:space="0"/>
            </w:tcBorders>
            <w:vAlign w:val="center"/>
          </w:tcPr>
          <w:p w14:paraId="310FBA8E">
            <w:pPr>
              <w:spacing w:line="240" w:lineRule="exact"/>
              <w:rPr>
                <w:rFonts w:ascii="宋体" w:hAnsi="宋体" w:eastAsia="宋体" w:cs="宋体"/>
                <w:sz w:val="18"/>
                <w:szCs w:val="18"/>
              </w:rPr>
            </w:pPr>
            <w:r>
              <w:rPr>
                <w:rFonts w:ascii="宋体" w:hAnsi="宋体" w:eastAsia="宋体" w:cs="宋体"/>
                <w:sz w:val="18"/>
                <w:szCs w:val="18"/>
              </w:rPr>
              <w:t>淮北30万锭智能纺纱产业园项目</w:t>
            </w:r>
          </w:p>
        </w:tc>
        <w:tc>
          <w:tcPr>
            <w:tcW w:w="803" w:type="dxa"/>
            <w:tcBorders>
              <w:top w:val="single" w:color="auto" w:sz="2" w:space="0"/>
              <w:left w:val="single" w:color="auto" w:sz="2" w:space="0"/>
              <w:bottom w:val="single" w:color="auto" w:sz="2" w:space="0"/>
              <w:right w:val="single" w:color="auto" w:sz="2" w:space="0"/>
            </w:tcBorders>
            <w:vAlign w:val="center"/>
          </w:tcPr>
          <w:p w14:paraId="277C0325">
            <w:pPr>
              <w:spacing w:line="240" w:lineRule="exact"/>
              <w:rPr>
                <w:rFonts w:ascii="宋体" w:hAnsi="宋体" w:eastAsia="宋体" w:cs="宋体"/>
                <w:sz w:val="18"/>
                <w:szCs w:val="18"/>
              </w:rPr>
            </w:pPr>
            <w:r>
              <w:rPr>
                <w:rFonts w:ascii="宋体" w:hAnsi="宋体" w:eastAsia="宋体" w:cs="宋体"/>
                <w:sz w:val="18"/>
                <w:szCs w:val="18"/>
              </w:rPr>
              <w:t>华孚（越南）50万锭新型纱线项目（一期)</w:t>
            </w:r>
          </w:p>
        </w:tc>
        <w:tc>
          <w:tcPr>
            <w:tcW w:w="803" w:type="dxa"/>
            <w:tcBorders>
              <w:top w:val="single" w:color="auto" w:sz="2" w:space="0"/>
              <w:left w:val="single" w:color="auto" w:sz="2" w:space="0"/>
              <w:bottom w:val="single" w:color="auto" w:sz="2" w:space="0"/>
              <w:right w:val="single" w:color="auto" w:sz="2" w:space="0"/>
            </w:tcBorders>
            <w:vAlign w:val="center"/>
          </w:tcPr>
          <w:p w14:paraId="4C1BE983">
            <w:pPr>
              <w:spacing w:line="240" w:lineRule="exact"/>
              <w:jc w:val="right"/>
              <w:rPr>
                <w:rFonts w:ascii="宋体" w:hAnsi="宋体" w:eastAsia="宋体" w:cs="宋体"/>
                <w:sz w:val="18"/>
                <w:szCs w:val="18"/>
              </w:rPr>
            </w:pPr>
            <w:r>
              <w:rPr>
                <w:rFonts w:ascii="宋体" w:hAnsi="宋体" w:eastAsia="宋体" w:cs="宋体"/>
                <w:sz w:val="18"/>
                <w:szCs w:val="18"/>
              </w:rPr>
              <w:t>78,846.28</w:t>
            </w:r>
          </w:p>
        </w:tc>
        <w:tc>
          <w:tcPr>
            <w:tcW w:w="803" w:type="dxa"/>
            <w:tcBorders>
              <w:top w:val="single" w:color="auto" w:sz="2" w:space="0"/>
              <w:left w:val="single" w:color="auto" w:sz="2" w:space="0"/>
              <w:bottom w:val="single" w:color="auto" w:sz="2" w:space="0"/>
              <w:right w:val="single" w:color="auto" w:sz="2" w:space="0"/>
            </w:tcBorders>
            <w:vAlign w:val="center"/>
          </w:tcPr>
          <w:p w14:paraId="0397641C">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803" w:type="dxa"/>
            <w:tcBorders>
              <w:top w:val="single" w:color="auto" w:sz="2" w:space="0"/>
              <w:left w:val="single" w:color="auto" w:sz="2" w:space="0"/>
              <w:bottom w:val="single" w:color="auto" w:sz="2" w:space="0"/>
              <w:right w:val="single" w:color="auto" w:sz="2" w:space="0"/>
            </w:tcBorders>
            <w:vAlign w:val="center"/>
          </w:tcPr>
          <w:p w14:paraId="664C7AF7">
            <w:pPr>
              <w:spacing w:line="240" w:lineRule="exact"/>
              <w:jc w:val="right"/>
              <w:rPr>
                <w:rFonts w:ascii="宋体" w:hAnsi="宋体" w:eastAsia="宋体" w:cs="宋体"/>
                <w:sz w:val="18"/>
                <w:szCs w:val="18"/>
              </w:rPr>
            </w:pPr>
            <w:r>
              <w:rPr>
                <w:rFonts w:ascii="宋体" w:hAnsi="宋体" w:eastAsia="宋体" w:cs="宋体"/>
                <w:sz w:val="18"/>
                <w:szCs w:val="18"/>
              </w:rPr>
              <w:t>79,894.42</w:t>
            </w:r>
          </w:p>
        </w:tc>
        <w:tc>
          <w:tcPr>
            <w:tcW w:w="803" w:type="dxa"/>
            <w:tcBorders>
              <w:top w:val="single" w:color="auto" w:sz="2" w:space="0"/>
              <w:left w:val="single" w:color="auto" w:sz="2" w:space="0"/>
              <w:bottom w:val="single" w:color="auto" w:sz="2" w:space="0"/>
              <w:right w:val="single" w:color="auto" w:sz="2" w:space="0"/>
            </w:tcBorders>
            <w:vAlign w:val="center"/>
          </w:tcPr>
          <w:p w14:paraId="13A393D1">
            <w:pPr>
              <w:spacing w:line="240" w:lineRule="exact"/>
              <w:jc w:val="right"/>
              <w:rPr>
                <w:rFonts w:ascii="宋体" w:hAnsi="宋体" w:eastAsia="宋体" w:cs="宋体"/>
                <w:sz w:val="18"/>
                <w:szCs w:val="18"/>
              </w:rPr>
            </w:pPr>
            <w:r>
              <w:rPr>
                <w:rFonts w:ascii="宋体" w:hAnsi="宋体" w:eastAsia="宋体" w:cs="宋体"/>
                <w:sz w:val="18"/>
                <w:szCs w:val="18"/>
              </w:rPr>
              <w:t>101.33%</w:t>
            </w:r>
          </w:p>
        </w:tc>
        <w:tc>
          <w:tcPr>
            <w:tcW w:w="803" w:type="dxa"/>
            <w:tcBorders>
              <w:top w:val="single" w:color="auto" w:sz="2" w:space="0"/>
              <w:left w:val="single" w:color="auto" w:sz="2" w:space="0"/>
              <w:bottom w:val="single" w:color="auto" w:sz="2" w:space="0"/>
              <w:right w:val="single" w:color="auto" w:sz="2" w:space="0"/>
            </w:tcBorders>
            <w:vAlign w:val="center"/>
          </w:tcPr>
          <w:p w14:paraId="6C2818A5">
            <w:pPr>
              <w:spacing w:line="240" w:lineRule="exact"/>
              <w:rPr>
                <w:rFonts w:ascii="宋体" w:hAnsi="宋体" w:eastAsia="宋体" w:cs="宋体"/>
                <w:sz w:val="18"/>
                <w:szCs w:val="18"/>
              </w:rPr>
            </w:pPr>
            <w:r>
              <w:rPr>
                <w:rFonts w:ascii="宋体" w:hAnsi="宋体" w:eastAsia="宋体" w:cs="宋体"/>
                <w:sz w:val="18"/>
                <w:szCs w:val="18"/>
              </w:rPr>
              <w:t>2025年12月31日</w:t>
            </w:r>
          </w:p>
        </w:tc>
        <w:tc>
          <w:tcPr>
            <w:tcW w:w="803" w:type="dxa"/>
            <w:tcBorders>
              <w:top w:val="single" w:color="auto" w:sz="2" w:space="0"/>
              <w:left w:val="single" w:color="auto" w:sz="2" w:space="0"/>
              <w:bottom w:val="single" w:color="auto" w:sz="2" w:space="0"/>
              <w:right w:val="single" w:color="auto" w:sz="2" w:space="0"/>
            </w:tcBorders>
            <w:vAlign w:val="center"/>
          </w:tcPr>
          <w:p w14:paraId="01EB47E9">
            <w:pPr>
              <w:spacing w:line="240" w:lineRule="exact"/>
              <w:jc w:val="right"/>
              <w:rPr>
                <w:rFonts w:ascii="宋体" w:hAnsi="宋体" w:eastAsia="宋体" w:cs="宋体"/>
                <w:sz w:val="18"/>
                <w:szCs w:val="18"/>
              </w:rPr>
            </w:pPr>
            <w:r>
              <w:rPr>
                <w:rFonts w:ascii="宋体" w:hAnsi="宋体" w:eastAsia="宋体" w:cs="宋体"/>
                <w:sz w:val="18"/>
                <w:szCs w:val="18"/>
              </w:rPr>
              <w:t>585.75</w:t>
            </w:r>
          </w:p>
        </w:tc>
        <w:tc>
          <w:tcPr>
            <w:tcW w:w="803" w:type="dxa"/>
            <w:tcBorders>
              <w:top w:val="single" w:color="auto" w:sz="2" w:space="0"/>
              <w:left w:val="single" w:color="auto" w:sz="2" w:space="0"/>
              <w:bottom w:val="single" w:color="auto" w:sz="2" w:space="0"/>
              <w:right w:val="single" w:color="auto" w:sz="2" w:space="0"/>
            </w:tcBorders>
            <w:vAlign w:val="center"/>
          </w:tcPr>
          <w:p w14:paraId="0470F41E">
            <w:pPr>
              <w:spacing w:line="240" w:lineRule="exact"/>
              <w:rPr>
                <w:rFonts w:ascii="宋体" w:hAnsi="宋体" w:eastAsia="宋体" w:cs="宋体"/>
                <w:sz w:val="18"/>
                <w:szCs w:val="18"/>
              </w:rPr>
            </w:pPr>
            <w:r>
              <w:rPr>
                <w:rFonts w:ascii="宋体" w:hAnsi="宋体" w:eastAsia="宋体" w:cs="宋体"/>
                <w:sz w:val="18"/>
                <w:szCs w:val="18"/>
              </w:rPr>
              <w:t>是</w:t>
            </w:r>
          </w:p>
        </w:tc>
        <w:tc>
          <w:tcPr>
            <w:tcW w:w="803" w:type="dxa"/>
            <w:tcBorders>
              <w:top w:val="single" w:color="auto" w:sz="2" w:space="0"/>
              <w:left w:val="single" w:color="auto" w:sz="2" w:space="0"/>
              <w:bottom w:val="single" w:color="auto" w:sz="2" w:space="0"/>
              <w:right w:val="single" w:color="auto" w:sz="2" w:space="0"/>
            </w:tcBorders>
            <w:vAlign w:val="center"/>
          </w:tcPr>
          <w:p w14:paraId="40F8A479">
            <w:pPr>
              <w:spacing w:line="240" w:lineRule="exact"/>
              <w:rPr>
                <w:rFonts w:ascii="宋体" w:hAnsi="宋体" w:eastAsia="宋体" w:cs="宋体"/>
                <w:sz w:val="18"/>
                <w:szCs w:val="18"/>
              </w:rPr>
            </w:pPr>
            <w:r>
              <w:rPr>
                <w:rFonts w:ascii="宋体" w:hAnsi="宋体" w:eastAsia="宋体" w:cs="宋体"/>
                <w:sz w:val="18"/>
                <w:szCs w:val="18"/>
              </w:rPr>
              <w:t>否</w:t>
            </w:r>
          </w:p>
        </w:tc>
      </w:tr>
      <w:tr w14:paraId="60DFF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14:paraId="3FB2A084">
            <w:pPr>
              <w:spacing w:line="240" w:lineRule="exact"/>
              <w:rPr>
                <w:rFonts w:ascii="宋体" w:hAnsi="宋体" w:eastAsia="宋体" w:cs="宋体"/>
                <w:sz w:val="18"/>
                <w:szCs w:val="18"/>
              </w:rPr>
            </w:pPr>
            <w:r>
              <w:rPr>
                <w:rFonts w:ascii="宋体" w:hAnsi="宋体" w:eastAsia="宋体" w:cs="宋体"/>
                <w:sz w:val="18"/>
                <w:szCs w:val="18"/>
              </w:rPr>
              <w:t>临时性补充流动资金</w:t>
            </w:r>
          </w:p>
        </w:tc>
        <w:tc>
          <w:tcPr>
            <w:tcW w:w="803" w:type="dxa"/>
            <w:tcBorders>
              <w:top w:val="single" w:color="auto" w:sz="2" w:space="0"/>
              <w:left w:val="single" w:color="auto" w:sz="2" w:space="0"/>
              <w:bottom w:val="single" w:color="auto" w:sz="2" w:space="0"/>
              <w:right w:val="single" w:color="auto" w:sz="2" w:space="0"/>
            </w:tcBorders>
            <w:vAlign w:val="center"/>
          </w:tcPr>
          <w:p w14:paraId="0BAF7C3C">
            <w:pPr>
              <w:spacing w:line="240" w:lineRule="exact"/>
              <w:rPr>
                <w:rFonts w:ascii="宋体" w:hAnsi="宋体" w:eastAsia="宋体" w:cs="宋体"/>
                <w:sz w:val="18"/>
                <w:szCs w:val="18"/>
              </w:rPr>
            </w:pPr>
            <w:r>
              <w:rPr>
                <w:rFonts w:ascii="宋体" w:hAnsi="宋体" w:eastAsia="宋体" w:cs="宋体"/>
                <w:sz w:val="18"/>
                <w:szCs w:val="18"/>
              </w:rPr>
              <w:t> - </w:t>
            </w:r>
          </w:p>
        </w:tc>
        <w:tc>
          <w:tcPr>
            <w:tcW w:w="803" w:type="dxa"/>
            <w:tcBorders>
              <w:top w:val="single" w:color="auto" w:sz="2" w:space="0"/>
              <w:left w:val="single" w:color="auto" w:sz="2" w:space="0"/>
              <w:bottom w:val="single" w:color="auto" w:sz="2" w:space="0"/>
              <w:right w:val="single" w:color="auto" w:sz="2" w:space="0"/>
            </w:tcBorders>
            <w:vAlign w:val="center"/>
          </w:tcPr>
          <w:p w14:paraId="1B9593CE">
            <w:pPr>
              <w:spacing w:line="240" w:lineRule="exact"/>
              <w:rPr>
                <w:rFonts w:ascii="宋体" w:hAnsi="宋体" w:eastAsia="宋体" w:cs="宋体"/>
                <w:sz w:val="18"/>
                <w:szCs w:val="18"/>
              </w:rPr>
            </w:pPr>
            <w:r>
              <w:rPr>
                <w:rFonts w:ascii="宋体" w:hAnsi="宋体" w:eastAsia="宋体" w:cs="宋体"/>
                <w:sz w:val="18"/>
                <w:szCs w:val="18"/>
              </w:rPr>
              <w:t>临时性补充流动资金</w:t>
            </w:r>
          </w:p>
        </w:tc>
        <w:tc>
          <w:tcPr>
            <w:tcW w:w="803" w:type="dxa"/>
            <w:tcBorders>
              <w:top w:val="single" w:color="auto" w:sz="2" w:space="0"/>
              <w:left w:val="single" w:color="auto" w:sz="2" w:space="0"/>
              <w:bottom w:val="single" w:color="auto" w:sz="2" w:space="0"/>
              <w:right w:val="single" w:color="auto" w:sz="2" w:space="0"/>
            </w:tcBorders>
            <w:vAlign w:val="center"/>
          </w:tcPr>
          <w:p w14:paraId="5C4D4085">
            <w:pPr>
              <w:spacing w:line="240" w:lineRule="exact"/>
              <w:rPr>
                <w:rFonts w:ascii="宋体" w:hAnsi="宋体" w:eastAsia="宋体" w:cs="宋体"/>
                <w:sz w:val="18"/>
                <w:szCs w:val="18"/>
              </w:rPr>
            </w:pPr>
            <w:r>
              <w:rPr>
                <w:rFonts w:ascii="宋体" w:hAnsi="宋体" w:eastAsia="宋体" w:cs="宋体"/>
                <w:sz w:val="18"/>
                <w:szCs w:val="18"/>
              </w:rPr>
              <w:t> 无</w:t>
            </w:r>
          </w:p>
        </w:tc>
        <w:tc>
          <w:tcPr>
            <w:tcW w:w="803" w:type="dxa"/>
            <w:tcBorders>
              <w:top w:val="single" w:color="auto" w:sz="2" w:space="0"/>
              <w:left w:val="single" w:color="auto" w:sz="2" w:space="0"/>
              <w:bottom w:val="single" w:color="auto" w:sz="2" w:space="0"/>
              <w:right w:val="single" w:color="auto" w:sz="2" w:space="0"/>
            </w:tcBorders>
            <w:vAlign w:val="center"/>
          </w:tcPr>
          <w:p w14:paraId="78B2B183">
            <w:pPr>
              <w:spacing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2DD5EF66">
            <w:pPr>
              <w:spacing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2A221E7F">
            <w:pPr>
              <w:spacing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11D1C90F">
            <w:pPr>
              <w:spacing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41AFF0B2">
            <w:pPr>
              <w:spacing w:line="240" w:lineRule="exac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311D87FD">
            <w:pPr>
              <w:spacing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14:paraId="1288E58F">
            <w:pPr>
              <w:spacing w:line="240" w:lineRule="exact"/>
              <w:rPr>
                <w:rFonts w:ascii="宋体" w:hAnsi="宋体" w:eastAsia="宋体" w:cs="宋体"/>
                <w:sz w:val="18"/>
                <w:szCs w:val="18"/>
              </w:rPr>
            </w:pPr>
            <w:r>
              <w:rPr>
                <w:rFonts w:ascii="宋体" w:hAnsi="宋体" w:eastAsia="宋体" w:cs="宋体"/>
                <w:sz w:val="18"/>
                <w:szCs w:val="18"/>
              </w:rPr>
              <w:t>不适用</w:t>
            </w:r>
          </w:p>
        </w:tc>
        <w:tc>
          <w:tcPr>
            <w:tcW w:w="803" w:type="dxa"/>
            <w:tcBorders>
              <w:top w:val="single" w:color="auto" w:sz="2" w:space="0"/>
              <w:left w:val="single" w:color="auto" w:sz="2" w:space="0"/>
              <w:bottom w:val="single" w:color="auto" w:sz="2" w:space="0"/>
              <w:right w:val="single" w:color="auto" w:sz="2" w:space="0"/>
            </w:tcBorders>
            <w:vAlign w:val="center"/>
          </w:tcPr>
          <w:p w14:paraId="3BAD7F5C">
            <w:pPr>
              <w:spacing w:line="240" w:lineRule="exact"/>
              <w:rPr>
                <w:rFonts w:ascii="宋体" w:hAnsi="宋体" w:eastAsia="宋体" w:cs="宋体"/>
                <w:sz w:val="18"/>
                <w:szCs w:val="18"/>
              </w:rPr>
            </w:pPr>
            <w:r>
              <w:rPr>
                <w:rFonts w:ascii="宋体" w:hAnsi="宋体" w:eastAsia="宋体" w:cs="宋体"/>
                <w:sz w:val="18"/>
                <w:szCs w:val="18"/>
              </w:rPr>
              <w:t>否</w:t>
            </w:r>
          </w:p>
        </w:tc>
      </w:tr>
      <w:tr w14:paraId="28A2F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32BC6C85">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00A4EAAA">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5C036C70">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01989BD1">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03" w:type="dxa"/>
            <w:tcBorders>
              <w:top w:val="single" w:color="auto" w:sz="2" w:space="0"/>
              <w:left w:val="single" w:color="auto" w:sz="2" w:space="0"/>
              <w:bottom w:val="single" w:color="auto" w:sz="2" w:space="0"/>
              <w:right w:val="single" w:color="auto" w:sz="2" w:space="0"/>
            </w:tcBorders>
            <w:vAlign w:val="center"/>
          </w:tcPr>
          <w:p w14:paraId="1F70D940">
            <w:pPr>
              <w:spacing w:line="240" w:lineRule="exact"/>
              <w:jc w:val="right"/>
              <w:rPr>
                <w:rFonts w:ascii="宋体" w:hAnsi="宋体" w:eastAsia="宋体" w:cs="宋体"/>
                <w:sz w:val="18"/>
                <w:szCs w:val="18"/>
              </w:rPr>
            </w:pPr>
            <w:r>
              <w:rPr>
                <w:rFonts w:ascii="宋体" w:hAnsi="宋体" w:eastAsia="宋体" w:cs="宋体"/>
                <w:sz w:val="18"/>
                <w:szCs w:val="18"/>
              </w:rPr>
              <w:t>78,846.28</w:t>
            </w:r>
          </w:p>
        </w:tc>
        <w:tc>
          <w:tcPr>
            <w:tcW w:w="803" w:type="dxa"/>
            <w:tcBorders>
              <w:top w:val="single" w:color="auto" w:sz="2" w:space="0"/>
              <w:left w:val="single" w:color="auto" w:sz="2" w:space="0"/>
              <w:bottom w:val="single" w:color="auto" w:sz="2" w:space="0"/>
              <w:right w:val="single" w:color="auto" w:sz="2" w:space="0"/>
            </w:tcBorders>
            <w:vAlign w:val="center"/>
          </w:tcPr>
          <w:p w14:paraId="58B91946">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803" w:type="dxa"/>
            <w:tcBorders>
              <w:top w:val="single" w:color="auto" w:sz="2" w:space="0"/>
              <w:left w:val="single" w:color="auto" w:sz="2" w:space="0"/>
              <w:bottom w:val="single" w:color="auto" w:sz="2" w:space="0"/>
              <w:right w:val="single" w:color="auto" w:sz="2" w:space="0"/>
            </w:tcBorders>
            <w:vAlign w:val="center"/>
          </w:tcPr>
          <w:p w14:paraId="4476CB4A">
            <w:pPr>
              <w:spacing w:line="240" w:lineRule="exact"/>
              <w:jc w:val="right"/>
              <w:rPr>
                <w:rFonts w:ascii="宋体" w:hAnsi="宋体" w:eastAsia="宋体" w:cs="宋体"/>
                <w:sz w:val="18"/>
                <w:szCs w:val="18"/>
              </w:rPr>
            </w:pPr>
            <w:r>
              <w:rPr>
                <w:rFonts w:ascii="宋体" w:hAnsi="宋体" w:eastAsia="宋体" w:cs="宋体"/>
                <w:sz w:val="18"/>
                <w:szCs w:val="18"/>
              </w:rPr>
              <w:t>79,894.42</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736E493D">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66AFC1B6">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03" w:type="dxa"/>
            <w:tcBorders>
              <w:top w:val="single" w:color="auto" w:sz="2" w:space="0"/>
              <w:left w:val="single" w:color="auto" w:sz="2" w:space="0"/>
              <w:bottom w:val="single" w:color="auto" w:sz="2" w:space="0"/>
              <w:right w:val="single" w:color="auto" w:sz="2" w:space="0"/>
            </w:tcBorders>
            <w:vAlign w:val="center"/>
          </w:tcPr>
          <w:p w14:paraId="1BE25611">
            <w:pPr>
              <w:spacing w:line="240" w:lineRule="exact"/>
              <w:jc w:val="right"/>
              <w:rPr>
                <w:rFonts w:ascii="宋体" w:hAnsi="宋体" w:eastAsia="宋体" w:cs="宋体"/>
                <w:sz w:val="18"/>
                <w:szCs w:val="18"/>
              </w:rPr>
            </w:pPr>
            <w:r>
              <w:rPr>
                <w:rFonts w:ascii="宋体" w:hAnsi="宋体" w:eastAsia="宋体" w:cs="宋体"/>
                <w:sz w:val="18"/>
                <w:szCs w:val="18"/>
              </w:rPr>
              <w:t>585.75</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32DAC99B">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14:paraId="3D480CB7">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14:paraId="7B3A2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65118D4F">
            <w:pPr>
              <w:spacing w:before="40" w:after="40" w:line="240" w:lineRule="exact"/>
              <w:rPr>
                <w:rFonts w:ascii="宋体" w:hAnsi="宋体" w:eastAsia="宋体" w:cs="宋体"/>
                <w:sz w:val="18"/>
                <w:szCs w:val="18"/>
              </w:rPr>
            </w:pPr>
            <w:r>
              <w:rPr>
                <w:rFonts w:ascii="宋体" w:hAnsi="宋体" w:eastAsia="宋体" w:cs="宋体"/>
                <w:sz w:val="18"/>
                <w:szCs w:val="18"/>
              </w:rPr>
              <w:t>变更原因、决策程序及信息披露情况说明(分具体项目)</w:t>
            </w:r>
          </w:p>
        </w:tc>
        <w:tc>
          <w:tcPr>
            <w:tcW w:w="7229" w:type="dxa"/>
            <w:gridSpan w:val="9"/>
            <w:tcBorders>
              <w:top w:val="single" w:color="auto" w:sz="2" w:space="0"/>
              <w:left w:val="single" w:color="auto" w:sz="2" w:space="0"/>
              <w:bottom w:val="single" w:color="auto" w:sz="2" w:space="0"/>
              <w:right w:val="single" w:color="auto" w:sz="2" w:space="0"/>
            </w:tcBorders>
            <w:vAlign w:val="center"/>
          </w:tcPr>
          <w:p w14:paraId="6034FC6B">
            <w:pPr>
              <w:spacing w:line="240" w:lineRule="exact"/>
              <w:rPr>
                <w:rFonts w:ascii="宋体" w:hAnsi="宋体" w:eastAsia="宋体" w:cs="宋体"/>
                <w:sz w:val="18"/>
                <w:szCs w:val="18"/>
              </w:rPr>
            </w:pPr>
            <w:r>
              <w:rPr>
                <w:rFonts w:ascii="宋体" w:hAnsi="宋体" w:eastAsia="宋体" w:cs="宋体"/>
                <w:sz w:val="18"/>
                <w:szCs w:val="18"/>
              </w:rPr>
              <w:t>1、因外部市场环境变化，原项目建设进度有所延缓，实施周期被动拉长，存在投资收益不达预期的风险。因此，经公司于2022年1月10日召开的2022年第一次股东大会审议通过，同意将公司2021年非公开发行股票募集资金投资项目华孚（越南）50万锭新型纱线项目（一期）变更为30万锭智能纺纱产业园项目（项目实施地在安徽省淮北市）。</w:t>
            </w:r>
          </w:p>
        </w:tc>
      </w:tr>
      <w:tr w14:paraId="427E5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2C5F4E7F">
            <w:pPr>
              <w:spacing w:before="40" w:after="40" w:line="240" w:lineRule="exact"/>
              <w:rPr>
                <w:rFonts w:ascii="宋体" w:hAnsi="宋体" w:eastAsia="宋体" w:cs="宋体"/>
                <w:sz w:val="18"/>
                <w:szCs w:val="18"/>
              </w:rPr>
            </w:pPr>
            <w:r>
              <w:rPr>
                <w:rFonts w:ascii="宋体" w:hAnsi="宋体" w:eastAsia="宋体" w:cs="宋体"/>
                <w:sz w:val="18"/>
                <w:szCs w:val="18"/>
              </w:rPr>
              <w:t>未达到计划进度或预计收益的情况和原因(分具体项目)</w:t>
            </w:r>
          </w:p>
        </w:tc>
        <w:tc>
          <w:tcPr>
            <w:tcW w:w="7229" w:type="dxa"/>
            <w:gridSpan w:val="9"/>
            <w:tcBorders>
              <w:top w:val="single" w:color="auto" w:sz="2" w:space="0"/>
              <w:left w:val="single" w:color="auto" w:sz="2" w:space="0"/>
              <w:bottom w:val="single" w:color="auto" w:sz="2" w:space="0"/>
              <w:right w:val="single" w:color="auto" w:sz="2" w:space="0"/>
            </w:tcBorders>
            <w:vAlign w:val="center"/>
          </w:tcPr>
          <w:p w14:paraId="5F9D522C">
            <w:pPr>
              <w:spacing w:line="240" w:lineRule="exact"/>
              <w:rPr>
                <w:rFonts w:ascii="宋体" w:hAnsi="宋体" w:eastAsia="宋体" w:cs="宋体"/>
                <w:sz w:val="18"/>
                <w:szCs w:val="18"/>
              </w:rPr>
            </w:pPr>
            <w:r>
              <w:rPr>
                <w:rFonts w:ascii="宋体" w:hAnsi="宋体" w:eastAsia="宋体" w:cs="宋体"/>
                <w:sz w:val="18"/>
                <w:szCs w:val="18"/>
              </w:rPr>
              <w:t>公司于2025年6月20日召开第九届董事会2025年第一次临时会议、第九届监事会第三次会议，审议通过了《关于募投项目延期的议案》，公司在募投项目实施主体、实施方式、投资总额不发生变更的情况下，根据实际情况决定对募投项目进行延期。由于宏观环境因素影响，项目整体进度放缓，预计无法在原定计划内完成建设。结合目前募投项目的实施进展以及公司业务发展规划，经审慎研究，公司决定将募投项目达到预定可使用状态的时间延长至2025年12月31日。</w:t>
            </w:r>
          </w:p>
        </w:tc>
      </w:tr>
      <w:tr w14:paraId="59640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0F5D904A">
            <w:pPr>
              <w:spacing w:before="40" w:after="40" w:line="240" w:lineRule="exact"/>
              <w:rPr>
                <w:rFonts w:ascii="宋体" w:hAnsi="宋体" w:eastAsia="宋体" w:cs="宋体"/>
                <w:sz w:val="18"/>
                <w:szCs w:val="18"/>
              </w:rPr>
            </w:pPr>
            <w:r>
              <w:rPr>
                <w:rFonts w:ascii="宋体" w:hAnsi="宋体" w:eastAsia="宋体" w:cs="宋体"/>
                <w:sz w:val="18"/>
                <w:szCs w:val="18"/>
              </w:rPr>
              <w:t>变更后的项目可行性发生重大变化的情况说明</w:t>
            </w:r>
          </w:p>
        </w:tc>
        <w:tc>
          <w:tcPr>
            <w:tcW w:w="7229" w:type="dxa"/>
            <w:gridSpan w:val="9"/>
            <w:tcBorders>
              <w:top w:val="single" w:color="auto" w:sz="2" w:space="0"/>
              <w:left w:val="single" w:color="auto" w:sz="2" w:space="0"/>
              <w:bottom w:val="single" w:color="auto" w:sz="2" w:space="0"/>
              <w:right w:val="single" w:color="auto" w:sz="2" w:space="0"/>
            </w:tcBorders>
            <w:vAlign w:val="center"/>
          </w:tcPr>
          <w:p w14:paraId="0CFE1C19">
            <w:pPr>
              <w:spacing w:line="240" w:lineRule="exact"/>
              <w:rPr>
                <w:rFonts w:ascii="宋体" w:hAnsi="宋体" w:eastAsia="宋体" w:cs="宋体"/>
                <w:sz w:val="18"/>
                <w:szCs w:val="18"/>
              </w:rPr>
            </w:pPr>
            <w:r>
              <w:rPr>
                <w:rFonts w:ascii="宋体" w:hAnsi="宋体" w:eastAsia="宋体" w:cs="宋体"/>
                <w:sz w:val="18"/>
                <w:szCs w:val="18"/>
              </w:rPr>
              <w:t> 不适用</w:t>
            </w:r>
          </w:p>
        </w:tc>
      </w:tr>
    </w:tbl>
    <w:p w14:paraId="326FD407">
      <w:pPr>
        <w:pStyle w:val="3"/>
        <w:spacing w:line="280" w:lineRule="exact"/>
        <w:jc w:val="left"/>
        <w:rPr>
          <w:rFonts w:ascii="宋体" w:hAnsi="宋体" w:cs="宋体"/>
          <w:b/>
          <w:bCs/>
        </w:rPr>
      </w:pPr>
      <w:bookmarkStart w:id="134" w:name="_Toc989023"/>
      <w:r>
        <w:rPr>
          <w:rFonts w:ascii="宋体" w:hAnsi="宋体" w:cs="宋体"/>
          <w:b/>
          <w:bCs/>
        </w:rPr>
        <w:t>4、中介机构关于募集资金存储与使用情况的核查意见</w:t>
      </w:r>
      <w:bookmarkEnd w:id="134"/>
    </w:p>
    <w:p w14:paraId="395F5A2B">
      <w:pPr>
        <w:spacing w:before="40" w:after="4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209DACE8">
      <w:pPr>
        <w:pStyle w:val="2"/>
        <w:spacing w:before="300" w:after="300" w:line="320" w:lineRule="exact"/>
        <w:rPr>
          <w:rFonts w:ascii="宋体" w:hAnsi="宋体" w:eastAsia="宋体" w:cs="Times New Roman"/>
          <w:kern w:val="0"/>
          <w:sz w:val="18"/>
          <w:szCs w:val="18"/>
        </w:rPr>
      </w:pPr>
      <w:bookmarkStart w:id="135" w:name="_Toc989024"/>
      <w:r>
        <w:rPr>
          <w:rFonts w:hint="eastAsia" w:ascii="宋体" w:hAnsi="宋体" w:eastAsia="宋体" w:cs="Times New Roman"/>
          <w:kern w:val="0"/>
          <w:sz w:val="18"/>
          <w:szCs w:val="18"/>
        </w:rPr>
        <w:t>政旦志远（深圳）会计师事务所（特殊普通合伙）认为，华孚时尚已披露的关于募集资金使用相关信息及时、真实、准确、完整，募集资金的使用和管理不存在违规情况。</w:t>
      </w:r>
    </w:p>
    <w:p w14:paraId="24756C9F">
      <w:pPr>
        <w:pStyle w:val="2"/>
        <w:spacing w:before="300" w:after="300" w:line="320" w:lineRule="exact"/>
        <w:rPr>
          <w:rFonts w:ascii="宋体" w:hAnsi="宋体" w:eastAsia="宋体" w:cs="宋体"/>
          <w:b/>
          <w:bCs/>
          <w:sz w:val="24"/>
          <w:szCs w:val="24"/>
        </w:rPr>
      </w:pPr>
      <w:r>
        <w:rPr>
          <w:rFonts w:ascii="宋体" w:hAnsi="宋体" w:eastAsia="宋体" w:cs="宋体"/>
          <w:b/>
          <w:bCs/>
          <w:sz w:val="24"/>
          <w:szCs w:val="24"/>
        </w:rPr>
        <w:t>十七、其他重大事项的说明</w:t>
      </w:r>
      <w:bookmarkEnd w:id="135"/>
    </w:p>
    <w:p w14:paraId="45EABCF1">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CACBFEA">
      <w:pPr>
        <w:spacing w:before="100" w:after="100" w:line="240" w:lineRule="exact"/>
        <w:rPr>
          <w:rFonts w:ascii="宋体" w:hAnsi="宋体" w:eastAsia="宋体" w:cs="宋体"/>
          <w:sz w:val="18"/>
          <w:szCs w:val="18"/>
        </w:rPr>
      </w:pPr>
      <w:r>
        <w:rPr>
          <w:rFonts w:ascii="宋体" w:hAnsi="宋体" w:eastAsia="宋体" w:cs="宋体"/>
          <w:sz w:val="18"/>
          <w:szCs w:val="18"/>
        </w:rPr>
        <w:t>公司报告期不存在需要说明的其他重大事项。</w:t>
      </w:r>
    </w:p>
    <w:p w14:paraId="3A1A141C">
      <w:pPr>
        <w:pStyle w:val="2"/>
        <w:spacing w:before="300" w:after="300" w:line="320" w:lineRule="exact"/>
        <w:rPr>
          <w:rFonts w:ascii="宋体" w:hAnsi="宋体" w:eastAsia="宋体" w:cs="宋体"/>
          <w:b/>
          <w:bCs/>
          <w:sz w:val="24"/>
          <w:szCs w:val="24"/>
        </w:rPr>
      </w:pPr>
      <w:bookmarkStart w:id="136" w:name="_Toc989025"/>
      <w:r>
        <w:rPr>
          <w:rFonts w:ascii="宋体" w:hAnsi="宋体" w:eastAsia="宋体" w:cs="宋体"/>
          <w:b/>
          <w:bCs/>
          <w:sz w:val="24"/>
          <w:szCs w:val="24"/>
        </w:rPr>
        <w:t>十八、公司子公司重大事项</w:t>
      </w:r>
      <w:bookmarkEnd w:id="136"/>
    </w:p>
    <w:p w14:paraId="5F518157">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0169F4CD">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Style w:val="17"/>
          <w:rFonts w:hint="eastAsia" w:cs="Times New Roman"/>
          <w:b/>
          <w:bCs/>
          <w:sz w:val="18"/>
          <w:szCs w:val="18"/>
        </w:rPr>
        <w:t>一、阿克苏城市公共算力平台项目</w:t>
      </w:r>
    </w:p>
    <w:p w14:paraId="5FF16AB2">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ascii="Times New Roman" w:hAnsi="Times New Roman" w:cs="Times New Roman"/>
          <w:sz w:val="18"/>
          <w:szCs w:val="18"/>
        </w:rPr>
      </w:pPr>
      <w:r>
        <w:rPr>
          <w:rFonts w:hint="eastAsia" w:cs="Times New Roman"/>
          <w:sz w:val="18"/>
          <w:szCs w:val="18"/>
        </w:rPr>
        <w:t>公司于2024年4月25日召开第八届董事会第七次会议审议通过《关于投资新疆智能算力集群项目的议案》，公司通过下属子公司新疆华孚人工智能科技有限公司投资新疆阿克苏城市公共算力平台项目。详见公司于《证券时报》《中国证券报》及巨潮资讯网披露的《关于投资新疆智能算力集群项目的公告》（2024-32）。截至本公告披露日，阿克苏城市公共算力平台项目已于2025年底完成土建施工，持续推进装修及机电工程。该项目尚未建设完成，敬请投资者注意投资风险。</w:t>
      </w:r>
    </w:p>
    <w:p w14:paraId="07C74222">
      <w:pPr>
        <w:pStyle w:val="15"/>
        <w:spacing w:before="340" w:after="330" w:line="773" w:lineRule="exact"/>
        <w:jc w:val="center"/>
        <w:rPr>
          <w:rFonts w:ascii="宋体" w:hAnsi="宋体" w:eastAsia="宋体" w:cs="宋体"/>
          <w:b/>
          <w:bCs/>
          <w:sz w:val="32"/>
          <w:szCs w:val="32"/>
        </w:rPr>
      </w:pPr>
      <w:bookmarkStart w:id="137" w:name="_Toc989026"/>
      <w:r>
        <w:rPr>
          <w:rFonts w:ascii="宋体" w:hAnsi="宋体" w:eastAsia="宋体" w:cs="宋体"/>
          <w:b/>
          <w:bCs/>
          <w:sz w:val="32"/>
          <w:szCs w:val="32"/>
        </w:rPr>
        <w:t>第六节 股份变动及股东情况</w:t>
      </w:r>
      <w:bookmarkEnd w:id="137"/>
    </w:p>
    <w:p w14:paraId="7F78D4A7">
      <w:pPr>
        <w:pStyle w:val="2"/>
        <w:spacing w:before="300" w:after="300" w:line="320" w:lineRule="exact"/>
        <w:rPr>
          <w:rFonts w:ascii="宋体" w:hAnsi="宋体" w:eastAsia="宋体" w:cs="宋体"/>
          <w:b/>
          <w:bCs/>
          <w:sz w:val="24"/>
          <w:szCs w:val="24"/>
        </w:rPr>
      </w:pPr>
      <w:bookmarkStart w:id="138" w:name="_Toc989027"/>
      <w:r>
        <w:rPr>
          <w:rFonts w:ascii="宋体" w:hAnsi="宋体" w:eastAsia="宋体" w:cs="宋体"/>
          <w:b/>
          <w:bCs/>
          <w:sz w:val="24"/>
          <w:szCs w:val="24"/>
        </w:rPr>
        <w:t>一、股份变动情况</w:t>
      </w:r>
      <w:bookmarkEnd w:id="138"/>
    </w:p>
    <w:p w14:paraId="0DE6B977">
      <w:pPr>
        <w:pStyle w:val="3"/>
        <w:spacing w:line="280" w:lineRule="exact"/>
        <w:jc w:val="left"/>
        <w:rPr>
          <w:rFonts w:ascii="宋体" w:hAnsi="宋体" w:cs="宋体"/>
          <w:b/>
          <w:bCs/>
        </w:rPr>
      </w:pPr>
      <w:bookmarkStart w:id="139" w:name="_Toc989028"/>
      <w:r>
        <w:rPr>
          <w:rFonts w:ascii="宋体" w:hAnsi="宋体" w:cs="宋体"/>
          <w:b/>
          <w:bCs/>
        </w:rPr>
        <w:t>1、股份变动情况</w:t>
      </w:r>
      <w:bookmarkEnd w:id="139"/>
    </w:p>
    <w:p w14:paraId="517BE454">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3"/>
        <w:gridCol w:w="964"/>
        <w:gridCol w:w="964"/>
        <w:gridCol w:w="964"/>
        <w:gridCol w:w="964"/>
        <w:gridCol w:w="964"/>
        <w:gridCol w:w="964"/>
        <w:gridCol w:w="964"/>
        <w:gridCol w:w="964"/>
        <w:gridCol w:w="964"/>
      </w:tblGrid>
      <w:tr w14:paraId="5186D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CF184CD"/>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A6F073F">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本次变动前</w:t>
            </w:r>
          </w:p>
        </w:tc>
        <w:tc>
          <w:tcPr>
            <w:tcW w:w="482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67330FBA">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EDBECDA">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本次变动后</w:t>
            </w:r>
          </w:p>
        </w:tc>
      </w:tr>
      <w:tr w14:paraId="3CBC8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13AA37C"/>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65AEB423">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699DF7E0">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797FEBA0">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19214DA3">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12604D4D">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5A60F036">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1C24D6AE">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43D1744E">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4309D635">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14:paraId="33BB8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18FD3DE5">
            <w:pPr>
              <w:spacing w:before="40" w:after="40" w:line="240" w:lineRule="exact"/>
              <w:rPr>
                <w:rFonts w:ascii="宋体" w:hAnsi="宋体" w:eastAsia="宋体" w:cs="宋体"/>
                <w:sz w:val="18"/>
                <w:szCs w:val="18"/>
              </w:rPr>
            </w:pPr>
            <w:r>
              <w:rPr>
                <w:rFonts w:ascii="宋体" w:hAnsi="宋体" w:eastAsia="宋体" w:cs="宋体"/>
                <w:sz w:val="18"/>
                <w:szCs w:val="18"/>
              </w:rPr>
              <w:t>一、有限售条件股份</w:t>
            </w:r>
          </w:p>
        </w:tc>
        <w:tc>
          <w:tcPr>
            <w:tcW w:w="964" w:type="dxa"/>
            <w:tcBorders>
              <w:top w:val="single" w:color="auto" w:sz="2" w:space="0"/>
              <w:left w:val="single" w:color="auto" w:sz="2" w:space="0"/>
              <w:bottom w:val="single" w:color="auto" w:sz="2" w:space="0"/>
              <w:right w:val="single" w:color="auto" w:sz="2" w:space="0"/>
            </w:tcBorders>
            <w:vAlign w:val="center"/>
          </w:tcPr>
          <w:p w14:paraId="7B68D505">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F95DA6B">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3038B43B">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2F507B6">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B0386C1">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7DE4A3C">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5999B840">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F4613C7">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15590D90">
            <w:pPr>
              <w:spacing w:line="240" w:lineRule="exact"/>
              <w:jc w:val="right"/>
              <w:rPr>
                <w:rFonts w:ascii="宋体" w:hAnsi="宋体" w:eastAsia="宋体" w:cs="宋体"/>
                <w:sz w:val="18"/>
                <w:szCs w:val="18"/>
              </w:rPr>
            </w:pPr>
            <w:r>
              <w:rPr>
                <w:rFonts w:ascii="宋体" w:hAnsi="宋体" w:eastAsia="宋体" w:cs="宋体"/>
                <w:sz w:val="18"/>
                <w:szCs w:val="18"/>
              </w:rPr>
              <w:t>0.00%</w:t>
            </w:r>
          </w:p>
        </w:tc>
      </w:tr>
      <w:tr w14:paraId="60C2A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36CD161E">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1、国家持股</w:t>
            </w:r>
          </w:p>
        </w:tc>
        <w:tc>
          <w:tcPr>
            <w:tcW w:w="964" w:type="dxa"/>
            <w:tcBorders>
              <w:top w:val="single" w:color="auto" w:sz="2" w:space="0"/>
              <w:left w:val="single" w:color="auto" w:sz="2" w:space="0"/>
              <w:bottom w:val="single" w:color="auto" w:sz="2" w:space="0"/>
              <w:right w:val="single" w:color="auto" w:sz="2" w:space="0"/>
            </w:tcBorders>
            <w:vAlign w:val="center"/>
          </w:tcPr>
          <w:p w14:paraId="5616821C">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05A8EC9D">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2DC918E2">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7E578282">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5ABB37C9">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603F7D5D">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13D557D7">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1ED0ECFC">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57835AAD">
            <w:pPr>
              <w:spacing w:line="240" w:lineRule="exact"/>
              <w:jc w:val="right"/>
              <w:rPr>
                <w:rFonts w:ascii="宋体" w:hAnsi="宋体" w:eastAsia="宋体" w:cs="宋体"/>
                <w:sz w:val="18"/>
                <w:szCs w:val="18"/>
              </w:rPr>
            </w:pPr>
          </w:p>
        </w:tc>
      </w:tr>
      <w:tr w14:paraId="5709E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0D4014D1">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2、国有法人持股</w:t>
            </w:r>
          </w:p>
        </w:tc>
        <w:tc>
          <w:tcPr>
            <w:tcW w:w="964" w:type="dxa"/>
            <w:tcBorders>
              <w:top w:val="single" w:color="auto" w:sz="2" w:space="0"/>
              <w:left w:val="single" w:color="auto" w:sz="2" w:space="0"/>
              <w:bottom w:val="single" w:color="auto" w:sz="2" w:space="0"/>
              <w:right w:val="single" w:color="auto" w:sz="2" w:space="0"/>
            </w:tcBorders>
            <w:vAlign w:val="center"/>
          </w:tcPr>
          <w:p w14:paraId="1F152949">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510A9737">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72C66E40">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5801B1F4">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7B4EBE4C">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544572A6">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421E322C">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2CDA8D61">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2498D38B">
            <w:pPr>
              <w:spacing w:line="240" w:lineRule="exact"/>
              <w:jc w:val="right"/>
              <w:rPr>
                <w:rFonts w:ascii="宋体" w:hAnsi="宋体" w:eastAsia="宋体" w:cs="宋体"/>
                <w:sz w:val="18"/>
                <w:szCs w:val="18"/>
              </w:rPr>
            </w:pPr>
          </w:p>
        </w:tc>
      </w:tr>
      <w:tr w14:paraId="736E6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0A294CFB">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3、其他内资持股</w:t>
            </w:r>
          </w:p>
        </w:tc>
        <w:tc>
          <w:tcPr>
            <w:tcW w:w="964" w:type="dxa"/>
            <w:tcBorders>
              <w:top w:val="single" w:color="auto" w:sz="2" w:space="0"/>
              <w:left w:val="single" w:color="auto" w:sz="2" w:space="0"/>
              <w:bottom w:val="single" w:color="auto" w:sz="2" w:space="0"/>
              <w:right w:val="single" w:color="auto" w:sz="2" w:space="0"/>
            </w:tcBorders>
            <w:vAlign w:val="center"/>
          </w:tcPr>
          <w:p w14:paraId="3F1437FC">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74E8E6A5">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333E80B0">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0B8A4DE4">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7FB3B254">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2BB961D3">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2B40F15D">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6AC13A42">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1FBAA2CB">
            <w:pPr>
              <w:spacing w:line="240" w:lineRule="exact"/>
              <w:jc w:val="right"/>
              <w:rPr>
                <w:rFonts w:ascii="宋体" w:hAnsi="宋体" w:eastAsia="宋体" w:cs="宋体"/>
                <w:sz w:val="18"/>
                <w:szCs w:val="18"/>
              </w:rPr>
            </w:pPr>
          </w:p>
        </w:tc>
      </w:tr>
      <w:tr w14:paraId="388C2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5CDB79BC">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其中：境内法人持股</w:t>
            </w:r>
          </w:p>
        </w:tc>
        <w:tc>
          <w:tcPr>
            <w:tcW w:w="964" w:type="dxa"/>
            <w:tcBorders>
              <w:top w:val="single" w:color="auto" w:sz="2" w:space="0"/>
              <w:left w:val="single" w:color="auto" w:sz="2" w:space="0"/>
              <w:bottom w:val="single" w:color="auto" w:sz="2" w:space="0"/>
              <w:right w:val="single" w:color="auto" w:sz="2" w:space="0"/>
            </w:tcBorders>
            <w:vAlign w:val="center"/>
          </w:tcPr>
          <w:p w14:paraId="5E267FDC">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691CB4C4">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4E5D8697">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78EF6B20">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51CD779B">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4DA0B674">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481B159E">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2AB907CB">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2BCC1CDE">
            <w:pPr>
              <w:spacing w:line="240" w:lineRule="exact"/>
              <w:jc w:val="right"/>
              <w:rPr>
                <w:rFonts w:ascii="宋体" w:hAnsi="宋体" w:eastAsia="宋体" w:cs="宋体"/>
                <w:sz w:val="18"/>
                <w:szCs w:val="18"/>
              </w:rPr>
            </w:pPr>
          </w:p>
        </w:tc>
      </w:tr>
      <w:tr w14:paraId="023F6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1A109691">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境内自然人持股</w:t>
            </w:r>
          </w:p>
        </w:tc>
        <w:tc>
          <w:tcPr>
            <w:tcW w:w="964" w:type="dxa"/>
            <w:tcBorders>
              <w:top w:val="single" w:color="auto" w:sz="2" w:space="0"/>
              <w:left w:val="single" w:color="auto" w:sz="2" w:space="0"/>
              <w:bottom w:val="single" w:color="auto" w:sz="2" w:space="0"/>
              <w:right w:val="single" w:color="auto" w:sz="2" w:space="0"/>
            </w:tcBorders>
            <w:vAlign w:val="center"/>
          </w:tcPr>
          <w:p w14:paraId="0F69FB90">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28F4942E">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0BE715AC">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175A83F3">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7B658C46">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180988AF">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2F3B5BF2">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22E13DEA">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423038B5">
            <w:pPr>
              <w:spacing w:line="240" w:lineRule="exact"/>
              <w:jc w:val="right"/>
              <w:rPr>
                <w:rFonts w:ascii="宋体" w:hAnsi="宋体" w:eastAsia="宋体" w:cs="宋体"/>
                <w:sz w:val="18"/>
                <w:szCs w:val="18"/>
              </w:rPr>
            </w:pPr>
          </w:p>
        </w:tc>
      </w:tr>
      <w:tr w14:paraId="5FD8E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413C99C3">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4、外资持股</w:t>
            </w:r>
          </w:p>
        </w:tc>
        <w:tc>
          <w:tcPr>
            <w:tcW w:w="964" w:type="dxa"/>
            <w:tcBorders>
              <w:top w:val="single" w:color="auto" w:sz="2" w:space="0"/>
              <w:left w:val="single" w:color="auto" w:sz="2" w:space="0"/>
              <w:bottom w:val="single" w:color="auto" w:sz="2" w:space="0"/>
              <w:right w:val="single" w:color="auto" w:sz="2" w:space="0"/>
            </w:tcBorders>
            <w:vAlign w:val="center"/>
          </w:tcPr>
          <w:p w14:paraId="5CA31D27">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6E2FE806">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040C4934">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2E912507">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5BD8C76A">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093F402B">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306C7AD0">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6C226323">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46709293">
            <w:pPr>
              <w:spacing w:line="240" w:lineRule="exact"/>
              <w:jc w:val="right"/>
              <w:rPr>
                <w:rFonts w:ascii="宋体" w:hAnsi="宋体" w:eastAsia="宋体" w:cs="宋体"/>
                <w:sz w:val="18"/>
                <w:szCs w:val="18"/>
              </w:rPr>
            </w:pPr>
          </w:p>
        </w:tc>
      </w:tr>
      <w:tr w14:paraId="571E0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2C930907">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其中：境外法人持股</w:t>
            </w:r>
          </w:p>
        </w:tc>
        <w:tc>
          <w:tcPr>
            <w:tcW w:w="964" w:type="dxa"/>
            <w:tcBorders>
              <w:top w:val="single" w:color="auto" w:sz="2" w:space="0"/>
              <w:left w:val="single" w:color="auto" w:sz="2" w:space="0"/>
              <w:bottom w:val="single" w:color="auto" w:sz="2" w:space="0"/>
              <w:right w:val="single" w:color="auto" w:sz="2" w:space="0"/>
            </w:tcBorders>
            <w:vAlign w:val="center"/>
          </w:tcPr>
          <w:p w14:paraId="234E1178">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358A881F">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3CB965CD">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498105C6">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3DB5950F">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498D7434">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4299E352">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612CD241">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3C173F69">
            <w:pPr>
              <w:spacing w:line="240" w:lineRule="exact"/>
              <w:jc w:val="right"/>
              <w:rPr>
                <w:rFonts w:ascii="宋体" w:hAnsi="宋体" w:eastAsia="宋体" w:cs="宋体"/>
                <w:sz w:val="18"/>
                <w:szCs w:val="18"/>
              </w:rPr>
            </w:pPr>
          </w:p>
        </w:tc>
      </w:tr>
      <w:tr w14:paraId="58E91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7A1A91F6">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境外自然人持股</w:t>
            </w:r>
          </w:p>
        </w:tc>
        <w:tc>
          <w:tcPr>
            <w:tcW w:w="964" w:type="dxa"/>
            <w:tcBorders>
              <w:top w:val="single" w:color="auto" w:sz="2" w:space="0"/>
              <w:left w:val="single" w:color="auto" w:sz="2" w:space="0"/>
              <w:bottom w:val="single" w:color="auto" w:sz="2" w:space="0"/>
              <w:right w:val="single" w:color="auto" w:sz="2" w:space="0"/>
            </w:tcBorders>
            <w:vAlign w:val="center"/>
          </w:tcPr>
          <w:p w14:paraId="15E572F7">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7942C78D">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14D68764">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31D7F2A1">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36F1DAEF">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27764B85">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36A2B79A">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40B08DC7">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0A8E9C05">
            <w:pPr>
              <w:spacing w:line="240" w:lineRule="exact"/>
              <w:jc w:val="right"/>
              <w:rPr>
                <w:rFonts w:ascii="宋体" w:hAnsi="宋体" w:eastAsia="宋体" w:cs="宋体"/>
                <w:sz w:val="18"/>
                <w:szCs w:val="18"/>
              </w:rPr>
            </w:pPr>
          </w:p>
        </w:tc>
      </w:tr>
      <w:tr w14:paraId="00964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09CFA6AA">
            <w:pPr>
              <w:spacing w:before="40" w:after="40" w:line="240" w:lineRule="exact"/>
              <w:rPr>
                <w:rFonts w:ascii="宋体" w:hAnsi="宋体" w:eastAsia="宋体" w:cs="宋体"/>
                <w:sz w:val="18"/>
                <w:szCs w:val="18"/>
              </w:rPr>
            </w:pPr>
            <w:r>
              <w:rPr>
                <w:rFonts w:ascii="宋体" w:hAnsi="宋体" w:eastAsia="宋体" w:cs="宋体"/>
                <w:sz w:val="18"/>
                <w:szCs w:val="18"/>
              </w:rPr>
              <w:t>二、无限售条件股份</w:t>
            </w:r>
          </w:p>
        </w:tc>
        <w:tc>
          <w:tcPr>
            <w:tcW w:w="964" w:type="dxa"/>
            <w:tcBorders>
              <w:top w:val="single" w:color="auto" w:sz="2" w:space="0"/>
              <w:left w:val="single" w:color="auto" w:sz="2" w:space="0"/>
              <w:bottom w:val="single" w:color="auto" w:sz="2" w:space="0"/>
              <w:right w:val="single" w:color="auto" w:sz="2" w:space="0"/>
            </w:tcBorders>
            <w:vAlign w:val="center"/>
          </w:tcPr>
          <w:p w14:paraId="4F0C627A">
            <w:pPr>
              <w:spacing w:line="240" w:lineRule="exact"/>
              <w:jc w:val="right"/>
              <w:rPr>
                <w:rFonts w:ascii="宋体" w:hAnsi="宋体" w:eastAsia="宋体" w:cs="宋体"/>
                <w:sz w:val="18"/>
                <w:szCs w:val="18"/>
              </w:rPr>
            </w:pPr>
            <w:r>
              <w:rPr>
                <w:rFonts w:ascii="宋体" w:hAnsi="宋体" w:eastAsia="宋体" w:cs="宋体"/>
                <w:sz w:val="18"/>
                <w:szCs w:val="18"/>
              </w:rPr>
              <w:t>1,700,681,355</w:t>
            </w:r>
          </w:p>
        </w:tc>
        <w:tc>
          <w:tcPr>
            <w:tcW w:w="964" w:type="dxa"/>
            <w:tcBorders>
              <w:top w:val="single" w:color="auto" w:sz="2" w:space="0"/>
              <w:left w:val="single" w:color="auto" w:sz="2" w:space="0"/>
              <w:bottom w:val="single" w:color="auto" w:sz="2" w:space="0"/>
              <w:right w:val="single" w:color="auto" w:sz="2" w:space="0"/>
            </w:tcBorders>
            <w:vAlign w:val="center"/>
          </w:tcPr>
          <w:p w14:paraId="27A032B8">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14:paraId="02B85B0D">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B6F4DA6">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290EF6A0">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EA7139C">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0CE4FA3">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7324D3E">
            <w:pPr>
              <w:spacing w:line="240" w:lineRule="exact"/>
              <w:jc w:val="right"/>
              <w:rPr>
                <w:rFonts w:ascii="宋体" w:hAnsi="宋体" w:eastAsia="宋体" w:cs="宋体"/>
                <w:sz w:val="18"/>
                <w:szCs w:val="18"/>
              </w:rPr>
            </w:pPr>
            <w:r>
              <w:rPr>
                <w:rFonts w:ascii="宋体" w:hAnsi="宋体" w:eastAsia="宋体" w:cs="宋体"/>
                <w:sz w:val="18"/>
                <w:szCs w:val="18"/>
              </w:rPr>
              <w:t>1,700,681,355</w:t>
            </w:r>
          </w:p>
        </w:tc>
        <w:tc>
          <w:tcPr>
            <w:tcW w:w="964" w:type="dxa"/>
            <w:tcBorders>
              <w:top w:val="single" w:color="auto" w:sz="2" w:space="0"/>
              <w:left w:val="single" w:color="auto" w:sz="2" w:space="0"/>
              <w:bottom w:val="single" w:color="auto" w:sz="2" w:space="0"/>
              <w:right w:val="single" w:color="auto" w:sz="2" w:space="0"/>
            </w:tcBorders>
            <w:vAlign w:val="center"/>
          </w:tcPr>
          <w:p w14:paraId="0F4B04BC">
            <w:pPr>
              <w:spacing w:line="240" w:lineRule="exact"/>
              <w:jc w:val="right"/>
              <w:rPr>
                <w:rFonts w:ascii="宋体" w:hAnsi="宋体" w:eastAsia="宋体" w:cs="宋体"/>
                <w:sz w:val="18"/>
                <w:szCs w:val="18"/>
              </w:rPr>
            </w:pPr>
            <w:r>
              <w:rPr>
                <w:rFonts w:ascii="宋体" w:hAnsi="宋体" w:eastAsia="宋体" w:cs="宋体"/>
                <w:sz w:val="18"/>
                <w:szCs w:val="18"/>
              </w:rPr>
              <w:t>100.00%</w:t>
            </w:r>
          </w:p>
        </w:tc>
      </w:tr>
      <w:tr w14:paraId="3FA11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3BAF99A9">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1、人民币普通股</w:t>
            </w:r>
          </w:p>
        </w:tc>
        <w:tc>
          <w:tcPr>
            <w:tcW w:w="964" w:type="dxa"/>
            <w:tcBorders>
              <w:top w:val="single" w:color="auto" w:sz="2" w:space="0"/>
              <w:left w:val="single" w:color="auto" w:sz="2" w:space="0"/>
              <w:bottom w:val="single" w:color="auto" w:sz="2" w:space="0"/>
              <w:right w:val="single" w:color="auto" w:sz="2" w:space="0"/>
            </w:tcBorders>
            <w:vAlign w:val="center"/>
          </w:tcPr>
          <w:p w14:paraId="32804E15">
            <w:pPr>
              <w:spacing w:line="240" w:lineRule="exact"/>
              <w:jc w:val="right"/>
              <w:rPr>
                <w:rFonts w:ascii="宋体" w:hAnsi="宋体" w:eastAsia="宋体" w:cs="宋体"/>
                <w:sz w:val="18"/>
                <w:szCs w:val="18"/>
              </w:rPr>
            </w:pPr>
            <w:r>
              <w:rPr>
                <w:rFonts w:ascii="宋体" w:hAnsi="宋体" w:eastAsia="宋体" w:cs="宋体"/>
                <w:sz w:val="18"/>
                <w:szCs w:val="18"/>
              </w:rPr>
              <w:t>1,700,681,355</w:t>
            </w:r>
          </w:p>
        </w:tc>
        <w:tc>
          <w:tcPr>
            <w:tcW w:w="964" w:type="dxa"/>
            <w:tcBorders>
              <w:top w:val="single" w:color="auto" w:sz="2" w:space="0"/>
              <w:left w:val="single" w:color="auto" w:sz="2" w:space="0"/>
              <w:bottom w:val="single" w:color="auto" w:sz="2" w:space="0"/>
              <w:right w:val="single" w:color="auto" w:sz="2" w:space="0"/>
            </w:tcBorders>
            <w:vAlign w:val="center"/>
          </w:tcPr>
          <w:p w14:paraId="07AD6834">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14:paraId="00FC39B2">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282B646">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527FFDC">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3F619624">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FF8E514">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D94E64F">
            <w:pPr>
              <w:spacing w:line="240" w:lineRule="exact"/>
              <w:jc w:val="right"/>
              <w:rPr>
                <w:rFonts w:ascii="宋体" w:hAnsi="宋体" w:eastAsia="宋体" w:cs="宋体"/>
                <w:sz w:val="18"/>
                <w:szCs w:val="18"/>
              </w:rPr>
            </w:pPr>
            <w:r>
              <w:rPr>
                <w:rFonts w:ascii="宋体" w:hAnsi="宋体" w:eastAsia="宋体" w:cs="宋体"/>
                <w:sz w:val="18"/>
                <w:szCs w:val="18"/>
              </w:rPr>
              <w:t>1,700,681,355</w:t>
            </w:r>
          </w:p>
        </w:tc>
        <w:tc>
          <w:tcPr>
            <w:tcW w:w="964" w:type="dxa"/>
            <w:tcBorders>
              <w:top w:val="single" w:color="auto" w:sz="2" w:space="0"/>
              <w:left w:val="single" w:color="auto" w:sz="2" w:space="0"/>
              <w:bottom w:val="single" w:color="auto" w:sz="2" w:space="0"/>
              <w:right w:val="single" w:color="auto" w:sz="2" w:space="0"/>
            </w:tcBorders>
            <w:vAlign w:val="center"/>
          </w:tcPr>
          <w:p w14:paraId="1B6EF676">
            <w:pPr>
              <w:spacing w:line="240" w:lineRule="exact"/>
              <w:jc w:val="right"/>
              <w:rPr>
                <w:rFonts w:ascii="宋体" w:hAnsi="宋体" w:eastAsia="宋体" w:cs="宋体"/>
                <w:sz w:val="18"/>
                <w:szCs w:val="18"/>
              </w:rPr>
            </w:pPr>
            <w:r>
              <w:rPr>
                <w:rFonts w:ascii="宋体" w:hAnsi="宋体" w:eastAsia="宋体" w:cs="宋体"/>
                <w:sz w:val="18"/>
                <w:szCs w:val="18"/>
              </w:rPr>
              <w:t>100.00%</w:t>
            </w:r>
          </w:p>
        </w:tc>
      </w:tr>
      <w:tr w14:paraId="5C2DE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6A0F59EC">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2、境内上市的外资股</w:t>
            </w:r>
          </w:p>
        </w:tc>
        <w:tc>
          <w:tcPr>
            <w:tcW w:w="964" w:type="dxa"/>
            <w:tcBorders>
              <w:top w:val="single" w:color="auto" w:sz="2" w:space="0"/>
              <w:left w:val="single" w:color="auto" w:sz="2" w:space="0"/>
              <w:bottom w:val="single" w:color="auto" w:sz="2" w:space="0"/>
              <w:right w:val="single" w:color="auto" w:sz="2" w:space="0"/>
            </w:tcBorders>
            <w:vAlign w:val="center"/>
          </w:tcPr>
          <w:p w14:paraId="7F9ECB9F">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05A9A53C">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56DDA51B">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37534866">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158672D6">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447D840C">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7D43A488">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34594C44">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46C7E1B1">
            <w:pPr>
              <w:spacing w:line="240" w:lineRule="exact"/>
              <w:jc w:val="right"/>
              <w:rPr>
                <w:rFonts w:ascii="宋体" w:hAnsi="宋体" w:eastAsia="宋体" w:cs="宋体"/>
                <w:sz w:val="18"/>
                <w:szCs w:val="18"/>
              </w:rPr>
            </w:pPr>
          </w:p>
        </w:tc>
      </w:tr>
      <w:tr w14:paraId="30411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44240C03">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3、境外上市的外资股</w:t>
            </w:r>
          </w:p>
        </w:tc>
        <w:tc>
          <w:tcPr>
            <w:tcW w:w="964" w:type="dxa"/>
            <w:tcBorders>
              <w:top w:val="single" w:color="auto" w:sz="2" w:space="0"/>
              <w:left w:val="single" w:color="auto" w:sz="2" w:space="0"/>
              <w:bottom w:val="single" w:color="auto" w:sz="2" w:space="0"/>
              <w:right w:val="single" w:color="auto" w:sz="2" w:space="0"/>
            </w:tcBorders>
            <w:vAlign w:val="center"/>
          </w:tcPr>
          <w:p w14:paraId="2243E561">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3367D072">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7C6DF8AF">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1502AE68">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4BA4C658">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688D7AFC">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1E6BB311">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09EDCA67">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17F4C515">
            <w:pPr>
              <w:spacing w:line="240" w:lineRule="exact"/>
              <w:jc w:val="right"/>
              <w:rPr>
                <w:rFonts w:ascii="宋体" w:hAnsi="宋体" w:eastAsia="宋体" w:cs="宋体"/>
                <w:sz w:val="18"/>
                <w:szCs w:val="18"/>
              </w:rPr>
            </w:pPr>
          </w:p>
        </w:tc>
      </w:tr>
      <w:tr w14:paraId="1C53E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3A18765B">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4、其他</w:t>
            </w:r>
          </w:p>
        </w:tc>
        <w:tc>
          <w:tcPr>
            <w:tcW w:w="964" w:type="dxa"/>
            <w:tcBorders>
              <w:top w:val="single" w:color="auto" w:sz="2" w:space="0"/>
              <w:left w:val="single" w:color="auto" w:sz="2" w:space="0"/>
              <w:bottom w:val="single" w:color="auto" w:sz="2" w:space="0"/>
              <w:right w:val="single" w:color="auto" w:sz="2" w:space="0"/>
            </w:tcBorders>
            <w:vAlign w:val="center"/>
          </w:tcPr>
          <w:p w14:paraId="308D2FB9">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62733E8D">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7E12DF57">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0E233911">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30A29B02">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1D1B7F56">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5D7BA711">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342A5EBA">
            <w:pPr>
              <w:spacing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14:paraId="2319BBB8">
            <w:pPr>
              <w:spacing w:line="240" w:lineRule="exact"/>
              <w:jc w:val="right"/>
              <w:rPr>
                <w:rFonts w:ascii="宋体" w:hAnsi="宋体" w:eastAsia="宋体" w:cs="宋体"/>
                <w:sz w:val="18"/>
                <w:szCs w:val="18"/>
              </w:rPr>
            </w:pPr>
          </w:p>
        </w:tc>
      </w:tr>
      <w:tr w14:paraId="5480B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49F7E91A">
            <w:pPr>
              <w:spacing w:before="40" w:after="40" w:line="240" w:lineRule="exact"/>
              <w:rPr>
                <w:rFonts w:ascii="宋体" w:hAnsi="宋体" w:eastAsia="宋体" w:cs="宋体"/>
                <w:sz w:val="18"/>
                <w:szCs w:val="18"/>
              </w:rPr>
            </w:pPr>
            <w:r>
              <w:rPr>
                <w:rFonts w:ascii="宋体" w:hAnsi="宋体" w:eastAsia="宋体" w:cs="宋体"/>
                <w:sz w:val="18"/>
                <w:szCs w:val="18"/>
              </w:rPr>
              <w:t>三、股份总数</w:t>
            </w:r>
          </w:p>
        </w:tc>
        <w:tc>
          <w:tcPr>
            <w:tcW w:w="964" w:type="dxa"/>
            <w:tcBorders>
              <w:top w:val="single" w:color="auto" w:sz="2" w:space="0"/>
              <w:left w:val="single" w:color="auto" w:sz="2" w:space="0"/>
              <w:bottom w:val="single" w:color="auto" w:sz="2" w:space="0"/>
              <w:right w:val="single" w:color="auto" w:sz="2" w:space="0"/>
            </w:tcBorders>
            <w:vAlign w:val="center"/>
          </w:tcPr>
          <w:p w14:paraId="581BC464">
            <w:pPr>
              <w:spacing w:line="240" w:lineRule="exact"/>
              <w:jc w:val="right"/>
              <w:rPr>
                <w:rFonts w:ascii="宋体" w:hAnsi="宋体" w:eastAsia="宋体" w:cs="宋体"/>
                <w:sz w:val="18"/>
                <w:szCs w:val="18"/>
              </w:rPr>
            </w:pPr>
            <w:r>
              <w:rPr>
                <w:rFonts w:ascii="宋体" w:hAnsi="宋体" w:eastAsia="宋体" w:cs="宋体"/>
                <w:sz w:val="18"/>
                <w:szCs w:val="18"/>
              </w:rPr>
              <w:t>1,700,681,355</w:t>
            </w:r>
          </w:p>
        </w:tc>
        <w:tc>
          <w:tcPr>
            <w:tcW w:w="964" w:type="dxa"/>
            <w:tcBorders>
              <w:top w:val="single" w:color="auto" w:sz="2" w:space="0"/>
              <w:left w:val="single" w:color="auto" w:sz="2" w:space="0"/>
              <w:bottom w:val="single" w:color="auto" w:sz="2" w:space="0"/>
              <w:right w:val="single" w:color="auto" w:sz="2" w:space="0"/>
            </w:tcBorders>
            <w:vAlign w:val="center"/>
          </w:tcPr>
          <w:p w14:paraId="5DDD0EB2">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14:paraId="15AEC5D3">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6A8AE710">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6F60FE2">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0E9D97DF">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4F778E36">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14:paraId="713C5CFE">
            <w:pPr>
              <w:spacing w:line="240" w:lineRule="exact"/>
              <w:jc w:val="right"/>
              <w:rPr>
                <w:rFonts w:ascii="宋体" w:hAnsi="宋体" w:eastAsia="宋体" w:cs="宋体"/>
                <w:sz w:val="18"/>
                <w:szCs w:val="18"/>
              </w:rPr>
            </w:pPr>
            <w:r>
              <w:rPr>
                <w:rFonts w:ascii="宋体" w:hAnsi="宋体" w:eastAsia="宋体" w:cs="宋体"/>
                <w:sz w:val="18"/>
                <w:szCs w:val="18"/>
              </w:rPr>
              <w:t>1,700,681,355</w:t>
            </w:r>
          </w:p>
        </w:tc>
        <w:tc>
          <w:tcPr>
            <w:tcW w:w="964" w:type="dxa"/>
            <w:tcBorders>
              <w:top w:val="single" w:color="auto" w:sz="2" w:space="0"/>
              <w:left w:val="single" w:color="auto" w:sz="2" w:space="0"/>
              <w:bottom w:val="single" w:color="auto" w:sz="2" w:space="0"/>
              <w:right w:val="single" w:color="auto" w:sz="2" w:space="0"/>
            </w:tcBorders>
            <w:vAlign w:val="center"/>
          </w:tcPr>
          <w:p w14:paraId="7CC8123B">
            <w:pPr>
              <w:spacing w:line="240" w:lineRule="exact"/>
              <w:jc w:val="right"/>
              <w:rPr>
                <w:rFonts w:ascii="宋体" w:hAnsi="宋体" w:eastAsia="宋体" w:cs="宋体"/>
                <w:sz w:val="18"/>
                <w:szCs w:val="18"/>
              </w:rPr>
            </w:pPr>
            <w:r>
              <w:rPr>
                <w:rFonts w:ascii="宋体" w:hAnsi="宋体" w:eastAsia="宋体" w:cs="宋体"/>
                <w:sz w:val="18"/>
                <w:szCs w:val="18"/>
              </w:rPr>
              <w:t>100.00%</w:t>
            </w:r>
          </w:p>
        </w:tc>
      </w:tr>
    </w:tbl>
    <w:p w14:paraId="285D5069">
      <w:pPr>
        <w:spacing w:before="100" w:after="100" w:line="240" w:lineRule="exact"/>
        <w:rPr>
          <w:rFonts w:ascii="宋体" w:hAnsi="宋体" w:eastAsia="宋体" w:cs="宋体"/>
          <w:sz w:val="18"/>
          <w:szCs w:val="18"/>
        </w:rPr>
      </w:pPr>
      <w:r>
        <w:rPr>
          <w:rFonts w:ascii="宋体" w:hAnsi="宋体" w:eastAsia="宋体" w:cs="宋体"/>
          <w:sz w:val="18"/>
          <w:szCs w:val="18"/>
        </w:rPr>
        <w:t>股份变动的原因</w:t>
      </w:r>
    </w:p>
    <w:p w14:paraId="0DCB6916">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10218F2">
      <w:pPr>
        <w:spacing w:before="100" w:after="100" w:line="240" w:lineRule="exact"/>
        <w:rPr>
          <w:rFonts w:ascii="宋体" w:hAnsi="宋体" w:eastAsia="宋体" w:cs="宋体"/>
          <w:sz w:val="18"/>
          <w:szCs w:val="18"/>
        </w:rPr>
      </w:pPr>
      <w:r>
        <w:rPr>
          <w:rFonts w:ascii="宋体" w:hAnsi="宋体" w:eastAsia="宋体" w:cs="宋体"/>
          <w:sz w:val="18"/>
          <w:szCs w:val="18"/>
        </w:rPr>
        <w:t>股份变动的批准情况</w:t>
      </w:r>
    </w:p>
    <w:p w14:paraId="72147EA0">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E99086B">
      <w:pPr>
        <w:spacing w:before="100" w:after="100" w:line="240" w:lineRule="exact"/>
        <w:rPr>
          <w:rFonts w:ascii="宋体" w:hAnsi="宋体" w:eastAsia="宋体" w:cs="宋体"/>
          <w:sz w:val="18"/>
          <w:szCs w:val="18"/>
        </w:rPr>
      </w:pPr>
      <w:r>
        <w:rPr>
          <w:rFonts w:ascii="宋体" w:hAnsi="宋体" w:eastAsia="宋体" w:cs="宋体"/>
          <w:sz w:val="18"/>
          <w:szCs w:val="18"/>
        </w:rPr>
        <w:t>股份变动的过户情况</w:t>
      </w:r>
    </w:p>
    <w:p w14:paraId="0AEB0A04">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C750B7F">
      <w:pPr>
        <w:spacing w:before="100" w:after="100" w:line="240" w:lineRule="exact"/>
        <w:rPr>
          <w:rFonts w:ascii="宋体" w:hAnsi="宋体" w:eastAsia="宋体" w:cs="宋体"/>
          <w:sz w:val="18"/>
          <w:szCs w:val="18"/>
        </w:rPr>
      </w:pPr>
      <w:r>
        <w:rPr>
          <w:rFonts w:ascii="宋体" w:hAnsi="宋体" w:eastAsia="宋体" w:cs="宋体"/>
          <w:sz w:val="18"/>
          <w:szCs w:val="18"/>
        </w:rPr>
        <w:t>股份变动对最近一年和最近一期基本每股收益和稀释每股收益、归属于公司普通股股东的每股净资产等财务指标的影响</w:t>
      </w:r>
    </w:p>
    <w:p w14:paraId="33F3678D">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DC49C4D">
      <w:pPr>
        <w:spacing w:before="100" w:after="100" w:line="240" w:lineRule="exact"/>
        <w:rPr>
          <w:rFonts w:ascii="宋体" w:hAnsi="宋体" w:eastAsia="宋体" w:cs="宋体"/>
          <w:sz w:val="18"/>
          <w:szCs w:val="18"/>
        </w:rPr>
      </w:pPr>
      <w:r>
        <w:rPr>
          <w:rFonts w:ascii="宋体" w:hAnsi="宋体" w:eastAsia="宋体" w:cs="宋体"/>
          <w:sz w:val="18"/>
          <w:szCs w:val="18"/>
        </w:rPr>
        <w:t>公司认为必要或证券监管机构要求披露的其他内容</w:t>
      </w:r>
    </w:p>
    <w:p w14:paraId="1CE86983">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299FB48">
      <w:pPr>
        <w:pStyle w:val="3"/>
        <w:spacing w:line="280" w:lineRule="exact"/>
        <w:jc w:val="left"/>
        <w:rPr>
          <w:rFonts w:ascii="宋体" w:hAnsi="宋体" w:cs="宋体"/>
          <w:b/>
          <w:bCs/>
        </w:rPr>
      </w:pPr>
      <w:bookmarkStart w:id="140" w:name="_Toc989029"/>
      <w:r>
        <w:rPr>
          <w:rFonts w:ascii="宋体" w:hAnsi="宋体" w:cs="宋体"/>
          <w:b/>
          <w:bCs/>
        </w:rPr>
        <w:t>2、限售股份变动情况</w:t>
      </w:r>
      <w:bookmarkEnd w:id="140"/>
    </w:p>
    <w:p w14:paraId="733F1439">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9AAF8AC">
      <w:pPr>
        <w:pStyle w:val="2"/>
        <w:spacing w:before="300" w:after="300" w:line="320" w:lineRule="exact"/>
        <w:rPr>
          <w:rFonts w:ascii="宋体" w:hAnsi="宋体" w:eastAsia="宋体" w:cs="宋体"/>
          <w:b/>
          <w:bCs/>
          <w:sz w:val="24"/>
          <w:szCs w:val="24"/>
        </w:rPr>
      </w:pPr>
      <w:bookmarkStart w:id="141" w:name="_Toc989030"/>
      <w:r>
        <w:rPr>
          <w:rFonts w:ascii="宋体" w:hAnsi="宋体" w:eastAsia="宋体" w:cs="宋体"/>
          <w:b/>
          <w:bCs/>
          <w:sz w:val="24"/>
          <w:szCs w:val="24"/>
        </w:rPr>
        <w:t>二、证券发行与上市情况</w:t>
      </w:r>
      <w:bookmarkEnd w:id="141"/>
    </w:p>
    <w:p w14:paraId="040D7903">
      <w:pPr>
        <w:pStyle w:val="3"/>
        <w:spacing w:line="280" w:lineRule="exact"/>
        <w:jc w:val="left"/>
        <w:rPr>
          <w:rFonts w:ascii="宋体" w:hAnsi="宋体" w:cs="宋体"/>
          <w:b/>
          <w:bCs/>
        </w:rPr>
      </w:pPr>
      <w:bookmarkStart w:id="142" w:name="_Toc989031"/>
      <w:r>
        <w:rPr>
          <w:rFonts w:ascii="宋体" w:hAnsi="宋体" w:cs="宋体"/>
          <w:b/>
          <w:bCs/>
        </w:rPr>
        <w:t>1、报告期内证券发行（不含优先股）情况</w:t>
      </w:r>
      <w:bookmarkEnd w:id="142"/>
    </w:p>
    <w:p w14:paraId="52850E19">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A4EA634">
      <w:pPr>
        <w:pStyle w:val="3"/>
        <w:spacing w:line="280" w:lineRule="exact"/>
        <w:jc w:val="left"/>
        <w:rPr>
          <w:rFonts w:ascii="宋体" w:hAnsi="宋体" w:cs="宋体"/>
          <w:b/>
          <w:bCs/>
        </w:rPr>
      </w:pPr>
      <w:bookmarkStart w:id="143" w:name="_Toc989032"/>
      <w:r>
        <w:rPr>
          <w:rFonts w:ascii="宋体" w:hAnsi="宋体" w:cs="宋体"/>
          <w:b/>
          <w:bCs/>
        </w:rPr>
        <w:t>2、公司股份总数及股东结构的变动、公司资产和负债结构的变动情况说明</w:t>
      </w:r>
      <w:bookmarkEnd w:id="143"/>
    </w:p>
    <w:p w14:paraId="5BA4F67A">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0BFF9EB">
      <w:pPr>
        <w:pStyle w:val="3"/>
        <w:spacing w:line="280" w:lineRule="exact"/>
        <w:jc w:val="left"/>
        <w:rPr>
          <w:rFonts w:ascii="宋体" w:hAnsi="宋体" w:cs="宋体"/>
          <w:b/>
          <w:bCs/>
        </w:rPr>
      </w:pPr>
      <w:bookmarkStart w:id="144" w:name="_Toc989033"/>
      <w:r>
        <w:rPr>
          <w:rFonts w:ascii="宋体" w:hAnsi="宋体" w:cs="宋体"/>
          <w:b/>
          <w:bCs/>
        </w:rPr>
        <w:t>3、现存的内部职工股情况</w:t>
      </w:r>
      <w:bookmarkEnd w:id="144"/>
    </w:p>
    <w:p w14:paraId="0CC00630">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025C888">
      <w:pPr>
        <w:pStyle w:val="2"/>
        <w:spacing w:before="300" w:after="300" w:line="320" w:lineRule="exact"/>
        <w:rPr>
          <w:rFonts w:ascii="宋体" w:hAnsi="宋体" w:eastAsia="宋体" w:cs="宋体"/>
          <w:b/>
          <w:bCs/>
          <w:sz w:val="24"/>
          <w:szCs w:val="24"/>
        </w:rPr>
      </w:pPr>
      <w:bookmarkStart w:id="145" w:name="_Toc989034"/>
      <w:r>
        <w:rPr>
          <w:rFonts w:ascii="宋体" w:hAnsi="宋体" w:eastAsia="宋体" w:cs="宋体"/>
          <w:b/>
          <w:bCs/>
          <w:sz w:val="24"/>
          <w:szCs w:val="24"/>
        </w:rPr>
        <w:t>三、股东和实际控制人情况</w:t>
      </w:r>
      <w:bookmarkEnd w:id="145"/>
    </w:p>
    <w:p w14:paraId="2632E20F">
      <w:pPr>
        <w:pStyle w:val="3"/>
        <w:spacing w:line="280" w:lineRule="exact"/>
        <w:jc w:val="left"/>
        <w:rPr>
          <w:rFonts w:ascii="宋体" w:hAnsi="宋体" w:cs="宋体"/>
          <w:b/>
          <w:bCs/>
        </w:rPr>
      </w:pPr>
      <w:bookmarkStart w:id="146" w:name="_Toc989035"/>
      <w:r>
        <w:rPr>
          <w:rFonts w:ascii="宋体" w:hAnsi="宋体" w:cs="宋体"/>
          <w:b/>
          <w:bCs/>
        </w:rPr>
        <w:t>1、公司股东数量及持股情况</w:t>
      </w:r>
      <w:bookmarkEnd w:id="146"/>
    </w:p>
    <w:p w14:paraId="76CA2B4D">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914"/>
        <w:gridCol w:w="157"/>
        <w:gridCol w:w="552"/>
        <w:gridCol w:w="519"/>
        <w:gridCol w:w="756"/>
        <w:gridCol w:w="315"/>
        <w:gridCol w:w="111"/>
        <w:gridCol w:w="960"/>
        <w:gridCol w:w="741"/>
        <w:gridCol w:w="330"/>
        <w:gridCol w:w="1371"/>
        <w:gridCol w:w="283"/>
        <w:gridCol w:w="488"/>
        <w:gridCol w:w="363"/>
        <w:gridCol w:w="708"/>
      </w:tblGrid>
      <w:tr w14:paraId="2CC8C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51C0E60">
            <w:pPr>
              <w:spacing w:before="40" w:after="40" w:line="240" w:lineRule="exact"/>
              <w:rPr>
                <w:rFonts w:ascii="宋体" w:hAnsi="宋体" w:eastAsia="宋体" w:cs="宋体"/>
                <w:sz w:val="18"/>
                <w:szCs w:val="18"/>
              </w:rPr>
            </w:pPr>
            <w:r>
              <w:rPr>
                <w:rFonts w:ascii="宋体" w:hAnsi="宋体" w:eastAsia="宋体" w:cs="宋体"/>
                <w:sz w:val="18"/>
                <w:szCs w:val="18"/>
              </w:rPr>
              <w:t>报告期末普通股股东总数</w:t>
            </w:r>
          </w:p>
        </w:tc>
        <w:tc>
          <w:tcPr>
            <w:tcW w:w="1071" w:type="dxa"/>
            <w:gridSpan w:val="2"/>
            <w:tcBorders>
              <w:top w:val="single" w:color="auto" w:sz="2" w:space="0"/>
              <w:left w:val="single" w:color="auto" w:sz="2" w:space="0"/>
              <w:bottom w:val="single" w:color="auto" w:sz="2" w:space="0"/>
              <w:right w:val="single" w:color="auto" w:sz="2" w:space="0"/>
            </w:tcBorders>
            <w:vAlign w:val="center"/>
          </w:tcPr>
          <w:p w14:paraId="619C6FCB">
            <w:pPr>
              <w:spacing w:line="240" w:lineRule="exact"/>
              <w:jc w:val="right"/>
              <w:rPr>
                <w:rFonts w:ascii="宋体" w:hAnsi="宋体" w:eastAsia="宋体" w:cs="宋体"/>
                <w:sz w:val="18"/>
                <w:szCs w:val="18"/>
              </w:rPr>
            </w:pPr>
            <w:r>
              <w:rPr>
                <w:rFonts w:ascii="宋体" w:hAnsi="宋体" w:eastAsia="宋体" w:cs="宋体"/>
                <w:sz w:val="18"/>
                <w:szCs w:val="18"/>
              </w:rPr>
              <w:t>41,196</w:t>
            </w:r>
          </w:p>
        </w:tc>
        <w:tc>
          <w:tcPr>
            <w:tcW w:w="107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795F0EA">
            <w:pPr>
              <w:spacing w:before="40" w:after="40" w:line="240" w:lineRule="exact"/>
              <w:rPr>
                <w:rFonts w:ascii="宋体" w:hAnsi="宋体" w:eastAsia="宋体" w:cs="宋体"/>
                <w:sz w:val="18"/>
                <w:szCs w:val="18"/>
              </w:rPr>
            </w:pPr>
            <w:r>
              <w:rPr>
                <w:rFonts w:ascii="宋体" w:hAnsi="宋体" w:eastAsia="宋体" w:cs="宋体"/>
                <w:sz w:val="18"/>
                <w:szCs w:val="18"/>
              </w:rPr>
              <w:t>年度报告披露日前上一月末普通股股东总数</w:t>
            </w:r>
          </w:p>
        </w:tc>
        <w:tc>
          <w:tcPr>
            <w:tcW w:w="1071" w:type="dxa"/>
            <w:gridSpan w:val="2"/>
            <w:tcBorders>
              <w:top w:val="single" w:color="auto" w:sz="2" w:space="0"/>
              <w:left w:val="single" w:color="auto" w:sz="2" w:space="0"/>
              <w:bottom w:val="single" w:color="auto" w:sz="2" w:space="0"/>
              <w:right w:val="single" w:color="auto" w:sz="2" w:space="0"/>
            </w:tcBorders>
            <w:vAlign w:val="center"/>
          </w:tcPr>
          <w:p w14:paraId="1FD312EF">
            <w:pPr>
              <w:spacing w:line="240" w:lineRule="exact"/>
              <w:jc w:val="right"/>
              <w:rPr>
                <w:rFonts w:ascii="宋体" w:hAnsi="宋体" w:eastAsia="宋体" w:cs="宋体"/>
                <w:sz w:val="18"/>
                <w:szCs w:val="18"/>
              </w:rPr>
            </w:pPr>
            <w:r>
              <w:rPr>
                <w:rFonts w:ascii="宋体" w:hAnsi="宋体" w:eastAsia="宋体" w:cs="宋体"/>
                <w:sz w:val="18"/>
                <w:szCs w:val="18"/>
              </w:rPr>
              <w:t>44,355</w:t>
            </w:r>
          </w:p>
        </w:tc>
        <w:tc>
          <w:tcPr>
            <w:tcW w:w="107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547EE8B">
            <w:pPr>
              <w:spacing w:before="40" w:after="40" w:line="240" w:lineRule="exact"/>
              <w:rPr>
                <w:rFonts w:ascii="宋体" w:hAnsi="宋体" w:eastAsia="宋体" w:cs="宋体"/>
                <w:sz w:val="18"/>
                <w:szCs w:val="18"/>
              </w:rPr>
            </w:pPr>
            <w:r>
              <w:rPr>
                <w:rFonts w:ascii="宋体" w:hAnsi="宋体" w:eastAsia="宋体" w:cs="宋体"/>
                <w:sz w:val="18"/>
                <w:szCs w:val="18"/>
              </w:rPr>
              <w:t>报告期末表决权恢复的优先股股东总数（如有）（参见注8）</w:t>
            </w:r>
          </w:p>
        </w:tc>
        <w:tc>
          <w:tcPr>
            <w:tcW w:w="1071" w:type="dxa"/>
            <w:gridSpan w:val="2"/>
            <w:tcBorders>
              <w:top w:val="single" w:color="auto" w:sz="2" w:space="0"/>
              <w:left w:val="single" w:color="auto" w:sz="2" w:space="0"/>
              <w:bottom w:val="single" w:color="auto" w:sz="2" w:space="0"/>
              <w:right w:val="single" w:color="auto" w:sz="2" w:space="0"/>
            </w:tcBorders>
            <w:vAlign w:val="center"/>
          </w:tcPr>
          <w:p w14:paraId="5740EBB3">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2142"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3B2E7C6E">
            <w:pPr>
              <w:spacing w:before="40" w:after="40" w:line="240" w:lineRule="exact"/>
              <w:rPr>
                <w:rFonts w:ascii="宋体" w:hAnsi="宋体" w:eastAsia="宋体" w:cs="宋体"/>
                <w:sz w:val="18"/>
                <w:szCs w:val="18"/>
              </w:rPr>
            </w:pPr>
            <w:r>
              <w:rPr>
                <w:rFonts w:ascii="宋体" w:hAnsi="宋体" w:eastAsia="宋体" w:cs="宋体"/>
                <w:sz w:val="18"/>
                <w:szCs w:val="18"/>
              </w:rPr>
              <w:t>年度报告披露日前上一月末表决权恢复的优先股股东总数（如有）（参见注8）</w:t>
            </w:r>
          </w:p>
        </w:tc>
        <w:tc>
          <w:tcPr>
            <w:tcW w:w="1071" w:type="dxa"/>
            <w:gridSpan w:val="2"/>
            <w:tcBorders>
              <w:top w:val="single" w:color="auto" w:sz="2" w:space="0"/>
              <w:left w:val="single" w:color="auto" w:sz="2" w:space="0"/>
              <w:bottom w:val="single" w:color="auto" w:sz="2" w:space="0"/>
              <w:right w:val="single" w:color="auto" w:sz="2" w:space="0"/>
            </w:tcBorders>
            <w:vAlign w:val="center"/>
          </w:tcPr>
          <w:p w14:paraId="20FCB364">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5B4F6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6"/>
            <w:tcBorders>
              <w:top w:val="single" w:color="auto" w:sz="2" w:space="0"/>
              <w:left w:val="single" w:color="auto" w:sz="2" w:space="0"/>
              <w:bottom w:val="single" w:color="auto" w:sz="2" w:space="0"/>
              <w:right w:val="single" w:color="auto" w:sz="2" w:space="0"/>
            </w:tcBorders>
            <w:shd w:val="clear" w:color="auto" w:fill="D3D3D3"/>
            <w:vAlign w:val="center"/>
          </w:tcPr>
          <w:p w14:paraId="35670C93">
            <w:pPr>
              <w:spacing w:before="40" w:after="40" w:line="240" w:lineRule="exact"/>
              <w:jc w:val="center"/>
              <w:rPr>
                <w:rFonts w:ascii="宋体" w:hAnsi="宋体" w:eastAsia="宋体" w:cs="宋体"/>
                <w:sz w:val="18"/>
                <w:szCs w:val="18"/>
              </w:rPr>
            </w:pPr>
            <w:r>
              <w:rPr>
                <w:rFonts w:ascii="宋体" w:hAnsi="宋体" w:eastAsia="宋体" w:cs="宋体"/>
                <w:sz w:val="18"/>
                <w:szCs w:val="18"/>
              </w:rPr>
              <w:t>持股5%以上的股东或前10名股东持股情况（不含通过转融通出借股份）</w:t>
            </w:r>
          </w:p>
        </w:tc>
      </w:tr>
      <w:tr w14:paraId="229A8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9A2165A">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91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9D1CD23">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709"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21CA4C2">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275"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26398AA">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报告期末持股数量</w:t>
            </w:r>
          </w:p>
        </w:tc>
        <w:tc>
          <w:tcPr>
            <w:tcW w:w="1386"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8F3DB16">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报告期内增减变动情况</w:t>
            </w:r>
          </w:p>
        </w:tc>
        <w:tc>
          <w:tcPr>
            <w:tcW w:w="1071"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2B89CEA">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1654"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852F70F">
            <w:pPr>
              <w:spacing w:before="40" w:after="40" w:line="240" w:lineRule="exact"/>
              <w:jc w:val="center"/>
              <w:rPr>
                <w:rFonts w:ascii="宋体" w:hAnsi="宋体" w:eastAsia="宋体" w:cs="宋体"/>
                <w:sz w:val="18"/>
                <w:szCs w:val="18"/>
              </w:rPr>
            </w:pPr>
            <w:r>
              <w:rPr>
                <w:rFonts w:ascii="宋体" w:hAnsi="宋体" w:eastAsia="宋体" w:cs="宋体"/>
                <w:sz w:val="18"/>
                <w:szCs w:val="18"/>
              </w:rPr>
              <w:t>持有无限售条件的股份数量</w:t>
            </w:r>
          </w:p>
        </w:tc>
        <w:tc>
          <w:tcPr>
            <w:tcW w:w="155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68FDCE49">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14:paraId="27C42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AB0135E"/>
        </w:tc>
        <w:tc>
          <w:tcPr>
            <w:tcW w:w="91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9408D93"/>
        </w:tc>
        <w:tc>
          <w:tcPr>
            <w:tcW w:w="709"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D5F56EA"/>
        </w:tc>
        <w:tc>
          <w:tcPr>
            <w:tcW w:w="1275"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33D1BEB"/>
        </w:tc>
        <w:tc>
          <w:tcPr>
            <w:tcW w:w="1386"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654E340"/>
        </w:tc>
        <w:tc>
          <w:tcPr>
            <w:tcW w:w="1071"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828AF4C"/>
        </w:tc>
        <w:tc>
          <w:tcPr>
            <w:tcW w:w="1654"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903FDE9"/>
        </w:tc>
        <w:tc>
          <w:tcPr>
            <w:tcW w:w="85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AF370C1">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14:paraId="7171FDB6">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14:paraId="34088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FD6A08D">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914" w:type="dxa"/>
            <w:tcBorders>
              <w:top w:val="single" w:color="auto" w:sz="2" w:space="0"/>
              <w:left w:val="single" w:color="auto" w:sz="2" w:space="0"/>
              <w:bottom w:val="single" w:color="auto" w:sz="2" w:space="0"/>
              <w:right w:val="single" w:color="auto" w:sz="2" w:space="0"/>
            </w:tcBorders>
            <w:vAlign w:val="center"/>
          </w:tcPr>
          <w:p w14:paraId="1F81AD29">
            <w:pPr>
              <w:spacing w:line="240" w:lineRule="exact"/>
              <w:rPr>
                <w:rFonts w:ascii="宋体" w:hAnsi="宋体" w:eastAsia="宋体" w:cs="宋体"/>
                <w:sz w:val="18"/>
                <w:szCs w:val="18"/>
              </w:rPr>
            </w:pPr>
            <w:r>
              <w:rPr>
                <w:rFonts w:ascii="宋体" w:hAnsi="宋体" w:eastAsia="宋体" w:cs="宋体"/>
                <w:sz w:val="18"/>
                <w:szCs w:val="18"/>
              </w:rPr>
              <w:t>境内非国有法人</w:t>
            </w:r>
          </w:p>
        </w:tc>
        <w:tc>
          <w:tcPr>
            <w:tcW w:w="709" w:type="dxa"/>
            <w:gridSpan w:val="2"/>
            <w:tcBorders>
              <w:top w:val="single" w:color="auto" w:sz="2" w:space="0"/>
              <w:left w:val="single" w:color="auto" w:sz="2" w:space="0"/>
              <w:bottom w:val="single" w:color="auto" w:sz="2" w:space="0"/>
              <w:right w:val="single" w:color="auto" w:sz="2" w:space="0"/>
            </w:tcBorders>
            <w:vAlign w:val="center"/>
          </w:tcPr>
          <w:p w14:paraId="111338D8">
            <w:pPr>
              <w:spacing w:line="240" w:lineRule="exact"/>
              <w:jc w:val="right"/>
              <w:rPr>
                <w:rFonts w:ascii="宋体" w:hAnsi="宋体" w:eastAsia="宋体" w:cs="宋体"/>
                <w:sz w:val="18"/>
                <w:szCs w:val="18"/>
              </w:rPr>
            </w:pPr>
            <w:r>
              <w:rPr>
                <w:rFonts w:ascii="宋体" w:hAnsi="宋体" w:eastAsia="宋体" w:cs="宋体"/>
                <w:sz w:val="18"/>
                <w:szCs w:val="18"/>
              </w:rPr>
              <w:t>23.60%</w:t>
            </w:r>
          </w:p>
        </w:tc>
        <w:tc>
          <w:tcPr>
            <w:tcW w:w="1275" w:type="dxa"/>
            <w:gridSpan w:val="2"/>
            <w:tcBorders>
              <w:top w:val="single" w:color="auto" w:sz="2" w:space="0"/>
              <w:left w:val="single" w:color="auto" w:sz="2" w:space="0"/>
              <w:bottom w:val="single" w:color="auto" w:sz="2" w:space="0"/>
              <w:right w:val="single" w:color="auto" w:sz="2" w:space="0"/>
            </w:tcBorders>
            <w:vAlign w:val="center"/>
          </w:tcPr>
          <w:p w14:paraId="440E5C67">
            <w:pPr>
              <w:spacing w:line="240" w:lineRule="exact"/>
              <w:jc w:val="right"/>
              <w:rPr>
                <w:rFonts w:ascii="宋体" w:hAnsi="宋体" w:eastAsia="宋体" w:cs="宋体"/>
                <w:sz w:val="18"/>
                <w:szCs w:val="18"/>
              </w:rPr>
            </w:pPr>
            <w:r>
              <w:rPr>
                <w:rFonts w:ascii="宋体" w:hAnsi="宋体" w:eastAsia="宋体" w:cs="宋体"/>
                <w:sz w:val="18"/>
                <w:szCs w:val="18"/>
              </w:rPr>
              <w:t>401,315,662</w:t>
            </w:r>
          </w:p>
        </w:tc>
        <w:tc>
          <w:tcPr>
            <w:tcW w:w="1386" w:type="dxa"/>
            <w:gridSpan w:val="3"/>
            <w:tcBorders>
              <w:top w:val="single" w:color="auto" w:sz="2" w:space="0"/>
              <w:left w:val="single" w:color="auto" w:sz="2" w:space="0"/>
              <w:bottom w:val="single" w:color="auto" w:sz="2" w:space="0"/>
              <w:right w:val="single" w:color="auto" w:sz="2" w:space="0"/>
            </w:tcBorders>
            <w:vAlign w:val="center"/>
          </w:tcPr>
          <w:p w14:paraId="4A11C956">
            <w:pPr>
              <w:spacing w:line="240" w:lineRule="exact"/>
              <w:jc w:val="right"/>
              <w:rPr>
                <w:rFonts w:ascii="宋体" w:hAnsi="宋体" w:eastAsia="宋体" w:cs="宋体"/>
                <w:sz w:val="18"/>
                <w:szCs w:val="18"/>
              </w:rPr>
            </w:pPr>
            <w:r>
              <w:rPr>
                <w:rFonts w:ascii="宋体" w:hAnsi="宋体" w:eastAsia="宋体" w:cs="宋体"/>
                <w:sz w:val="18"/>
                <w:szCs w:val="18"/>
              </w:rPr>
              <w:t>-100,340,200</w:t>
            </w:r>
          </w:p>
        </w:tc>
        <w:tc>
          <w:tcPr>
            <w:tcW w:w="1071" w:type="dxa"/>
            <w:gridSpan w:val="2"/>
            <w:tcBorders>
              <w:top w:val="single" w:color="auto" w:sz="2" w:space="0"/>
              <w:left w:val="single" w:color="auto" w:sz="2" w:space="0"/>
              <w:bottom w:val="single" w:color="auto" w:sz="2" w:space="0"/>
              <w:right w:val="single" w:color="auto" w:sz="2" w:space="0"/>
            </w:tcBorders>
            <w:vAlign w:val="center"/>
          </w:tcPr>
          <w:p w14:paraId="59B3966F">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654" w:type="dxa"/>
            <w:gridSpan w:val="2"/>
            <w:tcBorders>
              <w:top w:val="single" w:color="auto" w:sz="2" w:space="0"/>
              <w:left w:val="single" w:color="auto" w:sz="2" w:space="0"/>
              <w:bottom w:val="single" w:color="auto" w:sz="2" w:space="0"/>
              <w:right w:val="single" w:color="auto" w:sz="2" w:space="0"/>
            </w:tcBorders>
            <w:vAlign w:val="center"/>
          </w:tcPr>
          <w:p w14:paraId="18E6D8EB">
            <w:pPr>
              <w:spacing w:line="240" w:lineRule="exact"/>
              <w:jc w:val="right"/>
              <w:rPr>
                <w:rFonts w:ascii="宋体" w:hAnsi="宋体" w:eastAsia="宋体" w:cs="宋体"/>
                <w:sz w:val="18"/>
                <w:szCs w:val="18"/>
              </w:rPr>
            </w:pPr>
            <w:r>
              <w:rPr>
                <w:rFonts w:ascii="宋体" w:hAnsi="宋体" w:eastAsia="宋体" w:cs="宋体"/>
                <w:sz w:val="18"/>
                <w:szCs w:val="18"/>
              </w:rPr>
              <w:t>401,315,662</w:t>
            </w:r>
          </w:p>
        </w:tc>
        <w:tc>
          <w:tcPr>
            <w:tcW w:w="851" w:type="dxa"/>
            <w:gridSpan w:val="2"/>
            <w:tcBorders>
              <w:top w:val="single" w:color="auto" w:sz="2" w:space="0"/>
              <w:left w:val="single" w:color="auto" w:sz="2" w:space="0"/>
              <w:bottom w:val="single" w:color="auto" w:sz="2" w:space="0"/>
              <w:right w:val="single" w:color="auto" w:sz="2" w:space="0"/>
            </w:tcBorders>
            <w:vAlign w:val="center"/>
          </w:tcPr>
          <w:p w14:paraId="0EB75049">
            <w:pPr>
              <w:spacing w:line="240" w:lineRule="exact"/>
              <w:rPr>
                <w:rFonts w:ascii="宋体" w:hAnsi="宋体" w:eastAsia="宋体" w:cs="宋体"/>
                <w:sz w:val="18"/>
                <w:szCs w:val="18"/>
              </w:rPr>
            </w:pPr>
            <w:r>
              <w:rPr>
                <w:rFonts w:ascii="宋体" w:hAnsi="宋体" w:eastAsia="宋体" w:cs="宋体"/>
                <w:sz w:val="18"/>
                <w:szCs w:val="18"/>
              </w:rPr>
              <w:t>不适用</w:t>
            </w:r>
          </w:p>
        </w:tc>
        <w:tc>
          <w:tcPr>
            <w:tcW w:w="708" w:type="dxa"/>
            <w:tcBorders>
              <w:top w:val="single" w:color="auto" w:sz="2" w:space="0"/>
              <w:left w:val="single" w:color="auto" w:sz="2" w:space="0"/>
              <w:bottom w:val="single" w:color="auto" w:sz="2" w:space="0"/>
              <w:right w:val="single" w:color="auto" w:sz="2" w:space="0"/>
            </w:tcBorders>
            <w:vAlign w:val="center"/>
          </w:tcPr>
          <w:p w14:paraId="6BFD5FC8">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54B3D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65FBBD4">
            <w:pPr>
              <w:spacing w:line="240" w:lineRule="exact"/>
              <w:rPr>
                <w:rFonts w:ascii="宋体" w:hAnsi="宋体" w:eastAsia="宋体" w:cs="宋体"/>
                <w:sz w:val="18"/>
                <w:szCs w:val="18"/>
              </w:rPr>
            </w:pPr>
            <w:r>
              <w:rPr>
                <w:rFonts w:ascii="宋体" w:hAnsi="宋体" w:eastAsia="宋体" w:cs="宋体"/>
                <w:sz w:val="18"/>
                <w:szCs w:val="18"/>
              </w:rPr>
              <w:t>安徽飞亚纺织有限公司</w:t>
            </w:r>
          </w:p>
        </w:tc>
        <w:tc>
          <w:tcPr>
            <w:tcW w:w="914" w:type="dxa"/>
            <w:tcBorders>
              <w:top w:val="single" w:color="auto" w:sz="2" w:space="0"/>
              <w:left w:val="single" w:color="auto" w:sz="2" w:space="0"/>
              <w:bottom w:val="single" w:color="auto" w:sz="2" w:space="0"/>
              <w:right w:val="single" w:color="auto" w:sz="2" w:space="0"/>
            </w:tcBorders>
            <w:vAlign w:val="center"/>
          </w:tcPr>
          <w:p w14:paraId="435AE218">
            <w:pPr>
              <w:spacing w:line="240" w:lineRule="exact"/>
              <w:rPr>
                <w:rFonts w:ascii="宋体" w:hAnsi="宋体" w:eastAsia="宋体" w:cs="宋体"/>
                <w:sz w:val="18"/>
                <w:szCs w:val="18"/>
              </w:rPr>
            </w:pPr>
            <w:r>
              <w:rPr>
                <w:rFonts w:ascii="宋体" w:hAnsi="宋体" w:eastAsia="宋体" w:cs="宋体"/>
                <w:sz w:val="18"/>
                <w:szCs w:val="18"/>
              </w:rPr>
              <w:t>境内非国有法人</w:t>
            </w:r>
          </w:p>
        </w:tc>
        <w:tc>
          <w:tcPr>
            <w:tcW w:w="709" w:type="dxa"/>
            <w:gridSpan w:val="2"/>
            <w:tcBorders>
              <w:top w:val="single" w:color="auto" w:sz="2" w:space="0"/>
              <w:left w:val="single" w:color="auto" w:sz="2" w:space="0"/>
              <w:bottom w:val="single" w:color="auto" w:sz="2" w:space="0"/>
              <w:right w:val="single" w:color="auto" w:sz="2" w:space="0"/>
            </w:tcBorders>
            <w:vAlign w:val="center"/>
          </w:tcPr>
          <w:p w14:paraId="4ACB0A85">
            <w:pPr>
              <w:spacing w:line="240" w:lineRule="exact"/>
              <w:jc w:val="right"/>
              <w:rPr>
                <w:rFonts w:ascii="宋体" w:hAnsi="宋体" w:eastAsia="宋体" w:cs="宋体"/>
                <w:sz w:val="18"/>
                <w:szCs w:val="18"/>
              </w:rPr>
            </w:pPr>
            <w:r>
              <w:rPr>
                <w:rFonts w:ascii="宋体" w:hAnsi="宋体" w:eastAsia="宋体" w:cs="宋体"/>
                <w:sz w:val="18"/>
                <w:szCs w:val="18"/>
              </w:rPr>
              <w:t>7.59%</w:t>
            </w:r>
          </w:p>
        </w:tc>
        <w:tc>
          <w:tcPr>
            <w:tcW w:w="1275" w:type="dxa"/>
            <w:gridSpan w:val="2"/>
            <w:tcBorders>
              <w:top w:val="single" w:color="auto" w:sz="2" w:space="0"/>
              <w:left w:val="single" w:color="auto" w:sz="2" w:space="0"/>
              <w:bottom w:val="single" w:color="auto" w:sz="2" w:space="0"/>
              <w:right w:val="single" w:color="auto" w:sz="2" w:space="0"/>
            </w:tcBorders>
            <w:vAlign w:val="center"/>
          </w:tcPr>
          <w:p w14:paraId="16192200">
            <w:pPr>
              <w:spacing w:line="240" w:lineRule="exact"/>
              <w:jc w:val="right"/>
              <w:rPr>
                <w:rFonts w:ascii="宋体" w:hAnsi="宋体" w:eastAsia="宋体" w:cs="宋体"/>
                <w:sz w:val="18"/>
                <w:szCs w:val="18"/>
              </w:rPr>
            </w:pPr>
            <w:r>
              <w:rPr>
                <w:rFonts w:ascii="宋体" w:hAnsi="宋体" w:eastAsia="宋体" w:cs="宋体"/>
                <w:sz w:val="18"/>
                <w:szCs w:val="18"/>
              </w:rPr>
              <w:t>129,058,312</w:t>
            </w:r>
          </w:p>
        </w:tc>
        <w:tc>
          <w:tcPr>
            <w:tcW w:w="1386" w:type="dxa"/>
            <w:gridSpan w:val="3"/>
            <w:tcBorders>
              <w:top w:val="single" w:color="auto" w:sz="2" w:space="0"/>
              <w:left w:val="single" w:color="auto" w:sz="2" w:space="0"/>
              <w:bottom w:val="single" w:color="auto" w:sz="2" w:space="0"/>
              <w:right w:val="single" w:color="auto" w:sz="2" w:space="0"/>
            </w:tcBorders>
            <w:vAlign w:val="center"/>
          </w:tcPr>
          <w:p w14:paraId="65FCDC9D">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gridSpan w:val="2"/>
            <w:tcBorders>
              <w:top w:val="single" w:color="auto" w:sz="2" w:space="0"/>
              <w:left w:val="single" w:color="auto" w:sz="2" w:space="0"/>
              <w:bottom w:val="single" w:color="auto" w:sz="2" w:space="0"/>
              <w:right w:val="single" w:color="auto" w:sz="2" w:space="0"/>
            </w:tcBorders>
            <w:vAlign w:val="center"/>
          </w:tcPr>
          <w:p w14:paraId="72B2396C">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654" w:type="dxa"/>
            <w:gridSpan w:val="2"/>
            <w:tcBorders>
              <w:top w:val="single" w:color="auto" w:sz="2" w:space="0"/>
              <w:left w:val="single" w:color="auto" w:sz="2" w:space="0"/>
              <w:bottom w:val="single" w:color="auto" w:sz="2" w:space="0"/>
              <w:right w:val="single" w:color="auto" w:sz="2" w:space="0"/>
            </w:tcBorders>
            <w:vAlign w:val="center"/>
          </w:tcPr>
          <w:p w14:paraId="29F5818D">
            <w:pPr>
              <w:spacing w:line="240" w:lineRule="exact"/>
              <w:jc w:val="right"/>
              <w:rPr>
                <w:rFonts w:ascii="宋体" w:hAnsi="宋体" w:eastAsia="宋体" w:cs="宋体"/>
                <w:sz w:val="18"/>
                <w:szCs w:val="18"/>
              </w:rPr>
            </w:pPr>
            <w:r>
              <w:rPr>
                <w:rFonts w:ascii="宋体" w:hAnsi="宋体" w:eastAsia="宋体" w:cs="宋体"/>
                <w:sz w:val="18"/>
                <w:szCs w:val="18"/>
              </w:rPr>
              <w:t>129,058,312</w:t>
            </w:r>
          </w:p>
        </w:tc>
        <w:tc>
          <w:tcPr>
            <w:tcW w:w="851" w:type="dxa"/>
            <w:gridSpan w:val="2"/>
            <w:tcBorders>
              <w:top w:val="single" w:color="auto" w:sz="2" w:space="0"/>
              <w:left w:val="single" w:color="auto" w:sz="2" w:space="0"/>
              <w:bottom w:val="single" w:color="auto" w:sz="2" w:space="0"/>
              <w:right w:val="single" w:color="auto" w:sz="2" w:space="0"/>
            </w:tcBorders>
            <w:vAlign w:val="center"/>
          </w:tcPr>
          <w:p w14:paraId="014C9110">
            <w:pPr>
              <w:spacing w:line="240" w:lineRule="exact"/>
              <w:rPr>
                <w:rFonts w:ascii="宋体" w:hAnsi="宋体" w:eastAsia="宋体" w:cs="宋体"/>
                <w:sz w:val="18"/>
                <w:szCs w:val="18"/>
              </w:rPr>
            </w:pPr>
            <w:r>
              <w:rPr>
                <w:rFonts w:ascii="宋体" w:hAnsi="宋体" w:eastAsia="宋体" w:cs="宋体"/>
                <w:sz w:val="18"/>
                <w:szCs w:val="18"/>
              </w:rPr>
              <w:t>不适用</w:t>
            </w:r>
          </w:p>
        </w:tc>
        <w:tc>
          <w:tcPr>
            <w:tcW w:w="708" w:type="dxa"/>
            <w:tcBorders>
              <w:top w:val="single" w:color="auto" w:sz="2" w:space="0"/>
              <w:left w:val="single" w:color="auto" w:sz="2" w:space="0"/>
              <w:bottom w:val="single" w:color="auto" w:sz="2" w:space="0"/>
              <w:right w:val="single" w:color="auto" w:sz="2" w:space="0"/>
            </w:tcBorders>
            <w:vAlign w:val="center"/>
          </w:tcPr>
          <w:p w14:paraId="793FDB7A">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28A09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9FBBCD1">
            <w:pPr>
              <w:spacing w:line="240" w:lineRule="exact"/>
              <w:rPr>
                <w:rFonts w:ascii="宋体" w:hAnsi="宋体" w:eastAsia="宋体" w:cs="宋体"/>
                <w:sz w:val="18"/>
                <w:szCs w:val="18"/>
              </w:rPr>
            </w:pPr>
            <w:r>
              <w:rPr>
                <w:rFonts w:ascii="宋体" w:hAnsi="宋体" w:eastAsia="宋体" w:cs="宋体"/>
                <w:sz w:val="18"/>
                <w:szCs w:val="18"/>
              </w:rPr>
              <w:t>杭州兴健私募基金管理有限公司－兴健青龙私募证券投资基金</w:t>
            </w:r>
          </w:p>
        </w:tc>
        <w:tc>
          <w:tcPr>
            <w:tcW w:w="914" w:type="dxa"/>
            <w:tcBorders>
              <w:top w:val="single" w:color="auto" w:sz="2" w:space="0"/>
              <w:left w:val="single" w:color="auto" w:sz="2" w:space="0"/>
              <w:bottom w:val="single" w:color="auto" w:sz="2" w:space="0"/>
              <w:right w:val="single" w:color="auto" w:sz="2" w:space="0"/>
            </w:tcBorders>
            <w:vAlign w:val="center"/>
          </w:tcPr>
          <w:p w14:paraId="4383823F">
            <w:pPr>
              <w:spacing w:line="240" w:lineRule="exact"/>
              <w:rPr>
                <w:rFonts w:ascii="宋体" w:hAnsi="宋体" w:eastAsia="宋体" w:cs="宋体"/>
                <w:sz w:val="18"/>
                <w:szCs w:val="18"/>
              </w:rPr>
            </w:pPr>
            <w:r>
              <w:rPr>
                <w:rFonts w:ascii="宋体" w:hAnsi="宋体" w:eastAsia="宋体" w:cs="宋体"/>
                <w:sz w:val="18"/>
                <w:szCs w:val="18"/>
              </w:rPr>
              <w:t>其他</w:t>
            </w:r>
          </w:p>
        </w:tc>
        <w:tc>
          <w:tcPr>
            <w:tcW w:w="709" w:type="dxa"/>
            <w:gridSpan w:val="2"/>
            <w:tcBorders>
              <w:top w:val="single" w:color="auto" w:sz="2" w:space="0"/>
              <w:left w:val="single" w:color="auto" w:sz="2" w:space="0"/>
              <w:bottom w:val="single" w:color="auto" w:sz="2" w:space="0"/>
              <w:right w:val="single" w:color="auto" w:sz="2" w:space="0"/>
            </w:tcBorders>
            <w:vAlign w:val="center"/>
          </w:tcPr>
          <w:p w14:paraId="43D65BA2">
            <w:pPr>
              <w:spacing w:line="240" w:lineRule="exact"/>
              <w:jc w:val="right"/>
              <w:rPr>
                <w:rFonts w:ascii="宋体" w:hAnsi="宋体" w:eastAsia="宋体" w:cs="宋体"/>
                <w:sz w:val="18"/>
                <w:szCs w:val="18"/>
              </w:rPr>
            </w:pPr>
            <w:r>
              <w:rPr>
                <w:rFonts w:ascii="宋体" w:hAnsi="宋体" w:eastAsia="宋体" w:cs="宋体"/>
                <w:sz w:val="18"/>
                <w:szCs w:val="18"/>
              </w:rPr>
              <w:t>5.90%</w:t>
            </w:r>
          </w:p>
        </w:tc>
        <w:tc>
          <w:tcPr>
            <w:tcW w:w="1275" w:type="dxa"/>
            <w:gridSpan w:val="2"/>
            <w:tcBorders>
              <w:top w:val="single" w:color="auto" w:sz="2" w:space="0"/>
              <w:left w:val="single" w:color="auto" w:sz="2" w:space="0"/>
              <w:bottom w:val="single" w:color="auto" w:sz="2" w:space="0"/>
              <w:right w:val="single" w:color="auto" w:sz="2" w:space="0"/>
            </w:tcBorders>
            <w:vAlign w:val="center"/>
          </w:tcPr>
          <w:p w14:paraId="7C0C0105">
            <w:pPr>
              <w:spacing w:line="240" w:lineRule="exact"/>
              <w:jc w:val="right"/>
              <w:rPr>
                <w:rFonts w:ascii="宋体" w:hAnsi="宋体" w:eastAsia="宋体" w:cs="宋体"/>
                <w:sz w:val="18"/>
                <w:szCs w:val="18"/>
              </w:rPr>
            </w:pPr>
            <w:r>
              <w:rPr>
                <w:rFonts w:ascii="宋体" w:hAnsi="宋体" w:eastAsia="宋体" w:cs="宋体"/>
                <w:sz w:val="18"/>
                <w:szCs w:val="18"/>
              </w:rPr>
              <w:t>100,340,200</w:t>
            </w:r>
          </w:p>
        </w:tc>
        <w:tc>
          <w:tcPr>
            <w:tcW w:w="1386" w:type="dxa"/>
            <w:gridSpan w:val="3"/>
            <w:tcBorders>
              <w:top w:val="single" w:color="auto" w:sz="2" w:space="0"/>
              <w:left w:val="single" w:color="auto" w:sz="2" w:space="0"/>
              <w:bottom w:val="single" w:color="auto" w:sz="2" w:space="0"/>
              <w:right w:val="single" w:color="auto" w:sz="2" w:space="0"/>
            </w:tcBorders>
            <w:vAlign w:val="center"/>
          </w:tcPr>
          <w:p w14:paraId="4E2FD223">
            <w:pPr>
              <w:spacing w:line="240" w:lineRule="exact"/>
              <w:jc w:val="right"/>
              <w:rPr>
                <w:rFonts w:ascii="宋体" w:hAnsi="宋体" w:eastAsia="宋体" w:cs="宋体"/>
                <w:sz w:val="18"/>
                <w:szCs w:val="18"/>
              </w:rPr>
            </w:pPr>
            <w:r>
              <w:rPr>
                <w:rFonts w:ascii="宋体" w:hAnsi="宋体" w:eastAsia="宋体" w:cs="宋体"/>
                <w:sz w:val="18"/>
                <w:szCs w:val="18"/>
              </w:rPr>
              <w:t>100,340,200</w:t>
            </w:r>
          </w:p>
        </w:tc>
        <w:tc>
          <w:tcPr>
            <w:tcW w:w="1071" w:type="dxa"/>
            <w:gridSpan w:val="2"/>
            <w:tcBorders>
              <w:top w:val="single" w:color="auto" w:sz="2" w:space="0"/>
              <w:left w:val="single" w:color="auto" w:sz="2" w:space="0"/>
              <w:bottom w:val="single" w:color="auto" w:sz="2" w:space="0"/>
              <w:right w:val="single" w:color="auto" w:sz="2" w:space="0"/>
            </w:tcBorders>
            <w:vAlign w:val="center"/>
          </w:tcPr>
          <w:p w14:paraId="505C091E">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654" w:type="dxa"/>
            <w:gridSpan w:val="2"/>
            <w:tcBorders>
              <w:top w:val="single" w:color="auto" w:sz="2" w:space="0"/>
              <w:left w:val="single" w:color="auto" w:sz="2" w:space="0"/>
              <w:bottom w:val="single" w:color="auto" w:sz="2" w:space="0"/>
              <w:right w:val="single" w:color="auto" w:sz="2" w:space="0"/>
            </w:tcBorders>
            <w:vAlign w:val="center"/>
          </w:tcPr>
          <w:p w14:paraId="47976B30">
            <w:pPr>
              <w:spacing w:line="240" w:lineRule="exact"/>
              <w:jc w:val="right"/>
              <w:rPr>
                <w:rFonts w:ascii="宋体" w:hAnsi="宋体" w:eastAsia="宋体" w:cs="宋体"/>
                <w:sz w:val="18"/>
                <w:szCs w:val="18"/>
              </w:rPr>
            </w:pPr>
            <w:r>
              <w:rPr>
                <w:rFonts w:ascii="宋体" w:hAnsi="宋体" w:eastAsia="宋体" w:cs="宋体"/>
                <w:sz w:val="18"/>
                <w:szCs w:val="18"/>
              </w:rPr>
              <w:t>100,340,200</w:t>
            </w:r>
          </w:p>
        </w:tc>
        <w:tc>
          <w:tcPr>
            <w:tcW w:w="851" w:type="dxa"/>
            <w:gridSpan w:val="2"/>
            <w:tcBorders>
              <w:top w:val="single" w:color="auto" w:sz="2" w:space="0"/>
              <w:left w:val="single" w:color="auto" w:sz="2" w:space="0"/>
              <w:bottom w:val="single" w:color="auto" w:sz="2" w:space="0"/>
              <w:right w:val="single" w:color="auto" w:sz="2" w:space="0"/>
            </w:tcBorders>
            <w:vAlign w:val="center"/>
          </w:tcPr>
          <w:p w14:paraId="0DBF1EF1">
            <w:pPr>
              <w:spacing w:line="240" w:lineRule="exact"/>
              <w:rPr>
                <w:rFonts w:ascii="宋体" w:hAnsi="宋体" w:eastAsia="宋体" w:cs="宋体"/>
                <w:sz w:val="18"/>
                <w:szCs w:val="18"/>
              </w:rPr>
            </w:pPr>
            <w:r>
              <w:rPr>
                <w:rFonts w:ascii="宋体" w:hAnsi="宋体" w:eastAsia="宋体" w:cs="宋体"/>
                <w:sz w:val="18"/>
                <w:szCs w:val="18"/>
              </w:rPr>
              <w:t>不适用</w:t>
            </w:r>
          </w:p>
        </w:tc>
        <w:tc>
          <w:tcPr>
            <w:tcW w:w="708" w:type="dxa"/>
            <w:tcBorders>
              <w:top w:val="single" w:color="auto" w:sz="2" w:space="0"/>
              <w:left w:val="single" w:color="auto" w:sz="2" w:space="0"/>
              <w:bottom w:val="single" w:color="auto" w:sz="2" w:space="0"/>
              <w:right w:val="single" w:color="auto" w:sz="2" w:space="0"/>
            </w:tcBorders>
            <w:vAlign w:val="center"/>
          </w:tcPr>
          <w:p w14:paraId="6FDB43A5">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6F64E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095F134">
            <w:pPr>
              <w:spacing w:line="240" w:lineRule="exact"/>
              <w:rPr>
                <w:rFonts w:ascii="宋体" w:hAnsi="宋体" w:eastAsia="宋体" w:cs="宋体"/>
                <w:sz w:val="18"/>
                <w:szCs w:val="18"/>
              </w:rPr>
            </w:pPr>
            <w:r>
              <w:rPr>
                <w:rFonts w:ascii="宋体" w:hAnsi="宋体" w:eastAsia="宋体" w:cs="宋体"/>
                <w:sz w:val="18"/>
                <w:szCs w:val="18"/>
              </w:rPr>
              <w:t>深圳市华人投资有限公司</w:t>
            </w:r>
          </w:p>
        </w:tc>
        <w:tc>
          <w:tcPr>
            <w:tcW w:w="914" w:type="dxa"/>
            <w:tcBorders>
              <w:top w:val="single" w:color="auto" w:sz="2" w:space="0"/>
              <w:left w:val="single" w:color="auto" w:sz="2" w:space="0"/>
              <w:bottom w:val="single" w:color="auto" w:sz="2" w:space="0"/>
              <w:right w:val="single" w:color="auto" w:sz="2" w:space="0"/>
            </w:tcBorders>
            <w:vAlign w:val="center"/>
          </w:tcPr>
          <w:p w14:paraId="777017BE">
            <w:pPr>
              <w:spacing w:line="240" w:lineRule="exact"/>
              <w:rPr>
                <w:rFonts w:ascii="宋体" w:hAnsi="宋体" w:eastAsia="宋体" w:cs="宋体"/>
                <w:sz w:val="18"/>
                <w:szCs w:val="18"/>
              </w:rPr>
            </w:pPr>
            <w:r>
              <w:rPr>
                <w:rFonts w:ascii="宋体" w:hAnsi="宋体" w:eastAsia="宋体" w:cs="宋体"/>
                <w:sz w:val="18"/>
                <w:szCs w:val="18"/>
              </w:rPr>
              <w:t>境内非国有法人</w:t>
            </w:r>
          </w:p>
        </w:tc>
        <w:tc>
          <w:tcPr>
            <w:tcW w:w="709" w:type="dxa"/>
            <w:gridSpan w:val="2"/>
            <w:tcBorders>
              <w:top w:val="single" w:color="auto" w:sz="2" w:space="0"/>
              <w:left w:val="single" w:color="auto" w:sz="2" w:space="0"/>
              <w:bottom w:val="single" w:color="auto" w:sz="2" w:space="0"/>
              <w:right w:val="single" w:color="auto" w:sz="2" w:space="0"/>
            </w:tcBorders>
            <w:vAlign w:val="center"/>
          </w:tcPr>
          <w:p w14:paraId="529272A9">
            <w:pPr>
              <w:spacing w:line="240" w:lineRule="exact"/>
              <w:jc w:val="right"/>
              <w:rPr>
                <w:rFonts w:ascii="宋体" w:hAnsi="宋体" w:eastAsia="宋体" w:cs="宋体"/>
                <w:sz w:val="18"/>
                <w:szCs w:val="18"/>
              </w:rPr>
            </w:pPr>
            <w:r>
              <w:rPr>
                <w:rFonts w:ascii="宋体" w:hAnsi="宋体" w:eastAsia="宋体" w:cs="宋体"/>
                <w:sz w:val="18"/>
                <w:szCs w:val="18"/>
              </w:rPr>
              <w:t>4.82%</w:t>
            </w:r>
          </w:p>
        </w:tc>
        <w:tc>
          <w:tcPr>
            <w:tcW w:w="1275" w:type="dxa"/>
            <w:gridSpan w:val="2"/>
            <w:tcBorders>
              <w:top w:val="single" w:color="auto" w:sz="2" w:space="0"/>
              <w:left w:val="single" w:color="auto" w:sz="2" w:space="0"/>
              <w:bottom w:val="single" w:color="auto" w:sz="2" w:space="0"/>
              <w:right w:val="single" w:color="auto" w:sz="2" w:space="0"/>
            </w:tcBorders>
            <w:vAlign w:val="center"/>
          </w:tcPr>
          <w:p w14:paraId="1ADBF4DD">
            <w:pPr>
              <w:spacing w:line="240" w:lineRule="exact"/>
              <w:jc w:val="right"/>
              <w:rPr>
                <w:rFonts w:ascii="宋体" w:hAnsi="宋体" w:eastAsia="宋体" w:cs="宋体"/>
                <w:sz w:val="18"/>
                <w:szCs w:val="18"/>
              </w:rPr>
            </w:pPr>
            <w:r>
              <w:rPr>
                <w:rFonts w:ascii="宋体" w:hAnsi="宋体" w:eastAsia="宋体" w:cs="宋体"/>
                <w:sz w:val="18"/>
                <w:szCs w:val="18"/>
              </w:rPr>
              <w:t>81,973,588</w:t>
            </w:r>
          </w:p>
        </w:tc>
        <w:tc>
          <w:tcPr>
            <w:tcW w:w="1386" w:type="dxa"/>
            <w:gridSpan w:val="3"/>
            <w:tcBorders>
              <w:top w:val="single" w:color="auto" w:sz="2" w:space="0"/>
              <w:left w:val="single" w:color="auto" w:sz="2" w:space="0"/>
              <w:bottom w:val="single" w:color="auto" w:sz="2" w:space="0"/>
              <w:right w:val="single" w:color="auto" w:sz="2" w:space="0"/>
            </w:tcBorders>
            <w:vAlign w:val="center"/>
          </w:tcPr>
          <w:p w14:paraId="35124228">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gridSpan w:val="2"/>
            <w:tcBorders>
              <w:top w:val="single" w:color="auto" w:sz="2" w:space="0"/>
              <w:left w:val="single" w:color="auto" w:sz="2" w:space="0"/>
              <w:bottom w:val="single" w:color="auto" w:sz="2" w:space="0"/>
              <w:right w:val="single" w:color="auto" w:sz="2" w:space="0"/>
            </w:tcBorders>
            <w:vAlign w:val="center"/>
          </w:tcPr>
          <w:p w14:paraId="7F6DED1D">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654" w:type="dxa"/>
            <w:gridSpan w:val="2"/>
            <w:tcBorders>
              <w:top w:val="single" w:color="auto" w:sz="2" w:space="0"/>
              <w:left w:val="single" w:color="auto" w:sz="2" w:space="0"/>
              <w:bottom w:val="single" w:color="auto" w:sz="2" w:space="0"/>
              <w:right w:val="single" w:color="auto" w:sz="2" w:space="0"/>
            </w:tcBorders>
            <w:vAlign w:val="center"/>
          </w:tcPr>
          <w:p w14:paraId="78645523">
            <w:pPr>
              <w:spacing w:line="240" w:lineRule="exact"/>
              <w:jc w:val="right"/>
              <w:rPr>
                <w:rFonts w:ascii="宋体" w:hAnsi="宋体" w:eastAsia="宋体" w:cs="宋体"/>
                <w:sz w:val="18"/>
                <w:szCs w:val="18"/>
              </w:rPr>
            </w:pPr>
            <w:r>
              <w:rPr>
                <w:rFonts w:ascii="宋体" w:hAnsi="宋体" w:eastAsia="宋体" w:cs="宋体"/>
                <w:sz w:val="18"/>
                <w:szCs w:val="18"/>
              </w:rPr>
              <w:t>81,973,588</w:t>
            </w:r>
          </w:p>
        </w:tc>
        <w:tc>
          <w:tcPr>
            <w:tcW w:w="851" w:type="dxa"/>
            <w:gridSpan w:val="2"/>
            <w:tcBorders>
              <w:top w:val="single" w:color="auto" w:sz="2" w:space="0"/>
              <w:left w:val="single" w:color="auto" w:sz="2" w:space="0"/>
              <w:bottom w:val="single" w:color="auto" w:sz="2" w:space="0"/>
              <w:right w:val="single" w:color="auto" w:sz="2" w:space="0"/>
            </w:tcBorders>
            <w:vAlign w:val="center"/>
          </w:tcPr>
          <w:p w14:paraId="7D173139">
            <w:pPr>
              <w:spacing w:line="240" w:lineRule="exact"/>
              <w:rPr>
                <w:rFonts w:ascii="宋体" w:hAnsi="宋体" w:eastAsia="宋体" w:cs="宋体"/>
                <w:sz w:val="18"/>
                <w:szCs w:val="18"/>
              </w:rPr>
            </w:pPr>
            <w:r>
              <w:rPr>
                <w:rFonts w:ascii="宋体" w:hAnsi="宋体" w:eastAsia="宋体" w:cs="宋体"/>
                <w:sz w:val="18"/>
                <w:szCs w:val="18"/>
              </w:rPr>
              <w:t>不适用</w:t>
            </w:r>
          </w:p>
        </w:tc>
        <w:tc>
          <w:tcPr>
            <w:tcW w:w="708" w:type="dxa"/>
            <w:tcBorders>
              <w:top w:val="single" w:color="auto" w:sz="2" w:space="0"/>
              <w:left w:val="single" w:color="auto" w:sz="2" w:space="0"/>
              <w:bottom w:val="single" w:color="auto" w:sz="2" w:space="0"/>
              <w:right w:val="single" w:color="auto" w:sz="2" w:space="0"/>
            </w:tcBorders>
            <w:vAlign w:val="center"/>
          </w:tcPr>
          <w:p w14:paraId="42BF1109">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09BA9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7AF23B6">
            <w:pPr>
              <w:spacing w:line="240" w:lineRule="exact"/>
              <w:rPr>
                <w:rFonts w:ascii="宋体" w:hAnsi="宋体" w:eastAsia="宋体" w:cs="宋体"/>
                <w:sz w:val="18"/>
                <w:szCs w:val="18"/>
              </w:rPr>
            </w:pPr>
            <w:r>
              <w:rPr>
                <w:rFonts w:ascii="宋体" w:hAnsi="宋体" w:eastAsia="宋体" w:cs="宋体"/>
                <w:sz w:val="18"/>
                <w:szCs w:val="18"/>
              </w:rPr>
              <w:t>香港中央结算有限公司</w:t>
            </w:r>
          </w:p>
        </w:tc>
        <w:tc>
          <w:tcPr>
            <w:tcW w:w="914" w:type="dxa"/>
            <w:tcBorders>
              <w:top w:val="single" w:color="auto" w:sz="2" w:space="0"/>
              <w:left w:val="single" w:color="auto" w:sz="2" w:space="0"/>
              <w:bottom w:val="single" w:color="auto" w:sz="2" w:space="0"/>
              <w:right w:val="single" w:color="auto" w:sz="2" w:space="0"/>
            </w:tcBorders>
            <w:vAlign w:val="center"/>
          </w:tcPr>
          <w:p w14:paraId="56778B83">
            <w:pPr>
              <w:spacing w:line="240" w:lineRule="exact"/>
              <w:rPr>
                <w:rFonts w:ascii="宋体" w:hAnsi="宋体" w:eastAsia="宋体" w:cs="宋体"/>
                <w:sz w:val="18"/>
                <w:szCs w:val="18"/>
              </w:rPr>
            </w:pPr>
            <w:r>
              <w:rPr>
                <w:rFonts w:ascii="宋体" w:hAnsi="宋体" w:eastAsia="宋体" w:cs="宋体"/>
                <w:sz w:val="18"/>
                <w:szCs w:val="18"/>
              </w:rPr>
              <w:t>境外法人</w:t>
            </w:r>
          </w:p>
        </w:tc>
        <w:tc>
          <w:tcPr>
            <w:tcW w:w="709" w:type="dxa"/>
            <w:gridSpan w:val="2"/>
            <w:tcBorders>
              <w:top w:val="single" w:color="auto" w:sz="2" w:space="0"/>
              <w:left w:val="single" w:color="auto" w:sz="2" w:space="0"/>
              <w:bottom w:val="single" w:color="auto" w:sz="2" w:space="0"/>
              <w:right w:val="single" w:color="auto" w:sz="2" w:space="0"/>
            </w:tcBorders>
            <w:vAlign w:val="center"/>
          </w:tcPr>
          <w:p w14:paraId="394268E5">
            <w:pPr>
              <w:spacing w:line="240" w:lineRule="exact"/>
              <w:jc w:val="right"/>
              <w:rPr>
                <w:rFonts w:ascii="宋体" w:hAnsi="宋体" w:eastAsia="宋体" w:cs="宋体"/>
                <w:sz w:val="18"/>
                <w:szCs w:val="18"/>
              </w:rPr>
            </w:pPr>
            <w:r>
              <w:rPr>
                <w:rFonts w:ascii="宋体" w:hAnsi="宋体" w:eastAsia="宋体" w:cs="宋体"/>
                <w:sz w:val="18"/>
                <w:szCs w:val="18"/>
              </w:rPr>
              <w:t>0.86%</w:t>
            </w:r>
          </w:p>
        </w:tc>
        <w:tc>
          <w:tcPr>
            <w:tcW w:w="1275" w:type="dxa"/>
            <w:gridSpan w:val="2"/>
            <w:tcBorders>
              <w:top w:val="single" w:color="auto" w:sz="2" w:space="0"/>
              <w:left w:val="single" w:color="auto" w:sz="2" w:space="0"/>
              <w:bottom w:val="single" w:color="auto" w:sz="2" w:space="0"/>
              <w:right w:val="single" w:color="auto" w:sz="2" w:space="0"/>
            </w:tcBorders>
            <w:vAlign w:val="center"/>
          </w:tcPr>
          <w:p w14:paraId="3544F3B5">
            <w:pPr>
              <w:spacing w:line="240" w:lineRule="exact"/>
              <w:jc w:val="right"/>
              <w:rPr>
                <w:rFonts w:ascii="宋体" w:hAnsi="宋体" w:eastAsia="宋体" w:cs="宋体"/>
                <w:sz w:val="18"/>
                <w:szCs w:val="18"/>
              </w:rPr>
            </w:pPr>
            <w:r>
              <w:rPr>
                <w:rFonts w:ascii="宋体" w:hAnsi="宋体" w:eastAsia="宋体" w:cs="宋体"/>
                <w:sz w:val="18"/>
                <w:szCs w:val="18"/>
              </w:rPr>
              <w:t>14,577,042</w:t>
            </w:r>
          </w:p>
        </w:tc>
        <w:tc>
          <w:tcPr>
            <w:tcW w:w="1386" w:type="dxa"/>
            <w:gridSpan w:val="3"/>
            <w:tcBorders>
              <w:top w:val="single" w:color="auto" w:sz="2" w:space="0"/>
              <w:left w:val="single" w:color="auto" w:sz="2" w:space="0"/>
              <w:bottom w:val="single" w:color="auto" w:sz="2" w:space="0"/>
              <w:right w:val="single" w:color="auto" w:sz="2" w:space="0"/>
            </w:tcBorders>
            <w:vAlign w:val="center"/>
          </w:tcPr>
          <w:p w14:paraId="2193C39A">
            <w:pPr>
              <w:spacing w:line="240" w:lineRule="exact"/>
              <w:jc w:val="right"/>
              <w:rPr>
                <w:rFonts w:ascii="宋体" w:hAnsi="宋体" w:eastAsia="宋体" w:cs="宋体"/>
                <w:sz w:val="18"/>
                <w:szCs w:val="18"/>
              </w:rPr>
            </w:pPr>
            <w:r>
              <w:rPr>
                <w:rFonts w:ascii="宋体" w:hAnsi="宋体" w:eastAsia="宋体" w:cs="宋体"/>
                <w:sz w:val="18"/>
                <w:szCs w:val="18"/>
              </w:rPr>
              <w:t>411,366</w:t>
            </w:r>
          </w:p>
        </w:tc>
        <w:tc>
          <w:tcPr>
            <w:tcW w:w="1071" w:type="dxa"/>
            <w:gridSpan w:val="2"/>
            <w:tcBorders>
              <w:top w:val="single" w:color="auto" w:sz="2" w:space="0"/>
              <w:left w:val="single" w:color="auto" w:sz="2" w:space="0"/>
              <w:bottom w:val="single" w:color="auto" w:sz="2" w:space="0"/>
              <w:right w:val="single" w:color="auto" w:sz="2" w:space="0"/>
            </w:tcBorders>
            <w:vAlign w:val="center"/>
          </w:tcPr>
          <w:p w14:paraId="53DA86A9">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654" w:type="dxa"/>
            <w:gridSpan w:val="2"/>
            <w:tcBorders>
              <w:top w:val="single" w:color="auto" w:sz="2" w:space="0"/>
              <w:left w:val="single" w:color="auto" w:sz="2" w:space="0"/>
              <w:bottom w:val="single" w:color="auto" w:sz="2" w:space="0"/>
              <w:right w:val="single" w:color="auto" w:sz="2" w:space="0"/>
            </w:tcBorders>
            <w:vAlign w:val="center"/>
          </w:tcPr>
          <w:p w14:paraId="2B08EC86">
            <w:pPr>
              <w:spacing w:line="240" w:lineRule="exact"/>
              <w:jc w:val="right"/>
              <w:rPr>
                <w:rFonts w:ascii="宋体" w:hAnsi="宋体" w:eastAsia="宋体" w:cs="宋体"/>
                <w:sz w:val="18"/>
                <w:szCs w:val="18"/>
              </w:rPr>
            </w:pPr>
            <w:r>
              <w:rPr>
                <w:rFonts w:ascii="宋体" w:hAnsi="宋体" w:eastAsia="宋体" w:cs="宋体"/>
                <w:sz w:val="18"/>
                <w:szCs w:val="18"/>
              </w:rPr>
              <w:t>14,577,042</w:t>
            </w:r>
          </w:p>
        </w:tc>
        <w:tc>
          <w:tcPr>
            <w:tcW w:w="851" w:type="dxa"/>
            <w:gridSpan w:val="2"/>
            <w:tcBorders>
              <w:top w:val="single" w:color="auto" w:sz="2" w:space="0"/>
              <w:left w:val="single" w:color="auto" w:sz="2" w:space="0"/>
              <w:bottom w:val="single" w:color="auto" w:sz="2" w:space="0"/>
              <w:right w:val="single" w:color="auto" w:sz="2" w:space="0"/>
            </w:tcBorders>
            <w:vAlign w:val="center"/>
          </w:tcPr>
          <w:p w14:paraId="7B1EAE96">
            <w:pPr>
              <w:spacing w:line="240" w:lineRule="exact"/>
              <w:rPr>
                <w:rFonts w:ascii="宋体" w:hAnsi="宋体" w:eastAsia="宋体" w:cs="宋体"/>
                <w:sz w:val="18"/>
                <w:szCs w:val="18"/>
              </w:rPr>
            </w:pPr>
            <w:r>
              <w:rPr>
                <w:rFonts w:ascii="宋体" w:hAnsi="宋体" w:eastAsia="宋体" w:cs="宋体"/>
                <w:sz w:val="18"/>
                <w:szCs w:val="18"/>
              </w:rPr>
              <w:t>不适用</w:t>
            </w:r>
          </w:p>
        </w:tc>
        <w:tc>
          <w:tcPr>
            <w:tcW w:w="708" w:type="dxa"/>
            <w:tcBorders>
              <w:top w:val="single" w:color="auto" w:sz="2" w:space="0"/>
              <w:left w:val="single" w:color="auto" w:sz="2" w:space="0"/>
              <w:bottom w:val="single" w:color="auto" w:sz="2" w:space="0"/>
              <w:right w:val="single" w:color="auto" w:sz="2" w:space="0"/>
            </w:tcBorders>
            <w:vAlign w:val="center"/>
          </w:tcPr>
          <w:p w14:paraId="10150D21">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73A66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FBD938B">
            <w:pPr>
              <w:spacing w:line="240" w:lineRule="exact"/>
              <w:rPr>
                <w:rFonts w:ascii="宋体" w:hAnsi="宋体" w:eastAsia="宋体" w:cs="宋体"/>
                <w:sz w:val="18"/>
                <w:szCs w:val="18"/>
              </w:rPr>
            </w:pPr>
            <w:r>
              <w:rPr>
                <w:rFonts w:ascii="宋体" w:hAnsi="宋体" w:eastAsia="宋体" w:cs="宋体"/>
                <w:sz w:val="18"/>
                <w:szCs w:val="18"/>
              </w:rPr>
              <w:t>陈香惠</w:t>
            </w:r>
          </w:p>
        </w:tc>
        <w:tc>
          <w:tcPr>
            <w:tcW w:w="914" w:type="dxa"/>
            <w:tcBorders>
              <w:top w:val="single" w:color="auto" w:sz="2" w:space="0"/>
              <w:left w:val="single" w:color="auto" w:sz="2" w:space="0"/>
              <w:bottom w:val="single" w:color="auto" w:sz="2" w:space="0"/>
              <w:right w:val="single" w:color="auto" w:sz="2" w:space="0"/>
            </w:tcBorders>
            <w:vAlign w:val="center"/>
          </w:tcPr>
          <w:p w14:paraId="4A837CDD">
            <w:pPr>
              <w:spacing w:line="240" w:lineRule="exact"/>
              <w:rPr>
                <w:rFonts w:ascii="宋体" w:hAnsi="宋体" w:eastAsia="宋体" w:cs="宋体"/>
                <w:sz w:val="18"/>
                <w:szCs w:val="18"/>
              </w:rPr>
            </w:pPr>
            <w:r>
              <w:rPr>
                <w:rFonts w:ascii="宋体" w:hAnsi="宋体" w:eastAsia="宋体" w:cs="宋体"/>
                <w:sz w:val="18"/>
                <w:szCs w:val="18"/>
              </w:rPr>
              <w:t>境内自然人</w:t>
            </w:r>
          </w:p>
        </w:tc>
        <w:tc>
          <w:tcPr>
            <w:tcW w:w="709" w:type="dxa"/>
            <w:gridSpan w:val="2"/>
            <w:tcBorders>
              <w:top w:val="single" w:color="auto" w:sz="2" w:space="0"/>
              <w:left w:val="single" w:color="auto" w:sz="2" w:space="0"/>
              <w:bottom w:val="single" w:color="auto" w:sz="2" w:space="0"/>
              <w:right w:val="single" w:color="auto" w:sz="2" w:space="0"/>
            </w:tcBorders>
            <w:vAlign w:val="center"/>
          </w:tcPr>
          <w:p w14:paraId="6262002C">
            <w:pPr>
              <w:spacing w:line="240" w:lineRule="exact"/>
              <w:jc w:val="right"/>
              <w:rPr>
                <w:rFonts w:ascii="宋体" w:hAnsi="宋体" w:eastAsia="宋体" w:cs="宋体"/>
                <w:sz w:val="18"/>
                <w:szCs w:val="18"/>
              </w:rPr>
            </w:pPr>
            <w:r>
              <w:rPr>
                <w:rFonts w:ascii="宋体" w:hAnsi="宋体" w:eastAsia="宋体" w:cs="宋体"/>
                <w:sz w:val="18"/>
                <w:szCs w:val="18"/>
              </w:rPr>
              <w:t>0.66%</w:t>
            </w:r>
          </w:p>
        </w:tc>
        <w:tc>
          <w:tcPr>
            <w:tcW w:w="1275" w:type="dxa"/>
            <w:gridSpan w:val="2"/>
            <w:tcBorders>
              <w:top w:val="single" w:color="auto" w:sz="2" w:space="0"/>
              <w:left w:val="single" w:color="auto" w:sz="2" w:space="0"/>
              <w:bottom w:val="single" w:color="auto" w:sz="2" w:space="0"/>
              <w:right w:val="single" w:color="auto" w:sz="2" w:space="0"/>
            </w:tcBorders>
            <w:vAlign w:val="center"/>
          </w:tcPr>
          <w:p w14:paraId="080FF807">
            <w:pPr>
              <w:spacing w:line="240" w:lineRule="exact"/>
              <w:jc w:val="right"/>
              <w:rPr>
                <w:rFonts w:ascii="宋体" w:hAnsi="宋体" w:eastAsia="宋体" w:cs="宋体"/>
                <w:sz w:val="18"/>
                <w:szCs w:val="18"/>
              </w:rPr>
            </w:pPr>
            <w:r>
              <w:rPr>
                <w:rFonts w:ascii="宋体" w:hAnsi="宋体" w:eastAsia="宋体" w:cs="宋体"/>
                <w:sz w:val="18"/>
                <w:szCs w:val="18"/>
              </w:rPr>
              <w:t>11,300,000</w:t>
            </w:r>
          </w:p>
        </w:tc>
        <w:tc>
          <w:tcPr>
            <w:tcW w:w="1386" w:type="dxa"/>
            <w:gridSpan w:val="3"/>
            <w:tcBorders>
              <w:top w:val="single" w:color="auto" w:sz="2" w:space="0"/>
              <w:left w:val="single" w:color="auto" w:sz="2" w:space="0"/>
              <w:bottom w:val="single" w:color="auto" w:sz="2" w:space="0"/>
              <w:right w:val="single" w:color="auto" w:sz="2" w:space="0"/>
            </w:tcBorders>
            <w:vAlign w:val="center"/>
          </w:tcPr>
          <w:p w14:paraId="68CF7519">
            <w:pPr>
              <w:spacing w:line="240" w:lineRule="exact"/>
              <w:jc w:val="right"/>
              <w:rPr>
                <w:rFonts w:ascii="宋体" w:hAnsi="宋体" w:eastAsia="宋体" w:cs="宋体"/>
                <w:sz w:val="18"/>
                <w:szCs w:val="18"/>
              </w:rPr>
            </w:pPr>
            <w:r>
              <w:rPr>
                <w:rFonts w:ascii="宋体" w:hAnsi="宋体" w:eastAsia="宋体" w:cs="宋体"/>
                <w:sz w:val="18"/>
                <w:szCs w:val="18"/>
              </w:rPr>
              <w:t>11,300,000</w:t>
            </w:r>
          </w:p>
        </w:tc>
        <w:tc>
          <w:tcPr>
            <w:tcW w:w="1071" w:type="dxa"/>
            <w:gridSpan w:val="2"/>
            <w:tcBorders>
              <w:top w:val="single" w:color="auto" w:sz="2" w:space="0"/>
              <w:left w:val="single" w:color="auto" w:sz="2" w:space="0"/>
              <w:bottom w:val="single" w:color="auto" w:sz="2" w:space="0"/>
              <w:right w:val="single" w:color="auto" w:sz="2" w:space="0"/>
            </w:tcBorders>
            <w:vAlign w:val="center"/>
          </w:tcPr>
          <w:p w14:paraId="29BC6252">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654" w:type="dxa"/>
            <w:gridSpan w:val="2"/>
            <w:tcBorders>
              <w:top w:val="single" w:color="auto" w:sz="2" w:space="0"/>
              <w:left w:val="single" w:color="auto" w:sz="2" w:space="0"/>
              <w:bottom w:val="single" w:color="auto" w:sz="2" w:space="0"/>
              <w:right w:val="single" w:color="auto" w:sz="2" w:space="0"/>
            </w:tcBorders>
            <w:vAlign w:val="center"/>
          </w:tcPr>
          <w:p w14:paraId="4F8797A0">
            <w:pPr>
              <w:spacing w:line="240" w:lineRule="exact"/>
              <w:jc w:val="right"/>
              <w:rPr>
                <w:rFonts w:ascii="宋体" w:hAnsi="宋体" w:eastAsia="宋体" w:cs="宋体"/>
                <w:sz w:val="18"/>
                <w:szCs w:val="18"/>
              </w:rPr>
            </w:pPr>
            <w:r>
              <w:rPr>
                <w:rFonts w:ascii="宋体" w:hAnsi="宋体" w:eastAsia="宋体" w:cs="宋体"/>
                <w:sz w:val="18"/>
                <w:szCs w:val="18"/>
              </w:rPr>
              <w:t>11,300,000</w:t>
            </w:r>
          </w:p>
        </w:tc>
        <w:tc>
          <w:tcPr>
            <w:tcW w:w="851" w:type="dxa"/>
            <w:gridSpan w:val="2"/>
            <w:tcBorders>
              <w:top w:val="single" w:color="auto" w:sz="2" w:space="0"/>
              <w:left w:val="single" w:color="auto" w:sz="2" w:space="0"/>
              <w:bottom w:val="single" w:color="auto" w:sz="2" w:space="0"/>
              <w:right w:val="single" w:color="auto" w:sz="2" w:space="0"/>
            </w:tcBorders>
            <w:vAlign w:val="center"/>
          </w:tcPr>
          <w:p w14:paraId="2E508F1B">
            <w:pPr>
              <w:spacing w:line="240" w:lineRule="exact"/>
              <w:rPr>
                <w:rFonts w:ascii="宋体" w:hAnsi="宋体" w:eastAsia="宋体" w:cs="宋体"/>
                <w:sz w:val="18"/>
                <w:szCs w:val="18"/>
              </w:rPr>
            </w:pPr>
            <w:r>
              <w:rPr>
                <w:rFonts w:ascii="宋体" w:hAnsi="宋体" w:eastAsia="宋体" w:cs="宋体"/>
                <w:sz w:val="18"/>
                <w:szCs w:val="18"/>
              </w:rPr>
              <w:t>不适用</w:t>
            </w:r>
          </w:p>
        </w:tc>
        <w:tc>
          <w:tcPr>
            <w:tcW w:w="708" w:type="dxa"/>
            <w:tcBorders>
              <w:top w:val="single" w:color="auto" w:sz="2" w:space="0"/>
              <w:left w:val="single" w:color="auto" w:sz="2" w:space="0"/>
              <w:bottom w:val="single" w:color="auto" w:sz="2" w:space="0"/>
              <w:right w:val="single" w:color="auto" w:sz="2" w:space="0"/>
            </w:tcBorders>
            <w:vAlign w:val="center"/>
          </w:tcPr>
          <w:p w14:paraId="2D48DC43">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63ED8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726618C">
            <w:pPr>
              <w:spacing w:line="240" w:lineRule="exact"/>
              <w:rPr>
                <w:rFonts w:ascii="宋体" w:hAnsi="宋体" w:eastAsia="宋体" w:cs="宋体"/>
                <w:sz w:val="18"/>
                <w:szCs w:val="18"/>
              </w:rPr>
            </w:pPr>
            <w:r>
              <w:rPr>
                <w:rFonts w:ascii="宋体" w:hAnsi="宋体" w:eastAsia="宋体" w:cs="宋体"/>
                <w:sz w:val="18"/>
                <w:szCs w:val="18"/>
              </w:rPr>
              <w:t>袁应松</w:t>
            </w:r>
          </w:p>
        </w:tc>
        <w:tc>
          <w:tcPr>
            <w:tcW w:w="914" w:type="dxa"/>
            <w:tcBorders>
              <w:top w:val="single" w:color="auto" w:sz="2" w:space="0"/>
              <w:left w:val="single" w:color="auto" w:sz="2" w:space="0"/>
              <w:bottom w:val="single" w:color="auto" w:sz="2" w:space="0"/>
              <w:right w:val="single" w:color="auto" w:sz="2" w:space="0"/>
            </w:tcBorders>
            <w:vAlign w:val="center"/>
          </w:tcPr>
          <w:p w14:paraId="58F91682">
            <w:pPr>
              <w:spacing w:line="240" w:lineRule="exact"/>
              <w:rPr>
                <w:rFonts w:ascii="宋体" w:hAnsi="宋体" w:eastAsia="宋体" w:cs="宋体"/>
                <w:sz w:val="18"/>
                <w:szCs w:val="18"/>
              </w:rPr>
            </w:pPr>
            <w:r>
              <w:rPr>
                <w:rFonts w:ascii="宋体" w:hAnsi="宋体" w:eastAsia="宋体" w:cs="宋体"/>
                <w:sz w:val="18"/>
                <w:szCs w:val="18"/>
              </w:rPr>
              <w:t>境内自然人</w:t>
            </w:r>
          </w:p>
        </w:tc>
        <w:tc>
          <w:tcPr>
            <w:tcW w:w="709" w:type="dxa"/>
            <w:gridSpan w:val="2"/>
            <w:tcBorders>
              <w:top w:val="single" w:color="auto" w:sz="2" w:space="0"/>
              <w:left w:val="single" w:color="auto" w:sz="2" w:space="0"/>
              <w:bottom w:val="single" w:color="auto" w:sz="2" w:space="0"/>
              <w:right w:val="single" w:color="auto" w:sz="2" w:space="0"/>
            </w:tcBorders>
            <w:vAlign w:val="center"/>
          </w:tcPr>
          <w:p w14:paraId="26D0C9D8">
            <w:pPr>
              <w:spacing w:line="240" w:lineRule="exact"/>
              <w:jc w:val="right"/>
              <w:rPr>
                <w:rFonts w:ascii="宋体" w:hAnsi="宋体" w:eastAsia="宋体" w:cs="宋体"/>
                <w:sz w:val="18"/>
                <w:szCs w:val="18"/>
              </w:rPr>
            </w:pPr>
            <w:r>
              <w:rPr>
                <w:rFonts w:ascii="宋体" w:hAnsi="宋体" w:eastAsia="宋体" w:cs="宋体"/>
                <w:sz w:val="18"/>
                <w:szCs w:val="18"/>
              </w:rPr>
              <w:t>0.60%</w:t>
            </w:r>
          </w:p>
        </w:tc>
        <w:tc>
          <w:tcPr>
            <w:tcW w:w="1275" w:type="dxa"/>
            <w:gridSpan w:val="2"/>
            <w:tcBorders>
              <w:top w:val="single" w:color="auto" w:sz="2" w:space="0"/>
              <w:left w:val="single" w:color="auto" w:sz="2" w:space="0"/>
              <w:bottom w:val="single" w:color="auto" w:sz="2" w:space="0"/>
              <w:right w:val="single" w:color="auto" w:sz="2" w:space="0"/>
            </w:tcBorders>
            <w:vAlign w:val="center"/>
          </w:tcPr>
          <w:p w14:paraId="243947B8">
            <w:pPr>
              <w:spacing w:line="240" w:lineRule="exact"/>
              <w:jc w:val="right"/>
              <w:rPr>
                <w:rFonts w:ascii="宋体" w:hAnsi="宋体" w:eastAsia="宋体" w:cs="宋体"/>
                <w:sz w:val="18"/>
                <w:szCs w:val="18"/>
              </w:rPr>
            </w:pPr>
            <w:r>
              <w:rPr>
                <w:rFonts w:ascii="宋体" w:hAnsi="宋体" w:eastAsia="宋体" w:cs="宋体"/>
                <w:sz w:val="18"/>
                <w:szCs w:val="18"/>
              </w:rPr>
              <w:t>10,257,929</w:t>
            </w:r>
          </w:p>
        </w:tc>
        <w:tc>
          <w:tcPr>
            <w:tcW w:w="1386" w:type="dxa"/>
            <w:gridSpan w:val="3"/>
            <w:tcBorders>
              <w:top w:val="single" w:color="auto" w:sz="2" w:space="0"/>
              <w:left w:val="single" w:color="auto" w:sz="2" w:space="0"/>
              <w:bottom w:val="single" w:color="auto" w:sz="2" w:space="0"/>
              <w:right w:val="single" w:color="auto" w:sz="2" w:space="0"/>
            </w:tcBorders>
            <w:vAlign w:val="center"/>
          </w:tcPr>
          <w:p w14:paraId="1AD75681">
            <w:pPr>
              <w:spacing w:line="240" w:lineRule="exact"/>
              <w:jc w:val="right"/>
              <w:rPr>
                <w:rFonts w:ascii="宋体" w:hAnsi="宋体" w:eastAsia="宋体" w:cs="宋体"/>
                <w:sz w:val="18"/>
                <w:szCs w:val="18"/>
              </w:rPr>
            </w:pPr>
            <w:r>
              <w:rPr>
                <w:rFonts w:ascii="宋体" w:hAnsi="宋体" w:eastAsia="宋体" w:cs="宋体"/>
                <w:sz w:val="18"/>
                <w:szCs w:val="18"/>
              </w:rPr>
              <w:t>-986,700</w:t>
            </w:r>
          </w:p>
        </w:tc>
        <w:tc>
          <w:tcPr>
            <w:tcW w:w="1071" w:type="dxa"/>
            <w:gridSpan w:val="2"/>
            <w:tcBorders>
              <w:top w:val="single" w:color="auto" w:sz="2" w:space="0"/>
              <w:left w:val="single" w:color="auto" w:sz="2" w:space="0"/>
              <w:bottom w:val="single" w:color="auto" w:sz="2" w:space="0"/>
              <w:right w:val="single" w:color="auto" w:sz="2" w:space="0"/>
            </w:tcBorders>
            <w:vAlign w:val="center"/>
          </w:tcPr>
          <w:p w14:paraId="25724C76">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654" w:type="dxa"/>
            <w:gridSpan w:val="2"/>
            <w:tcBorders>
              <w:top w:val="single" w:color="auto" w:sz="2" w:space="0"/>
              <w:left w:val="single" w:color="auto" w:sz="2" w:space="0"/>
              <w:bottom w:val="single" w:color="auto" w:sz="2" w:space="0"/>
              <w:right w:val="single" w:color="auto" w:sz="2" w:space="0"/>
            </w:tcBorders>
            <w:vAlign w:val="center"/>
          </w:tcPr>
          <w:p w14:paraId="367967E0">
            <w:pPr>
              <w:spacing w:line="240" w:lineRule="exact"/>
              <w:jc w:val="right"/>
              <w:rPr>
                <w:rFonts w:ascii="宋体" w:hAnsi="宋体" w:eastAsia="宋体" w:cs="宋体"/>
                <w:sz w:val="18"/>
                <w:szCs w:val="18"/>
              </w:rPr>
            </w:pPr>
            <w:r>
              <w:rPr>
                <w:rFonts w:ascii="宋体" w:hAnsi="宋体" w:eastAsia="宋体" w:cs="宋体"/>
                <w:sz w:val="18"/>
                <w:szCs w:val="18"/>
              </w:rPr>
              <w:t>10,257,929</w:t>
            </w:r>
          </w:p>
        </w:tc>
        <w:tc>
          <w:tcPr>
            <w:tcW w:w="851" w:type="dxa"/>
            <w:gridSpan w:val="2"/>
            <w:tcBorders>
              <w:top w:val="single" w:color="auto" w:sz="2" w:space="0"/>
              <w:left w:val="single" w:color="auto" w:sz="2" w:space="0"/>
              <w:bottom w:val="single" w:color="auto" w:sz="2" w:space="0"/>
              <w:right w:val="single" w:color="auto" w:sz="2" w:space="0"/>
            </w:tcBorders>
            <w:vAlign w:val="center"/>
          </w:tcPr>
          <w:p w14:paraId="71C7878D">
            <w:pPr>
              <w:spacing w:line="240" w:lineRule="exact"/>
              <w:rPr>
                <w:rFonts w:ascii="宋体" w:hAnsi="宋体" w:eastAsia="宋体" w:cs="宋体"/>
                <w:sz w:val="18"/>
                <w:szCs w:val="18"/>
              </w:rPr>
            </w:pPr>
            <w:r>
              <w:rPr>
                <w:rFonts w:ascii="宋体" w:hAnsi="宋体" w:eastAsia="宋体" w:cs="宋体"/>
                <w:sz w:val="18"/>
                <w:szCs w:val="18"/>
              </w:rPr>
              <w:t>不适用</w:t>
            </w:r>
          </w:p>
        </w:tc>
        <w:tc>
          <w:tcPr>
            <w:tcW w:w="708" w:type="dxa"/>
            <w:tcBorders>
              <w:top w:val="single" w:color="auto" w:sz="2" w:space="0"/>
              <w:left w:val="single" w:color="auto" w:sz="2" w:space="0"/>
              <w:bottom w:val="single" w:color="auto" w:sz="2" w:space="0"/>
              <w:right w:val="single" w:color="auto" w:sz="2" w:space="0"/>
            </w:tcBorders>
            <w:vAlign w:val="center"/>
          </w:tcPr>
          <w:p w14:paraId="0C5133CE">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0D1A7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E7208E5">
            <w:pPr>
              <w:spacing w:line="240" w:lineRule="exact"/>
              <w:rPr>
                <w:rFonts w:ascii="宋体" w:hAnsi="宋体" w:eastAsia="宋体" w:cs="宋体"/>
                <w:sz w:val="18"/>
                <w:szCs w:val="18"/>
              </w:rPr>
            </w:pPr>
            <w:r>
              <w:rPr>
                <w:rFonts w:ascii="宋体" w:hAnsi="宋体" w:eastAsia="宋体" w:cs="宋体"/>
                <w:sz w:val="18"/>
                <w:szCs w:val="18"/>
              </w:rPr>
              <w:t>林云方</w:t>
            </w:r>
          </w:p>
        </w:tc>
        <w:tc>
          <w:tcPr>
            <w:tcW w:w="914" w:type="dxa"/>
            <w:tcBorders>
              <w:top w:val="single" w:color="auto" w:sz="2" w:space="0"/>
              <w:left w:val="single" w:color="auto" w:sz="2" w:space="0"/>
              <w:bottom w:val="single" w:color="auto" w:sz="2" w:space="0"/>
              <w:right w:val="single" w:color="auto" w:sz="2" w:space="0"/>
            </w:tcBorders>
            <w:vAlign w:val="center"/>
          </w:tcPr>
          <w:p w14:paraId="03059E57">
            <w:pPr>
              <w:spacing w:line="240" w:lineRule="exact"/>
              <w:rPr>
                <w:rFonts w:ascii="宋体" w:hAnsi="宋体" w:eastAsia="宋体" w:cs="宋体"/>
                <w:sz w:val="18"/>
                <w:szCs w:val="18"/>
              </w:rPr>
            </w:pPr>
            <w:r>
              <w:rPr>
                <w:rFonts w:ascii="宋体" w:hAnsi="宋体" w:eastAsia="宋体" w:cs="宋体"/>
                <w:sz w:val="18"/>
                <w:szCs w:val="18"/>
              </w:rPr>
              <w:t>境内自然人</w:t>
            </w:r>
          </w:p>
        </w:tc>
        <w:tc>
          <w:tcPr>
            <w:tcW w:w="709" w:type="dxa"/>
            <w:gridSpan w:val="2"/>
            <w:tcBorders>
              <w:top w:val="single" w:color="auto" w:sz="2" w:space="0"/>
              <w:left w:val="single" w:color="auto" w:sz="2" w:space="0"/>
              <w:bottom w:val="single" w:color="auto" w:sz="2" w:space="0"/>
              <w:right w:val="single" w:color="auto" w:sz="2" w:space="0"/>
            </w:tcBorders>
            <w:vAlign w:val="center"/>
          </w:tcPr>
          <w:p w14:paraId="745662E2">
            <w:pPr>
              <w:spacing w:line="240" w:lineRule="exact"/>
              <w:jc w:val="right"/>
              <w:rPr>
                <w:rFonts w:ascii="宋体" w:hAnsi="宋体" w:eastAsia="宋体" w:cs="宋体"/>
                <w:sz w:val="18"/>
                <w:szCs w:val="18"/>
              </w:rPr>
            </w:pPr>
            <w:r>
              <w:rPr>
                <w:rFonts w:ascii="宋体" w:hAnsi="宋体" w:eastAsia="宋体" w:cs="宋体"/>
                <w:sz w:val="18"/>
                <w:szCs w:val="18"/>
              </w:rPr>
              <w:t>0.45%</w:t>
            </w:r>
          </w:p>
        </w:tc>
        <w:tc>
          <w:tcPr>
            <w:tcW w:w="1275" w:type="dxa"/>
            <w:gridSpan w:val="2"/>
            <w:tcBorders>
              <w:top w:val="single" w:color="auto" w:sz="2" w:space="0"/>
              <w:left w:val="single" w:color="auto" w:sz="2" w:space="0"/>
              <w:bottom w:val="single" w:color="auto" w:sz="2" w:space="0"/>
              <w:right w:val="single" w:color="auto" w:sz="2" w:space="0"/>
            </w:tcBorders>
            <w:vAlign w:val="center"/>
          </w:tcPr>
          <w:p w14:paraId="760B192D">
            <w:pPr>
              <w:spacing w:line="240" w:lineRule="exact"/>
              <w:jc w:val="right"/>
              <w:rPr>
                <w:rFonts w:ascii="宋体" w:hAnsi="宋体" w:eastAsia="宋体" w:cs="宋体"/>
                <w:sz w:val="18"/>
                <w:szCs w:val="18"/>
              </w:rPr>
            </w:pPr>
            <w:r>
              <w:rPr>
                <w:rFonts w:ascii="宋体" w:hAnsi="宋体" w:eastAsia="宋体" w:cs="宋体"/>
                <w:sz w:val="18"/>
                <w:szCs w:val="18"/>
              </w:rPr>
              <w:t>7,700,000</w:t>
            </w:r>
          </w:p>
        </w:tc>
        <w:tc>
          <w:tcPr>
            <w:tcW w:w="1386" w:type="dxa"/>
            <w:gridSpan w:val="3"/>
            <w:tcBorders>
              <w:top w:val="single" w:color="auto" w:sz="2" w:space="0"/>
              <w:left w:val="single" w:color="auto" w:sz="2" w:space="0"/>
              <w:bottom w:val="single" w:color="auto" w:sz="2" w:space="0"/>
              <w:right w:val="single" w:color="auto" w:sz="2" w:space="0"/>
            </w:tcBorders>
            <w:vAlign w:val="center"/>
          </w:tcPr>
          <w:p w14:paraId="49999AD1">
            <w:pPr>
              <w:spacing w:line="240" w:lineRule="exact"/>
              <w:jc w:val="right"/>
              <w:rPr>
                <w:rFonts w:ascii="宋体" w:hAnsi="宋体" w:eastAsia="宋体" w:cs="宋体"/>
                <w:sz w:val="18"/>
                <w:szCs w:val="18"/>
              </w:rPr>
            </w:pPr>
            <w:r>
              <w:rPr>
                <w:rFonts w:ascii="宋体" w:hAnsi="宋体" w:eastAsia="宋体" w:cs="宋体"/>
                <w:sz w:val="18"/>
                <w:szCs w:val="18"/>
              </w:rPr>
              <w:t>4,695,600</w:t>
            </w:r>
          </w:p>
        </w:tc>
        <w:tc>
          <w:tcPr>
            <w:tcW w:w="1071" w:type="dxa"/>
            <w:gridSpan w:val="2"/>
            <w:tcBorders>
              <w:top w:val="single" w:color="auto" w:sz="2" w:space="0"/>
              <w:left w:val="single" w:color="auto" w:sz="2" w:space="0"/>
              <w:bottom w:val="single" w:color="auto" w:sz="2" w:space="0"/>
              <w:right w:val="single" w:color="auto" w:sz="2" w:space="0"/>
            </w:tcBorders>
            <w:vAlign w:val="center"/>
          </w:tcPr>
          <w:p w14:paraId="6780EA4A">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654" w:type="dxa"/>
            <w:gridSpan w:val="2"/>
            <w:tcBorders>
              <w:top w:val="single" w:color="auto" w:sz="2" w:space="0"/>
              <w:left w:val="single" w:color="auto" w:sz="2" w:space="0"/>
              <w:bottom w:val="single" w:color="auto" w:sz="2" w:space="0"/>
              <w:right w:val="single" w:color="auto" w:sz="2" w:space="0"/>
            </w:tcBorders>
            <w:vAlign w:val="center"/>
          </w:tcPr>
          <w:p w14:paraId="6AD9DA26">
            <w:pPr>
              <w:spacing w:line="240" w:lineRule="exact"/>
              <w:jc w:val="right"/>
              <w:rPr>
                <w:rFonts w:ascii="宋体" w:hAnsi="宋体" w:eastAsia="宋体" w:cs="宋体"/>
                <w:sz w:val="18"/>
                <w:szCs w:val="18"/>
              </w:rPr>
            </w:pPr>
            <w:r>
              <w:rPr>
                <w:rFonts w:ascii="宋体" w:hAnsi="宋体" w:eastAsia="宋体" w:cs="宋体"/>
                <w:sz w:val="18"/>
                <w:szCs w:val="18"/>
              </w:rPr>
              <w:t>7,700,000</w:t>
            </w:r>
          </w:p>
        </w:tc>
        <w:tc>
          <w:tcPr>
            <w:tcW w:w="851" w:type="dxa"/>
            <w:gridSpan w:val="2"/>
            <w:tcBorders>
              <w:top w:val="single" w:color="auto" w:sz="2" w:space="0"/>
              <w:left w:val="single" w:color="auto" w:sz="2" w:space="0"/>
              <w:bottom w:val="single" w:color="auto" w:sz="2" w:space="0"/>
              <w:right w:val="single" w:color="auto" w:sz="2" w:space="0"/>
            </w:tcBorders>
            <w:vAlign w:val="center"/>
          </w:tcPr>
          <w:p w14:paraId="4A4A4776">
            <w:pPr>
              <w:spacing w:line="240" w:lineRule="exact"/>
              <w:rPr>
                <w:rFonts w:ascii="宋体" w:hAnsi="宋体" w:eastAsia="宋体" w:cs="宋体"/>
                <w:sz w:val="18"/>
                <w:szCs w:val="18"/>
              </w:rPr>
            </w:pPr>
            <w:r>
              <w:rPr>
                <w:rFonts w:ascii="宋体" w:hAnsi="宋体" w:eastAsia="宋体" w:cs="宋体"/>
                <w:sz w:val="18"/>
                <w:szCs w:val="18"/>
              </w:rPr>
              <w:t>不适用</w:t>
            </w:r>
          </w:p>
        </w:tc>
        <w:tc>
          <w:tcPr>
            <w:tcW w:w="708" w:type="dxa"/>
            <w:tcBorders>
              <w:top w:val="single" w:color="auto" w:sz="2" w:space="0"/>
              <w:left w:val="single" w:color="auto" w:sz="2" w:space="0"/>
              <w:bottom w:val="single" w:color="auto" w:sz="2" w:space="0"/>
              <w:right w:val="single" w:color="auto" w:sz="2" w:space="0"/>
            </w:tcBorders>
            <w:vAlign w:val="center"/>
          </w:tcPr>
          <w:p w14:paraId="0CFFEF1D">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3A9E9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9716C49">
            <w:pPr>
              <w:spacing w:line="240" w:lineRule="exact"/>
              <w:rPr>
                <w:rFonts w:ascii="宋体" w:hAnsi="宋体" w:eastAsia="宋体" w:cs="宋体"/>
                <w:sz w:val="18"/>
                <w:szCs w:val="18"/>
              </w:rPr>
            </w:pPr>
            <w:r>
              <w:rPr>
                <w:rFonts w:ascii="宋体" w:hAnsi="宋体" w:eastAsia="宋体" w:cs="宋体"/>
                <w:sz w:val="18"/>
                <w:szCs w:val="18"/>
              </w:rPr>
              <w:t>付东</w:t>
            </w:r>
          </w:p>
        </w:tc>
        <w:tc>
          <w:tcPr>
            <w:tcW w:w="914" w:type="dxa"/>
            <w:tcBorders>
              <w:top w:val="single" w:color="auto" w:sz="2" w:space="0"/>
              <w:left w:val="single" w:color="auto" w:sz="2" w:space="0"/>
              <w:bottom w:val="single" w:color="auto" w:sz="2" w:space="0"/>
              <w:right w:val="single" w:color="auto" w:sz="2" w:space="0"/>
            </w:tcBorders>
            <w:vAlign w:val="center"/>
          </w:tcPr>
          <w:p w14:paraId="1C94DB6C">
            <w:pPr>
              <w:spacing w:line="240" w:lineRule="exact"/>
              <w:rPr>
                <w:rFonts w:ascii="宋体" w:hAnsi="宋体" w:eastAsia="宋体" w:cs="宋体"/>
                <w:sz w:val="18"/>
                <w:szCs w:val="18"/>
              </w:rPr>
            </w:pPr>
            <w:r>
              <w:rPr>
                <w:rFonts w:ascii="宋体" w:hAnsi="宋体" w:eastAsia="宋体" w:cs="宋体"/>
                <w:sz w:val="18"/>
                <w:szCs w:val="18"/>
              </w:rPr>
              <w:t>境内自然人</w:t>
            </w:r>
          </w:p>
        </w:tc>
        <w:tc>
          <w:tcPr>
            <w:tcW w:w="709" w:type="dxa"/>
            <w:gridSpan w:val="2"/>
            <w:tcBorders>
              <w:top w:val="single" w:color="auto" w:sz="2" w:space="0"/>
              <w:left w:val="single" w:color="auto" w:sz="2" w:space="0"/>
              <w:bottom w:val="single" w:color="auto" w:sz="2" w:space="0"/>
              <w:right w:val="single" w:color="auto" w:sz="2" w:space="0"/>
            </w:tcBorders>
            <w:vAlign w:val="center"/>
          </w:tcPr>
          <w:p w14:paraId="09DE9978">
            <w:pPr>
              <w:spacing w:line="240" w:lineRule="exact"/>
              <w:jc w:val="right"/>
              <w:rPr>
                <w:rFonts w:ascii="宋体" w:hAnsi="宋体" w:eastAsia="宋体" w:cs="宋体"/>
                <w:sz w:val="18"/>
                <w:szCs w:val="18"/>
              </w:rPr>
            </w:pPr>
            <w:r>
              <w:rPr>
                <w:rFonts w:ascii="宋体" w:hAnsi="宋体" w:eastAsia="宋体" w:cs="宋体"/>
                <w:sz w:val="18"/>
                <w:szCs w:val="18"/>
              </w:rPr>
              <w:t>0.42%</w:t>
            </w:r>
          </w:p>
        </w:tc>
        <w:tc>
          <w:tcPr>
            <w:tcW w:w="1275" w:type="dxa"/>
            <w:gridSpan w:val="2"/>
            <w:tcBorders>
              <w:top w:val="single" w:color="auto" w:sz="2" w:space="0"/>
              <w:left w:val="single" w:color="auto" w:sz="2" w:space="0"/>
              <w:bottom w:val="single" w:color="auto" w:sz="2" w:space="0"/>
              <w:right w:val="single" w:color="auto" w:sz="2" w:space="0"/>
            </w:tcBorders>
            <w:vAlign w:val="center"/>
          </w:tcPr>
          <w:p w14:paraId="3BCB391B">
            <w:pPr>
              <w:spacing w:line="240" w:lineRule="exact"/>
              <w:jc w:val="right"/>
              <w:rPr>
                <w:rFonts w:ascii="宋体" w:hAnsi="宋体" w:eastAsia="宋体" w:cs="宋体"/>
                <w:sz w:val="18"/>
                <w:szCs w:val="18"/>
              </w:rPr>
            </w:pPr>
            <w:r>
              <w:rPr>
                <w:rFonts w:ascii="宋体" w:hAnsi="宋体" w:eastAsia="宋体" w:cs="宋体"/>
                <w:sz w:val="18"/>
                <w:szCs w:val="18"/>
              </w:rPr>
              <w:t>7,191,300</w:t>
            </w:r>
          </w:p>
        </w:tc>
        <w:tc>
          <w:tcPr>
            <w:tcW w:w="1386" w:type="dxa"/>
            <w:gridSpan w:val="3"/>
            <w:tcBorders>
              <w:top w:val="single" w:color="auto" w:sz="2" w:space="0"/>
              <w:left w:val="single" w:color="auto" w:sz="2" w:space="0"/>
              <w:bottom w:val="single" w:color="auto" w:sz="2" w:space="0"/>
              <w:right w:val="single" w:color="auto" w:sz="2" w:space="0"/>
            </w:tcBorders>
            <w:vAlign w:val="center"/>
          </w:tcPr>
          <w:p w14:paraId="58749ECD">
            <w:pPr>
              <w:spacing w:line="240" w:lineRule="exact"/>
              <w:jc w:val="right"/>
              <w:rPr>
                <w:rFonts w:ascii="宋体" w:hAnsi="宋体" w:eastAsia="宋体" w:cs="宋体"/>
                <w:sz w:val="18"/>
                <w:szCs w:val="18"/>
              </w:rPr>
            </w:pPr>
            <w:r>
              <w:rPr>
                <w:rFonts w:ascii="宋体" w:hAnsi="宋体" w:eastAsia="宋体" w:cs="宋体"/>
                <w:sz w:val="18"/>
                <w:szCs w:val="18"/>
              </w:rPr>
              <w:t>7,191,300</w:t>
            </w:r>
          </w:p>
        </w:tc>
        <w:tc>
          <w:tcPr>
            <w:tcW w:w="1071" w:type="dxa"/>
            <w:gridSpan w:val="2"/>
            <w:tcBorders>
              <w:top w:val="single" w:color="auto" w:sz="2" w:space="0"/>
              <w:left w:val="single" w:color="auto" w:sz="2" w:space="0"/>
              <w:bottom w:val="single" w:color="auto" w:sz="2" w:space="0"/>
              <w:right w:val="single" w:color="auto" w:sz="2" w:space="0"/>
            </w:tcBorders>
            <w:vAlign w:val="center"/>
          </w:tcPr>
          <w:p w14:paraId="5B73CA0B">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654" w:type="dxa"/>
            <w:gridSpan w:val="2"/>
            <w:tcBorders>
              <w:top w:val="single" w:color="auto" w:sz="2" w:space="0"/>
              <w:left w:val="single" w:color="auto" w:sz="2" w:space="0"/>
              <w:bottom w:val="single" w:color="auto" w:sz="2" w:space="0"/>
              <w:right w:val="single" w:color="auto" w:sz="2" w:space="0"/>
            </w:tcBorders>
            <w:vAlign w:val="center"/>
          </w:tcPr>
          <w:p w14:paraId="71214127">
            <w:pPr>
              <w:spacing w:line="240" w:lineRule="exact"/>
              <w:jc w:val="right"/>
              <w:rPr>
                <w:rFonts w:ascii="宋体" w:hAnsi="宋体" w:eastAsia="宋体" w:cs="宋体"/>
                <w:sz w:val="18"/>
                <w:szCs w:val="18"/>
              </w:rPr>
            </w:pPr>
            <w:r>
              <w:rPr>
                <w:rFonts w:ascii="宋体" w:hAnsi="宋体" w:eastAsia="宋体" w:cs="宋体"/>
                <w:sz w:val="18"/>
                <w:szCs w:val="18"/>
              </w:rPr>
              <w:t>7,191,300</w:t>
            </w:r>
          </w:p>
        </w:tc>
        <w:tc>
          <w:tcPr>
            <w:tcW w:w="851" w:type="dxa"/>
            <w:gridSpan w:val="2"/>
            <w:tcBorders>
              <w:top w:val="single" w:color="auto" w:sz="2" w:space="0"/>
              <w:left w:val="single" w:color="auto" w:sz="2" w:space="0"/>
              <w:bottom w:val="single" w:color="auto" w:sz="2" w:space="0"/>
              <w:right w:val="single" w:color="auto" w:sz="2" w:space="0"/>
            </w:tcBorders>
            <w:vAlign w:val="center"/>
          </w:tcPr>
          <w:p w14:paraId="2BDD575E">
            <w:pPr>
              <w:spacing w:line="240" w:lineRule="exact"/>
              <w:rPr>
                <w:rFonts w:ascii="宋体" w:hAnsi="宋体" w:eastAsia="宋体" w:cs="宋体"/>
                <w:sz w:val="18"/>
                <w:szCs w:val="18"/>
              </w:rPr>
            </w:pPr>
            <w:r>
              <w:rPr>
                <w:rFonts w:ascii="宋体" w:hAnsi="宋体" w:eastAsia="宋体" w:cs="宋体"/>
                <w:sz w:val="18"/>
                <w:szCs w:val="18"/>
              </w:rPr>
              <w:t>不适用</w:t>
            </w:r>
          </w:p>
        </w:tc>
        <w:tc>
          <w:tcPr>
            <w:tcW w:w="708" w:type="dxa"/>
            <w:tcBorders>
              <w:top w:val="single" w:color="auto" w:sz="2" w:space="0"/>
              <w:left w:val="single" w:color="auto" w:sz="2" w:space="0"/>
              <w:bottom w:val="single" w:color="auto" w:sz="2" w:space="0"/>
              <w:right w:val="single" w:color="auto" w:sz="2" w:space="0"/>
            </w:tcBorders>
            <w:vAlign w:val="center"/>
          </w:tcPr>
          <w:p w14:paraId="18626B54">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2B4EF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92F95C6">
            <w:pPr>
              <w:spacing w:line="240" w:lineRule="exact"/>
              <w:rPr>
                <w:rFonts w:ascii="宋体" w:hAnsi="宋体" w:eastAsia="宋体" w:cs="宋体"/>
                <w:sz w:val="18"/>
                <w:szCs w:val="18"/>
              </w:rPr>
            </w:pPr>
            <w:r>
              <w:rPr>
                <w:rFonts w:ascii="宋体" w:hAnsi="宋体" w:eastAsia="宋体" w:cs="宋体"/>
                <w:sz w:val="18"/>
                <w:szCs w:val="18"/>
              </w:rPr>
              <w:t>王佐君</w:t>
            </w:r>
          </w:p>
        </w:tc>
        <w:tc>
          <w:tcPr>
            <w:tcW w:w="914" w:type="dxa"/>
            <w:tcBorders>
              <w:top w:val="single" w:color="auto" w:sz="2" w:space="0"/>
              <w:left w:val="single" w:color="auto" w:sz="2" w:space="0"/>
              <w:bottom w:val="single" w:color="auto" w:sz="2" w:space="0"/>
              <w:right w:val="single" w:color="auto" w:sz="2" w:space="0"/>
            </w:tcBorders>
            <w:vAlign w:val="center"/>
          </w:tcPr>
          <w:p w14:paraId="5360E33B">
            <w:pPr>
              <w:spacing w:line="240" w:lineRule="exact"/>
              <w:rPr>
                <w:rFonts w:ascii="宋体" w:hAnsi="宋体" w:eastAsia="宋体" w:cs="宋体"/>
                <w:sz w:val="18"/>
                <w:szCs w:val="18"/>
              </w:rPr>
            </w:pPr>
            <w:r>
              <w:rPr>
                <w:rFonts w:ascii="宋体" w:hAnsi="宋体" w:eastAsia="宋体" w:cs="宋体"/>
                <w:sz w:val="18"/>
                <w:szCs w:val="18"/>
              </w:rPr>
              <w:t>境内自然人</w:t>
            </w:r>
          </w:p>
        </w:tc>
        <w:tc>
          <w:tcPr>
            <w:tcW w:w="709" w:type="dxa"/>
            <w:gridSpan w:val="2"/>
            <w:tcBorders>
              <w:top w:val="single" w:color="auto" w:sz="2" w:space="0"/>
              <w:left w:val="single" w:color="auto" w:sz="2" w:space="0"/>
              <w:bottom w:val="single" w:color="auto" w:sz="2" w:space="0"/>
              <w:right w:val="single" w:color="auto" w:sz="2" w:space="0"/>
            </w:tcBorders>
            <w:vAlign w:val="center"/>
          </w:tcPr>
          <w:p w14:paraId="22F92805">
            <w:pPr>
              <w:spacing w:line="240" w:lineRule="exact"/>
              <w:jc w:val="right"/>
              <w:rPr>
                <w:rFonts w:ascii="宋体" w:hAnsi="宋体" w:eastAsia="宋体" w:cs="宋体"/>
                <w:sz w:val="18"/>
                <w:szCs w:val="18"/>
              </w:rPr>
            </w:pPr>
            <w:r>
              <w:rPr>
                <w:rFonts w:ascii="宋体" w:hAnsi="宋体" w:eastAsia="宋体" w:cs="宋体"/>
                <w:sz w:val="18"/>
                <w:szCs w:val="18"/>
              </w:rPr>
              <w:t>0.42%</w:t>
            </w:r>
          </w:p>
        </w:tc>
        <w:tc>
          <w:tcPr>
            <w:tcW w:w="1275" w:type="dxa"/>
            <w:gridSpan w:val="2"/>
            <w:tcBorders>
              <w:top w:val="single" w:color="auto" w:sz="2" w:space="0"/>
              <w:left w:val="single" w:color="auto" w:sz="2" w:space="0"/>
              <w:bottom w:val="single" w:color="auto" w:sz="2" w:space="0"/>
              <w:right w:val="single" w:color="auto" w:sz="2" w:space="0"/>
            </w:tcBorders>
            <w:vAlign w:val="center"/>
          </w:tcPr>
          <w:p w14:paraId="5EF9CF06">
            <w:pPr>
              <w:spacing w:line="240" w:lineRule="exact"/>
              <w:jc w:val="right"/>
              <w:rPr>
                <w:rFonts w:ascii="宋体" w:hAnsi="宋体" w:eastAsia="宋体" w:cs="宋体"/>
                <w:sz w:val="18"/>
                <w:szCs w:val="18"/>
              </w:rPr>
            </w:pPr>
            <w:r>
              <w:rPr>
                <w:rFonts w:ascii="宋体" w:hAnsi="宋体" w:eastAsia="宋体" w:cs="宋体"/>
                <w:sz w:val="18"/>
                <w:szCs w:val="18"/>
              </w:rPr>
              <w:t>7,058,300</w:t>
            </w:r>
          </w:p>
        </w:tc>
        <w:tc>
          <w:tcPr>
            <w:tcW w:w="1386" w:type="dxa"/>
            <w:gridSpan w:val="3"/>
            <w:tcBorders>
              <w:top w:val="single" w:color="auto" w:sz="2" w:space="0"/>
              <w:left w:val="single" w:color="auto" w:sz="2" w:space="0"/>
              <w:bottom w:val="single" w:color="auto" w:sz="2" w:space="0"/>
              <w:right w:val="single" w:color="auto" w:sz="2" w:space="0"/>
            </w:tcBorders>
            <w:vAlign w:val="center"/>
          </w:tcPr>
          <w:p w14:paraId="53E8BA77">
            <w:pPr>
              <w:spacing w:line="240" w:lineRule="exact"/>
              <w:jc w:val="right"/>
              <w:rPr>
                <w:rFonts w:ascii="宋体" w:hAnsi="宋体" w:eastAsia="宋体" w:cs="宋体"/>
                <w:sz w:val="18"/>
                <w:szCs w:val="18"/>
              </w:rPr>
            </w:pPr>
            <w:r>
              <w:rPr>
                <w:rFonts w:ascii="宋体" w:hAnsi="宋体" w:eastAsia="宋体" w:cs="宋体"/>
                <w:sz w:val="18"/>
                <w:szCs w:val="18"/>
              </w:rPr>
              <w:t>7,058,300</w:t>
            </w:r>
          </w:p>
        </w:tc>
        <w:tc>
          <w:tcPr>
            <w:tcW w:w="1071" w:type="dxa"/>
            <w:gridSpan w:val="2"/>
            <w:tcBorders>
              <w:top w:val="single" w:color="auto" w:sz="2" w:space="0"/>
              <w:left w:val="single" w:color="auto" w:sz="2" w:space="0"/>
              <w:bottom w:val="single" w:color="auto" w:sz="2" w:space="0"/>
              <w:right w:val="single" w:color="auto" w:sz="2" w:space="0"/>
            </w:tcBorders>
            <w:vAlign w:val="center"/>
          </w:tcPr>
          <w:p w14:paraId="3700EDFA">
            <w:pPr>
              <w:spacing w:line="240" w:lineRule="exact"/>
              <w:jc w:val="right"/>
              <w:rPr>
                <w:rFonts w:ascii="宋体" w:hAnsi="宋体" w:eastAsia="宋体" w:cs="宋体"/>
                <w:sz w:val="18"/>
                <w:szCs w:val="18"/>
              </w:rPr>
            </w:pPr>
            <w:r>
              <w:rPr>
                <w:rFonts w:ascii="宋体" w:hAnsi="宋体" w:eastAsia="宋体" w:cs="宋体"/>
                <w:sz w:val="18"/>
                <w:szCs w:val="18"/>
              </w:rPr>
              <w:t>0</w:t>
            </w:r>
          </w:p>
        </w:tc>
        <w:tc>
          <w:tcPr>
            <w:tcW w:w="1654" w:type="dxa"/>
            <w:gridSpan w:val="2"/>
            <w:tcBorders>
              <w:top w:val="single" w:color="auto" w:sz="2" w:space="0"/>
              <w:left w:val="single" w:color="auto" w:sz="2" w:space="0"/>
              <w:bottom w:val="single" w:color="auto" w:sz="2" w:space="0"/>
              <w:right w:val="single" w:color="auto" w:sz="2" w:space="0"/>
            </w:tcBorders>
            <w:vAlign w:val="center"/>
          </w:tcPr>
          <w:p w14:paraId="53E2EBB9">
            <w:pPr>
              <w:spacing w:line="240" w:lineRule="exact"/>
              <w:jc w:val="right"/>
              <w:rPr>
                <w:rFonts w:ascii="宋体" w:hAnsi="宋体" w:eastAsia="宋体" w:cs="宋体"/>
                <w:sz w:val="18"/>
                <w:szCs w:val="18"/>
              </w:rPr>
            </w:pPr>
            <w:r>
              <w:rPr>
                <w:rFonts w:ascii="宋体" w:hAnsi="宋体" w:eastAsia="宋体" w:cs="宋体"/>
                <w:sz w:val="18"/>
                <w:szCs w:val="18"/>
              </w:rPr>
              <w:t>7,058,300</w:t>
            </w:r>
          </w:p>
        </w:tc>
        <w:tc>
          <w:tcPr>
            <w:tcW w:w="851" w:type="dxa"/>
            <w:gridSpan w:val="2"/>
            <w:tcBorders>
              <w:top w:val="single" w:color="auto" w:sz="2" w:space="0"/>
              <w:left w:val="single" w:color="auto" w:sz="2" w:space="0"/>
              <w:bottom w:val="single" w:color="auto" w:sz="2" w:space="0"/>
              <w:right w:val="single" w:color="auto" w:sz="2" w:space="0"/>
            </w:tcBorders>
            <w:vAlign w:val="center"/>
          </w:tcPr>
          <w:p w14:paraId="6468B306">
            <w:pPr>
              <w:spacing w:line="240" w:lineRule="exact"/>
              <w:rPr>
                <w:rFonts w:ascii="宋体" w:hAnsi="宋体" w:eastAsia="宋体" w:cs="宋体"/>
                <w:sz w:val="18"/>
                <w:szCs w:val="18"/>
              </w:rPr>
            </w:pPr>
            <w:r>
              <w:rPr>
                <w:rFonts w:ascii="宋体" w:hAnsi="宋体" w:eastAsia="宋体" w:cs="宋体"/>
                <w:sz w:val="18"/>
                <w:szCs w:val="18"/>
              </w:rPr>
              <w:t>不适用</w:t>
            </w:r>
          </w:p>
        </w:tc>
        <w:tc>
          <w:tcPr>
            <w:tcW w:w="708" w:type="dxa"/>
            <w:tcBorders>
              <w:top w:val="single" w:color="auto" w:sz="2" w:space="0"/>
              <w:left w:val="single" w:color="auto" w:sz="2" w:space="0"/>
              <w:bottom w:val="single" w:color="auto" w:sz="2" w:space="0"/>
              <w:right w:val="single" w:color="auto" w:sz="2" w:space="0"/>
            </w:tcBorders>
            <w:vAlign w:val="center"/>
          </w:tcPr>
          <w:p w14:paraId="14FAC0BA">
            <w:pPr>
              <w:spacing w:line="240" w:lineRule="exact"/>
              <w:jc w:val="right"/>
              <w:rPr>
                <w:rFonts w:ascii="宋体" w:hAnsi="宋体" w:eastAsia="宋体" w:cs="宋体"/>
                <w:sz w:val="18"/>
                <w:szCs w:val="18"/>
              </w:rPr>
            </w:pPr>
            <w:r>
              <w:rPr>
                <w:rFonts w:ascii="宋体" w:hAnsi="宋体" w:eastAsia="宋体" w:cs="宋体"/>
                <w:sz w:val="18"/>
                <w:szCs w:val="18"/>
              </w:rPr>
              <w:t>0</w:t>
            </w:r>
          </w:p>
        </w:tc>
      </w:tr>
      <w:tr w14:paraId="6D4A1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6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556EBF43">
            <w:pPr>
              <w:spacing w:before="40" w:after="40" w:line="240" w:lineRule="exact"/>
              <w:rPr>
                <w:rFonts w:ascii="宋体" w:hAnsi="宋体" w:eastAsia="宋体" w:cs="宋体"/>
                <w:sz w:val="18"/>
                <w:szCs w:val="18"/>
              </w:rPr>
            </w:pPr>
            <w:r>
              <w:rPr>
                <w:rFonts w:ascii="宋体" w:hAnsi="宋体" w:eastAsia="宋体" w:cs="宋体"/>
                <w:sz w:val="18"/>
                <w:szCs w:val="18"/>
              </w:rPr>
              <w:t>战略投资者或一般法人因配售新股成为前10名股东的情况（如有）（参见注3）</w:t>
            </w:r>
          </w:p>
        </w:tc>
        <w:tc>
          <w:tcPr>
            <w:tcW w:w="5670" w:type="dxa"/>
            <w:gridSpan w:val="10"/>
            <w:tcBorders>
              <w:top w:val="single" w:color="auto" w:sz="2" w:space="0"/>
              <w:left w:val="single" w:color="auto" w:sz="2" w:space="0"/>
              <w:bottom w:val="single" w:color="auto" w:sz="2" w:space="0"/>
              <w:right w:val="single" w:color="auto" w:sz="2" w:space="0"/>
            </w:tcBorders>
            <w:vAlign w:val="center"/>
          </w:tcPr>
          <w:p w14:paraId="7E025378">
            <w:pPr>
              <w:spacing w:line="240" w:lineRule="exact"/>
              <w:rPr>
                <w:rFonts w:ascii="宋体" w:hAnsi="宋体" w:eastAsia="宋体" w:cs="宋体"/>
                <w:sz w:val="18"/>
                <w:szCs w:val="18"/>
              </w:rPr>
            </w:pPr>
            <w:r>
              <w:rPr>
                <w:rFonts w:ascii="宋体" w:hAnsi="宋体" w:eastAsia="宋体" w:cs="宋体"/>
                <w:sz w:val="18"/>
                <w:szCs w:val="18"/>
              </w:rPr>
              <w:t>无</w:t>
            </w:r>
          </w:p>
        </w:tc>
      </w:tr>
      <w:tr w14:paraId="18B61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6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5F767A0B">
            <w:pPr>
              <w:spacing w:before="40" w:after="40" w:line="240" w:lineRule="exact"/>
              <w:rPr>
                <w:rFonts w:ascii="宋体" w:hAnsi="宋体" w:eastAsia="宋体" w:cs="宋体"/>
                <w:sz w:val="18"/>
                <w:szCs w:val="18"/>
              </w:rPr>
            </w:pPr>
            <w:r>
              <w:rPr>
                <w:rFonts w:ascii="宋体" w:hAnsi="宋体" w:eastAsia="宋体" w:cs="宋体"/>
                <w:sz w:val="18"/>
                <w:szCs w:val="18"/>
              </w:rPr>
              <w:t>上述股东关联关系或一致行动的说明</w:t>
            </w:r>
          </w:p>
        </w:tc>
        <w:tc>
          <w:tcPr>
            <w:tcW w:w="5670" w:type="dxa"/>
            <w:gridSpan w:val="10"/>
            <w:tcBorders>
              <w:top w:val="single" w:color="auto" w:sz="2" w:space="0"/>
              <w:left w:val="single" w:color="auto" w:sz="2" w:space="0"/>
              <w:bottom w:val="single" w:color="auto" w:sz="2" w:space="0"/>
              <w:right w:val="single" w:color="auto" w:sz="2" w:space="0"/>
            </w:tcBorders>
            <w:vAlign w:val="center"/>
          </w:tcPr>
          <w:p w14:paraId="2AC4373A">
            <w:pPr>
              <w:spacing w:line="240" w:lineRule="exact"/>
              <w:rPr>
                <w:rFonts w:ascii="宋体" w:hAnsi="宋体" w:eastAsia="宋体" w:cs="宋体"/>
                <w:sz w:val="18"/>
                <w:szCs w:val="18"/>
              </w:rPr>
            </w:pPr>
            <w:r>
              <w:rPr>
                <w:rFonts w:ascii="宋体" w:hAnsi="宋体" w:eastAsia="宋体" w:cs="宋体"/>
                <w:sz w:val="18"/>
                <w:szCs w:val="18"/>
              </w:rPr>
              <w:t>上述股东中华孚控股有限公司、安徽飞亚纺织有限公司、深圳市华人投资有限公司为公司控股股东及一致行动人，其余流通股东与控股股东之间不存在关联关系，也不属于一致行动人。未知其余流通股股东之间是否存在关联关系或是否属于一致行动人。</w:t>
            </w:r>
          </w:p>
        </w:tc>
      </w:tr>
      <w:tr w14:paraId="065C1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6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637C25DC">
            <w:pPr>
              <w:spacing w:before="40" w:after="40" w:line="240" w:lineRule="exact"/>
              <w:rPr>
                <w:rFonts w:ascii="宋体" w:hAnsi="宋体" w:eastAsia="宋体" w:cs="宋体"/>
                <w:sz w:val="18"/>
                <w:szCs w:val="18"/>
              </w:rPr>
            </w:pPr>
            <w:r>
              <w:rPr>
                <w:rFonts w:ascii="宋体" w:hAnsi="宋体" w:eastAsia="宋体" w:cs="宋体"/>
                <w:sz w:val="18"/>
                <w:szCs w:val="18"/>
              </w:rPr>
              <w:t>上述股东涉及委托/受托表决权、放弃表决权情况的说明</w:t>
            </w:r>
          </w:p>
        </w:tc>
        <w:tc>
          <w:tcPr>
            <w:tcW w:w="5670" w:type="dxa"/>
            <w:gridSpan w:val="10"/>
            <w:tcBorders>
              <w:top w:val="single" w:color="auto" w:sz="2" w:space="0"/>
              <w:left w:val="single" w:color="auto" w:sz="2" w:space="0"/>
              <w:bottom w:val="single" w:color="auto" w:sz="2" w:space="0"/>
              <w:right w:val="single" w:color="auto" w:sz="2" w:space="0"/>
            </w:tcBorders>
            <w:vAlign w:val="center"/>
          </w:tcPr>
          <w:p w14:paraId="753D3620">
            <w:pPr>
              <w:spacing w:line="240" w:lineRule="exact"/>
              <w:rPr>
                <w:rFonts w:ascii="宋体" w:hAnsi="宋体" w:eastAsia="宋体" w:cs="宋体"/>
                <w:sz w:val="18"/>
                <w:szCs w:val="18"/>
              </w:rPr>
            </w:pPr>
            <w:r>
              <w:rPr>
                <w:rFonts w:ascii="宋体" w:hAnsi="宋体" w:eastAsia="宋体" w:cs="宋体"/>
                <w:sz w:val="18"/>
                <w:szCs w:val="18"/>
              </w:rPr>
              <w:t>无</w:t>
            </w:r>
          </w:p>
        </w:tc>
      </w:tr>
      <w:tr w14:paraId="48D99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6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31E8DEC0">
            <w:pPr>
              <w:spacing w:before="40" w:after="40" w:line="240" w:lineRule="exact"/>
              <w:rPr>
                <w:rFonts w:ascii="宋体" w:hAnsi="宋体" w:eastAsia="宋体" w:cs="宋体"/>
                <w:sz w:val="18"/>
                <w:szCs w:val="18"/>
              </w:rPr>
            </w:pPr>
            <w:r>
              <w:rPr>
                <w:rFonts w:ascii="宋体" w:hAnsi="宋体" w:eastAsia="宋体" w:cs="宋体"/>
                <w:sz w:val="18"/>
                <w:szCs w:val="18"/>
              </w:rPr>
              <w:t>前10名股东中存在回购专户的特别说明（如有）（参见注10）</w:t>
            </w:r>
          </w:p>
        </w:tc>
        <w:tc>
          <w:tcPr>
            <w:tcW w:w="5670" w:type="dxa"/>
            <w:gridSpan w:val="10"/>
            <w:tcBorders>
              <w:top w:val="single" w:color="auto" w:sz="2" w:space="0"/>
              <w:left w:val="single" w:color="auto" w:sz="2" w:space="0"/>
              <w:bottom w:val="single" w:color="auto" w:sz="2" w:space="0"/>
              <w:right w:val="single" w:color="auto" w:sz="2" w:space="0"/>
            </w:tcBorders>
            <w:vAlign w:val="center"/>
          </w:tcPr>
          <w:p w14:paraId="3E74CD94">
            <w:pPr>
              <w:spacing w:line="240" w:lineRule="exact"/>
              <w:rPr>
                <w:rFonts w:ascii="宋体" w:hAnsi="宋体" w:eastAsia="宋体" w:cs="宋体"/>
                <w:sz w:val="18"/>
                <w:szCs w:val="18"/>
              </w:rPr>
            </w:pPr>
            <w:r>
              <w:rPr>
                <w:rFonts w:ascii="宋体" w:hAnsi="宋体" w:eastAsia="宋体" w:cs="宋体"/>
                <w:sz w:val="18"/>
                <w:szCs w:val="18"/>
              </w:rPr>
              <w:t>前十名股东中存在回购专户，按要求不纳入前十大股东列示。截止12月31日，回购专户股份数量为95,478,485股，占比5.61%。</w:t>
            </w:r>
          </w:p>
        </w:tc>
      </w:tr>
      <w:tr w14:paraId="72226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6"/>
            <w:tcBorders>
              <w:top w:val="single" w:color="auto" w:sz="2" w:space="0"/>
              <w:left w:val="single" w:color="auto" w:sz="2" w:space="0"/>
              <w:bottom w:val="single" w:color="auto" w:sz="2" w:space="0"/>
              <w:right w:val="single" w:color="auto" w:sz="2" w:space="0"/>
            </w:tcBorders>
            <w:shd w:val="clear" w:color="auto" w:fill="D3D3D3"/>
            <w:vAlign w:val="center"/>
          </w:tcPr>
          <w:p w14:paraId="37C8A15C">
            <w:pPr>
              <w:spacing w:before="40" w:after="40" w:line="240" w:lineRule="exact"/>
              <w:jc w:val="center"/>
              <w:rPr>
                <w:rFonts w:ascii="宋体" w:hAnsi="宋体" w:eastAsia="宋体" w:cs="宋体"/>
                <w:sz w:val="18"/>
                <w:szCs w:val="18"/>
              </w:rPr>
            </w:pPr>
            <w:r>
              <w:rPr>
                <w:rFonts w:ascii="宋体" w:hAnsi="宋体" w:eastAsia="宋体" w:cs="宋体"/>
                <w:sz w:val="18"/>
                <w:szCs w:val="18"/>
              </w:rPr>
              <w:t>前10名无限售条件股东持股情况（不含通过转融通出借股份、高管锁定股）</w:t>
            </w:r>
          </w:p>
        </w:tc>
      </w:tr>
      <w:tr w14:paraId="20223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3"/>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8A17CE3">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3954" w:type="dxa"/>
            <w:gridSpan w:val="7"/>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451210E">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报告期末持有无限售条件股份数量</w:t>
            </w:r>
          </w:p>
        </w:tc>
        <w:tc>
          <w:tcPr>
            <w:tcW w:w="3543"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60855D96">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r>
      <w:tr w14:paraId="63EB4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3"/>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45D7E10"/>
        </w:tc>
        <w:tc>
          <w:tcPr>
            <w:tcW w:w="3954" w:type="dxa"/>
            <w:gridSpan w:val="7"/>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44955A3"/>
        </w:tc>
        <w:tc>
          <w:tcPr>
            <w:tcW w:w="170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1B6A7EB">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84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5DE45712">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14:paraId="2D1D3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3"/>
            <w:tcBorders>
              <w:top w:val="single" w:color="auto" w:sz="2" w:space="0"/>
              <w:left w:val="single" w:color="auto" w:sz="2" w:space="0"/>
              <w:bottom w:val="single" w:color="auto" w:sz="2" w:space="0"/>
              <w:right w:val="single" w:color="auto" w:sz="2" w:space="0"/>
            </w:tcBorders>
            <w:vAlign w:val="center"/>
          </w:tcPr>
          <w:p w14:paraId="64878905">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3954" w:type="dxa"/>
            <w:gridSpan w:val="7"/>
            <w:tcBorders>
              <w:top w:val="single" w:color="auto" w:sz="2" w:space="0"/>
              <w:left w:val="single" w:color="auto" w:sz="2" w:space="0"/>
              <w:bottom w:val="single" w:color="auto" w:sz="2" w:space="0"/>
              <w:right w:val="single" w:color="auto" w:sz="2" w:space="0"/>
            </w:tcBorders>
            <w:vAlign w:val="center"/>
          </w:tcPr>
          <w:p w14:paraId="5ED1CD1D">
            <w:pPr>
              <w:spacing w:line="240" w:lineRule="exact"/>
              <w:jc w:val="right"/>
              <w:rPr>
                <w:rFonts w:ascii="宋体" w:hAnsi="宋体" w:eastAsia="宋体" w:cs="宋体"/>
                <w:sz w:val="18"/>
                <w:szCs w:val="18"/>
              </w:rPr>
            </w:pPr>
            <w:r>
              <w:rPr>
                <w:rFonts w:ascii="宋体" w:hAnsi="宋体" w:eastAsia="宋体" w:cs="宋体"/>
                <w:sz w:val="18"/>
                <w:szCs w:val="18"/>
              </w:rPr>
              <w:t>401,315,662</w:t>
            </w:r>
          </w:p>
        </w:tc>
        <w:tc>
          <w:tcPr>
            <w:tcW w:w="1701" w:type="dxa"/>
            <w:gridSpan w:val="2"/>
            <w:tcBorders>
              <w:top w:val="single" w:color="auto" w:sz="2" w:space="0"/>
              <w:left w:val="single" w:color="auto" w:sz="2" w:space="0"/>
              <w:bottom w:val="single" w:color="auto" w:sz="2" w:space="0"/>
              <w:right w:val="single" w:color="auto" w:sz="2" w:space="0"/>
            </w:tcBorders>
            <w:vAlign w:val="center"/>
          </w:tcPr>
          <w:p w14:paraId="02DAC3BF">
            <w:pPr>
              <w:spacing w:line="240" w:lineRule="exact"/>
              <w:rPr>
                <w:rFonts w:ascii="宋体" w:hAnsi="宋体" w:eastAsia="宋体" w:cs="宋体"/>
                <w:sz w:val="18"/>
                <w:szCs w:val="18"/>
              </w:rPr>
            </w:pPr>
            <w:r>
              <w:rPr>
                <w:rFonts w:ascii="宋体" w:hAnsi="宋体" w:eastAsia="宋体" w:cs="宋体"/>
                <w:sz w:val="18"/>
                <w:szCs w:val="18"/>
              </w:rPr>
              <w:t>人民币普通股</w:t>
            </w:r>
          </w:p>
        </w:tc>
        <w:tc>
          <w:tcPr>
            <w:tcW w:w="1842" w:type="dxa"/>
            <w:gridSpan w:val="4"/>
            <w:tcBorders>
              <w:top w:val="single" w:color="auto" w:sz="2" w:space="0"/>
              <w:left w:val="single" w:color="auto" w:sz="2" w:space="0"/>
              <w:bottom w:val="single" w:color="auto" w:sz="2" w:space="0"/>
              <w:right w:val="single" w:color="auto" w:sz="2" w:space="0"/>
            </w:tcBorders>
            <w:vAlign w:val="center"/>
          </w:tcPr>
          <w:p w14:paraId="730C409E">
            <w:pPr>
              <w:spacing w:line="240" w:lineRule="exact"/>
              <w:jc w:val="right"/>
              <w:rPr>
                <w:rFonts w:ascii="宋体" w:hAnsi="宋体" w:eastAsia="宋体" w:cs="宋体"/>
                <w:sz w:val="18"/>
                <w:szCs w:val="18"/>
              </w:rPr>
            </w:pPr>
            <w:r>
              <w:rPr>
                <w:rFonts w:ascii="宋体" w:hAnsi="宋体" w:eastAsia="宋体" w:cs="宋体"/>
                <w:sz w:val="18"/>
                <w:szCs w:val="18"/>
              </w:rPr>
              <w:t>401,315,662</w:t>
            </w:r>
          </w:p>
        </w:tc>
      </w:tr>
      <w:tr w14:paraId="35365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3"/>
            <w:tcBorders>
              <w:top w:val="single" w:color="auto" w:sz="2" w:space="0"/>
              <w:left w:val="single" w:color="auto" w:sz="2" w:space="0"/>
              <w:bottom w:val="single" w:color="auto" w:sz="2" w:space="0"/>
              <w:right w:val="single" w:color="auto" w:sz="2" w:space="0"/>
            </w:tcBorders>
            <w:vAlign w:val="center"/>
          </w:tcPr>
          <w:p w14:paraId="0B64625F">
            <w:pPr>
              <w:spacing w:line="240" w:lineRule="exact"/>
              <w:rPr>
                <w:rFonts w:ascii="宋体" w:hAnsi="宋体" w:eastAsia="宋体" w:cs="宋体"/>
                <w:sz w:val="18"/>
                <w:szCs w:val="18"/>
              </w:rPr>
            </w:pPr>
            <w:r>
              <w:rPr>
                <w:rFonts w:ascii="宋体" w:hAnsi="宋体" w:eastAsia="宋体" w:cs="宋体"/>
                <w:sz w:val="18"/>
                <w:szCs w:val="18"/>
              </w:rPr>
              <w:t>安徽飞亚纺织有限公司</w:t>
            </w:r>
          </w:p>
        </w:tc>
        <w:tc>
          <w:tcPr>
            <w:tcW w:w="3954" w:type="dxa"/>
            <w:gridSpan w:val="7"/>
            <w:tcBorders>
              <w:top w:val="single" w:color="auto" w:sz="2" w:space="0"/>
              <w:left w:val="single" w:color="auto" w:sz="2" w:space="0"/>
              <w:bottom w:val="single" w:color="auto" w:sz="2" w:space="0"/>
              <w:right w:val="single" w:color="auto" w:sz="2" w:space="0"/>
            </w:tcBorders>
            <w:vAlign w:val="center"/>
          </w:tcPr>
          <w:p w14:paraId="2BE898C5">
            <w:pPr>
              <w:spacing w:line="240" w:lineRule="exact"/>
              <w:jc w:val="right"/>
              <w:rPr>
                <w:rFonts w:ascii="宋体" w:hAnsi="宋体" w:eastAsia="宋体" w:cs="宋体"/>
                <w:sz w:val="18"/>
                <w:szCs w:val="18"/>
              </w:rPr>
            </w:pPr>
            <w:r>
              <w:rPr>
                <w:rFonts w:ascii="宋体" w:hAnsi="宋体" w:eastAsia="宋体" w:cs="宋体"/>
                <w:sz w:val="18"/>
                <w:szCs w:val="18"/>
              </w:rPr>
              <w:t>129,058,312</w:t>
            </w:r>
          </w:p>
        </w:tc>
        <w:tc>
          <w:tcPr>
            <w:tcW w:w="1701" w:type="dxa"/>
            <w:gridSpan w:val="2"/>
            <w:tcBorders>
              <w:top w:val="single" w:color="auto" w:sz="2" w:space="0"/>
              <w:left w:val="single" w:color="auto" w:sz="2" w:space="0"/>
              <w:bottom w:val="single" w:color="auto" w:sz="2" w:space="0"/>
              <w:right w:val="single" w:color="auto" w:sz="2" w:space="0"/>
            </w:tcBorders>
            <w:vAlign w:val="center"/>
          </w:tcPr>
          <w:p w14:paraId="22A8E0B7">
            <w:pPr>
              <w:spacing w:line="240" w:lineRule="exact"/>
              <w:rPr>
                <w:rFonts w:ascii="宋体" w:hAnsi="宋体" w:eastAsia="宋体" w:cs="宋体"/>
                <w:sz w:val="18"/>
                <w:szCs w:val="18"/>
              </w:rPr>
            </w:pPr>
            <w:r>
              <w:rPr>
                <w:rFonts w:ascii="宋体" w:hAnsi="宋体" w:eastAsia="宋体" w:cs="宋体"/>
                <w:sz w:val="18"/>
                <w:szCs w:val="18"/>
              </w:rPr>
              <w:t>人民币普通股</w:t>
            </w:r>
          </w:p>
        </w:tc>
        <w:tc>
          <w:tcPr>
            <w:tcW w:w="1842" w:type="dxa"/>
            <w:gridSpan w:val="4"/>
            <w:tcBorders>
              <w:top w:val="single" w:color="auto" w:sz="2" w:space="0"/>
              <w:left w:val="single" w:color="auto" w:sz="2" w:space="0"/>
              <w:bottom w:val="single" w:color="auto" w:sz="2" w:space="0"/>
              <w:right w:val="single" w:color="auto" w:sz="2" w:space="0"/>
            </w:tcBorders>
            <w:vAlign w:val="center"/>
          </w:tcPr>
          <w:p w14:paraId="2768D69B">
            <w:pPr>
              <w:spacing w:line="240" w:lineRule="exact"/>
              <w:jc w:val="right"/>
              <w:rPr>
                <w:rFonts w:ascii="宋体" w:hAnsi="宋体" w:eastAsia="宋体" w:cs="宋体"/>
                <w:sz w:val="18"/>
                <w:szCs w:val="18"/>
              </w:rPr>
            </w:pPr>
            <w:r>
              <w:rPr>
                <w:rFonts w:ascii="宋体" w:hAnsi="宋体" w:eastAsia="宋体" w:cs="宋体"/>
                <w:sz w:val="18"/>
                <w:szCs w:val="18"/>
              </w:rPr>
              <w:t>129,058,312</w:t>
            </w:r>
          </w:p>
        </w:tc>
      </w:tr>
      <w:tr w14:paraId="012BC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3"/>
            <w:tcBorders>
              <w:top w:val="single" w:color="auto" w:sz="2" w:space="0"/>
              <w:left w:val="single" w:color="auto" w:sz="2" w:space="0"/>
              <w:bottom w:val="single" w:color="auto" w:sz="2" w:space="0"/>
              <w:right w:val="single" w:color="auto" w:sz="2" w:space="0"/>
            </w:tcBorders>
            <w:vAlign w:val="center"/>
          </w:tcPr>
          <w:p w14:paraId="341D248D">
            <w:pPr>
              <w:spacing w:line="240" w:lineRule="exact"/>
              <w:rPr>
                <w:rFonts w:ascii="宋体" w:hAnsi="宋体" w:eastAsia="宋体" w:cs="宋体"/>
                <w:sz w:val="18"/>
                <w:szCs w:val="18"/>
              </w:rPr>
            </w:pPr>
            <w:r>
              <w:rPr>
                <w:rFonts w:ascii="宋体" w:hAnsi="宋体" w:eastAsia="宋体" w:cs="宋体"/>
                <w:sz w:val="18"/>
                <w:szCs w:val="18"/>
              </w:rPr>
              <w:t>杭州兴健私募基金管理有限公司－兴健青龙私募证券投资基金</w:t>
            </w:r>
          </w:p>
        </w:tc>
        <w:tc>
          <w:tcPr>
            <w:tcW w:w="3954" w:type="dxa"/>
            <w:gridSpan w:val="7"/>
            <w:tcBorders>
              <w:top w:val="single" w:color="auto" w:sz="2" w:space="0"/>
              <w:left w:val="single" w:color="auto" w:sz="2" w:space="0"/>
              <w:bottom w:val="single" w:color="auto" w:sz="2" w:space="0"/>
              <w:right w:val="single" w:color="auto" w:sz="2" w:space="0"/>
            </w:tcBorders>
            <w:vAlign w:val="center"/>
          </w:tcPr>
          <w:p w14:paraId="09741763">
            <w:pPr>
              <w:spacing w:line="240" w:lineRule="exact"/>
              <w:jc w:val="right"/>
              <w:rPr>
                <w:rFonts w:ascii="宋体" w:hAnsi="宋体" w:eastAsia="宋体" w:cs="宋体"/>
                <w:sz w:val="18"/>
                <w:szCs w:val="18"/>
              </w:rPr>
            </w:pPr>
            <w:r>
              <w:rPr>
                <w:rFonts w:ascii="宋体" w:hAnsi="宋体" w:eastAsia="宋体" w:cs="宋体"/>
                <w:sz w:val="18"/>
                <w:szCs w:val="18"/>
              </w:rPr>
              <w:t>100,340,200</w:t>
            </w:r>
          </w:p>
        </w:tc>
        <w:tc>
          <w:tcPr>
            <w:tcW w:w="1701" w:type="dxa"/>
            <w:gridSpan w:val="2"/>
            <w:tcBorders>
              <w:top w:val="single" w:color="auto" w:sz="2" w:space="0"/>
              <w:left w:val="single" w:color="auto" w:sz="2" w:space="0"/>
              <w:bottom w:val="single" w:color="auto" w:sz="2" w:space="0"/>
              <w:right w:val="single" w:color="auto" w:sz="2" w:space="0"/>
            </w:tcBorders>
            <w:vAlign w:val="center"/>
          </w:tcPr>
          <w:p w14:paraId="3D902BB0">
            <w:pPr>
              <w:spacing w:line="240" w:lineRule="exact"/>
              <w:rPr>
                <w:rFonts w:ascii="宋体" w:hAnsi="宋体" w:eastAsia="宋体" w:cs="宋体"/>
                <w:sz w:val="18"/>
                <w:szCs w:val="18"/>
              </w:rPr>
            </w:pPr>
            <w:r>
              <w:rPr>
                <w:rFonts w:ascii="宋体" w:hAnsi="宋体" w:eastAsia="宋体" w:cs="宋体"/>
                <w:sz w:val="18"/>
                <w:szCs w:val="18"/>
              </w:rPr>
              <w:t>人民币普通股</w:t>
            </w:r>
          </w:p>
        </w:tc>
        <w:tc>
          <w:tcPr>
            <w:tcW w:w="1842" w:type="dxa"/>
            <w:gridSpan w:val="4"/>
            <w:tcBorders>
              <w:top w:val="single" w:color="auto" w:sz="2" w:space="0"/>
              <w:left w:val="single" w:color="auto" w:sz="2" w:space="0"/>
              <w:bottom w:val="single" w:color="auto" w:sz="2" w:space="0"/>
              <w:right w:val="single" w:color="auto" w:sz="2" w:space="0"/>
            </w:tcBorders>
            <w:vAlign w:val="center"/>
          </w:tcPr>
          <w:p w14:paraId="71C703E4">
            <w:pPr>
              <w:spacing w:line="240" w:lineRule="exact"/>
              <w:jc w:val="right"/>
              <w:rPr>
                <w:rFonts w:ascii="宋体" w:hAnsi="宋体" w:eastAsia="宋体" w:cs="宋体"/>
                <w:sz w:val="18"/>
                <w:szCs w:val="18"/>
              </w:rPr>
            </w:pPr>
            <w:r>
              <w:rPr>
                <w:rFonts w:ascii="宋体" w:hAnsi="宋体" w:eastAsia="宋体" w:cs="宋体"/>
                <w:sz w:val="18"/>
                <w:szCs w:val="18"/>
              </w:rPr>
              <w:t>100,340,200</w:t>
            </w:r>
          </w:p>
        </w:tc>
      </w:tr>
      <w:tr w14:paraId="32913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3"/>
            <w:tcBorders>
              <w:top w:val="single" w:color="auto" w:sz="2" w:space="0"/>
              <w:left w:val="single" w:color="auto" w:sz="2" w:space="0"/>
              <w:bottom w:val="single" w:color="auto" w:sz="2" w:space="0"/>
              <w:right w:val="single" w:color="auto" w:sz="2" w:space="0"/>
            </w:tcBorders>
            <w:vAlign w:val="center"/>
          </w:tcPr>
          <w:p w14:paraId="70FA5977">
            <w:pPr>
              <w:spacing w:line="240" w:lineRule="exact"/>
              <w:rPr>
                <w:rFonts w:ascii="宋体" w:hAnsi="宋体" w:eastAsia="宋体" w:cs="宋体"/>
                <w:sz w:val="18"/>
                <w:szCs w:val="18"/>
              </w:rPr>
            </w:pPr>
            <w:r>
              <w:rPr>
                <w:rFonts w:ascii="宋体" w:hAnsi="宋体" w:eastAsia="宋体" w:cs="宋体"/>
                <w:sz w:val="18"/>
                <w:szCs w:val="18"/>
              </w:rPr>
              <w:t>深圳市华人投资有限公司</w:t>
            </w:r>
          </w:p>
        </w:tc>
        <w:tc>
          <w:tcPr>
            <w:tcW w:w="3954" w:type="dxa"/>
            <w:gridSpan w:val="7"/>
            <w:tcBorders>
              <w:top w:val="single" w:color="auto" w:sz="2" w:space="0"/>
              <w:left w:val="single" w:color="auto" w:sz="2" w:space="0"/>
              <w:bottom w:val="single" w:color="auto" w:sz="2" w:space="0"/>
              <w:right w:val="single" w:color="auto" w:sz="2" w:space="0"/>
            </w:tcBorders>
            <w:vAlign w:val="center"/>
          </w:tcPr>
          <w:p w14:paraId="16D06672">
            <w:pPr>
              <w:spacing w:line="240" w:lineRule="exact"/>
              <w:jc w:val="right"/>
              <w:rPr>
                <w:rFonts w:ascii="宋体" w:hAnsi="宋体" w:eastAsia="宋体" w:cs="宋体"/>
                <w:sz w:val="18"/>
                <w:szCs w:val="18"/>
              </w:rPr>
            </w:pPr>
            <w:r>
              <w:rPr>
                <w:rFonts w:ascii="宋体" w:hAnsi="宋体" w:eastAsia="宋体" w:cs="宋体"/>
                <w:sz w:val="18"/>
                <w:szCs w:val="18"/>
              </w:rPr>
              <w:t>81,973,588</w:t>
            </w:r>
          </w:p>
        </w:tc>
        <w:tc>
          <w:tcPr>
            <w:tcW w:w="1701" w:type="dxa"/>
            <w:gridSpan w:val="2"/>
            <w:tcBorders>
              <w:top w:val="single" w:color="auto" w:sz="2" w:space="0"/>
              <w:left w:val="single" w:color="auto" w:sz="2" w:space="0"/>
              <w:bottom w:val="single" w:color="auto" w:sz="2" w:space="0"/>
              <w:right w:val="single" w:color="auto" w:sz="2" w:space="0"/>
            </w:tcBorders>
            <w:vAlign w:val="center"/>
          </w:tcPr>
          <w:p w14:paraId="6FEA6F94">
            <w:pPr>
              <w:spacing w:line="240" w:lineRule="exact"/>
              <w:rPr>
                <w:rFonts w:ascii="宋体" w:hAnsi="宋体" w:eastAsia="宋体" w:cs="宋体"/>
                <w:sz w:val="18"/>
                <w:szCs w:val="18"/>
              </w:rPr>
            </w:pPr>
            <w:r>
              <w:rPr>
                <w:rFonts w:ascii="宋体" w:hAnsi="宋体" w:eastAsia="宋体" w:cs="宋体"/>
                <w:sz w:val="18"/>
                <w:szCs w:val="18"/>
              </w:rPr>
              <w:t>人民币普通股</w:t>
            </w:r>
          </w:p>
        </w:tc>
        <w:tc>
          <w:tcPr>
            <w:tcW w:w="1842" w:type="dxa"/>
            <w:gridSpan w:val="4"/>
            <w:tcBorders>
              <w:top w:val="single" w:color="auto" w:sz="2" w:space="0"/>
              <w:left w:val="single" w:color="auto" w:sz="2" w:space="0"/>
              <w:bottom w:val="single" w:color="auto" w:sz="2" w:space="0"/>
              <w:right w:val="single" w:color="auto" w:sz="2" w:space="0"/>
            </w:tcBorders>
            <w:vAlign w:val="center"/>
          </w:tcPr>
          <w:p w14:paraId="6833C0D0">
            <w:pPr>
              <w:spacing w:line="240" w:lineRule="exact"/>
              <w:jc w:val="right"/>
              <w:rPr>
                <w:rFonts w:ascii="宋体" w:hAnsi="宋体" w:eastAsia="宋体" w:cs="宋体"/>
                <w:sz w:val="18"/>
                <w:szCs w:val="18"/>
              </w:rPr>
            </w:pPr>
            <w:r>
              <w:rPr>
                <w:rFonts w:ascii="宋体" w:hAnsi="宋体" w:eastAsia="宋体" w:cs="宋体"/>
                <w:sz w:val="18"/>
                <w:szCs w:val="18"/>
              </w:rPr>
              <w:t>81,973,588</w:t>
            </w:r>
          </w:p>
        </w:tc>
      </w:tr>
      <w:tr w14:paraId="70BA4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3"/>
            <w:tcBorders>
              <w:top w:val="single" w:color="auto" w:sz="2" w:space="0"/>
              <w:left w:val="single" w:color="auto" w:sz="2" w:space="0"/>
              <w:bottom w:val="single" w:color="auto" w:sz="2" w:space="0"/>
              <w:right w:val="single" w:color="auto" w:sz="2" w:space="0"/>
            </w:tcBorders>
            <w:vAlign w:val="center"/>
          </w:tcPr>
          <w:p w14:paraId="5BBE32C1">
            <w:pPr>
              <w:spacing w:line="240" w:lineRule="exact"/>
              <w:rPr>
                <w:rFonts w:ascii="宋体" w:hAnsi="宋体" w:eastAsia="宋体" w:cs="宋体"/>
                <w:sz w:val="18"/>
                <w:szCs w:val="18"/>
              </w:rPr>
            </w:pPr>
            <w:r>
              <w:rPr>
                <w:rFonts w:ascii="宋体" w:hAnsi="宋体" w:eastAsia="宋体" w:cs="宋体"/>
                <w:sz w:val="18"/>
                <w:szCs w:val="18"/>
              </w:rPr>
              <w:t>香港中央结算有限公司</w:t>
            </w:r>
          </w:p>
        </w:tc>
        <w:tc>
          <w:tcPr>
            <w:tcW w:w="3954" w:type="dxa"/>
            <w:gridSpan w:val="7"/>
            <w:tcBorders>
              <w:top w:val="single" w:color="auto" w:sz="2" w:space="0"/>
              <w:left w:val="single" w:color="auto" w:sz="2" w:space="0"/>
              <w:bottom w:val="single" w:color="auto" w:sz="2" w:space="0"/>
              <w:right w:val="single" w:color="auto" w:sz="2" w:space="0"/>
            </w:tcBorders>
            <w:vAlign w:val="center"/>
          </w:tcPr>
          <w:p w14:paraId="1FD263C0">
            <w:pPr>
              <w:spacing w:line="240" w:lineRule="exact"/>
              <w:jc w:val="right"/>
              <w:rPr>
                <w:rFonts w:ascii="宋体" w:hAnsi="宋体" w:eastAsia="宋体" w:cs="宋体"/>
                <w:sz w:val="18"/>
                <w:szCs w:val="18"/>
              </w:rPr>
            </w:pPr>
            <w:r>
              <w:rPr>
                <w:rFonts w:ascii="宋体" w:hAnsi="宋体" w:eastAsia="宋体" w:cs="宋体"/>
                <w:sz w:val="18"/>
                <w:szCs w:val="18"/>
              </w:rPr>
              <w:t>14,577,042</w:t>
            </w:r>
          </w:p>
        </w:tc>
        <w:tc>
          <w:tcPr>
            <w:tcW w:w="1701" w:type="dxa"/>
            <w:gridSpan w:val="2"/>
            <w:tcBorders>
              <w:top w:val="single" w:color="auto" w:sz="2" w:space="0"/>
              <w:left w:val="single" w:color="auto" w:sz="2" w:space="0"/>
              <w:bottom w:val="single" w:color="auto" w:sz="2" w:space="0"/>
              <w:right w:val="single" w:color="auto" w:sz="2" w:space="0"/>
            </w:tcBorders>
            <w:vAlign w:val="center"/>
          </w:tcPr>
          <w:p w14:paraId="12E3A7DC">
            <w:pPr>
              <w:spacing w:line="240" w:lineRule="exact"/>
              <w:rPr>
                <w:rFonts w:ascii="宋体" w:hAnsi="宋体" w:eastAsia="宋体" w:cs="宋体"/>
                <w:sz w:val="18"/>
                <w:szCs w:val="18"/>
              </w:rPr>
            </w:pPr>
            <w:r>
              <w:rPr>
                <w:rFonts w:ascii="宋体" w:hAnsi="宋体" w:eastAsia="宋体" w:cs="宋体"/>
                <w:sz w:val="18"/>
                <w:szCs w:val="18"/>
              </w:rPr>
              <w:t>人民币普通股</w:t>
            </w:r>
          </w:p>
        </w:tc>
        <w:tc>
          <w:tcPr>
            <w:tcW w:w="1842" w:type="dxa"/>
            <w:gridSpan w:val="4"/>
            <w:tcBorders>
              <w:top w:val="single" w:color="auto" w:sz="2" w:space="0"/>
              <w:left w:val="single" w:color="auto" w:sz="2" w:space="0"/>
              <w:bottom w:val="single" w:color="auto" w:sz="2" w:space="0"/>
              <w:right w:val="single" w:color="auto" w:sz="2" w:space="0"/>
            </w:tcBorders>
            <w:vAlign w:val="center"/>
          </w:tcPr>
          <w:p w14:paraId="2E01FB43">
            <w:pPr>
              <w:spacing w:line="240" w:lineRule="exact"/>
              <w:jc w:val="right"/>
              <w:rPr>
                <w:rFonts w:ascii="宋体" w:hAnsi="宋体" w:eastAsia="宋体" w:cs="宋体"/>
                <w:sz w:val="18"/>
                <w:szCs w:val="18"/>
              </w:rPr>
            </w:pPr>
            <w:r>
              <w:rPr>
                <w:rFonts w:ascii="宋体" w:hAnsi="宋体" w:eastAsia="宋体" w:cs="宋体"/>
                <w:sz w:val="18"/>
                <w:szCs w:val="18"/>
              </w:rPr>
              <w:t>14,577,042</w:t>
            </w:r>
          </w:p>
        </w:tc>
      </w:tr>
      <w:tr w14:paraId="4F6BC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3"/>
            <w:tcBorders>
              <w:top w:val="single" w:color="auto" w:sz="2" w:space="0"/>
              <w:left w:val="single" w:color="auto" w:sz="2" w:space="0"/>
              <w:bottom w:val="single" w:color="auto" w:sz="2" w:space="0"/>
              <w:right w:val="single" w:color="auto" w:sz="2" w:space="0"/>
            </w:tcBorders>
            <w:vAlign w:val="center"/>
          </w:tcPr>
          <w:p w14:paraId="2B1BF658">
            <w:pPr>
              <w:spacing w:line="240" w:lineRule="exact"/>
              <w:rPr>
                <w:rFonts w:ascii="宋体" w:hAnsi="宋体" w:eastAsia="宋体" w:cs="宋体"/>
                <w:sz w:val="18"/>
                <w:szCs w:val="18"/>
              </w:rPr>
            </w:pPr>
            <w:r>
              <w:rPr>
                <w:rFonts w:ascii="宋体" w:hAnsi="宋体" w:eastAsia="宋体" w:cs="宋体"/>
                <w:sz w:val="18"/>
                <w:szCs w:val="18"/>
              </w:rPr>
              <w:t>陈香惠</w:t>
            </w:r>
          </w:p>
        </w:tc>
        <w:tc>
          <w:tcPr>
            <w:tcW w:w="3954" w:type="dxa"/>
            <w:gridSpan w:val="7"/>
            <w:tcBorders>
              <w:top w:val="single" w:color="auto" w:sz="2" w:space="0"/>
              <w:left w:val="single" w:color="auto" w:sz="2" w:space="0"/>
              <w:bottom w:val="single" w:color="auto" w:sz="2" w:space="0"/>
              <w:right w:val="single" w:color="auto" w:sz="2" w:space="0"/>
            </w:tcBorders>
            <w:vAlign w:val="center"/>
          </w:tcPr>
          <w:p w14:paraId="54206EC7">
            <w:pPr>
              <w:spacing w:line="240" w:lineRule="exact"/>
              <w:jc w:val="right"/>
              <w:rPr>
                <w:rFonts w:ascii="宋体" w:hAnsi="宋体" w:eastAsia="宋体" w:cs="宋体"/>
                <w:sz w:val="18"/>
                <w:szCs w:val="18"/>
              </w:rPr>
            </w:pPr>
            <w:r>
              <w:rPr>
                <w:rFonts w:ascii="宋体" w:hAnsi="宋体" w:eastAsia="宋体" w:cs="宋体"/>
                <w:sz w:val="18"/>
                <w:szCs w:val="18"/>
              </w:rPr>
              <w:t>11,300,000</w:t>
            </w:r>
          </w:p>
        </w:tc>
        <w:tc>
          <w:tcPr>
            <w:tcW w:w="1701" w:type="dxa"/>
            <w:gridSpan w:val="2"/>
            <w:tcBorders>
              <w:top w:val="single" w:color="auto" w:sz="2" w:space="0"/>
              <w:left w:val="single" w:color="auto" w:sz="2" w:space="0"/>
              <w:bottom w:val="single" w:color="auto" w:sz="2" w:space="0"/>
              <w:right w:val="single" w:color="auto" w:sz="2" w:space="0"/>
            </w:tcBorders>
            <w:vAlign w:val="center"/>
          </w:tcPr>
          <w:p w14:paraId="18F58956">
            <w:pPr>
              <w:spacing w:line="240" w:lineRule="exact"/>
              <w:rPr>
                <w:rFonts w:ascii="宋体" w:hAnsi="宋体" w:eastAsia="宋体" w:cs="宋体"/>
                <w:sz w:val="18"/>
                <w:szCs w:val="18"/>
              </w:rPr>
            </w:pPr>
            <w:r>
              <w:rPr>
                <w:rFonts w:ascii="宋体" w:hAnsi="宋体" w:eastAsia="宋体" w:cs="宋体"/>
                <w:sz w:val="18"/>
                <w:szCs w:val="18"/>
              </w:rPr>
              <w:t>人民币普通股</w:t>
            </w:r>
          </w:p>
        </w:tc>
        <w:tc>
          <w:tcPr>
            <w:tcW w:w="1842" w:type="dxa"/>
            <w:gridSpan w:val="4"/>
            <w:tcBorders>
              <w:top w:val="single" w:color="auto" w:sz="2" w:space="0"/>
              <w:left w:val="single" w:color="auto" w:sz="2" w:space="0"/>
              <w:bottom w:val="single" w:color="auto" w:sz="2" w:space="0"/>
              <w:right w:val="single" w:color="auto" w:sz="2" w:space="0"/>
            </w:tcBorders>
            <w:vAlign w:val="center"/>
          </w:tcPr>
          <w:p w14:paraId="31B1A45D">
            <w:pPr>
              <w:spacing w:line="240" w:lineRule="exact"/>
              <w:jc w:val="right"/>
              <w:rPr>
                <w:rFonts w:ascii="宋体" w:hAnsi="宋体" w:eastAsia="宋体" w:cs="宋体"/>
                <w:sz w:val="18"/>
                <w:szCs w:val="18"/>
              </w:rPr>
            </w:pPr>
            <w:r>
              <w:rPr>
                <w:rFonts w:ascii="宋体" w:hAnsi="宋体" w:eastAsia="宋体" w:cs="宋体"/>
                <w:sz w:val="18"/>
                <w:szCs w:val="18"/>
              </w:rPr>
              <w:t>11,300,000</w:t>
            </w:r>
          </w:p>
        </w:tc>
      </w:tr>
      <w:tr w14:paraId="2ECC9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3"/>
            <w:tcBorders>
              <w:top w:val="single" w:color="auto" w:sz="2" w:space="0"/>
              <w:left w:val="single" w:color="auto" w:sz="2" w:space="0"/>
              <w:bottom w:val="single" w:color="auto" w:sz="2" w:space="0"/>
              <w:right w:val="single" w:color="auto" w:sz="2" w:space="0"/>
            </w:tcBorders>
            <w:vAlign w:val="center"/>
          </w:tcPr>
          <w:p w14:paraId="3CE2315E">
            <w:pPr>
              <w:spacing w:line="240" w:lineRule="exact"/>
              <w:rPr>
                <w:rFonts w:ascii="宋体" w:hAnsi="宋体" w:eastAsia="宋体" w:cs="宋体"/>
                <w:sz w:val="18"/>
                <w:szCs w:val="18"/>
              </w:rPr>
            </w:pPr>
            <w:r>
              <w:rPr>
                <w:rFonts w:ascii="宋体" w:hAnsi="宋体" w:eastAsia="宋体" w:cs="宋体"/>
                <w:sz w:val="18"/>
                <w:szCs w:val="18"/>
              </w:rPr>
              <w:t>袁应松</w:t>
            </w:r>
          </w:p>
        </w:tc>
        <w:tc>
          <w:tcPr>
            <w:tcW w:w="3954" w:type="dxa"/>
            <w:gridSpan w:val="7"/>
            <w:tcBorders>
              <w:top w:val="single" w:color="auto" w:sz="2" w:space="0"/>
              <w:left w:val="single" w:color="auto" w:sz="2" w:space="0"/>
              <w:bottom w:val="single" w:color="auto" w:sz="2" w:space="0"/>
              <w:right w:val="single" w:color="auto" w:sz="2" w:space="0"/>
            </w:tcBorders>
            <w:vAlign w:val="center"/>
          </w:tcPr>
          <w:p w14:paraId="38B66DF1">
            <w:pPr>
              <w:spacing w:line="240" w:lineRule="exact"/>
              <w:jc w:val="right"/>
              <w:rPr>
                <w:rFonts w:ascii="宋体" w:hAnsi="宋体" w:eastAsia="宋体" w:cs="宋体"/>
                <w:sz w:val="18"/>
                <w:szCs w:val="18"/>
              </w:rPr>
            </w:pPr>
            <w:r>
              <w:rPr>
                <w:rFonts w:ascii="宋体" w:hAnsi="宋体" w:eastAsia="宋体" w:cs="宋体"/>
                <w:sz w:val="18"/>
                <w:szCs w:val="18"/>
              </w:rPr>
              <w:t>10,257,929</w:t>
            </w:r>
          </w:p>
        </w:tc>
        <w:tc>
          <w:tcPr>
            <w:tcW w:w="1701" w:type="dxa"/>
            <w:gridSpan w:val="2"/>
            <w:tcBorders>
              <w:top w:val="single" w:color="auto" w:sz="2" w:space="0"/>
              <w:left w:val="single" w:color="auto" w:sz="2" w:space="0"/>
              <w:bottom w:val="single" w:color="auto" w:sz="2" w:space="0"/>
              <w:right w:val="single" w:color="auto" w:sz="2" w:space="0"/>
            </w:tcBorders>
            <w:vAlign w:val="center"/>
          </w:tcPr>
          <w:p w14:paraId="6C8DBB4E">
            <w:pPr>
              <w:spacing w:line="240" w:lineRule="exact"/>
              <w:rPr>
                <w:rFonts w:ascii="宋体" w:hAnsi="宋体" w:eastAsia="宋体" w:cs="宋体"/>
                <w:sz w:val="18"/>
                <w:szCs w:val="18"/>
              </w:rPr>
            </w:pPr>
            <w:r>
              <w:rPr>
                <w:rFonts w:ascii="宋体" w:hAnsi="宋体" w:eastAsia="宋体" w:cs="宋体"/>
                <w:sz w:val="18"/>
                <w:szCs w:val="18"/>
              </w:rPr>
              <w:t>人民币普通股</w:t>
            </w:r>
          </w:p>
        </w:tc>
        <w:tc>
          <w:tcPr>
            <w:tcW w:w="1842" w:type="dxa"/>
            <w:gridSpan w:val="4"/>
            <w:tcBorders>
              <w:top w:val="single" w:color="auto" w:sz="2" w:space="0"/>
              <w:left w:val="single" w:color="auto" w:sz="2" w:space="0"/>
              <w:bottom w:val="single" w:color="auto" w:sz="2" w:space="0"/>
              <w:right w:val="single" w:color="auto" w:sz="2" w:space="0"/>
            </w:tcBorders>
            <w:vAlign w:val="center"/>
          </w:tcPr>
          <w:p w14:paraId="17DFB229">
            <w:pPr>
              <w:spacing w:line="240" w:lineRule="exact"/>
              <w:jc w:val="right"/>
              <w:rPr>
                <w:rFonts w:ascii="宋体" w:hAnsi="宋体" w:eastAsia="宋体" w:cs="宋体"/>
                <w:sz w:val="18"/>
                <w:szCs w:val="18"/>
              </w:rPr>
            </w:pPr>
            <w:r>
              <w:rPr>
                <w:rFonts w:ascii="宋体" w:hAnsi="宋体" w:eastAsia="宋体" w:cs="宋体"/>
                <w:sz w:val="18"/>
                <w:szCs w:val="18"/>
              </w:rPr>
              <w:t>10,257,929</w:t>
            </w:r>
          </w:p>
        </w:tc>
      </w:tr>
      <w:tr w14:paraId="381B3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3"/>
            <w:tcBorders>
              <w:top w:val="single" w:color="auto" w:sz="2" w:space="0"/>
              <w:left w:val="single" w:color="auto" w:sz="2" w:space="0"/>
              <w:bottom w:val="single" w:color="auto" w:sz="2" w:space="0"/>
              <w:right w:val="single" w:color="auto" w:sz="2" w:space="0"/>
            </w:tcBorders>
            <w:vAlign w:val="center"/>
          </w:tcPr>
          <w:p w14:paraId="43A97297">
            <w:pPr>
              <w:spacing w:line="240" w:lineRule="exact"/>
              <w:rPr>
                <w:rFonts w:ascii="宋体" w:hAnsi="宋体" w:eastAsia="宋体" w:cs="宋体"/>
                <w:sz w:val="18"/>
                <w:szCs w:val="18"/>
              </w:rPr>
            </w:pPr>
            <w:r>
              <w:rPr>
                <w:rFonts w:ascii="宋体" w:hAnsi="宋体" w:eastAsia="宋体" w:cs="宋体"/>
                <w:sz w:val="18"/>
                <w:szCs w:val="18"/>
              </w:rPr>
              <w:t>林云方</w:t>
            </w:r>
          </w:p>
        </w:tc>
        <w:tc>
          <w:tcPr>
            <w:tcW w:w="3954" w:type="dxa"/>
            <w:gridSpan w:val="7"/>
            <w:tcBorders>
              <w:top w:val="single" w:color="auto" w:sz="2" w:space="0"/>
              <w:left w:val="single" w:color="auto" w:sz="2" w:space="0"/>
              <w:bottom w:val="single" w:color="auto" w:sz="2" w:space="0"/>
              <w:right w:val="single" w:color="auto" w:sz="2" w:space="0"/>
            </w:tcBorders>
            <w:vAlign w:val="center"/>
          </w:tcPr>
          <w:p w14:paraId="5FCB96FA">
            <w:pPr>
              <w:spacing w:line="240" w:lineRule="exact"/>
              <w:jc w:val="right"/>
              <w:rPr>
                <w:rFonts w:ascii="宋体" w:hAnsi="宋体" w:eastAsia="宋体" w:cs="宋体"/>
                <w:sz w:val="18"/>
                <w:szCs w:val="18"/>
              </w:rPr>
            </w:pPr>
            <w:r>
              <w:rPr>
                <w:rFonts w:ascii="宋体" w:hAnsi="宋体" w:eastAsia="宋体" w:cs="宋体"/>
                <w:sz w:val="18"/>
                <w:szCs w:val="18"/>
              </w:rPr>
              <w:t>7,700,000</w:t>
            </w:r>
          </w:p>
        </w:tc>
        <w:tc>
          <w:tcPr>
            <w:tcW w:w="1701" w:type="dxa"/>
            <w:gridSpan w:val="2"/>
            <w:tcBorders>
              <w:top w:val="single" w:color="auto" w:sz="2" w:space="0"/>
              <w:left w:val="single" w:color="auto" w:sz="2" w:space="0"/>
              <w:bottom w:val="single" w:color="auto" w:sz="2" w:space="0"/>
              <w:right w:val="single" w:color="auto" w:sz="2" w:space="0"/>
            </w:tcBorders>
            <w:vAlign w:val="center"/>
          </w:tcPr>
          <w:p w14:paraId="7FB79A71">
            <w:pPr>
              <w:spacing w:line="240" w:lineRule="exact"/>
              <w:rPr>
                <w:rFonts w:ascii="宋体" w:hAnsi="宋体" w:eastAsia="宋体" w:cs="宋体"/>
                <w:sz w:val="18"/>
                <w:szCs w:val="18"/>
              </w:rPr>
            </w:pPr>
            <w:r>
              <w:rPr>
                <w:rFonts w:ascii="宋体" w:hAnsi="宋体" w:eastAsia="宋体" w:cs="宋体"/>
                <w:sz w:val="18"/>
                <w:szCs w:val="18"/>
              </w:rPr>
              <w:t>人民币普通股</w:t>
            </w:r>
          </w:p>
        </w:tc>
        <w:tc>
          <w:tcPr>
            <w:tcW w:w="1842" w:type="dxa"/>
            <w:gridSpan w:val="4"/>
            <w:tcBorders>
              <w:top w:val="single" w:color="auto" w:sz="2" w:space="0"/>
              <w:left w:val="single" w:color="auto" w:sz="2" w:space="0"/>
              <w:bottom w:val="single" w:color="auto" w:sz="2" w:space="0"/>
              <w:right w:val="single" w:color="auto" w:sz="2" w:space="0"/>
            </w:tcBorders>
            <w:vAlign w:val="center"/>
          </w:tcPr>
          <w:p w14:paraId="2469D899">
            <w:pPr>
              <w:spacing w:line="240" w:lineRule="exact"/>
              <w:jc w:val="right"/>
              <w:rPr>
                <w:rFonts w:ascii="宋体" w:hAnsi="宋体" w:eastAsia="宋体" w:cs="宋体"/>
                <w:sz w:val="18"/>
                <w:szCs w:val="18"/>
              </w:rPr>
            </w:pPr>
            <w:r>
              <w:rPr>
                <w:rFonts w:ascii="宋体" w:hAnsi="宋体" w:eastAsia="宋体" w:cs="宋体"/>
                <w:sz w:val="18"/>
                <w:szCs w:val="18"/>
              </w:rPr>
              <w:t>7,700,000</w:t>
            </w:r>
          </w:p>
        </w:tc>
      </w:tr>
      <w:tr w14:paraId="7F43E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3"/>
            <w:tcBorders>
              <w:top w:val="single" w:color="auto" w:sz="2" w:space="0"/>
              <w:left w:val="single" w:color="auto" w:sz="2" w:space="0"/>
              <w:bottom w:val="single" w:color="auto" w:sz="2" w:space="0"/>
              <w:right w:val="single" w:color="auto" w:sz="2" w:space="0"/>
            </w:tcBorders>
            <w:vAlign w:val="center"/>
          </w:tcPr>
          <w:p w14:paraId="38C1ABB7">
            <w:pPr>
              <w:spacing w:line="240" w:lineRule="exact"/>
              <w:rPr>
                <w:rFonts w:ascii="宋体" w:hAnsi="宋体" w:eastAsia="宋体" w:cs="宋体"/>
                <w:sz w:val="18"/>
                <w:szCs w:val="18"/>
              </w:rPr>
            </w:pPr>
            <w:r>
              <w:rPr>
                <w:rFonts w:ascii="宋体" w:hAnsi="宋体" w:eastAsia="宋体" w:cs="宋体"/>
                <w:sz w:val="18"/>
                <w:szCs w:val="18"/>
              </w:rPr>
              <w:t>付东</w:t>
            </w:r>
          </w:p>
        </w:tc>
        <w:tc>
          <w:tcPr>
            <w:tcW w:w="3954" w:type="dxa"/>
            <w:gridSpan w:val="7"/>
            <w:tcBorders>
              <w:top w:val="single" w:color="auto" w:sz="2" w:space="0"/>
              <w:left w:val="single" w:color="auto" w:sz="2" w:space="0"/>
              <w:bottom w:val="single" w:color="auto" w:sz="2" w:space="0"/>
              <w:right w:val="single" w:color="auto" w:sz="2" w:space="0"/>
            </w:tcBorders>
            <w:vAlign w:val="center"/>
          </w:tcPr>
          <w:p w14:paraId="758AB8C6">
            <w:pPr>
              <w:spacing w:line="240" w:lineRule="exact"/>
              <w:jc w:val="right"/>
              <w:rPr>
                <w:rFonts w:ascii="宋体" w:hAnsi="宋体" w:eastAsia="宋体" w:cs="宋体"/>
                <w:sz w:val="18"/>
                <w:szCs w:val="18"/>
              </w:rPr>
            </w:pPr>
            <w:r>
              <w:rPr>
                <w:rFonts w:ascii="宋体" w:hAnsi="宋体" w:eastAsia="宋体" w:cs="宋体"/>
                <w:sz w:val="18"/>
                <w:szCs w:val="18"/>
              </w:rPr>
              <w:t>7,191,300</w:t>
            </w:r>
          </w:p>
        </w:tc>
        <w:tc>
          <w:tcPr>
            <w:tcW w:w="1701" w:type="dxa"/>
            <w:gridSpan w:val="2"/>
            <w:tcBorders>
              <w:top w:val="single" w:color="auto" w:sz="2" w:space="0"/>
              <w:left w:val="single" w:color="auto" w:sz="2" w:space="0"/>
              <w:bottom w:val="single" w:color="auto" w:sz="2" w:space="0"/>
              <w:right w:val="single" w:color="auto" w:sz="2" w:space="0"/>
            </w:tcBorders>
            <w:vAlign w:val="center"/>
          </w:tcPr>
          <w:p w14:paraId="7FC839B3">
            <w:pPr>
              <w:spacing w:line="240" w:lineRule="exact"/>
              <w:rPr>
                <w:rFonts w:ascii="宋体" w:hAnsi="宋体" w:eastAsia="宋体" w:cs="宋体"/>
                <w:sz w:val="18"/>
                <w:szCs w:val="18"/>
              </w:rPr>
            </w:pPr>
            <w:r>
              <w:rPr>
                <w:rFonts w:ascii="宋体" w:hAnsi="宋体" w:eastAsia="宋体" w:cs="宋体"/>
                <w:sz w:val="18"/>
                <w:szCs w:val="18"/>
              </w:rPr>
              <w:t>人民币普通股</w:t>
            </w:r>
          </w:p>
        </w:tc>
        <w:tc>
          <w:tcPr>
            <w:tcW w:w="1842" w:type="dxa"/>
            <w:gridSpan w:val="4"/>
            <w:tcBorders>
              <w:top w:val="single" w:color="auto" w:sz="2" w:space="0"/>
              <w:left w:val="single" w:color="auto" w:sz="2" w:space="0"/>
              <w:bottom w:val="single" w:color="auto" w:sz="2" w:space="0"/>
              <w:right w:val="single" w:color="auto" w:sz="2" w:space="0"/>
            </w:tcBorders>
            <w:vAlign w:val="center"/>
          </w:tcPr>
          <w:p w14:paraId="10A7B42D">
            <w:pPr>
              <w:spacing w:line="240" w:lineRule="exact"/>
              <w:jc w:val="right"/>
              <w:rPr>
                <w:rFonts w:ascii="宋体" w:hAnsi="宋体" w:eastAsia="宋体" w:cs="宋体"/>
                <w:sz w:val="18"/>
                <w:szCs w:val="18"/>
              </w:rPr>
            </w:pPr>
            <w:r>
              <w:rPr>
                <w:rFonts w:ascii="宋体" w:hAnsi="宋体" w:eastAsia="宋体" w:cs="宋体"/>
                <w:sz w:val="18"/>
                <w:szCs w:val="18"/>
              </w:rPr>
              <w:t>7,191,300</w:t>
            </w:r>
          </w:p>
        </w:tc>
      </w:tr>
      <w:tr w14:paraId="359A4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3"/>
            <w:tcBorders>
              <w:top w:val="single" w:color="auto" w:sz="2" w:space="0"/>
              <w:left w:val="single" w:color="auto" w:sz="2" w:space="0"/>
              <w:bottom w:val="single" w:color="auto" w:sz="2" w:space="0"/>
              <w:right w:val="single" w:color="auto" w:sz="2" w:space="0"/>
            </w:tcBorders>
            <w:vAlign w:val="center"/>
          </w:tcPr>
          <w:p w14:paraId="509B9DDB">
            <w:pPr>
              <w:spacing w:line="240" w:lineRule="exact"/>
              <w:rPr>
                <w:rFonts w:ascii="宋体" w:hAnsi="宋体" w:eastAsia="宋体" w:cs="宋体"/>
                <w:sz w:val="18"/>
                <w:szCs w:val="18"/>
              </w:rPr>
            </w:pPr>
            <w:r>
              <w:rPr>
                <w:rFonts w:ascii="宋体" w:hAnsi="宋体" w:eastAsia="宋体" w:cs="宋体"/>
                <w:sz w:val="18"/>
                <w:szCs w:val="18"/>
              </w:rPr>
              <w:t>王佐君</w:t>
            </w:r>
          </w:p>
        </w:tc>
        <w:tc>
          <w:tcPr>
            <w:tcW w:w="3954" w:type="dxa"/>
            <w:gridSpan w:val="7"/>
            <w:tcBorders>
              <w:top w:val="single" w:color="auto" w:sz="2" w:space="0"/>
              <w:left w:val="single" w:color="auto" w:sz="2" w:space="0"/>
              <w:bottom w:val="single" w:color="auto" w:sz="2" w:space="0"/>
              <w:right w:val="single" w:color="auto" w:sz="2" w:space="0"/>
            </w:tcBorders>
            <w:vAlign w:val="center"/>
          </w:tcPr>
          <w:p w14:paraId="675093C4">
            <w:pPr>
              <w:spacing w:line="240" w:lineRule="exact"/>
              <w:jc w:val="right"/>
              <w:rPr>
                <w:rFonts w:ascii="宋体" w:hAnsi="宋体" w:eastAsia="宋体" w:cs="宋体"/>
                <w:sz w:val="18"/>
                <w:szCs w:val="18"/>
              </w:rPr>
            </w:pPr>
            <w:r>
              <w:rPr>
                <w:rFonts w:ascii="宋体" w:hAnsi="宋体" w:eastAsia="宋体" w:cs="宋体"/>
                <w:sz w:val="18"/>
                <w:szCs w:val="18"/>
              </w:rPr>
              <w:t>7,058,300</w:t>
            </w:r>
          </w:p>
        </w:tc>
        <w:tc>
          <w:tcPr>
            <w:tcW w:w="1701" w:type="dxa"/>
            <w:gridSpan w:val="2"/>
            <w:tcBorders>
              <w:top w:val="single" w:color="auto" w:sz="2" w:space="0"/>
              <w:left w:val="single" w:color="auto" w:sz="2" w:space="0"/>
              <w:bottom w:val="single" w:color="auto" w:sz="2" w:space="0"/>
              <w:right w:val="single" w:color="auto" w:sz="2" w:space="0"/>
            </w:tcBorders>
            <w:vAlign w:val="center"/>
          </w:tcPr>
          <w:p w14:paraId="14A6DB7C">
            <w:pPr>
              <w:spacing w:line="240" w:lineRule="exact"/>
              <w:rPr>
                <w:rFonts w:ascii="宋体" w:hAnsi="宋体" w:eastAsia="宋体" w:cs="宋体"/>
                <w:sz w:val="18"/>
                <w:szCs w:val="18"/>
              </w:rPr>
            </w:pPr>
            <w:r>
              <w:rPr>
                <w:rFonts w:ascii="宋体" w:hAnsi="宋体" w:eastAsia="宋体" w:cs="宋体"/>
                <w:sz w:val="18"/>
                <w:szCs w:val="18"/>
              </w:rPr>
              <w:t>人民币普通股</w:t>
            </w:r>
          </w:p>
        </w:tc>
        <w:tc>
          <w:tcPr>
            <w:tcW w:w="1842" w:type="dxa"/>
            <w:gridSpan w:val="4"/>
            <w:tcBorders>
              <w:top w:val="single" w:color="auto" w:sz="2" w:space="0"/>
              <w:left w:val="single" w:color="auto" w:sz="2" w:space="0"/>
              <w:bottom w:val="single" w:color="auto" w:sz="2" w:space="0"/>
              <w:right w:val="single" w:color="auto" w:sz="2" w:space="0"/>
            </w:tcBorders>
            <w:vAlign w:val="center"/>
          </w:tcPr>
          <w:p w14:paraId="17B83862">
            <w:pPr>
              <w:spacing w:line="240" w:lineRule="exact"/>
              <w:jc w:val="right"/>
              <w:rPr>
                <w:rFonts w:ascii="宋体" w:hAnsi="宋体" w:eastAsia="宋体" w:cs="宋体"/>
                <w:sz w:val="18"/>
                <w:szCs w:val="18"/>
              </w:rPr>
            </w:pPr>
            <w:r>
              <w:rPr>
                <w:rFonts w:ascii="宋体" w:hAnsi="宋体" w:eastAsia="宋体" w:cs="宋体"/>
                <w:sz w:val="18"/>
                <w:szCs w:val="18"/>
              </w:rPr>
              <w:t>7,058,300</w:t>
            </w:r>
          </w:p>
        </w:tc>
      </w:tr>
      <w:tr w14:paraId="27878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95"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14:paraId="273EB793">
            <w:pPr>
              <w:spacing w:before="40" w:after="40" w:line="240" w:lineRule="exact"/>
              <w:rPr>
                <w:rFonts w:ascii="宋体" w:hAnsi="宋体" w:eastAsia="宋体" w:cs="宋体"/>
                <w:sz w:val="18"/>
                <w:szCs w:val="18"/>
              </w:rPr>
            </w:pPr>
            <w:r>
              <w:rPr>
                <w:rFonts w:ascii="宋体" w:hAnsi="宋体" w:eastAsia="宋体" w:cs="宋体"/>
                <w:sz w:val="18"/>
                <w:szCs w:val="18"/>
              </w:rPr>
              <w:t>前10名无限售流通股股东之间，以及前10名无限售流通股股东和前10名股东之间关联关系或一致行动的说明</w:t>
            </w:r>
          </w:p>
        </w:tc>
        <w:tc>
          <w:tcPr>
            <w:tcW w:w="5244" w:type="dxa"/>
            <w:gridSpan w:val="8"/>
            <w:tcBorders>
              <w:top w:val="single" w:color="auto" w:sz="2" w:space="0"/>
              <w:left w:val="single" w:color="auto" w:sz="2" w:space="0"/>
              <w:bottom w:val="single" w:color="auto" w:sz="2" w:space="0"/>
              <w:right w:val="single" w:color="auto" w:sz="2" w:space="0"/>
            </w:tcBorders>
            <w:vAlign w:val="center"/>
          </w:tcPr>
          <w:p w14:paraId="601F7C3E">
            <w:pPr>
              <w:spacing w:line="240" w:lineRule="exact"/>
              <w:rPr>
                <w:rFonts w:ascii="宋体" w:hAnsi="宋体" w:eastAsia="宋体" w:cs="宋体"/>
                <w:sz w:val="18"/>
                <w:szCs w:val="18"/>
              </w:rPr>
            </w:pPr>
            <w:r>
              <w:rPr>
                <w:rFonts w:ascii="宋体" w:hAnsi="宋体" w:eastAsia="宋体" w:cs="宋体"/>
                <w:sz w:val="18"/>
                <w:szCs w:val="18"/>
              </w:rPr>
              <w:t>上述股东中华孚控股有限公司、安徽飞亚纺织有限公司、深圳市华人投资有限公司为公司控股股东及一致行动人，其余流通股东与控股股东之间不存在关联关系，也不属于一致行动人。未知其余流通股股东之间是否存在关联关系或是否属于一致行动人。</w:t>
            </w:r>
          </w:p>
        </w:tc>
      </w:tr>
      <w:tr w14:paraId="59724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395"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14:paraId="248E70FA">
            <w:pPr>
              <w:spacing w:before="40" w:after="40" w:line="240" w:lineRule="exact"/>
              <w:rPr>
                <w:rFonts w:ascii="宋体" w:hAnsi="宋体" w:eastAsia="宋体" w:cs="宋体"/>
                <w:sz w:val="18"/>
                <w:szCs w:val="18"/>
              </w:rPr>
            </w:pPr>
            <w:r>
              <w:rPr>
                <w:rFonts w:ascii="宋体" w:hAnsi="宋体" w:eastAsia="宋体" w:cs="宋体"/>
                <w:sz w:val="18"/>
                <w:szCs w:val="18"/>
              </w:rPr>
              <w:t>前10名普通股股东参与融资融券业务情况说明（如有）（参见注4）</w:t>
            </w:r>
          </w:p>
        </w:tc>
        <w:tc>
          <w:tcPr>
            <w:tcW w:w="5244" w:type="dxa"/>
            <w:gridSpan w:val="8"/>
            <w:tcBorders>
              <w:top w:val="single" w:color="auto" w:sz="2" w:space="0"/>
              <w:left w:val="single" w:color="auto" w:sz="2" w:space="0"/>
              <w:bottom w:val="single" w:color="auto" w:sz="2" w:space="0"/>
              <w:right w:val="single" w:color="auto" w:sz="2" w:space="0"/>
            </w:tcBorders>
            <w:vAlign w:val="center"/>
          </w:tcPr>
          <w:p w14:paraId="4D040A16">
            <w:pPr>
              <w:spacing w:line="240" w:lineRule="exact"/>
              <w:rPr>
                <w:rFonts w:ascii="宋体" w:hAnsi="宋体" w:eastAsia="宋体" w:cs="宋体"/>
                <w:sz w:val="18"/>
                <w:szCs w:val="18"/>
              </w:rPr>
            </w:pPr>
            <w:r>
              <w:rPr>
                <w:rFonts w:ascii="宋体" w:hAnsi="宋体" w:eastAsia="宋体" w:cs="宋体"/>
                <w:sz w:val="18"/>
                <w:szCs w:val="18"/>
              </w:rPr>
              <w:t>不适用</w:t>
            </w:r>
          </w:p>
        </w:tc>
      </w:tr>
    </w:tbl>
    <w:p w14:paraId="574F3F2B">
      <w:pPr>
        <w:spacing w:before="100" w:after="100" w:line="240" w:lineRule="exact"/>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14:paraId="6847377D">
      <w:pPr>
        <w:spacing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986855C">
      <w:pPr>
        <w:spacing w:before="100" w:after="100" w:line="240" w:lineRule="exact"/>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14:paraId="1F1AA687">
      <w:pPr>
        <w:spacing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D403943">
      <w:pPr>
        <w:spacing w:before="100" w:after="100" w:line="240" w:lineRule="exac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公司前10名普通股股东、前10名无限售条件普通股股东在报告期内是否进行约定购回交易</w:t>
      </w:r>
    </w:p>
    <w:p w14:paraId="125052F2">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182C9CDA">
      <w:pPr>
        <w:spacing w:before="100" w:after="100" w:line="240" w:lineRule="exac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公司前10名普通股股东、前10名无限售条件普通股股东在报告期内未进行约定购回交易。</w:t>
      </w:r>
    </w:p>
    <w:p w14:paraId="53E0470E">
      <w:pPr>
        <w:pStyle w:val="3"/>
        <w:spacing w:line="280" w:lineRule="exact"/>
        <w:jc w:val="left"/>
        <w:rPr>
          <w:rFonts w:ascii="宋体" w:hAnsi="宋体" w:cs="宋体"/>
          <w:b/>
          <w:bCs/>
        </w:rPr>
      </w:pPr>
      <w:bookmarkStart w:id="147" w:name="_Toc989036"/>
      <w:r>
        <w:rPr>
          <w:rFonts w:ascii="宋体" w:hAnsi="宋体" w:cs="宋体"/>
          <w:b/>
          <w:bCs/>
        </w:rPr>
        <w:t>2、公司控股股东情况</w:t>
      </w:r>
      <w:bookmarkEnd w:id="147"/>
    </w:p>
    <w:p w14:paraId="733D0233">
      <w:pPr>
        <w:spacing w:before="100" w:after="100" w:line="240" w:lineRule="exact"/>
        <w:rPr>
          <w:rFonts w:ascii="宋体" w:hAnsi="宋体" w:eastAsia="宋体" w:cs="宋体"/>
          <w:sz w:val="18"/>
          <w:szCs w:val="18"/>
        </w:rPr>
      </w:pPr>
      <w:r>
        <w:rPr>
          <w:rFonts w:ascii="宋体" w:hAnsi="宋体" w:eastAsia="宋体" w:cs="宋体"/>
          <w:sz w:val="18"/>
          <w:szCs w:val="18"/>
        </w:rPr>
        <w:t>控股股东性质：自然人控股</w:t>
      </w:r>
    </w:p>
    <w:p w14:paraId="1FD6DE10">
      <w:pPr>
        <w:spacing w:before="100" w:after="100" w:line="240" w:lineRule="exact"/>
        <w:rPr>
          <w:rFonts w:ascii="宋体" w:hAnsi="宋体" w:eastAsia="宋体" w:cs="宋体"/>
          <w:sz w:val="18"/>
          <w:szCs w:val="18"/>
        </w:rPr>
      </w:pPr>
      <w:r>
        <w:rPr>
          <w:rFonts w:ascii="宋体" w:hAnsi="宋体" w:eastAsia="宋体" w:cs="宋体"/>
          <w:sz w:val="18"/>
          <w:szCs w:val="18"/>
        </w:rPr>
        <w:t>控股股东类型：法人</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01"/>
        <w:gridCol w:w="1418"/>
        <w:gridCol w:w="1701"/>
        <w:gridCol w:w="1843"/>
        <w:gridCol w:w="2976"/>
      </w:tblGrid>
      <w:tr w14:paraId="11A45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17A241D7">
            <w:pPr>
              <w:spacing w:before="40" w:after="40" w:line="240" w:lineRule="exact"/>
              <w:jc w:val="center"/>
              <w:rPr>
                <w:rFonts w:ascii="宋体" w:hAnsi="宋体" w:eastAsia="宋体" w:cs="宋体"/>
                <w:sz w:val="18"/>
                <w:szCs w:val="18"/>
              </w:rPr>
            </w:pPr>
            <w:r>
              <w:rPr>
                <w:rFonts w:ascii="宋体" w:hAnsi="宋体" w:eastAsia="宋体" w:cs="宋体"/>
                <w:sz w:val="18"/>
                <w:szCs w:val="18"/>
              </w:rPr>
              <w:t>控股股东名称</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14:paraId="6FDEC77E">
            <w:pPr>
              <w:spacing w:before="40" w:after="40" w:line="240" w:lineRule="exact"/>
              <w:jc w:val="center"/>
              <w:rPr>
                <w:rFonts w:ascii="宋体" w:hAnsi="宋体" w:eastAsia="宋体" w:cs="宋体"/>
                <w:sz w:val="18"/>
                <w:szCs w:val="18"/>
              </w:rPr>
            </w:pPr>
            <w:r>
              <w:rPr>
                <w:rFonts w:ascii="宋体" w:hAnsi="宋体" w:eastAsia="宋体" w:cs="宋体"/>
                <w:sz w:val="18"/>
                <w:szCs w:val="18"/>
              </w:rPr>
              <w:t>法定代表人/单位负责人</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14:paraId="7056DACE">
            <w:pPr>
              <w:spacing w:before="40" w:after="40" w:line="240" w:lineRule="exact"/>
              <w:jc w:val="center"/>
              <w:rPr>
                <w:rFonts w:ascii="宋体" w:hAnsi="宋体" w:eastAsia="宋体" w:cs="宋体"/>
                <w:sz w:val="18"/>
                <w:szCs w:val="18"/>
              </w:rPr>
            </w:pPr>
            <w:r>
              <w:rPr>
                <w:rFonts w:ascii="宋体" w:hAnsi="宋体" w:eastAsia="宋体" w:cs="宋体"/>
                <w:sz w:val="18"/>
                <w:szCs w:val="18"/>
              </w:rPr>
              <w:t>成立日期</w:t>
            </w: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14:paraId="0BBAED1F">
            <w:pPr>
              <w:spacing w:before="40" w:after="40" w:line="240" w:lineRule="exact"/>
              <w:jc w:val="center"/>
              <w:rPr>
                <w:rFonts w:ascii="宋体" w:hAnsi="宋体" w:eastAsia="宋体" w:cs="宋体"/>
                <w:sz w:val="18"/>
                <w:szCs w:val="18"/>
              </w:rPr>
            </w:pPr>
            <w:r>
              <w:rPr>
                <w:rFonts w:ascii="宋体" w:hAnsi="宋体" w:eastAsia="宋体" w:cs="宋体"/>
                <w:sz w:val="18"/>
                <w:szCs w:val="18"/>
              </w:rPr>
              <w:t>组织机构代码</w:t>
            </w:r>
          </w:p>
        </w:tc>
        <w:tc>
          <w:tcPr>
            <w:tcW w:w="2976" w:type="dxa"/>
            <w:tcBorders>
              <w:top w:val="single" w:color="auto" w:sz="2" w:space="0"/>
              <w:left w:val="single" w:color="auto" w:sz="2" w:space="0"/>
              <w:bottom w:val="single" w:color="auto" w:sz="2" w:space="0"/>
              <w:right w:val="single" w:color="auto" w:sz="2" w:space="0"/>
            </w:tcBorders>
            <w:shd w:val="clear" w:color="auto" w:fill="D3D3D3"/>
            <w:vAlign w:val="center"/>
          </w:tcPr>
          <w:p w14:paraId="5F444946">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主要经营业务</w:t>
            </w:r>
          </w:p>
        </w:tc>
      </w:tr>
      <w:tr w14:paraId="1E39B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14:paraId="766ABC9A">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418" w:type="dxa"/>
            <w:tcBorders>
              <w:top w:val="single" w:color="auto" w:sz="2" w:space="0"/>
              <w:left w:val="single" w:color="auto" w:sz="2" w:space="0"/>
              <w:bottom w:val="single" w:color="auto" w:sz="2" w:space="0"/>
              <w:right w:val="single" w:color="auto" w:sz="2" w:space="0"/>
            </w:tcBorders>
            <w:vAlign w:val="center"/>
          </w:tcPr>
          <w:p w14:paraId="31D067BB">
            <w:pPr>
              <w:spacing w:line="240" w:lineRule="exact"/>
              <w:rPr>
                <w:rFonts w:ascii="宋体" w:hAnsi="宋体" w:eastAsia="宋体" w:cs="宋体"/>
                <w:sz w:val="18"/>
                <w:szCs w:val="18"/>
              </w:rPr>
            </w:pPr>
            <w:r>
              <w:rPr>
                <w:rFonts w:ascii="宋体" w:hAnsi="宋体" w:eastAsia="宋体" w:cs="宋体"/>
                <w:sz w:val="18"/>
                <w:szCs w:val="18"/>
              </w:rPr>
              <w:t>孙伟挺</w:t>
            </w:r>
          </w:p>
        </w:tc>
        <w:tc>
          <w:tcPr>
            <w:tcW w:w="1701" w:type="dxa"/>
            <w:tcBorders>
              <w:top w:val="single" w:color="auto" w:sz="2" w:space="0"/>
              <w:left w:val="single" w:color="auto" w:sz="2" w:space="0"/>
              <w:bottom w:val="single" w:color="auto" w:sz="2" w:space="0"/>
              <w:right w:val="single" w:color="auto" w:sz="2" w:space="0"/>
            </w:tcBorders>
            <w:vAlign w:val="center"/>
          </w:tcPr>
          <w:p w14:paraId="53E3DE59">
            <w:pPr>
              <w:spacing w:line="240" w:lineRule="exact"/>
              <w:rPr>
                <w:rFonts w:ascii="宋体" w:hAnsi="宋体" w:eastAsia="宋体" w:cs="宋体"/>
                <w:sz w:val="18"/>
                <w:szCs w:val="18"/>
              </w:rPr>
            </w:pPr>
            <w:r>
              <w:rPr>
                <w:rFonts w:ascii="宋体" w:hAnsi="宋体" w:eastAsia="宋体" w:cs="宋体"/>
                <w:sz w:val="18"/>
                <w:szCs w:val="18"/>
              </w:rPr>
              <w:t>2002年09月23日</w:t>
            </w:r>
          </w:p>
        </w:tc>
        <w:tc>
          <w:tcPr>
            <w:tcW w:w="1843" w:type="dxa"/>
            <w:tcBorders>
              <w:top w:val="single" w:color="auto" w:sz="2" w:space="0"/>
              <w:left w:val="single" w:color="auto" w:sz="2" w:space="0"/>
              <w:bottom w:val="single" w:color="auto" w:sz="2" w:space="0"/>
              <w:right w:val="single" w:color="auto" w:sz="2" w:space="0"/>
            </w:tcBorders>
            <w:vAlign w:val="center"/>
          </w:tcPr>
          <w:p w14:paraId="725CCC0B">
            <w:pPr>
              <w:spacing w:line="240" w:lineRule="exact"/>
              <w:rPr>
                <w:rFonts w:ascii="宋体" w:hAnsi="宋体" w:eastAsia="宋体" w:cs="宋体"/>
                <w:sz w:val="18"/>
                <w:szCs w:val="18"/>
              </w:rPr>
            </w:pPr>
            <w:r>
              <w:rPr>
                <w:rFonts w:ascii="宋体" w:hAnsi="宋体" w:eastAsia="宋体" w:cs="宋体"/>
                <w:sz w:val="18"/>
                <w:szCs w:val="18"/>
              </w:rPr>
              <w:t>91440300743219206L</w:t>
            </w:r>
          </w:p>
        </w:tc>
        <w:tc>
          <w:tcPr>
            <w:tcW w:w="2976" w:type="dxa"/>
            <w:tcBorders>
              <w:top w:val="single" w:color="auto" w:sz="2" w:space="0"/>
              <w:left w:val="single" w:color="auto" w:sz="2" w:space="0"/>
              <w:bottom w:val="single" w:color="auto" w:sz="2" w:space="0"/>
              <w:right w:val="single" w:color="auto" w:sz="2" w:space="0"/>
            </w:tcBorders>
            <w:vAlign w:val="center"/>
          </w:tcPr>
          <w:p w14:paraId="40AF4DBB">
            <w:pPr>
              <w:spacing w:line="240" w:lineRule="exact"/>
              <w:rPr>
                <w:rFonts w:ascii="宋体" w:hAnsi="宋体" w:eastAsia="宋体" w:cs="宋体"/>
                <w:sz w:val="18"/>
                <w:szCs w:val="18"/>
              </w:rPr>
            </w:pPr>
            <w:r>
              <w:rPr>
                <w:rFonts w:ascii="宋体" w:hAnsi="宋体" w:eastAsia="宋体" w:cs="宋体"/>
                <w:sz w:val="18"/>
                <w:szCs w:val="18"/>
              </w:rPr>
              <w:t>投资兴办实业(具体项目另行申报);服装经营;纺织原材料的销售(不含专营、专控、专卖商品);纺织设备进出口业务;在合法取得的土地使用权范围内从事房地产开发、经营;计算机应用、软件开发。化工产品销售(不含许可类化工产品)。(除依法须经批准的项目外,凭营业执照依法自主开展经营活动)无</w:t>
            </w:r>
          </w:p>
        </w:tc>
      </w:tr>
      <w:tr w14:paraId="60827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66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444AEE4B">
            <w:pPr>
              <w:spacing w:before="40" w:after="40" w:line="240" w:lineRule="exact"/>
              <w:rPr>
                <w:rFonts w:ascii="宋体" w:hAnsi="宋体" w:eastAsia="宋体" w:cs="宋体"/>
                <w:sz w:val="18"/>
                <w:szCs w:val="18"/>
              </w:rPr>
            </w:pPr>
            <w:r>
              <w:rPr>
                <w:rFonts w:ascii="宋体" w:hAnsi="宋体" w:eastAsia="宋体" w:cs="宋体"/>
                <w:sz w:val="18"/>
                <w:szCs w:val="18"/>
              </w:rPr>
              <w:t>控股股东报告期内控股和参股的其他境内外上市公司的股权情况</w:t>
            </w:r>
          </w:p>
        </w:tc>
        <w:tc>
          <w:tcPr>
            <w:tcW w:w="2976" w:type="dxa"/>
            <w:tcBorders>
              <w:top w:val="single" w:color="auto" w:sz="2" w:space="0"/>
              <w:left w:val="single" w:color="auto" w:sz="2" w:space="0"/>
              <w:bottom w:val="single" w:color="auto" w:sz="2" w:space="0"/>
              <w:right w:val="single" w:color="auto" w:sz="2" w:space="0"/>
            </w:tcBorders>
            <w:vAlign w:val="center"/>
          </w:tcPr>
          <w:p w14:paraId="46D199F3">
            <w:pPr>
              <w:spacing w:line="240" w:lineRule="exact"/>
              <w:rPr>
                <w:rFonts w:ascii="宋体" w:hAnsi="宋体" w:eastAsia="宋体" w:cs="宋体"/>
                <w:sz w:val="18"/>
                <w:szCs w:val="18"/>
              </w:rPr>
            </w:pPr>
            <w:r>
              <w:rPr>
                <w:rFonts w:ascii="宋体" w:hAnsi="宋体" w:eastAsia="宋体" w:cs="宋体"/>
                <w:sz w:val="18"/>
                <w:szCs w:val="18"/>
              </w:rPr>
              <w:t>无</w:t>
            </w:r>
          </w:p>
        </w:tc>
      </w:tr>
    </w:tbl>
    <w:p w14:paraId="2DCC0F56">
      <w:pPr>
        <w:spacing w:before="100" w:after="100" w:line="240" w:lineRule="exact"/>
        <w:rPr>
          <w:rFonts w:ascii="宋体" w:hAnsi="宋体" w:eastAsia="宋体" w:cs="宋体"/>
          <w:sz w:val="18"/>
          <w:szCs w:val="18"/>
        </w:rPr>
      </w:pPr>
      <w:r>
        <w:rPr>
          <w:rFonts w:ascii="宋体" w:hAnsi="宋体" w:eastAsia="宋体" w:cs="宋体"/>
          <w:sz w:val="18"/>
          <w:szCs w:val="18"/>
        </w:rPr>
        <w:t>控股股东报告期内变更</w:t>
      </w:r>
    </w:p>
    <w:p w14:paraId="08823B17">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EB60F42">
      <w:pPr>
        <w:spacing w:before="100" w:after="100" w:line="240" w:lineRule="exact"/>
        <w:rPr>
          <w:rFonts w:ascii="宋体" w:hAnsi="宋体" w:eastAsia="宋体" w:cs="宋体"/>
          <w:sz w:val="18"/>
          <w:szCs w:val="18"/>
        </w:rPr>
      </w:pPr>
      <w:r>
        <w:rPr>
          <w:rFonts w:ascii="宋体" w:hAnsi="宋体" w:eastAsia="宋体" w:cs="宋体"/>
          <w:sz w:val="18"/>
          <w:szCs w:val="18"/>
        </w:rPr>
        <w:t>公司报告期控股股东未发生变更。</w:t>
      </w:r>
    </w:p>
    <w:p w14:paraId="19282A23">
      <w:pPr>
        <w:pStyle w:val="3"/>
        <w:spacing w:line="280" w:lineRule="exact"/>
        <w:jc w:val="left"/>
        <w:rPr>
          <w:rFonts w:ascii="宋体" w:hAnsi="宋体" w:cs="宋体"/>
          <w:b/>
          <w:bCs/>
        </w:rPr>
      </w:pPr>
      <w:bookmarkStart w:id="148" w:name="_Toc989037"/>
      <w:r>
        <w:rPr>
          <w:rFonts w:ascii="宋体" w:hAnsi="宋体" w:cs="宋体"/>
          <w:b/>
          <w:bCs/>
        </w:rPr>
        <w:t>3、公司实际控制人及其一致行动人</w:t>
      </w:r>
      <w:bookmarkEnd w:id="148"/>
    </w:p>
    <w:p w14:paraId="3E7BC323">
      <w:pPr>
        <w:spacing w:before="100" w:after="100" w:line="240" w:lineRule="exact"/>
        <w:rPr>
          <w:rFonts w:ascii="宋体" w:hAnsi="宋体" w:eastAsia="宋体" w:cs="宋体"/>
          <w:sz w:val="18"/>
          <w:szCs w:val="18"/>
        </w:rPr>
      </w:pPr>
      <w:r>
        <w:rPr>
          <w:rFonts w:ascii="宋体" w:hAnsi="宋体" w:eastAsia="宋体" w:cs="宋体"/>
          <w:sz w:val="18"/>
          <w:szCs w:val="18"/>
        </w:rPr>
        <w:t>实际控制人性质：境内自然人</w:t>
      </w:r>
    </w:p>
    <w:p w14:paraId="170A6A60">
      <w:pPr>
        <w:spacing w:before="100" w:after="100" w:line="240" w:lineRule="exact"/>
        <w:rPr>
          <w:rFonts w:ascii="宋体" w:hAnsi="宋体" w:eastAsia="宋体" w:cs="宋体"/>
          <w:sz w:val="18"/>
          <w:szCs w:val="18"/>
        </w:rPr>
      </w:pPr>
      <w:r>
        <w:rPr>
          <w:rFonts w:ascii="宋体" w:hAnsi="宋体" w:eastAsia="宋体" w:cs="宋体"/>
          <w:sz w:val="18"/>
          <w:szCs w:val="18"/>
        </w:rPr>
        <w:t>实际控制人类型：自然人</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008E9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C4968E3">
            <w:pPr>
              <w:spacing w:before="40" w:after="40" w:line="240" w:lineRule="exact"/>
              <w:jc w:val="center"/>
              <w:rPr>
                <w:rFonts w:ascii="宋体" w:hAnsi="宋体" w:eastAsia="宋体" w:cs="宋体"/>
                <w:sz w:val="18"/>
                <w:szCs w:val="18"/>
              </w:rPr>
            </w:pPr>
            <w:r>
              <w:rPr>
                <w:rFonts w:ascii="宋体" w:hAnsi="宋体" w:eastAsia="宋体" w:cs="宋体"/>
                <w:sz w:val="18"/>
                <w:szCs w:val="18"/>
              </w:rPr>
              <w:t>实际控制人姓名</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3E499CD">
            <w:pPr>
              <w:spacing w:before="40" w:after="40" w:line="240" w:lineRule="exact"/>
              <w:jc w:val="center"/>
              <w:rPr>
                <w:rFonts w:ascii="宋体" w:hAnsi="宋体" w:eastAsia="宋体" w:cs="宋体"/>
                <w:sz w:val="18"/>
                <w:szCs w:val="18"/>
              </w:rPr>
            </w:pPr>
            <w:r>
              <w:rPr>
                <w:rFonts w:ascii="宋体" w:hAnsi="宋体" w:eastAsia="宋体" w:cs="宋体"/>
                <w:sz w:val="18"/>
                <w:szCs w:val="18"/>
              </w:rPr>
              <w:t>与实际控制人关系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A7E0F07">
            <w:pPr>
              <w:spacing w:before="40" w:after="40" w:line="240" w:lineRule="exact"/>
              <w:jc w:val="center"/>
              <w:rPr>
                <w:rFonts w:ascii="宋体" w:hAnsi="宋体" w:eastAsia="宋体" w:cs="宋体"/>
                <w:sz w:val="18"/>
                <w:szCs w:val="18"/>
              </w:rPr>
            </w:pPr>
            <w:r>
              <w:rPr>
                <w:rFonts w:ascii="宋体" w:hAnsi="宋体" w:eastAsia="宋体" w:cs="宋体"/>
                <w:sz w:val="18"/>
                <w:szCs w:val="18"/>
              </w:rPr>
              <w:t>国籍</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555978E">
            <w:pPr>
              <w:spacing w:before="40" w:after="40" w:line="240" w:lineRule="exact"/>
              <w:jc w:val="center"/>
              <w:rPr>
                <w:rFonts w:ascii="宋体" w:hAnsi="宋体" w:eastAsia="宋体" w:cs="宋体"/>
                <w:sz w:val="18"/>
                <w:szCs w:val="18"/>
              </w:rPr>
            </w:pPr>
            <w:r>
              <w:rPr>
                <w:rFonts w:ascii="宋体" w:hAnsi="宋体" w:eastAsia="宋体" w:cs="宋体"/>
                <w:sz w:val="18"/>
                <w:szCs w:val="18"/>
              </w:rPr>
              <w:t>是否取得其他国家或地区居留权</w:t>
            </w:r>
          </w:p>
        </w:tc>
      </w:tr>
      <w:tr w14:paraId="61E86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F6FE122">
            <w:pPr>
              <w:spacing w:line="240" w:lineRule="exact"/>
              <w:rPr>
                <w:rFonts w:ascii="宋体" w:hAnsi="宋体" w:eastAsia="宋体" w:cs="宋体"/>
                <w:sz w:val="18"/>
                <w:szCs w:val="18"/>
              </w:rPr>
            </w:pPr>
            <w:r>
              <w:rPr>
                <w:rFonts w:ascii="宋体" w:hAnsi="宋体" w:eastAsia="宋体" w:cs="宋体"/>
                <w:sz w:val="18"/>
                <w:szCs w:val="18"/>
              </w:rPr>
              <w:t>孙伟挺</w:t>
            </w:r>
          </w:p>
        </w:tc>
        <w:tc>
          <w:tcPr>
            <w:tcW w:w="2410" w:type="dxa"/>
            <w:tcBorders>
              <w:top w:val="single" w:color="auto" w:sz="2" w:space="0"/>
              <w:left w:val="single" w:color="auto" w:sz="2" w:space="0"/>
              <w:bottom w:val="single" w:color="auto" w:sz="2" w:space="0"/>
              <w:right w:val="single" w:color="auto" w:sz="2" w:space="0"/>
            </w:tcBorders>
            <w:vAlign w:val="center"/>
          </w:tcPr>
          <w:p w14:paraId="3F885418">
            <w:pPr>
              <w:spacing w:line="240" w:lineRule="exact"/>
              <w:rPr>
                <w:rFonts w:ascii="宋体" w:hAnsi="宋体" w:eastAsia="宋体" w:cs="宋体"/>
                <w:sz w:val="18"/>
                <w:szCs w:val="18"/>
              </w:rPr>
            </w:pPr>
            <w:r>
              <w:rPr>
                <w:rFonts w:ascii="宋体" w:hAnsi="宋体" w:eastAsia="宋体" w:cs="宋体"/>
                <w:sz w:val="18"/>
                <w:szCs w:val="18"/>
              </w:rPr>
              <w:t>本人</w:t>
            </w:r>
          </w:p>
        </w:tc>
        <w:tc>
          <w:tcPr>
            <w:tcW w:w="2410" w:type="dxa"/>
            <w:tcBorders>
              <w:top w:val="single" w:color="auto" w:sz="2" w:space="0"/>
              <w:left w:val="single" w:color="auto" w:sz="2" w:space="0"/>
              <w:bottom w:val="single" w:color="auto" w:sz="2" w:space="0"/>
              <w:right w:val="single" w:color="auto" w:sz="2" w:space="0"/>
            </w:tcBorders>
            <w:vAlign w:val="center"/>
          </w:tcPr>
          <w:p w14:paraId="21B1CBA7">
            <w:pPr>
              <w:spacing w:line="240" w:lineRule="exact"/>
              <w:rPr>
                <w:rFonts w:ascii="宋体" w:hAnsi="宋体" w:eastAsia="宋体" w:cs="宋体"/>
                <w:sz w:val="18"/>
                <w:szCs w:val="18"/>
              </w:rPr>
            </w:pPr>
            <w:r>
              <w:rPr>
                <w:rFonts w:ascii="宋体" w:hAnsi="宋体" w:eastAsia="宋体" w:cs="宋体"/>
                <w:sz w:val="18"/>
                <w:szCs w:val="18"/>
              </w:rPr>
              <w:t>中国</w:t>
            </w:r>
          </w:p>
        </w:tc>
        <w:tc>
          <w:tcPr>
            <w:tcW w:w="2410" w:type="dxa"/>
            <w:tcBorders>
              <w:top w:val="single" w:color="auto" w:sz="2" w:space="0"/>
              <w:left w:val="single" w:color="auto" w:sz="2" w:space="0"/>
              <w:bottom w:val="single" w:color="auto" w:sz="2" w:space="0"/>
              <w:right w:val="single" w:color="auto" w:sz="2" w:space="0"/>
            </w:tcBorders>
            <w:vAlign w:val="center"/>
          </w:tcPr>
          <w:p w14:paraId="1086F980">
            <w:pPr>
              <w:spacing w:line="240" w:lineRule="exact"/>
              <w:rPr>
                <w:rFonts w:ascii="宋体" w:hAnsi="宋体" w:eastAsia="宋体" w:cs="宋体"/>
                <w:sz w:val="18"/>
                <w:szCs w:val="18"/>
              </w:rPr>
            </w:pPr>
            <w:r>
              <w:rPr>
                <w:rFonts w:ascii="宋体" w:hAnsi="宋体" w:eastAsia="宋体" w:cs="宋体"/>
                <w:sz w:val="18"/>
                <w:szCs w:val="18"/>
              </w:rPr>
              <w:t>否</w:t>
            </w:r>
          </w:p>
        </w:tc>
      </w:tr>
      <w:tr w14:paraId="096D1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A7ED1ED">
            <w:pPr>
              <w:spacing w:line="240" w:lineRule="exact"/>
              <w:rPr>
                <w:rFonts w:ascii="宋体" w:hAnsi="宋体" w:eastAsia="宋体" w:cs="宋体"/>
                <w:sz w:val="18"/>
                <w:szCs w:val="18"/>
              </w:rPr>
            </w:pPr>
            <w:r>
              <w:rPr>
                <w:rFonts w:ascii="宋体" w:hAnsi="宋体" w:eastAsia="宋体" w:cs="宋体"/>
                <w:sz w:val="18"/>
                <w:szCs w:val="18"/>
              </w:rPr>
              <w:t>陈玲芬</w:t>
            </w:r>
          </w:p>
        </w:tc>
        <w:tc>
          <w:tcPr>
            <w:tcW w:w="2410" w:type="dxa"/>
            <w:tcBorders>
              <w:top w:val="single" w:color="auto" w:sz="2" w:space="0"/>
              <w:left w:val="single" w:color="auto" w:sz="2" w:space="0"/>
              <w:bottom w:val="single" w:color="auto" w:sz="2" w:space="0"/>
              <w:right w:val="single" w:color="auto" w:sz="2" w:space="0"/>
            </w:tcBorders>
            <w:vAlign w:val="center"/>
          </w:tcPr>
          <w:p w14:paraId="7C2AF24B">
            <w:pPr>
              <w:spacing w:line="240" w:lineRule="exact"/>
              <w:rPr>
                <w:rFonts w:ascii="宋体" w:hAnsi="宋体" w:eastAsia="宋体" w:cs="宋体"/>
                <w:sz w:val="18"/>
                <w:szCs w:val="18"/>
              </w:rPr>
            </w:pPr>
            <w:r>
              <w:rPr>
                <w:rFonts w:ascii="宋体" w:hAnsi="宋体" w:eastAsia="宋体" w:cs="宋体"/>
                <w:sz w:val="18"/>
                <w:szCs w:val="18"/>
              </w:rPr>
              <w:t>本人</w:t>
            </w:r>
          </w:p>
        </w:tc>
        <w:tc>
          <w:tcPr>
            <w:tcW w:w="2410" w:type="dxa"/>
            <w:tcBorders>
              <w:top w:val="single" w:color="auto" w:sz="2" w:space="0"/>
              <w:left w:val="single" w:color="auto" w:sz="2" w:space="0"/>
              <w:bottom w:val="single" w:color="auto" w:sz="2" w:space="0"/>
              <w:right w:val="single" w:color="auto" w:sz="2" w:space="0"/>
            </w:tcBorders>
            <w:vAlign w:val="center"/>
          </w:tcPr>
          <w:p w14:paraId="063EAECB">
            <w:pPr>
              <w:spacing w:line="240" w:lineRule="exact"/>
              <w:rPr>
                <w:rFonts w:ascii="宋体" w:hAnsi="宋体" w:eastAsia="宋体" w:cs="宋体"/>
                <w:sz w:val="18"/>
                <w:szCs w:val="18"/>
              </w:rPr>
            </w:pPr>
            <w:r>
              <w:rPr>
                <w:rFonts w:ascii="宋体" w:hAnsi="宋体" w:eastAsia="宋体" w:cs="宋体"/>
                <w:sz w:val="18"/>
                <w:szCs w:val="18"/>
              </w:rPr>
              <w:t>中国</w:t>
            </w:r>
          </w:p>
        </w:tc>
        <w:tc>
          <w:tcPr>
            <w:tcW w:w="2410" w:type="dxa"/>
            <w:tcBorders>
              <w:top w:val="single" w:color="auto" w:sz="2" w:space="0"/>
              <w:left w:val="single" w:color="auto" w:sz="2" w:space="0"/>
              <w:bottom w:val="single" w:color="auto" w:sz="2" w:space="0"/>
              <w:right w:val="single" w:color="auto" w:sz="2" w:space="0"/>
            </w:tcBorders>
            <w:vAlign w:val="center"/>
          </w:tcPr>
          <w:p w14:paraId="0913B06B">
            <w:pPr>
              <w:spacing w:line="240" w:lineRule="exact"/>
              <w:rPr>
                <w:rFonts w:ascii="宋体" w:hAnsi="宋体" w:eastAsia="宋体" w:cs="宋体"/>
                <w:sz w:val="18"/>
                <w:szCs w:val="18"/>
              </w:rPr>
            </w:pPr>
            <w:r>
              <w:rPr>
                <w:rFonts w:ascii="宋体" w:hAnsi="宋体" w:eastAsia="宋体" w:cs="宋体"/>
                <w:sz w:val="18"/>
                <w:szCs w:val="18"/>
              </w:rPr>
              <w:t>否</w:t>
            </w:r>
          </w:p>
        </w:tc>
      </w:tr>
      <w:tr w14:paraId="679A2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004D89D">
            <w:pPr>
              <w:spacing w:before="40" w:after="40" w:line="240" w:lineRule="exact"/>
              <w:rPr>
                <w:rFonts w:ascii="宋体" w:hAnsi="宋体" w:eastAsia="宋体" w:cs="宋体"/>
                <w:sz w:val="18"/>
                <w:szCs w:val="18"/>
              </w:rPr>
            </w:pPr>
            <w:r>
              <w:rPr>
                <w:rFonts w:ascii="宋体" w:hAnsi="宋体" w:eastAsia="宋体" w:cs="宋体"/>
                <w:sz w:val="18"/>
                <w:szCs w:val="18"/>
              </w:rPr>
              <w:t>主要职业及职务</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3DFFEFBD">
            <w:pPr>
              <w:spacing w:line="240" w:lineRule="exact"/>
              <w:rPr>
                <w:rFonts w:ascii="宋体" w:hAnsi="宋体" w:eastAsia="宋体" w:cs="宋体"/>
                <w:sz w:val="18"/>
                <w:szCs w:val="18"/>
              </w:rPr>
            </w:pPr>
            <w:r>
              <w:rPr>
                <w:rFonts w:ascii="宋体" w:hAnsi="宋体" w:eastAsia="宋体" w:cs="宋体"/>
                <w:sz w:val="18"/>
                <w:szCs w:val="18"/>
              </w:rPr>
              <w:t>孙伟挺先生于1993年创办华孚，任华孚控股有限公司董事长；2008年2月起，担任安徽飞亚纺织发展股份有限公司董事；2008年12月至今，任本公司董事长。陈玲芬女士于1993年创办华孚，担任副董事长、总裁等职务。2008年2月起任安徽飞亚纺织发展股份有限公司董事。2009年5月至今，任公司董事、副董事长、总裁。</w:t>
            </w:r>
          </w:p>
        </w:tc>
      </w:tr>
      <w:tr w14:paraId="6DB33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2B8B0D6">
            <w:pPr>
              <w:spacing w:before="40" w:after="40" w:line="240" w:lineRule="exact"/>
              <w:rPr>
                <w:rFonts w:ascii="宋体" w:hAnsi="宋体" w:eastAsia="宋体" w:cs="宋体"/>
                <w:sz w:val="18"/>
                <w:szCs w:val="18"/>
              </w:rPr>
            </w:pPr>
            <w:r>
              <w:rPr>
                <w:rFonts w:ascii="宋体" w:hAnsi="宋体" w:eastAsia="宋体" w:cs="宋体"/>
                <w:sz w:val="18"/>
                <w:szCs w:val="18"/>
              </w:rPr>
              <w:t>过去10年曾控股的境内外上市公司情况</w:t>
            </w:r>
          </w:p>
        </w:tc>
        <w:tc>
          <w:tcPr>
            <w:tcW w:w="7229" w:type="dxa"/>
            <w:gridSpan w:val="3"/>
            <w:tcBorders>
              <w:top w:val="single" w:color="auto" w:sz="2" w:space="0"/>
              <w:left w:val="single" w:color="auto" w:sz="2" w:space="0"/>
              <w:bottom w:val="single" w:color="auto" w:sz="2" w:space="0"/>
              <w:right w:val="single" w:color="auto" w:sz="2" w:space="0"/>
            </w:tcBorders>
            <w:vAlign w:val="center"/>
          </w:tcPr>
          <w:p w14:paraId="2F637B97">
            <w:pPr>
              <w:spacing w:line="240" w:lineRule="exact"/>
              <w:rPr>
                <w:rFonts w:ascii="宋体" w:hAnsi="宋体" w:eastAsia="宋体" w:cs="宋体"/>
                <w:sz w:val="18"/>
                <w:szCs w:val="18"/>
              </w:rPr>
            </w:pPr>
            <w:r>
              <w:rPr>
                <w:rFonts w:ascii="宋体" w:hAnsi="宋体" w:eastAsia="宋体" w:cs="宋体"/>
                <w:sz w:val="18"/>
                <w:szCs w:val="18"/>
              </w:rPr>
              <w:t>无</w:t>
            </w:r>
          </w:p>
        </w:tc>
      </w:tr>
    </w:tbl>
    <w:p w14:paraId="475C0FAC">
      <w:pPr>
        <w:spacing w:before="100" w:after="100" w:line="240" w:lineRule="exact"/>
        <w:rPr>
          <w:rFonts w:ascii="宋体" w:hAnsi="宋体" w:eastAsia="宋体" w:cs="宋体"/>
          <w:sz w:val="18"/>
          <w:szCs w:val="18"/>
        </w:rPr>
      </w:pPr>
      <w:r>
        <w:rPr>
          <w:rFonts w:ascii="宋体" w:hAnsi="宋体" w:eastAsia="宋体" w:cs="宋体"/>
          <w:sz w:val="18"/>
          <w:szCs w:val="18"/>
        </w:rPr>
        <w:t>实际控制人报告期内变更</w:t>
      </w:r>
    </w:p>
    <w:p w14:paraId="3F243C11">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7298C08">
      <w:pPr>
        <w:spacing w:before="100" w:after="100" w:line="240" w:lineRule="exact"/>
        <w:rPr>
          <w:rFonts w:ascii="宋体" w:hAnsi="宋体" w:eastAsia="宋体" w:cs="宋体"/>
          <w:sz w:val="18"/>
          <w:szCs w:val="18"/>
        </w:rPr>
      </w:pPr>
      <w:r>
        <w:rPr>
          <w:rFonts w:ascii="宋体" w:hAnsi="宋体" w:eastAsia="宋体" w:cs="宋体"/>
          <w:sz w:val="18"/>
          <w:szCs w:val="18"/>
        </w:rPr>
        <w:t>公司报告期实际控制人未发生变更。</w:t>
      </w:r>
    </w:p>
    <w:p w14:paraId="7C0DE670">
      <w:pPr>
        <w:spacing w:before="100" w:after="100" w:line="240" w:lineRule="exact"/>
        <w:rPr>
          <w:rFonts w:ascii="宋体" w:hAnsi="宋体" w:eastAsia="宋体" w:cs="宋体"/>
          <w:sz w:val="18"/>
          <w:szCs w:val="18"/>
        </w:rPr>
      </w:pPr>
      <w:r>
        <w:rPr>
          <w:rFonts w:ascii="宋体" w:hAnsi="宋体" w:eastAsia="宋体" w:cs="宋体"/>
          <w:sz w:val="18"/>
          <w:szCs w:val="18"/>
        </w:rPr>
        <w:t>公司与实际控制人之间的产权及控制关系的方框图</w:t>
      </w:r>
    </w:p>
    <w:p w14:paraId="2CA3B08A">
      <w:pPr>
        <w:spacing w:before="40" w:after="40" w:line="0" w:lineRule="atLeast"/>
        <w:jc w:val="center"/>
        <w:rPr>
          <w:rFonts w:ascii="Times New Roman" w:hAnsi="Times New Roman" w:eastAsia="宋体" w:cs="Times New Roman"/>
        </w:rPr>
      </w:pPr>
      <w:r>
        <w:rPr>
          <w:rFonts w:ascii="Times New Roman" w:hAnsi="Times New Roman" w:eastAsia="宋体" w:cs="Times New Roman"/>
        </w:rPr>
        <w:drawing>
          <wp:inline distT="0" distB="0" distL="0" distR="0">
            <wp:extent cx="6119495" cy="2921000"/>
            <wp:effectExtent l="0" t="0" r="0" b="0"/>
            <wp:docPr id="3" name="图片 3" descr="C:\Users\sunx\xwechat_files\wxid_iktunhqy3i8o22_9f2c\temp\RWTemp\2026-04\ba8fd887a902177f3c8f89d4b0a72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sunx\xwechat_files\wxid_iktunhqy3i8o22_9f2c\temp\RWTemp\2026-04\ba8fd887a902177f3c8f89d4b0a7274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119495" cy="2921619"/>
                    </a:xfrm>
                    <a:prstGeom prst="rect">
                      <a:avLst/>
                    </a:prstGeom>
                    <a:noFill/>
                    <a:ln>
                      <a:noFill/>
                    </a:ln>
                  </pic:spPr>
                </pic:pic>
              </a:graphicData>
            </a:graphic>
          </wp:inline>
        </w:drawing>
      </w:r>
    </w:p>
    <w:p w14:paraId="67E4F218">
      <w:pPr>
        <w:spacing w:before="100" w:after="100" w:line="240" w:lineRule="exact"/>
        <w:rPr>
          <w:rFonts w:ascii="宋体" w:hAnsi="宋体" w:eastAsia="宋体" w:cs="宋体"/>
          <w:sz w:val="18"/>
          <w:szCs w:val="18"/>
        </w:rPr>
      </w:pPr>
      <w:r>
        <w:rPr>
          <w:rFonts w:ascii="宋体" w:hAnsi="宋体" w:eastAsia="宋体" w:cs="宋体"/>
          <w:sz w:val="18"/>
          <w:szCs w:val="18"/>
        </w:rPr>
        <w:t>实际控制人通过信托或其他资产管理方式控制公司</w:t>
      </w:r>
    </w:p>
    <w:p w14:paraId="5B3EDD79">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A78DF30">
      <w:pPr>
        <w:pStyle w:val="3"/>
        <w:spacing w:line="280" w:lineRule="exact"/>
        <w:jc w:val="left"/>
        <w:rPr>
          <w:rFonts w:ascii="宋体" w:hAnsi="宋体" w:cs="宋体"/>
          <w:b/>
          <w:bCs/>
        </w:rPr>
      </w:pPr>
      <w:bookmarkStart w:id="149" w:name="_Toc989038"/>
      <w:r>
        <w:rPr>
          <w:rFonts w:ascii="宋体" w:hAnsi="宋体" w:cs="宋体"/>
          <w:b/>
          <w:bCs/>
        </w:rPr>
        <w:t>4、公司控股股东或第一大股东及其一致行动人累计质押股份数量占其所持公司股份数量比例达到80%</w:t>
      </w:r>
      <w:bookmarkEnd w:id="149"/>
    </w:p>
    <w:p w14:paraId="503124B0">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6EA23B8">
      <w:pPr>
        <w:pStyle w:val="3"/>
        <w:spacing w:line="280" w:lineRule="exact"/>
        <w:jc w:val="left"/>
        <w:rPr>
          <w:rFonts w:ascii="宋体" w:hAnsi="宋体" w:cs="宋体"/>
          <w:b/>
          <w:bCs/>
        </w:rPr>
      </w:pPr>
      <w:bookmarkStart w:id="150" w:name="_Toc989039"/>
      <w:r>
        <w:rPr>
          <w:rFonts w:ascii="宋体" w:hAnsi="宋体" w:cs="宋体"/>
          <w:b/>
          <w:bCs/>
        </w:rPr>
        <w:t>5、其他持股在10%以上的法人股东</w:t>
      </w:r>
      <w:bookmarkEnd w:id="150"/>
    </w:p>
    <w:p w14:paraId="32B9701B">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C3AA939">
      <w:pPr>
        <w:pStyle w:val="3"/>
        <w:spacing w:line="280" w:lineRule="exact"/>
        <w:jc w:val="left"/>
        <w:rPr>
          <w:rFonts w:ascii="宋体" w:hAnsi="宋体" w:cs="宋体"/>
          <w:b/>
          <w:bCs/>
        </w:rPr>
      </w:pPr>
      <w:bookmarkStart w:id="151" w:name="_Toc989040"/>
      <w:r>
        <w:rPr>
          <w:rFonts w:ascii="宋体" w:hAnsi="宋体" w:cs="宋体"/>
          <w:b/>
          <w:bCs/>
        </w:rPr>
        <w:t>6、控股股东、实际控制人、重组方及其他承诺主体股份限制减持情况</w:t>
      </w:r>
      <w:bookmarkEnd w:id="151"/>
    </w:p>
    <w:p w14:paraId="2E5BD811">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1F590BC">
      <w:pPr>
        <w:pStyle w:val="2"/>
        <w:spacing w:before="300" w:after="300" w:line="320" w:lineRule="exact"/>
        <w:rPr>
          <w:rFonts w:ascii="宋体" w:hAnsi="宋体" w:eastAsia="宋体" w:cs="宋体"/>
          <w:b/>
          <w:bCs/>
          <w:sz w:val="24"/>
          <w:szCs w:val="24"/>
        </w:rPr>
      </w:pPr>
      <w:bookmarkStart w:id="152" w:name="_Toc989041"/>
      <w:r>
        <w:rPr>
          <w:rFonts w:ascii="宋体" w:hAnsi="宋体" w:eastAsia="宋体" w:cs="宋体"/>
          <w:b/>
          <w:bCs/>
          <w:sz w:val="24"/>
          <w:szCs w:val="24"/>
        </w:rPr>
        <w:t>四、股份回购在报告期的具体实施情况</w:t>
      </w:r>
      <w:bookmarkEnd w:id="152"/>
    </w:p>
    <w:p w14:paraId="34D50EED">
      <w:pPr>
        <w:spacing w:before="100" w:after="100" w:line="240" w:lineRule="exact"/>
        <w:rPr>
          <w:rFonts w:ascii="宋体" w:hAnsi="宋体" w:eastAsia="宋体" w:cs="宋体"/>
          <w:sz w:val="18"/>
          <w:szCs w:val="18"/>
        </w:rPr>
      </w:pPr>
      <w:r>
        <w:rPr>
          <w:rFonts w:ascii="宋体" w:hAnsi="宋体" w:eastAsia="宋体" w:cs="宋体"/>
          <w:sz w:val="18"/>
          <w:szCs w:val="18"/>
        </w:rPr>
        <w:t>股份回购的实施进展情况</w:t>
      </w:r>
    </w:p>
    <w:p w14:paraId="6ACC2BAF">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ED6502C">
      <w:pPr>
        <w:spacing w:before="100" w:after="100" w:line="240" w:lineRule="exact"/>
        <w:rPr>
          <w:rFonts w:ascii="宋体" w:hAnsi="宋体" w:eastAsia="宋体" w:cs="宋体"/>
          <w:sz w:val="18"/>
          <w:szCs w:val="18"/>
        </w:rPr>
      </w:pPr>
      <w:r>
        <w:rPr>
          <w:rFonts w:ascii="宋体" w:hAnsi="宋体" w:eastAsia="宋体" w:cs="宋体"/>
          <w:sz w:val="18"/>
          <w:szCs w:val="18"/>
        </w:rPr>
        <w:t>采用集中竞价交易方式减持回购股份的实施进展情况</w:t>
      </w:r>
    </w:p>
    <w:p w14:paraId="2AFEE1FC">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7A98B95">
      <w:pPr>
        <w:pStyle w:val="2"/>
        <w:spacing w:before="300" w:after="300" w:line="320" w:lineRule="exact"/>
        <w:rPr>
          <w:rFonts w:ascii="宋体" w:hAnsi="宋体" w:eastAsia="宋体" w:cs="宋体"/>
          <w:b/>
          <w:bCs/>
          <w:sz w:val="24"/>
          <w:szCs w:val="24"/>
        </w:rPr>
      </w:pPr>
      <w:bookmarkStart w:id="153" w:name="_Toc989042"/>
      <w:r>
        <w:rPr>
          <w:rFonts w:ascii="宋体" w:hAnsi="宋体" w:eastAsia="宋体" w:cs="宋体"/>
          <w:b/>
          <w:bCs/>
          <w:sz w:val="24"/>
          <w:szCs w:val="24"/>
        </w:rPr>
        <w:t>五、优先股相关情况</w:t>
      </w:r>
      <w:bookmarkEnd w:id="153"/>
    </w:p>
    <w:p w14:paraId="4B339221">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A7ECE6B">
      <w:pPr>
        <w:spacing w:before="100" w:after="100" w:line="240" w:lineRule="exact"/>
        <w:rPr>
          <w:rFonts w:ascii="宋体" w:hAnsi="宋体" w:eastAsia="宋体" w:cs="宋体"/>
          <w:sz w:val="18"/>
          <w:szCs w:val="18"/>
        </w:rPr>
      </w:pPr>
      <w:r>
        <w:rPr>
          <w:rFonts w:ascii="宋体" w:hAnsi="宋体" w:eastAsia="宋体" w:cs="宋体"/>
          <w:sz w:val="18"/>
          <w:szCs w:val="18"/>
        </w:rPr>
        <w:t>报告期公司不存在优先股。</w:t>
      </w:r>
    </w:p>
    <w:p w14:paraId="3430B226">
      <w:r>
        <w:br w:type="page"/>
      </w:r>
    </w:p>
    <w:p w14:paraId="4C6E34D9">
      <w:pPr>
        <w:pStyle w:val="15"/>
        <w:spacing w:before="340" w:after="330" w:line="773" w:lineRule="exact"/>
        <w:jc w:val="center"/>
        <w:rPr>
          <w:rFonts w:ascii="宋体" w:hAnsi="宋体" w:eastAsia="宋体" w:cs="宋体"/>
          <w:b/>
          <w:bCs/>
          <w:sz w:val="32"/>
          <w:szCs w:val="32"/>
        </w:rPr>
      </w:pPr>
      <w:bookmarkStart w:id="154" w:name="_Toc989043"/>
      <w:r>
        <w:rPr>
          <w:rFonts w:ascii="宋体" w:hAnsi="宋体" w:eastAsia="宋体" w:cs="宋体"/>
          <w:b/>
          <w:bCs/>
          <w:sz w:val="32"/>
          <w:szCs w:val="32"/>
        </w:rPr>
        <w:t>第七节 债券相关情况</w:t>
      </w:r>
      <w:bookmarkEnd w:id="154"/>
    </w:p>
    <w:p w14:paraId="0C173469">
      <w:pPr>
        <w:spacing w:before="40" w:after="4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774E36F">
      <w:r>
        <w:br w:type="page"/>
      </w:r>
    </w:p>
    <w:p w14:paraId="17DDEFC7">
      <w:pPr>
        <w:pStyle w:val="15"/>
        <w:spacing w:before="340" w:after="330" w:line="773" w:lineRule="exact"/>
        <w:jc w:val="center"/>
        <w:rPr>
          <w:rFonts w:ascii="宋体" w:hAnsi="宋体" w:eastAsia="宋体" w:cs="宋体"/>
          <w:b/>
          <w:bCs/>
          <w:sz w:val="32"/>
          <w:szCs w:val="32"/>
        </w:rPr>
      </w:pPr>
      <w:bookmarkStart w:id="155" w:name="_Toc989044"/>
      <w:r>
        <w:rPr>
          <w:rFonts w:ascii="宋体" w:hAnsi="宋体" w:eastAsia="宋体" w:cs="宋体"/>
          <w:b/>
          <w:bCs/>
          <w:sz w:val="32"/>
          <w:szCs w:val="32"/>
        </w:rPr>
        <w:t>第八节 财务报告</w:t>
      </w:r>
      <w:bookmarkEnd w:id="155"/>
    </w:p>
    <w:p w14:paraId="0E62BF99">
      <w:pPr>
        <w:pStyle w:val="2"/>
        <w:spacing w:before="300" w:after="300" w:line="320" w:lineRule="exact"/>
        <w:rPr>
          <w:rFonts w:ascii="宋体" w:hAnsi="宋体" w:eastAsia="宋体" w:cs="宋体"/>
          <w:b/>
          <w:bCs/>
          <w:sz w:val="24"/>
          <w:szCs w:val="24"/>
        </w:rPr>
      </w:pPr>
      <w:bookmarkStart w:id="156" w:name="_Toc989045"/>
      <w:r>
        <w:rPr>
          <w:rFonts w:ascii="宋体" w:hAnsi="宋体" w:eastAsia="宋体" w:cs="宋体"/>
          <w:b/>
          <w:bCs/>
          <w:sz w:val="24"/>
          <w:szCs w:val="24"/>
        </w:rPr>
        <w:t>一、审计报告</w:t>
      </w:r>
      <w:bookmarkEnd w:id="156"/>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14:paraId="56563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6B79240">
            <w:pPr>
              <w:spacing w:before="40" w:after="40" w:line="240" w:lineRule="exact"/>
              <w:rPr>
                <w:rFonts w:ascii="宋体" w:hAnsi="宋体" w:eastAsia="宋体" w:cs="宋体"/>
                <w:sz w:val="18"/>
                <w:szCs w:val="18"/>
              </w:rPr>
            </w:pPr>
            <w:r>
              <w:rPr>
                <w:rFonts w:ascii="宋体" w:hAnsi="宋体" w:eastAsia="宋体" w:cs="宋体"/>
                <w:sz w:val="18"/>
                <w:szCs w:val="18"/>
              </w:rPr>
              <w:t>审计意见类型</w:t>
            </w:r>
          </w:p>
        </w:tc>
        <w:tc>
          <w:tcPr>
            <w:tcW w:w="4820" w:type="dxa"/>
            <w:tcBorders>
              <w:top w:val="single" w:color="auto" w:sz="2" w:space="0"/>
              <w:left w:val="single" w:color="auto" w:sz="2" w:space="0"/>
              <w:bottom w:val="single" w:color="auto" w:sz="2" w:space="0"/>
              <w:right w:val="single" w:color="auto" w:sz="2" w:space="0"/>
            </w:tcBorders>
            <w:vAlign w:val="center"/>
          </w:tcPr>
          <w:p w14:paraId="70629591">
            <w:pPr>
              <w:spacing w:line="240" w:lineRule="exact"/>
              <w:rPr>
                <w:rFonts w:ascii="宋体" w:hAnsi="宋体" w:eastAsia="宋体" w:cs="宋体"/>
                <w:sz w:val="18"/>
                <w:szCs w:val="18"/>
              </w:rPr>
            </w:pPr>
            <w:r>
              <w:rPr>
                <w:rFonts w:ascii="宋体" w:hAnsi="宋体" w:eastAsia="宋体" w:cs="宋体"/>
                <w:sz w:val="18"/>
                <w:szCs w:val="18"/>
              </w:rPr>
              <w:t>标准的无保留意见</w:t>
            </w:r>
          </w:p>
        </w:tc>
      </w:tr>
      <w:tr w14:paraId="63A7E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E910E98">
            <w:pPr>
              <w:spacing w:before="40" w:after="40" w:line="240" w:lineRule="exact"/>
              <w:rPr>
                <w:rFonts w:ascii="宋体" w:hAnsi="宋体" w:eastAsia="宋体" w:cs="宋体"/>
                <w:sz w:val="18"/>
                <w:szCs w:val="18"/>
              </w:rPr>
            </w:pPr>
            <w:r>
              <w:rPr>
                <w:rFonts w:ascii="宋体" w:hAnsi="宋体" w:eastAsia="宋体" w:cs="宋体"/>
                <w:sz w:val="18"/>
                <w:szCs w:val="18"/>
              </w:rPr>
              <w:t>审计报告签署日期</w:t>
            </w:r>
          </w:p>
        </w:tc>
        <w:tc>
          <w:tcPr>
            <w:tcW w:w="4820" w:type="dxa"/>
            <w:tcBorders>
              <w:top w:val="single" w:color="auto" w:sz="2" w:space="0"/>
              <w:left w:val="single" w:color="auto" w:sz="2" w:space="0"/>
              <w:bottom w:val="single" w:color="auto" w:sz="2" w:space="0"/>
              <w:right w:val="single" w:color="auto" w:sz="2" w:space="0"/>
            </w:tcBorders>
            <w:vAlign w:val="center"/>
          </w:tcPr>
          <w:p w14:paraId="0100C503">
            <w:pPr>
              <w:spacing w:line="240" w:lineRule="exact"/>
              <w:rPr>
                <w:rFonts w:ascii="宋体" w:hAnsi="宋体" w:eastAsia="宋体" w:cs="宋体"/>
                <w:sz w:val="18"/>
                <w:szCs w:val="18"/>
              </w:rPr>
            </w:pPr>
            <w:r>
              <w:rPr>
                <w:rFonts w:ascii="宋体" w:hAnsi="宋体" w:eastAsia="宋体" w:cs="宋体"/>
                <w:sz w:val="18"/>
                <w:szCs w:val="18"/>
              </w:rPr>
              <w:t>2026年04月28日</w:t>
            </w:r>
          </w:p>
        </w:tc>
      </w:tr>
      <w:tr w14:paraId="5A25C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634E3CD">
            <w:pPr>
              <w:spacing w:before="40" w:after="40" w:line="240" w:lineRule="exact"/>
              <w:rPr>
                <w:rFonts w:ascii="宋体" w:hAnsi="宋体" w:eastAsia="宋体" w:cs="宋体"/>
                <w:sz w:val="18"/>
                <w:szCs w:val="18"/>
              </w:rPr>
            </w:pPr>
            <w:r>
              <w:rPr>
                <w:rFonts w:ascii="宋体" w:hAnsi="宋体" w:eastAsia="宋体" w:cs="宋体"/>
                <w:sz w:val="18"/>
                <w:szCs w:val="18"/>
              </w:rPr>
              <w:t>审计机构名称</w:t>
            </w:r>
          </w:p>
        </w:tc>
        <w:tc>
          <w:tcPr>
            <w:tcW w:w="4820" w:type="dxa"/>
            <w:tcBorders>
              <w:top w:val="single" w:color="auto" w:sz="2" w:space="0"/>
              <w:left w:val="single" w:color="auto" w:sz="2" w:space="0"/>
              <w:bottom w:val="single" w:color="auto" w:sz="2" w:space="0"/>
              <w:right w:val="single" w:color="auto" w:sz="2" w:space="0"/>
            </w:tcBorders>
            <w:vAlign w:val="center"/>
          </w:tcPr>
          <w:p w14:paraId="60011772">
            <w:pPr>
              <w:spacing w:line="240" w:lineRule="exact"/>
              <w:rPr>
                <w:rFonts w:ascii="宋体" w:hAnsi="宋体" w:eastAsia="宋体" w:cs="宋体"/>
                <w:sz w:val="18"/>
                <w:szCs w:val="18"/>
              </w:rPr>
            </w:pPr>
            <w:r>
              <w:rPr>
                <w:rFonts w:ascii="宋体" w:hAnsi="宋体" w:eastAsia="宋体" w:cs="宋体"/>
                <w:sz w:val="18"/>
                <w:szCs w:val="18"/>
              </w:rPr>
              <w:t>政旦志远（深圳）会计师事务所（特殊普通合伙</w:t>
            </w:r>
          </w:p>
        </w:tc>
      </w:tr>
      <w:tr w14:paraId="43C5F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120D453">
            <w:pPr>
              <w:spacing w:before="40" w:after="40" w:line="240" w:lineRule="exact"/>
              <w:rPr>
                <w:rFonts w:ascii="宋体" w:hAnsi="宋体" w:eastAsia="宋体" w:cs="宋体"/>
                <w:sz w:val="18"/>
                <w:szCs w:val="18"/>
              </w:rPr>
            </w:pPr>
            <w:r>
              <w:rPr>
                <w:rFonts w:ascii="宋体" w:hAnsi="宋体" w:eastAsia="宋体" w:cs="宋体"/>
                <w:sz w:val="18"/>
                <w:szCs w:val="18"/>
              </w:rPr>
              <w:t>审计报告文号</w:t>
            </w:r>
          </w:p>
        </w:tc>
        <w:tc>
          <w:tcPr>
            <w:tcW w:w="4820" w:type="dxa"/>
            <w:tcBorders>
              <w:top w:val="single" w:color="auto" w:sz="2" w:space="0"/>
              <w:left w:val="single" w:color="auto" w:sz="2" w:space="0"/>
              <w:bottom w:val="single" w:color="auto" w:sz="2" w:space="0"/>
              <w:right w:val="single" w:color="auto" w:sz="2" w:space="0"/>
            </w:tcBorders>
            <w:vAlign w:val="center"/>
          </w:tcPr>
          <w:p w14:paraId="3DD82177">
            <w:pPr>
              <w:spacing w:line="240" w:lineRule="exact"/>
              <w:rPr>
                <w:rFonts w:ascii="宋体" w:hAnsi="宋体" w:eastAsia="宋体" w:cs="宋体"/>
                <w:sz w:val="18"/>
                <w:szCs w:val="18"/>
              </w:rPr>
            </w:pPr>
            <w:r>
              <w:rPr>
                <w:rFonts w:ascii="宋体" w:hAnsi="宋体" w:eastAsia="宋体" w:cs="宋体"/>
                <w:sz w:val="18"/>
                <w:szCs w:val="18"/>
              </w:rPr>
              <w:t>政旦志远审字第260000680号</w:t>
            </w:r>
          </w:p>
        </w:tc>
      </w:tr>
      <w:tr w14:paraId="57DEE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487E4E1">
            <w:pPr>
              <w:spacing w:before="40" w:after="40" w:line="240" w:lineRule="exact"/>
              <w:rPr>
                <w:rFonts w:ascii="宋体" w:hAnsi="宋体" w:eastAsia="宋体" w:cs="宋体"/>
                <w:sz w:val="18"/>
                <w:szCs w:val="18"/>
              </w:rPr>
            </w:pPr>
            <w:r>
              <w:rPr>
                <w:rFonts w:ascii="宋体" w:hAnsi="宋体" w:eastAsia="宋体" w:cs="宋体"/>
                <w:sz w:val="18"/>
                <w:szCs w:val="18"/>
              </w:rPr>
              <w:t>注册会计师姓名</w:t>
            </w:r>
          </w:p>
        </w:tc>
        <w:tc>
          <w:tcPr>
            <w:tcW w:w="4820" w:type="dxa"/>
            <w:tcBorders>
              <w:top w:val="single" w:color="auto" w:sz="2" w:space="0"/>
              <w:left w:val="single" w:color="auto" w:sz="2" w:space="0"/>
              <w:bottom w:val="single" w:color="auto" w:sz="2" w:space="0"/>
              <w:right w:val="single" w:color="auto" w:sz="2" w:space="0"/>
            </w:tcBorders>
            <w:vAlign w:val="center"/>
          </w:tcPr>
          <w:p w14:paraId="2564F0E4">
            <w:pPr>
              <w:spacing w:line="240" w:lineRule="exact"/>
              <w:rPr>
                <w:rFonts w:ascii="宋体" w:hAnsi="宋体" w:eastAsia="宋体" w:cs="宋体"/>
                <w:sz w:val="18"/>
                <w:szCs w:val="18"/>
              </w:rPr>
            </w:pPr>
            <w:r>
              <w:rPr>
                <w:rFonts w:ascii="宋体" w:hAnsi="宋体" w:eastAsia="宋体" w:cs="宋体"/>
                <w:sz w:val="18"/>
                <w:szCs w:val="18"/>
              </w:rPr>
              <w:t>陈磊、吴泽娜</w:t>
            </w:r>
          </w:p>
        </w:tc>
      </w:tr>
    </w:tbl>
    <w:p w14:paraId="67017374">
      <w:pPr>
        <w:spacing w:before="100" w:after="100" w:line="240" w:lineRule="exact"/>
        <w:jc w:val="center"/>
        <w:rPr>
          <w:rFonts w:ascii="宋体" w:hAnsi="宋体" w:eastAsia="宋体" w:cs="宋体"/>
          <w:sz w:val="18"/>
          <w:szCs w:val="18"/>
        </w:rPr>
      </w:pPr>
      <w:r>
        <w:rPr>
          <w:rFonts w:ascii="宋体" w:hAnsi="宋体" w:eastAsia="宋体" w:cs="宋体"/>
          <w:sz w:val="18"/>
          <w:szCs w:val="18"/>
        </w:rPr>
        <w:t>审计报告正文</w:t>
      </w:r>
    </w:p>
    <w:p w14:paraId="02889141">
      <w:pPr>
        <w:pStyle w:val="9"/>
        <w:spacing w:before="0" w:beforeAutospacing="0" w:after="0" w:afterAutospacing="0" w:line="360" w:lineRule="auto"/>
        <w:jc w:val="center"/>
        <w:rPr>
          <w:rFonts w:ascii="Times New Roman" w:hAnsi="Times New Roman" w:cs="Times New Roman"/>
          <w:sz w:val="21"/>
          <w:szCs w:val="21"/>
        </w:rPr>
      </w:pPr>
      <w:r>
        <w:rPr>
          <w:rStyle w:val="12"/>
          <w:rFonts w:hint="eastAsia" w:cs="Times New Roman"/>
          <w:spacing w:val="80"/>
          <w:sz w:val="32"/>
          <w:szCs w:val="32"/>
        </w:rPr>
        <w:t>审计报告</w:t>
      </w:r>
    </w:p>
    <w:p w14:paraId="6B8C7CCB">
      <w:pPr>
        <w:pStyle w:val="9"/>
        <w:spacing w:before="0" w:beforeAutospacing="0" w:after="0" w:afterAutospacing="0" w:line="360" w:lineRule="auto"/>
        <w:jc w:val="right"/>
        <w:rPr>
          <w:rFonts w:ascii="Times New Roman" w:hAnsi="Times New Roman" w:cs="Times New Roman"/>
          <w:sz w:val="21"/>
          <w:szCs w:val="21"/>
        </w:rPr>
      </w:pPr>
      <w:r>
        <w:rPr>
          <w:rStyle w:val="12"/>
          <w:rFonts w:hint="eastAsia" w:cs="Times New Roman"/>
          <w:sz w:val="21"/>
          <w:szCs w:val="21"/>
        </w:rPr>
        <w:t>政旦志远审字第</w:t>
      </w:r>
      <w:r>
        <w:rPr>
          <w:rStyle w:val="12"/>
          <w:rFonts w:ascii="Arial" w:hAnsi="Arial" w:cs="Arial"/>
          <w:sz w:val="21"/>
          <w:szCs w:val="21"/>
        </w:rPr>
        <w:t>260000680</w:t>
      </w:r>
      <w:r>
        <w:rPr>
          <w:rStyle w:val="12"/>
          <w:rFonts w:hint="eastAsia" w:cs="Times New Roman"/>
          <w:sz w:val="21"/>
          <w:szCs w:val="21"/>
        </w:rPr>
        <w:t>号</w:t>
      </w:r>
    </w:p>
    <w:p w14:paraId="4B45E39B">
      <w:pPr>
        <w:pStyle w:val="9"/>
        <w:spacing w:before="0" w:beforeAutospacing="0" w:after="0" w:afterAutospacing="0" w:line="360" w:lineRule="auto"/>
        <w:rPr>
          <w:sz w:val="21"/>
          <w:szCs w:val="21"/>
        </w:rPr>
      </w:pPr>
      <w:r>
        <w:rPr>
          <w:rStyle w:val="12"/>
          <w:rFonts w:hint="eastAsia"/>
          <w:sz w:val="28"/>
          <w:szCs w:val="28"/>
        </w:rPr>
        <w:t>华孚时尚股份有限公司全体股东：</w:t>
      </w:r>
    </w:p>
    <w:p w14:paraId="00150C8E">
      <w:pPr>
        <w:widowControl/>
        <w:numPr>
          <w:ilvl w:val="0"/>
          <w:numId w:val="1"/>
        </w:numPr>
        <w:spacing w:before="100" w:beforeAutospacing="1" w:after="100" w:afterAutospacing="1"/>
        <w:rPr>
          <w:sz w:val="18"/>
          <w:szCs w:val="18"/>
        </w:rPr>
      </w:pPr>
      <w:r>
        <w:rPr>
          <w:rStyle w:val="12"/>
          <w:rFonts w:hint="eastAsia"/>
          <w:sz w:val="28"/>
          <w:szCs w:val="28"/>
        </w:rPr>
        <w:t>审计意见</w:t>
      </w:r>
    </w:p>
    <w:p w14:paraId="1476026F">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cs="Times New Roman"/>
          <w:sz w:val="28"/>
          <w:szCs w:val="28"/>
        </w:rPr>
      </w:pPr>
      <w:r>
        <w:rPr>
          <w:rFonts w:hint="eastAsia" w:cs="Times New Roman"/>
          <w:sz w:val="28"/>
          <w:szCs w:val="28"/>
        </w:rPr>
        <w:t>我们审计了华孚时尚股份有限公司</w:t>
      </w:r>
      <w:r>
        <w:rPr>
          <w:rFonts w:cs="Times New Roman"/>
          <w:sz w:val="28"/>
          <w:szCs w:val="28"/>
        </w:rPr>
        <w:t>(</w:t>
      </w:r>
      <w:r>
        <w:rPr>
          <w:rFonts w:hint="eastAsia" w:cs="Times New Roman"/>
          <w:sz w:val="28"/>
          <w:szCs w:val="28"/>
        </w:rPr>
        <w:t>以下简称华孚时尚公司</w:t>
      </w:r>
      <w:r>
        <w:rPr>
          <w:rFonts w:cs="Times New Roman"/>
          <w:sz w:val="28"/>
          <w:szCs w:val="28"/>
        </w:rPr>
        <w:t>)</w:t>
      </w:r>
      <w:r>
        <w:rPr>
          <w:rFonts w:hint="eastAsia" w:cs="Times New Roman"/>
          <w:sz w:val="28"/>
          <w:szCs w:val="28"/>
        </w:rPr>
        <w:t>财务报表，包括</w:t>
      </w:r>
      <w:r>
        <w:rPr>
          <w:rFonts w:cs="Times New Roman"/>
          <w:sz w:val="28"/>
          <w:szCs w:val="28"/>
        </w:rPr>
        <w:t>2025</w:t>
      </w:r>
      <w:r>
        <w:rPr>
          <w:rFonts w:hint="eastAsia" w:cs="Times New Roman"/>
          <w:sz w:val="28"/>
          <w:szCs w:val="28"/>
        </w:rPr>
        <w:t>年</w:t>
      </w:r>
      <w:r>
        <w:rPr>
          <w:rFonts w:cs="Times New Roman"/>
          <w:sz w:val="28"/>
          <w:szCs w:val="28"/>
        </w:rPr>
        <w:t>12</w:t>
      </w:r>
      <w:r>
        <w:rPr>
          <w:rFonts w:hint="eastAsia" w:cs="Times New Roman"/>
          <w:sz w:val="28"/>
          <w:szCs w:val="28"/>
        </w:rPr>
        <w:t>月</w:t>
      </w:r>
      <w:r>
        <w:rPr>
          <w:rFonts w:cs="Times New Roman"/>
          <w:sz w:val="28"/>
          <w:szCs w:val="28"/>
        </w:rPr>
        <w:t>31</w:t>
      </w:r>
      <w:r>
        <w:rPr>
          <w:rFonts w:hint="eastAsia" w:cs="Times New Roman"/>
          <w:sz w:val="28"/>
          <w:szCs w:val="28"/>
        </w:rPr>
        <w:t>日的合并及母公司资产负债表，</w:t>
      </w:r>
      <w:r>
        <w:rPr>
          <w:rFonts w:cs="Times New Roman"/>
          <w:sz w:val="28"/>
          <w:szCs w:val="28"/>
        </w:rPr>
        <w:t>2025</w:t>
      </w:r>
      <w:r>
        <w:rPr>
          <w:rFonts w:hint="eastAsia" w:cs="Times New Roman"/>
          <w:sz w:val="28"/>
          <w:szCs w:val="28"/>
        </w:rPr>
        <w:t>年度的合并及母公司利润表、合并及母公司现金流量表、合并及母公司股东权益变动表以及相关财务报表附注。</w:t>
      </w:r>
    </w:p>
    <w:p w14:paraId="2FA702D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cs="Times New Roman"/>
          <w:sz w:val="28"/>
          <w:szCs w:val="28"/>
        </w:rPr>
      </w:pPr>
      <w:r>
        <w:rPr>
          <w:rFonts w:hint="eastAsia" w:cs="Times New Roman"/>
          <w:sz w:val="28"/>
          <w:szCs w:val="28"/>
        </w:rPr>
        <w:t>我们认为，后附的财务报表在所有重大方面按照企业会计准则的规定编制，公允反映了华孚时尚公司</w:t>
      </w:r>
      <w:r>
        <w:rPr>
          <w:rFonts w:cs="Times New Roman"/>
          <w:sz w:val="28"/>
          <w:szCs w:val="28"/>
        </w:rPr>
        <w:t>2025</w:t>
      </w:r>
      <w:r>
        <w:rPr>
          <w:rFonts w:hint="eastAsia" w:cs="Times New Roman"/>
          <w:sz w:val="28"/>
          <w:szCs w:val="28"/>
        </w:rPr>
        <w:t>年</w:t>
      </w:r>
      <w:r>
        <w:rPr>
          <w:rFonts w:cs="Times New Roman"/>
          <w:sz w:val="28"/>
          <w:szCs w:val="28"/>
        </w:rPr>
        <w:t>12</w:t>
      </w:r>
      <w:r>
        <w:rPr>
          <w:rFonts w:hint="eastAsia" w:cs="Times New Roman"/>
          <w:sz w:val="28"/>
          <w:szCs w:val="28"/>
        </w:rPr>
        <w:t>月</w:t>
      </w:r>
      <w:r>
        <w:rPr>
          <w:rFonts w:cs="Times New Roman"/>
          <w:sz w:val="28"/>
          <w:szCs w:val="28"/>
        </w:rPr>
        <w:t>31</w:t>
      </w:r>
      <w:r>
        <w:rPr>
          <w:rFonts w:hint="eastAsia" w:cs="Times New Roman"/>
          <w:sz w:val="28"/>
          <w:szCs w:val="28"/>
        </w:rPr>
        <w:t>日的合并及母公司财务状况以及</w:t>
      </w:r>
      <w:r>
        <w:rPr>
          <w:rFonts w:cs="Times New Roman"/>
          <w:sz w:val="28"/>
          <w:szCs w:val="28"/>
        </w:rPr>
        <w:t>2025</w:t>
      </w:r>
      <w:r>
        <w:rPr>
          <w:rFonts w:hint="eastAsia" w:cs="Times New Roman"/>
          <w:sz w:val="28"/>
          <w:szCs w:val="28"/>
        </w:rPr>
        <w:t>年度的合并及母公司经营成果和现金流量。</w:t>
      </w:r>
    </w:p>
    <w:p w14:paraId="7483EDA5">
      <w:pPr>
        <w:widowControl/>
        <w:numPr>
          <w:ilvl w:val="0"/>
          <w:numId w:val="2"/>
        </w:numPr>
        <w:spacing w:before="100" w:beforeAutospacing="1" w:after="100" w:afterAutospacing="1"/>
        <w:jc w:val="both"/>
        <w:rPr>
          <w:rFonts w:ascii="宋体" w:hAnsi="宋体" w:cs="宋体"/>
          <w:sz w:val="18"/>
          <w:szCs w:val="18"/>
        </w:rPr>
      </w:pPr>
      <w:r>
        <w:rPr>
          <w:rStyle w:val="12"/>
          <w:rFonts w:hint="eastAsia"/>
          <w:sz w:val="28"/>
          <w:szCs w:val="28"/>
        </w:rPr>
        <w:t>形成审计意见的基础</w:t>
      </w:r>
    </w:p>
    <w:p w14:paraId="31455F82">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both"/>
        <w:textAlignment w:val="auto"/>
        <w:rPr>
          <w:rFonts w:cs="Times New Roman"/>
          <w:sz w:val="28"/>
          <w:szCs w:val="28"/>
        </w:rPr>
      </w:pPr>
      <w:r>
        <w:rPr>
          <w:rFonts w:hint="eastAsia" w:cs="Times New Roman"/>
          <w:sz w:val="28"/>
          <w:szCs w:val="28"/>
        </w:rPr>
        <w:t>我们按照中国注册会计师审计准则的规定执行了审计工作。审计报告的</w:t>
      </w:r>
      <w:r>
        <w:rPr>
          <w:rFonts w:cs="Times New Roman"/>
          <w:sz w:val="28"/>
          <w:szCs w:val="28"/>
        </w:rPr>
        <w:t>“</w:t>
      </w:r>
      <w:r>
        <w:rPr>
          <w:rFonts w:hint="eastAsia" w:cs="Times New Roman"/>
          <w:sz w:val="28"/>
          <w:szCs w:val="28"/>
        </w:rPr>
        <w:t>注册会计师对财务报表审计的责任</w:t>
      </w:r>
      <w:r>
        <w:rPr>
          <w:rFonts w:cs="Times New Roman"/>
          <w:sz w:val="28"/>
          <w:szCs w:val="28"/>
        </w:rPr>
        <w:t>”</w:t>
      </w:r>
      <w:r>
        <w:rPr>
          <w:rFonts w:hint="eastAsia" w:cs="Times New Roman"/>
          <w:sz w:val="28"/>
          <w:szCs w:val="28"/>
        </w:rPr>
        <w:t>部分进一步阐述了我们在这些准则下的责任。按照</w:t>
      </w:r>
      <w:bookmarkStart w:id="157" w:name="OLE_LINK17"/>
      <w:bookmarkEnd w:id="157"/>
      <w:r>
        <w:rPr>
          <w:rFonts w:hint="eastAsia" w:cs="Times New Roman"/>
          <w:sz w:val="28"/>
          <w:szCs w:val="28"/>
        </w:rPr>
        <w:t>中国注册会计师独立性准则和中国注册会计师职业道德守则，我们独立于华孚时尚公司，并履行了职业道德方面的其他责任。我们相信，我们获取的审计证据是充分、适当的，为发表审计意见提供了基础。</w:t>
      </w:r>
    </w:p>
    <w:p w14:paraId="0BA64EA3">
      <w:pPr>
        <w:widowControl/>
        <w:numPr>
          <w:ilvl w:val="0"/>
          <w:numId w:val="3"/>
        </w:numPr>
        <w:spacing w:before="100" w:beforeAutospacing="1" w:after="100" w:afterAutospacing="1"/>
        <w:jc w:val="both"/>
        <w:rPr>
          <w:rFonts w:ascii="宋体" w:hAnsi="宋体" w:cs="宋体"/>
          <w:sz w:val="18"/>
          <w:szCs w:val="18"/>
        </w:rPr>
      </w:pPr>
      <w:r>
        <w:rPr>
          <w:rStyle w:val="12"/>
          <w:rFonts w:hint="eastAsia"/>
          <w:sz w:val="28"/>
          <w:szCs w:val="28"/>
        </w:rPr>
        <w:t>关键审计事项</w:t>
      </w:r>
    </w:p>
    <w:p w14:paraId="527059DC">
      <w:pPr>
        <w:pStyle w:val="9"/>
        <w:spacing w:before="0" w:beforeAutospacing="0" w:after="0" w:afterAutospacing="0" w:line="360" w:lineRule="auto"/>
        <w:ind w:firstLine="560"/>
        <w:jc w:val="both"/>
        <w:rPr>
          <w:rFonts w:cs="Times New Roman"/>
          <w:sz w:val="28"/>
          <w:szCs w:val="28"/>
        </w:rPr>
      </w:pPr>
      <w:r>
        <w:rPr>
          <w:rFonts w:hint="eastAsia" w:cs="Times New Roman"/>
          <w:sz w:val="28"/>
          <w:szCs w:val="28"/>
        </w:rPr>
        <w:t>关键审计事项是我们根据职业判断，认为对本期财务报表审计最为重要的事项。这些事项的应对以对财务报表整体进行审计并形成审计意见为背景，我们不对这些事项单独发表意见。</w:t>
      </w:r>
    </w:p>
    <w:p w14:paraId="21CE4A66">
      <w:pPr>
        <w:pStyle w:val="9"/>
        <w:spacing w:before="0" w:beforeAutospacing="0" w:after="0" w:afterAutospacing="0" w:line="360" w:lineRule="auto"/>
        <w:ind w:firstLine="560"/>
        <w:jc w:val="both"/>
        <w:rPr>
          <w:rFonts w:cs="Times New Roman"/>
          <w:sz w:val="28"/>
          <w:szCs w:val="28"/>
        </w:rPr>
      </w:pPr>
      <w:r>
        <w:rPr>
          <w:rFonts w:hint="eastAsia" w:cs="Times New Roman"/>
          <w:sz w:val="28"/>
          <w:szCs w:val="28"/>
        </w:rPr>
        <w:t>我们确定下列事项是需要在审计报告中沟通的关键审计事项。</w:t>
      </w:r>
    </w:p>
    <w:p w14:paraId="22894C5A">
      <w:pPr>
        <w:widowControl/>
        <w:numPr>
          <w:ilvl w:val="0"/>
          <w:numId w:val="4"/>
        </w:numPr>
        <w:spacing w:before="100" w:beforeAutospacing="1" w:after="100" w:afterAutospacing="1"/>
        <w:jc w:val="both"/>
        <w:rPr>
          <w:rFonts w:ascii="宋体" w:hAnsi="宋体" w:cs="宋体"/>
          <w:sz w:val="18"/>
          <w:szCs w:val="18"/>
        </w:rPr>
      </w:pPr>
      <w:r>
        <w:rPr>
          <w:rFonts w:hint="eastAsia"/>
          <w:sz w:val="28"/>
          <w:szCs w:val="28"/>
        </w:rPr>
        <w:t>存货的存在性与可变现净值</w:t>
      </w:r>
    </w:p>
    <w:p w14:paraId="754213F5">
      <w:pPr>
        <w:widowControl/>
        <w:numPr>
          <w:ilvl w:val="0"/>
          <w:numId w:val="4"/>
        </w:numPr>
        <w:spacing w:before="100" w:beforeAutospacing="1" w:after="100" w:afterAutospacing="1"/>
        <w:jc w:val="both"/>
        <w:rPr>
          <w:sz w:val="18"/>
          <w:szCs w:val="18"/>
        </w:rPr>
      </w:pPr>
      <w:r>
        <w:rPr>
          <w:rFonts w:hint="eastAsia"/>
          <w:sz w:val="28"/>
          <w:szCs w:val="28"/>
        </w:rPr>
        <w:t>收入的确认</w:t>
      </w:r>
    </w:p>
    <w:p w14:paraId="4BD9ED1D">
      <w:pPr>
        <w:widowControl/>
        <w:numPr>
          <w:ilvl w:val="0"/>
          <w:numId w:val="5"/>
        </w:numPr>
        <w:spacing w:before="100" w:beforeAutospacing="1" w:after="100" w:afterAutospacing="1"/>
        <w:jc w:val="both"/>
        <w:rPr>
          <w:sz w:val="18"/>
          <w:szCs w:val="18"/>
        </w:rPr>
      </w:pPr>
      <w:r>
        <w:rPr>
          <w:rFonts w:hint="eastAsia"/>
          <w:sz w:val="28"/>
          <w:szCs w:val="28"/>
        </w:rPr>
        <w:t>存货的存在性与可变现净值事项</w:t>
      </w:r>
    </w:p>
    <w:p w14:paraId="3CF96670">
      <w:pPr>
        <w:widowControl/>
        <w:numPr>
          <w:ilvl w:val="0"/>
          <w:numId w:val="6"/>
        </w:numPr>
        <w:spacing w:before="100" w:beforeAutospacing="1" w:after="100" w:afterAutospacing="1"/>
        <w:jc w:val="both"/>
        <w:rPr>
          <w:sz w:val="18"/>
          <w:szCs w:val="18"/>
        </w:rPr>
      </w:pPr>
      <w:r>
        <w:rPr>
          <w:rFonts w:hint="eastAsia"/>
          <w:sz w:val="28"/>
          <w:szCs w:val="28"/>
        </w:rPr>
        <w:t>事项描述</w:t>
      </w:r>
    </w:p>
    <w:p w14:paraId="311D4026">
      <w:pPr>
        <w:pStyle w:val="9"/>
        <w:spacing w:before="0" w:beforeAutospacing="0" w:after="0" w:afterAutospacing="0" w:line="360" w:lineRule="auto"/>
        <w:ind w:firstLine="567"/>
        <w:jc w:val="both"/>
        <w:rPr>
          <w:rFonts w:ascii="Times New Roman" w:hAnsi="Times New Roman" w:cs="Times New Roman"/>
          <w:sz w:val="21"/>
          <w:szCs w:val="21"/>
        </w:rPr>
      </w:pPr>
      <w:bookmarkStart w:id="158" w:name="_Hlk227857331"/>
      <w:bookmarkEnd w:id="158"/>
      <w:r>
        <w:rPr>
          <w:rFonts w:hint="eastAsia" w:cs="Times New Roman"/>
          <w:sz w:val="28"/>
          <w:szCs w:val="28"/>
        </w:rPr>
        <w:t>截止2025年12月31日，华孚时尚公司存货原值44.69亿元，占总资产的比例为28.39%，存货占总资产的比例较高。存货跌价准备8,256.17万元，计提比例为1.85%。存货详细信息请参阅合并财务报表附注三、(十五)及附注五、注释7。存货的存在性存在重大错报风险，因此我们将存货的存在性作为关键审计事项。资产负债表日，存货采用成本与可变现净值孰低计量，按照单个存货成本高于可变现净值的差额计提存货跌价准备。管理层在考虑持有存货目的的基础上，根据历史售价、实际售价、合同约定售价、相同或类似产品的市场售价、未来市场趋势等确定估计售价，并按照估计售价减去至完工时估计将要发生的成本、估计的销售费用和相关税费后的金额确定存货的可变现净值。由于存货金额重大，且确定存货可变现净值涉及重大管理层判断，因此我们同时将存货可变现净值确定为关键审计事项。</w:t>
      </w:r>
    </w:p>
    <w:p w14:paraId="2FBECE23">
      <w:pPr>
        <w:widowControl/>
        <w:numPr>
          <w:ilvl w:val="0"/>
          <w:numId w:val="7"/>
        </w:numPr>
        <w:spacing w:before="100" w:beforeAutospacing="1" w:after="100" w:afterAutospacing="1"/>
        <w:jc w:val="both"/>
        <w:rPr>
          <w:rFonts w:ascii="宋体" w:hAnsi="宋体" w:cs="宋体"/>
          <w:sz w:val="18"/>
          <w:szCs w:val="18"/>
        </w:rPr>
      </w:pPr>
      <w:r>
        <w:rPr>
          <w:rFonts w:hint="eastAsia"/>
          <w:sz w:val="28"/>
          <w:szCs w:val="28"/>
        </w:rPr>
        <w:t>审计应对</w:t>
      </w:r>
    </w:p>
    <w:p w14:paraId="7B880032">
      <w:pPr>
        <w:pStyle w:val="9"/>
        <w:spacing w:before="0" w:beforeAutospacing="0" w:after="0" w:afterAutospacing="0" w:line="360" w:lineRule="auto"/>
        <w:ind w:left="420"/>
        <w:jc w:val="both"/>
        <w:rPr>
          <w:rFonts w:ascii="Times New Roman" w:hAnsi="Times New Roman" w:cs="Times New Roman"/>
          <w:sz w:val="21"/>
          <w:szCs w:val="21"/>
        </w:rPr>
      </w:pPr>
      <w:r>
        <w:rPr>
          <w:rFonts w:hint="eastAsia" w:cs="Times New Roman"/>
          <w:sz w:val="28"/>
          <w:szCs w:val="28"/>
        </w:rPr>
        <w:t>我们对于存货的存在性与可变现净值所实施的重要审计程序包括：</w:t>
      </w:r>
    </w:p>
    <w:p w14:paraId="64889F33">
      <w:pPr>
        <w:widowControl/>
        <w:numPr>
          <w:ilvl w:val="0"/>
          <w:numId w:val="8"/>
        </w:numPr>
        <w:spacing w:before="100" w:beforeAutospacing="1" w:after="100" w:afterAutospacing="1"/>
        <w:jc w:val="both"/>
        <w:rPr>
          <w:rFonts w:ascii="宋体" w:hAnsi="宋体" w:cs="宋体"/>
          <w:sz w:val="18"/>
          <w:szCs w:val="18"/>
        </w:rPr>
      </w:pPr>
      <w:r>
        <w:rPr>
          <w:rFonts w:hint="eastAsia"/>
          <w:sz w:val="28"/>
          <w:szCs w:val="28"/>
        </w:rPr>
        <w:t>了解与存货的存在性与可变现净值相关的关键内部控制，评价这些控制的设计，确定其是否得到执行，并测试相关内部控制的运行有效性；</w:t>
      </w:r>
    </w:p>
    <w:p w14:paraId="2C4C94C1">
      <w:pPr>
        <w:widowControl/>
        <w:numPr>
          <w:ilvl w:val="0"/>
          <w:numId w:val="8"/>
        </w:numPr>
        <w:spacing w:before="100" w:beforeAutospacing="1" w:after="100" w:afterAutospacing="1"/>
        <w:jc w:val="both"/>
        <w:rPr>
          <w:sz w:val="18"/>
          <w:szCs w:val="18"/>
        </w:rPr>
      </w:pPr>
      <w:r>
        <w:rPr>
          <w:rFonts w:hint="eastAsia"/>
          <w:sz w:val="28"/>
          <w:szCs w:val="28"/>
        </w:rPr>
        <w:t>了解公司的盘点计划以及存货存放地点的情况,在存货盘点现场实施监盘，评价管理层用以记录和控制存货盘点结果的指令和程序并观察管理层制定的盘点程序的执行情况，检查存货状况并实施抽盘；</w:t>
      </w:r>
    </w:p>
    <w:p w14:paraId="4CC5283C">
      <w:pPr>
        <w:widowControl/>
        <w:numPr>
          <w:ilvl w:val="0"/>
          <w:numId w:val="8"/>
        </w:numPr>
        <w:spacing w:before="100" w:beforeAutospacing="1" w:after="100" w:afterAutospacing="1"/>
        <w:jc w:val="both"/>
        <w:rPr>
          <w:sz w:val="18"/>
          <w:szCs w:val="18"/>
        </w:rPr>
      </w:pPr>
      <w:r>
        <w:rPr>
          <w:rFonts w:hint="eastAsia"/>
          <w:sz w:val="28"/>
          <w:szCs w:val="28"/>
        </w:rPr>
        <w:t>对发出商品、委托加工物资、棉花监管库进行函证，确认是否双方就发出商品、委托加工物资、棉花的数量等已达成一致意见，针对资产负债表日前后的存货收发进行测试，评估存货是否记录在适用的会计期间；</w:t>
      </w:r>
    </w:p>
    <w:p w14:paraId="480A767D">
      <w:pPr>
        <w:widowControl/>
        <w:numPr>
          <w:ilvl w:val="0"/>
          <w:numId w:val="8"/>
        </w:numPr>
        <w:spacing w:before="100" w:beforeAutospacing="1" w:after="100" w:afterAutospacing="1"/>
        <w:jc w:val="both"/>
        <w:rPr>
          <w:sz w:val="18"/>
          <w:szCs w:val="18"/>
        </w:rPr>
      </w:pPr>
      <w:r>
        <w:rPr>
          <w:rFonts w:hint="eastAsia"/>
          <w:sz w:val="28"/>
          <w:szCs w:val="28"/>
        </w:rPr>
        <w:t>查询公司本年度主要原材料单价变动情况，了解棉花价格的走势，考虑存货受棉花价格影响的程度，结合在手订单及期后棉花期货价格走势，判断产生存货跌价的风险；</w:t>
      </w:r>
    </w:p>
    <w:p w14:paraId="30F1D3A1">
      <w:pPr>
        <w:widowControl/>
        <w:numPr>
          <w:ilvl w:val="0"/>
          <w:numId w:val="8"/>
        </w:numPr>
        <w:spacing w:before="100" w:beforeAutospacing="1" w:after="100" w:afterAutospacing="1"/>
        <w:jc w:val="both"/>
        <w:rPr>
          <w:sz w:val="18"/>
          <w:szCs w:val="18"/>
        </w:rPr>
      </w:pPr>
      <w:r>
        <w:rPr>
          <w:rFonts w:hint="eastAsia"/>
          <w:sz w:val="28"/>
          <w:szCs w:val="28"/>
        </w:rPr>
        <w:t>获取公司存货可变现净值计算表，分析管理层对产品售价预测的合理性，复核管理层关于存货可变现净值的计算过程和计算方法；</w:t>
      </w:r>
    </w:p>
    <w:p w14:paraId="3D979896">
      <w:pPr>
        <w:widowControl/>
        <w:numPr>
          <w:ilvl w:val="0"/>
          <w:numId w:val="8"/>
        </w:numPr>
        <w:spacing w:before="100" w:beforeAutospacing="1" w:after="100" w:afterAutospacing="1"/>
        <w:jc w:val="both"/>
        <w:rPr>
          <w:sz w:val="18"/>
          <w:szCs w:val="18"/>
        </w:rPr>
      </w:pPr>
      <w:r>
        <w:rPr>
          <w:rFonts w:hint="eastAsia"/>
          <w:sz w:val="28"/>
          <w:szCs w:val="28"/>
        </w:rPr>
        <w:t>取得公司存货的年末库龄清单,结合监盘，对库龄较长的存货进行分析性复核,评价管理层就存货可变现净值所作估计的合理性。</w:t>
      </w:r>
    </w:p>
    <w:p w14:paraId="0AC42501">
      <w:pPr>
        <w:widowControl/>
        <w:numPr>
          <w:ilvl w:val="0"/>
          <w:numId w:val="9"/>
        </w:numPr>
        <w:spacing w:before="100" w:beforeAutospacing="1" w:after="100" w:afterAutospacing="1"/>
        <w:jc w:val="both"/>
        <w:rPr>
          <w:sz w:val="18"/>
          <w:szCs w:val="18"/>
        </w:rPr>
      </w:pPr>
      <w:r>
        <w:rPr>
          <w:rFonts w:hint="eastAsia"/>
          <w:sz w:val="28"/>
          <w:szCs w:val="28"/>
        </w:rPr>
        <w:t>收入的确认事项</w:t>
      </w:r>
    </w:p>
    <w:p w14:paraId="4467C85B">
      <w:pPr>
        <w:widowControl/>
        <w:numPr>
          <w:ilvl w:val="0"/>
          <w:numId w:val="10"/>
        </w:numPr>
        <w:spacing w:before="100" w:beforeAutospacing="1" w:after="100" w:afterAutospacing="1"/>
        <w:jc w:val="both"/>
        <w:rPr>
          <w:sz w:val="18"/>
          <w:szCs w:val="18"/>
        </w:rPr>
      </w:pPr>
      <w:r>
        <w:rPr>
          <w:rFonts w:hint="eastAsia"/>
          <w:sz w:val="28"/>
          <w:szCs w:val="28"/>
        </w:rPr>
        <w:t>事项描述</w:t>
      </w:r>
    </w:p>
    <w:p w14:paraId="125F2AA1">
      <w:pPr>
        <w:pStyle w:val="9"/>
        <w:spacing w:before="0" w:beforeAutospacing="0" w:after="0" w:afterAutospacing="0" w:line="360" w:lineRule="auto"/>
        <w:ind w:firstLine="567"/>
        <w:jc w:val="both"/>
        <w:rPr>
          <w:rFonts w:ascii="Times New Roman" w:hAnsi="Times New Roman" w:cs="Times New Roman"/>
          <w:sz w:val="21"/>
          <w:szCs w:val="21"/>
        </w:rPr>
      </w:pPr>
      <w:bookmarkStart w:id="159" w:name="_Hlk227857367"/>
      <w:bookmarkEnd w:id="159"/>
      <w:r>
        <w:rPr>
          <w:rFonts w:hint="eastAsia" w:asciiTheme="minorHAnsi" w:hAnsiTheme="minorHAnsi" w:eastAsiaTheme="minorEastAsia" w:cstheme="minorBidi"/>
          <w:kern w:val="2"/>
          <w:sz w:val="28"/>
          <w:szCs w:val="28"/>
        </w:rPr>
        <w:t>2025年度，华孚时尚公司收入80.50亿元，比2024年度收入107.62亿元减少27.12亿元，减少比例25.20%。收入详细信息请参阅合并财务报表附注三、(三十五)及附注五、注释44。由于收入的确认存在比较高的固有风险，收入确认是否真实、完整可能存在潜在错报，收入对于华孚时尚公司的财务</w:t>
      </w:r>
      <w:r>
        <w:rPr>
          <w:rFonts w:hint="eastAsia" w:cs="Times New Roman"/>
          <w:sz w:val="28"/>
          <w:szCs w:val="28"/>
        </w:rPr>
        <w:t>报表具有重要性，因此我们将收入的确认认定为关键审计事项。</w:t>
      </w:r>
    </w:p>
    <w:p w14:paraId="0FCA9594">
      <w:pPr>
        <w:widowControl/>
        <w:numPr>
          <w:ilvl w:val="0"/>
          <w:numId w:val="11"/>
        </w:numPr>
        <w:spacing w:before="100" w:beforeAutospacing="1" w:after="100" w:afterAutospacing="1"/>
        <w:jc w:val="both"/>
        <w:rPr>
          <w:rFonts w:ascii="宋体" w:hAnsi="宋体" w:cs="宋体"/>
          <w:sz w:val="18"/>
          <w:szCs w:val="18"/>
        </w:rPr>
      </w:pPr>
      <w:r>
        <w:rPr>
          <w:rFonts w:hint="eastAsia"/>
          <w:sz w:val="28"/>
          <w:szCs w:val="28"/>
        </w:rPr>
        <w:t>审计应对</w:t>
      </w:r>
    </w:p>
    <w:p w14:paraId="45B2F5B2">
      <w:pPr>
        <w:pStyle w:val="9"/>
        <w:spacing w:before="0" w:beforeAutospacing="0" w:after="0" w:afterAutospacing="0" w:line="360" w:lineRule="auto"/>
        <w:ind w:firstLine="567"/>
        <w:jc w:val="both"/>
        <w:rPr>
          <w:rFonts w:ascii="Times New Roman" w:hAnsi="Times New Roman" w:cs="Times New Roman"/>
          <w:sz w:val="21"/>
          <w:szCs w:val="21"/>
        </w:rPr>
      </w:pPr>
      <w:r>
        <w:rPr>
          <w:rFonts w:hint="eastAsia" w:cs="Times New Roman"/>
          <w:sz w:val="28"/>
          <w:szCs w:val="28"/>
        </w:rPr>
        <w:t>我们对于收入的确认所实施的重要审计程序包括：</w:t>
      </w:r>
    </w:p>
    <w:p w14:paraId="61730828">
      <w:pPr>
        <w:widowControl/>
        <w:numPr>
          <w:ilvl w:val="0"/>
          <w:numId w:val="12"/>
        </w:numPr>
        <w:spacing w:before="100" w:beforeAutospacing="1" w:after="100" w:afterAutospacing="1"/>
        <w:jc w:val="both"/>
        <w:rPr>
          <w:rFonts w:ascii="宋体" w:hAnsi="宋体" w:cs="宋体"/>
          <w:sz w:val="18"/>
          <w:szCs w:val="18"/>
        </w:rPr>
      </w:pPr>
      <w:r>
        <w:rPr>
          <w:rFonts w:hint="eastAsia"/>
          <w:sz w:val="28"/>
          <w:szCs w:val="28"/>
        </w:rPr>
        <w:t>了解与收入确认相关的关键内部控制，评价这些控制的设计，确定其是否得到执行，并测试相关内部控制的运行有效性；</w:t>
      </w:r>
    </w:p>
    <w:p w14:paraId="039B7E7C">
      <w:pPr>
        <w:widowControl/>
        <w:numPr>
          <w:ilvl w:val="0"/>
          <w:numId w:val="12"/>
        </w:numPr>
        <w:spacing w:before="100" w:beforeAutospacing="1" w:after="100" w:afterAutospacing="1"/>
        <w:jc w:val="both"/>
        <w:rPr>
          <w:sz w:val="18"/>
          <w:szCs w:val="18"/>
        </w:rPr>
      </w:pPr>
      <w:r>
        <w:rPr>
          <w:rFonts w:hint="eastAsia"/>
          <w:sz w:val="28"/>
          <w:szCs w:val="28"/>
        </w:rPr>
        <w:t>检查销售合同，了解主要合同条款或条件，评价收入确认方法是否适当；</w:t>
      </w:r>
    </w:p>
    <w:p w14:paraId="00A9645F">
      <w:pPr>
        <w:widowControl/>
        <w:numPr>
          <w:ilvl w:val="0"/>
          <w:numId w:val="12"/>
        </w:numPr>
        <w:spacing w:before="100" w:beforeAutospacing="1" w:after="100" w:afterAutospacing="1"/>
        <w:jc w:val="both"/>
        <w:rPr>
          <w:sz w:val="18"/>
          <w:szCs w:val="18"/>
        </w:rPr>
      </w:pPr>
      <w:r>
        <w:rPr>
          <w:rFonts w:hint="eastAsia"/>
          <w:sz w:val="28"/>
          <w:szCs w:val="28"/>
        </w:rPr>
        <w:t>对收入和成本执行分析程序，包括：对本期各月度收入、成本、毛利波动分析，识别是否存在重大或异常波动，并查明波动原因；</w:t>
      </w:r>
    </w:p>
    <w:p w14:paraId="75DFA895">
      <w:pPr>
        <w:widowControl/>
        <w:numPr>
          <w:ilvl w:val="0"/>
          <w:numId w:val="12"/>
        </w:numPr>
        <w:spacing w:before="100" w:beforeAutospacing="1" w:after="100" w:afterAutospacing="1"/>
        <w:jc w:val="both"/>
        <w:rPr>
          <w:sz w:val="18"/>
          <w:szCs w:val="18"/>
        </w:rPr>
      </w:pPr>
      <w:r>
        <w:rPr>
          <w:rFonts w:hint="eastAsia"/>
          <w:sz w:val="28"/>
          <w:szCs w:val="28"/>
        </w:rPr>
        <w:t>获取公司与客户签订的协议，对合同关键条款进行核实，如发货及验收、付款及结算、换货及退货政策等；查询客户的工商资料，对重要客户走访、访谈，询问客户及公司相关人员，以确认客户与公司是否存在关联关系；</w:t>
      </w:r>
    </w:p>
    <w:p w14:paraId="19918D92">
      <w:pPr>
        <w:widowControl/>
        <w:numPr>
          <w:ilvl w:val="0"/>
          <w:numId w:val="12"/>
        </w:numPr>
        <w:spacing w:before="100" w:beforeAutospacing="1" w:after="100" w:afterAutospacing="1"/>
        <w:jc w:val="both"/>
        <w:rPr>
          <w:sz w:val="18"/>
          <w:szCs w:val="18"/>
        </w:rPr>
      </w:pPr>
      <w:r>
        <w:rPr>
          <w:rFonts w:hint="eastAsia"/>
          <w:sz w:val="28"/>
          <w:szCs w:val="28"/>
        </w:rPr>
        <w:t>对于内销收入，以抽样方式检查与收入确认相关的支持性文件，包括销售合同、订单、销售发票、出库单、发货单、签收单、货转凭证等；对于出口收入，以抽样方式检查销售合同、出口报关单、货运提单、销售发票等支持性文件，同时亲自登录海关报关系统、外汇管理系统和出口退税系统获取进出口报关数据并与账面信息核对；</w:t>
      </w:r>
    </w:p>
    <w:p w14:paraId="32F90CD3">
      <w:pPr>
        <w:widowControl/>
        <w:numPr>
          <w:ilvl w:val="0"/>
          <w:numId w:val="12"/>
        </w:numPr>
        <w:spacing w:before="100" w:beforeAutospacing="1" w:after="100" w:afterAutospacing="1"/>
        <w:jc w:val="both"/>
        <w:rPr>
          <w:sz w:val="18"/>
          <w:szCs w:val="18"/>
        </w:rPr>
      </w:pPr>
      <w:r>
        <w:rPr>
          <w:rFonts w:hint="eastAsia"/>
          <w:sz w:val="28"/>
          <w:szCs w:val="28"/>
        </w:rPr>
        <w:t>根据客户的交易金额和应收账款期末余额选取样本执行函证程序，以确认销售额和应收账款期末余额；</w:t>
      </w:r>
    </w:p>
    <w:p w14:paraId="78519473">
      <w:pPr>
        <w:widowControl/>
        <w:numPr>
          <w:ilvl w:val="0"/>
          <w:numId w:val="12"/>
        </w:numPr>
        <w:spacing w:before="100" w:beforeAutospacing="1" w:after="100" w:afterAutospacing="1"/>
        <w:jc w:val="both"/>
        <w:rPr>
          <w:sz w:val="18"/>
          <w:szCs w:val="18"/>
        </w:rPr>
      </w:pPr>
      <w:r>
        <w:rPr>
          <w:rFonts w:hint="eastAsia"/>
          <w:sz w:val="28"/>
          <w:szCs w:val="28"/>
        </w:rPr>
        <w:t>对客户回款情况，包括期后回款情况进行检查，以确认销售收入和应收账款期末余额的真实性；</w:t>
      </w:r>
    </w:p>
    <w:p w14:paraId="5EF57EFF">
      <w:pPr>
        <w:widowControl/>
        <w:numPr>
          <w:ilvl w:val="0"/>
          <w:numId w:val="12"/>
        </w:numPr>
        <w:spacing w:before="100" w:beforeAutospacing="1" w:after="100" w:afterAutospacing="1"/>
        <w:jc w:val="both"/>
        <w:rPr>
          <w:sz w:val="18"/>
          <w:szCs w:val="18"/>
        </w:rPr>
      </w:pPr>
      <w:r>
        <w:rPr>
          <w:rFonts w:hint="eastAsia"/>
          <w:sz w:val="28"/>
          <w:szCs w:val="28"/>
        </w:rPr>
        <w:t>针对资产负债表日前后确认的销售收入执行抽样测试，核对至领用并确认接收的单证，以评估销售收入是否在恰当的期间确认。</w:t>
      </w:r>
    </w:p>
    <w:p w14:paraId="1FD7B044">
      <w:pPr>
        <w:widowControl/>
        <w:numPr>
          <w:ilvl w:val="0"/>
          <w:numId w:val="13"/>
        </w:numPr>
        <w:spacing w:before="100" w:beforeAutospacing="1" w:after="100" w:afterAutospacing="1"/>
        <w:jc w:val="both"/>
        <w:rPr>
          <w:sz w:val="18"/>
          <w:szCs w:val="18"/>
        </w:rPr>
      </w:pPr>
      <w:r>
        <w:rPr>
          <w:rStyle w:val="12"/>
          <w:rFonts w:hint="eastAsia"/>
          <w:sz w:val="28"/>
          <w:szCs w:val="28"/>
        </w:rPr>
        <w:t>其他信息</w:t>
      </w:r>
    </w:p>
    <w:p w14:paraId="37FAB862">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asciiTheme="minorHAnsi" w:hAnsiTheme="minorHAnsi" w:eastAsiaTheme="minorEastAsia" w:cstheme="minorBidi"/>
          <w:kern w:val="2"/>
          <w:sz w:val="28"/>
          <w:szCs w:val="28"/>
        </w:rPr>
        <w:t>华孚时尚公司管理层对其他信息负责。其他信息包括</w:t>
      </w:r>
      <w:r>
        <w:rPr>
          <w:rFonts w:asciiTheme="minorHAnsi" w:hAnsiTheme="minorHAnsi" w:eastAsiaTheme="minorEastAsia" w:cstheme="minorBidi"/>
          <w:kern w:val="2"/>
          <w:sz w:val="28"/>
          <w:szCs w:val="28"/>
        </w:rPr>
        <w:t>2025</w:t>
      </w:r>
      <w:r>
        <w:rPr>
          <w:rFonts w:hint="eastAsia" w:asciiTheme="minorHAnsi" w:hAnsiTheme="minorHAnsi" w:eastAsiaTheme="minorEastAsia" w:cstheme="minorBidi"/>
          <w:kern w:val="2"/>
          <w:sz w:val="28"/>
          <w:szCs w:val="28"/>
        </w:rPr>
        <w:t>年度报告中涵</w:t>
      </w:r>
      <w:r>
        <w:rPr>
          <w:rFonts w:hint="eastAsia" w:cs="Times New Roman"/>
          <w:sz w:val="28"/>
          <w:szCs w:val="28"/>
        </w:rPr>
        <w:t>盖的信息，但不包括财务报表和我们的审计报告。</w:t>
      </w:r>
    </w:p>
    <w:p w14:paraId="0A157B83">
      <w:pPr>
        <w:pStyle w:val="9"/>
        <w:spacing w:before="0" w:beforeAutospacing="0" w:after="0" w:afterAutospacing="0" w:line="360" w:lineRule="auto"/>
        <w:ind w:firstLine="560"/>
        <w:jc w:val="both"/>
        <w:rPr>
          <w:rFonts w:ascii="Times New Roman" w:hAnsi="Times New Roman" w:cs="Times New Roman"/>
          <w:sz w:val="21"/>
          <w:szCs w:val="21"/>
        </w:rPr>
      </w:pPr>
      <w:r>
        <w:rPr>
          <w:rFonts w:hint="eastAsia" w:cs="Times New Roman"/>
          <w:sz w:val="28"/>
          <w:szCs w:val="28"/>
        </w:rPr>
        <w:t>我们对财务报表发表的审计意见不涵盖其他信息，我们也不对其他信息发表任何形式的鉴证结论。</w:t>
      </w:r>
    </w:p>
    <w:p w14:paraId="788DEECE">
      <w:pPr>
        <w:pStyle w:val="9"/>
        <w:spacing w:before="0" w:beforeAutospacing="0" w:after="0" w:afterAutospacing="0" w:line="360" w:lineRule="auto"/>
        <w:ind w:firstLine="560"/>
        <w:jc w:val="both"/>
        <w:rPr>
          <w:rFonts w:ascii="Times New Roman" w:hAnsi="Times New Roman" w:cs="Times New Roman"/>
          <w:sz w:val="21"/>
          <w:szCs w:val="21"/>
        </w:rPr>
      </w:pPr>
      <w:r>
        <w:rPr>
          <w:rFonts w:hint="eastAsia" w:cs="Times New Roman"/>
          <w:sz w:val="28"/>
          <w:szCs w:val="28"/>
        </w:rPr>
        <w:t>结合我们对财务报表的审计，我们的责任是阅读其他信息，在此过程中，考虑其他信息是否与财务报表或我们在审计过程中了解的情况存在重大不一致或者似乎存在重大错报。</w:t>
      </w:r>
    </w:p>
    <w:p w14:paraId="28B78BFA">
      <w:pPr>
        <w:pStyle w:val="9"/>
        <w:spacing w:before="0" w:beforeAutospacing="0" w:after="0" w:afterAutospacing="0" w:line="360" w:lineRule="auto"/>
        <w:ind w:firstLine="560"/>
        <w:jc w:val="both"/>
        <w:rPr>
          <w:rFonts w:ascii="Times New Roman" w:hAnsi="Times New Roman" w:cs="Times New Roman"/>
          <w:sz w:val="21"/>
          <w:szCs w:val="21"/>
        </w:rPr>
      </w:pPr>
      <w:r>
        <w:rPr>
          <w:rFonts w:hint="eastAsia" w:cs="Times New Roman"/>
          <w:sz w:val="28"/>
          <w:szCs w:val="28"/>
        </w:rPr>
        <w:t>基于我们已执行的工作，如果我们确定其他信息存在重大错报，我们应当报告该事实。在这方面，我们无任何事项需要报告。</w:t>
      </w:r>
    </w:p>
    <w:p w14:paraId="3BAEDAAC">
      <w:pPr>
        <w:widowControl/>
        <w:numPr>
          <w:ilvl w:val="0"/>
          <w:numId w:val="14"/>
        </w:numPr>
        <w:spacing w:before="100" w:beforeAutospacing="1" w:after="100" w:afterAutospacing="1"/>
        <w:jc w:val="both"/>
        <w:rPr>
          <w:rFonts w:ascii="宋体" w:hAnsi="宋体" w:cs="宋体"/>
          <w:sz w:val="18"/>
          <w:szCs w:val="18"/>
        </w:rPr>
      </w:pPr>
      <w:r>
        <w:rPr>
          <w:rStyle w:val="12"/>
          <w:rFonts w:hint="eastAsia"/>
          <w:sz w:val="28"/>
          <w:szCs w:val="28"/>
        </w:rPr>
        <w:t>管理层和治理层对财务报表的责任</w:t>
      </w:r>
    </w:p>
    <w:p w14:paraId="59286600">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8"/>
          <w:szCs w:val="28"/>
        </w:rPr>
        <w:t>华孚时尚公司管理层负责按照企业会计准则的规定编制财务报表，使其实现公允反映，并设计、执行和维护必要的内部控制，以使财务报表不存在由于舞弊或错误导致的重大错报。</w:t>
      </w:r>
    </w:p>
    <w:p w14:paraId="5BE9DE5B">
      <w:pPr>
        <w:pStyle w:val="9"/>
        <w:spacing w:before="0" w:beforeAutospacing="0" w:after="0" w:afterAutospacing="0" w:line="360" w:lineRule="auto"/>
        <w:ind w:firstLine="560"/>
        <w:jc w:val="both"/>
        <w:rPr>
          <w:rFonts w:ascii="Times New Roman" w:hAnsi="Times New Roman" w:cs="Times New Roman"/>
          <w:sz w:val="21"/>
          <w:szCs w:val="21"/>
        </w:rPr>
      </w:pPr>
      <w:r>
        <w:rPr>
          <w:rFonts w:hint="eastAsia" w:cs="Times New Roman"/>
          <w:sz w:val="28"/>
          <w:szCs w:val="28"/>
        </w:rPr>
        <w:t>在编制财务报表时，华孚时尚公司管理层负责评估华孚时尚公司的持续经营能力，披露与持续经营相关的事项（如适用），并运用持续经营假设，除非管理层计划清算华孚时尚公司、终止运营或别无其他现实的选择。</w:t>
      </w:r>
    </w:p>
    <w:p w14:paraId="198ABB3D">
      <w:pPr>
        <w:pStyle w:val="9"/>
        <w:spacing w:before="0" w:beforeAutospacing="0" w:after="0" w:afterAutospacing="0" w:line="360" w:lineRule="auto"/>
        <w:ind w:firstLine="560"/>
        <w:jc w:val="both"/>
        <w:rPr>
          <w:rFonts w:ascii="Times New Roman" w:hAnsi="Times New Roman" w:cs="Times New Roman"/>
          <w:sz w:val="21"/>
          <w:szCs w:val="21"/>
        </w:rPr>
      </w:pPr>
      <w:r>
        <w:rPr>
          <w:rFonts w:hint="eastAsia" w:cs="Times New Roman"/>
          <w:sz w:val="28"/>
          <w:szCs w:val="28"/>
        </w:rPr>
        <w:t>治理层负责监督华孚时尚公司的财务报告过程。</w:t>
      </w:r>
    </w:p>
    <w:p w14:paraId="3FE3EAF0">
      <w:pPr>
        <w:widowControl/>
        <w:numPr>
          <w:ilvl w:val="0"/>
          <w:numId w:val="15"/>
        </w:numPr>
        <w:spacing w:before="100" w:beforeAutospacing="1" w:after="100" w:afterAutospacing="1"/>
        <w:jc w:val="both"/>
        <w:rPr>
          <w:rFonts w:ascii="宋体" w:hAnsi="宋体" w:cs="宋体"/>
          <w:sz w:val="18"/>
          <w:szCs w:val="18"/>
        </w:rPr>
      </w:pPr>
      <w:r>
        <w:rPr>
          <w:rStyle w:val="12"/>
          <w:rFonts w:hint="eastAsia"/>
          <w:sz w:val="28"/>
          <w:szCs w:val="28"/>
        </w:rPr>
        <w:t>注册会计师对财务报表审计的责任</w:t>
      </w:r>
    </w:p>
    <w:p w14:paraId="20169CE8">
      <w:pPr>
        <w:pStyle w:val="9"/>
        <w:spacing w:before="0" w:beforeAutospacing="0" w:after="0" w:afterAutospacing="0" w:line="360" w:lineRule="auto"/>
        <w:ind w:firstLine="560"/>
        <w:jc w:val="both"/>
        <w:rPr>
          <w:rFonts w:ascii="Times New Roman" w:hAnsi="Times New Roman" w:cs="Times New Roman"/>
          <w:sz w:val="21"/>
          <w:szCs w:val="21"/>
        </w:rPr>
      </w:pPr>
      <w:r>
        <w:rPr>
          <w:rFonts w:hint="eastAsia" w:cs="Times New Roman"/>
          <w:sz w:val="28"/>
          <w:szCs w:val="28"/>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6188D4F6">
      <w:pPr>
        <w:pStyle w:val="9"/>
        <w:spacing w:before="0" w:beforeAutospacing="0" w:after="0" w:afterAutospacing="0" w:line="360" w:lineRule="auto"/>
        <w:ind w:firstLine="560"/>
        <w:jc w:val="both"/>
        <w:rPr>
          <w:rFonts w:ascii="Times New Roman" w:hAnsi="Times New Roman" w:cs="Times New Roman"/>
          <w:sz w:val="21"/>
          <w:szCs w:val="21"/>
        </w:rPr>
      </w:pPr>
      <w:r>
        <w:rPr>
          <w:rFonts w:hint="eastAsia" w:cs="Times New Roman"/>
          <w:sz w:val="28"/>
          <w:szCs w:val="28"/>
        </w:rPr>
        <w:t>在按照审计准则执行审计工作的过程中，我们运用职业判断，并保持职业怀疑。同时，我们也执行以下工作：</w:t>
      </w:r>
    </w:p>
    <w:p w14:paraId="45277F50">
      <w:pPr>
        <w:widowControl/>
        <w:numPr>
          <w:ilvl w:val="0"/>
          <w:numId w:val="16"/>
        </w:numPr>
        <w:spacing w:before="100" w:beforeAutospacing="1" w:after="100" w:afterAutospacing="1"/>
        <w:jc w:val="both"/>
        <w:rPr>
          <w:rFonts w:ascii="宋体" w:hAnsi="宋体" w:cs="宋体"/>
          <w:sz w:val="18"/>
          <w:szCs w:val="18"/>
        </w:rPr>
      </w:pPr>
      <w:r>
        <w:rPr>
          <w:rFonts w:hint="eastAsia"/>
          <w:sz w:val="18"/>
          <w:szCs w:val="18"/>
        </w:rPr>
        <w:t>．</w:t>
      </w:r>
      <w:r>
        <w:rPr>
          <w:rFonts w:hint="eastAsia"/>
          <w:sz w:val="28"/>
          <w:szCs w:val="28"/>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2068EE3C">
      <w:pPr>
        <w:widowControl/>
        <w:numPr>
          <w:ilvl w:val="0"/>
          <w:numId w:val="16"/>
        </w:numPr>
        <w:spacing w:before="100" w:beforeAutospacing="1" w:after="100" w:afterAutospacing="1"/>
        <w:jc w:val="both"/>
        <w:rPr>
          <w:sz w:val="18"/>
          <w:szCs w:val="18"/>
        </w:rPr>
      </w:pPr>
      <w:r>
        <w:rPr>
          <w:rFonts w:hint="eastAsia"/>
          <w:sz w:val="18"/>
          <w:szCs w:val="18"/>
        </w:rPr>
        <w:t>．</w:t>
      </w:r>
      <w:r>
        <w:rPr>
          <w:rFonts w:hint="eastAsia"/>
          <w:sz w:val="28"/>
          <w:szCs w:val="28"/>
        </w:rPr>
        <w:t>了解与审计相关的内部控制，以设计恰当的审计程序。</w:t>
      </w:r>
    </w:p>
    <w:p w14:paraId="389D762D">
      <w:pPr>
        <w:widowControl/>
        <w:numPr>
          <w:ilvl w:val="0"/>
          <w:numId w:val="16"/>
        </w:numPr>
        <w:spacing w:before="100" w:beforeAutospacing="1" w:after="100" w:afterAutospacing="1"/>
        <w:jc w:val="both"/>
        <w:rPr>
          <w:sz w:val="18"/>
          <w:szCs w:val="18"/>
        </w:rPr>
      </w:pPr>
      <w:r>
        <w:rPr>
          <w:rFonts w:hint="eastAsia"/>
          <w:sz w:val="18"/>
          <w:szCs w:val="18"/>
        </w:rPr>
        <w:t>．</w:t>
      </w:r>
      <w:r>
        <w:rPr>
          <w:rFonts w:hint="eastAsia"/>
          <w:sz w:val="28"/>
          <w:szCs w:val="28"/>
        </w:rPr>
        <w:t>评价管理层选用会计政策的恰当性和作出会计估计及相关披露的合理性。</w:t>
      </w:r>
    </w:p>
    <w:p w14:paraId="5F0E2434">
      <w:pPr>
        <w:widowControl/>
        <w:numPr>
          <w:ilvl w:val="0"/>
          <w:numId w:val="16"/>
        </w:numPr>
        <w:spacing w:before="100" w:beforeAutospacing="1" w:after="100" w:afterAutospacing="1"/>
        <w:jc w:val="both"/>
        <w:rPr>
          <w:sz w:val="18"/>
          <w:szCs w:val="18"/>
        </w:rPr>
      </w:pPr>
      <w:r>
        <w:rPr>
          <w:rFonts w:hint="eastAsia"/>
          <w:sz w:val="18"/>
          <w:szCs w:val="18"/>
        </w:rPr>
        <w:t>．</w:t>
      </w:r>
      <w:r>
        <w:rPr>
          <w:rFonts w:hint="eastAsia"/>
          <w:sz w:val="28"/>
          <w:szCs w:val="28"/>
        </w:rPr>
        <w:t>对管理层使用持续经营假设的恰当性得出结论。同时，根据获取的审计证据，就可能导致对华孚时尚公司持续经营能力产生重大疑虑的事项或情况是否存在重大不确定性得出结论。如果我们得出结论认为存在重大不确定性，审计准则要求我们在审计报告中提请报告使用者注意财务报表中的相关披露；如果披露不充分，我们应当发表非无保留意见。我们的结论基于截至审计报告日可获得的信息。然而，未来的事项或情况可能导致华孚时尚公司不能持续经营。</w:t>
      </w:r>
    </w:p>
    <w:p w14:paraId="3362A393">
      <w:pPr>
        <w:widowControl/>
        <w:numPr>
          <w:ilvl w:val="0"/>
          <w:numId w:val="16"/>
        </w:numPr>
        <w:spacing w:before="100" w:beforeAutospacing="1" w:after="100" w:afterAutospacing="1"/>
        <w:jc w:val="both"/>
        <w:rPr>
          <w:sz w:val="18"/>
          <w:szCs w:val="18"/>
        </w:rPr>
      </w:pPr>
      <w:r>
        <w:rPr>
          <w:rFonts w:hint="eastAsia"/>
          <w:sz w:val="18"/>
          <w:szCs w:val="18"/>
        </w:rPr>
        <w:t>．</w:t>
      </w:r>
      <w:r>
        <w:rPr>
          <w:rFonts w:hint="eastAsia"/>
          <w:sz w:val="28"/>
          <w:szCs w:val="28"/>
        </w:rPr>
        <w:t>评价财务报表的总体列报、结构和内容，并评价财务报表是否公允反映相关交易和事项。</w:t>
      </w:r>
    </w:p>
    <w:p w14:paraId="13527D05">
      <w:pPr>
        <w:widowControl/>
        <w:numPr>
          <w:ilvl w:val="0"/>
          <w:numId w:val="16"/>
        </w:numPr>
        <w:spacing w:before="100" w:beforeAutospacing="1" w:after="100" w:afterAutospacing="1"/>
        <w:jc w:val="both"/>
        <w:rPr>
          <w:sz w:val="18"/>
          <w:szCs w:val="18"/>
        </w:rPr>
      </w:pPr>
      <w:r>
        <w:rPr>
          <w:rFonts w:hint="eastAsia"/>
          <w:sz w:val="18"/>
          <w:szCs w:val="18"/>
        </w:rPr>
        <w:t>．</w:t>
      </w:r>
      <w:r>
        <w:rPr>
          <w:rFonts w:hint="eastAsia"/>
          <w:sz w:val="28"/>
          <w:szCs w:val="28"/>
        </w:rPr>
        <w:t>就华孚时尚公司中实体或业务活动的财务信息获取充分、适当的审计证据，以对财务报表发表意见。我们负责指导、监督和执行集团审计，并对审计意见承担全部责任。</w:t>
      </w:r>
    </w:p>
    <w:p w14:paraId="4D55F4D2">
      <w:pPr>
        <w:pStyle w:val="9"/>
        <w:spacing w:before="0" w:beforeAutospacing="0" w:after="0" w:afterAutospacing="0" w:line="360" w:lineRule="auto"/>
        <w:ind w:firstLine="560"/>
        <w:jc w:val="both"/>
        <w:rPr>
          <w:rFonts w:ascii="Times New Roman" w:hAnsi="Times New Roman" w:cs="Times New Roman"/>
          <w:sz w:val="21"/>
          <w:szCs w:val="21"/>
        </w:rPr>
      </w:pPr>
      <w:r>
        <w:rPr>
          <w:rFonts w:hint="eastAsia" w:cs="Times New Roman"/>
          <w:sz w:val="28"/>
          <w:szCs w:val="28"/>
        </w:rPr>
        <w:t>我们与治理层就计划的审计范围、时间安排和重大审计发现等事项进行沟通，包括沟通我们在审计中识别出的值得关注的内部控制缺陷。</w:t>
      </w:r>
    </w:p>
    <w:p w14:paraId="4875D52D">
      <w:pPr>
        <w:pStyle w:val="9"/>
        <w:spacing w:before="0" w:beforeAutospacing="0" w:after="0" w:afterAutospacing="0" w:line="360" w:lineRule="auto"/>
        <w:ind w:firstLine="560"/>
        <w:jc w:val="both"/>
        <w:rPr>
          <w:rFonts w:ascii="Times New Roman" w:hAnsi="Times New Roman" w:cs="Times New Roman"/>
          <w:sz w:val="21"/>
          <w:szCs w:val="21"/>
        </w:rPr>
      </w:pPr>
      <w:r>
        <w:rPr>
          <w:rFonts w:hint="eastAsia" w:cs="Times New Roman"/>
          <w:sz w:val="28"/>
          <w:szCs w:val="28"/>
        </w:rPr>
        <w:t>我们还就已遵守与独立性相关的职业道德要求向治理层提供声明，并与治理层沟通可能被合理认为影响我们独立性的所有关系和其他事项，以及相关的防范措施（如适用）。</w:t>
      </w:r>
    </w:p>
    <w:p w14:paraId="729A6150">
      <w:pPr>
        <w:pStyle w:val="9"/>
        <w:spacing w:before="0" w:beforeAutospacing="0" w:after="0" w:afterAutospacing="0" w:line="360" w:lineRule="auto"/>
        <w:ind w:firstLine="560"/>
        <w:jc w:val="both"/>
        <w:rPr>
          <w:rFonts w:ascii="Times New Roman" w:hAnsi="Times New Roman" w:cs="Times New Roman"/>
          <w:sz w:val="21"/>
          <w:szCs w:val="21"/>
        </w:rPr>
      </w:pPr>
      <w:r>
        <w:rPr>
          <w:rFonts w:hint="eastAsia" w:cs="Times New Roman"/>
          <w:sz w:val="28"/>
          <w:szCs w:val="28"/>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tbl>
      <w:tblPr>
        <w:tblStyle w:val="10"/>
        <w:tblW w:w="4900" w:type="pct"/>
        <w:jc w:val="center"/>
        <w:tblLayout w:type="autofit"/>
        <w:tblCellMar>
          <w:top w:w="0" w:type="dxa"/>
          <w:left w:w="0" w:type="dxa"/>
          <w:bottom w:w="0" w:type="dxa"/>
          <w:right w:w="0" w:type="dxa"/>
        </w:tblCellMar>
      </w:tblPr>
      <w:tblGrid>
        <w:gridCol w:w="4858"/>
        <w:gridCol w:w="557"/>
        <w:gridCol w:w="2790"/>
        <w:gridCol w:w="1451"/>
      </w:tblGrid>
      <w:tr w14:paraId="4A9F1C22">
        <w:tblPrEx>
          <w:tblCellMar>
            <w:top w:w="0" w:type="dxa"/>
            <w:left w:w="0" w:type="dxa"/>
            <w:bottom w:w="0" w:type="dxa"/>
            <w:right w:w="0" w:type="dxa"/>
          </w:tblCellMar>
        </w:tblPrEx>
        <w:trPr>
          <w:trHeight w:val="925" w:hRule="atLeast"/>
          <w:jc w:val="center"/>
        </w:trPr>
        <w:tc>
          <w:tcPr>
            <w:tcW w:w="4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FA2D08">
            <w:pPr>
              <w:pStyle w:val="9"/>
              <w:spacing w:before="0" w:beforeAutospacing="0" w:after="0" w:afterAutospacing="0"/>
              <w:ind w:left="-53" w:right="-53"/>
              <w:jc w:val="center"/>
              <w:rPr>
                <w:rFonts w:ascii="Times New Roman" w:hAnsi="Times New Roman" w:cs="Times New Roman"/>
                <w:sz w:val="21"/>
                <w:szCs w:val="21"/>
              </w:rPr>
            </w:pPr>
            <w:r>
              <w:rPr>
                <w:rFonts w:hint="eastAsia" w:cs="Times New Roman"/>
                <w:sz w:val="28"/>
                <w:szCs w:val="28"/>
              </w:rPr>
              <w:t>政旦志远（深圳）会计师事务所（特殊普通合伙）</w:t>
            </w:r>
          </w:p>
        </w:tc>
        <w:tc>
          <w:tcPr>
            <w:tcW w:w="4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E56B58">
            <w:pPr>
              <w:pStyle w:val="9"/>
              <w:spacing w:before="0" w:beforeAutospacing="0" w:after="0" w:afterAutospacing="0"/>
              <w:rPr>
                <w:rFonts w:ascii="Times New Roman" w:hAnsi="Times New Roman" w:cs="Times New Roman"/>
                <w:sz w:val="21"/>
                <w:szCs w:val="21"/>
              </w:rPr>
            </w:pPr>
            <w:r>
              <w:rPr>
                <w:rFonts w:ascii="Arial" w:hAnsi="Arial" w:cs="Arial"/>
                <w:sz w:val="28"/>
                <w:szCs w:val="28"/>
              </w:rPr>
              <w:t> </w:t>
            </w:r>
          </w:p>
        </w:tc>
        <w:tc>
          <w:tcPr>
            <w:tcW w:w="23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873EF18">
            <w:pPr>
              <w:pStyle w:val="9"/>
              <w:spacing w:before="0" w:beforeAutospacing="0" w:after="0" w:afterAutospacing="0"/>
              <w:ind w:left="-53" w:right="-53"/>
              <w:jc w:val="center"/>
              <w:rPr>
                <w:rFonts w:ascii="Times New Roman" w:hAnsi="Times New Roman" w:cs="Times New Roman"/>
                <w:sz w:val="21"/>
                <w:szCs w:val="21"/>
              </w:rPr>
            </w:pPr>
            <w:r>
              <w:rPr>
                <w:rFonts w:hint="eastAsia" w:cs="Times New Roman"/>
                <w:sz w:val="28"/>
                <w:szCs w:val="28"/>
              </w:rPr>
              <w:t>中国注册会计师：</w:t>
            </w:r>
          </w:p>
        </w:tc>
        <w:tc>
          <w:tcPr>
            <w:tcW w:w="122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337CE8">
            <w:pPr>
              <w:pStyle w:val="9"/>
              <w:spacing w:before="0" w:beforeAutospacing="0" w:after="0" w:afterAutospacing="0"/>
              <w:jc w:val="center"/>
              <w:rPr>
                <w:rFonts w:ascii="Times New Roman" w:hAnsi="Times New Roman" w:cs="Times New Roman"/>
                <w:sz w:val="21"/>
                <w:szCs w:val="21"/>
              </w:rPr>
            </w:pPr>
            <w:r>
              <w:rPr>
                <w:rFonts w:ascii="Arial" w:hAnsi="Arial" w:cs="Arial"/>
                <w:sz w:val="28"/>
                <w:szCs w:val="28"/>
              </w:rPr>
              <w:t> </w:t>
            </w:r>
          </w:p>
        </w:tc>
      </w:tr>
      <w:tr w14:paraId="20AB26FD">
        <w:tblPrEx>
          <w:tblCellMar>
            <w:top w:w="0" w:type="dxa"/>
            <w:left w:w="0" w:type="dxa"/>
            <w:bottom w:w="0" w:type="dxa"/>
            <w:right w:w="0" w:type="dxa"/>
          </w:tblCellMar>
        </w:tblPrEx>
        <w:trPr>
          <w:trHeight w:val="964" w:hRule="atLeast"/>
          <w:jc w:val="center"/>
        </w:trPr>
        <w:tc>
          <w:tcPr>
            <w:tcW w:w="411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BC665B">
            <w:pPr>
              <w:pStyle w:val="9"/>
              <w:spacing w:before="0" w:beforeAutospacing="0" w:after="0" w:afterAutospacing="0"/>
              <w:jc w:val="center"/>
              <w:rPr>
                <w:rFonts w:ascii="Times New Roman" w:hAnsi="Times New Roman" w:cs="Times New Roman"/>
                <w:sz w:val="21"/>
                <w:szCs w:val="21"/>
              </w:rPr>
            </w:pPr>
            <w:r>
              <w:rPr>
                <w:rFonts w:hint="eastAsia" w:cs="Times New Roman"/>
                <w:sz w:val="28"/>
                <w:szCs w:val="28"/>
              </w:rPr>
              <w:t>中国</w:t>
            </w:r>
            <w:r>
              <w:rPr>
                <w:rStyle w:val="12"/>
                <w:rFonts w:ascii="Arial" w:hAnsi="Arial" w:cs="Arial"/>
                <w:sz w:val="28"/>
                <w:szCs w:val="28"/>
              </w:rPr>
              <w:t>·</w:t>
            </w:r>
            <w:r>
              <w:rPr>
                <w:rFonts w:hint="eastAsia" w:cs="Times New Roman"/>
                <w:sz w:val="28"/>
                <w:szCs w:val="28"/>
              </w:rPr>
              <w:t>深圳</w:t>
            </w:r>
          </w:p>
        </w:tc>
        <w:tc>
          <w:tcPr>
            <w:tcW w:w="471"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3F039">
            <w:pPr>
              <w:pStyle w:val="9"/>
              <w:spacing w:before="0" w:beforeAutospacing="0" w:after="0" w:afterAutospacing="0"/>
              <w:rPr>
                <w:rFonts w:ascii="Times New Roman" w:hAnsi="Times New Roman" w:cs="Times New Roman"/>
                <w:sz w:val="21"/>
                <w:szCs w:val="21"/>
              </w:rPr>
            </w:pPr>
            <w:r>
              <w:rPr>
                <w:rFonts w:ascii="Arial" w:hAnsi="Arial" w:cs="Arial"/>
                <w:sz w:val="28"/>
                <w:szCs w:val="28"/>
              </w:rPr>
              <w:t> </w:t>
            </w:r>
          </w:p>
        </w:tc>
        <w:tc>
          <w:tcPr>
            <w:tcW w:w="2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C48D92B">
            <w:pPr>
              <w:pStyle w:val="9"/>
              <w:spacing w:before="0" w:beforeAutospacing="0" w:after="180" w:afterAutospacing="0"/>
              <w:jc w:val="center"/>
              <w:rPr>
                <w:rFonts w:ascii="Times New Roman" w:hAnsi="Times New Roman" w:cs="Times New Roman"/>
                <w:sz w:val="21"/>
                <w:szCs w:val="21"/>
              </w:rPr>
            </w:pPr>
            <w:r>
              <w:rPr>
                <w:rFonts w:hint="eastAsia" w:cs="Times New Roman"/>
                <w:sz w:val="28"/>
                <w:szCs w:val="28"/>
              </w:rPr>
              <w:t>（项目合伙人）</w:t>
            </w:r>
          </w:p>
        </w:tc>
        <w:tc>
          <w:tcPr>
            <w:tcW w:w="1228" w:type="dxa"/>
            <w:tcBorders>
              <w:top w:val="nil"/>
              <w:left w:val="nil"/>
              <w:bottom w:val="single" w:color="auto" w:sz="8" w:space="0"/>
              <w:right w:val="single" w:color="auto" w:sz="8" w:space="0"/>
            </w:tcBorders>
            <w:tcMar>
              <w:top w:w="0" w:type="dxa"/>
              <w:left w:w="108" w:type="dxa"/>
              <w:bottom w:w="0" w:type="dxa"/>
              <w:right w:w="108" w:type="dxa"/>
            </w:tcMar>
            <w:vAlign w:val="center"/>
          </w:tcPr>
          <w:p w14:paraId="3B60DF15">
            <w:pPr>
              <w:pStyle w:val="9"/>
              <w:spacing w:before="0" w:beforeAutospacing="0" w:after="180" w:afterAutospacing="0"/>
              <w:jc w:val="center"/>
              <w:rPr>
                <w:rFonts w:ascii="Times New Roman" w:hAnsi="Times New Roman" w:cs="Times New Roman"/>
                <w:sz w:val="21"/>
                <w:szCs w:val="21"/>
              </w:rPr>
            </w:pPr>
            <w:r>
              <w:rPr>
                <w:rFonts w:hint="eastAsia" w:cs="Times New Roman"/>
                <w:sz w:val="28"/>
                <w:szCs w:val="28"/>
              </w:rPr>
              <w:t>陈磊</w:t>
            </w:r>
          </w:p>
        </w:tc>
      </w:tr>
      <w:tr w14:paraId="2401483B">
        <w:tblPrEx>
          <w:tblCellMar>
            <w:top w:w="0" w:type="dxa"/>
            <w:left w:w="0" w:type="dxa"/>
            <w:bottom w:w="0" w:type="dxa"/>
            <w:right w:w="0"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8CDCCA2">
            <w:pPr>
              <w:rPr>
                <w:rFonts w:ascii="Times New Roman" w:hAnsi="Times New Roman" w:eastAsia="宋体" w:cs="Times New Roman"/>
                <w:szCs w:val="21"/>
              </w:rPr>
            </w:pPr>
          </w:p>
        </w:tc>
        <w:tc>
          <w:tcPr>
            <w:tcW w:w="47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602D55">
            <w:pPr>
              <w:pStyle w:val="9"/>
              <w:spacing w:before="0" w:beforeAutospacing="0" w:after="0" w:afterAutospacing="0"/>
              <w:rPr>
                <w:rFonts w:ascii="Times New Roman" w:hAnsi="Times New Roman" w:cs="Times New Roman"/>
                <w:sz w:val="21"/>
                <w:szCs w:val="21"/>
              </w:rPr>
            </w:pPr>
            <w:r>
              <w:rPr>
                <w:rFonts w:ascii="Arial" w:hAnsi="Arial" w:cs="Arial"/>
                <w:sz w:val="28"/>
                <w:szCs w:val="28"/>
              </w:rPr>
              <w:t> </w:t>
            </w:r>
          </w:p>
        </w:tc>
        <w:tc>
          <w:tcPr>
            <w:tcW w:w="2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34B9BD0A">
            <w:pPr>
              <w:pStyle w:val="9"/>
              <w:spacing w:before="0" w:beforeAutospacing="0" w:after="0" w:afterAutospacing="0"/>
              <w:ind w:left="-53" w:right="-53"/>
              <w:jc w:val="center"/>
              <w:rPr>
                <w:rFonts w:ascii="Times New Roman" w:hAnsi="Times New Roman" w:cs="Times New Roman"/>
                <w:sz w:val="21"/>
                <w:szCs w:val="21"/>
              </w:rPr>
            </w:pPr>
            <w:r>
              <w:rPr>
                <w:rFonts w:hint="eastAsia" w:cs="Times New Roman"/>
                <w:sz w:val="28"/>
                <w:szCs w:val="28"/>
              </w:rPr>
              <w:t>中国注册会计师：</w:t>
            </w:r>
          </w:p>
        </w:tc>
        <w:tc>
          <w:tcPr>
            <w:tcW w:w="1228" w:type="dxa"/>
            <w:tcBorders>
              <w:top w:val="nil"/>
              <w:left w:val="nil"/>
              <w:bottom w:val="single" w:color="auto" w:sz="8" w:space="0"/>
              <w:right w:val="single" w:color="auto" w:sz="8" w:space="0"/>
            </w:tcBorders>
            <w:tcMar>
              <w:top w:w="0" w:type="dxa"/>
              <w:left w:w="108" w:type="dxa"/>
              <w:bottom w:w="0" w:type="dxa"/>
              <w:right w:w="108" w:type="dxa"/>
            </w:tcMar>
            <w:vAlign w:val="center"/>
          </w:tcPr>
          <w:p w14:paraId="6E4CA887">
            <w:pPr>
              <w:pStyle w:val="9"/>
              <w:spacing w:before="0" w:beforeAutospacing="0" w:after="0" w:afterAutospacing="0"/>
              <w:jc w:val="center"/>
              <w:rPr>
                <w:rFonts w:ascii="Times New Roman" w:hAnsi="Times New Roman" w:cs="Times New Roman"/>
                <w:sz w:val="21"/>
                <w:szCs w:val="21"/>
              </w:rPr>
            </w:pPr>
            <w:r>
              <w:rPr>
                <w:rFonts w:ascii="Arial" w:hAnsi="Arial" w:cs="Arial"/>
                <w:sz w:val="28"/>
                <w:szCs w:val="28"/>
              </w:rPr>
              <w:t> </w:t>
            </w:r>
          </w:p>
        </w:tc>
      </w:tr>
      <w:tr w14:paraId="710938D4">
        <w:tblPrEx>
          <w:tblCellMar>
            <w:top w:w="0" w:type="dxa"/>
            <w:left w:w="0" w:type="dxa"/>
            <w:bottom w:w="0" w:type="dxa"/>
            <w:right w:w="0" w:type="dxa"/>
          </w:tblCellMar>
        </w:tblPrEx>
        <w:trPr>
          <w:trHeight w:val="96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470ABC9">
            <w:pPr>
              <w:rPr>
                <w:rFonts w:ascii="Times New Roman" w:hAnsi="Times New Roman" w:eastAsia="宋体" w:cs="Times New Roman"/>
                <w:szCs w:val="21"/>
              </w:rPr>
            </w:pPr>
          </w:p>
        </w:tc>
        <w:tc>
          <w:tcPr>
            <w:tcW w:w="47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001C33">
            <w:pPr>
              <w:pStyle w:val="9"/>
              <w:spacing w:before="0" w:beforeAutospacing="0" w:after="0" w:afterAutospacing="0"/>
              <w:rPr>
                <w:rFonts w:ascii="Times New Roman" w:hAnsi="Times New Roman" w:cs="Times New Roman"/>
                <w:sz w:val="21"/>
                <w:szCs w:val="21"/>
              </w:rPr>
            </w:pPr>
            <w:r>
              <w:rPr>
                <w:rFonts w:ascii="Arial" w:hAnsi="Arial" w:cs="Arial"/>
                <w:sz w:val="28"/>
                <w:szCs w:val="28"/>
              </w:rPr>
              <w:t> </w:t>
            </w:r>
          </w:p>
        </w:tc>
        <w:tc>
          <w:tcPr>
            <w:tcW w:w="23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E239FFF">
            <w:pPr>
              <w:pStyle w:val="9"/>
              <w:spacing w:before="0" w:beforeAutospacing="0" w:after="180" w:afterAutospacing="0"/>
              <w:jc w:val="center"/>
              <w:rPr>
                <w:rFonts w:ascii="Times New Roman" w:hAnsi="Times New Roman" w:cs="Times New Roman"/>
                <w:sz w:val="21"/>
                <w:szCs w:val="21"/>
              </w:rPr>
            </w:pPr>
            <w:r>
              <w:rPr>
                <w:rFonts w:ascii="Arial" w:hAnsi="Arial" w:cs="Arial"/>
                <w:sz w:val="28"/>
                <w:szCs w:val="28"/>
              </w:rPr>
              <w:t> </w:t>
            </w:r>
          </w:p>
        </w:tc>
        <w:tc>
          <w:tcPr>
            <w:tcW w:w="1228" w:type="dxa"/>
            <w:tcBorders>
              <w:top w:val="nil"/>
              <w:left w:val="nil"/>
              <w:bottom w:val="single" w:color="auto" w:sz="8" w:space="0"/>
              <w:right w:val="single" w:color="auto" w:sz="8" w:space="0"/>
            </w:tcBorders>
            <w:tcMar>
              <w:top w:w="0" w:type="dxa"/>
              <w:left w:w="108" w:type="dxa"/>
              <w:bottom w:w="0" w:type="dxa"/>
              <w:right w:w="108" w:type="dxa"/>
            </w:tcMar>
            <w:vAlign w:val="center"/>
          </w:tcPr>
          <w:p w14:paraId="5EF83053">
            <w:pPr>
              <w:pStyle w:val="9"/>
              <w:spacing w:before="0" w:beforeAutospacing="0" w:after="180" w:afterAutospacing="0"/>
              <w:jc w:val="center"/>
              <w:rPr>
                <w:rFonts w:ascii="Times New Roman" w:hAnsi="Times New Roman" w:cs="Times New Roman"/>
                <w:sz w:val="21"/>
                <w:szCs w:val="21"/>
              </w:rPr>
            </w:pPr>
            <w:r>
              <w:rPr>
                <w:rFonts w:hint="eastAsia" w:cs="Times New Roman"/>
                <w:sz w:val="28"/>
                <w:szCs w:val="28"/>
              </w:rPr>
              <w:t>吴泽娜</w:t>
            </w:r>
          </w:p>
        </w:tc>
      </w:tr>
      <w:tr w14:paraId="0627CEA1">
        <w:tblPrEx>
          <w:tblCellMar>
            <w:top w:w="0" w:type="dxa"/>
            <w:left w:w="0" w:type="dxa"/>
            <w:bottom w:w="0" w:type="dxa"/>
            <w:right w:w="0" w:type="dxa"/>
          </w:tblCellMar>
        </w:tblPrEx>
        <w:trPr>
          <w:trHeight w:val="567" w:hRule="atLeast"/>
          <w:jc w:val="center"/>
        </w:trPr>
        <w:tc>
          <w:tcPr>
            <w:tcW w:w="411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EC0F9B">
            <w:pPr>
              <w:pStyle w:val="9"/>
              <w:spacing w:before="0" w:beforeAutospacing="0" w:after="0" w:afterAutospacing="0"/>
              <w:jc w:val="center"/>
              <w:rPr>
                <w:rFonts w:ascii="Times New Roman" w:hAnsi="Times New Roman" w:cs="Times New Roman"/>
                <w:sz w:val="21"/>
                <w:szCs w:val="21"/>
              </w:rPr>
            </w:pPr>
            <w:r>
              <w:rPr>
                <w:rFonts w:ascii="Arial" w:hAnsi="Arial" w:cs="Arial"/>
                <w:sz w:val="28"/>
                <w:szCs w:val="28"/>
              </w:rPr>
              <w:t> </w:t>
            </w:r>
          </w:p>
        </w:tc>
        <w:tc>
          <w:tcPr>
            <w:tcW w:w="471" w:type="dxa"/>
            <w:tcBorders>
              <w:top w:val="nil"/>
              <w:left w:val="nil"/>
              <w:bottom w:val="single" w:color="auto" w:sz="8" w:space="0"/>
              <w:right w:val="single" w:color="auto" w:sz="8" w:space="0"/>
            </w:tcBorders>
            <w:tcMar>
              <w:top w:w="0" w:type="dxa"/>
              <w:left w:w="108" w:type="dxa"/>
              <w:bottom w:w="0" w:type="dxa"/>
              <w:right w:w="108" w:type="dxa"/>
            </w:tcMar>
            <w:vAlign w:val="center"/>
          </w:tcPr>
          <w:p w14:paraId="327735F5">
            <w:pPr>
              <w:pStyle w:val="9"/>
              <w:spacing w:before="0" w:beforeAutospacing="0" w:after="0" w:afterAutospacing="0"/>
              <w:rPr>
                <w:rFonts w:ascii="Times New Roman" w:hAnsi="Times New Roman" w:cs="Times New Roman"/>
                <w:sz w:val="21"/>
                <w:szCs w:val="21"/>
              </w:rPr>
            </w:pPr>
            <w:r>
              <w:rPr>
                <w:rFonts w:ascii="Arial" w:hAnsi="Arial" w:cs="Arial"/>
                <w:sz w:val="28"/>
                <w:szCs w:val="28"/>
              </w:rPr>
              <w:t> </w:t>
            </w:r>
          </w:p>
        </w:tc>
        <w:tc>
          <w:tcPr>
            <w:tcW w:w="358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E7FB9E3">
            <w:pPr>
              <w:pStyle w:val="9"/>
              <w:spacing w:before="0" w:beforeAutospacing="0" w:after="0" w:afterAutospacing="0"/>
              <w:jc w:val="center"/>
              <w:rPr>
                <w:rFonts w:ascii="Times New Roman" w:hAnsi="Times New Roman" w:cs="Times New Roman"/>
                <w:sz w:val="21"/>
                <w:szCs w:val="21"/>
              </w:rPr>
            </w:pPr>
            <w:r>
              <w:rPr>
                <w:rFonts w:hint="eastAsia" w:cs="Times New Roman"/>
                <w:sz w:val="28"/>
                <w:szCs w:val="28"/>
              </w:rPr>
              <w:t>二〇二六年四月二十八日</w:t>
            </w:r>
          </w:p>
        </w:tc>
      </w:tr>
    </w:tbl>
    <w:p w14:paraId="16B9D45E">
      <w:pPr>
        <w:pStyle w:val="2"/>
        <w:spacing w:before="300" w:after="300" w:line="320" w:lineRule="exact"/>
        <w:rPr>
          <w:rFonts w:ascii="宋体" w:hAnsi="宋体" w:eastAsia="宋体" w:cs="宋体"/>
          <w:b/>
          <w:bCs/>
          <w:sz w:val="24"/>
          <w:szCs w:val="24"/>
        </w:rPr>
      </w:pPr>
      <w:bookmarkStart w:id="160" w:name="_Toc989046"/>
      <w:r>
        <w:rPr>
          <w:rFonts w:ascii="宋体" w:hAnsi="宋体" w:eastAsia="宋体" w:cs="宋体"/>
          <w:b/>
          <w:bCs/>
          <w:sz w:val="24"/>
          <w:szCs w:val="24"/>
        </w:rPr>
        <w:t>二、财务报表</w:t>
      </w:r>
      <w:bookmarkEnd w:id="160"/>
    </w:p>
    <w:p w14:paraId="3CB88862">
      <w:pPr>
        <w:spacing w:before="40" w:after="40" w:line="240" w:lineRule="exact"/>
        <w:rPr>
          <w:rFonts w:ascii="宋体" w:hAnsi="宋体" w:eastAsia="宋体" w:cs="宋体"/>
          <w:sz w:val="18"/>
          <w:szCs w:val="18"/>
        </w:rPr>
      </w:pPr>
      <w:r>
        <w:rPr>
          <w:rFonts w:ascii="宋体" w:hAnsi="宋体" w:eastAsia="宋体" w:cs="宋体"/>
          <w:sz w:val="18"/>
          <w:szCs w:val="18"/>
        </w:rPr>
        <w:t>财务附注中报表的单位为：元</w:t>
      </w:r>
    </w:p>
    <w:p w14:paraId="1DAB738B">
      <w:pPr>
        <w:pStyle w:val="3"/>
        <w:spacing w:line="280" w:lineRule="exact"/>
        <w:jc w:val="left"/>
        <w:rPr>
          <w:rFonts w:ascii="宋体" w:hAnsi="宋体" w:cs="宋体"/>
          <w:b/>
          <w:bCs/>
        </w:rPr>
      </w:pPr>
      <w:bookmarkStart w:id="161" w:name="_Toc989047"/>
      <w:r>
        <w:rPr>
          <w:rFonts w:ascii="宋体" w:hAnsi="宋体" w:cs="宋体"/>
          <w:b/>
          <w:bCs/>
        </w:rPr>
        <w:t>1、合并资产负债表</w:t>
      </w:r>
      <w:bookmarkEnd w:id="161"/>
    </w:p>
    <w:p w14:paraId="19CD6C5E">
      <w:pPr>
        <w:spacing w:line="240" w:lineRule="exact"/>
        <w:rPr>
          <w:rFonts w:ascii="宋体" w:hAnsi="宋体" w:eastAsia="宋体" w:cs="宋体"/>
          <w:sz w:val="18"/>
          <w:szCs w:val="18"/>
        </w:rPr>
      </w:pPr>
      <w:r>
        <w:rPr>
          <w:rFonts w:ascii="宋体" w:hAnsi="宋体" w:eastAsia="宋体" w:cs="宋体"/>
          <w:sz w:val="18"/>
          <w:szCs w:val="18"/>
        </w:rPr>
        <w:t>编制单位：华孚时尚股份有限公司</w:t>
      </w:r>
    </w:p>
    <w:p w14:paraId="3077E8E9">
      <w:pPr>
        <w:spacing w:line="240" w:lineRule="exact"/>
        <w:jc w:val="center"/>
        <w:rPr>
          <w:rFonts w:ascii="宋体" w:hAnsi="宋体" w:eastAsia="宋体" w:cs="宋体"/>
          <w:sz w:val="18"/>
          <w:szCs w:val="18"/>
        </w:rPr>
      </w:pPr>
      <w:r>
        <w:rPr>
          <w:rFonts w:ascii="宋体" w:hAnsi="宋体" w:eastAsia="宋体" w:cs="宋体"/>
          <w:sz w:val="18"/>
          <w:szCs w:val="18"/>
        </w:rPr>
        <w:t>2025年12月31日</w:t>
      </w:r>
    </w:p>
    <w:p w14:paraId="40CD282C">
      <w:pPr>
        <w:spacing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A53C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3006A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7C1915">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A783BF">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D8F3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516DA5">
            <w:pPr>
              <w:spacing w:before="40" w:after="40" w:line="240" w:lineRule="exac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C771A0"/>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629137"/>
        </w:tc>
      </w:tr>
      <w:tr w14:paraId="4FD1F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A784FA">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4888E5AC">
            <w:pPr>
              <w:spacing w:line="240" w:lineRule="exact"/>
              <w:jc w:val="right"/>
              <w:rPr>
                <w:rFonts w:ascii="宋体" w:hAnsi="宋体" w:eastAsia="宋体" w:cs="宋体"/>
                <w:sz w:val="18"/>
                <w:szCs w:val="18"/>
              </w:rPr>
            </w:pPr>
            <w:r>
              <w:rPr>
                <w:rFonts w:ascii="宋体" w:hAnsi="宋体" w:eastAsia="宋体" w:cs="宋体"/>
                <w:sz w:val="18"/>
                <w:szCs w:val="18"/>
              </w:rPr>
              <w:t>1,673,049,794.16</w:t>
            </w:r>
          </w:p>
        </w:tc>
        <w:tc>
          <w:tcPr>
            <w:tcW w:w="3213" w:type="dxa"/>
            <w:tcBorders>
              <w:top w:val="single" w:color="auto" w:sz="2" w:space="0"/>
              <w:left w:val="single" w:color="auto" w:sz="2" w:space="0"/>
              <w:bottom w:val="single" w:color="auto" w:sz="2" w:space="0"/>
              <w:right w:val="single" w:color="auto" w:sz="2" w:space="0"/>
            </w:tcBorders>
            <w:vAlign w:val="center"/>
          </w:tcPr>
          <w:p w14:paraId="4A8A5587">
            <w:pPr>
              <w:spacing w:line="240" w:lineRule="exact"/>
              <w:jc w:val="right"/>
              <w:rPr>
                <w:rFonts w:ascii="宋体" w:hAnsi="宋体" w:eastAsia="宋体" w:cs="宋体"/>
                <w:sz w:val="18"/>
                <w:szCs w:val="18"/>
              </w:rPr>
            </w:pPr>
            <w:r>
              <w:rPr>
                <w:rFonts w:ascii="宋体" w:hAnsi="宋体" w:eastAsia="宋体" w:cs="宋体"/>
                <w:sz w:val="18"/>
                <w:szCs w:val="18"/>
              </w:rPr>
              <w:t>2,495,550,845.58</w:t>
            </w:r>
          </w:p>
        </w:tc>
      </w:tr>
      <w:tr w14:paraId="1F077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58A08C">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14:paraId="203D61F3">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7BF2C48">
            <w:pPr>
              <w:spacing w:line="240" w:lineRule="exact"/>
              <w:jc w:val="right"/>
              <w:rPr>
                <w:rFonts w:ascii="宋体" w:hAnsi="宋体" w:eastAsia="宋体" w:cs="宋体"/>
                <w:sz w:val="18"/>
                <w:szCs w:val="18"/>
              </w:rPr>
            </w:pPr>
          </w:p>
        </w:tc>
      </w:tr>
      <w:tr w14:paraId="3F0D5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AADDC9">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14:paraId="607EBE5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A705239">
            <w:pPr>
              <w:spacing w:line="240" w:lineRule="exact"/>
              <w:jc w:val="right"/>
              <w:rPr>
                <w:rFonts w:ascii="宋体" w:hAnsi="宋体" w:eastAsia="宋体" w:cs="宋体"/>
                <w:sz w:val="18"/>
                <w:szCs w:val="18"/>
              </w:rPr>
            </w:pPr>
          </w:p>
        </w:tc>
      </w:tr>
      <w:tr w14:paraId="73270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3406BA">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1E684978">
            <w:pPr>
              <w:spacing w:line="240" w:lineRule="exact"/>
              <w:jc w:val="right"/>
              <w:rPr>
                <w:rFonts w:ascii="宋体" w:hAnsi="宋体" w:eastAsia="宋体" w:cs="宋体"/>
                <w:sz w:val="18"/>
                <w:szCs w:val="18"/>
              </w:rPr>
            </w:pPr>
            <w:r>
              <w:rPr>
                <w:rFonts w:ascii="宋体" w:hAnsi="宋体" w:eastAsia="宋体" w:cs="宋体"/>
                <w:sz w:val="18"/>
                <w:szCs w:val="18"/>
              </w:rPr>
              <w:t>260,755,050.42</w:t>
            </w:r>
          </w:p>
        </w:tc>
        <w:tc>
          <w:tcPr>
            <w:tcW w:w="3213" w:type="dxa"/>
            <w:tcBorders>
              <w:top w:val="single" w:color="auto" w:sz="2" w:space="0"/>
              <w:left w:val="single" w:color="auto" w:sz="2" w:space="0"/>
              <w:bottom w:val="single" w:color="auto" w:sz="2" w:space="0"/>
              <w:right w:val="single" w:color="auto" w:sz="2" w:space="0"/>
            </w:tcBorders>
            <w:vAlign w:val="center"/>
          </w:tcPr>
          <w:p w14:paraId="6E2C5720">
            <w:pPr>
              <w:spacing w:line="240" w:lineRule="exact"/>
              <w:jc w:val="right"/>
              <w:rPr>
                <w:rFonts w:ascii="宋体" w:hAnsi="宋体" w:eastAsia="宋体" w:cs="宋体"/>
                <w:sz w:val="18"/>
                <w:szCs w:val="18"/>
              </w:rPr>
            </w:pPr>
            <w:r>
              <w:rPr>
                <w:rFonts w:ascii="宋体" w:hAnsi="宋体" w:eastAsia="宋体" w:cs="宋体"/>
                <w:sz w:val="18"/>
                <w:szCs w:val="18"/>
              </w:rPr>
              <w:t>231,193,994.30</w:t>
            </w:r>
          </w:p>
        </w:tc>
      </w:tr>
      <w:tr w14:paraId="49C26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F7EAEC">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4DE70E4D">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5D12E00">
            <w:pPr>
              <w:spacing w:line="240" w:lineRule="exact"/>
              <w:jc w:val="right"/>
              <w:rPr>
                <w:rFonts w:ascii="宋体" w:hAnsi="宋体" w:eastAsia="宋体" w:cs="宋体"/>
                <w:sz w:val="18"/>
                <w:szCs w:val="18"/>
              </w:rPr>
            </w:pPr>
          </w:p>
        </w:tc>
      </w:tr>
      <w:tr w14:paraId="296BB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A55708">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14:paraId="195C5F8B">
            <w:pPr>
              <w:spacing w:line="240" w:lineRule="exact"/>
              <w:jc w:val="right"/>
              <w:rPr>
                <w:rFonts w:ascii="宋体" w:hAnsi="宋体" w:eastAsia="宋体" w:cs="宋体"/>
                <w:sz w:val="18"/>
                <w:szCs w:val="18"/>
              </w:rPr>
            </w:pPr>
            <w:r>
              <w:rPr>
                <w:rFonts w:ascii="宋体" w:hAnsi="宋体" w:eastAsia="宋体" w:cs="宋体"/>
                <w:sz w:val="18"/>
                <w:szCs w:val="18"/>
              </w:rPr>
              <w:t>74,612,731.44</w:t>
            </w:r>
          </w:p>
        </w:tc>
        <w:tc>
          <w:tcPr>
            <w:tcW w:w="3213" w:type="dxa"/>
            <w:tcBorders>
              <w:top w:val="single" w:color="auto" w:sz="2" w:space="0"/>
              <w:left w:val="single" w:color="auto" w:sz="2" w:space="0"/>
              <w:bottom w:val="single" w:color="auto" w:sz="2" w:space="0"/>
              <w:right w:val="single" w:color="auto" w:sz="2" w:space="0"/>
            </w:tcBorders>
            <w:vAlign w:val="center"/>
          </w:tcPr>
          <w:p w14:paraId="5831FCB6">
            <w:pPr>
              <w:spacing w:line="240" w:lineRule="exact"/>
              <w:jc w:val="right"/>
              <w:rPr>
                <w:rFonts w:ascii="宋体" w:hAnsi="宋体" w:eastAsia="宋体" w:cs="宋体"/>
                <w:sz w:val="18"/>
                <w:szCs w:val="18"/>
              </w:rPr>
            </w:pPr>
            <w:r>
              <w:rPr>
                <w:rFonts w:ascii="宋体" w:hAnsi="宋体" w:eastAsia="宋体" w:cs="宋体"/>
                <w:sz w:val="18"/>
                <w:szCs w:val="18"/>
              </w:rPr>
              <w:t>56,171,004.50</w:t>
            </w:r>
          </w:p>
        </w:tc>
      </w:tr>
      <w:tr w14:paraId="35489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9192053">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14:paraId="282FBD06">
            <w:pPr>
              <w:spacing w:line="240" w:lineRule="exact"/>
              <w:jc w:val="right"/>
              <w:rPr>
                <w:rFonts w:ascii="宋体" w:hAnsi="宋体" w:eastAsia="宋体" w:cs="宋体"/>
                <w:sz w:val="18"/>
                <w:szCs w:val="18"/>
              </w:rPr>
            </w:pPr>
            <w:r>
              <w:rPr>
                <w:rFonts w:ascii="宋体" w:hAnsi="宋体" w:eastAsia="宋体" w:cs="宋体"/>
                <w:sz w:val="18"/>
                <w:szCs w:val="18"/>
              </w:rPr>
              <w:t>1,084,133,458.57</w:t>
            </w:r>
          </w:p>
        </w:tc>
        <w:tc>
          <w:tcPr>
            <w:tcW w:w="3213" w:type="dxa"/>
            <w:tcBorders>
              <w:top w:val="single" w:color="auto" w:sz="2" w:space="0"/>
              <w:left w:val="single" w:color="auto" w:sz="2" w:space="0"/>
              <w:bottom w:val="single" w:color="auto" w:sz="2" w:space="0"/>
              <w:right w:val="single" w:color="auto" w:sz="2" w:space="0"/>
            </w:tcBorders>
            <w:vAlign w:val="center"/>
          </w:tcPr>
          <w:p w14:paraId="776CDCE8">
            <w:pPr>
              <w:spacing w:line="240" w:lineRule="exact"/>
              <w:jc w:val="right"/>
              <w:rPr>
                <w:rFonts w:ascii="宋体" w:hAnsi="宋体" w:eastAsia="宋体" w:cs="宋体"/>
                <w:sz w:val="18"/>
                <w:szCs w:val="18"/>
              </w:rPr>
            </w:pPr>
            <w:r>
              <w:rPr>
                <w:rFonts w:ascii="宋体" w:hAnsi="宋体" w:eastAsia="宋体" w:cs="宋体"/>
                <w:sz w:val="18"/>
                <w:szCs w:val="18"/>
              </w:rPr>
              <w:t>1,457,626,076.42</w:t>
            </w:r>
          </w:p>
        </w:tc>
      </w:tr>
      <w:tr w14:paraId="4A03E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3A9077">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14:paraId="510AB553">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8531FF0">
            <w:pPr>
              <w:spacing w:line="240" w:lineRule="exact"/>
              <w:jc w:val="right"/>
              <w:rPr>
                <w:rFonts w:ascii="宋体" w:hAnsi="宋体" w:eastAsia="宋体" w:cs="宋体"/>
                <w:sz w:val="18"/>
                <w:szCs w:val="18"/>
              </w:rPr>
            </w:pPr>
          </w:p>
        </w:tc>
      </w:tr>
      <w:tr w14:paraId="5DCE4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BEAA5A">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14:paraId="5ACED073">
            <w:pPr>
              <w:spacing w:line="240" w:lineRule="exact"/>
              <w:jc w:val="right"/>
              <w:rPr>
                <w:rFonts w:ascii="宋体" w:hAnsi="宋体" w:eastAsia="宋体" w:cs="宋体"/>
                <w:sz w:val="18"/>
                <w:szCs w:val="18"/>
              </w:rPr>
            </w:pPr>
            <w:r>
              <w:rPr>
                <w:rFonts w:ascii="宋体" w:hAnsi="宋体" w:eastAsia="宋体" w:cs="宋体"/>
                <w:sz w:val="18"/>
                <w:szCs w:val="18"/>
              </w:rPr>
              <w:t>730,590,986.88</w:t>
            </w:r>
          </w:p>
        </w:tc>
        <w:tc>
          <w:tcPr>
            <w:tcW w:w="3213" w:type="dxa"/>
            <w:tcBorders>
              <w:top w:val="single" w:color="auto" w:sz="2" w:space="0"/>
              <w:left w:val="single" w:color="auto" w:sz="2" w:space="0"/>
              <w:bottom w:val="single" w:color="auto" w:sz="2" w:space="0"/>
              <w:right w:val="single" w:color="auto" w:sz="2" w:space="0"/>
            </w:tcBorders>
            <w:vAlign w:val="center"/>
          </w:tcPr>
          <w:p w14:paraId="7A2C78C8">
            <w:pPr>
              <w:spacing w:line="240" w:lineRule="exact"/>
              <w:jc w:val="right"/>
              <w:rPr>
                <w:rFonts w:ascii="宋体" w:hAnsi="宋体" w:eastAsia="宋体" w:cs="宋体"/>
                <w:sz w:val="18"/>
                <w:szCs w:val="18"/>
              </w:rPr>
            </w:pPr>
            <w:r>
              <w:rPr>
                <w:rFonts w:ascii="宋体" w:hAnsi="宋体" w:eastAsia="宋体" w:cs="宋体"/>
                <w:sz w:val="18"/>
                <w:szCs w:val="18"/>
              </w:rPr>
              <w:t>796,363,179.47</w:t>
            </w:r>
          </w:p>
        </w:tc>
      </w:tr>
      <w:tr w14:paraId="3EC0B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2538A2">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14:paraId="32C75B22">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E177C24">
            <w:pPr>
              <w:spacing w:line="240" w:lineRule="exact"/>
              <w:jc w:val="right"/>
              <w:rPr>
                <w:rFonts w:ascii="宋体" w:hAnsi="宋体" w:eastAsia="宋体" w:cs="宋体"/>
                <w:sz w:val="18"/>
                <w:szCs w:val="18"/>
              </w:rPr>
            </w:pPr>
          </w:p>
        </w:tc>
      </w:tr>
      <w:tr w14:paraId="5B76E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FB2EBD">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14:paraId="42B3837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C031FFC">
            <w:pPr>
              <w:spacing w:line="240" w:lineRule="exact"/>
              <w:jc w:val="right"/>
              <w:rPr>
                <w:rFonts w:ascii="宋体" w:hAnsi="宋体" w:eastAsia="宋体" w:cs="宋体"/>
                <w:sz w:val="18"/>
                <w:szCs w:val="18"/>
              </w:rPr>
            </w:pPr>
          </w:p>
        </w:tc>
      </w:tr>
      <w:tr w14:paraId="6F5EC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9EBA6C">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14:paraId="0135D05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DE7DC2F">
            <w:pPr>
              <w:spacing w:line="240" w:lineRule="exact"/>
              <w:jc w:val="right"/>
              <w:rPr>
                <w:rFonts w:ascii="宋体" w:hAnsi="宋体" w:eastAsia="宋体" w:cs="宋体"/>
                <w:sz w:val="18"/>
                <w:szCs w:val="18"/>
              </w:rPr>
            </w:pPr>
          </w:p>
        </w:tc>
      </w:tr>
      <w:tr w14:paraId="53074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D6047A">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14:paraId="5E9BA893">
            <w:pPr>
              <w:spacing w:line="240" w:lineRule="exact"/>
              <w:jc w:val="right"/>
              <w:rPr>
                <w:rFonts w:ascii="宋体" w:hAnsi="宋体" w:eastAsia="宋体" w:cs="宋体"/>
                <w:sz w:val="18"/>
                <w:szCs w:val="18"/>
              </w:rPr>
            </w:pPr>
            <w:r>
              <w:rPr>
                <w:rFonts w:ascii="宋体" w:hAnsi="宋体" w:eastAsia="宋体" w:cs="宋体"/>
                <w:sz w:val="18"/>
                <w:szCs w:val="18"/>
              </w:rPr>
              <w:t>148,143,182.55</w:t>
            </w:r>
          </w:p>
        </w:tc>
        <w:tc>
          <w:tcPr>
            <w:tcW w:w="3213" w:type="dxa"/>
            <w:tcBorders>
              <w:top w:val="single" w:color="auto" w:sz="2" w:space="0"/>
              <w:left w:val="single" w:color="auto" w:sz="2" w:space="0"/>
              <w:bottom w:val="single" w:color="auto" w:sz="2" w:space="0"/>
              <w:right w:val="single" w:color="auto" w:sz="2" w:space="0"/>
            </w:tcBorders>
            <w:vAlign w:val="center"/>
          </w:tcPr>
          <w:p w14:paraId="2BB4AAF6">
            <w:pPr>
              <w:spacing w:line="240" w:lineRule="exact"/>
              <w:jc w:val="right"/>
              <w:rPr>
                <w:rFonts w:ascii="宋体" w:hAnsi="宋体" w:eastAsia="宋体" w:cs="宋体"/>
                <w:sz w:val="18"/>
                <w:szCs w:val="18"/>
              </w:rPr>
            </w:pPr>
            <w:r>
              <w:rPr>
                <w:rFonts w:ascii="宋体" w:hAnsi="宋体" w:eastAsia="宋体" w:cs="宋体"/>
                <w:sz w:val="18"/>
                <w:szCs w:val="18"/>
              </w:rPr>
              <w:t>175,446,399.19</w:t>
            </w:r>
          </w:p>
        </w:tc>
      </w:tr>
      <w:tr w14:paraId="4BB73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F3B95FB">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14:paraId="7BC59AE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EBFFCF5">
            <w:pPr>
              <w:spacing w:line="240" w:lineRule="exact"/>
              <w:jc w:val="right"/>
              <w:rPr>
                <w:rFonts w:ascii="宋体" w:hAnsi="宋体" w:eastAsia="宋体" w:cs="宋体"/>
                <w:sz w:val="18"/>
                <w:szCs w:val="18"/>
              </w:rPr>
            </w:pPr>
          </w:p>
        </w:tc>
      </w:tr>
      <w:tr w14:paraId="19BFE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6F4EBE">
            <w:pPr>
              <w:spacing w:before="40" w:after="40" w:line="240" w:lineRule="exact"/>
              <w:ind w:firstLine="900" w:firstLineChars="500"/>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14:paraId="14C96F44">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3782D67">
            <w:pPr>
              <w:spacing w:line="240" w:lineRule="exact"/>
              <w:jc w:val="right"/>
              <w:rPr>
                <w:rFonts w:ascii="宋体" w:hAnsi="宋体" w:eastAsia="宋体" w:cs="宋体"/>
                <w:sz w:val="18"/>
                <w:szCs w:val="18"/>
              </w:rPr>
            </w:pPr>
          </w:p>
        </w:tc>
      </w:tr>
      <w:tr w14:paraId="39D35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F4F061">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1110D23F">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28967F9">
            <w:pPr>
              <w:spacing w:line="240" w:lineRule="exact"/>
              <w:jc w:val="right"/>
              <w:rPr>
                <w:rFonts w:ascii="宋体" w:hAnsi="宋体" w:eastAsia="宋体" w:cs="宋体"/>
                <w:sz w:val="18"/>
                <w:szCs w:val="18"/>
              </w:rPr>
            </w:pPr>
          </w:p>
        </w:tc>
      </w:tr>
      <w:tr w14:paraId="4A3F5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DADCC3">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14:paraId="23C05B1B">
            <w:pPr>
              <w:spacing w:line="240" w:lineRule="exact"/>
              <w:jc w:val="right"/>
              <w:rPr>
                <w:rFonts w:ascii="宋体" w:hAnsi="宋体" w:eastAsia="宋体" w:cs="宋体"/>
                <w:sz w:val="18"/>
                <w:szCs w:val="18"/>
              </w:rPr>
            </w:pPr>
            <w:r>
              <w:rPr>
                <w:rFonts w:ascii="宋体" w:hAnsi="宋体" w:eastAsia="宋体" w:cs="宋体"/>
                <w:sz w:val="18"/>
                <w:szCs w:val="18"/>
              </w:rPr>
              <w:t>4,386,752,120.28</w:t>
            </w:r>
          </w:p>
        </w:tc>
        <w:tc>
          <w:tcPr>
            <w:tcW w:w="3213" w:type="dxa"/>
            <w:tcBorders>
              <w:top w:val="single" w:color="auto" w:sz="2" w:space="0"/>
              <w:left w:val="single" w:color="auto" w:sz="2" w:space="0"/>
              <w:bottom w:val="single" w:color="auto" w:sz="2" w:space="0"/>
              <w:right w:val="single" w:color="auto" w:sz="2" w:space="0"/>
            </w:tcBorders>
            <w:vAlign w:val="center"/>
          </w:tcPr>
          <w:p w14:paraId="65FE1387">
            <w:pPr>
              <w:spacing w:line="240" w:lineRule="exact"/>
              <w:jc w:val="right"/>
              <w:rPr>
                <w:rFonts w:ascii="宋体" w:hAnsi="宋体" w:eastAsia="宋体" w:cs="宋体"/>
                <w:sz w:val="18"/>
                <w:szCs w:val="18"/>
              </w:rPr>
            </w:pPr>
            <w:r>
              <w:rPr>
                <w:rFonts w:ascii="宋体" w:hAnsi="宋体" w:eastAsia="宋体" w:cs="宋体"/>
                <w:sz w:val="18"/>
                <w:szCs w:val="18"/>
              </w:rPr>
              <w:t>4,761,974,722.16</w:t>
            </w:r>
          </w:p>
        </w:tc>
      </w:tr>
      <w:tr w14:paraId="5420F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F62608">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34FF9F4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BA16F71">
            <w:pPr>
              <w:spacing w:line="240" w:lineRule="exact"/>
              <w:jc w:val="right"/>
              <w:rPr>
                <w:rFonts w:ascii="宋体" w:hAnsi="宋体" w:eastAsia="宋体" w:cs="宋体"/>
                <w:sz w:val="18"/>
                <w:szCs w:val="18"/>
              </w:rPr>
            </w:pPr>
          </w:p>
        </w:tc>
      </w:tr>
      <w:tr w14:paraId="65818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5ACE61">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14:paraId="1A9BCFB2">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80B3D57">
            <w:pPr>
              <w:spacing w:line="240" w:lineRule="exact"/>
              <w:jc w:val="right"/>
              <w:rPr>
                <w:rFonts w:ascii="宋体" w:hAnsi="宋体" w:eastAsia="宋体" w:cs="宋体"/>
                <w:sz w:val="18"/>
                <w:szCs w:val="18"/>
              </w:rPr>
            </w:pPr>
          </w:p>
        </w:tc>
      </w:tr>
      <w:tr w14:paraId="4459C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080C99">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14:paraId="47932D8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4AE8902">
            <w:pPr>
              <w:spacing w:line="240" w:lineRule="exact"/>
              <w:jc w:val="right"/>
              <w:rPr>
                <w:rFonts w:ascii="宋体" w:hAnsi="宋体" w:eastAsia="宋体" w:cs="宋体"/>
                <w:sz w:val="18"/>
                <w:szCs w:val="18"/>
              </w:rPr>
            </w:pPr>
          </w:p>
        </w:tc>
      </w:tr>
      <w:tr w14:paraId="01DF5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A6A661">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6F6832C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5777C1A">
            <w:pPr>
              <w:spacing w:line="240" w:lineRule="exact"/>
              <w:jc w:val="right"/>
              <w:rPr>
                <w:rFonts w:ascii="宋体" w:hAnsi="宋体" w:eastAsia="宋体" w:cs="宋体"/>
                <w:sz w:val="18"/>
                <w:szCs w:val="18"/>
              </w:rPr>
            </w:pPr>
            <w:r>
              <w:rPr>
                <w:rFonts w:ascii="宋体" w:hAnsi="宋体" w:eastAsia="宋体" w:cs="宋体"/>
                <w:sz w:val="18"/>
                <w:szCs w:val="18"/>
              </w:rPr>
              <w:t>3,042,054.56</w:t>
            </w:r>
          </w:p>
        </w:tc>
      </w:tr>
      <w:tr w14:paraId="35852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29CF1B">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46B1CDA9">
            <w:pPr>
              <w:spacing w:line="240" w:lineRule="exact"/>
              <w:jc w:val="right"/>
              <w:rPr>
                <w:rFonts w:ascii="宋体" w:hAnsi="宋体" w:eastAsia="宋体" w:cs="宋体"/>
                <w:sz w:val="18"/>
                <w:szCs w:val="18"/>
              </w:rPr>
            </w:pPr>
            <w:r>
              <w:rPr>
                <w:rFonts w:ascii="宋体" w:hAnsi="宋体" w:eastAsia="宋体" w:cs="宋体"/>
                <w:sz w:val="18"/>
                <w:szCs w:val="18"/>
              </w:rPr>
              <w:t>227,562,690.78</w:t>
            </w:r>
          </w:p>
        </w:tc>
        <w:tc>
          <w:tcPr>
            <w:tcW w:w="3213" w:type="dxa"/>
            <w:tcBorders>
              <w:top w:val="single" w:color="auto" w:sz="2" w:space="0"/>
              <w:left w:val="single" w:color="auto" w:sz="2" w:space="0"/>
              <w:bottom w:val="single" w:color="auto" w:sz="2" w:space="0"/>
              <w:right w:val="single" w:color="auto" w:sz="2" w:space="0"/>
            </w:tcBorders>
            <w:vAlign w:val="center"/>
          </w:tcPr>
          <w:p w14:paraId="21FEF3AC">
            <w:pPr>
              <w:spacing w:line="240" w:lineRule="exact"/>
              <w:jc w:val="right"/>
              <w:rPr>
                <w:rFonts w:ascii="宋体" w:hAnsi="宋体" w:eastAsia="宋体" w:cs="宋体"/>
                <w:sz w:val="18"/>
                <w:szCs w:val="18"/>
              </w:rPr>
            </w:pPr>
            <w:r>
              <w:rPr>
                <w:rFonts w:ascii="宋体" w:hAnsi="宋体" w:eastAsia="宋体" w:cs="宋体"/>
                <w:sz w:val="18"/>
                <w:szCs w:val="18"/>
              </w:rPr>
              <w:t>193,526,358.08</w:t>
            </w:r>
          </w:p>
        </w:tc>
      </w:tr>
      <w:tr w14:paraId="08994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6F612C">
            <w:pPr>
              <w:spacing w:before="40" w:after="40" w:line="240" w:lineRule="exac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55AB8127">
            <w:pPr>
              <w:spacing w:line="240" w:lineRule="exact"/>
              <w:jc w:val="right"/>
              <w:rPr>
                <w:rFonts w:ascii="宋体" w:hAnsi="宋体" w:eastAsia="宋体" w:cs="宋体"/>
                <w:sz w:val="18"/>
                <w:szCs w:val="18"/>
              </w:rPr>
            </w:pPr>
            <w:r>
              <w:rPr>
                <w:rFonts w:ascii="宋体" w:hAnsi="宋体" w:eastAsia="宋体" w:cs="宋体"/>
                <w:sz w:val="18"/>
                <w:szCs w:val="18"/>
              </w:rPr>
              <w:t>8,585,600,015.08</w:t>
            </w:r>
          </w:p>
        </w:tc>
        <w:tc>
          <w:tcPr>
            <w:tcW w:w="3213" w:type="dxa"/>
            <w:tcBorders>
              <w:top w:val="single" w:color="auto" w:sz="2" w:space="0"/>
              <w:left w:val="single" w:color="auto" w:sz="2" w:space="0"/>
              <w:bottom w:val="single" w:color="auto" w:sz="2" w:space="0"/>
              <w:right w:val="single" w:color="auto" w:sz="2" w:space="0"/>
            </w:tcBorders>
            <w:vAlign w:val="center"/>
          </w:tcPr>
          <w:p w14:paraId="34FE4DAE">
            <w:pPr>
              <w:spacing w:line="240" w:lineRule="exact"/>
              <w:jc w:val="right"/>
              <w:rPr>
                <w:rFonts w:ascii="宋体" w:hAnsi="宋体" w:eastAsia="宋体" w:cs="宋体"/>
                <w:sz w:val="18"/>
                <w:szCs w:val="18"/>
              </w:rPr>
            </w:pPr>
            <w:r>
              <w:rPr>
                <w:rFonts w:ascii="宋体" w:hAnsi="宋体" w:eastAsia="宋体" w:cs="宋体"/>
                <w:sz w:val="18"/>
                <w:szCs w:val="18"/>
              </w:rPr>
              <w:t>10,170,894,634.26</w:t>
            </w:r>
          </w:p>
        </w:tc>
      </w:tr>
      <w:tr w14:paraId="40523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A397A1">
            <w:pPr>
              <w:spacing w:before="40" w:after="40" w:line="240" w:lineRule="exac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01243E"/>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65AC4A"/>
        </w:tc>
      </w:tr>
      <w:tr w14:paraId="25F35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D586B3">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14:paraId="64B3F95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7126A3A">
            <w:pPr>
              <w:spacing w:line="240" w:lineRule="exact"/>
              <w:jc w:val="right"/>
              <w:rPr>
                <w:rFonts w:ascii="宋体" w:hAnsi="宋体" w:eastAsia="宋体" w:cs="宋体"/>
                <w:sz w:val="18"/>
                <w:szCs w:val="18"/>
              </w:rPr>
            </w:pPr>
          </w:p>
        </w:tc>
      </w:tr>
      <w:tr w14:paraId="626C4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35CF55">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66F87933">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C5D0BA7">
            <w:pPr>
              <w:spacing w:line="240" w:lineRule="exact"/>
              <w:jc w:val="right"/>
              <w:rPr>
                <w:rFonts w:ascii="宋体" w:hAnsi="宋体" w:eastAsia="宋体" w:cs="宋体"/>
                <w:sz w:val="18"/>
                <w:szCs w:val="18"/>
              </w:rPr>
            </w:pPr>
          </w:p>
        </w:tc>
      </w:tr>
      <w:tr w14:paraId="2A497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32DFC0">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36AFD76C">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10935A1">
            <w:pPr>
              <w:spacing w:line="240" w:lineRule="exact"/>
              <w:jc w:val="right"/>
              <w:rPr>
                <w:rFonts w:ascii="宋体" w:hAnsi="宋体" w:eastAsia="宋体" w:cs="宋体"/>
                <w:sz w:val="18"/>
                <w:szCs w:val="18"/>
              </w:rPr>
            </w:pPr>
          </w:p>
        </w:tc>
      </w:tr>
      <w:tr w14:paraId="564E0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5FAF16">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14:paraId="7839257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98C0776">
            <w:pPr>
              <w:spacing w:line="240" w:lineRule="exact"/>
              <w:jc w:val="right"/>
              <w:rPr>
                <w:rFonts w:ascii="宋体" w:hAnsi="宋体" w:eastAsia="宋体" w:cs="宋体"/>
                <w:sz w:val="18"/>
                <w:szCs w:val="18"/>
              </w:rPr>
            </w:pPr>
            <w:r>
              <w:rPr>
                <w:rFonts w:ascii="宋体" w:hAnsi="宋体" w:eastAsia="宋体" w:cs="宋体"/>
                <w:sz w:val="18"/>
                <w:szCs w:val="18"/>
              </w:rPr>
              <w:t>229,309.79</w:t>
            </w:r>
          </w:p>
        </w:tc>
      </w:tr>
      <w:tr w14:paraId="7B752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062C6E">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14:paraId="4CEFC431">
            <w:pPr>
              <w:spacing w:line="240" w:lineRule="exact"/>
              <w:jc w:val="right"/>
              <w:rPr>
                <w:rFonts w:ascii="宋体" w:hAnsi="宋体" w:eastAsia="宋体" w:cs="宋体"/>
                <w:sz w:val="18"/>
                <w:szCs w:val="18"/>
              </w:rPr>
            </w:pPr>
            <w:r>
              <w:rPr>
                <w:rFonts w:ascii="宋体" w:hAnsi="宋体" w:eastAsia="宋体" w:cs="宋体"/>
                <w:sz w:val="18"/>
                <w:szCs w:val="18"/>
              </w:rPr>
              <w:t>325,715,642.17</w:t>
            </w:r>
          </w:p>
        </w:tc>
        <w:tc>
          <w:tcPr>
            <w:tcW w:w="3213" w:type="dxa"/>
            <w:tcBorders>
              <w:top w:val="single" w:color="auto" w:sz="2" w:space="0"/>
              <w:left w:val="single" w:color="auto" w:sz="2" w:space="0"/>
              <w:bottom w:val="single" w:color="auto" w:sz="2" w:space="0"/>
              <w:right w:val="single" w:color="auto" w:sz="2" w:space="0"/>
            </w:tcBorders>
            <w:vAlign w:val="center"/>
          </w:tcPr>
          <w:p w14:paraId="4BBBF900">
            <w:pPr>
              <w:spacing w:line="240" w:lineRule="exact"/>
              <w:jc w:val="right"/>
              <w:rPr>
                <w:rFonts w:ascii="宋体" w:hAnsi="宋体" w:eastAsia="宋体" w:cs="宋体"/>
                <w:sz w:val="18"/>
                <w:szCs w:val="18"/>
              </w:rPr>
            </w:pPr>
            <w:r>
              <w:rPr>
                <w:rFonts w:ascii="宋体" w:hAnsi="宋体" w:eastAsia="宋体" w:cs="宋体"/>
                <w:sz w:val="18"/>
                <w:szCs w:val="18"/>
              </w:rPr>
              <w:t>331,632,535.71</w:t>
            </w:r>
          </w:p>
        </w:tc>
      </w:tr>
      <w:tr w14:paraId="7DE0D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FE9C2C">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14:paraId="1B1C2032">
            <w:pPr>
              <w:spacing w:line="240" w:lineRule="exact"/>
              <w:jc w:val="right"/>
              <w:rPr>
                <w:rFonts w:ascii="宋体" w:hAnsi="宋体" w:eastAsia="宋体" w:cs="宋体"/>
                <w:sz w:val="18"/>
                <w:szCs w:val="18"/>
              </w:rPr>
            </w:pPr>
            <w:r>
              <w:rPr>
                <w:rFonts w:ascii="宋体" w:hAnsi="宋体" w:eastAsia="宋体" w:cs="宋体"/>
                <w:sz w:val="18"/>
                <w:szCs w:val="18"/>
              </w:rPr>
              <w:t>117,518,016.55</w:t>
            </w:r>
          </w:p>
        </w:tc>
        <w:tc>
          <w:tcPr>
            <w:tcW w:w="3213" w:type="dxa"/>
            <w:tcBorders>
              <w:top w:val="single" w:color="auto" w:sz="2" w:space="0"/>
              <w:left w:val="single" w:color="auto" w:sz="2" w:space="0"/>
              <w:bottom w:val="single" w:color="auto" w:sz="2" w:space="0"/>
              <w:right w:val="single" w:color="auto" w:sz="2" w:space="0"/>
            </w:tcBorders>
            <w:vAlign w:val="center"/>
          </w:tcPr>
          <w:p w14:paraId="35E05B79">
            <w:pPr>
              <w:spacing w:line="240" w:lineRule="exact"/>
              <w:jc w:val="right"/>
              <w:rPr>
                <w:rFonts w:ascii="宋体" w:hAnsi="宋体" w:eastAsia="宋体" w:cs="宋体"/>
                <w:sz w:val="18"/>
                <w:szCs w:val="18"/>
              </w:rPr>
            </w:pPr>
            <w:r>
              <w:rPr>
                <w:rFonts w:ascii="宋体" w:hAnsi="宋体" w:eastAsia="宋体" w:cs="宋体"/>
                <w:sz w:val="18"/>
                <w:szCs w:val="18"/>
              </w:rPr>
              <w:t>81,709,147.94</w:t>
            </w:r>
          </w:p>
        </w:tc>
      </w:tr>
      <w:tr w14:paraId="088F6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52AC90">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71502F4F">
            <w:pPr>
              <w:spacing w:line="240" w:lineRule="exact"/>
              <w:jc w:val="right"/>
              <w:rPr>
                <w:rFonts w:ascii="宋体" w:hAnsi="宋体" w:eastAsia="宋体" w:cs="宋体"/>
                <w:sz w:val="18"/>
                <w:szCs w:val="18"/>
              </w:rPr>
            </w:pPr>
            <w:r>
              <w:rPr>
                <w:rFonts w:ascii="宋体" w:hAnsi="宋体" w:eastAsia="宋体" w:cs="宋体"/>
                <w:sz w:val="18"/>
                <w:szCs w:val="18"/>
              </w:rPr>
              <w:t>12,713,514.33</w:t>
            </w:r>
          </w:p>
        </w:tc>
        <w:tc>
          <w:tcPr>
            <w:tcW w:w="3213" w:type="dxa"/>
            <w:tcBorders>
              <w:top w:val="single" w:color="auto" w:sz="2" w:space="0"/>
              <w:left w:val="single" w:color="auto" w:sz="2" w:space="0"/>
              <w:bottom w:val="single" w:color="auto" w:sz="2" w:space="0"/>
              <w:right w:val="single" w:color="auto" w:sz="2" w:space="0"/>
            </w:tcBorders>
            <w:vAlign w:val="center"/>
          </w:tcPr>
          <w:p w14:paraId="016ECA13">
            <w:pPr>
              <w:spacing w:line="240" w:lineRule="exact"/>
              <w:jc w:val="right"/>
              <w:rPr>
                <w:rFonts w:ascii="宋体" w:hAnsi="宋体" w:eastAsia="宋体" w:cs="宋体"/>
                <w:sz w:val="18"/>
                <w:szCs w:val="18"/>
              </w:rPr>
            </w:pPr>
          </w:p>
        </w:tc>
      </w:tr>
      <w:tr w14:paraId="36574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B86950">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14:paraId="5EFC6708">
            <w:pPr>
              <w:spacing w:line="240" w:lineRule="exact"/>
              <w:jc w:val="right"/>
              <w:rPr>
                <w:rFonts w:ascii="宋体" w:hAnsi="宋体" w:eastAsia="宋体" w:cs="宋体"/>
                <w:sz w:val="18"/>
                <w:szCs w:val="18"/>
              </w:rPr>
            </w:pPr>
            <w:r>
              <w:rPr>
                <w:rFonts w:ascii="宋体" w:hAnsi="宋体" w:eastAsia="宋体" w:cs="宋体"/>
                <w:sz w:val="18"/>
                <w:szCs w:val="18"/>
              </w:rPr>
              <w:t>121,354,180.67</w:t>
            </w:r>
          </w:p>
        </w:tc>
        <w:tc>
          <w:tcPr>
            <w:tcW w:w="3213" w:type="dxa"/>
            <w:tcBorders>
              <w:top w:val="single" w:color="auto" w:sz="2" w:space="0"/>
              <w:left w:val="single" w:color="auto" w:sz="2" w:space="0"/>
              <w:bottom w:val="single" w:color="auto" w:sz="2" w:space="0"/>
              <w:right w:val="single" w:color="auto" w:sz="2" w:space="0"/>
            </w:tcBorders>
            <w:vAlign w:val="center"/>
          </w:tcPr>
          <w:p w14:paraId="01347B71">
            <w:pPr>
              <w:spacing w:line="240" w:lineRule="exact"/>
              <w:jc w:val="right"/>
              <w:rPr>
                <w:rFonts w:ascii="宋体" w:hAnsi="宋体" w:eastAsia="宋体" w:cs="宋体"/>
                <w:sz w:val="18"/>
                <w:szCs w:val="18"/>
              </w:rPr>
            </w:pPr>
            <w:r>
              <w:rPr>
                <w:rFonts w:ascii="宋体" w:hAnsi="宋体" w:eastAsia="宋体" w:cs="宋体"/>
                <w:sz w:val="18"/>
                <w:szCs w:val="18"/>
              </w:rPr>
              <w:t>134,209,836.72</w:t>
            </w:r>
          </w:p>
        </w:tc>
      </w:tr>
      <w:tr w14:paraId="5C095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67345D">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03288CFD">
            <w:pPr>
              <w:spacing w:line="240" w:lineRule="exact"/>
              <w:jc w:val="right"/>
              <w:rPr>
                <w:rFonts w:ascii="宋体" w:hAnsi="宋体" w:eastAsia="宋体" w:cs="宋体"/>
                <w:sz w:val="18"/>
                <w:szCs w:val="18"/>
              </w:rPr>
            </w:pPr>
            <w:r>
              <w:rPr>
                <w:rFonts w:ascii="宋体" w:hAnsi="宋体" w:eastAsia="宋体" w:cs="宋体"/>
                <w:sz w:val="18"/>
                <w:szCs w:val="18"/>
              </w:rPr>
              <w:t>4,574,230,800.35</w:t>
            </w:r>
          </w:p>
        </w:tc>
        <w:tc>
          <w:tcPr>
            <w:tcW w:w="3213" w:type="dxa"/>
            <w:tcBorders>
              <w:top w:val="single" w:color="auto" w:sz="2" w:space="0"/>
              <w:left w:val="single" w:color="auto" w:sz="2" w:space="0"/>
              <w:bottom w:val="single" w:color="auto" w:sz="2" w:space="0"/>
              <w:right w:val="single" w:color="auto" w:sz="2" w:space="0"/>
            </w:tcBorders>
            <w:vAlign w:val="center"/>
          </w:tcPr>
          <w:p w14:paraId="5426D061">
            <w:pPr>
              <w:spacing w:line="240" w:lineRule="exact"/>
              <w:jc w:val="right"/>
              <w:rPr>
                <w:rFonts w:ascii="宋体" w:hAnsi="宋体" w:eastAsia="宋体" w:cs="宋体"/>
                <w:sz w:val="18"/>
                <w:szCs w:val="18"/>
              </w:rPr>
            </w:pPr>
            <w:r>
              <w:rPr>
                <w:rFonts w:ascii="宋体" w:hAnsi="宋体" w:eastAsia="宋体" w:cs="宋体"/>
                <w:sz w:val="18"/>
                <w:szCs w:val="18"/>
              </w:rPr>
              <w:t>4,700,798,389.13</w:t>
            </w:r>
          </w:p>
        </w:tc>
      </w:tr>
      <w:tr w14:paraId="5F98B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9B6780">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14:paraId="6D1AEEEF">
            <w:pPr>
              <w:spacing w:line="240" w:lineRule="exact"/>
              <w:jc w:val="right"/>
              <w:rPr>
                <w:rFonts w:ascii="宋体" w:hAnsi="宋体" w:eastAsia="宋体" w:cs="宋体"/>
                <w:sz w:val="18"/>
                <w:szCs w:val="18"/>
              </w:rPr>
            </w:pPr>
            <w:r>
              <w:rPr>
                <w:rFonts w:ascii="宋体" w:hAnsi="宋体" w:eastAsia="宋体" w:cs="宋体"/>
                <w:sz w:val="18"/>
                <w:szCs w:val="18"/>
              </w:rPr>
              <w:t>575,238,580.47</w:t>
            </w:r>
          </w:p>
        </w:tc>
        <w:tc>
          <w:tcPr>
            <w:tcW w:w="3213" w:type="dxa"/>
            <w:tcBorders>
              <w:top w:val="single" w:color="auto" w:sz="2" w:space="0"/>
              <w:left w:val="single" w:color="auto" w:sz="2" w:space="0"/>
              <w:bottom w:val="single" w:color="auto" w:sz="2" w:space="0"/>
              <w:right w:val="single" w:color="auto" w:sz="2" w:space="0"/>
            </w:tcBorders>
            <w:vAlign w:val="center"/>
          </w:tcPr>
          <w:p w14:paraId="1D4FE7D4">
            <w:pPr>
              <w:spacing w:line="240" w:lineRule="exact"/>
              <w:jc w:val="right"/>
              <w:rPr>
                <w:rFonts w:ascii="宋体" w:hAnsi="宋体" w:eastAsia="宋体" w:cs="宋体"/>
                <w:sz w:val="18"/>
                <w:szCs w:val="18"/>
              </w:rPr>
            </w:pPr>
            <w:r>
              <w:rPr>
                <w:rFonts w:ascii="宋体" w:hAnsi="宋体" w:eastAsia="宋体" w:cs="宋体"/>
                <w:sz w:val="18"/>
                <w:szCs w:val="18"/>
              </w:rPr>
              <w:t>324,546,393.57</w:t>
            </w:r>
          </w:p>
        </w:tc>
      </w:tr>
      <w:tr w14:paraId="2FE96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F56CB0">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14:paraId="488B8B7E">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B01A6B0">
            <w:pPr>
              <w:spacing w:line="240" w:lineRule="exact"/>
              <w:jc w:val="right"/>
              <w:rPr>
                <w:rFonts w:ascii="宋体" w:hAnsi="宋体" w:eastAsia="宋体" w:cs="宋体"/>
                <w:sz w:val="18"/>
                <w:szCs w:val="18"/>
              </w:rPr>
            </w:pPr>
          </w:p>
        </w:tc>
      </w:tr>
      <w:tr w14:paraId="41EC8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349E9A">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14:paraId="7D810F1D">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0B6DE65">
            <w:pPr>
              <w:spacing w:line="240" w:lineRule="exact"/>
              <w:jc w:val="right"/>
              <w:rPr>
                <w:rFonts w:ascii="宋体" w:hAnsi="宋体" w:eastAsia="宋体" w:cs="宋体"/>
                <w:sz w:val="18"/>
                <w:szCs w:val="18"/>
              </w:rPr>
            </w:pPr>
          </w:p>
        </w:tc>
      </w:tr>
      <w:tr w14:paraId="6F6FA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8D37A3">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14:paraId="068515A7">
            <w:pPr>
              <w:spacing w:line="240" w:lineRule="exact"/>
              <w:jc w:val="right"/>
              <w:rPr>
                <w:rFonts w:ascii="宋体" w:hAnsi="宋体" w:eastAsia="宋体" w:cs="宋体"/>
                <w:sz w:val="18"/>
                <w:szCs w:val="18"/>
              </w:rPr>
            </w:pPr>
            <w:r>
              <w:rPr>
                <w:rFonts w:ascii="宋体" w:hAnsi="宋体" w:eastAsia="宋体" w:cs="宋体"/>
                <w:sz w:val="18"/>
                <w:szCs w:val="18"/>
              </w:rPr>
              <w:t>22,702,270.05</w:t>
            </w:r>
          </w:p>
        </w:tc>
        <w:tc>
          <w:tcPr>
            <w:tcW w:w="3213" w:type="dxa"/>
            <w:tcBorders>
              <w:top w:val="single" w:color="auto" w:sz="2" w:space="0"/>
              <w:left w:val="single" w:color="auto" w:sz="2" w:space="0"/>
              <w:bottom w:val="single" w:color="auto" w:sz="2" w:space="0"/>
              <w:right w:val="single" w:color="auto" w:sz="2" w:space="0"/>
            </w:tcBorders>
            <w:vAlign w:val="center"/>
          </w:tcPr>
          <w:p w14:paraId="0458BD7A">
            <w:pPr>
              <w:spacing w:line="240" w:lineRule="exact"/>
              <w:jc w:val="right"/>
              <w:rPr>
                <w:rFonts w:ascii="宋体" w:hAnsi="宋体" w:eastAsia="宋体" w:cs="宋体"/>
                <w:sz w:val="18"/>
                <w:szCs w:val="18"/>
              </w:rPr>
            </w:pPr>
            <w:r>
              <w:rPr>
                <w:rFonts w:ascii="宋体" w:hAnsi="宋体" w:eastAsia="宋体" w:cs="宋体"/>
                <w:sz w:val="18"/>
                <w:szCs w:val="18"/>
              </w:rPr>
              <w:t>29,160,426.37</w:t>
            </w:r>
          </w:p>
        </w:tc>
      </w:tr>
      <w:tr w14:paraId="5E248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840E0C">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14:paraId="090DC9FD">
            <w:pPr>
              <w:spacing w:line="240" w:lineRule="exact"/>
              <w:jc w:val="right"/>
              <w:rPr>
                <w:rFonts w:ascii="宋体" w:hAnsi="宋体" w:eastAsia="宋体" w:cs="宋体"/>
                <w:sz w:val="18"/>
                <w:szCs w:val="18"/>
              </w:rPr>
            </w:pPr>
            <w:r>
              <w:rPr>
                <w:rFonts w:ascii="宋体" w:hAnsi="宋体" w:eastAsia="宋体" w:cs="宋体"/>
                <w:sz w:val="18"/>
                <w:szCs w:val="18"/>
              </w:rPr>
              <w:t>805,725,737.77</w:t>
            </w:r>
          </w:p>
        </w:tc>
        <w:tc>
          <w:tcPr>
            <w:tcW w:w="3213" w:type="dxa"/>
            <w:tcBorders>
              <w:top w:val="single" w:color="auto" w:sz="2" w:space="0"/>
              <w:left w:val="single" w:color="auto" w:sz="2" w:space="0"/>
              <w:bottom w:val="single" w:color="auto" w:sz="2" w:space="0"/>
              <w:right w:val="single" w:color="auto" w:sz="2" w:space="0"/>
            </w:tcBorders>
            <w:vAlign w:val="center"/>
          </w:tcPr>
          <w:p w14:paraId="68BCC38E">
            <w:pPr>
              <w:spacing w:line="240" w:lineRule="exact"/>
              <w:jc w:val="right"/>
              <w:rPr>
                <w:rFonts w:ascii="宋体" w:hAnsi="宋体" w:eastAsia="宋体" w:cs="宋体"/>
                <w:sz w:val="18"/>
                <w:szCs w:val="18"/>
              </w:rPr>
            </w:pPr>
            <w:r>
              <w:rPr>
                <w:rFonts w:ascii="宋体" w:hAnsi="宋体" w:eastAsia="宋体" w:cs="宋体"/>
                <w:sz w:val="18"/>
                <w:szCs w:val="18"/>
              </w:rPr>
              <w:t>878,643,973.35</w:t>
            </w:r>
          </w:p>
        </w:tc>
      </w:tr>
      <w:tr w14:paraId="125B2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8C88D3">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1C67785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1E7D2EA">
            <w:pPr>
              <w:spacing w:line="240" w:lineRule="exact"/>
              <w:jc w:val="right"/>
              <w:rPr>
                <w:rFonts w:ascii="宋体" w:hAnsi="宋体" w:eastAsia="宋体" w:cs="宋体"/>
                <w:sz w:val="18"/>
                <w:szCs w:val="18"/>
              </w:rPr>
            </w:pPr>
          </w:p>
        </w:tc>
      </w:tr>
      <w:tr w14:paraId="6CF9D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47F6A4">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14:paraId="76007E0D">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993C854">
            <w:pPr>
              <w:spacing w:line="240" w:lineRule="exact"/>
              <w:jc w:val="right"/>
              <w:rPr>
                <w:rFonts w:ascii="宋体" w:hAnsi="宋体" w:eastAsia="宋体" w:cs="宋体"/>
                <w:sz w:val="18"/>
                <w:szCs w:val="18"/>
              </w:rPr>
            </w:pPr>
          </w:p>
        </w:tc>
      </w:tr>
      <w:tr w14:paraId="17538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616153">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2E8D7A26">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1B0BFCE">
            <w:pPr>
              <w:spacing w:line="240" w:lineRule="exact"/>
              <w:jc w:val="right"/>
              <w:rPr>
                <w:rFonts w:ascii="宋体" w:hAnsi="宋体" w:eastAsia="宋体" w:cs="宋体"/>
                <w:sz w:val="18"/>
                <w:szCs w:val="18"/>
              </w:rPr>
            </w:pPr>
          </w:p>
        </w:tc>
      </w:tr>
      <w:tr w14:paraId="36EFB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B9847A">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14:paraId="68111A48">
            <w:pPr>
              <w:spacing w:line="240" w:lineRule="exact"/>
              <w:jc w:val="right"/>
              <w:rPr>
                <w:rFonts w:ascii="宋体" w:hAnsi="宋体" w:eastAsia="宋体" w:cs="宋体"/>
                <w:sz w:val="18"/>
                <w:szCs w:val="18"/>
              </w:rPr>
            </w:pPr>
            <w:r>
              <w:rPr>
                <w:rFonts w:ascii="宋体" w:hAnsi="宋体" w:eastAsia="宋体" w:cs="宋体"/>
                <w:sz w:val="18"/>
                <w:szCs w:val="18"/>
              </w:rPr>
              <w:t>131,930,528.33</w:t>
            </w:r>
          </w:p>
        </w:tc>
        <w:tc>
          <w:tcPr>
            <w:tcW w:w="3213" w:type="dxa"/>
            <w:tcBorders>
              <w:top w:val="single" w:color="auto" w:sz="2" w:space="0"/>
              <w:left w:val="single" w:color="auto" w:sz="2" w:space="0"/>
              <w:bottom w:val="single" w:color="auto" w:sz="2" w:space="0"/>
              <w:right w:val="single" w:color="auto" w:sz="2" w:space="0"/>
            </w:tcBorders>
            <w:vAlign w:val="center"/>
          </w:tcPr>
          <w:p w14:paraId="3540224F">
            <w:pPr>
              <w:spacing w:line="240" w:lineRule="exact"/>
              <w:jc w:val="right"/>
              <w:rPr>
                <w:rFonts w:ascii="宋体" w:hAnsi="宋体" w:eastAsia="宋体" w:cs="宋体"/>
                <w:sz w:val="18"/>
                <w:szCs w:val="18"/>
              </w:rPr>
            </w:pPr>
            <w:r>
              <w:rPr>
                <w:rFonts w:ascii="宋体" w:hAnsi="宋体" w:eastAsia="宋体" w:cs="宋体"/>
                <w:sz w:val="18"/>
                <w:szCs w:val="18"/>
              </w:rPr>
              <w:t>131,930,528.33</w:t>
            </w:r>
          </w:p>
        </w:tc>
      </w:tr>
      <w:tr w14:paraId="633ED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084AD7">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14:paraId="16A758EB">
            <w:pPr>
              <w:spacing w:line="240" w:lineRule="exact"/>
              <w:jc w:val="right"/>
              <w:rPr>
                <w:rFonts w:ascii="宋体" w:hAnsi="宋体" w:eastAsia="宋体" w:cs="宋体"/>
                <w:sz w:val="18"/>
                <w:szCs w:val="18"/>
              </w:rPr>
            </w:pPr>
            <w:r>
              <w:rPr>
                <w:rFonts w:ascii="宋体" w:hAnsi="宋体" w:eastAsia="宋体" w:cs="宋体"/>
                <w:sz w:val="18"/>
                <w:szCs w:val="18"/>
              </w:rPr>
              <w:t>88,986,812.47</w:t>
            </w:r>
          </w:p>
        </w:tc>
        <w:tc>
          <w:tcPr>
            <w:tcW w:w="3213" w:type="dxa"/>
            <w:tcBorders>
              <w:top w:val="single" w:color="auto" w:sz="2" w:space="0"/>
              <w:left w:val="single" w:color="auto" w:sz="2" w:space="0"/>
              <w:bottom w:val="single" w:color="auto" w:sz="2" w:space="0"/>
              <w:right w:val="single" w:color="auto" w:sz="2" w:space="0"/>
            </w:tcBorders>
            <w:vAlign w:val="center"/>
          </w:tcPr>
          <w:p w14:paraId="7D274DA4">
            <w:pPr>
              <w:spacing w:line="240" w:lineRule="exact"/>
              <w:jc w:val="right"/>
              <w:rPr>
                <w:rFonts w:ascii="宋体" w:hAnsi="宋体" w:eastAsia="宋体" w:cs="宋体"/>
                <w:sz w:val="18"/>
                <w:szCs w:val="18"/>
              </w:rPr>
            </w:pPr>
            <w:r>
              <w:rPr>
                <w:rFonts w:ascii="宋体" w:hAnsi="宋体" w:eastAsia="宋体" w:cs="宋体"/>
                <w:sz w:val="18"/>
                <w:szCs w:val="18"/>
              </w:rPr>
              <w:t>11,621,038.46</w:t>
            </w:r>
          </w:p>
        </w:tc>
      </w:tr>
      <w:tr w14:paraId="38893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E30920">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14:paraId="56EDFBBC">
            <w:pPr>
              <w:spacing w:line="240" w:lineRule="exact"/>
              <w:jc w:val="right"/>
              <w:rPr>
                <w:rFonts w:ascii="宋体" w:hAnsi="宋体" w:eastAsia="宋体" w:cs="宋体"/>
                <w:sz w:val="18"/>
                <w:szCs w:val="18"/>
              </w:rPr>
            </w:pPr>
            <w:r>
              <w:rPr>
                <w:rFonts w:ascii="宋体" w:hAnsi="宋体" w:eastAsia="宋体" w:cs="宋体"/>
                <w:sz w:val="18"/>
                <w:szCs w:val="18"/>
              </w:rPr>
              <w:t>214,539,436.52</w:t>
            </w:r>
          </w:p>
        </w:tc>
        <w:tc>
          <w:tcPr>
            <w:tcW w:w="3213" w:type="dxa"/>
            <w:tcBorders>
              <w:top w:val="single" w:color="auto" w:sz="2" w:space="0"/>
              <w:left w:val="single" w:color="auto" w:sz="2" w:space="0"/>
              <w:bottom w:val="single" w:color="auto" w:sz="2" w:space="0"/>
              <w:right w:val="single" w:color="auto" w:sz="2" w:space="0"/>
            </w:tcBorders>
            <w:vAlign w:val="center"/>
          </w:tcPr>
          <w:p w14:paraId="3F60054E">
            <w:pPr>
              <w:spacing w:line="240" w:lineRule="exact"/>
              <w:jc w:val="right"/>
              <w:rPr>
                <w:rFonts w:ascii="宋体" w:hAnsi="宋体" w:eastAsia="宋体" w:cs="宋体"/>
                <w:sz w:val="18"/>
                <w:szCs w:val="18"/>
              </w:rPr>
            </w:pPr>
            <w:r>
              <w:rPr>
                <w:rFonts w:ascii="宋体" w:hAnsi="宋体" w:eastAsia="宋体" w:cs="宋体"/>
                <w:sz w:val="18"/>
                <w:szCs w:val="18"/>
              </w:rPr>
              <w:t>213,210,116.57</w:t>
            </w:r>
          </w:p>
        </w:tc>
      </w:tr>
      <w:tr w14:paraId="70607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B8D603">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1668BC71">
            <w:pPr>
              <w:spacing w:line="240" w:lineRule="exact"/>
              <w:jc w:val="right"/>
              <w:rPr>
                <w:rFonts w:ascii="宋体" w:hAnsi="宋体" w:eastAsia="宋体" w:cs="宋体"/>
                <w:sz w:val="18"/>
                <w:szCs w:val="18"/>
              </w:rPr>
            </w:pPr>
            <w:r>
              <w:rPr>
                <w:rFonts w:ascii="宋体" w:hAnsi="宋体" w:eastAsia="宋体" w:cs="宋体"/>
                <w:sz w:val="18"/>
                <w:szCs w:val="18"/>
              </w:rPr>
              <w:t>167,294,211.76</w:t>
            </w:r>
          </w:p>
        </w:tc>
        <w:tc>
          <w:tcPr>
            <w:tcW w:w="3213" w:type="dxa"/>
            <w:tcBorders>
              <w:top w:val="single" w:color="auto" w:sz="2" w:space="0"/>
              <w:left w:val="single" w:color="auto" w:sz="2" w:space="0"/>
              <w:bottom w:val="single" w:color="auto" w:sz="2" w:space="0"/>
              <w:right w:val="single" w:color="auto" w:sz="2" w:space="0"/>
            </w:tcBorders>
            <w:vAlign w:val="center"/>
          </w:tcPr>
          <w:p w14:paraId="00ECC66C">
            <w:pPr>
              <w:spacing w:line="240" w:lineRule="exact"/>
              <w:jc w:val="right"/>
              <w:rPr>
                <w:rFonts w:ascii="宋体" w:hAnsi="宋体" w:eastAsia="宋体" w:cs="宋体"/>
                <w:sz w:val="18"/>
                <w:szCs w:val="18"/>
              </w:rPr>
            </w:pPr>
            <w:r>
              <w:rPr>
                <w:rFonts w:ascii="宋体" w:hAnsi="宋体" w:eastAsia="宋体" w:cs="宋体"/>
                <w:sz w:val="18"/>
                <w:szCs w:val="18"/>
              </w:rPr>
              <w:t>170,652,289.73</w:t>
            </w:r>
          </w:p>
        </w:tc>
      </w:tr>
      <w:tr w14:paraId="207D1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F18C6D">
            <w:pPr>
              <w:spacing w:before="40" w:after="40" w:line="240" w:lineRule="exac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0C93EBC0">
            <w:pPr>
              <w:spacing w:line="240" w:lineRule="exact"/>
              <w:jc w:val="right"/>
              <w:rPr>
                <w:rFonts w:ascii="宋体" w:hAnsi="宋体" w:eastAsia="宋体" w:cs="宋体"/>
                <w:sz w:val="18"/>
                <w:szCs w:val="18"/>
              </w:rPr>
            </w:pPr>
            <w:r>
              <w:rPr>
                <w:rFonts w:ascii="宋体" w:hAnsi="宋体" w:eastAsia="宋体" w:cs="宋体"/>
                <w:sz w:val="18"/>
                <w:szCs w:val="18"/>
              </w:rPr>
              <w:t>7,157,949,731.44</w:t>
            </w:r>
          </w:p>
        </w:tc>
        <w:tc>
          <w:tcPr>
            <w:tcW w:w="3213" w:type="dxa"/>
            <w:tcBorders>
              <w:top w:val="single" w:color="auto" w:sz="2" w:space="0"/>
              <w:left w:val="single" w:color="auto" w:sz="2" w:space="0"/>
              <w:bottom w:val="single" w:color="auto" w:sz="2" w:space="0"/>
              <w:right w:val="single" w:color="auto" w:sz="2" w:space="0"/>
            </w:tcBorders>
            <w:vAlign w:val="center"/>
          </w:tcPr>
          <w:p w14:paraId="627A33FA">
            <w:pPr>
              <w:spacing w:line="240" w:lineRule="exact"/>
              <w:jc w:val="right"/>
              <w:rPr>
                <w:rFonts w:ascii="宋体" w:hAnsi="宋体" w:eastAsia="宋体" w:cs="宋体"/>
                <w:sz w:val="18"/>
                <w:szCs w:val="18"/>
              </w:rPr>
            </w:pPr>
            <w:r>
              <w:rPr>
                <w:rFonts w:ascii="宋体" w:hAnsi="宋体" w:eastAsia="宋体" w:cs="宋体"/>
                <w:sz w:val="18"/>
                <w:szCs w:val="18"/>
              </w:rPr>
              <w:t>7,008,343,985.67</w:t>
            </w:r>
          </w:p>
        </w:tc>
      </w:tr>
      <w:tr w14:paraId="6FA04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5CE62C">
            <w:pPr>
              <w:spacing w:before="40" w:after="40" w:line="240" w:lineRule="exac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14:paraId="28325FDA">
            <w:pPr>
              <w:spacing w:line="240" w:lineRule="exact"/>
              <w:jc w:val="right"/>
              <w:rPr>
                <w:rFonts w:ascii="宋体" w:hAnsi="宋体" w:eastAsia="宋体" w:cs="宋体"/>
                <w:sz w:val="18"/>
                <w:szCs w:val="18"/>
              </w:rPr>
            </w:pPr>
            <w:r>
              <w:rPr>
                <w:rFonts w:ascii="宋体" w:hAnsi="宋体" w:eastAsia="宋体" w:cs="宋体"/>
                <w:sz w:val="18"/>
                <w:szCs w:val="18"/>
              </w:rPr>
              <w:t>15,743,549,746.52</w:t>
            </w:r>
          </w:p>
        </w:tc>
        <w:tc>
          <w:tcPr>
            <w:tcW w:w="3213" w:type="dxa"/>
            <w:tcBorders>
              <w:top w:val="single" w:color="auto" w:sz="2" w:space="0"/>
              <w:left w:val="single" w:color="auto" w:sz="2" w:space="0"/>
              <w:bottom w:val="single" w:color="auto" w:sz="2" w:space="0"/>
              <w:right w:val="single" w:color="auto" w:sz="2" w:space="0"/>
            </w:tcBorders>
            <w:vAlign w:val="center"/>
          </w:tcPr>
          <w:p w14:paraId="6A56DA92">
            <w:pPr>
              <w:spacing w:line="240" w:lineRule="exact"/>
              <w:jc w:val="right"/>
              <w:rPr>
                <w:rFonts w:ascii="宋体" w:hAnsi="宋体" w:eastAsia="宋体" w:cs="宋体"/>
                <w:sz w:val="18"/>
                <w:szCs w:val="18"/>
              </w:rPr>
            </w:pPr>
            <w:r>
              <w:rPr>
                <w:rFonts w:ascii="宋体" w:hAnsi="宋体" w:eastAsia="宋体" w:cs="宋体"/>
                <w:sz w:val="18"/>
                <w:szCs w:val="18"/>
              </w:rPr>
              <w:t>17,179,238,619.93</w:t>
            </w:r>
          </w:p>
        </w:tc>
      </w:tr>
      <w:tr w14:paraId="47D81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C97C5A">
            <w:pPr>
              <w:spacing w:before="40" w:after="40" w:line="240" w:lineRule="exac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AB6646"/>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17FB58"/>
        </w:tc>
      </w:tr>
      <w:tr w14:paraId="00CF1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6BABC2">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14:paraId="0EEB5160">
            <w:pPr>
              <w:spacing w:line="240" w:lineRule="exact"/>
              <w:jc w:val="right"/>
              <w:rPr>
                <w:rFonts w:ascii="宋体" w:hAnsi="宋体" w:eastAsia="宋体" w:cs="宋体"/>
                <w:sz w:val="18"/>
                <w:szCs w:val="18"/>
              </w:rPr>
            </w:pPr>
            <w:r>
              <w:rPr>
                <w:rFonts w:ascii="宋体" w:hAnsi="宋体" w:eastAsia="宋体" w:cs="宋体"/>
                <w:sz w:val="18"/>
                <w:szCs w:val="18"/>
              </w:rPr>
              <w:t>6,117,290,814.06</w:t>
            </w:r>
          </w:p>
        </w:tc>
        <w:tc>
          <w:tcPr>
            <w:tcW w:w="3213" w:type="dxa"/>
            <w:tcBorders>
              <w:top w:val="single" w:color="auto" w:sz="2" w:space="0"/>
              <w:left w:val="single" w:color="auto" w:sz="2" w:space="0"/>
              <w:bottom w:val="single" w:color="auto" w:sz="2" w:space="0"/>
              <w:right w:val="single" w:color="auto" w:sz="2" w:space="0"/>
            </w:tcBorders>
            <w:vAlign w:val="center"/>
          </w:tcPr>
          <w:p w14:paraId="06F9FC6C">
            <w:pPr>
              <w:spacing w:line="240" w:lineRule="exact"/>
              <w:jc w:val="right"/>
              <w:rPr>
                <w:rFonts w:ascii="宋体" w:hAnsi="宋体" w:eastAsia="宋体" w:cs="宋体"/>
                <w:sz w:val="18"/>
                <w:szCs w:val="18"/>
              </w:rPr>
            </w:pPr>
            <w:r>
              <w:rPr>
                <w:rFonts w:ascii="宋体" w:hAnsi="宋体" w:eastAsia="宋体" w:cs="宋体"/>
                <w:sz w:val="18"/>
                <w:szCs w:val="18"/>
              </w:rPr>
              <w:t>7,771,483,075.58</w:t>
            </w:r>
          </w:p>
        </w:tc>
      </w:tr>
      <w:tr w14:paraId="61F5B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C976CB">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14:paraId="48176CA8">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070C7CD">
            <w:pPr>
              <w:spacing w:line="240" w:lineRule="exact"/>
              <w:jc w:val="right"/>
              <w:rPr>
                <w:rFonts w:ascii="宋体" w:hAnsi="宋体" w:eastAsia="宋体" w:cs="宋体"/>
                <w:sz w:val="18"/>
                <w:szCs w:val="18"/>
              </w:rPr>
            </w:pPr>
          </w:p>
        </w:tc>
      </w:tr>
      <w:tr w14:paraId="3068F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531A5F">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14:paraId="2FABB789">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4D87B4B">
            <w:pPr>
              <w:spacing w:line="240" w:lineRule="exact"/>
              <w:jc w:val="right"/>
              <w:rPr>
                <w:rFonts w:ascii="宋体" w:hAnsi="宋体" w:eastAsia="宋体" w:cs="宋体"/>
                <w:sz w:val="18"/>
                <w:szCs w:val="18"/>
              </w:rPr>
            </w:pPr>
          </w:p>
        </w:tc>
      </w:tr>
      <w:tr w14:paraId="2B225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A58878">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3A32C196">
            <w:pPr>
              <w:spacing w:line="240" w:lineRule="exact"/>
              <w:jc w:val="right"/>
              <w:rPr>
                <w:rFonts w:ascii="宋体" w:hAnsi="宋体" w:eastAsia="宋体" w:cs="宋体"/>
                <w:sz w:val="18"/>
                <w:szCs w:val="18"/>
              </w:rPr>
            </w:pPr>
            <w:r>
              <w:rPr>
                <w:rFonts w:ascii="宋体" w:hAnsi="宋体" w:eastAsia="宋体" w:cs="宋体"/>
                <w:sz w:val="18"/>
                <w:szCs w:val="18"/>
              </w:rPr>
              <w:t>6,428,047.30</w:t>
            </w:r>
          </w:p>
        </w:tc>
        <w:tc>
          <w:tcPr>
            <w:tcW w:w="3213" w:type="dxa"/>
            <w:tcBorders>
              <w:top w:val="single" w:color="auto" w:sz="2" w:space="0"/>
              <w:left w:val="single" w:color="auto" w:sz="2" w:space="0"/>
              <w:bottom w:val="single" w:color="auto" w:sz="2" w:space="0"/>
              <w:right w:val="single" w:color="auto" w:sz="2" w:space="0"/>
            </w:tcBorders>
            <w:vAlign w:val="center"/>
          </w:tcPr>
          <w:p w14:paraId="7CCD8E90">
            <w:pPr>
              <w:spacing w:line="240" w:lineRule="exact"/>
              <w:jc w:val="right"/>
              <w:rPr>
                <w:rFonts w:ascii="宋体" w:hAnsi="宋体" w:eastAsia="宋体" w:cs="宋体"/>
                <w:sz w:val="18"/>
                <w:szCs w:val="18"/>
              </w:rPr>
            </w:pPr>
            <w:r>
              <w:rPr>
                <w:rFonts w:ascii="宋体" w:hAnsi="宋体" w:eastAsia="宋体" w:cs="宋体"/>
                <w:sz w:val="18"/>
                <w:szCs w:val="18"/>
              </w:rPr>
              <w:t>199,494.26</w:t>
            </w:r>
          </w:p>
        </w:tc>
      </w:tr>
      <w:tr w14:paraId="21A10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10C3AF">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4EF325D9">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D7B8725">
            <w:pPr>
              <w:spacing w:line="240" w:lineRule="exact"/>
              <w:jc w:val="right"/>
              <w:rPr>
                <w:rFonts w:ascii="宋体" w:hAnsi="宋体" w:eastAsia="宋体" w:cs="宋体"/>
                <w:sz w:val="18"/>
                <w:szCs w:val="18"/>
              </w:rPr>
            </w:pPr>
          </w:p>
        </w:tc>
      </w:tr>
      <w:tr w14:paraId="7A047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240226">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14:paraId="700F8242">
            <w:pPr>
              <w:spacing w:line="240" w:lineRule="exact"/>
              <w:jc w:val="right"/>
              <w:rPr>
                <w:rFonts w:ascii="宋体" w:hAnsi="宋体" w:eastAsia="宋体" w:cs="宋体"/>
                <w:sz w:val="18"/>
                <w:szCs w:val="18"/>
              </w:rPr>
            </w:pPr>
            <w:r>
              <w:rPr>
                <w:rFonts w:ascii="宋体" w:hAnsi="宋体" w:eastAsia="宋体" w:cs="宋体"/>
                <w:sz w:val="18"/>
                <w:szCs w:val="18"/>
              </w:rPr>
              <w:t>163,941,811.59</w:t>
            </w:r>
          </w:p>
        </w:tc>
        <w:tc>
          <w:tcPr>
            <w:tcW w:w="3213" w:type="dxa"/>
            <w:tcBorders>
              <w:top w:val="single" w:color="auto" w:sz="2" w:space="0"/>
              <w:left w:val="single" w:color="auto" w:sz="2" w:space="0"/>
              <w:bottom w:val="single" w:color="auto" w:sz="2" w:space="0"/>
              <w:right w:val="single" w:color="auto" w:sz="2" w:space="0"/>
            </w:tcBorders>
            <w:vAlign w:val="center"/>
          </w:tcPr>
          <w:p w14:paraId="1CBE6A91">
            <w:pPr>
              <w:spacing w:line="240" w:lineRule="exact"/>
              <w:jc w:val="right"/>
              <w:rPr>
                <w:rFonts w:ascii="宋体" w:hAnsi="宋体" w:eastAsia="宋体" w:cs="宋体"/>
                <w:sz w:val="18"/>
                <w:szCs w:val="18"/>
              </w:rPr>
            </w:pPr>
            <w:r>
              <w:rPr>
                <w:rFonts w:ascii="宋体" w:hAnsi="宋体" w:eastAsia="宋体" w:cs="宋体"/>
                <w:sz w:val="18"/>
                <w:szCs w:val="18"/>
              </w:rPr>
              <w:t>66,703,857.91</w:t>
            </w:r>
          </w:p>
        </w:tc>
      </w:tr>
      <w:tr w14:paraId="4E3FA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1BF8B3">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14:paraId="65FF169C">
            <w:pPr>
              <w:spacing w:line="240" w:lineRule="exact"/>
              <w:jc w:val="right"/>
              <w:rPr>
                <w:rFonts w:ascii="宋体" w:hAnsi="宋体" w:eastAsia="宋体" w:cs="宋体"/>
                <w:sz w:val="18"/>
                <w:szCs w:val="18"/>
              </w:rPr>
            </w:pPr>
            <w:r>
              <w:rPr>
                <w:rFonts w:ascii="宋体" w:hAnsi="宋体" w:eastAsia="宋体" w:cs="宋体"/>
                <w:sz w:val="18"/>
                <w:szCs w:val="18"/>
              </w:rPr>
              <w:t>1,080,931,196.22</w:t>
            </w:r>
          </w:p>
        </w:tc>
        <w:tc>
          <w:tcPr>
            <w:tcW w:w="3213" w:type="dxa"/>
            <w:tcBorders>
              <w:top w:val="single" w:color="auto" w:sz="2" w:space="0"/>
              <w:left w:val="single" w:color="auto" w:sz="2" w:space="0"/>
              <w:bottom w:val="single" w:color="auto" w:sz="2" w:space="0"/>
              <w:right w:val="single" w:color="auto" w:sz="2" w:space="0"/>
            </w:tcBorders>
            <w:vAlign w:val="center"/>
          </w:tcPr>
          <w:p w14:paraId="355ECCDA">
            <w:pPr>
              <w:spacing w:line="240" w:lineRule="exact"/>
              <w:jc w:val="right"/>
              <w:rPr>
                <w:rFonts w:ascii="宋体" w:hAnsi="宋体" w:eastAsia="宋体" w:cs="宋体"/>
                <w:sz w:val="18"/>
                <w:szCs w:val="18"/>
              </w:rPr>
            </w:pPr>
            <w:r>
              <w:rPr>
                <w:rFonts w:ascii="宋体" w:hAnsi="宋体" w:eastAsia="宋体" w:cs="宋体"/>
                <w:sz w:val="18"/>
                <w:szCs w:val="18"/>
              </w:rPr>
              <w:t>878,825,537.78</w:t>
            </w:r>
          </w:p>
        </w:tc>
      </w:tr>
      <w:tr w14:paraId="7CAA5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879906">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14:paraId="379A4B3C">
            <w:pPr>
              <w:spacing w:line="240" w:lineRule="exact"/>
              <w:jc w:val="right"/>
              <w:rPr>
                <w:rFonts w:ascii="宋体" w:hAnsi="宋体" w:eastAsia="宋体" w:cs="宋体"/>
                <w:sz w:val="18"/>
                <w:szCs w:val="18"/>
              </w:rPr>
            </w:pPr>
            <w:r>
              <w:rPr>
                <w:rFonts w:ascii="宋体" w:hAnsi="宋体" w:eastAsia="宋体" w:cs="宋体"/>
                <w:sz w:val="18"/>
                <w:szCs w:val="18"/>
              </w:rPr>
              <w:t>8,722,679.16</w:t>
            </w:r>
          </w:p>
        </w:tc>
        <w:tc>
          <w:tcPr>
            <w:tcW w:w="3213" w:type="dxa"/>
            <w:tcBorders>
              <w:top w:val="single" w:color="auto" w:sz="2" w:space="0"/>
              <w:left w:val="single" w:color="auto" w:sz="2" w:space="0"/>
              <w:bottom w:val="single" w:color="auto" w:sz="2" w:space="0"/>
              <w:right w:val="single" w:color="auto" w:sz="2" w:space="0"/>
            </w:tcBorders>
            <w:vAlign w:val="center"/>
          </w:tcPr>
          <w:p w14:paraId="091D8AB3">
            <w:pPr>
              <w:spacing w:line="240" w:lineRule="exact"/>
              <w:jc w:val="right"/>
              <w:rPr>
                <w:rFonts w:ascii="宋体" w:hAnsi="宋体" w:eastAsia="宋体" w:cs="宋体"/>
                <w:sz w:val="18"/>
                <w:szCs w:val="18"/>
              </w:rPr>
            </w:pPr>
            <w:r>
              <w:rPr>
                <w:rFonts w:ascii="宋体" w:hAnsi="宋体" w:eastAsia="宋体" w:cs="宋体"/>
                <w:sz w:val="18"/>
                <w:szCs w:val="18"/>
              </w:rPr>
              <w:t>7,589,549.18</w:t>
            </w:r>
          </w:p>
        </w:tc>
      </w:tr>
      <w:tr w14:paraId="6824F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83933D">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14:paraId="76BE9AF2">
            <w:pPr>
              <w:spacing w:line="240" w:lineRule="exact"/>
              <w:jc w:val="right"/>
              <w:rPr>
                <w:rFonts w:ascii="宋体" w:hAnsi="宋体" w:eastAsia="宋体" w:cs="宋体"/>
                <w:sz w:val="18"/>
                <w:szCs w:val="18"/>
              </w:rPr>
            </w:pPr>
            <w:r>
              <w:rPr>
                <w:rFonts w:ascii="宋体" w:hAnsi="宋体" w:eastAsia="宋体" w:cs="宋体"/>
                <w:sz w:val="18"/>
                <w:szCs w:val="18"/>
              </w:rPr>
              <w:t>265,178,053.59</w:t>
            </w:r>
          </w:p>
        </w:tc>
        <w:tc>
          <w:tcPr>
            <w:tcW w:w="3213" w:type="dxa"/>
            <w:tcBorders>
              <w:top w:val="single" w:color="auto" w:sz="2" w:space="0"/>
              <w:left w:val="single" w:color="auto" w:sz="2" w:space="0"/>
              <w:bottom w:val="single" w:color="auto" w:sz="2" w:space="0"/>
              <w:right w:val="single" w:color="auto" w:sz="2" w:space="0"/>
            </w:tcBorders>
            <w:vAlign w:val="center"/>
          </w:tcPr>
          <w:p w14:paraId="52111AA2">
            <w:pPr>
              <w:spacing w:line="240" w:lineRule="exact"/>
              <w:jc w:val="right"/>
              <w:rPr>
                <w:rFonts w:ascii="宋体" w:hAnsi="宋体" w:eastAsia="宋体" w:cs="宋体"/>
                <w:sz w:val="18"/>
                <w:szCs w:val="18"/>
              </w:rPr>
            </w:pPr>
            <w:r>
              <w:rPr>
                <w:rFonts w:ascii="宋体" w:hAnsi="宋体" w:eastAsia="宋体" w:cs="宋体"/>
                <w:sz w:val="18"/>
                <w:szCs w:val="18"/>
              </w:rPr>
              <w:t>557,556,525.74</w:t>
            </w:r>
          </w:p>
        </w:tc>
      </w:tr>
      <w:tr w14:paraId="40FE3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CF008E">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14:paraId="00E3FD58">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A066125">
            <w:pPr>
              <w:spacing w:line="240" w:lineRule="exact"/>
              <w:jc w:val="right"/>
              <w:rPr>
                <w:rFonts w:ascii="宋体" w:hAnsi="宋体" w:eastAsia="宋体" w:cs="宋体"/>
                <w:sz w:val="18"/>
                <w:szCs w:val="18"/>
              </w:rPr>
            </w:pPr>
          </w:p>
        </w:tc>
      </w:tr>
      <w:tr w14:paraId="30D61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F2EF59">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14:paraId="7167F96D">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DBB61BB">
            <w:pPr>
              <w:spacing w:line="240" w:lineRule="exact"/>
              <w:jc w:val="right"/>
              <w:rPr>
                <w:rFonts w:ascii="宋体" w:hAnsi="宋体" w:eastAsia="宋体" w:cs="宋体"/>
                <w:sz w:val="18"/>
                <w:szCs w:val="18"/>
              </w:rPr>
            </w:pPr>
          </w:p>
        </w:tc>
      </w:tr>
      <w:tr w14:paraId="56E37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D67F4E">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14:paraId="476CA827">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D248F6B">
            <w:pPr>
              <w:spacing w:line="240" w:lineRule="exact"/>
              <w:jc w:val="right"/>
              <w:rPr>
                <w:rFonts w:ascii="宋体" w:hAnsi="宋体" w:eastAsia="宋体" w:cs="宋体"/>
                <w:sz w:val="18"/>
                <w:szCs w:val="18"/>
              </w:rPr>
            </w:pPr>
          </w:p>
        </w:tc>
      </w:tr>
      <w:tr w14:paraId="01D15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AEFB54">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14:paraId="65B937C5">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9E143E9">
            <w:pPr>
              <w:spacing w:line="240" w:lineRule="exact"/>
              <w:jc w:val="right"/>
              <w:rPr>
                <w:rFonts w:ascii="宋体" w:hAnsi="宋体" w:eastAsia="宋体" w:cs="宋体"/>
                <w:sz w:val="18"/>
                <w:szCs w:val="18"/>
              </w:rPr>
            </w:pPr>
          </w:p>
        </w:tc>
      </w:tr>
      <w:tr w14:paraId="0940F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258F83">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1AAE8D97">
            <w:pPr>
              <w:spacing w:line="240" w:lineRule="exact"/>
              <w:jc w:val="right"/>
              <w:rPr>
                <w:rFonts w:ascii="宋体" w:hAnsi="宋体" w:eastAsia="宋体" w:cs="宋体"/>
                <w:sz w:val="18"/>
                <w:szCs w:val="18"/>
              </w:rPr>
            </w:pPr>
            <w:r>
              <w:rPr>
                <w:rFonts w:ascii="宋体" w:hAnsi="宋体" w:eastAsia="宋体" w:cs="宋体"/>
                <w:sz w:val="18"/>
                <w:szCs w:val="18"/>
              </w:rPr>
              <w:t>72,654,865.86</w:t>
            </w:r>
          </w:p>
        </w:tc>
        <w:tc>
          <w:tcPr>
            <w:tcW w:w="3213" w:type="dxa"/>
            <w:tcBorders>
              <w:top w:val="single" w:color="auto" w:sz="2" w:space="0"/>
              <w:left w:val="single" w:color="auto" w:sz="2" w:space="0"/>
              <w:bottom w:val="single" w:color="auto" w:sz="2" w:space="0"/>
              <w:right w:val="single" w:color="auto" w:sz="2" w:space="0"/>
            </w:tcBorders>
            <w:vAlign w:val="center"/>
          </w:tcPr>
          <w:p w14:paraId="0A7E4672">
            <w:pPr>
              <w:spacing w:line="240" w:lineRule="exact"/>
              <w:jc w:val="right"/>
              <w:rPr>
                <w:rFonts w:ascii="宋体" w:hAnsi="宋体" w:eastAsia="宋体" w:cs="宋体"/>
                <w:sz w:val="18"/>
                <w:szCs w:val="18"/>
              </w:rPr>
            </w:pPr>
            <w:r>
              <w:rPr>
                <w:rFonts w:ascii="宋体" w:hAnsi="宋体" w:eastAsia="宋体" w:cs="宋体"/>
                <w:sz w:val="18"/>
                <w:szCs w:val="18"/>
              </w:rPr>
              <w:t>71,223,091.40</w:t>
            </w:r>
          </w:p>
        </w:tc>
      </w:tr>
      <w:tr w14:paraId="04CF8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FF9D83">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14:paraId="3DB2C927">
            <w:pPr>
              <w:spacing w:line="240" w:lineRule="exact"/>
              <w:jc w:val="right"/>
              <w:rPr>
                <w:rFonts w:ascii="宋体" w:hAnsi="宋体" w:eastAsia="宋体" w:cs="宋体"/>
                <w:sz w:val="18"/>
                <w:szCs w:val="18"/>
              </w:rPr>
            </w:pPr>
            <w:r>
              <w:rPr>
                <w:rFonts w:ascii="宋体" w:hAnsi="宋体" w:eastAsia="宋体" w:cs="宋体"/>
                <w:sz w:val="18"/>
                <w:szCs w:val="18"/>
              </w:rPr>
              <w:t>52,003,221.29</w:t>
            </w:r>
          </w:p>
        </w:tc>
        <w:tc>
          <w:tcPr>
            <w:tcW w:w="3213" w:type="dxa"/>
            <w:tcBorders>
              <w:top w:val="single" w:color="auto" w:sz="2" w:space="0"/>
              <w:left w:val="single" w:color="auto" w:sz="2" w:space="0"/>
              <w:bottom w:val="single" w:color="auto" w:sz="2" w:space="0"/>
              <w:right w:val="single" w:color="auto" w:sz="2" w:space="0"/>
            </w:tcBorders>
            <w:vAlign w:val="center"/>
          </w:tcPr>
          <w:p w14:paraId="0E392FD2">
            <w:pPr>
              <w:spacing w:line="240" w:lineRule="exact"/>
              <w:jc w:val="right"/>
              <w:rPr>
                <w:rFonts w:ascii="宋体" w:hAnsi="宋体" w:eastAsia="宋体" w:cs="宋体"/>
                <w:sz w:val="18"/>
                <w:szCs w:val="18"/>
              </w:rPr>
            </w:pPr>
            <w:r>
              <w:rPr>
                <w:rFonts w:ascii="宋体" w:hAnsi="宋体" w:eastAsia="宋体" w:cs="宋体"/>
                <w:sz w:val="18"/>
                <w:szCs w:val="18"/>
              </w:rPr>
              <w:t>42,713,403.37</w:t>
            </w:r>
          </w:p>
        </w:tc>
      </w:tr>
      <w:tr w14:paraId="3073F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45C31D">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14:paraId="01A50D9D">
            <w:pPr>
              <w:spacing w:line="240" w:lineRule="exact"/>
              <w:jc w:val="right"/>
              <w:rPr>
                <w:rFonts w:ascii="宋体" w:hAnsi="宋体" w:eastAsia="宋体" w:cs="宋体"/>
                <w:sz w:val="18"/>
                <w:szCs w:val="18"/>
              </w:rPr>
            </w:pPr>
            <w:r>
              <w:rPr>
                <w:rFonts w:ascii="宋体" w:hAnsi="宋体" w:eastAsia="宋体" w:cs="宋体"/>
                <w:sz w:val="18"/>
                <w:szCs w:val="18"/>
              </w:rPr>
              <w:t>164,100,483.00</w:t>
            </w:r>
          </w:p>
        </w:tc>
        <w:tc>
          <w:tcPr>
            <w:tcW w:w="3213" w:type="dxa"/>
            <w:tcBorders>
              <w:top w:val="single" w:color="auto" w:sz="2" w:space="0"/>
              <w:left w:val="single" w:color="auto" w:sz="2" w:space="0"/>
              <w:bottom w:val="single" w:color="auto" w:sz="2" w:space="0"/>
              <w:right w:val="single" w:color="auto" w:sz="2" w:space="0"/>
            </w:tcBorders>
            <w:vAlign w:val="center"/>
          </w:tcPr>
          <w:p w14:paraId="4F9A7860">
            <w:pPr>
              <w:spacing w:line="240" w:lineRule="exact"/>
              <w:jc w:val="right"/>
              <w:rPr>
                <w:rFonts w:ascii="宋体" w:hAnsi="宋体" w:eastAsia="宋体" w:cs="宋体"/>
                <w:sz w:val="18"/>
                <w:szCs w:val="18"/>
              </w:rPr>
            </w:pPr>
            <w:r>
              <w:rPr>
                <w:rFonts w:ascii="宋体" w:hAnsi="宋体" w:eastAsia="宋体" w:cs="宋体"/>
                <w:sz w:val="18"/>
                <w:szCs w:val="18"/>
              </w:rPr>
              <w:t>156,199,710.67</w:t>
            </w:r>
          </w:p>
        </w:tc>
      </w:tr>
      <w:tr w14:paraId="66A8A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2D9A72">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14:paraId="5B22A37D">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B0CC690">
            <w:pPr>
              <w:spacing w:line="240" w:lineRule="exact"/>
              <w:jc w:val="right"/>
              <w:rPr>
                <w:rFonts w:ascii="宋体" w:hAnsi="宋体" w:eastAsia="宋体" w:cs="宋体"/>
                <w:sz w:val="18"/>
                <w:szCs w:val="18"/>
              </w:rPr>
            </w:pPr>
          </w:p>
        </w:tc>
      </w:tr>
      <w:tr w14:paraId="0C1A9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15DC5B">
            <w:pPr>
              <w:spacing w:before="40" w:after="40" w:line="240" w:lineRule="exact"/>
              <w:ind w:firstLine="900" w:firstLineChars="500"/>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14:paraId="274832E7">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DF9C58B">
            <w:pPr>
              <w:spacing w:line="240" w:lineRule="exact"/>
              <w:jc w:val="right"/>
              <w:rPr>
                <w:rFonts w:ascii="宋体" w:hAnsi="宋体" w:eastAsia="宋体" w:cs="宋体"/>
                <w:sz w:val="18"/>
                <w:szCs w:val="18"/>
              </w:rPr>
            </w:pPr>
          </w:p>
        </w:tc>
      </w:tr>
      <w:tr w14:paraId="37ABF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B94274">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14:paraId="4CC6A9B6">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8D92D7F">
            <w:pPr>
              <w:spacing w:line="240" w:lineRule="exact"/>
              <w:jc w:val="right"/>
              <w:rPr>
                <w:rFonts w:ascii="宋体" w:hAnsi="宋体" w:eastAsia="宋体" w:cs="宋体"/>
                <w:sz w:val="18"/>
                <w:szCs w:val="18"/>
              </w:rPr>
            </w:pPr>
          </w:p>
        </w:tc>
      </w:tr>
      <w:tr w14:paraId="4E58C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42167D">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14:paraId="232E6D87">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1A11712">
            <w:pPr>
              <w:spacing w:line="240" w:lineRule="exact"/>
              <w:jc w:val="right"/>
              <w:rPr>
                <w:rFonts w:ascii="宋体" w:hAnsi="宋体" w:eastAsia="宋体" w:cs="宋体"/>
                <w:sz w:val="18"/>
                <w:szCs w:val="18"/>
              </w:rPr>
            </w:pPr>
          </w:p>
        </w:tc>
      </w:tr>
      <w:tr w14:paraId="6F98A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60676F">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14:paraId="6A9CE90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9C8B78E">
            <w:pPr>
              <w:spacing w:line="240" w:lineRule="exact"/>
              <w:jc w:val="right"/>
              <w:rPr>
                <w:rFonts w:ascii="宋体" w:hAnsi="宋体" w:eastAsia="宋体" w:cs="宋体"/>
                <w:sz w:val="18"/>
                <w:szCs w:val="18"/>
              </w:rPr>
            </w:pPr>
          </w:p>
        </w:tc>
      </w:tr>
      <w:tr w14:paraId="73BE3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3A2860">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7F4C5073">
            <w:pPr>
              <w:spacing w:line="240" w:lineRule="exact"/>
              <w:jc w:val="right"/>
              <w:rPr>
                <w:rFonts w:ascii="宋体" w:hAnsi="宋体" w:eastAsia="宋体" w:cs="宋体"/>
                <w:sz w:val="18"/>
                <w:szCs w:val="18"/>
              </w:rPr>
            </w:pPr>
            <w:r>
              <w:rPr>
                <w:rFonts w:ascii="宋体" w:hAnsi="宋体" w:eastAsia="宋体" w:cs="宋体"/>
                <w:sz w:val="18"/>
                <w:szCs w:val="18"/>
              </w:rPr>
              <w:t>532,718,886.73</w:t>
            </w:r>
          </w:p>
        </w:tc>
        <w:tc>
          <w:tcPr>
            <w:tcW w:w="3213" w:type="dxa"/>
            <w:tcBorders>
              <w:top w:val="single" w:color="auto" w:sz="2" w:space="0"/>
              <w:left w:val="single" w:color="auto" w:sz="2" w:space="0"/>
              <w:bottom w:val="single" w:color="auto" w:sz="2" w:space="0"/>
              <w:right w:val="single" w:color="auto" w:sz="2" w:space="0"/>
            </w:tcBorders>
            <w:vAlign w:val="center"/>
          </w:tcPr>
          <w:p w14:paraId="76EFFEE5">
            <w:pPr>
              <w:spacing w:line="240" w:lineRule="exact"/>
              <w:jc w:val="right"/>
              <w:rPr>
                <w:rFonts w:ascii="宋体" w:hAnsi="宋体" w:eastAsia="宋体" w:cs="宋体"/>
                <w:sz w:val="18"/>
                <w:szCs w:val="18"/>
              </w:rPr>
            </w:pPr>
            <w:r>
              <w:rPr>
                <w:rFonts w:ascii="宋体" w:hAnsi="宋体" w:eastAsia="宋体" w:cs="宋体"/>
                <w:sz w:val="18"/>
                <w:szCs w:val="18"/>
              </w:rPr>
              <w:t>317,816,873.42</w:t>
            </w:r>
          </w:p>
        </w:tc>
      </w:tr>
      <w:tr w14:paraId="25FEC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A631CF">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2CDCD582">
            <w:pPr>
              <w:spacing w:line="240" w:lineRule="exact"/>
              <w:jc w:val="right"/>
              <w:rPr>
                <w:rFonts w:ascii="宋体" w:hAnsi="宋体" w:eastAsia="宋体" w:cs="宋体"/>
                <w:sz w:val="18"/>
                <w:szCs w:val="18"/>
              </w:rPr>
            </w:pPr>
            <w:r>
              <w:rPr>
                <w:rFonts w:ascii="宋体" w:hAnsi="宋体" w:eastAsia="宋体" w:cs="宋体"/>
                <w:sz w:val="18"/>
                <w:szCs w:val="18"/>
              </w:rPr>
              <w:t>28,072,035.65</w:t>
            </w:r>
          </w:p>
        </w:tc>
        <w:tc>
          <w:tcPr>
            <w:tcW w:w="3213" w:type="dxa"/>
            <w:tcBorders>
              <w:top w:val="single" w:color="auto" w:sz="2" w:space="0"/>
              <w:left w:val="single" w:color="auto" w:sz="2" w:space="0"/>
              <w:bottom w:val="single" w:color="auto" w:sz="2" w:space="0"/>
              <w:right w:val="single" w:color="auto" w:sz="2" w:space="0"/>
            </w:tcBorders>
            <w:vAlign w:val="center"/>
          </w:tcPr>
          <w:p w14:paraId="0EB8C0FF">
            <w:pPr>
              <w:spacing w:line="240" w:lineRule="exact"/>
              <w:jc w:val="right"/>
              <w:rPr>
                <w:rFonts w:ascii="宋体" w:hAnsi="宋体" w:eastAsia="宋体" w:cs="宋体"/>
                <w:sz w:val="18"/>
                <w:szCs w:val="18"/>
              </w:rPr>
            </w:pPr>
            <w:r>
              <w:rPr>
                <w:rFonts w:ascii="宋体" w:hAnsi="宋体" w:eastAsia="宋体" w:cs="宋体"/>
                <w:sz w:val="18"/>
                <w:szCs w:val="18"/>
              </w:rPr>
              <w:t>60,619,344.22</w:t>
            </w:r>
          </w:p>
        </w:tc>
      </w:tr>
      <w:tr w14:paraId="59EB1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00F0E5">
            <w:pPr>
              <w:spacing w:before="40" w:after="40" w:line="240" w:lineRule="exac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516C102C">
            <w:pPr>
              <w:spacing w:line="240" w:lineRule="exact"/>
              <w:jc w:val="right"/>
              <w:rPr>
                <w:rFonts w:ascii="宋体" w:hAnsi="宋体" w:eastAsia="宋体" w:cs="宋体"/>
                <w:sz w:val="18"/>
                <w:szCs w:val="18"/>
              </w:rPr>
            </w:pPr>
            <w:r>
              <w:rPr>
                <w:rFonts w:ascii="宋体" w:hAnsi="宋体" w:eastAsia="宋体" w:cs="宋体"/>
                <w:sz w:val="18"/>
                <w:szCs w:val="18"/>
              </w:rPr>
              <w:t>8,492,042,094.45</w:t>
            </w:r>
          </w:p>
        </w:tc>
        <w:tc>
          <w:tcPr>
            <w:tcW w:w="3213" w:type="dxa"/>
            <w:tcBorders>
              <w:top w:val="single" w:color="auto" w:sz="2" w:space="0"/>
              <w:left w:val="single" w:color="auto" w:sz="2" w:space="0"/>
              <w:bottom w:val="single" w:color="auto" w:sz="2" w:space="0"/>
              <w:right w:val="single" w:color="auto" w:sz="2" w:space="0"/>
            </w:tcBorders>
            <w:vAlign w:val="center"/>
          </w:tcPr>
          <w:p w14:paraId="3F6DDCBF">
            <w:pPr>
              <w:spacing w:line="240" w:lineRule="exact"/>
              <w:jc w:val="right"/>
              <w:rPr>
                <w:rFonts w:ascii="宋体" w:hAnsi="宋体" w:eastAsia="宋体" w:cs="宋体"/>
                <w:sz w:val="18"/>
                <w:szCs w:val="18"/>
              </w:rPr>
            </w:pPr>
            <w:r>
              <w:rPr>
                <w:rFonts w:ascii="宋体" w:hAnsi="宋体" w:eastAsia="宋体" w:cs="宋体"/>
                <w:sz w:val="18"/>
                <w:szCs w:val="18"/>
              </w:rPr>
              <w:t>9,930,930,463.53</w:t>
            </w:r>
          </w:p>
        </w:tc>
      </w:tr>
      <w:tr w14:paraId="5AEB2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25A646">
            <w:pPr>
              <w:spacing w:before="40" w:after="40" w:line="240" w:lineRule="exac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EEBB0C"/>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0AC0E9"/>
        </w:tc>
      </w:tr>
      <w:tr w14:paraId="4F42F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E37778">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14:paraId="3E64144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CA8959C">
            <w:pPr>
              <w:spacing w:line="240" w:lineRule="exact"/>
              <w:jc w:val="right"/>
              <w:rPr>
                <w:rFonts w:ascii="宋体" w:hAnsi="宋体" w:eastAsia="宋体" w:cs="宋体"/>
                <w:sz w:val="18"/>
                <w:szCs w:val="18"/>
              </w:rPr>
            </w:pPr>
          </w:p>
        </w:tc>
      </w:tr>
      <w:tr w14:paraId="72C03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3B0252">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14:paraId="7A84FB68">
            <w:pPr>
              <w:spacing w:line="240" w:lineRule="exact"/>
              <w:jc w:val="right"/>
              <w:rPr>
                <w:rFonts w:ascii="宋体" w:hAnsi="宋体" w:eastAsia="宋体" w:cs="宋体"/>
                <w:sz w:val="18"/>
                <w:szCs w:val="18"/>
              </w:rPr>
            </w:pPr>
            <w:r>
              <w:rPr>
                <w:rFonts w:ascii="宋体" w:hAnsi="宋体" w:eastAsia="宋体" w:cs="宋体"/>
                <w:sz w:val="18"/>
                <w:szCs w:val="18"/>
              </w:rPr>
              <w:t>663,727,961.96</w:t>
            </w:r>
          </w:p>
        </w:tc>
        <w:tc>
          <w:tcPr>
            <w:tcW w:w="3213" w:type="dxa"/>
            <w:tcBorders>
              <w:top w:val="single" w:color="auto" w:sz="2" w:space="0"/>
              <w:left w:val="single" w:color="auto" w:sz="2" w:space="0"/>
              <w:bottom w:val="single" w:color="auto" w:sz="2" w:space="0"/>
              <w:right w:val="single" w:color="auto" w:sz="2" w:space="0"/>
            </w:tcBorders>
            <w:vAlign w:val="center"/>
          </w:tcPr>
          <w:p w14:paraId="7405398C">
            <w:pPr>
              <w:spacing w:line="240" w:lineRule="exact"/>
              <w:jc w:val="right"/>
              <w:rPr>
                <w:rFonts w:ascii="宋体" w:hAnsi="宋体" w:eastAsia="宋体" w:cs="宋体"/>
                <w:sz w:val="18"/>
                <w:szCs w:val="18"/>
              </w:rPr>
            </w:pPr>
            <w:r>
              <w:rPr>
                <w:rFonts w:ascii="宋体" w:hAnsi="宋体" w:eastAsia="宋体" w:cs="宋体"/>
                <w:sz w:val="18"/>
                <w:szCs w:val="18"/>
              </w:rPr>
              <w:t>818,855,854.27</w:t>
            </w:r>
          </w:p>
        </w:tc>
      </w:tr>
      <w:tr w14:paraId="2D94C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3C79ED">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14:paraId="5322FE65">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45BF84F">
            <w:pPr>
              <w:spacing w:line="240" w:lineRule="exact"/>
              <w:jc w:val="right"/>
              <w:rPr>
                <w:rFonts w:ascii="宋体" w:hAnsi="宋体" w:eastAsia="宋体" w:cs="宋体"/>
                <w:sz w:val="18"/>
                <w:szCs w:val="18"/>
              </w:rPr>
            </w:pPr>
          </w:p>
        </w:tc>
      </w:tr>
      <w:tr w14:paraId="3A2D0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8E60C91">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614C1CFC">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7677EAF">
            <w:pPr>
              <w:spacing w:line="240" w:lineRule="exact"/>
              <w:jc w:val="right"/>
              <w:rPr>
                <w:rFonts w:ascii="宋体" w:hAnsi="宋体" w:eastAsia="宋体" w:cs="宋体"/>
                <w:sz w:val="18"/>
                <w:szCs w:val="18"/>
              </w:rPr>
            </w:pPr>
          </w:p>
        </w:tc>
      </w:tr>
      <w:tr w14:paraId="4EE62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106980">
            <w:pPr>
              <w:spacing w:before="40" w:after="40" w:line="240" w:lineRule="exact"/>
              <w:ind w:firstLine="900" w:firstLineChars="500"/>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6B14C67F">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1049DB4">
            <w:pPr>
              <w:spacing w:line="240" w:lineRule="exact"/>
              <w:jc w:val="right"/>
              <w:rPr>
                <w:rFonts w:ascii="宋体" w:hAnsi="宋体" w:eastAsia="宋体" w:cs="宋体"/>
                <w:sz w:val="18"/>
                <w:szCs w:val="18"/>
              </w:rPr>
            </w:pPr>
          </w:p>
        </w:tc>
      </w:tr>
      <w:tr w14:paraId="0F8D4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3B7742">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7B7354C9">
            <w:pPr>
              <w:spacing w:line="240" w:lineRule="exact"/>
              <w:jc w:val="right"/>
              <w:rPr>
                <w:rFonts w:ascii="宋体" w:hAnsi="宋体" w:eastAsia="宋体" w:cs="宋体"/>
                <w:sz w:val="18"/>
                <w:szCs w:val="18"/>
              </w:rPr>
            </w:pPr>
            <w:r>
              <w:rPr>
                <w:rFonts w:ascii="宋体" w:hAnsi="宋体" w:eastAsia="宋体" w:cs="宋体"/>
                <w:sz w:val="18"/>
                <w:szCs w:val="18"/>
              </w:rPr>
              <w:t>12,828,313.53</w:t>
            </w:r>
          </w:p>
        </w:tc>
        <w:tc>
          <w:tcPr>
            <w:tcW w:w="3213" w:type="dxa"/>
            <w:tcBorders>
              <w:top w:val="single" w:color="auto" w:sz="2" w:space="0"/>
              <w:left w:val="single" w:color="auto" w:sz="2" w:space="0"/>
              <w:bottom w:val="single" w:color="auto" w:sz="2" w:space="0"/>
              <w:right w:val="single" w:color="auto" w:sz="2" w:space="0"/>
            </w:tcBorders>
            <w:vAlign w:val="center"/>
          </w:tcPr>
          <w:p w14:paraId="02C79AC7">
            <w:pPr>
              <w:spacing w:line="240" w:lineRule="exact"/>
              <w:jc w:val="right"/>
              <w:rPr>
                <w:rFonts w:ascii="宋体" w:hAnsi="宋体" w:eastAsia="宋体" w:cs="宋体"/>
                <w:sz w:val="18"/>
                <w:szCs w:val="18"/>
              </w:rPr>
            </w:pPr>
            <w:r>
              <w:rPr>
                <w:rFonts w:ascii="宋体" w:hAnsi="宋体" w:eastAsia="宋体" w:cs="宋体"/>
                <w:sz w:val="18"/>
                <w:szCs w:val="18"/>
              </w:rPr>
              <w:t>23,335,579.97</w:t>
            </w:r>
          </w:p>
        </w:tc>
      </w:tr>
      <w:tr w14:paraId="7AEC4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80342A">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14:paraId="2E2E82B7">
            <w:pPr>
              <w:spacing w:line="240" w:lineRule="exact"/>
              <w:jc w:val="right"/>
              <w:rPr>
                <w:rFonts w:ascii="宋体" w:hAnsi="宋体" w:eastAsia="宋体" w:cs="宋体"/>
                <w:sz w:val="18"/>
                <w:szCs w:val="18"/>
              </w:rPr>
            </w:pPr>
            <w:r>
              <w:rPr>
                <w:rFonts w:ascii="宋体" w:hAnsi="宋体" w:eastAsia="宋体" w:cs="宋体"/>
                <w:sz w:val="18"/>
                <w:szCs w:val="18"/>
              </w:rPr>
              <w:t>244,367,138.45</w:t>
            </w:r>
          </w:p>
        </w:tc>
        <w:tc>
          <w:tcPr>
            <w:tcW w:w="3213" w:type="dxa"/>
            <w:tcBorders>
              <w:top w:val="single" w:color="auto" w:sz="2" w:space="0"/>
              <w:left w:val="single" w:color="auto" w:sz="2" w:space="0"/>
              <w:bottom w:val="single" w:color="auto" w:sz="2" w:space="0"/>
              <w:right w:val="single" w:color="auto" w:sz="2" w:space="0"/>
            </w:tcBorders>
            <w:vAlign w:val="center"/>
          </w:tcPr>
          <w:p w14:paraId="79B19F65">
            <w:pPr>
              <w:spacing w:line="240" w:lineRule="exact"/>
              <w:jc w:val="right"/>
              <w:rPr>
                <w:rFonts w:ascii="宋体" w:hAnsi="宋体" w:eastAsia="宋体" w:cs="宋体"/>
                <w:sz w:val="18"/>
                <w:szCs w:val="18"/>
              </w:rPr>
            </w:pPr>
            <w:r>
              <w:rPr>
                <w:rFonts w:ascii="宋体" w:hAnsi="宋体" w:eastAsia="宋体" w:cs="宋体"/>
                <w:sz w:val="18"/>
                <w:szCs w:val="18"/>
              </w:rPr>
              <w:t>244,367,138.45</w:t>
            </w:r>
          </w:p>
        </w:tc>
      </w:tr>
      <w:tr w14:paraId="5A825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7C74E3">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43A0350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5554F4B">
            <w:pPr>
              <w:spacing w:line="240" w:lineRule="exact"/>
              <w:jc w:val="right"/>
              <w:rPr>
                <w:rFonts w:ascii="宋体" w:hAnsi="宋体" w:eastAsia="宋体" w:cs="宋体"/>
                <w:sz w:val="18"/>
                <w:szCs w:val="18"/>
              </w:rPr>
            </w:pPr>
          </w:p>
        </w:tc>
      </w:tr>
      <w:tr w14:paraId="2A7E2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118B72">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14:paraId="12926DB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935381B">
            <w:pPr>
              <w:spacing w:line="240" w:lineRule="exact"/>
              <w:jc w:val="right"/>
              <w:rPr>
                <w:rFonts w:ascii="宋体" w:hAnsi="宋体" w:eastAsia="宋体" w:cs="宋体"/>
                <w:sz w:val="18"/>
                <w:szCs w:val="18"/>
              </w:rPr>
            </w:pPr>
          </w:p>
        </w:tc>
      </w:tr>
      <w:tr w14:paraId="44B56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C819CF">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14:paraId="6E796CB5">
            <w:pPr>
              <w:spacing w:line="240" w:lineRule="exact"/>
              <w:jc w:val="right"/>
              <w:rPr>
                <w:rFonts w:ascii="宋体" w:hAnsi="宋体" w:eastAsia="宋体" w:cs="宋体"/>
                <w:sz w:val="18"/>
                <w:szCs w:val="18"/>
              </w:rPr>
            </w:pPr>
            <w:r>
              <w:rPr>
                <w:rFonts w:ascii="宋体" w:hAnsi="宋体" w:eastAsia="宋体" w:cs="宋体"/>
                <w:sz w:val="18"/>
                <w:szCs w:val="18"/>
              </w:rPr>
              <w:t>237,980,150.54</w:t>
            </w:r>
          </w:p>
        </w:tc>
        <w:tc>
          <w:tcPr>
            <w:tcW w:w="3213" w:type="dxa"/>
            <w:tcBorders>
              <w:top w:val="single" w:color="auto" w:sz="2" w:space="0"/>
              <w:left w:val="single" w:color="auto" w:sz="2" w:space="0"/>
              <w:bottom w:val="single" w:color="auto" w:sz="2" w:space="0"/>
              <w:right w:val="single" w:color="auto" w:sz="2" w:space="0"/>
            </w:tcBorders>
            <w:vAlign w:val="center"/>
          </w:tcPr>
          <w:p w14:paraId="301B898D">
            <w:pPr>
              <w:spacing w:line="240" w:lineRule="exact"/>
              <w:jc w:val="right"/>
              <w:rPr>
                <w:rFonts w:ascii="宋体" w:hAnsi="宋体" w:eastAsia="宋体" w:cs="宋体"/>
                <w:sz w:val="18"/>
                <w:szCs w:val="18"/>
              </w:rPr>
            </w:pPr>
            <w:r>
              <w:rPr>
                <w:rFonts w:ascii="宋体" w:hAnsi="宋体" w:eastAsia="宋体" w:cs="宋体"/>
                <w:sz w:val="18"/>
                <w:szCs w:val="18"/>
              </w:rPr>
              <w:t>73,373,233.50</w:t>
            </w:r>
          </w:p>
        </w:tc>
      </w:tr>
      <w:tr w14:paraId="406A4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0592D1">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14:paraId="5EAEA245">
            <w:pPr>
              <w:spacing w:line="240" w:lineRule="exact"/>
              <w:jc w:val="right"/>
              <w:rPr>
                <w:rFonts w:ascii="宋体" w:hAnsi="宋体" w:eastAsia="宋体" w:cs="宋体"/>
                <w:sz w:val="18"/>
                <w:szCs w:val="18"/>
              </w:rPr>
            </w:pPr>
            <w:r>
              <w:rPr>
                <w:rFonts w:ascii="宋体" w:hAnsi="宋体" w:eastAsia="宋体" w:cs="宋体"/>
                <w:sz w:val="18"/>
                <w:szCs w:val="18"/>
              </w:rPr>
              <w:t>19,453,284.76</w:t>
            </w:r>
          </w:p>
        </w:tc>
        <w:tc>
          <w:tcPr>
            <w:tcW w:w="3213" w:type="dxa"/>
            <w:tcBorders>
              <w:top w:val="single" w:color="auto" w:sz="2" w:space="0"/>
              <w:left w:val="single" w:color="auto" w:sz="2" w:space="0"/>
              <w:bottom w:val="single" w:color="auto" w:sz="2" w:space="0"/>
              <w:right w:val="single" w:color="auto" w:sz="2" w:space="0"/>
            </w:tcBorders>
            <w:vAlign w:val="center"/>
          </w:tcPr>
          <w:p w14:paraId="663C41E8">
            <w:pPr>
              <w:spacing w:line="240" w:lineRule="exact"/>
              <w:jc w:val="right"/>
              <w:rPr>
                <w:rFonts w:ascii="宋体" w:hAnsi="宋体" w:eastAsia="宋体" w:cs="宋体"/>
                <w:sz w:val="18"/>
                <w:szCs w:val="18"/>
              </w:rPr>
            </w:pPr>
            <w:r>
              <w:rPr>
                <w:rFonts w:ascii="宋体" w:hAnsi="宋体" w:eastAsia="宋体" w:cs="宋体"/>
                <w:sz w:val="18"/>
                <w:szCs w:val="18"/>
              </w:rPr>
              <w:t>14,335,999.28</w:t>
            </w:r>
          </w:p>
        </w:tc>
      </w:tr>
      <w:tr w14:paraId="5FFC5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CE8FF9">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23A97799">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D887728">
            <w:pPr>
              <w:spacing w:line="240" w:lineRule="exact"/>
              <w:jc w:val="right"/>
              <w:rPr>
                <w:rFonts w:ascii="宋体" w:hAnsi="宋体" w:eastAsia="宋体" w:cs="宋体"/>
                <w:sz w:val="18"/>
                <w:szCs w:val="18"/>
              </w:rPr>
            </w:pPr>
          </w:p>
        </w:tc>
      </w:tr>
      <w:tr w14:paraId="0F734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138F29">
            <w:pPr>
              <w:spacing w:before="40" w:after="40" w:line="240" w:lineRule="exac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185F3E38">
            <w:pPr>
              <w:spacing w:line="240" w:lineRule="exact"/>
              <w:jc w:val="right"/>
              <w:rPr>
                <w:rFonts w:ascii="宋体" w:hAnsi="宋体" w:eastAsia="宋体" w:cs="宋体"/>
                <w:sz w:val="18"/>
                <w:szCs w:val="18"/>
              </w:rPr>
            </w:pPr>
            <w:r>
              <w:rPr>
                <w:rFonts w:ascii="宋体" w:hAnsi="宋体" w:eastAsia="宋体" w:cs="宋体"/>
                <w:sz w:val="18"/>
                <w:szCs w:val="18"/>
              </w:rPr>
              <w:t>1,178,356,849.24</w:t>
            </w:r>
          </w:p>
        </w:tc>
        <w:tc>
          <w:tcPr>
            <w:tcW w:w="3213" w:type="dxa"/>
            <w:tcBorders>
              <w:top w:val="single" w:color="auto" w:sz="2" w:space="0"/>
              <w:left w:val="single" w:color="auto" w:sz="2" w:space="0"/>
              <w:bottom w:val="single" w:color="auto" w:sz="2" w:space="0"/>
              <w:right w:val="single" w:color="auto" w:sz="2" w:space="0"/>
            </w:tcBorders>
            <w:vAlign w:val="center"/>
          </w:tcPr>
          <w:p w14:paraId="5CEA7683">
            <w:pPr>
              <w:spacing w:line="240" w:lineRule="exact"/>
              <w:jc w:val="right"/>
              <w:rPr>
                <w:rFonts w:ascii="宋体" w:hAnsi="宋体" w:eastAsia="宋体" w:cs="宋体"/>
                <w:sz w:val="18"/>
                <w:szCs w:val="18"/>
              </w:rPr>
            </w:pPr>
            <w:r>
              <w:rPr>
                <w:rFonts w:ascii="宋体" w:hAnsi="宋体" w:eastAsia="宋体" w:cs="宋体"/>
                <w:sz w:val="18"/>
                <w:szCs w:val="18"/>
              </w:rPr>
              <w:t>1,174,267,805.47</w:t>
            </w:r>
          </w:p>
        </w:tc>
      </w:tr>
      <w:tr w14:paraId="6FC30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46988B">
            <w:pPr>
              <w:spacing w:before="40" w:after="40" w:line="240" w:lineRule="exac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72CC521E">
            <w:pPr>
              <w:spacing w:line="240" w:lineRule="exact"/>
              <w:jc w:val="right"/>
              <w:rPr>
                <w:rFonts w:ascii="宋体" w:hAnsi="宋体" w:eastAsia="宋体" w:cs="宋体"/>
                <w:sz w:val="18"/>
                <w:szCs w:val="18"/>
              </w:rPr>
            </w:pPr>
            <w:r>
              <w:rPr>
                <w:rFonts w:ascii="宋体" w:hAnsi="宋体" w:eastAsia="宋体" w:cs="宋体"/>
                <w:sz w:val="18"/>
                <w:szCs w:val="18"/>
              </w:rPr>
              <w:t>9,670,398,943.69</w:t>
            </w:r>
          </w:p>
        </w:tc>
        <w:tc>
          <w:tcPr>
            <w:tcW w:w="3213" w:type="dxa"/>
            <w:tcBorders>
              <w:top w:val="single" w:color="auto" w:sz="2" w:space="0"/>
              <w:left w:val="single" w:color="auto" w:sz="2" w:space="0"/>
              <w:bottom w:val="single" w:color="auto" w:sz="2" w:space="0"/>
              <w:right w:val="single" w:color="auto" w:sz="2" w:space="0"/>
            </w:tcBorders>
            <w:vAlign w:val="center"/>
          </w:tcPr>
          <w:p w14:paraId="01009E3D">
            <w:pPr>
              <w:spacing w:line="240" w:lineRule="exact"/>
              <w:jc w:val="right"/>
              <w:rPr>
                <w:rFonts w:ascii="宋体" w:hAnsi="宋体" w:eastAsia="宋体" w:cs="宋体"/>
                <w:sz w:val="18"/>
                <w:szCs w:val="18"/>
              </w:rPr>
            </w:pPr>
            <w:r>
              <w:rPr>
                <w:rFonts w:ascii="宋体" w:hAnsi="宋体" w:eastAsia="宋体" w:cs="宋体"/>
                <w:sz w:val="18"/>
                <w:szCs w:val="18"/>
              </w:rPr>
              <w:t>11,105,198,269.00</w:t>
            </w:r>
          </w:p>
        </w:tc>
      </w:tr>
      <w:tr w14:paraId="73742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0A5F20">
            <w:pPr>
              <w:spacing w:line="240" w:lineRule="exac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60FB44"/>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3135D2"/>
        </w:tc>
      </w:tr>
      <w:tr w14:paraId="19DB2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6F4AAE">
            <w:pPr>
              <w:spacing w:line="240" w:lineRule="exact"/>
              <w:ind w:firstLine="180" w:firstLineChars="100"/>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14:paraId="451F2F6A">
            <w:pPr>
              <w:spacing w:line="240" w:lineRule="exact"/>
              <w:jc w:val="right"/>
              <w:rPr>
                <w:rFonts w:ascii="宋体" w:hAnsi="宋体" w:eastAsia="宋体" w:cs="宋体"/>
                <w:sz w:val="18"/>
                <w:szCs w:val="18"/>
              </w:rPr>
            </w:pPr>
            <w:r>
              <w:rPr>
                <w:rFonts w:ascii="宋体" w:hAnsi="宋体" w:eastAsia="宋体" w:cs="宋体"/>
                <w:sz w:val="18"/>
                <w:szCs w:val="18"/>
              </w:rPr>
              <w:t>1,700,681,355.00</w:t>
            </w:r>
          </w:p>
        </w:tc>
        <w:tc>
          <w:tcPr>
            <w:tcW w:w="3213" w:type="dxa"/>
            <w:tcBorders>
              <w:top w:val="single" w:color="auto" w:sz="2" w:space="0"/>
              <w:left w:val="single" w:color="auto" w:sz="2" w:space="0"/>
              <w:bottom w:val="single" w:color="auto" w:sz="2" w:space="0"/>
              <w:right w:val="single" w:color="auto" w:sz="2" w:space="0"/>
            </w:tcBorders>
            <w:vAlign w:val="center"/>
          </w:tcPr>
          <w:p w14:paraId="2A2CC85B">
            <w:pPr>
              <w:spacing w:line="240" w:lineRule="exact"/>
              <w:jc w:val="right"/>
              <w:rPr>
                <w:rFonts w:ascii="宋体" w:hAnsi="宋体" w:eastAsia="宋体" w:cs="宋体"/>
                <w:sz w:val="18"/>
                <w:szCs w:val="18"/>
              </w:rPr>
            </w:pPr>
            <w:r>
              <w:rPr>
                <w:rFonts w:ascii="宋体" w:hAnsi="宋体" w:eastAsia="宋体" w:cs="宋体"/>
                <w:sz w:val="18"/>
                <w:szCs w:val="18"/>
              </w:rPr>
              <w:t>1,700,681,355.00</w:t>
            </w:r>
          </w:p>
        </w:tc>
      </w:tr>
      <w:tr w14:paraId="2E75D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A25F9A">
            <w:pPr>
              <w:spacing w:line="240" w:lineRule="exact"/>
              <w:ind w:firstLine="180" w:firstLineChars="100"/>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14:paraId="37FC7837">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2BAC481">
            <w:pPr>
              <w:spacing w:line="240" w:lineRule="exact"/>
              <w:jc w:val="right"/>
              <w:rPr>
                <w:rFonts w:ascii="宋体" w:hAnsi="宋体" w:eastAsia="宋体" w:cs="宋体"/>
                <w:sz w:val="18"/>
                <w:szCs w:val="18"/>
              </w:rPr>
            </w:pPr>
          </w:p>
        </w:tc>
      </w:tr>
      <w:tr w14:paraId="4EAAA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824B7B">
            <w:pPr>
              <w:spacing w:line="240" w:lineRule="exact"/>
              <w:ind w:firstLine="360" w:firstLineChars="200"/>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74175FF3">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CCEE6C7">
            <w:pPr>
              <w:spacing w:line="240" w:lineRule="exact"/>
              <w:jc w:val="right"/>
              <w:rPr>
                <w:rFonts w:ascii="宋体" w:hAnsi="宋体" w:eastAsia="宋体" w:cs="宋体"/>
                <w:sz w:val="18"/>
                <w:szCs w:val="18"/>
              </w:rPr>
            </w:pPr>
          </w:p>
        </w:tc>
      </w:tr>
      <w:tr w14:paraId="7CFEF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442F43">
            <w:pPr>
              <w:spacing w:line="240" w:lineRule="exact"/>
              <w:ind w:firstLine="900" w:firstLineChars="500"/>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5A23668F">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DEA73A9">
            <w:pPr>
              <w:spacing w:line="240" w:lineRule="exact"/>
              <w:jc w:val="right"/>
              <w:rPr>
                <w:rFonts w:ascii="宋体" w:hAnsi="宋体" w:eastAsia="宋体" w:cs="宋体"/>
                <w:sz w:val="18"/>
                <w:szCs w:val="18"/>
              </w:rPr>
            </w:pPr>
          </w:p>
        </w:tc>
      </w:tr>
      <w:tr w14:paraId="07D7B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602E81">
            <w:pPr>
              <w:spacing w:line="240" w:lineRule="exact"/>
              <w:ind w:firstLine="180" w:firstLineChars="100"/>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14:paraId="3F3E63C1">
            <w:pPr>
              <w:spacing w:line="240" w:lineRule="exact"/>
              <w:jc w:val="right"/>
              <w:rPr>
                <w:rFonts w:ascii="宋体" w:hAnsi="宋体" w:eastAsia="宋体" w:cs="宋体"/>
                <w:sz w:val="18"/>
                <w:szCs w:val="18"/>
              </w:rPr>
            </w:pPr>
            <w:r>
              <w:rPr>
                <w:rFonts w:ascii="宋体" w:hAnsi="宋体" w:eastAsia="宋体" w:cs="宋体"/>
                <w:sz w:val="18"/>
                <w:szCs w:val="18"/>
              </w:rPr>
              <w:t>2,738,268,247.00</w:t>
            </w:r>
          </w:p>
        </w:tc>
        <w:tc>
          <w:tcPr>
            <w:tcW w:w="3213" w:type="dxa"/>
            <w:tcBorders>
              <w:top w:val="single" w:color="auto" w:sz="2" w:space="0"/>
              <w:left w:val="single" w:color="auto" w:sz="2" w:space="0"/>
              <w:bottom w:val="single" w:color="auto" w:sz="2" w:space="0"/>
              <w:right w:val="single" w:color="auto" w:sz="2" w:space="0"/>
            </w:tcBorders>
            <w:vAlign w:val="center"/>
          </w:tcPr>
          <w:p w14:paraId="72557C3A">
            <w:pPr>
              <w:spacing w:line="240" w:lineRule="exact"/>
              <w:jc w:val="right"/>
              <w:rPr>
                <w:rFonts w:ascii="宋体" w:hAnsi="宋体" w:eastAsia="宋体" w:cs="宋体"/>
                <w:sz w:val="18"/>
                <w:szCs w:val="18"/>
              </w:rPr>
            </w:pPr>
            <w:r>
              <w:rPr>
                <w:rFonts w:ascii="宋体" w:hAnsi="宋体" w:eastAsia="宋体" w:cs="宋体"/>
                <w:sz w:val="18"/>
                <w:szCs w:val="18"/>
              </w:rPr>
              <w:t>2,738,348,953.80</w:t>
            </w:r>
          </w:p>
        </w:tc>
      </w:tr>
      <w:tr w14:paraId="3FF7B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0006BF">
            <w:pPr>
              <w:spacing w:line="240" w:lineRule="exact"/>
              <w:ind w:firstLine="180" w:firstLineChars="100"/>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14:paraId="73A5D998">
            <w:pPr>
              <w:spacing w:line="240" w:lineRule="exact"/>
              <w:jc w:val="right"/>
              <w:rPr>
                <w:rFonts w:ascii="宋体" w:hAnsi="宋体" w:eastAsia="宋体" w:cs="宋体"/>
                <w:sz w:val="18"/>
                <w:szCs w:val="18"/>
              </w:rPr>
            </w:pPr>
            <w:r>
              <w:rPr>
                <w:rFonts w:ascii="宋体" w:hAnsi="宋体" w:eastAsia="宋体" w:cs="宋体"/>
                <w:sz w:val="18"/>
                <w:szCs w:val="18"/>
              </w:rPr>
              <w:t>300,104,207.84</w:t>
            </w:r>
          </w:p>
        </w:tc>
        <w:tc>
          <w:tcPr>
            <w:tcW w:w="3213" w:type="dxa"/>
            <w:tcBorders>
              <w:top w:val="single" w:color="auto" w:sz="2" w:space="0"/>
              <w:left w:val="single" w:color="auto" w:sz="2" w:space="0"/>
              <w:bottom w:val="single" w:color="auto" w:sz="2" w:space="0"/>
              <w:right w:val="single" w:color="auto" w:sz="2" w:space="0"/>
            </w:tcBorders>
            <w:vAlign w:val="center"/>
          </w:tcPr>
          <w:p w14:paraId="6D307DA5">
            <w:pPr>
              <w:spacing w:line="240" w:lineRule="exact"/>
              <w:jc w:val="right"/>
              <w:rPr>
                <w:rFonts w:ascii="宋体" w:hAnsi="宋体" w:eastAsia="宋体" w:cs="宋体"/>
                <w:sz w:val="18"/>
                <w:szCs w:val="18"/>
              </w:rPr>
            </w:pPr>
            <w:r>
              <w:rPr>
                <w:rFonts w:ascii="宋体" w:hAnsi="宋体" w:eastAsia="宋体" w:cs="宋体"/>
                <w:sz w:val="18"/>
                <w:szCs w:val="18"/>
              </w:rPr>
              <w:t>300,104,207.84</w:t>
            </w:r>
          </w:p>
        </w:tc>
      </w:tr>
      <w:tr w14:paraId="2205E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456639">
            <w:pPr>
              <w:spacing w:line="240" w:lineRule="exact"/>
              <w:ind w:firstLine="180" w:firstLineChars="100"/>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5A64CACC">
            <w:pPr>
              <w:spacing w:line="240" w:lineRule="exact"/>
              <w:jc w:val="right"/>
              <w:rPr>
                <w:rFonts w:ascii="宋体" w:hAnsi="宋体" w:eastAsia="宋体" w:cs="宋体"/>
                <w:sz w:val="18"/>
                <w:szCs w:val="18"/>
              </w:rPr>
            </w:pPr>
            <w:r>
              <w:rPr>
                <w:rFonts w:ascii="宋体" w:hAnsi="宋体" w:eastAsia="宋体" w:cs="宋体"/>
                <w:sz w:val="18"/>
                <w:szCs w:val="18"/>
              </w:rPr>
              <w:t>-160,127,948.61</w:t>
            </w:r>
          </w:p>
        </w:tc>
        <w:tc>
          <w:tcPr>
            <w:tcW w:w="3213" w:type="dxa"/>
            <w:tcBorders>
              <w:top w:val="single" w:color="auto" w:sz="2" w:space="0"/>
              <w:left w:val="single" w:color="auto" w:sz="2" w:space="0"/>
              <w:bottom w:val="single" w:color="auto" w:sz="2" w:space="0"/>
              <w:right w:val="single" w:color="auto" w:sz="2" w:space="0"/>
            </w:tcBorders>
            <w:vAlign w:val="center"/>
          </w:tcPr>
          <w:p w14:paraId="4B613DE4">
            <w:pPr>
              <w:spacing w:line="240" w:lineRule="exact"/>
              <w:jc w:val="right"/>
              <w:rPr>
                <w:rFonts w:ascii="宋体" w:hAnsi="宋体" w:eastAsia="宋体" w:cs="宋体"/>
                <w:sz w:val="18"/>
                <w:szCs w:val="18"/>
              </w:rPr>
            </w:pPr>
            <w:r>
              <w:rPr>
                <w:rFonts w:ascii="宋体" w:hAnsi="宋体" w:eastAsia="宋体" w:cs="宋体"/>
                <w:sz w:val="18"/>
                <w:szCs w:val="18"/>
              </w:rPr>
              <w:t>-112,335,813.37</w:t>
            </w:r>
          </w:p>
        </w:tc>
      </w:tr>
      <w:tr w14:paraId="3F175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92FA88">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14:paraId="4EAF0C7D">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523B925">
            <w:pPr>
              <w:spacing w:line="240" w:lineRule="exact"/>
              <w:jc w:val="right"/>
              <w:rPr>
                <w:rFonts w:ascii="宋体" w:hAnsi="宋体" w:eastAsia="宋体" w:cs="宋体"/>
                <w:sz w:val="18"/>
                <w:szCs w:val="18"/>
              </w:rPr>
            </w:pPr>
          </w:p>
        </w:tc>
      </w:tr>
      <w:tr w14:paraId="7FF22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273D65">
            <w:pPr>
              <w:spacing w:line="240" w:lineRule="exact"/>
              <w:ind w:firstLine="180" w:firstLineChars="100"/>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14:paraId="3C26BE10">
            <w:pPr>
              <w:spacing w:line="240" w:lineRule="exact"/>
              <w:jc w:val="right"/>
              <w:rPr>
                <w:rFonts w:ascii="宋体" w:hAnsi="宋体" w:eastAsia="宋体" w:cs="宋体"/>
                <w:sz w:val="18"/>
                <w:szCs w:val="18"/>
              </w:rPr>
            </w:pPr>
            <w:r>
              <w:rPr>
                <w:rFonts w:ascii="宋体" w:hAnsi="宋体" w:eastAsia="宋体" w:cs="宋体"/>
                <w:sz w:val="18"/>
                <w:szCs w:val="18"/>
              </w:rPr>
              <w:t>345,240,982.51</w:t>
            </w:r>
          </w:p>
        </w:tc>
        <w:tc>
          <w:tcPr>
            <w:tcW w:w="3213" w:type="dxa"/>
            <w:tcBorders>
              <w:top w:val="single" w:color="auto" w:sz="2" w:space="0"/>
              <w:left w:val="single" w:color="auto" w:sz="2" w:space="0"/>
              <w:bottom w:val="single" w:color="auto" w:sz="2" w:space="0"/>
              <w:right w:val="single" w:color="auto" w:sz="2" w:space="0"/>
            </w:tcBorders>
            <w:vAlign w:val="center"/>
          </w:tcPr>
          <w:p w14:paraId="1721BA00">
            <w:pPr>
              <w:spacing w:line="240" w:lineRule="exact"/>
              <w:jc w:val="right"/>
              <w:rPr>
                <w:rFonts w:ascii="宋体" w:hAnsi="宋体" w:eastAsia="宋体" w:cs="宋体"/>
                <w:sz w:val="18"/>
                <w:szCs w:val="18"/>
              </w:rPr>
            </w:pPr>
            <w:r>
              <w:rPr>
                <w:rFonts w:ascii="宋体" w:hAnsi="宋体" w:eastAsia="宋体" w:cs="宋体"/>
                <w:sz w:val="18"/>
                <w:szCs w:val="18"/>
              </w:rPr>
              <w:t>340,761,640.15</w:t>
            </w:r>
          </w:p>
        </w:tc>
      </w:tr>
      <w:tr w14:paraId="4DA05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58FA49">
            <w:pPr>
              <w:spacing w:line="240" w:lineRule="exact"/>
              <w:ind w:firstLine="180" w:firstLineChars="100"/>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14:paraId="1C847C51">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9F7C279">
            <w:pPr>
              <w:spacing w:line="240" w:lineRule="exact"/>
              <w:jc w:val="right"/>
              <w:rPr>
                <w:rFonts w:ascii="宋体" w:hAnsi="宋体" w:eastAsia="宋体" w:cs="宋体"/>
                <w:sz w:val="18"/>
                <w:szCs w:val="18"/>
              </w:rPr>
            </w:pPr>
          </w:p>
        </w:tc>
      </w:tr>
      <w:tr w14:paraId="7CB7B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D0E071">
            <w:pPr>
              <w:spacing w:line="240" w:lineRule="exact"/>
              <w:ind w:firstLine="180" w:firstLineChars="100"/>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3530B282">
            <w:pPr>
              <w:spacing w:line="240" w:lineRule="exact"/>
              <w:jc w:val="right"/>
              <w:rPr>
                <w:rFonts w:ascii="宋体" w:hAnsi="宋体" w:eastAsia="宋体" w:cs="宋体"/>
                <w:sz w:val="18"/>
                <w:szCs w:val="18"/>
              </w:rPr>
            </w:pPr>
            <w:r>
              <w:rPr>
                <w:rFonts w:ascii="宋体" w:hAnsi="宋体" w:eastAsia="宋体" w:cs="宋体"/>
                <w:sz w:val="18"/>
                <w:szCs w:val="18"/>
              </w:rPr>
              <w:t>1,468,486,264.04</w:t>
            </w:r>
          </w:p>
        </w:tc>
        <w:tc>
          <w:tcPr>
            <w:tcW w:w="3213" w:type="dxa"/>
            <w:tcBorders>
              <w:top w:val="single" w:color="auto" w:sz="2" w:space="0"/>
              <w:left w:val="single" w:color="auto" w:sz="2" w:space="0"/>
              <w:bottom w:val="single" w:color="auto" w:sz="2" w:space="0"/>
              <w:right w:val="single" w:color="auto" w:sz="2" w:space="0"/>
            </w:tcBorders>
            <w:vAlign w:val="center"/>
          </w:tcPr>
          <w:p w14:paraId="7C6879EA">
            <w:pPr>
              <w:spacing w:line="240" w:lineRule="exact"/>
              <w:jc w:val="right"/>
              <w:rPr>
                <w:rFonts w:ascii="宋体" w:hAnsi="宋体" w:eastAsia="宋体" w:cs="宋体"/>
                <w:sz w:val="18"/>
                <w:szCs w:val="18"/>
              </w:rPr>
            </w:pPr>
            <w:r>
              <w:rPr>
                <w:rFonts w:ascii="宋体" w:hAnsi="宋体" w:eastAsia="宋体" w:cs="宋体"/>
                <w:sz w:val="18"/>
                <w:szCs w:val="18"/>
              </w:rPr>
              <w:t>1,415,566,855.48</w:t>
            </w:r>
          </w:p>
        </w:tc>
      </w:tr>
      <w:tr w14:paraId="04327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2899D8">
            <w:pPr>
              <w:spacing w:line="240" w:lineRule="exac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14:paraId="3272A12C">
            <w:pPr>
              <w:spacing w:line="240" w:lineRule="exact"/>
              <w:jc w:val="right"/>
              <w:rPr>
                <w:rFonts w:ascii="宋体" w:hAnsi="宋体" w:eastAsia="宋体" w:cs="宋体"/>
                <w:sz w:val="18"/>
                <w:szCs w:val="18"/>
              </w:rPr>
            </w:pPr>
            <w:r>
              <w:rPr>
                <w:rFonts w:ascii="宋体" w:hAnsi="宋体" w:eastAsia="宋体" w:cs="宋体"/>
                <w:sz w:val="18"/>
                <w:szCs w:val="18"/>
              </w:rPr>
              <w:t>5,792,444,692.10</w:t>
            </w:r>
          </w:p>
        </w:tc>
        <w:tc>
          <w:tcPr>
            <w:tcW w:w="3213" w:type="dxa"/>
            <w:tcBorders>
              <w:top w:val="single" w:color="auto" w:sz="2" w:space="0"/>
              <w:left w:val="single" w:color="auto" w:sz="2" w:space="0"/>
              <w:bottom w:val="single" w:color="auto" w:sz="2" w:space="0"/>
              <w:right w:val="single" w:color="auto" w:sz="2" w:space="0"/>
            </w:tcBorders>
            <w:vAlign w:val="center"/>
          </w:tcPr>
          <w:p w14:paraId="74817976">
            <w:pPr>
              <w:spacing w:line="240" w:lineRule="exact"/>
              <w:jc w:val="right"/>
              <w:rPr>
                <w:rFonts w:ascii="宋体" w:hAnsi="宋体" w:eastAsia="宋体" w:cs="宋体"/>
                <w:sz w:val="18"/>
                <w:szCs w:val="18"/>
              </w:rPr>
            </w:pPr>
            <w:r>
              <w:rPr>
                <w:rFonts w:ascii="宋体" w:hAnsi="宋体" w:eastAsia="宋体" w:cs="宋体"/>
                <w:sz w:val="18"/>
                <w:szCs w:val="18"/>
              </w:rPr>
              <w:t>5,782,918,783.22</w:t>
            </w:r>
          </w:p>
        </w:tc>
      </w:tr>
      <w:tr w14:paraId="32641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2E871E">
            <w:pPr>
              <w:spacing w:line="240" w:lineRule="exact"/>
              <w:ind w:firstLine="180" w:firstLineChars="100"/>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14:paraId="49329496">
            <w:pPr>
              <w:spacing w:line="240" w:lineRule="exact"/>
              <w:jc w:val="right"/>
              <w:rPr>
                <w:rFonts w:ascii="宋体" w:hAnsi="宋体" w:eastAsia="宋体" w:cs="宋体"/>
                <w:sz w:val="18"/>
                <w:szCs w:val="18"/>
              </w:rPr>
            </w:pPr>
            <w:r>
              <w:rPr>
                <w:rFonts w:ascii="宋体" w:hAnsi="宋体" w:eastAsia="宋体" w:cs="宋体"/>
                <w:sz w:val="18"/>
                <w:szCs w:val="18"/>
              </w:rPr>
              <w:t>280,706,110.73</w:t>
            </w:r>
          </w:p>
        </w:tc>
        <w:tc>
          <w:tcPr>
            <w:tcW w:w="3213" w:type="dxa"/>
            <w:tcBorders>
              <w:top w:val="single" w:color="auto" w:sz="2" w:space="0"/>
              <w:left w:val="single" w:color="auto" w:sz="2" w:space="0"/>
              <w:bottom w:val="single" w:color="auto" w:sz="2" w:space="0"/>
              <w:right w:val="single" w:color="auto" w:sz="2" w:space="0"/>
            </w:tcBorders>
            <w:vAlign w:val="center"/>
          </w:tcPr>
          <w:p w14:paraId="4E735F4B">
            <w:pPr>
              <w:spacing w:line="240" w:lineRule="exact"/>
              <w:jc w:val="right"/>
              <w:rPr>
                <w:rFonts w:ascii="宋体" w:hAnsi="宋体" w:eastAsia="宋体" w:cs="宋体"/>
                <w:sz w:val="18"/>
                <w:szCs w:val="18"/>
              </w:rPr>
            </w:pPr>
            <w:r>
              <w:rPr>
                <w:rFonts w:ascii="宋体" w:hAnsi="宋体" w:eastAsia="宋体" w:cs="宋体"/>
                <w:sz w:val="18"/>
                <w:szCs w:val="18"/>
              </w:rPr>
              <w:t>291,121,567.71</w:t>
            </w:r>
          </w:p>
        </w:tc>
      </w:tr>
      <w:tr w14:paraId="45511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77CBE9">
            <w:pPr>
              <w:spacing w:line="240" w:lineRule="exac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14:paraId="5CA13740">
            <w:pPr>
              <w:spacing w:line="240" w:lineRule="exact"/>
              <w:jc w:val="right"/>
              <w:rPr>
                <w:rFonts w:ascii="宋体" w:hAnsi="宋体" w:eastAsia="宋体" w:cs="宋体"/>
                <w:sz w:val="18"/>
                <w:szCs w:val="18"/>
              </w:rPr>
            </w:pPr>
            <w:r>
              <w:rPr>
                <w:rFonts w:ascii="宋体" w:hAnsi="宋体" w:eastAsia="宋体" w:cs="宋体"/>
                <w:sz w:val="18"/>
                <w:szCs w:val="18"/>
              </w:rPr>
              <w:t>6,073,150,802.83</w:t>
            </w:r>
          </w:p>
        </w:tc>
        <w:tc>
          <w:tcPr>
            <w:tcW w:w="3213" w:type="dxa"/>
            <w:tcBorders>
              <w:top w:val="single" w:color="auto" w:sz="2" w:space="0"/>
              <w:left w:val="single" w:color="auto" w:sz="2" w:space="0"/>
              <w:bottom w:val="single" w:color="auto" w:sz="2" w:space="0"/>
              <w:right w:val="single" w:color="auto" w:sz="2" w:space="0"/>
            </w:tcBorders>
            <w:vAlign w:val="center"/>
          </w:tcPr>
          <w:p w14:paraId="03E5FB22">
            <w:pPr>
              <w:spacing w:line="240" w:lineRule="exact"/>
              <w:jc w:val="right"/>
              <w:rPr>
                <w:rFonts w:ascii="宋体" w:hAnsi="宋体" w:eastAsia="宋体" w:cs="宋体"/>
                <w:sz w:val="18"/>
                <w:szCs w:val="18"/>
              </w:rPr>
            </w:pPr>
            <w:r>
              <w:rPr>
                <w:rFonts w:ascii="宋体" w:hAnsi="宋体" w:eastAsia="宋体" w:cs="宋体"/>
                <w:sz w:val="18"/>
                <w:szCs w:val="18"/>
              </w:rPr>
              <w:t>6,074,040,350.93</w:t>
            </w:r>
          </w:p>
        </w:tc>
      </w:tr>
      <w:tr w14:paraId="3FA87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ADB753">
            <w:pPr>
              <w:spacing w:line="240" w:lineRule="exac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14:paraId="483FB2B8">
            <w:pPr>
              <w:spacing w:line="240" w:lineRule="exact"/>
              <w:jc w:val="right"/>
              <w:rPr>
                <w:rFonts w:ascii="宋体" w:hAnsi="宋体" w:eastAsia="宋体" w:cs="宋体"/>
                <w:sz w:val="18"/>
                <w:szCs w:val="18"/>
              </w:rPr>
            </w:pPr>
            <w:r>
              <w:rPr>
                <w:rFonts w:ascii="宋体" w:hAnsi="宋体" w:eastAsia="宋体" w:cs="宋体"/>
                <w:sz w:val="18"/>
                <w:szCs w:val="18"/>
              </w:rPr>
              <w:t>15,743,549,746.52</w:t>
            </w:r>
          </w:p>
        </w:tc>
        <w:tc>
          <w:tcPr>
            <w:tcW w:w="3213" w:type="dxa"/>
            <w:tcBorders>
              <w:top w:val="single" w:color="auto" w:sz="2" w:space="0"/>
              <w:left w:val="single" w:color="auto" w:sz="2" w:space="0"/>
              <w:bottom w:val="single" w:color="auto" w:sz="2" w:space="0"/>
              <w:right w:val="single" w:color="auto" w:sz="2" w:space="0"/>
            </w:tcBorders>
            <w:vAlign w:val="center"/>
          </w:tcPr>
          <w:p w14:paraId="55402ADB">
            <w:pPr>
              <w:spacing w:line="240" w:lineRule="exact"/>
              <w:jc w:val="right"/>
              <w:rPr>
                <w:rFonts w:ascii="宋体" w:hAnsi="宋体" w:eastAsia="宋体" w:cs="宋体"/>
                <w:sz w:val="18"/>
                <w:szCs w:val="18"/>
              </w:rPr>
            </w:pPr>
            <w:r>
              <w:rPr>
                <w:rFonts w:ascii="宋体" w:hAnsi="宋体" w:eastAsia="宋体" w:cs="宋体"/>
                <w:sz w:val="18"/>
                <w:szCs w:val="18"/>
              </w:rPr>
              <w:t>17,179,238,619.93</w:t>
            </w:r>
          </w:p>
        </w:tc>
      </w:tr>
    </w:tbl>
    <w:p w14:paraId="4E818776">
      <w:pPr>
        <w:spacing w:line="240" w:lineRule="exact"/>
        <w:rPr>
          <w:rFonts w:ascii="宋体" w:hAnsi="宋体" w:eastAsia="宋体" w:cs="宋体"/>
          <w:sz w:val="18"/>
          <w:szCs w:val="18"/>
        </w:rPr>
      </w:pPr>
      <w:r>
        <w:rPr>
          <w:rFonts w:ascii="宋体" w:hAnsi="宋体" w:eastAsia="宋体" w:cs="宋体"/>
          <w:sz w:val="18"/>
          <w:szCs w:val="18"/>
        </w:rPr>
        <w:t>法定代表人：孙伟挺    主管会计工作负责人：陈玲芬      会计机构负责人：王国友</w:t>
      </w:r>
    </w:p>
    <w:p w14:paraId="0FC35E34">
      <w:pPr>
        <w:pStyle w:val="3"/>
        <w:spacing w:line="280" w:lineRule="exact"/>
        <w:jc w:val="left"/>
        <w:rPr>
          <w:rFonts w:ascii="宋体" w:hAnsi="宋体" w:cs="宋体"/>
          <w:b/>
          <w:bCs/>
        </w:rPr>
      </w:pPr>
      <w:bookmarkStart w:id="162" w:name="_Toc989048"/>
      <w:r>
        <w:rPr>
          <w:rFonts w:ascii="宋体" w:hAnsi="宋体" w:cs="宋体"/>
          <w:b/>
          <w:bCs/>
        </w:rPr>
        <w:t>2、母公司资产负债表</w:t>
      </w:r>
      <w:bookmarkEnd w:id="162"/>
    </w:p>
    <w:p w14:paraId="146CE0CF">
      <w:pPr>
        <w:spacing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AD71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4389FA">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6266FE">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A53D3B">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262A5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31332C">
            <w:pPr>
              <w:spacing w:before="40" w:after="40" w:line="240" w:lineRule="exac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568530"/>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D4F785"/>
        </w:tc>
      </w:tr>
      <w:tr w14:paraId="549A8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7477D6">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470AF782">
            <w:pPr>
              <w:spacing w:line="240" w:lineRule="exact"/>
              <w:jc w:val="right"/>
              <w:rPr>
                <w:rFonts w:ascii="宋体" w:hAnsi="宋体" w:eastAsia="宋体" w:cs="宋体"/>
                <w:sz w:val="18"/>
                <w:szCs w:val="18"/>
              </w:rPr>
            </w:pPr>
            <w:r>
              <w:rPr>
                <w:rFonts w:ascii="宋体" w:hAnsi="宋体" w:eastAsia="宋体" w:cs="宋体"/>
                <w:sz w:val="18"/>
                <w:szCs w:val="18"/>
              </w:rPr>
              <w:t>95,362,112.16</w:t>
            </w:r>
          </w:p>
        </w:tc>
        <w:tc>
          <w:tcPr>
            <w:tcW w:w="3213" w:type="dxa"/>
            <w:tcBorders>
              <w:top w:val="single" w:color="auto" w:sz="2" w:space="0"/>
              <w:left w:val="single" w:color="auto" w:sz="2" w:space="0"/>
              <w:bottom w:val="single" w:color="auto" w:sz="2" w:space="0"/>
              <w:right w:val="single" w:color="auto" w:sz="2" w:space="0"/>
            </w:tcBorders>
            <w:vAlign w:val="center"/>
          </w:tcPr>
          <w:p w14:paraId="0BB390D2">
            <w:pPr>
              <w:spacing w:line="240" w:lineRule="exact"/>
              <w:jc w:val="right"/>
              <w:rPr>
                <w:rFonts w:ascii="宋体" w:hAnsi="宋体" w:eastAsia="宋体" w:cs="宋体"/>
                <w:sz w:val="18"/>
                <w:szCs w:val="18"/>
              </w:rPr>
            </w:pPr>
            <w:r>
              <w:rPr>
                <w:rFonts w:ascii="宋体" w:hAnsi="宋体" w:eastAsia="宋体" w:cs="宋体"/>
                <w:sz w:val="18"/>
                <w:szCs w:val="18"/>
              </w:rPr>
              <w:t>115,021,547.26</w:t>
            </w:r>
          </w:p>
        </w:tc>
      </w:tr>
      <w:tr w14:paraId="2D36E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59DF2B">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088A925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6D7BA8F">
            <w:pPr>
              <w:spacing w:line="240" w:lineRule="exact"/>
              <w:jc w:val="right"/>
              <w:rPr>
                <w:rFonts w:ascii="宋体" w:hAnsi="宋体" w:eastAsia="宋体" w:cs="宋体"/>
                <w:sz w:val="18"/>
                <w:szCs w:val="18"/>
              </w:rPr>
            </w:pPr>
            <w:r>
              <w:rPr>
                <w:rFonts w:ascii="宋体" w:hAnsi="宋体" w:eastAsia="宋体" w:cs="宋体"/>
                <w:sz w:val="18"/>
                <w:szCs w:val="18"/>
              </w:rPr>
              <w:t>37,354,670.10</w:t>
            </w:r>
          </w:p>
        </w:tc>
      </w:tr>
      <w:tr w14:paraId="058F0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960EDA">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2850292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724D1DE">
            <w:pPr>
              <w:spacing w:line="240" w:lineRule="exact"/>
              <w:jc w:val="right"/>
              <w:rPr>
                <w:rFonts w:ascii="宋体" w:hAnsi="宋体" w:eastAsia="宋体" w:cs="宋体"/>
                <w:sz w:val="18"/>
                <w:szCs w:val="18"/>
              </w:rPr>
            </w:pPr>
          </w:p>
        </w:tc>
      </w:tr>
      <w:tr w14:paraId="58439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472E6B">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14:paraId="7C41050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C4223B6">
            <w:pPr>
              <w:spacing w:line="240" w:lineRule="exact"/>
              <w:jc w:val="right"/>
              <w:rPr>
                <w:rFonts w:ascii="宋体" w:hAnsi="宋体" w:eastAsia="宋体" w:cs="宋体"/>
                <w:sz w:val="18"/>
                <w:szCs w:val="18"/>
              </w:rPr>
            </w:pPr>
            <w:r>
              <w:rPr>
                <w:rFonts w:ascii="宋体" w:hAnsi="宋体" w:eastAsia="宋体" w:cs="宋体"/>
                <w:sz w:val="18"/>
                <w:szCs w:val="18"/>
              </w:rPr>
              <w:t>130,000.00</w:t>
            </w:r>
          </w:p>
        </w:tc>
      </w:tr>
      <w:tr w14:paraId="5AB0F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58E7D4">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14:paraId="32904E27">
            <w:pPr>
              <w:spacing w:line="240" w:lineRule="exact"/>
              <w:jc w:val="right"/>
              <w:rPr>
                <w:rFonts w:ascii="宋体" w:hAnsi="宋体" w:eastAsia="宋体" w:cs="宋体"/>
                <w:sz w:val="18"/>
                <w:szCs w:val="18"/>
              </w:rPr>
            </w:pPr>
            <w:r>
              <w:rPr>
                <w:rFonts w:ascii="宋体" w:hAnsi="宋体" w:eastAsia="宋体" w:cs="宋体"/>
                <w:sz w:val="18"/>
                <w:szCs w:val="18"/>
              </w:rPr>
              <w:t>14,053,882.80</w:t>
            </w:r>
          </w:p>
        </w:tc>
        <w:tc>
          <w:tcPr>
            <w:tcW w:w="3213" w:type="dxa"/>
            <w:tcBorders>
              <w:top w:val="single" w:color="auto" w:sz="2" w:space="0"/>
              <w:left w:val="single" w:color="auto" w:sz="2" w:space="0"/>
              <w:bottom w:val="single" w:color="auto" w:sz="2" w:space="0"/>
              <w:right w:val="single" w:color="auto" w:sz="2" w:space="0"/>
            </w:tcBorders>
            <w:vAlign w:val="center"/>
          </w:tcPr>
          <w:p w14:paraId="3705786C">
            <w:pPr>
              <w:spacing w:line="240" w:lineRule="exact"/>
              <w:jc w:val="right"/>
              <w:rPr>
                <w:rFonts w:ascii="宋体" w:hAnsi="宋体" w:eastAsia="宋体" w:cs="宋体"/>
                <w:sz w:val="18"/>
                <w:szCs w:val="18"/>
              </w:rPr>
            </w:pPr>
            <w:r>
              <w:rPr>
                <w:rFonts w:ascii="宋体" w:hAnsi="宋体" w:eastAsia="宋体" w:cs="宋体"/>
                <w:sz w:val="18"/>
                <w:szCs w:val="18"/>
              </w:rPr>
              <w:t>7,210,307.45</w:t>
            </w:r>
          </w:p>
        </w:tc>
      </w:tr>
      <w:tr w14:paraId="471B1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32B052">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14:paraId="3A2F3A86">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DC15A77">
            <w:pPr>
              <w:spacing w:line="240" w:lineRule="exact"/>
              <w:jc w:val="right"/>
              <w:rPr>
                <w:rFonts w:ascii="宋体" w:hAnsi="宋体" w:eastAsia="宋体" w:cs="宋体"/>
                <w:sz w:val="18"/>
                <w:szCs w:val="18"/>
              </w:rPr>
            </w:pPr>
          </w:p>
        </w:tc>
      </w:tr>
      <w:tr w14:paraId="6AF6C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59F791">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14:paraId="0DED6001">
            <w:pPr>
              <w:spacing w:line="240" w:lineRule="exact"/>
              <w:jc w:val="right"/>
              <w:rPr>
                <w:rFonts w:ascii="宋体" w:hAnsi="宋体" w:eastAsia="宋体" w:cs="宋体"/>
                <w:sz w:val="18"/>
                <w:szCs w:val="18"/>
              </w:rPr>
            </w:pPr>
            <w:r>
              <w:rPr>
                <w:rFonts w:ascii="宋体" w:hAnsi="宋体" w:eastAsia="宋体" w:cs="宋体"/>
                <w:sz w:val="18"/>
                <w:szCs w:val="18"/>
              </w:rPr>
              <w:t>600,893,746.52</w:t>
            </w:r>
          </w:p>
        </w:tc>
        <w:tc>
          <w:tcPr>
            <w:tcW w:w="3213" w:type="dxa"/>
            <w:tcBorders>
              <w:top w:val="single" w:color="auto" w:sz="2" w:space="0"/>
              <w:left w:val="single" w:color="auto" w:sz="2" w:space="0"/>
              <w:bottom w:val="single" w:color="auto" w:sz="2" w:space="0"/>
              <w:right w:val="single" w:color="auto" w:sz="2" w:space="0"/>
            </w:tcBorders>
            <w:vAlign w:val="center"/>
          </w:tcPr>
          <w:p w14:paraId="3C08F115">
            <w:pPr>
              <w:spacing w:line="240" w:lineRule="exact"/>
              <w:jc w:val="right"/>
              <w:rPr>
                <w:rFonts w:ascii="宋体" w:hAnsi="宋体" w:eastAsia="宋体" w:cs="宋体"/>
                <w:sz w:val="18"/>
                <w:szCs w:val="18"/>
              </w:rPr>
            </w:pPr>
            <w:r>
              <w:rPr>
                <w:rFonts w:ascii="宋体" w:hAnsi="宋体" w:eastAsia="宋体" w:cs="宋体"/>
                <w:sz w:val="18"/>
                <w:szCs w:val="18"/>
              </w:rPr>
              <w:t>1,106,281,125.37</w:t>
            </w:r>
          </w:p>
        </w:tc>
      </w:tr>
      <w:tr w14:paraId="05EDB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40E0CE">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14:paraId="5FDB3E37">
            <w:pPr>
              <w:spacing w:line="240" w:lineRule="exact"/>
              <w:jc w:val="right"/>
              <w:rPr>
                <w:rFonts w:ascii="宋体" w:hAnsi="宋体" w:eastAsia="宋体" w:cs="宋体"/>
                <w:sz w:val="18"/>
                <w:szCs w:val="18"/>
              </w:rPr>
            </w:pPr>
            <w:r>
              <w:rPr>
                <w:rFonts w:ascii="宋体" w:hAnsi="宋体" w:eastAsia="宋体" w:cs="宋体"/>
                <w:sz w:val="18"/>
                <w:szCs w:val="18"/>
              </w:rPr>
              <w:t>1,555,710.53</w:t>
            </w:r>
          </w:p>
        </w:tc>
        <w:tc>
          <w:tcPr>
            <w:tcW w:w="3213" w:type="dxa"/>
            <w:tcBorders>
              <w:top w:val="single" w:color="auto" w:sz="2" w:space="0"/>
              <w:left w:val="single" w:color="auto" w:sz="2" w:space="0"/>
              <w:bottom w:val="single" w:color="auto" w:sz="2" w:space="0"/>
              <w:right w:val="single" w:color="auto" w:sz="2" w:space="0"/>
            </w:tcBorders>
            <w:vAlign w:val="center"/>
          </w:tcPr>
          <w:p w14:paraId="542CEFDD">
            <w:pPr>
              <w:spacing w:line="240" w:lineRule="exact"/>
              <w:jc w:val="right"/>
              <w:rPr>
                <w:rFonts w:ascii="宋体" w:hAnsi="宋体" w:eastAsia="宋体" w:cs="宋体"/>
                <w:sz w:val="18"/>
                <w:szCs w:val="18"/>
              </w:rPr>
            </w:pPr>
            <w:r>
              <w:rPr>
                <w:rFonts w:ascii="宋体" w:hAnsi="宋体" w:eastAsia="宋体" w:cs="宋体"/>
                <w:sz w:val="18"/>
                <w:szCs w:val="18"/>
              </w:rPr>
              <w:t>30,894,589.49</w:t>
            </w:r>
          </w:p>
        </w:tc>
      </w:tr>
      <w:tr w14:paraId="454EB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BB4F50">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14:paraId="029D4572">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5B2D99B">
            <w:pPr>
              <w:spacing w:line="240" w:lineRule="exact"/>
              <w:jc w:val="right"/>
              <w:rPr>
                <w:rFonts w:ascii="宋体" w:hAnsi="宋体" w:eastAsia="宋体" w:cs="宋体"/>
                <w:sz w:val="18"/>
                <w:szCs w:val="18"/>
              </w:rPr>
            </w:pPr>
          </w:p>
        </w:tc>
      </w:tr>
      <w:tr w14:paraId="61312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08486F">
            <w:pPr>
              <w:spacing w:before="40" w:after="40" w:line="240" w:lineRule="exact"/>
              <w:ind w:firstLine="900" w:firstLineChars="500"/>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14:paraId="0795DE6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FBA6600">
            <w:pPr>
              <w:spacing w:line="240" w:lineRule="exact"/>
              <w:jc w:val="right"/>
              <w:rPr>
                <w:rFonts w:ascii="宋体" w:hAnsi="宋体" w:eastAsia="宋体" w:cs="宋体"/>
                <w:sz w:val="18"/>
                <w:szCs w:val="18"/>
              </w:rPr>
            </w:pPr>
          </w:p>
        </w:tc>
      </w:tr>
      <w:tr w14:paraId="681CA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7CEB59">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14:paraId="3452C230">
            <w:pPr>
              <w:spacing w:line="240" w:lineRule="exact"/>
              <w:jc w:val="right"/>
              <w:rPr>
                <w:rFonts w:ascii="宋体" w:hAnsi="宋体" w:eastAsia="宋体" w:cs="宋体"/>
                <w:sz w:val="18"/>
                <w:szCs w:val="18"/>
              </w:rPr>
            </w:pPr>
            <w:r>
              <w:rPr>
                <w:rFonts w:ascii="宋体" w:hAnsi="宋体" w:eastAsia="宋体" w:cs="宋体"/>
                <w:sz w:val="18"/>
                <w:szCs w:val="18"/>
              </w:rPr>
              <w:t>261,670,206.87</w:t>
            </w:r>
          </w:p>
        </w:tc>
        <w:tc>
          <w:tcPr>
            <w:tcW w:w="3213" w:type="dxa"/>
            <w:tcBorders>
              <w:top w:val="single" w:color="auto" w:sz="2" w:space="0"/>
              <w:left w:val="single" w:color="auto" w:sz="2" w:space="0"/>
              <w:bottom w:val="single" w:color="auto" w:sz="2" w:space="0"/>
              <w:right w:val="single" w:color="auto" w:sz="2" w:space="0"/>
            </w:tcBorders>
            <w:vAlign w:val="center"/>
          </w:tcPr>
          <w:p w14:paraId="382D90EF">
            <w:pPr>
              <w:spacing w:line="240" w:lineRule="exact"/>
              <w:jc w:val="right"/>
              <w:rPr>
                <w:rFonts w:ascii="宋体" w:hAnsi="宋体" w:eastAsia="宋体" w:cs="宋体"/>
                <w:sz w:val="18"/>
                <w:szCs w:val="18"/>
              </w:rPr>
            </w:pPr>
            <w:r>
              <w:rPr>
                <w:rFonts w:ascii="宋体" w:hAnsi="宋体" w:eastAsia="宋体" w:cs="宋体"/>
                <w:sz w:val="18"/>
                <w:szCs w:val="18"/>
              </w:rPr>
              <w:t>151,466,130.47</w:t>
            </w:r>
          </w:p>
        </w:tc>
      </w:tr>
      <w:tr w14:paraId="468E9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E7F8E1">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0DF510F6">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33DA1C6">
            <w:pPr>
              <w:spacing w:line="240" w:lineRule="exact"/>
              <w:jc w:val="right"/>
              <w:rPr>
                <w:rFonts w:ascii="宋体" w:hAnsi="宋体" w:eastAsia="宋体" w:cs="宋体"/>
                <w:sz w:val="18"/>
                <w:szCs w:val="18"/>
              </w:rPr>
            </w:pPr>
          </w:p>
        </w:tc>
      </w:tr>
      <w:tr w14:paraId="7C17B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C9267C">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14:paraId="222441AC">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06C6646">
            <w:pPr>
              <w:spacing w:line="240" w:lineRule="exact"/>
              <w:jc w:val="right"/>
              <w:rPr>
                <w:rFonts w:ascii="宋体" w:hAnsi="宋体" w:eastAsia="宋体" w:cs="宋体"/>
                <w:sz w:val="18"/>
                <w:szCs w:val="18"/>
              </w:rPr>
            </w:pPr>
          </w:p>
        </w:tc>
      </w:tr>
      <w:tr w14:paraId="4C294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E16561">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14:paraId="3CF790B7">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9C13E97">
            <w:pPr>
              <w:spacing w:line="240" w:lineRule="exact"/>
              <w:jc w:val="right"/>
              <w:rPr>
                <w:rFonts w:ascii="宋体" w:hAnsi="宋体" w:eastAsia="宋体" w:cs="宋体"/>
                <w:sz w:val="18"/>
                <w:szCs w:val="18"/>
              </w:rPr>
            </w:pPr>
          </w:p>
        </w:tc>
      </w:tr>
      <w:tr w14:paraId="57ABA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EB2BD7">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335F2125">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796C8D7">
            <w:pPr>
              <w:spacing w:line="240" w:lineRule="exact"/>
              <w:jc w:val="right"/>
              <w:rPr>
                <w:rFonts w:ascii="宋体" w:hAnsi="宋体" w:eastAsia="宋体" w:cs="宋体"/>
                <w:sz w:val="18"/>
                <w:szCs w:val="18"/>
              </w:rPr>
            </w:pPr>
          </w:p>
        </w:tc>
      </w:tr>
      <w:tr w14:paraId="5F8F4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3080F8">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65F04D12">
            <w:pPr>
              <w:spacing w:line="240" w:lineRule="exact"/>
              <w:jc w:val="right"/>
              <w:rPr>
                <w:rFonts w:ascii="宋体" w:hAnsi="宋体" w:eastAsia="宋体" w:cs="宋体"/>
                <w:sz w:val="18"/>
                <w:szCs w:val="18"/>
              </w:rPr>
            </w:pPr>
            <w:r>
              <w:rPr>
                <w:rFonts w:ascii="宋体" w:hAnsi="宋体" w:eastAsia="宋体" w:cs="宋体"/>
                <w:sz w:val="18"/>
                <w:szCs w:val="18"/>
              </w:rPr>
              <w:t>89,682,249.67</w:t>
            </w:r>
          </w:p>
        </w:tc>
        <w:tc>
          <w:tcPr>
            <w:tcW w:w="3213" w:type="dxa"/>
            <w:tcBorders>
              <w:top w:val="single" w:color="auto" w:sz="2" w:space="0"/>
              <w:left w:val="single" w:color="auto" w:sz="2" w:space="0"/>
              <w:bottom w:val="single" w:color="auto" w:sz="2" w:space="0"/>
              <w:right w:val="single" w:color="auto" w:sz="2" w:space="0"/>
            </w:tcBorders>
            <w:vAlign w:val="center"/>
          </w:tcPr>
          <w:p w14:paraId="19D73F0C">
            <w:pPr>
              <w:spacing w:line="240" w:lineRule="exact"/>
              <w:jc w:val="right"/>
              <w:rPr>
                <w:rFonts w:ascii="宋体" w:hAnsi="宋体" w:eastAsia="宋体" w:cs="宋体"/>
                <w:sz w:val="18"/>
                <w:szCs w:val="18"/>
              </w:rPr>
            </w:pPr>
            <w:r>
              <w:rPr>
                <w:rFonts w:ascii="宋体" w:hAnsi="宋体" w:eastAsia="宋体" w:cs="宋体"/>
                <w:sz w:val="18"/>
                <w:szCs w:val="18"/>
              </w:rPr>
              <w:t>61,059,875.11</w:t>
            </w:r>
          </w:p>
        </w:tc>
      </w:tr>
      <w:tr w14:paraId="03E08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1A341B">
            <w:pPr>
              <w:spacing w:before="40" w:after="40" w:line="240" w:lineRule="exac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3CDD788A">
            <w:pPr>
              <w:spacing w:line="240" w:lineRule="exact"/>
              <w:jc w:val="right"/>
              <w:rPr>
                <w:rFonts w:ascii="宋体" w:hAnsi="宋体" w:eastAsia="宋体" w:cs="宋体"/>
                <w:sz w:val="18"/>
                <w:szCs w:val="18"/>
              </w:rPr>
            </w:pPr>
            <w:r>
              <w:rPr>
                <w:rFonts w:ascii="宋体" w:hAnsi="宋体" w:eastAsia="宋体" w:cs="宋体"/>
                <w:sz w:val="18"/>
                <w:szCs w:val="18"/>
              </w:rPr>
              <w:t>1,063,217,908.55</w:t>
            </w:r>
          </w:p>
        </w:tc>
        <w:tc>
          <w:tcPr>
            <w:tcW w:w="3213" w:type="dxa"/>
            <w:tcBorders>
              <w:top w:val="single" w:color="auto" w:sz="2" w:space="0"/>
              <w:left w:val="single" w:color="auto" w:sz="2" w:space="0"/>
              <w:bottom w:val="single" w:color="auto" w:sz="2" w:space="0"/>
              <w:right w:val="single" w:color="auto" w:sz="2" w:space="0"/>
            </w:tcBorders>
            <w:vAlign w:val="center"/>
          </w:tcPr>
          <w:p w14:paraId="73F92A28">
            <w:pPr>
              <w:spacing w:line="240" w:lineRule="exact"/>
              <w:jc w:val="right"/>
              <w:rPr>
                <w:rFonts w:ascii="宋体" w:hAnsi="宋体" w:eastAsia="宋体" w:cs="宋体"/>
                <w:sz w:val="18"/>
                <w:szCs w:val="18"/>
              </w:rPr>
            </w:pPr>
            <w:r>
              <w:rPr>
                <w:rFonts w:ascii="宋体" w:hAnsi="宋体" w:eastAsia="宋体" w:cs="宋体"/>
                <w:sz w:val="18"/>
                <w:szCs w:val="18"/>
              </w:rPr>
              <w:t>1,509,418,245.25</w:t>
            </w:r>
          </w:p>
        </w:tc>
      </w:tr>
      <w:tr w14:paraId="7A5C5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8EB875">
            <w:pPr>
              <w:spacing w:before="40" w:after="40" w:line="240" w:lineRule="exac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438867"/>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867E1F"/>
        </w:tc>
      </w:tr>
      <w:tr w14:paraId="0DE3C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9BAE88">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06F4A65E">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9376416">
            <w:pPr>
              <w:spacing w:line="240" w:lineRule="exact"/>
              <w:jc w:val="right"/>
              <w:rPr>
                <w:rFonts w:ascii="宋体" w:hAnsi="宋体" w:eastAsia="宋体" w:cs="宋体"/>
                <w:sz w:val="18"/>
                <w:szCs w:val="18"/>
              </w:rPr>
            </w:pPr>
          </w:p>
        </w:tc>
      </w:tr>
      <w:tr w14:paraId="51836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B6DF3A">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14:paraId="3F360EA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0519854">
            <w:pPr>
              <w:spacing w:line="240" w:lineRule="exact"/>
              <w:jc w:val="right"/>
              <w:rPr>
                <w:rFonts w:ascii="宋体" w:hAnsi="宋体" w:eastAsia="宋体" w:cs="宋体"/>
                <w:sz w:val="18"/>
                <w:szCs w:val="18"/>
              </w:rPr>
            </w:pPr>
          </w:p>
        </w:tc>
      </w:tr>
      <w:tr w14:paraId="7878C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5A34A7">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14:paraId="245FBA9D">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5383771">
            <w:pPr>
              <w:spacing w:line="240" w:lineRule="exact"/>
              <w:jc w:val="right"/>
              <w:rPr>
                <w:rFonts w:ascii="宋体" w:hAnsi="宋体" w:eastAsia="宋体" w:cs="宋体"/>
                <w:sz w:val="18"/>
                <w:szCs w:val="18"/>
              </w:rPr>
            </w:pPr>
          </w:p>
        </w:tc>
      </w:tr>
      <w:tr w14:paraId="24B34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719B91">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14:paraId="4044E199">
            <w:pPr>
              <w:spacing w:line="240" w:lineRule="exact"/>
              <w:jc w:val="right"/>
              <w:rPr>
                <w:rFonts w:ascii="宋体" w:hAnsi="宋体" w:eastAsia="宋体" w:cs="宋体"/>
                <w:sz w:val="18"/>
                <w:szCs w:val="18"/>
              </w:rPr>
            </w:pPr>
            <w:r>
              <w:rPr>
                <w:rFonts w:ascii="宋体" w:hAnsi="宋体" w:eastAsia="宋体" w:cs="宋体"/>
                <w:sz w:val="18"/>
                <w:szCs w:val="18"/>
              </w:rPr>
              <w:t>4,249,351,677.33</w:t>
            </w:r>
          </w:p>
        </w:tc>
        <w:tc>
          <w:tcPr>
            <w:tcW w:w="3213" w:type="dxa"/>
            <w:tcBorders>
              <w:top w:val="single" w:color="auto" w:sz="2" w:space="0"/>
              <w:left w:val="single" w:color="auto" w:sz="2" w:space="0"/>
              <w:bottom w:val="single" w:color="auto" w:sz="2" w:space="0"/>
              <w:right w:val="single" w:color="auto" w:sz="2" w:space="0"/>
            </w:tcBorders>
            <w:vAlign w:val="center"/>
          </w:tcPr>
          <w:p w14:paraId="700281A9">
            <w:pPr>
              <w:spacing w:line="240" w:lineRule="exact"/>
              <w:jc w:val="right"/>
              <w:rPr>
                <w:rFonts w:ascii="宋体" w:hAnsi="宋体" w:eastAsia="宋体" w:cs="宋体"/>
                <w:sz w:val="18"/>
                <w:szCs w:val="18"/>
              </w:rPr>
            </w:pPr>
            <w:r>
              <w:rPr>
                <w:rFonts w:ascii="宋体" w:hAnsi="宋体" w:eastAsia="宋体" w:cs="宋体"/>
                <w:sz w:val="18"/>
                <w:szCs w:val="18"/>
              </w:rPr>
              <w:t>4,143,101,677.33</w:t>
            </w:r>
          </w:p>
        </w:tc>
      </w:tr>
      <w:tr w14:paraId="4682A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961F52">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14:paraId="70DB9810">
            <w:pPr>
              <w:spacing w:line="240" w:lineRule="exact"/>
              <w:jc w:val="right"/>
              <w:rPr>
                <w:rFonts w:ascii="宋体" w:hAnsi="宋体" w:eastAsia="宋体" w:cs="宋体"/>
                <w:sz w:val="18"/>
                <w:szCs w:val="18"/>
              </w:rPr>
            </w:pPr>
            <w:r>
              <w:rPr>
                <w:rFonts w:ascii="宋体" w:hAnsi="宋体" w:eastAsia="宋体" w:cs="宋体"/>
                <w:sz w:val="18"/>
                <w:szCs w:val="18"/>
              </w:rPr>
              <w:t>73,685,716.55</w:t>
            </w:r>
          </w:p>
        </w:tc>
        <w:tc>
          <w:tcPr>
            <w:tcW w:w="3213" w:type="dxa"/>
            <w:tcBorders>
              <w:top w:val="single" w:color="auto" w:sz="2" w:space="0"/>
              <w:left w:val="single" w:color="auto" w:sz="2" w:space="0"/>
              <w:bottom w:val="single" w:color="auto" w:sz="2" w:space="0"/>
              <w:right w:val="single" w:color="auto" w:sz="2" w:space="0"/>
            </w:tcBorders>
            <w:vAlign w:val="center"/>
          </w:tcPr>
          <w:p w14:paraId="23E63940">
            <w:pPr>
              <w:spacing w:line="240" w:lineRule="exact"/>
              <w:jc w:val="right"/>
              <w:rPr>
                <w:rFonts w:ascii="宋体" w:hAnsi="宋体" w:eastAsia="宋体" w:cs="宋体"/>
                <w:sz w:val="18"/>
                <w:szCs w:val="18"/>
              </w:rPr>
            </w:pPr>
            <w:r>
              <w:rPr>
                <w:rFonts w:ascii="宋体" w:hAnsi="宋体" w:eastAsia="宋体" w:cs="宋体"/>
                <w:sz w:val="18"/>
                <w:szCs w:val="18"/>
              </w:rPr>
              <w:t>58,313,147.94</w:t>
            </w:r>
          </w:p>
        </w:tc>
      </w:tr>
      <w:tr w14:paraId="2B581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C0B030">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2440F8F9">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DA91232">
            <w:pPr>
              <w:spacing w:line="240" w:lineRule="exact"/>
              <w:jc w:val="right"/>
              <w:rPr>
                <w:rFonts w:ascii="宋体" w:hAnsi="宋体" w:eastAsia="宋体" w:cs="宋体"/>
                <w:sz w:val="18"/>
                <w:szCs w:val="18"/>
              </w:rPr>
            </w:pPr>
          </w:p>
        </w:tc>
      </w:tr>
      <w:tr w14:paraId="27488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468D59">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14:paraId="55B44D1D">
            <w:pPr>
              <w:spacing w:line="240" w:lineRule="exact"/>
              <w:jc w:val="right"/>
              <w:rPr>
                <w:rFonts w:ascii="宋体" w:hAnsi="宋体" w:eastAsia="宋体" w:cs="宋体"/>
                <w:sz w:val="18"/>
                <w:szCs w:val="18"/>
              </w:rPr>
            </w:pPr>
            <w:r>
              <w:rPr>
                <w:rFonts w:ascii="宋体" w:hAnsi="宋体" w:eastAsia="宋体" w:cs="宋体"/>
                <w:sz w:val="18"/>
                <w:szCs w:val="18"/>
              </w:rPr>
              <w:t>35,790,439.98</w:t>
            </w:r>
          </w:p>
        </w:tc>
        <w:tc>
          <w:tcPr>
            <w:tcW w:w="3213" w:type="dxa"/>
            <w:tcBorders>
              <w:top w:val="single" w:color="auto" w:sz="2" w:space="0"/>
              <w:left w:val="single" w:color="auto" w:sz="2" w:space="0"/>
              <w:bottom w:val="single" w:color="auto" w:sz="2" w:space="0"/>
              <w:right w:val="single" w:color="auto" w:sz="2" w:space="0"/>
            </w:tcBorders>
            <w:vAlign w:val="center"/>
          </w:tcPr>
          <w:p w14:paraId="5C7DF83E">
            <w:pPr>
              <w:spacing w:line="240" w:lineRule="exact"/>
              <w:jc w:val="right"/>
              <w:rPr>
                <w:rFonts w:ascii="宋体" w:hAnsi="宋体" w:eastAsia="宋体" w:cs="宋体"/>
                <w:sz w:val="18"/>
                <w:szCs w:val="18"/>
              </w:rPr>
            </w:pPr>
            <w:r>
              <w:rPr>
                <w:rFonts w:ascii="宋体" w:hAnsi="宋体" w:eastAsia="宋体" w:cs="宋体"/>
                <w:sz w:val="18"/>
                <w:szCs w:val="18"/>
              </w:rPr>
              <w:t>37,555,447.98</w:t>
            </w:r>
          </w:p>
        </w:tc>
      </w:tr>
      <w:tr w14:paraId="0D1D4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053BBB">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54576EAE">
            <w:pPr>
              <w:spacing w:line="240" w:lineRule="exact"/>
              <w:jc w:val="right"/>
              <w:rPr>
                <w:rFonts w:ascii="宋体" w:hAnsi="宋体" w:eastAsia="宋体" w:cs="宋体"/>
                <w:sz w:val="18"/>
                <w:szCs w:val="18"/>
              </w:rPr>
            </w:pPr>
            <w:r>
              <w:rPr>
                <w:rFonts w:ascii="宋体" w:hAnsi="宋体" w:eastAsia="宋体" w:cs="宋体"/>
                <w:sz w:val="18"/>
                <w:szCs w:val="18"/>
              </w:rPr>
              <w:t>1,027,097,121.47</w:t>
            </w:r>
          </w:p>
        </w:tc>
        <w:tc>
          <w:tcPr>
            <w:tcW w:w="3213" w:type="dxa"/>
            <w:tcBorders>
              <w:top w:val="single" w:color="auto" w:sz="2" w:space="0"/>
              <w:left w:val="single" w:color="auto" w:sz="2" w:space="0"/>
              <w:bottom w:val="single" w:color="auto" w:sz="2" w:space="0"/>
              <w:right w:val="single" w:color="auto" w:sz="2" w:space="0"/>
            </w:tcBorders>
            <w:vAlign w:val="center"/>
          </w:tcPr>
          <w:p w14:paraId="4A78C8DA">
            <w:pPr>
              <w:spacing w:line="240" w:lineRule="exact"/>
              <w:jc w:val="right"/>
              <w:rPr>
                <w:rFonts w:ascii="宋体" w:hAnsi="宋体" w:eastAsia="宋体" w:cs="宋体"/>
                <w:sz w:val="18"/>
                <w:szCs w:val="18"/>
              </w:rPr>
            </w:pPr>
            <w:r>
              <w:rPr>
                <w:rFonts w:ascii="宋体" w:hAnsi="宋体" w:eastAsia="宋体" w:cs="宋体"/>
                <w:sz w:val="18"/>
                <w:szCs w:val="18"/>
              </w:rPr>
              <w:t>694,534,003.45</w:t>
            </w:r>
          </w:p>
        </w:tc>
      </w:tr>
      <w:tr w14:paraId="4BEFB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5916BA">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14:paraId="2B27A321">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D1EBF4F">
            <w:pPr>
              <w:spacing w:line="240" w:lineRule="exact"/>
              <w:jc w:val="right"/>
              <w:rPr>
                <w:rFonts w:ascii="宋体" w:hAnsi="宋体" w:eastAsia="宋体" w:cs="宋体"/>
                <w:sz w:val="18"/>
                <w:szCs w:val="18"/>
              </w:rPr>
            </w:pPr>
            <w:r>
              <w:rPr>
                <w:rFonts w:ascii="宋体" w:hAnsi="宋体" w:eastAsia="宋体" w:cs="宋体"/>
                <w:sz w:val="18"/>
                <w:szCs w:val="18"/>
              </w:rPr>
              <w:t>219,218,227.50</w:t>
            </w:r>
          </w:p>
        </w:tc>
      </w:tr>
      <w:tr w14:paraId="14DCF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2E2B5D">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14:paraId="72B0A591">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3D58733">
            <w:pPr>
              <w:spacing w:line="240" w:lineRule="exact"/>
              <w:jc w:val="right"/>
              <w:rPr>
                <w:rFonts w:ascii="宋体" w:hAnsi="宋体" w:eastAsia="宋体" w:cs="宋体"/>
                <w:sz w:val="18"/>
                <w:szCs w:val="18"/>
              </w:rPr>
            </w:pPr>
          </w:p>
        </w:tc>
      </w:tr>
      <w:tr w14:paraId="6C4C2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BD1273">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14:paraId="1CEBEE8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4A1ED7B">
            <w:pPr>
              <w:spacing w:line="240" w:lineRule="exact"/>
              <w:jc w:val="right"/>
              <w:rPr>
                <w:rFonts w:ascii="宋体" w:hAnsi="宋体" w:eastAsia="宋体" w:cs="宋体"/>
                <w:sz w:val="18"/>
                <w:szCs w:val="18"/>
              </w:rPr>
            </w:pPr>
          </w:p>
        </w:tc>
      </w:tr>
      <w:tr w14:paraId="68B09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566EF5">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14:paraId="508D17EF">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6197E7D">
            <w:pPr>
              <w:spacing w:line="240" w:lineRule="exact"/>
              <w:jc w:val="right"/>
              <w:rPr>
                <w:rFonts w:ascii="宋体" w:hAnsi="宋体" w:eastAsia="宋体" w:cs="宋体"/>
                <w:sz w:val="18"/>
                <w:szCs w:val="18"/>
              </w:rPr>
            </w:pPr>
          </w:p>
        </w:tc>
      </w:tr>
      <w:tr w14:paraId="7F841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DC4EC7">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14:paraId="091D44E1">
            <w:pPr>
              <w:spacing w:line="240" w:lineRule="exact"/>
              <w:jc w:val="right"/>
              <w:rPr>
                <w:rFonts w:ascii="宋体" w:hAnsi="宋体" w:eastAsia="宋体" w:cs="宋体"/>
                <w:sz w:val="18"/>
                <w:szCs w:val="18"/>
              </w:rPr>
            </w:pPr>
            <w:r>
              <w:rPr>
                <w:rFonts w:ascii="宋体" w:hAnsi="宋体" w:eastAsia="宋体" w:cs="宋体"/>
                <w:sz w:val="18"/>
                <w:szCs w:val="18"/>
              </w:rPr>
              <w:t>196,088,337.81</w:t>
            </w:r>
          </w:p>
        </w:tc>
        <w:tc>
          <w:tcPr>
            <w:tcW w:w="3213" w:type="dxa"/>
            <w:tcBorders>
              <w:top w:val="single" w:color="auto" w:sz="2" w:space="0"/>
              <w:left w:val="single" w:color="auto" w:sz="2" w:space="0"/>
              <w:bottom w:val="single" w:color="auto" w:sz="2" w:space="0"/>
              <w:right w:val="single" w:color="auto" w:sz="2" w:space="0"/>
            </w:tcBorders>
            <w:vAlign w:val="center"/>
          </w:tcPr>
          <w:p w14:paraId="705F5019">
            <w:pPr>
              <w:spacing w:line="240" w:lineRule="exact"/>
              <w:jc w:val="right"/>
              <w:rPr>
                <w:rFonts w:ascii="宋体" w:hAnsi="宋体" w:eastAsia="宋体" w:cs="宋体"/>
                <w:sz w:val="18"/>
                <w:szCs w:val="18"/>
              </w:rPr>
            </w:pPr>
            <w:r>
              <w:rPr>
                <w:rFonts w:ascii="宋体" w:hAnsi="宋体" w:eastAsia="宋体" w:cs="宋体"/>
                <w:sz w:val="18"/>
                <w:szCs w:val="18"/>
              </w:rPr>
              <w:t>201,632,450.37</w:t>
            </w:r>
          </w:p>
        </w:tc>
      </w:tr>
      <w:tr w14:paraId="40489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B1A53F">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1D660717">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9D8DEF6">
            <w:pPr>
              <w:spacing w:line="240" w:lineRule="exact"/>
              <w:jc w:val="right"/>
              <w:rPr>
                <w:rFonts w:ascii="宋体" w:hAnsi="宋体" w:eastAsia="宋体" w:cs="宋体"/>
                <w:sz w:val="18"/>
                <w:szCs w:val="18"/>
              </w:rPr>
            </w:pPr>
          </w:p>
        </w:tc>
      </w:tr>
      <w:tr w14:paraId="62906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9046BB">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14:paraId="181C43B8">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2D4F40E">
            <w:pPr>
              <w:spacing w:line="240" w:lineRule="exact"/>
              <w:jc w:val="right"/>
              <w:rPr>
                <w:rFonts w:ascii="宋体" w:hAnsi="宋体" w:eastAsia="宋体" w:cs="宋体"/>
                <w:sz w:val="18"/>
                <w:szCs w:val="18"/>
              </w:rPr>
            </w:pPr>
          </w:p>
        </w:tc>
      </w:tr>
      <w:tr w14:paraId="1323A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7E9846">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14:paraId="32C89CEF">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F1C4DFB">
            <w:pPr>
              <w:spacing w:line="240" w:lineRule="exact"/>
              <w:jc w:val="right"/>
              <w:rPr>
                <w:rFonts w:ascii="宋体" w:hAnsi="宋体" w:eastAsia="宋体" w:cs="宋体"/>
                <w:sz w:val="18"/>
                <w:szCs w:val="18"/>
              </w:rPr>
            </w:pPr>
          </w:p>
        </w:tc>
      </w:tr>
      <w:tr w14:paraId="285F0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D14B1F">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14:paraId="2FC7E176">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6D45D72">
            <w:pPr>
              <w:spacing w:line="240" w:lineRule="exact"/>
              <w:jc w:val="right"/>
              <w:rPr>
                <w:rFonts w:ascii="宋体" w:hAnsi="宋体" w:eastAsia="宋体" w:cs="宋体"/>
                <w:sz w:val="18"/>
                <w:szCs w:val="18"/>
              </w:rPr>
            </w:pPr>
          </w:p>
        </w:tc>
      </w:tr>
      <w:tr w14:paraId="52D1B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314E9E">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14:paraId="31058FD0">
            <w:pPr>
              <w:spacing w:line="240" w:lineRule="exact"/>
              <w:jc w:val="right"/>
              <w:rPr>
                <w:rFonts w:ascii="宋体" w:hAnsi="宋体" w:eastAsia="宋体" w:cs="宋体"/>
                <w:sz w:val="18"/>
                <w:szCs w:val="18"/>
              </w:rPr>
            </w:pPr>
            <w:r>
              <w:rPr>
                <w:rFonts w:ascii="宋体" w:hAnsi="宋体" w:eastAsia="宋体" w:cs="宋体"/>
                <w:sz w:val="18"/>
                <w:szCs w:val="18"/>
              </w:rPr>
              <w:t>730,059.75</w:t>
            </w:r>
          </w:p>
        </w:tc>
        <w:tc>
          <w:tcPr>
            <w:tcW w:w="3213" w:type="dxa"/>
            <w:tcBorders>
              <w:top w:val="single" w:color="auto" w:sz="2" w:space="0"/>
              <w:left w:val="single" w:color="auto" w:sz="2" w:space="0"/>
              <w:bottom w:val="single" w:color="auto" w:sz="2" w:space="0"/>
              <w:right w:val="single" w:color="auto" w:sz="2" w:space="0"/>
            </w:tcBorders>
            <w:vAlign w:val="center"/>
          </w:tcPr>
          <w:p w14:paraId="38E33E51">
            <w:pPr>
              <w:spacing w:line="240" w:lineRule="exact"/>
              <w:jc w:val="right"/>
              <w:rPr>
                <w:rFonts w:ascii="宋体" w:hAnsi="宋体" w:eastAsia="宋体" w:cs="宋体"/>
                <w:sz w:val="18"/>
                <w:szCs w:val="18"/>
              </w:rPr>
            </w:pPr>
            <w:r>
              <w:rPr>
                <w:rFonts w:ascii="宋体" w:hAnsi="宋体" w:eastAsia="宋体" w:cs="宋体"/>
                <w:sz w:val="18"/>
                <w:szCs w:val="18"/>
              </w:rPr>
              <w:t>1,098,976.94</w:t>
            </w:r>
          </w:p>
        </w:tc>
      </w:tr>
      <w:tr w14:paraId="62F35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70681C">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14:paraId="30EA94EE">
            <w:pPr>
              <w:spacing w:line="240" w:lineRule="exact"/>
              <w:jc w:val="right"/>
              <w:rPr>
                <w:rFonts w:ascii="宋体" w:hAnsi="宋体" w:eastAsia="宋体" w:cs="宋体"/>
                <w:sz w:val="18"/>
                <w:szCs w:val="18"/>
              </w:rPr>
            </w:pPr>
            <w:r>
              <w:rPr>
                <w:rFonts w:ascii="宋体" w:hAnsi="宋体" w:eastAsia="宋体" w:cs="宋体"/>
                <w:sz w:val="18"/>
                <w:szCs w:val="18"/>
              </w:rPr>
              <w:t>21,315,690.39</w:t>
            </w:r>
          </w:p>
        </w:tc>
        <w:tc>
          <w:tcPr>
            <w:tcW w:w="3213" w:type="dxa"/>
            <w:tcBorders>
              <w:top w:val="single" w:color="auto" w:sz="2" w:space="0"/>
              <w:left w:val="single" w:color="auto" w:sz="2" w:space="0"/>
              <w:bottom w:val="single" w:color="auto" w:sz="2" w:space="0"/>
              <w:right w:val="single" w:color="auto" w:sz="2" w:space="0"/>
            </w:tcBorders>
            <w:vAlign w:val="center"/>
          </w:tcPr>
          <w:p w14:paraId="71A33265">
            <w:pPr>
              <w:spacing w:line="240" w:lineRule="exact"/>
              <w:jc w:val="right"/>
              <w:rPr>
                <w:rFonts w:ascii="宋体" w:hAnsi="宋体" w:eastAsia="宋体" w:cs="宋体"/>
                <w:sz w:val="18"/>
                <w:szCs w:val="18"/>
              </w:rPr>
            </w:pPr>
            <w:r>
              <w:rPr>
                <w:rFonts w:ascii="宋体" w:hAnsi="宋体" w:eastAsia="宋体" w:cs="宋体"/>
                <w:sz w:val="18"/>
                <w:szCs w:val="18"/>
              </w:rPr>
              <w:t>12,808,821.78</w:t>
            </w:r>
          </w:p>
        </w:tc>
      </w:tr>
      <w:tr w14:paraId="45C55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AB5EB9">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58767699">
            <w:pPr>
              <w:spacing w:line="240" w:lineRule="exact"/>
              <w:jc w:val="right"/>
              <w:rPr>
                <w:rFonts w:ascii="宋体" w:hAnsi="宋体" w:eastAsia="宋体" w:cs="宋体"/>
                <w:sz w:val="18"/>
                <w:szCs w:val="18"/>
              </w:rPr>
            </w:pPr>
            <w:r>
              <w:rPr>
                <w:rFonts w:ascii="宋体" w:hAnsi="宋体" w:eastAsia="宋体" w:cs="宋体"/>
                <w:sz w:val="18"/>
                <w:szCs w:val="18"/>
              </w:rPr>
              <w:t>11,812.34</w:t>
            </w:r>
          </w:p>
        </w:tc>
        <w:tc>
          <w:tcPr>
            <w:tcW w:w="3213" w:type="dxa"/>
            <w:tcBorders>
              <w:top w:val="single" w:color="auto" w:sz="2" w:space="0"/>
              <w:left w:val="single" w:color="auto" w:sz="2" w:space="0"/>
              <w:bottom w:val="single" w:color="auto" w:sz="2" w:space="0"/>
              <w:right w:val="single" w:color="auto" w:sz="2" w:space="0"/>
            </w:tcBorders>
            <w:vAlign w:val="center"/>
          </w:tcPr>
          <w:p w14:paraId="22242E80">
            <w:pPr>
              <w:spacing w:line="240" w:lineRule="exact"/>
              <w:jc w:val="right"/>
              <w:rPr>
                <w:rFonts w:ascii="宋体" w:hAnsi="宋体" w:eastAsia="宋体" w:cs="宋体"/>
                <w:sz w:val="18"/>
                <w:szCs w:val="18"/>
              </w:rPr>
            </w:pPr>
            <w:r>
              <w:rPr>
                <w:rFonts w:ascii="宋体" w:hAnsi="宋体" w:eastAsia="宋体" w:cs="宋体"/>
                <w:sz w:val="18"/>
                <w:szCs w:val="18"/>
              </w:rPr>
              <w:t>21,023,963.79</w:t>
            </w:r>
          </w:p>
        </w:tc>
      </w:tr>
      <w:tr w14:paraId="2841F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E65F0B">
            <w:pPr>
              <w:spacing w:before="40" w:after="40" w:line="240" w:lineRule="exac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698F826C">
            <w:pPr>
              <w:spacing w:line="240" w:lineRule="exact"/>
              <w:jc w:val="right"/>
              <w:rPr>
                <w:rFonts w:ascii="宋体" w:hAnsi="宋体" w:eastAsia="宋体" w:cs="宋体"/>
                <w:sz w:val="18"/>
                <w:szCs w:val="18"/>
              </w:rPr>
            </w:pPr>
            <w:r>
              <w:rPr>
                <w:rFonts w:ascii="宋体" w:hAnsi="宋体" w:eastAsia="宋体" w:cs="宋体"/>
                <w:sz w:val="18"/>
                <w:szCs w:val="18"/>
              </w:rPr>
              <w:t>5,604,070,855.62</w:t>
            </w:r>
          </w:p>
        </w:tc>
        <w:tc>
          <w:tcPr>
            <w:tcW w:w="3213" w:type="dxa"/>
            <w:tcBorders>
              <w:top w:val="single" w:color="auto" w:sz="2" w:space="0"/>
              <w:left w:val="single" w:color="auto" w:sz="2" w:space="0"/>
              <w:bottom w:val="single" w:color="auto" w:sz="2" w:space="0"/>
              <w:right w:val="single" w:color="auto" w:sz="2" w:space="0"/>
            </w:tcBorders>
            <w:vAlign w:val="center"/>
          </w:tcPr>
          <w:p w14:paraId="5DD080D1">
            <w:pPr>
              <w:spacing w:line="240" w:lineRule="exact"/>
              <w:jc w:val="right"/>
              <w:rPr>
                <w:rFonts w:ascii="宋体" w:hAnsi="宋体" w:eastAsia="宋体" w:cs="宋体"/>
                <w:sz w:val="18"/>
                <w:szCs w:val="18"/>
              </w:rPr>
            </w:pPr>
            <w:r>
              <w:rPr>
                <w:rFonts w:ascii="宋体" w:hAnsi="宋体" w:eastAsia="宋体" w:cs="宋体"/>
                <w:sz w:val="18"/>
                <w:szCs w:val="18"/>
              </w:rPr>
              <w:t>5,389,286,717.08</w:t>
            </w:r>
          </w:p>
        </w:tc>
      </w:tr>
      <w:tr w14:paraId="76C5A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B2AE10">
            <w:pPr>
              <w:spacing w:before="40" w:after="40" w:line="240" w:lineRule="exac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14:paraId="6B2AE17C">
            <w:pPr>
              <w:spacing w:line="240" w:lineRule="exact"/>
              <w:jc w:val="right"/>
              <w:rPr>
                <w:rFonts w:ascii="宋体" w:hAnsi="宋体" w:eastAsia="宋体" w:cs="宋体"/>
                <w:sz w:val="18"/>
                <w:szCs w:val="18"/>
              </w:rPr>
            </w:pPr>
            <w:r>
              <w:rPr>
                <w:rFonts w:ascii="宋体" w:hAnsi="宋体" w:eastAsia="宋体" w:cs="宋体"/>
                <w:sz w:val="18"/>
                <w:szCs w:val="18"/>
              </w:rPr>
              <w:t>6,667,288,764.17</w:t>
            </w:r>
          </w:p>
        </w:tc>
        <w:tc>
          <w:tcPr>
            <w:tcW w:w="3213" w:type="dxa"/>
            <w:tcBorders>
              <w:top w:val="single" w:color="auto" w:sz="2" w:space="0"/>
              <w:left w:val="single" w:color="auto" w:sz="2" w:space="0"/>
              <w:bottom w:val="single" w:color="auto" w:sz="2" w:space="0"/>
              <w:right w:val="single" w:color="auto" w:sz="2" w:space="0"/>
            </w:tcBorders>
            <w:vAlign w:val="center"/>
          </w:tcPr>
          <w:p w14:paraId="73456C93">
            <w:pPr>
              <w:spacing w:line="240" w:lineRule="exact"/>
              <w:jc w:val="right"/>
              <w:rPr>
                <w:rFonts w:ascii="宋体" w:hAnsi="宋体" w:eastAsia="宋体" w:cs="宋体"/>
                <w:sz w:val="18"/>
                <w:szCs w:val="18"/>
              </w:rPr>
            </w:pPr>
            <w:r>
              <w:rPr>
                <w:rFonts w:ascii="宋体" w:hAnsi="宋体" w:eastAsia="宋体" w:cs="宋体"/>
                <w:sz w:val="18"/>
                <w:szCs w:val="18"/>
              </w:rPr>
              <w:t>6,898,704,962.33</w:t>
            </w:r>
          </w:p>
        </w:tc>
      </w:tr>
      <w:tr w14:paraId="49EC6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CA544F">
            <w:pPr>
              <w:spacing w:before="40" w:after="40" w:line="240" w:lineRule="exac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E10DD3"/>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77A2C4"/>
        </w:tc>
      </w:tr>
      <w:tr w14:paraId="4176E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CB379F">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14:paraId="1E9016BF">
            <w:pPr>
              <w:spacing w:line="240" w:lineRule="exact"/>
              <w:jc w:val="right"/>
              <w:rPr>
                <w:rFonts w:ascii="宋体" w:hAnsi="宋体" w:eastAsia="宋体" w:cs="宋体"/>
                <w:sz w:val="18"/>
                <w:szCs w:val="18"/>
              </w:rPr>
            </w:pPr>
            <w:r>
              <w:rPr>
                <w:rFonts w:ascii="宋体" w:hAnsi="宋体" w:eastAsia="宋体" w:cs="宋体"/>
                <w:sz w:val="18"/>
                <w:szCs w:val="18"/>
              </w:rPr>
              <w:t>255,212,223.61</w:t>
            </w:r>
          </w:p>
        </w:tc>
        <w:tc>
          <w:tcPr>
            <w:tcW w:w="3213" w:type="dxa"/>
            <w:tcBorders>
              <w:top w:val="single" w:color="auto" w:sz="2" w:space="0"/>
              <w:left w:val="single" w:color="auto" w:sz="2" w:space="0"/>
              <w:bottom w:val="single" w:color="auto" w:sz="2" w:space="0"/>
              <w:right w:val="single" w:color="auto" w:sz="2" w:space="0"/>
            </w:tcBorders>
            <w:vAlign w:val="center"/>
          </w:tcPr>
          <w:p w14:paraId="7D8942F9">
            <w:pPr>
              <w:spacing w:line="240" w:lineRule="exact"/>
              <w:jc w:val="right"/>
              <w:rPr>
                <w:rFonts w:ascii="宋体" w:hAnsi="宋体" w:eastAsia="宋体" w:cs="宋体"/>
                <w:sz w:val="18"/>
                <w:szCs w:val="18"/>
              </w:rPr>
            </w:pPr>
            <w:r>
              <w:rPr>
                <w:rFonts w:ascii="宋体" w:hAnsi="宋体" w:eastAsia="宋体" w:cs="宋体"/>
                <w:sz w:val="18"/>
                <w:szCs w:val="18"/>
              </w:rPr>
              <w:t>170,159,988.89</w:t>
            </w:r>
          </w:p>
        </w:tc>
      </w:tr>
      <w:tr w14:paraId="60B20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7A29A2">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2B7B949C">
            <w:pPr>
              <w:spacing w:line="240" w:lineRule="exact"/>
              <w:jc w:val="right"/>
              <w:rPr>
                <w:rFonts w:ascii="宋体" w:hAnsi="宋体" w:eastAsia="宋体" w:cs="宋体"/>
                <w:sz w:val="18"/>
                <w:szCs w:val="18"/>
              </w:rPr>
            </w:pPr>
            <w:r>
              <w:rPr>
                <w:rFonts w:ascii="宋体" w:hAnsi="宋体" w:eastAsia="宋体" w:cs="宋体"/>
                <w:sz w:val="18"/>
                <w:szCs w:val="18"/>
              </w:rPr>
              <w:t>6,428,047.30</w:t>
            </w:r>
          </w:p>
        </w:tc>
        <w:tc>
          <w:tcPr>
            <w:tcW w:w="3213" w:type="dxa"/>
            <w:tcBorders>
              <w:top w:val="single" w:color="auto" w:sz="2" w:space="0"/>
              <w:left w:val="single" w:color="auto" w:sz="2" w:space="0"/>
              <w:bottom w:val="single" w:color="auto" w:sz="2" w:space="0"/>
              <w:right w:val="single" w:color="auto" w:sz="2" w:space="0"/>
            </w:tcBorders>
            <w:vAlign w:val="center"/>
          </w:tcPr>
          <w:p w14:paraId="1581A59D">
            <w:pPr>
              <w:spacing w:line="240" w:lineRule="exact"/>
              <w:jc w:val="right"/>
              <w:rPr>
                <w:rFonts w:ascii="宋体" w:hAnsi="宋体" w:eastAsia="宋体" w:cs="宋体"/>
                <w:sz w:val="18"/>
                <w:szCs w:val="18"/>
              </w:rPr>
            </w:pPr>
          </w:p>
        </w:tc>
      </w:tr>
      <w:tr w14:paraId="47A86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79FD65">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2D21E3A5">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6442823">
            <w:pPr>
              <w:spacing w:line="240" w:lineRule="exact"/>
              <w:jc w:val="right"/>
              <w:rPr>
                <w:rFonts w:ascii="宋体" w:hAnsi="宋体" w:eastAsia="宋体" w:cs="宋体"/>
                <w:sz w:val="18"/>
                <w:szCs w:val="18"/>
              </w:rPr>
            </w:pPr>
          </w:p>
        </w:tc>
      </w:tr>
      <w:tr w14:paraId="6CEEE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A7B987">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14:paraId="6DF4CDBD">
            <w:pPr>
              <w:spacing w:line="240" w:lineRule="exact"/>
              <w:jc w:val="right"/>
              <w:rPr>
                <w:rFonts w:ascii="宋体" w:hAnsi="宋体" w:eastAsia="宋体" w:cs="宋体"/>
                <w:sz w:val="18"/>
                <w:szCs w:val="18"/>
              </w:rPr>
            </w:pPr>
            <w:r>
              <w:rPr>
                <w:rFonts w:ascii="宋体" w:hAnsi="宋体" w:eastAsia="宋体" w:cs="宋体"/>
                <w:sz w:val="18"/>
                <w:szCs w:val="18"/>
              </w:rPr>
              <w:t>234,171,526.26</w:t>
            </w:r>
          </w:p>
        </w:tc>
        <w:tc>
          <w:tcPr>
            <w:tcW w:w="3213" w:type="dxa"/>
            <w:tcBorders>
              <w:top w:val="single" w:color="auto" w:sz="2" w:space="0"/>
              <w:left w:val="single" w:color="auto" w:sz="2" w:space="0"/>
              <w:bottom w:val="single" w:color="auto" w:sz="2" w:space="0"/>
              <w:right w:val="single" w:color="auto" w:sz="2" w:space="0"/>
            </w:tcBorders>
            <w:vAlign w:val="center"/>
          </w:tcPr>
          <w:p w14:paraId="6634344A">
            <w:pPr>
              <w:spacing w:line="240" w:lineRule="exact"/>
              <w:jc w:val="right"/>
              <w:rPr>
                <w:rFonts w:ascii="宋体" w:hAnsi="宋体" w:eastAsia="宋体" w:cs="宋体"/>
                <w:sz w:val="18"/>
                <w:szCs w:val="18"/>
              </w:rPr>
            </w:pPr>
          </w:p>
        </w:tc>
      </w:tr>
      <w:tr w14:paraId="1D7CC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26624C">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14:paraId="1C94200D">
            <w:pPr>
              <w:spacing w:line="240" w:lineRule="exact"/>
              <w:jc w:val="right"/>
              <w:rPr>
                <w:rFonts w:ascii="宋体" w:hAnsi="宋体" w:eastAsia="宋体" w:cs="宋体"/>
                <w:sz w:val="18"/>
                <w:szCs w:val="18"/>
              </w:rPr>
            </w:pPr>
            <w:r>
              <w:rPr>
                <w:rFonts w:ascii="宋体" w:hAnsi="宋体" w:eastAsia="宋体" w:cs="宋体"/>
                <w:sz w:val="18"/>
                <w:szCs w:val="18"/>
              </w:rPr>
              <w:t>202,532,527.68</w:t>
            </w:r>
          </w:p>
        </w:tc>
        <w:tc>
          <w:tcPr>
            <w:tcW w:w="3213" w:type="dxa"/>
            <w:tcBorders>
              <w:top w:val="single" w:color="auto" w:sz="2" w:space="0"/>
              <w:left w:val="single" w:color="auto" w:sz="2" w:space="0"/>
              <w:bottom w:val="single" w:color="auto" w:sz="2" w:space="0"/>
              <w:right w:val="single" w:color="auto" w:sz="2" w:space="0"/>
            </w:tcBorders>
            <w:vAlign w:val="center"/>
          </w:tcPr>
          <w:p w14:paraId="0FD67C77">
            <w:pPr>
              <w:spacing w:line="240" w:lineRule="exact"/>
              <w:jc w:val="right"/>
              <w:rPr>
                <w:rFonts w:ascii="宋体" w:hAnsi="宋体" w:eastAsia="宋体" w:cs="宋体"/>
                <w:sz w:val="18"/>
                <w:szCs w:val="18"/>
              </w:rPr>
            </w:pPr>
            <w:r>
              <w:rPr>
                <w:rFonts w:ascii="宋体" w:hAnsi="宋体" w:eastAsia="宋体" w:cs="宋体"/>
                <w:sz w:val="18"/>
                <w:szCs w:val="18"/>
              </w:rPr>
              <w:t>864,605,193.49</w:t>
            </w:r>
          </w:p>
        </w:tc>
      </w:tr>
      <w:tr w14:paraId="5EA59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7F6644">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14:paraId="2D35521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66AB518">
            <w:pPr>
              <w:spacing w:line="240" w:lineRule="exact"/>
              <w:jc w:val="right"/>
              <w:rPr>
                <w:rFonts w:ascii="宋体" w:hAnsi="宋体" w:eastAsia="宋体" w:cs="宋体"/>
                <w:sz w:val="18"/>
                <w:szCs w:val="18"/>
              </w:rPr>
            </w:pPr>
          </w:p>
        </w:tc>
      </w:tr>
      <w:tr w14:paraId="7EBC7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4DFE6A">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14:paraId="1F57505F">
            <w:pPr>
              <w:spacing w:line="240" w:lineRule="exact"/>
              <w:jc w:val="right"/>
              <w:rPr>
                <w:rFonts w:ascii="宋体" w:hAnsi="宋体" w:eastAsia="宋体" w:cs="宋体"/>
                <w:sz w:val="18"/>
                <w:szCs w:val="18"/>
              </w:rPr>
            </w:pPr>
            <w:r>
              <w:rPr>
                <w:rFonts w:ascii="宋体" w:hAnsi="宋体" w:eastAsia="宋体" w:cs="宋体"/>
                <w:sz w:val="18"/>
                <w:szCs w:val="18"/>
              </w:rPr>
              <w:t>1,662.68</w:t>
            </w:r>
          </w:p>
        </w:tc>
        <w:tc>
          <w:tcPr>
            <w:tcW w:w="3213" w:type="dxa"/>
            <w:tcBorders>
              <w:top w:val="single" w:color="auto" w:sz="2" w:space="0"/>
              <w:left w:val="single" w:color="auto" w:sz="2" w:space="0"/>
              <w:bottom w:val="single" w:color="auto" w:sz="2" w:space="0"/>
              <w:right w:val="single" w:color="auto" w:sz="2" w:space="0"/>
            </w:tcBorders>
            <w:vAlign w:val="center"/>
          </w:tcPr>
          <w:p w14:paraId="2CAF39B1">
            <w:pPr>
              <w:spacing w:line="240" w:lineRule="exact"/>
              <w:jc w:val="right"/>
              <w:rPr>
                <w:rFonts w:ascii="宋体" w:hAnsi="宋体" w:eastAsia="宋体" w:cs="宋体"/>
                <w:sz w:val="18"/>
                <w:szCs w:val="18"/>
              </w:rPr>
            </w:pPr>
            <w:r>
              <w:rPr>
                <w:rFonts w:ascii="宋体" w:hAnsi="宋体" w:eastAsia="宋体" w:cs="宋体"/>
                <w:sz w:val="18"/>
                <w:szCs w:val="18"/>
              </w:rPr>
              <w:t>4,475,575.56</w:t>
            </w:r>
          </w:p>
        </w:tc>
      </w:tr>
      <w:tr w14:paraId="45C49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E4DAAC">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14D65F92">
            <w:pPr>
              <w:spacing w:line="240" w:lineRule="exact"/>
              <w:jc w:val="right"/>
              <w:rPr>
                <w:rFonts w:ascii="宋体" w:hAnsi="宋体" w:eastAsia="宋体" w:cs="宋体"/>
                <w:sz w:val="18"/>
                <w:szCs w:val="18"/>
              </w:rPr>
            </w:pPr>
            <w:r>
              <w:rPr>
                <w:rFonts w:ascii="宋体" w:hAnsi="宋体" w:eastAsia="宋体" w:cs="宋体"/>
                <w:sz w:val="18"/>
                <w:szCs w:val="18"/>
              </w:rPr>
              <w:t>6,246,142.27</w:t>
            </w:r>
          </w:p>
        </w:tc>
        <w:tc>
          <w:tcPr>
            <w:tcW w:w="3213" w:type="dxa"/>
            <w:tcBorders>
              <w:top w:val="single" w:color="auto" w:sz="2" w:space="0"/>
              <w:left w:val="single" w:color="auto" w:sz="2" w:space="0"/>
              <w:bottom w:val="single" w:color="auto" w:sz="2" w:space="0"/>
              <w:right w:val="single" w:color="auto" w:sz="2" w:space="0"/>
            </w:tcBorders>
            <w:vAlign w:val="center"/>
          </w:tcPr>
          <w:p w14:paraId="4644DF64">
            <w:pPr>
              <w:spacing w:line="240" w:lineRule="exact"/>
              <w:jc w:val="right"/>
              <w:rPr>
                <w:rFonts w:ascii="宋体" w:hAnsi="宋体" w:eastAsia="宋体" w:cs="宋体"/>
                <w:sz w:val="18"/>
                <w:szCs w:val="18"/>
              </w:rPr>
            </w:pPr>
            <w:r>
              <w:rPr>
                <w:rFonts w:ascii="宋体" w:hAnsi="宋体" w:eastAsia="宋体" w:cs="宋体"/>
                <w:sz w:val="18"/>
                <w:szCs w:val="18"/>
              </w:rPr>
              <w:t>4,854,762.55</w:t>
            </w:r>
          </w:p>
        </w:tc>
      </w:tr>
      <w:tr w14:paraId="0AB6E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22C319">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14:paraId="766A4CC6">
            <w:pPr>
              <w:spacing w:line="240" w:lineRule="exact"/>
              <w:jc w:val="right"/>
              <w:rPr>
                <w:rFonts w:ascii="宋体" w:hAnsi="宋体" w:eastAsia="宋体" w:cs="宋体"/>
                <w:sz w:val="18"/>
                <w:szCs w:val="18"/>
              </w:rPr>
            </w:pPr>
            <w:r>
              <w:rPr>
                <w:rFonts w:ascii="宋体" w:hAnsi="宋体" w:eastAsia="宋体" w:cs="宋体"/>
                <w:sz w:val="18"/>
                <w:szCs w:val="18"/>
              </w:rPr>
              <w:t>2,833,447.34</w:t>
            </w:r>
          </w:p>
        </w:tc>
        <w:tc>
          <w:tcPr>
            <w:tcW w:w="3213" w:type="dxa"/>
            <w:tcBorders>
              <w:top w:val="single" w:color="auto" w:sz="2" w:space="0"/>
              <w:left w:val="single" w:color="auto" w:sz="2" w:space="0"/>
              <w:bottom w:val="single" w:color="auto" w:sz="2" w:space="0"/>
              <w:right w:val="single" w:color="auto" w:sz="2" w:space="0"/>
            </w:tcBorders>
            <w:vAlign w:val="center"/>
          </w:tcPr>
          <w:p w14:paraId="426BEB2C">
            <w:pPr>
              <w:spacing w:line="240" w:lineRule="exact"/>
              <w:jc w:val="right"/>
              <w:rPr>
                <w:rFonts w:ascii="宋体" w:hAnsi="宋体" w:eastAsia="宋体" w:cs="宋体"/>
                <w:sz w:val="18"/>
                <w:szCs w:val="18"/>
              </w:rPr>
            </w:pPr>
            <w:r>
              <w:rPr>
                <w:rFonts w:ascii="宋体" w:hAnsi="宋体" w:eastAsia="宋体" w:cs="宋体"/>
                <w:sz w:val="18"/>
                <w:szCs w:val="18"/>
              </w:rPr>
              <w:t>4,065,239.16</w:t>
            </w:r>
          </w:p>
        </w:tc>
      </w:tr>
      <w:tr w14:paraId="571C6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86D912">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14:paraId="6DC33915">
            <w:pPr>
              <w:spacing w:line="240" w:lineRule="exact"/>
              <w:jc w:val="right"/>
              <w:rPr>
                <w:rFonts w:ascii="宋体" w:hAnsi="宋体" w:eastAsia="宋体" w:cs="宋体"/>
                <w:sz w:val="18"/>
                <w:szCs w:val="18"/>
              </w:rPr>
            </w:pPr>
            <w:r>
              <w:rPr>
                <w:rFonts w:ascii="宋体" w:hAnsi="宋体" w:eastAsia="宋体" w:cs="宋体"/>
                <w:sz w:val="18"/>
                <w:szCs w:val="18"/>
              </w:rPr>
              <w:t>27,676,162.53</w:t>
            </w:r>
          </w:p>
        </w:tc>
        <w:tc>
          <w:tcPr>
            <w:tcW w:w="3213" w:type="dxa"/>
            <w:tcBorders>
              <w:top w:val="single" w:color="auto" w:sz="2" w:space="0"/>
              <w:left w:val="single" w:color="auto" w:sz="2" w:space="0"/>
              <w:bottom w:val="single" w:color="auto" w:sz="2" w:space="0"/>
              <w:right w:val="single" w:color="auto" w:sz="2" w:space="0"/>
            </w:tcBorders>
            <w:vAlign w:val="center"/>
          </w:tcPr>
          <w:p w14:paraId="6A16A5D1">
            <w:pPr>
              <w:spacing w:line="240" w:lineRule="exact"/>
              <w:jc w:val="right"/>
              <w:rPr>
                <w:rFonts w:ascii="宋体" w:hAnsi="宋体" w:eastAsia="宋体" w:cs="宋体"/>
                <w:sz w:val="18"/>
                <w:szCs w:val="18"/>
              </w:rPr>
            </w:pPr>
            <w:r>
              <w:rPr>
                <w:rFonts w:ascii="宋体" w:hAnsi="宋体" w:eastAsia="宋体" w:cs="宋体"/>
                <w:sz w:val="18"/>
                <w:szCs w:val="18"/>
              </w:rPr>
              <w:t>20,153,552.36</w:t>
            </w:r>
          </w:p>
        </w:tc>
      </w:tr>
      <w:tr w14:paraId="79D1F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F99DB4">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14:paraId="1F4184D4">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A32EB7D">
            <w:pPr>
              <w:spacing w:line="240" w:lineRule="exact"/>
              <w:jc w:val="right"/>
              <w:rPr>
                <w:rFonts w:ascii="宋体" w:hAnsi="宋体" w:eastAsia="宋体" w:cs="宋体"/>
                <w:sz w:val="18"/>
                <w:szCs w:val="18"/>
              </w:rPr>
            </w:pPr>
          </w:p>
        </w:tc>
      </w:tr>
      <w:tr w14:paraId="71285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DC4B47">
            <w:pPr>
              <w:spacing w:before="40" w:after="40" w:line="240" w:lineRule="exact"/>
              <w:ind w:firstLine="900" w:firstLineChars="500"/>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14:paraId="5DA2A84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223B113">
            <w:pPr>
              <w:spacing w:line="240" w:lineRule="exact"/>
              <w:jc w:val="right"/>
              <w:rPr>
                <w:rFonts w:ascii="宋体" w:hAnsi="宋体" w:eastAsia="宋体" w:cs="宋体"/>
                <w:sz w:val="18"/>
                <w:szCs w:val="18"/>
              </w:rPr>
            </w:pPr>
          </w:p>
        </w:tc>
      </w:tr>
      <w:tr w14:paraId="5B72B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8419D5">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14:paraId="3CAFEAAD">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E281E05">
            <w:pPr>
              <w:spacing w:line="240" w:lineRule="exact"/>
              <w:jc w:val="right"/>
              <w:rPr>
                <w:rFonts w:ascii="宋体" w:hAnsi="宋体" w:eastAsia="宋体" w:cs="宋体"/>
                <w:sz w:val="18"/>
                <w:szCs w:val="18"/>
              </w:rPr>
            </w:pPr>
          </w:p>
        </w:tc>
      </w:tr>
      <w:tr w14:paraId="10EC5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9FD6A5">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75A0A89C">
            <w:pPr>
              <w:spacing w:line="240" w:lineRule="exact"/>
              <w:jc w:val="right"/>
              <w:rPr>
                <w:rFonts w:ascii="宋体" w:hAnsi="宋体" w:eastAsia="宋体" w:cs="宋体"/>
                <w:sz w:val="18"/>
                <w:szCs w:val="18"/>
              </w:rPr>
            </w:pPr>
            <w:r>
              <w:rPr>
                <w:rFonts w:ascii="宋体" w:hAnsi="宋体" w:eastAsia="宋体" w:cs="宋体"/>
                <w:sz w:val="18"/>
                <w:szCs w:val="18"/>
              </w:rPr>
              <w:t>136,934,566.67</w:t>
            </w:r>
          </w:p>
        </w:tc>
        <w:tc>
          <w:tcPr>
            <w:tcW w:w="3213" w:type="dxa"/>
            <w:tcBorders>
              <w:top w:val="single" w:color="auto" w:sz="2" w:space="0"/>
              <w:left w:val="single" w:color="auto" w:sz="2" w:space="0"/>
              <w:bottom w:val="single" w:color="auto" w:sz="2" w:space="0"/>
              <w:right w:val="single" w:color="auto" w:sz="2" w:space="0"/>
            </w:tcBorders>
            <w:vAlign w:val="center"/>
          </w:tcPr>
          <w:p w14:paraId="0B20FD4A">
            <w:pPr>
              <w:spacing w:line="240" w:lineRule="exact"/>
              <w:jc w:val="right"/>
              <w:rPr>
                <w:rFonts w:ascii="宋体" w:hAnsi="宋体" w:eastAsia="宋体" w:cs="宋体"/>
                <w:sz w:val="18"/>
                <w:szCs w:val="18"/>
              </w:rPr>
            </w:pPr>
            <w:r>
              <w:rPr>
                <w:rFonts w:ascii="宋体" w:hAnsi="宋体" w:eastAsia="宋体" w:cs="宋体"/>
                <w:sz w:val="18"/>
                <w:szCs w:val="18"/>
              </w:rPr>
              <w:t>60,499,895.19</w:t>
            </w:r>
          </w:p>
        </w:tc>
      </w:tr>
      <w:tr w14:paraId="1645B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E2CA57">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63C3861E">
            <w:pPr>
              <w:spacing w:line="240" w:lineRule="exact"/>
              <w:jc w:val="right"/>
              <w:rPr>
                <w:rFonts w:ascii="宋体" w:hAnsi="宋体" w:eastAsia="宋体" w:cs="宋体"/>
                <w:sz w:val="18"/>
                <w:szCs w:val="18"/>
              </w:rPr>
            </w:pPr>
            <w:r>
              <w:rPr>
                <w:rFonts w:ascii="宋体" w:hAnsi="宋体" w:eastAsia="宋体" w:cs="宋体"/>
                <w:sz w:val="18"/>
                <w:szCs w:val="18"/>
              </w:rPr>
              <w:t>216.16</w:t>
            </w:r>
          </w:p>
        </w:tc>
        <w:tc>
          <w:tcPr>
            <w:tcW w:w="3213" w:type="dxa"/>
            <w:tcBorders>
              <w:top w:val="single" w:color="auto" w:sz="2" w:space="0"/>
              <w:left w:val="single" w:color="auto" w:sz="2" w:space="0"/>
              <w:bottom w:val="single" w:color="auto" w:sz="2" w:space="0"/>
              <w:right w:val="single" w:color="auto" w:sz="2" w:space="0"/>
            </w:tcBorders>
            <w:vAlign w:val="center"/>
          </w:tcPr>
          <w:p w14:paraId="1A72767C">
            <w:pPr>
              <w:spacing w:line="240" w:lineRule="exact"/>
              <w:jc w:val="right"/>
              <w:rPr>
                <w:rFonts w:ascii="宋体" w:hAnsi="宋体" w:eastAsia="宋体" w:cs="宋体"/>
                <w:sz w:val="18"/>
                <w:szCs w:val="18"/>
              </w:rPr>
            </w:pPr>
            <w:r>
              <w:rPr>
                <w:rFonts w:ascii="宋体" w:hAnsi="宋体" w:eastAsia="宋体" w:cs="宋体"/>
                <w:sz w:val="18"/>
                <w:szCs w:val="18"/>
              </w:rPr>
              <w:t>1,042.30</w:t>
            </w:r>
          </w:p>
        </w:tc>
      </w:tr>
      <w:tr w14:paraId="54D26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5DE212">
            <w:pPr>
              <w:spacing w:before="40" w:after="40" w:line="240" w:lineRule="exac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4DECD0B9">
            <w:pPr>
              <w:spacing w:line="240" w:lineRule="exact"/>
              <w:jc w:val="right"/>
              <w:rPr>
                <w:rFonts w:ascii="宋体" w:hAnsi="宋体" w:eastAsia="宋体" w:cs="宋体"/>
                <w:sz w:val="18"/>
                <w:szCs w:val="18"/>
              </w:rPr>
            </w:pPr>
            <w:r>
              <w:rPr>
                <w:rFonts w:ascii="宋体" w:hAnsi="宋体" w:eastAsia="宋体" w:cs="宋体"/>
                <w:sz w:val="18"/>
                <w:szCs w:val="18"/>
              </w:rPr>
              <w:t>872,036,522.50</w:t>
            </w:r>
          </w:p>
        </w:tc>
        <w:tc>
          <w:tcPr>
            <w:tcW w:w="3213" w:type="dxa"/>
            <w:tcBorders>
              <w:top w:val="single" w:color="auto" w:sz="2" w:space="0"/>
              <w:left w:val="single" w:color="auto" w:sz="2" w:space="0"/>
              <w:bottom w:val="single" w:color="auto" w:sz="2" w:space="0"/>
              <w:right w:val="single" w:color="auto" w:sz="2" w:space="0"/>
            </w:tcBorders>
            <w:vAlign w:val="center"/>
          </w:tcPr>
          <w:p w14:paraId="7035528B">
            <w:pPr>
              <w:spacing w:line="240" w:lineRule="exact"/>
              <w:jc w:val="right"/>
              <w:rPr>
                <w:rFonts w:ascii="宋体" w:hAnsi="宋体" w:eastAsia="宋体" w:cs="宋体"/>
                <w:sz w:val="18"/>
                <w:szCs w:val="18"/>
              </w:rPr>
            </w:pPr>
            <w:r>
              <w:rPr>
                <w:rFonts w:ascii="宋体" w:hAnsi="宋体" w:eastAsia="宋体" w:cs="宋体"/>
                <w:sz w:val="18"/>
                <w:szCs w:val="18"/>
              </w:rPr>
              <w:t>1,128,815,249.50</w:t>
            </w:r>
          </w:p>
        </w:tc>
      </w:tr>
      <w:tr w14:paraId="21F13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12F89A">
            <w:pPr>
              <w:spacing w:before="40" w:after="40" w:line="240" w:lineRule="exac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8CFD67"/>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488292"/>
        </w:tc>
      </w:tr>
      <w:tr w14:paraId="5239D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07D297">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14:paraId="59D1809E">
            <w:pPr>
              <w:spacing w:line="240" w:lineRule="exact"/>
              <w:jc w:val="right"/>
              <w:rPr>
                <w:rFonts w:ascii="宋体" w:hAnsi="宋体" w:eastAsia="宋体" w:cs="宋体"/>
                <w:sz w:val="18"/>
                <w:szCs w:val="18"/>
              </w:rPr>
            </w:pPr>
            <w:r>
              <w:rPr>
                <w:rFonts w:ascii="宋体" w:hAnsi="宋体" w:eastAsia="宋体" w:cs="宋体"/>
                <w:sz w:val="18"/>
                <w:szCs w:val="18"/>
              </w:rPr>
              <w:t>327,980,901.13</w:t>
            </w:r>
          </w:p>
        </w:tc>
        <w:tc>
          <w:tcPr>
            <w:tcW w:w="3213" w:type="dxa"/>
            <w:tcBorders>
              <w:top w:val="single" w:color="auto" w:sz="2" w:space="0"/>
              <w:left w:val="single" w:color="auto" w:sz="2" w:space="0"/>
              <w:bottom w:val="single" w:color="auto" w:sz="2" w:space="0"/>
              <w:right w:val="single" w:color="auto" w:sz="2" w:space="0"/>
            </w:tcBorders>
            <w:vAlign w:val="center"/>
          </w:tcPr>
          <w:p w14:paraId="30BAED65">
            <w:pPr>
              <w:spacing w:line="240" w:lineRule="exact"/>
              <w:jc w:val="right"/>
              <w:rPr>
                <w:rFonts w:ascii="宋体" w:hAnsi="宋体" w:eastAsia="宋体" w:cs="宋体"/>
                <w:sz w:val="18"/>
                <w:szCs w:val="18"/>
              </w:rPr>
            </w:pPr>
            <w:r>
              <w:rPr>
                <w:rFonts w:ascii="宋体" w:hAnsi="宋体" w:eastAsia="宋体" w:cs="宋体"/>
                <w:sz w:val="18"/>
                <w:szCs w:val="18"/>
              </w:rPr>
              <w:t>357,825,412.46</w:t>
            </w:r>
          </w:p>
        </w:tc>
      </w:tr>
      <w:tr w14:paraId="5B315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0D7561">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14:paraId="1DB1F0B3">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ED9210B">
            <w:pPr>
              <w:spacing w:line="240" w:lineRule="exact"/>
              <w:jc w:val="right"/>
              <w:rPr>
                <w:rFonts w:ascii="宋体" w:hAnsi="宋体" w:eastAsia="宋体" w:cs="宋体"/>
                <w:sz w:val="18"/>
                <w:szCs w:val="18"/>
              </w:rPr>
            </w:pPr>
          </w:p>
        </w:tc>
      </w:tr>
      <w:tr w14:paraId="58A2A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DC4540">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6009FF01">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9B0B2B4">
            <w:pPr>
              <w:spacing w:line="240" w:lineRule="exact"/>
              <w:jc w:val="right"/>
              <w:rPr>
                <w:rFonts w:ascii="宋体" w:hAnsi="宋体" w:eastAsia="宋体" w:cs="宋体"/>
                <w:sz w:val="18"/>
                <w:szCs w:val="18"/>
              </w:rPr>
            </w:pPr>
          </w:p>
        </w:tc>
      </w:tr>
      <w:tr w14:paraId="5A626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5C8BFA">
            <w:pPr>
              <w:spacing w:before="40" w:after="40" w:line="240" w:lineRule="exact"/>
              <w:ind w:firstLine="900" w:firstLineChars="500"/>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7A7351C5">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6A71066">
            <w:pPr>
              <w:spacing w:line="240" w:lineRule="exact"/>
              <w:jc w:val="right"/>
              <w:rPr>
                <w:rFonts w:ascii="宋体" w:hAnsi="宋体" w:eastAsia="宋体" w:cs="宋体"/>
                <w:sz w:val="18"/>
                <w:szCs w:val="18"/>
              </w:rPr>
            </w:pPr>
          </w:p>
        </w:tc>
      </w:tr>
      <w:tr w14:paraId="59B35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311AB2">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15B86E99">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8C19D93">
            <w:pPr>
              <w:spacing w:line="240" w:lineRule="exact"/>
              <w:jc w:val="right"/>
              <w:rPr>
                <w:rFonts w:ascii="宋体" w:hAnsi="宋体" w:eastAsia="宋体" w:cs="宋体"/>
                <w:sz w:val="18"/>
                <w:szCs w:val="18"/>
              </w:rPr>
            </w:pPr>
          </w:p>
        </w:tc>
      </w:tr>
      <w:tr w14:paraId="3F482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666BF4">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14:paraId="4BB533FC">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3CD4032">
            <w:pPr>
              <w:spacing w:line="240" w:lineRule="exact"/>
              <w:jc w:val="right"/>
              <w:rPr>
                <w:rFonts w:ascii="宋体" w:hAnsi="宋体" w:eastAsia="宋体" w:cs="宋体"/>
                <w:sz w:val="18"/>
                <w:szCs w:val="18"/>
              </w:rPr>
            </w:pPr>
          </w:p>
        </w:tc>
      </w:tr>
      <w:tr w14:paraId="0749A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0E54CA">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14:paraId="03AD1698">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DDFC7ED">
            <w:pPr>
              <w:spacing w:line="240" w:lineRule="exact"/>
              <w:jc w:val="right"/>
              <w:rPr>
                <w:rFonts w:ascii="宋体" w:hAnsi="宋体" w:eastAsia="宋体" w:cs="宋体"/>
                <w:sz w:val="18"/>
                <w:szCs w:val="18"/>
              </w:rPr>
            </w:pPr>
          </w:p>
        </w:tc>
      </w:tr>
      <w:tr w14:paraId="665A0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44509F">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14:paraId="0D3C7455">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84743D4">
            <w:pPr>
              <w:spacing w:line="240" w:lineRule="exact"/>
              <w:jc w:val="right"/>
              <w:rPr>
                <w:rFonts w:ascii="宋体" w:hAnsi="宋体" w:eastAsia="宋体" w:cs="宋体"/>
                <w:sz w:val="18"/>
                <w:szCs w:val="18"/>
              </w:rPr>
            </w:pPr>
          </w:p>
        </w:tc>
      </w:tr>
      <w:tr w14:paraId="751A8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E72D6E">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14:paraId="49DB1C56">
            <w:pPr>
              <w:spacing w:line="240" w:lineRule="exact"/>
              <w:jc w:val="right"/>
              <w:rPr>
                <w:rFonts w:ascii="宋体" w:hAnsi="宋体" w:eastAsia="宋体" w:cs="宋体"/>
                <w:sz w:val="18"/>
                <w:szCs w:val="18"/>
              </w:rPr>
            </w:pPr>
            <w:r>
              <w:rPr>
                <w:rFonts w:ascii="宋体" w:hAnsi="宋体" w:eastAsia="宋体" w:cs="宋体"/>
                <w:sz w:val="18"/>
                <w:szCs w:val="18"/>
              </w:rPr>
              <w:t>43,818,042.67</w:t>
            </w:r>
          </w:p>
        </w:tc>
        <w:tc>
          <w:tcPr>
            <w:tcW w:w="3213" w:type="dxa"/>
            <w:tcBorders>
              <w:top w:val="single" w:color="auto" w:sz="2" w:space="0"/>
              <w:left w:val="single" w:color="auto" w:sz="2" w:space="0"/>
              <w:bottom w:val="single" w:color="auto" w:sz="2" w:space="0"/>
              <w:right w:val="single" w:color="auto" w:sz="2" w:space="0"/>
            </w:tcBorders>
            <w:vAlign w:val="center"/>
          </w:tcPr>
          <w:p w14:paraId="5299CA83">
            <w:pPr>
              <w:spacing w:line="240" w:lineRule="exact"/>
              <w:jc w:val="right"/>
              <w:rPr>
                <w:rFonts w:ascii="宋体" w:hAnsi="宋体" w:eastAsia="宋体" w:cs="宋体"/>
                <w:sz w:val="18"/>
                <w:szCs w:val="18"/>
              </w:rPr>
            </w:pPr>
            <w:r>
              <w:rPr>
                <w:rFonts w:ascii="宋体" w:hAnsi="宋体" w:eastAsia="宋体" w:cs="宋体"/>
                <w:sz w:val="18"/>
                <w:szCs w:val="18"/>
              </w:rPr>
              <w:t>48,776,994.67</w:t>
            </w:r>
          </w:p>
        </w:tc>
      </w:tr>
      <w:tr w14:paraId="166D2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03DBC5">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14:paraId="4AC0A91A">
            <w:pPr>
              <w:spacing w:line="240" w:lineRule="exact"/>
              <w:jc w:val="right"/>
              <w:rPr>
                <w:rFonts w:ascii="宋体" w:hAnsi="宋体" w:eastAsia="宋体" w:cs="宋体"/>
                <w:sz w:val="18"/>
                <w:szCs w:val="18"/>
              </w:rPr>
            </w:pPr>
            <w:r>
              <w:rPr>
                <w:rFonts w:ascii="宋体" w:hAnsi="宋体" w:eastAsia="宋体" w:cs="宋体"/>
                <w:sz w:val="18"/>
                <w:szCs w:val="18"/>
              </w:rPr>
              <w:t>5,310,837.98</w:t>
            </w:r>
          </w:p>
        </w:tc>
        <w:tc>
          <w:tcPr>
            <w:tcW w:w="3213" w:type="dxa"/>
            <w:tcBorders>
              <w:top w:val="single" w:color="auto" w:sz="2" w:space="0"/>
              <w:left w:val="single" w:color="auto" w:sz="2" w:space="0"/>
              <w:bottom w:val="single" w:color="auto" w:sz="2" w:space="0"/>
              <w:right w:val="single" w:color="auto" w:sz="2" w:space="0"/>
            </w:tcBorders>
            <w:vAlign w:val="center"/>
          </w:tcPr>
          <w:p w14:paraId="2544BF07">
            <w:pPr>
              <w:spacing w:line="240" w:lineRule="exact"/>
              <w:jc w:val="right"/>
              <w:rPr>
                <w:rFonts w:ascii="宋体" w:hAnsi="宋体" w:eastAsia="宋体" w:cs="宋体"/>
                <w:sz w:val="18"/>
                <w:szCs w:val="18"/>
              </w:rPr>
            </w:pPr>
            <w:r>
              <w:rPr>
                <w:rFonts w:ascii="宋体" w:hAnsi="宋体" w:eastAsia="宋体" w:cs="宋体"/>
                <w:sz w:val="18"/>
                <w:szCs w:val="18"/>
              </w:rPr>
              <w:t>3,004,952.69</w:t>
            </w:r>
          </w:p>
        </w:tc>
      </w:tr>
      <w:tr w14:paraId="578DE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6B9335">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5DEE8BAE">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3639270">
            <w:pPr>
              <w:spacing w:line="240" w:lineRule="exact"/>
              <w:jc w:val="right"/>
              <w:rPr>
                <w:rFonts w:ascii="宋体" w:hAnsi="宋体" w:eastAsia="宋体" w:cs="宋体"/>
                <w:sz w:val="18"/>
                <w:szCs w:val="18"/>
              </w:rPr>
            </w:pPr>
          </w:p>
        </w:tc>
      </w:tr>
      <w:tr w14:paraId="0B88B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12103B">
            <w:pPr>
              <w:spacing w:before="40" w:after="40" w:line="240" w:lineRule="exac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78B3BDE3">
            <w:pPr>
              <w:spacing w:line="240" w:lineRule="exact"/>
              <w:jc w:val="right"/>
              <w:rPr>
                <w:rFonts w:ascii="宋体" w:hAnsi="宋体" w:eastAsia="宋体" w:cs="宋体"/>
                <w:sz w:val="18"/>
                <w:szCs w:val="18"/>
              </w:rPr>
            </w:pPr>
            <w:r>
              <w:rPr>
                <w:rFonts w:ascii="宋体" w:hAnsi="宋体" w:eastAsia="宋体" w:cs="宋体"/>
                <w:sz w:val="18"/>
                <w:szCs w:val="18"/>
              </w:rPr>
              <w:t>377,109,781.78</w:t>
            </w:r>
          </w:p>
        </w:tc>
        <w:tc>
          <w:tcPr>
            <w:tcW w:w="3213" w:type="dxa"/>
            <w:tcBorders>
              <w:top w:val="single" w:color="auto" w:sz="2" w:space="0"/>
              <w:left w:val="single" w:color="auto" w:sz="2" w:space="0"/>
              <w:bottom w:val="single" w:color="auto" w:sz="2" w:space="0"/>
              <w:right w:val="single" w:color="auto" w:sz="2" w:space="0"/>
            </w:tcBorders>
            <w:vAlign w:val="center"/>
          </w:tcPr>
          <w:p w14:paraId="651B4304">
            <w:pPr>
              <w:spacing w:line="240" w:lineRule="exact"/>
              <w:jc w:val="right"/>
              <w:rPr>
                <w:rFonts w:ascii="宋体" w:hAnsi="宋体" w:eastAsia="宋体" w:cs="宋体"/>
                <w:sz w:val="18"/>
                <w:szCs w:val="18"/>
              </w:rPr>
            </w:pPr>
            <w:r>
              <w:rPr>
                <w:rFonts w:ascii="宋体" w:hAnsi="宋体" w:eastAsia="宋体" w:cs="宋体"/>
                <w:sz w:val="18"/>
                <w:szCs w:val="18"/>
              </w:rPr>
              <w:t>409,607,359.82</w:t>
            </w:r>
          </w:p>
        </w:tc>
      </w:tr>
      <w:tr w14:paraId="56C2F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711274">
            <w:pPr>
              <w:spacing w:before="40" w:after="40" w:line="240" w:lineRule="exac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01F89892">
            <w:pPr>
              <w:spacing w:line="240" w:lineRule="exact"/>
              <w:jc w:val="right"/>
              <w:rPr>
                <w:rFonts w:ascii="宋体" w:hAnsi="宋体" w:eastAsia="宋体" w:cs="宋体"/>
                <w:sz w:val="18"/>
                <w:szCs w:val="18"/>
              </w:rPr>
            </w:pPr>
            <w:r>
              <w:rPr>
                <w:rFonts w:ascii="宋体" w:hAnsi="宋体" w:eastAsia="宋体" w:cs="宋体"/>
                <w:sz w:val="18"/>
                <w:szCs w:val="18"/>
              </w:rPr>
              <w:t>1,249,146,304.28</w:t>
            </w:r>
          </w:p>
        </w:tc>
        <w:tc>
          <w:tcPr>
            <w:tcW w:w="3213" w:type="dxa"/>
            <w:tcBorders>
              <w:top w:val="single" w:color="auto" w:sz="2" w:space="0"/>
              <w:left w:val="single" w:color="auto" w:sz="2" w:space="0"/>
              <w:bottom w:val="single" w:color="auto" w:sz="2" w:space="0"/>
              <w:right w:val="single" w:color="auto" w:sz="2" w:space="0"/>
            </w:tcBorders>
            <w:vAlign w:val="center"/>
          </w:tcPr>
          <w:p w14:paraId="5898E44D">
            <w:pPr>
              <w:spacing w:line="240" w:lineRule="exact"/>
              <w:jc w:val="right"/>
              <w:rPr>
                <w:rFonts w:ascii="宋体" w:hAnsi="宋体" w:eastAsia="宋体" w:cs="宋体"/>
                <w:sz w:val="18"/>
                <w:szCs w:val="18"/>
              </w:rPr>
            </w:pPr>
            <w:r>
              <w:rPr>
                <w:rFonts w:ascii="宋体" w:hAnsi="宋体" w:eastAsia="宋体" w:cs="宋体"/>
                <w:sz w:val="18"/>
                <w:szCs w:val="18"/>
              </w:rPr>
              <w:t>1,538,422,609.32</w:t>
            </w:r>
          </w:p>
        </w:tc>
      </w:tr>
      <w:tr w14:paraId="5DF83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C137C9">
            <w:pPr>
              <w:spacing w:line="240" w:lineRule="exac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37FDE7"/>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0CF82F"/>
        </w:tc>
      </w:tr>
      <w:tr w14:paraId="753AD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B8DDE6">
            <w:pPr>
              <w:spacing w:line="240" w:lineRule="exact"/>
              <w:ind w:firstLine="180" w:firstLineChars="100"/>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14:paraId="66431636">
            <w:pPr>
              <w:spacing w:line="240" w:lineRule="exact"/>
              <w:jc w:val="right"/>
              <w:rPr>
                <w:rFonts w:ascii="宋体" w:hAnsi="宋体" w:eastAsia="宋体" w:cs="宋体"/>
                <w:sz w:val="18"/>
                <w:szCs w:val="18"/>
              </w:rPr>
            </w:pPr>
            <w:r>
              <w:rPr>
                <w:rFonts w:ascii="宋体" w:hAnsi="宋体" w:eastAsia="宋体" w:cs="宋体"/>
                <w:sz w:val="18"/>
                <w:szCs w:val="18"/>
              </w:rPr>
              <w:t>1,700,681,355.00</w:t>
            </w:r>
          </w:p>
        </w:tc>
        <w:tc>
          <w:tcPr>
            <w:tcW w:w="3213" w:type="dxa"/>
            <w:tcBorders>
              <w:top w:val="single" w:color="auto" w:sz="2" w:space="0"/>
              <w:left w:val="single" w:color="auto" w:sz="2" w:space="0"/>
              <w:bottom w:val="single" w:color="auto" w:sz="2" w:space="0"/>
              <w:right w:val="single" w:color="auto" w:sz="2" w:space="0"/>
            </w:tcBorders>
            <w:vAlign w:val="center"/>
          </w:tcPr>
          <w:p w14:paraId="4343EF42">
            <w:pPr>
              <w:spacing w:line="240" w:lineRule="exact"/>
              <w:jc w:val="right"/>
              <w:rPr>
                <w:rFonts w:ascii="宋体" w:hAnsi="宋体" w:eastAsia="宋体" w:cs="宋体"/>
                <w:sz w:val="18"/>
                <w:szCs w:val="18"/>
              </w:rPr>
            </w:pPr>
            <w:r>
              <w:rPr>
                <w:rFonts w:ascii="宋体" w:hAnsi="宋体" w:eastAsia="宋体" w:cs="宋体"/>
                <w:sz w:val="18"/>
                <w:szCs w:val="18"/>
              </w:rPr>
              <w:t>1,700,681,355.00</w:t>
            </w:r>
          </w:p>
        </w:tc>
      </w:tr>
      <w:tr w14:paraId="27F3D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61B493">
            <w:pPr>
              <w:spacing w:line="240" w:lineRule="exact"/>
              <w:ind w:firstLine="180" w:firstLineChars="100"/>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14:paraId="4629B85E">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0D328F7">
            <w:pPr>
              <w:spacing w:line="240" w:lineRule="exact"/>
              <w:jc w:val="right"/>
              <w:rPr>
                <w:rFonts w:ascii="宋体" w:hAnsi="宋体" w:eastAsia="宋体" w:cs="宋体"/>
                <w:sz w:val="18"/>
                <w:szCs w:val="18"/>
              </w:rPr>
            </w:pPr>
          </w:p>
        </w:tc>
      </w:tr>
      <w:tr w14:paraId="264E3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898EA0">
            <w:pPr>
              <w:spacing w:line="240" w:lineRule="exact"/>
              <w:ind w:firstLine="360" w:firstLineChars="200"/>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14:paraId="2C7782DD">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11E0D28">
            <w:pPr>
              <w:spacing w:line="240" w:lineRule="exact"/>
              <w:jc w:val="right"/>
              <w:rPr>
                <w:rFonts w:ascii="宋体" w:hAnsi="宋体" w:eastAsia="宋体" w:cs="宋体"/>
                <w:sz w:val="18"/>
                <w:szCs w:val="18"/>
              </w:rPr>
            </w:pPr>
          </w:p>
        </w:tc>
      </w:tr>
      <w:tr w14:paraId="7E1AD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07A553">
            <w:pPr>
              <w:spacing w:line="240" w:lineRule="exact"/>
              <w:ind w:firstLine="900" w:firstLineChars="500"/>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14:paraId="3C1A2D25">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E3B454B">
            <w:pPr>
              <w:spacing w:line="240" w:lineRule="exact"/>
              <w:jc w:val="right"/>
              <w:rPr>
                <w:rFonts w:ascii="宋体" w:hAnsi="宋体" w:eastAsia="宋体" w:cs="宋体"/>
                <w:sz w:val="18"/>
                <w:szCs w:val="18"/>
              </w:rPr>
            </w:pPr>
          </w:p>
        </w:tc>
      </w:tr>
      <w:tr w14:paraId="36C99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53B137">
            <w:pPr>
              <w:spacing w:line="240" w:lineRule="exact"/>
              <w:ind w:firstLine="180" w:firstLineChars="100"/>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14:paraId="0371B53B">
            <w:pPr>
              <w:spacing w:line="240" w:lineRule="exact"/>
              <w:jc w:val="right"/>
              <w:rPr>
                <w:rFonts w:ascii="宋体" w:hAnsi="宋体" w:eastAsia="宋体" w:cs="宋体"/>
                <w:sz w:val="18"/>
                <w:szCs w:val="18"/>
              </w:rPr>
            </w:pPr>
            <w:r>
              <w:rPr>
                <w:rFonts w:ascii="宋体" w:hAnsi="宋体" w:eastAsia="宋体" w:cs="宋体"/>
                <w:sz w:val="18"/>
                <w:szCs w:val="18"/>
              </w:rPr>
              <w:t>3,106,930,758.15</w:t>
            </w:r>
          </w:p>
        </w:tc>
        <w:tc>
          <w:tcPr>
            <w:tcW w:w="3213" w:type="dxa"/>
            <w:tcBorders>
              <w:top w:val="single" w:color="auto" w:sz="2" w:space="0"/>
              <w:left w:val="single" w:color="auto" w:sz="2" w:space="0"/>
              <w:bottom w:val="single" w:color="auto" w:sz="2" w:space="0"/>
              <w:right w:val="single" w:color="auto" w:sz="2" w:space="0"/>
            </w:tcBorders>
            <w:vAlign w:val="center"/>
          </w:tcPr>
          <w:p w14:paraId="3E8F7A8B">
            <w:pPr>
              <w:spacing w:line="240" w:lineRule="exact"/>
              <w:jc w:val="right"/>
              <w:rPr>
                <w:rFonts w:ascii="宋体" w:hAnsi="宋体" w:eastAsia="宋体" w:cs="宋体"/>
                <w:sz w:val="18"/>
                <w:szCs w:val="18"/>
              </w:rPr>
            </w:pPr>
            <w:r>
              <w:rPr>
                <w:rFonts w:ascii="宋体" w:hAnsi="宋体" w:eastAsia="宋体" w:cs="宋体"/>
                <w:sz w:val="18"/>
                <w:szCs w:val="18"/>
              </w:rPr>
              <w:t>3,106,930,758.15</w:t>
            </w:r>
          </w:p>
        </w:tc>
      </w:tr>
      <w:tr w14:paraId="37D8B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72ADF3">
            <w:pPr>
              <w:spacing w:line="240" w:lineRule="exact"/>
              <w:ind w:firstLine="180" w:firstLineChars="100"/>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14:paraId="1E6A5737">
            <w:pPr>
              <w:spacing w:line="240" w:lineRule="exact"/>
              <w:jc w:val="right"/>
              <w:rPr>
                <w:rFonts w:ascii="宋体" w:hAnsi="宋体" w:eastAsia="宋体" w:cs="宋体"/>
                <w:sz w:val="18"/>
                <w:szCs w:val="18"/>
              </w:rPr>
            </w:pPr>
            <w:r>
              <w:rPr>
                <w:rFonts w:ascii="宋体" w:hAnsi="宋体" w:eastAsia="宋体" w:cs="宋体"/>
                <w:sz w:val="18"/>
                <w:szCs w:val="18"/>
              </w:rPr>
              <w:t>300,104,207.84</w:t>
            </w:r>
          </w:p>
        </w:tc>
        <w:tc>
          <w:tcPr>
            <w:tcW w:w="3213" w:type="dxa"/>
            <w:tcBorders>
              <w:top w:val="single" w:color="auto" w:sz="2" w:space="0"/>
              <w:left w:val="single" w:color="auto" w:sz="2" w:space="0"/>
              <w:bottom w:val="single" w:color="auto" w:sz="2" w:space="0"/>
              <w:right w:val="single" w:color="auto" w:sz="2" w:space="0"/>
            </w:tcBorders>
            <w:vAlign w:val="center"/>
          </w:tcPr>
          <w:p w14:paraId="325060C0">
            <w:pPr>
              <w:spacing w:line="240" w:lineRule="exact"/>
              <w:jc w:val="right"/>
              <w:rPr>
                <w:rFonts w:ascii="宋体" w:hAnsi="宋体" w:eastAsia="宋体" w:cs="宋体"/>
                <w:sz w:val="18"/>
                <w:szCs w:val="18"/>
              </w:rPr>
            </w:pPr>
            <w:r>
              <w:rPr>
                <w:rFonts w:ascii="宋体" w:hAnsi="宋体" w:eastAsia="宋体" w:cs="宋体"/>
                <w:sz w:val="18"/>
                <w:szCs w:val="18"/>
              </w:rPr>
              <w:t>300,104,207.84</w:t>
            </w:r>
          </w:p>
        </w:tc>
      </w:tr>
      <w:tr w14:paraId="0FA4A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503BF8">
            <w:pPr>
              <w:spacing w:line="240" w:lineRule="exact"/>
              <w:ind w:firstLine="180" w:firstLineChars="100"/>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06367628">
            <w:pPr>
              <w:spacing w:line="240" w:lineRule="exact"/>
              <w:jc w:val="right"/>
              <w:rPr>
                <w:rFonts w:ascii="宋体" w:hAnsi="宋体" w:eastAsia="宋体" w:cs="宋体"/>
                <w:sz w:val="18"/>
                <w:szCs w:val="18"/>
              </w:rPr>
            </w:pPr>
            <w:r>
              <w:rPr>
                <w:rFonts w:ascii="宋体" w:hAnsi="宋体" w:eastAsia="宋体" w:cs="宋体"/>
                <w:sz w:val="18"/>
                <w:szCs w:val="18"/>
              </w:rPr>
              <w:t>46,897,427.90</w:t>
            </w:r>
          </w:p>
        </w:tc>
        <w:tc>
          <w:tcPr>
            <w:tcW w:w="3213" w:type="dxa"/>
            <w:tcBorders>
              <w:top w:val="single" w:color="auto" w:sz="2" w:space="0"/>
              <w:left w:val="single" w:color="auto" w:sz="2" w:space="0"/>
              <w:bottom w:val="single" w:color="auto" w:sz="2" w:space="0"/>
              <w:right w:val="single" w:color="auto" w:sz="2" w:space="0"/>
            </w:tcBorders>
            <w:vAlign w:val="center"/>
          </w:tcPr>
          <w:p w14:paraId="437C6F9F">
            <w:pPr>
              <w:spacing w:line="240" w:lineRule="exact"/>
              <w:jc w:val="right"/>
              <w:rPr>
                <w:rFonts w:ascii="宋体" w:hAnsi="宋体" w:eastAsia="宋体" w:cs="宋体"/>
                <w:sz w:val="18"/>
                <w:szCs w:val="18"/>
              </w:rPr>
            </w:pPr>
            <w:r>
              <w:rPr>
                <w:rFonts w:ascii="宋体" w:hAnsi="宋体" w:eastAsia="宋体" w:cs="宋体"/>
                <w:sz w:val="18"/>
                <w:szCs w:val="18"/>
              </w:rPr>
              <w:t>33,830,744.58</w:t>
            </w:r>
          </w:p>
        </w:tc>
      </w:tr>
      <w:tr w14:paraId="1F6C5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B9B302">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14:paraId="3F8EBD79">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476332D">
            <w:pPr>
              <w:spacing w:line="240" w:lineRule="exact"/>
              <w:jc w:val="right"/>
              <w:rPr>
                <w:rFonts w:ascii="宋体" w:hAnsi="宋体" w:eastAsia="宋体" w:cs="宋体"/>
                <w:sz w:val="18"/>
                <w:szCs w:val="18"/>
              </w:rPr>
            </w:pPr>
          </w:p>
        </w:tc>
      </w:tr>
      <w:tr w14:paraId="0ED8C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B1D035">
            <w:pPr>
              <w:spacing w:line="240" w:lineRule="exact"/>
              <w:ind w:firstLine="180" w:firstLineChars="100"/>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14:paraId="3ABEBEBF">
            <w:pPr>
              <w:spacing w:line="240" w:lineRule="exact"/>
              <w:jc w:val="right"/>
              <w:rPr>
                <w:rFonts w:ascii="宋体" w:hAnsi="宋体" w:eastAsia="宋体" w:cs="宋体"/>
                <w:sz w:val="18"/>
                <w:szCs w:val="18"/>
              </w:rPr>
            </w:pPr>
            <w:r>
              <w:rPr>
                <w:rFonts w:ascii="宋体" w:hAnsi="宋体" w:eastAsia="宋体" w:cs="宋体"/>
                <w:sz w:val="18"/>
                <w:szCs w:val="18"/>
              </w:rPr>
              <w:t>313,645,543.98</w:t>
            </w:r>
          </w:p>
        </w:tc>
        <w:tc>
          <w:tcPr>
            <w:tcW w:w="3213" w:type="dxa"/>
            <w:tcBorders>
              <w:top w:val="single" w:color="auto" w:sz="2" w:space="0"/>
              <w:left w:val="single" w:color="auto" w:sz="2" w:space="0"/>
              <w:bottom w:val="single" w:color="auto" w:sz="2" w:space="0"/>
              <w:right w:val="single" w:color="auto" w:sz="2" w:space="0"/>
            </w:tcBorders>
            <w:vAlign w:val="center"/>
          </w:tcPr>
          <w:p w14:paraId="392C77AA">
            <w:pPr>
              <w:spacing w:line="240" w:lineRule="exact"/>
              <w:jc w:val="right"/>
              <w:rPr>
                <w:rFonts w:ascii="宋体" w:hAnsi="宋体" w:eastAsia="宋体" w:cs="宋体"/>
                <w:sz w:val="18"/>
                <w:szCs w:val="18"/>
              </w:rPr>
            </w:pPr>
            <w:r>
              <w:rPr>
                <w:rFonts w:ascii="宋体" w:hAnsi="宋体" w:eastAsia="宋体" w:cs="宋体"/>
                <w:sz w:val="18"/>
                <w:szCs w:val="18"/>
              </w:rPr>
              <w:t>309,166,201.62</w:t>
            </w:r>
          </w:p>
        </w:tc>
      </w:tr>
      <w:tr w14:paraId="01705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3471B8">
            <w:pPr>
              <w:spacing w:line="240" w:lineRule="exact"/>
              <w:ind w:firstLine="180" w:firstLineChars="100"/>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67B0AE9C">
            <w:pPr>
              <w:spacing w:line="240" w:lineRule="exact"/>
              <w:jc w:val="right"/>
              <w:rPr>
                <w:rFonts w:ascii="宋体" w:hAnsi="宋体" w:eastAsia="宋体" w:cs="宋体"/>
                <w:sz w:val="18"/>
                <w:szCs w:val="18"/>
              </w:rPr>
            </w:pPr>
            <w:r>
              <w:rPr>
                <w:rFonts w:ascii="宋体" w:hAnsi="宋体" w:eastAsia="宋体" w:cs="宋体"/>
                <w:sz w:val="18"/>
                <w:szCs w:val="18"/>
              </w:rPr>
              <w:t>550,091,582.70</w:t>
            </w:r>
          </w:p>
        </w:tc>
        <w:tc>
          <w:tcPr>
            <w:tcW w:w="3213" w:type="dxa"/>
            <w:tcBorders>
              <w:top w:val="single" w:color="auto" w:sz="2" w:space="0"/>
              <w:left w:val="single" w:color="auto" w:sz="2" w:space="0"/>
              <w:bottom w:val="single" w:color="auto" w:sz="2" w:space="0"/>
              <w:right w:val="single" w:color="auto" w:sz="2" w:space="0"/>
            </w:tcBorders>
            <w:vAlign w:val="center"/>
          </w:tcPr>
          <w:p w14:paraId="17C2C665">
            <w:pPr>
              <w:spacing w:line="240" w:lineRule="exact"/>
              <w:jc w:val="right"/>
              <w:rPr>
                <w:rFonts w:ascii="宋体" w:hAnsi="宋体" w:eastAsia="宋体" w:cs="宋体"/>
                <w:sz w:val="18"/>
                <w:szCs w:val="18"/>
              </w:rPr>
            </w:pPr>
            <w:r>
              <w:rPr>
                <w:rFonts w:ascii="宋体" w:hAnsi="宋体" w:eastAsia="宋体" w:cs="宋体"/>
                <w:sz w:val="18"/>
                <w:szCs w:val="18"/>
              </w:rPr>
              <w:t>509,777,501.50</w:t>
            </w:r>
          </w:p>
        </w:tc>
      </w:tr>
      <w:tr w14:paraId="7E409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7A1748">
            <w:pPr>
              <w:spacing w:line="240" w:lineRule="exac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14:paraId="319C6DF0">
            <w:pPr>
              <w:spacing w:line="240" w:lineRule="exact"/>
              <w:jc w:val="right"/>
              <w:rPr>
                <w:rFonts w:ascii="宋体" w:hAnsi="宋体" w:eastAsia="宋体" w:cs="宋体"/>
                <w:sz w:val="18"/>
                <w:szCs w:val="18"/>
              </w:rPr>
            </w:pPr>
            <w:r>
              <w:rPr>
                <w:rFonts w:ascii="宋体" w:hAnsi="宋体" w:eastAsia="宋体" w:cs="宋体"/>
                <w:sz w:val="18"/>
                <w:szCs w:val="18"/>
              </w:rPr>
              <w:t>5,418,142,459.89</w:t>
            </w:r>
          </w:p>
        </w:tc>
        <w:tc>
          <w:tcPr>
            <w:tcW w:w="3213" w:type="dxa"/>
            <w:tcBorders>
              <w:top w:val="single" w:color="auto" w:sz="2" w:space="0"/>
              <w:left w:val="single" w:color="auto" w:sz="2" w:space="0"/>
              <w:bottom w:val="single" w:color="auto" w:sz="2" w:space="0"/>
              <w:right w:val="single" w:color="auto" w:sz="2" w:space="0"/>
            </w:tcBorders>
            <w:vAlign w:val="center"/>
          </w:tcPr>
          <w:p w14:paraId="7E3E1C0D">
            <w:pPr>
              <w:spacing w:line="240" w:lineRule="exact"/>
              <w:jc w:val="right"/>
              <w:rPr>
                <w:rFonts w:ascii="宋体" w:hAnsi="宋体" w:eastAsia="宋体" w:cs="宋体"/>
                <w:sz w:val="18"/>
                <w:szCs w:val="18"/>
              </w:rPr>
            </w:pPr>
            <w:r>
              <w:rPr>
                <w:rFonts w:ascii="宋体" w:hAnsi="宋体" w:eastAsia="宋体" w:cs="宋体"/>
                <w:sz w:val="18"/>
                <w:szCs w:val="18"/>
              </w:rPr>
              <w:t>5,360,282,353.01</w:t>
            </w:r>
          </w:p>
        </w:tc>
      </w:tr>
      <w:tr w14:paraId="57F2D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615F3A">
            <w:pPr>
              <w:spacing w:line="240" w:lineRule="exac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14:paraId="024C2F84">
            <w:pPr>
              <w:spacing w:line="240" w:lineRule="exact"/>
              <w:jc w:val="right"/>
              <w:rPr>
                <w:rFonts w:ascii="宋体" w:hAnsi="宋体" w:eastAsia="宋体" w:cs="宋体"/>
                <w:sz w:val="18"/>
                <w:szCs w:val="18"/>
              </w:rPr>
            </w:pPr>
            <w:r>
              <w:rPr>
                <w:rFonts w:ascii="宋体" w:hAnsi="宋体" w:eastAsia="宋体" w:cs="宋体"/>
                <w:sz w:val="18"/>
                <w:szCs w:val="18"/>
              </w:rPr>
              <w:t>6,667,288,764.17</w:t>
            </w:r>
          </w:p>
        </w:tc>
        <w:tc>
          <w:tcPr>
            <w:tcW w:w="3213" w:type="dxa"/>
            <w:tcBorders>
              <w:top w:val="single" w:color="auto" w:sz="2" w:space="0"/>
              <w:left w:val="single" w:color="auto" w:sz="2" w:space="0"/>
              <w:bottom w:val="single" w:color="auto" w:sz="2" w:space="0"/>
              <w:right w:val="single" w:color="auto" w:sz="2" w:space="0"/>
            </w:tcBorders>
            <w:vAlign w:val="center"/>
          </w:tcPr>
          <w:p w14:paraId="0A446EDD">
            <w:pPr>
              <w:spacing w:line="240" w:lineRule="exact"/>
              <w:jc w:val="right"/>
              <w:rPr>
                <w:rFonts w:ascii="宋体" w:hAnsi="宋体" w:eastAsia="宋体" w:cs="宋体"/>
                <w:sz w:val="18"/>
                <w:szCs w:val="18"/>
              </w:rPr>
            </w:pPr>
            <w:r>
              <w:rPr>
                <w:rFonts w:ascii="宋体" w:hAnsi="宋体" w:eastAsia="宋体" w:cs="宋体"/>
                <w:sz w:val="18"/>
                <w:szCs w:val="18"/>
              </w:rPr>
              <w:t>6,898,704,962.33</w:t>
            </w:r>
          </w:p>
        </w:tc>
      </w:tr>
    </w:tbl>
    <w:p w14:paraId="38466701">
      <w:pPr>
        <w:pStyle w:val="3"/>
        <w:spacing w:line="280" w:lineRule="exact"/>
        <w:jc w:val="left"/>
        <w:rPr>
          <w:rFonts w:ascii="宋体" w:hAnsi="宋体" w:cs="宋体"/>
          <w:b/>
          <w:bCs/>
        </w:rPr>
      </w:pPr>
      <w:bookmarkStart w:id="163" w:name="_Toc989049"/>
      <w:r>
        <w:rPr>
          <w:rFonts w:ascii="宋体" w:hAnsi="宋体" w:cs="宋体"/>
          <w:b/>
          <w:bCs/>
        </w:rPr>
        <w:t>3、合并利润表</w:t>
      </w:r>
      <w:bookmarkEnd w:id="163"/>
    </w:p>
    <w:p w14:paraId="036DB25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786A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0D23C2">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52B63A">
            <w:pPr>
              <w:spacing w:before="40" w:after="40" w:line="240" w:lineRule="exact"/>
              <w:jc w:val="center"/>
              <w:rPr>
                <w:rFonts w:ascii="宋体" w:hAnsi="宋体" w:eastAsia="宋体" w:cs="宋体"/>
                <w:sz w:val="18"/>
                <w:szCs w:val="18"/>
              </w:rPr>
            </w:pPr>
            <w:r>
              <w:rPr>
                <w:rFonts w:ascii="宋体" w:hAnsi="宋体" w:eastAsia="宋体" w:cs="宋体"/>
                <w:sz w:val="18"/>
                <w:szCs w:val="18"/>
              </w:rPr>
              <w:t>2025年度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CAEB0F">
            <w:pPr>
              <w:spacing w:before="40" w:after="40" w:line="240" w:lineRule="exact"/>
              <w:jc w:val="center"/>
              <w:rPr>
                <w:rFonts w:ascii="宋体" w:hAnsi="宋体" w:eastAsia="宋体" w:cs="宋体"/>
                <w:sz w:val="18"/>
                <w:szCs w:val="18"/>
              </w:rPr>
            </w:pPr>
            <w:r>
              <w:rPr>
                <w:rFonts w:ascii="宋体" w:hAnsi="宋体" w:eastAsia="宋体" w:cs="宋体"/>
                <w:sz w:val="18"/>
                <w:szCs w:val="18"/>
              </w:rPr>
              <w:t>2024年度</w:t>
            </w:r>
          </w:p>
        </w:tc>
      </w:tr>
      <w:tr w14:paraId="70F12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29308A">
            <w:pPr>
              <w:spacing w:before="40" w:after="40" w:line="240" w:lineRule="exac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14:paraId="7002B964">
            <w:pPr>
              <w:spacing w:line="240" w:lineRule="exact"/>
              <w:jc w:val="right"/>
              <w:rPr>
                <w:rFonts w:ascii="宋体" w:hAnsi="宋体" w:eastAsia="宋体" w:cs="宋体"/>
                <w:sz w:val="18"/>
                <w:szCs w:val="18"/>
              </w:rPr>
            </w:pPr>
            <w:r>
              <w:rPr>
                <w:rFonts w:ascii="宋体" w:hAnsi="宋体" w:eastAsia="宋体" w:cs="宋体"/>
                <w:sz w:val="18"/>
                <w:szCs w:val="18"/>
              </w:rPr>
              <w:t>8,050,059,722.95</w:t>
            </w:r>
          </w:p>
        </w:tc>
        <w:tc>
          <w:tcPr>
            <w:tcW w:w="3213" w:type="dxa"/>
            <w:tcBorders>
              <w:top w:val="single" w:color="auto" w:sz="2" w:space="0"/>
              <w:left w:val="single" w:color="auto" w:sz="2" w:space="0"/>
              <w:bottom w:val="single" w:color="auto" w:sz="2" w:space="0"/>
              <w:right w:val="single" w:color="auto" w:sz="2" w:space="0"/>
            </w:tcBorders>
            <w:vAlign w:val="center"/>
          </w:tcPr>
          <w:p w14:paraId="718D25CE">
            <w:pPr>
              <w:spacing w:line="240" w:lineRule="exact"/>
              <w:jc w:val="right"/>
              <w:rPr>
                <w:rFonts w:ascii="宋体" w:hAnsi="宋体" w:eastAsia="宋体" w:cs="宋体"/>
                <w:sz w:val="18"/>
                <w:szCs w:val="18"/>
              </w:rPr>
            </w:pPr>
            <w:r>
              <w:rPr>
                <w:rFonts w:ascii="宋体" w:hAnsi="宋体" w:eastAsia="宋体" w:cs="宋体"/>
                <w:sz w:val="18"/>
                <w:szCs w:val="18"/>
              </w:rPr>
              <w:t>10,761,951,965.32</w:t>
            </w:r>
          </w:p>
        </w:tc>
      </w:tr>
      <w:tr w14:paraId="237E4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54BFA2">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14:paraId="5E994730">
            <w:pPr>
              <w:spacing w:line="240" w:lineRule="exact"/>
              <w:jc w:val="right"/>
              <w:rPr>
                <w:rFonts w:ascii="宋体" w:hAnsi="宋体" w:eastAsia="宋体" w:cs="宋体"/>
                <w:sz w:val="18"/>
                <w:szCs w:val="18"/>
              </w:rPr>
            </w:pPr>
            <w:r>
              <w:rPr>
                <w:rFonts w:ascii="宋体" w:hAnsi="宋体" w:eastAsia="宋体" w:cs="宋体"/>
                <w:sz w:val="18"/>
                <w:szCs w:val="18"/>
              </w:rPr>
              <w:t>8,050,059,722.95</w:t>
            </w:r>
          </w:p>
        </w:tc>
        <w:tc>
          <w:tcPr>
            <w:tcW w:w="3213" w:type="dxa"/>
            <w:tcBorders>
              <w:top w:val="single" w:color="auto" w:sz="2" w:space="0"/>
              <w:left w:val="single" w:color="auto" w:sz="2" w:space="0"/>
              <w:bottom w:val="single" w:color="auto" w:sz="2" w:space="0"/>
              <w:right w:val="single" w:color="auto" w:sz="2" w:space="0"/>
            </w:tcBorders>
            <w:vAlign w:val="center"/>
          </w:tcPr>
          <w:p w14:paraId="58702457">
            <w:pPr>
              <w:spacing w:line="240" w:lineRule="exact"/>
              <w:jc w:val="right"/>
              <w:rPr>
                <w:rFonts w:ascii="宋体" w:hAnsi="宋体" w:eastAsia="宋体" w:cs="宋体"/>
                <w:sz w:val="18"/>
                <w:szCs w:val="18"/>
              </w:rPr>
            </w:pPr>
            <w:r>
              <w:rPr>
                <w:rFonts w:ascii="宋体" w:hAnsi="宋体" w:eastAsia="宋体" w:cs="宋体"/>
                <w:sz w:val="18"/>
                <w:szCs w:val="18"/>
              </w:rPr>
              <w:t>10,761,951,965.32</w:t>
            </w:r>
          </w:p>
        </w:tc>
      </w:tr>
      <w:tr w14:paraId="5E790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8D5C21">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5FD2703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3B2D257">
            <w:pPr>
              <w:spacing w:line="240" w:lineRule="exact"/>
              <w:jc w:val="right"/>
              <w:rPr>
                <w:rFonts w:ascii="宋体" w:hAnsi="宋体" w:eastAsia="宋体" w:cs="宋体"/>
                <w:sz w:val="18"/>
                <w:szCs w:val="18"/>
              </w:rPr>
            </w:pPr>
          </w:p>
        </w:tc>
      </w:tr>
      <w:tr w14:paraId="392E2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290932">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14:paraId="493D7CFD">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A488962">
            <w:pPr>
              <w:spacing w:line="240" w:lineRule="exact"/>
              <w:jc w:val="right"/>
              <w:rPr>
                <w:rFonts w:ascii="宋体" w:hAnsi="宋体" w:eastAsia="宋体" w:cs="宋体"/>
                <w:sz w:val="18"/>
                <w:szCs w:val="18"/>
              </w:rPr>
            </w:pPr>
          </w:p>
        </w:tc>
      </w:tr>
      <w:tr w14:paraId="615BA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59C0A0">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14:paraId="2FD389D9">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8D229E1">
            <w:pPr>
              <w:spacing w:line="240" w:lineRule="exact"/>
              <w:jc w:val="right"/>
              <w:rPr>
                <w:rFonts w:ascii="宋体" w:hAnsi="宋体" w:eastAsia="宋体" w:cs="宋体"/>
                <w:sz w:val="18"/>
                <w:szCs w:val="18"/>
              </w:rPr>
            </w:pPr>
          </w:p>
        </w:tc>
      </w:tr>
      <w:tr w14:paraId="5F4BE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741AC1">
            <w:pPr>
              <w:spacing w:before="40" w:after="40" w:line="240" w:lineRule="exac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14:paraId="4ABFC626">
            <w:pPr>
              <w:spacing w:line="240" w:lineRule="exact"/>
              <w:jc w:val="right"/>
              <w:rPr>
                <w:rFonts w:ascii="宋体" w:hAnsi="宋体" w:eastAsia="宋体" w:cs="宋体"/>
                <w:sz w:val="18"/>
                <w:szCs w:val="18"/>
              </w:rPr>
            </w:pPr>
            <w:r>
              <w:rPr>
                <w:rFonts w:ascii="宋体" w:hAnsi="宋体" w:eastAsia="宋体" w:cs="宋体"/>
                <w:sz w:val="18"/>
                <w:szCs w:val="18"/>
              </w:rPr>
              <w:t>8,133,942,685.23</w:t>
            </w:r>
          </w:p>
        </w:tc>
        <w:tc>
          <w:tcPr>
            <w:tcW w:w="3213" w:type="dxa"/>
            <w:tcBorders>
              <w:top w:val="single" w:color="auto" w:sz="2" w:space="0"/>
              <w:left w:val="single" w:color="auto" w:sz="2" w:space="0"/>
              <w:bottom w:val="single" w:color="auto" w:sz="2" w:space="0"/>
              <w:right w:val="single" w:color="auto" w:sz="2" w:space="0"/>
            </w:tcBorders>
            <w:vAlign w:val="center"/>
          </w:tcPr>
          <w:p w14:paraId="132EB8F1">
            <w:pPr>
              <w:spacing w:line="240" w:lineRule="exact"/>
              <w:jc w:val="right"/>
              <w:rPr>
                <w:rFonts w:ascii="宋体" w:hAnsi="宋体" w:eastAsia="宋体" w:cs="宋体"/>
                <w:sz w:val="18"/>
                <w:szCs w:val="18"/>
              </w:rPr>
            </w:pPr>
            <w:r>
              <w:rPr>
                <w:rFonts w:ascii="宋体" w:hAnsi="宋体" w:eastAsia="宋体" w:cs="宋体"/>
                <w:sz w:val="18"/>
                <w:szCs w:val="18"/>
              </w:rPr>
              <w:t>11,046,988,147.10</w:t>
            </w:r>
          </w:p>
        </w:tc>
      </w:tr>
      <w:tr w14:paraId="56E10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FF3419">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14:paraId="39A4C293">
            <w:pPr>
              <w:spacing w:line="240" w:lineRule="exact"/>
              <w:jc w:val="right"/>
              <w:rPr>
                <w:rFonts w:ascii="宋体" w:hAnsi="宋体" w:eastAsia="宋体" w:cs="宋体"/>
                <w:sz w:val="18"/>
                <w:szCs w:val="18"/>
              </w:rPr>
            </w:pPr>
            <w:r>
              <w:rPr>
                <w:rFonts w:ascii="宋体" w:hAnsi="宋体" w:eastAsia="宋体" w:cs="宋体"/>
                <w:sz w:val="18"/>
                <w:szCs w:val="18"/>
              </w:rPr>
              <w:t>7,309,026,777.42</w:t>
            </w:r>
          </w:p>
        </w:tc>
        <w:tc>
          <w:tcPr>
            <w:tcW w:w="3213" w:type="dxa"/>
            <w:tcBorders>
              <w:top w:val="single" w:color="auto" w:sz="2" w:space="0"/>
              <w:left w:val="single" w:color="auto" w:sz="2" w:space="0"/>
              <w:bottom w:val="single" w:color="auto" w:sz="2" w:space="0"/>
              <w:right w:val="single" w:color="auto" w:sz="2" w:space="0"/>
            </w:tcBorders>
            <w:vAlign w:val="center"/>
          </w:tcPr>
          <w:p w14:paraId="37DA3AA5">
            <w:pPr>
              <w:spacing w:line="240" w:lineRule="exact"/>
              <w:jc w:val="right"/>
              <w:rPr>
                <w:rFonts w:ascii="宋体" w:hAnsi="宋体" w:eastAsia="宋体" w:cs="宋体"/>
                <w:sz w:val="18"/>
                <w:szCs w:val="18"/>
              </w:rPr>
            </w:pPr>
            <w:r>
              <w:rPr>
                <w:rFonts w:ascii="宋体" w:hAnsi="宋体" w:eastAsia="宋体" w:cs="宋体"/>
                <w:sz w:val="18"/>
                <w:szCs w:val="18"/>
              </w:rPr>
              <w:t>10,183,111,747.23</w:t>
            </w:r>
          </w:p>
        </w:tc>
      </w:tr>
      <w:tr w14:paraId="5A8FE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4771DB">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14:paraId="3B80F3D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46AAE78">
            <w:pPr>
              <w:spacing w:line="240" w:lineRule="exact"/>
              <w:jc w:val="right"/>
              <w:rPr>
                <w:rFonts w:ascii="宋体" w:hAnsi="宋体" w:eastAsia="宋体" w:cs="宋体"/>
                <w:sz w:val="18"/>
                <w:szCs w:val="18"/>
              </w:rPr>
            </w:pPr>
          </w:p>
        </w:tc>
      </w:tr>
      <w:tr w14:paraId="00063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5A5A79">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14:paraId="2E96DBFC">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FFC03BB">
            <w:pPr>
              <w:spacing w:line="240" w:lineRule="exact"/>
              <w:jc w:val="right"/>
              <w:rPr>
                <w:rFonts w:ascii="宋体" w:hAnsi="宋体" w:eastAsia="宋体" w:cs="宋体"/>
                <w:sz w:val="18"/>
                <w:szCs w:val="18"/>
              </w:rPr>
            </w:pPr>
          </w:p>
        </w:tc>
      </w:tr>
      <w:tr w14:paraId="7D08A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5AAC4E">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14:paraId="2025CDC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8AD0752">
            <w:pPr>
              <w:spacing w:line="240" w:lineRule="exact"/>
              <w:jc w:val="right"/>
              <w:rPr>
                <w:rFonts w:ascii="宋体" w:hAnsi="宋体" w:eastAsia="宋体" w:cs="宋体"/>
                <w:sz w:val="18"/>
                <w:szCs w:val="18"/>
              </w:rPr>
            </w:pPr>
          </w:p>
        </w:tc>
      </w:tr>
      <w:tr w14:paraId="7EA55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8E5C1E">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14:paraId="51BD4DE2">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7562A3A">
            <w:pPr>
              <w:spacing w:line="240" w:lineRule="exact"/>
              <w:jc w:val="right"/>
              <w:rPr>
                <w:rFonts w:ascii="宋体" w:hAnsi="宋体" w:eastAsia="宋体" w:cs="宋体"/>
                <w:sz w:val="18"/>
                <w:szCs w:val="18"/>
              </w:rPr>
            </w:pPr>
          </w:p>
        </w:tc>
      </w:tr>
      <w:tr w14:paraId="39D4B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C5A4BA">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提取保险责任合同准备金净额</w:t>
            </w:r>
          </w:p>
        </w:tc>
        <w:tc>
          <w:tcPr>
            <w:tcW w:w="3213" w:type="dxa"/>
            <w:tcBorders>
              <w:top w:val="single" w:color="auto" w:sz="2" w:space="0"/>
              <w:left w:val="single" w:color="auto" w:sz="2" w:space="0"/>
              <w:bottom w:val="single" w:color="auto" w:sz="2" w:space="0"/>
              <w:right w:val="single" w:color="auto" w:sz="2" w:space="0"/>
            </w:tcBorders>
            <w:vAlign w:val="center"/>
          </w:tcPr>
          <w:p w14:paraId="3D898E3F">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9ADCA98">
            <w:pPr>
              <w:spacing w:line="240" w:lineRule="exact"/>
              <w:jc w:val="right"/>
              <w:rPr>
                <w:rFonts w:ascii="宋体" w:hAnsi="宋体" w:eastAsia="宋体" w:cs="宋体"/>
                <w:sz w:val="18"/>
                <w:szCs w:val="18"/>
              </w:rPr>
            </w:pPr>
          </w:p>
        </w:tc>
      </w:tr>
      <w:tr w14:paraId="3ACD3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403511">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14:paraId="200847B7">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1315606">
            <w:pPr>
              <w:spacing w:line="240" w:lineRule="exact"/>
              <w:jc w:val="right"/>
              <w:rPr>
                <w:rFonts w:ascii="宋体" w:hAnsi="宋体" w:eastAsia="宋体" w:cs="宋体"/>
                <w:sz w:val="18"/>
                <w:szCs w:val="18"/>
              </w:rPr>
            </w:pPr>
          </w:p>
        </w:tc>
      </w:tr>
      <w:tr w14:paraId="23720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8FADF3">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14:paraId="69B0625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E00878E">
            <w:pPr>
              <w:spacing w:line="240" w:lineRule="exact"/>
              <w:jc w:val="right"/>
              <w:rPr>
                <w:rFonts w:ascii="宋体" w:hAnsi="宋体" w:eastAsia="宋体" w:cs="宋体"/>
                <w:sz w:val="18"/>
                <w:szCs w:val="18"/>
              </w:rPr>
            </w:pPr>
          </w:p>
        </w:tc>
      </w:tr>
      <w:tr w14:paraId="0AE0F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62CC09">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14:paraId="2A955092">
            <w:pPr>
              <w:spacing w:line="240" w:lineRule="exact"/>
              <w:jc w:val="right"/>
              <w:rPr>
                <w:rFonts w:ascii="宋体" w:hAnsi="宋体" w:eastAsia="宋体" w:cs="宋体"/>
                <w:sz w:val="18"/>
                <w:szCs w:val="18"/>
              </w:rPr>
            </w:pPr>
            <w:r>
              <w:rPr>
                <w:rFonts w:ascii="宋体" w:hAnsi="宋体" w:eastAsia="宋体" w:cs="宋体"/>
                <w:sz w:val="18"/>
                <w:szCs w:val="18"/>
              </w:rPr>
              <w:t>84,476,668.64</w:t>
            </w:r>
          </w:p>
        </w:tc>
        <w:tc>
          <w:tcPr>
            <w:tcW w:w="3213" w:type="dxa"/>
            <w:tcBorders>
              <w:top w:val="single" w:color="auto" w:sz="2" w:space="0"/>
              <w:left w:val="single" w:color="auto" w:sz="2" w:space="0"/>
              <w:bottom w:val="single" w:color="auto" w:sz="2" w:space="0"/>
              <w:right w:val="single" w:color="auto" w:sz="2" w:space="0"/>
            </w:tcBorders>
            <w:vAlign w:val="center"/>
          </w:tcPr>
          <w:p w14:paraId="413FC1BF">
            <w:pPr>
              <w:spacing w:line="240" w:lineRule="exact"/>
              <w:jc w:val="right"/>
              <w:rPr>
                <w:rFonts w:ascii="宋体" w:hAnsi="宋体" w:eastAsia="宋体" w:cs="宋体"/>
                <w:sz w:val="18"/>
                <w:szCs w:val="18"/>
              </w:rPr>
            </w:pPr>
            <w:r>
              <w:rPr>
                <w:rFonts w:ascii="宋体" w:hAnsi="宋体" w:eastAsia="宋体" w:cs="宋体"/>
                <w:sz w:val="18"/>
                <w:szCs w:val="18"/>
              </w:rPr>
              <w:t>80,532,904.37</w:t>
            </w:r>
          </w:p>
        </w:tc>
      </w:tr>
      <w:tr w14:paraId="6AA96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C21BBA3">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14:paraId="41A02959">
            <w:pPr>
              <w:spacing w:line="240" w:lineRule="exact"/>
              <w:jc w:val="right"/>
              <w:rPr>
                <w:rFonts w:ascii="宋体" w:hAnsi="宋体" w:eastAsia="宋体" w:cs="宋体"/>
                <w:sz w:val="18"/>
                <w:szCs w:val="18"/>
              </w:rPr>
            </w:pPr>
            <w:r>
              <w:rPr>
                <w:rFonts w:ascii="宋体" w:hAnsi="宋体" w:eastAsia="宋体" w:cs="宋体"/>
                <w:sz w:val="18"/>
                <w:szCs w:val="18"/>
              </w:rPr>
              <w:t>120,416,797.90</w:t>
            </w:r>
          </w:p>
        </w:tc>
        <w:tc>
          <w:tcPr>
            <w:tcW w:w="3213" w:type="dxa"/>
            <w:tcBorders>
              <w:top w:val="single" w:color="auto" w:sz="2" w:space="0"/>
              <w:left w:val="single" w:color="auto" w:sz="2" w:space="0"/>
              <w:bottom w:val="single" w:color="auto" w:sz="2" w:space="0"/>
              <w:right w:val="single" w:color="auto" w:sz="2" w:space="0"/>
            </w:tcBorders>
            <w:vAlign w:val="center"/>
          </w:tcPr>
          <w:p w14:paraId="04FD5501">
            <w:pPr>
              <w:spacing w:line="240" w:lineRule="exact"/>
              <w:jc w:val="right"/>
              <w:rPr>
                <w:rFonts w:ascii="宋体" w:hAnsi="宋体" w:eastAsia="宋体" w:cs="宋体"/>
                <w:sz w:val="18"/>
                <w:szCs w:val="18"/>
              </w:rPr>
            </w:pPr>
            <w:r>
              <w:rPr>
                <w:rFonts w:ascii="宋体" w:hAnsi="宋体" w:eastAsia="宋体" w:cs="宋体"/>
                <w:sz w:val="18"/>
                <w:szCs w:val="18"/>
              </w:rPr>
              <w:t>112,368,503.45</w:t>
            </w:r>
          </w:p>
        </w:tc>
      </w:tr>
      <w:tr w14:paraId="0CE8B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A600DB">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14:paraId="7977A7AA">
            <w:pPr>
              <w:spacing w:line="240" w:lineRule="exact"/>
              <w:jc w:val="right"/>
              <w:rPr>
                <w:rFonts w:ascii="宋体" w:hAnsi="宋体" w:eastAsia="宋体" w:cs="宋体"/>
                <w:sz w:val="18"/>
                <w:szCs w:val="18"/>
              </w:rPr>
            </w:pPr>
            <w:r>
              <w:rPr>
                <w:rFonts w:ascii="宋体" w:hAnsi="宋体" w:eastAsia="宋体" w:cs="宋体"/>
                <w:sz w:val="18"/>
                <w:szCs w:val="18"/>
              </w:rPr>
              <w:t>316,096,177.33</w:t>
            </w:r>
          </w:p>
        </w:tc>
        <w:tc>
          <w:tcPr>
            <w:tcW w:w="3213" w:type="dxa"/>
            <w:tcBorders>
              <w:top w:val="single" w:color="auto" w:sz="2" w:space="0"/>
              <w:left w:val="single" w:color="auto" w:sz="2" w:space="0"/>
              <w:bottom w:val="single" w:color="auto" w:sz="2" w:space="0"/>
              <w:right w:val="single" w:color="auto" w:sz="2" w:space="0"/>
            </w:tcBorders>
            <w:vAlign w:val="center"/>
          </w:tcPr>
          <w:p w14:paraId="18E57349">
            <w:pPr>
              <w:spacing w:line="240" w:lineRule="exact"/>
              <w:jc w:val="right"/>
              <w:rPr>
                <w:rFonts w:ascii="宋体" w:hAnsi="宋体" w:eastAsia="宋体" w:cs="宋体"/>
                <w:sz w:val="18"/>
                <w:szCs w:val="18"/>
              </w:rPr>
            </w:pPr>
            <w:r>
              <w:rPr>
                <w:rFonts w:ascii="宋体" w:hAnsi="宋体" w:eastAsia="宋体" w:cs="宋体"/>
                <w:sz w:val="18"/>
                <w:szCs w:val="18"/>
              </w:rPr>
              <w:t>319,106,479.61</w:t>
            </w:r>
          </w:p>
        </w:tc>
      </w:tr>
      <w:tr w14:paraId="525F5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1A0DB3">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14:paraId="7D2DE14D">
            <w:pPr>
              <w:spacing w:line="240" w:lineRule="exact"/>
              <w:jc w:val="right"/>
              <w:rPr>
                <w:rFonts w:ascii="宋体" w:hAnsi="宋体" w:eastAsia="宋体" w:cs="宋体"/>
                <w:sz w:val="18"/>
                <w:szCs w:val="18"/>
              </w:rPr>
            </w:pPr>
            <w:r>
              <w:rPr>
                <w:rFonts w:ascii="宋体" w:hAnsi="宋体" w:eastAsia="宋体" w:cs="宋体"/>
                <w:sz w:val="18"/>
                <w:szCs w:val="18"/>
              </w:rPr>
              <w:t>131,084,877.57</w:t>
            </w:r>
          </w:p>
        </w:tc>
        <w:tc>
          <w:tcPr>
            <w:tcW w:w="3213" w:type="dxa"/>
            <w:tcBorders>
              <w:top w:val="single" w:color="auto" w:sz="2" w:space="0"/>
              <w:left w:val="single" w:color="auto" w:sz="2" w:space="0"/>
              <w:bottom w:val="single" w:color="auto" w:sz="2" w:space="0"/>
              <w:right w:val="single" w:color="auto" w:sz="2" w:space="0"/>
            </w:tcBorders>
            <w:vAlign w:val="center"/>
          </w:tcPr>
          <w:p w14:paraId="4402130B">
            <w:pPr>
              <w:spacing w:line="240" w:lineRule="exact"/>
              <w:jc w:val="right"/>
              <w:rPr>
                <w:rFonts w:ascii="宋体" w:hAnsi="宋体" w:eastAsia="宋体" w:cs="宋体"/>
                <w:sz w:val="18"/>
                <w:szCs w:val="18"/>
              </w:rPr>
            </w:pPr>
            <w:r>
              <w:rPr>
                <w:rFonts w:ascii="宋体" w:hAnsi="宋体" w:eastAsia="宋体" w:cs="宋体"/>
                <w:sz w:val="18"/>
                <w:szCs w:val="18"/>
              </w:rPr>
              <w:t>150,806,512.44</w:t>
            </w:r>
          </w:p>
        </w:tc>
      </w:tr>
      <w:tr w14:paraId="08170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353F3C">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14:paraId="794163C4">
            <w:pPr>
              <w:spacing w:line="240" w:lineRule="exact"/>
              <w:jc w:val="right"/>
              <w:rPr>
                <w:rFonts w:ascii="宋体" w:hAnsi="宋体" w:eastAsia="宋体" w:cs="宋体"/>
                <w:sz w:val="18"/>
                <w:szCs w:val="18"/>
              </w:rPr>
            </w:pPr>
            <w:r>
              <w:rPr>
                <w:rFonts w:ascii="宋体" w:hAnsi="宋体" w:eastAsia="宋体" w:cs="宋体"/>
                <w:sz w:val="18"/>
                <w:szCs w:val="18"/>
              </w:rPr>
              <w:t>172,841,386.37</w:t>
            </w:r>
          </w:p>
        </w:tc>
        <w:tc>
          <w:tcPr>
            <w:tcW w:w="3213" w:type="dxa"/>
            <w:tcBorders>
              <w:top w:val="single" w:color="auto" w:sz="2" w:space="0"/>
              <w:left w:val="single" w:color="auto" w:sz="2" w:space="0"/>
              <w:bottom w:val="single" w:color="auto" w:sz="2" w:space="0"/>
              <w:right w:val="single" w:color="auto" w:sz="2" w:space="0"/>
            </w:tcBorders>
            <w:vAlign w:val="center"/>
          </w:tcPr>
          <w:p w14:paraId="1E180207">
            <w:pPr>
              <w:spacing w:line="240" w:lineRule="exact"/>
              <w:jc w:val="right"/>
              <w:rPr>
                <w:rFonts w:ascii="宋体" w:hAnsi="宋体" w:eastAsia="宋体" w:cs="宋体"/>
                <w:sz w:val="18"/>
                <w:szCs w:val="18"/>
              </w:rPr>
            </w:pPr>
            <w:r>
              <w:rPr>
                <w:rFonts w:ascii="宋体" w:hAnsi="宋体" w:eastAsia="宋体" w:cs="宋体"/>
                <w:sz w:val="18"/>
                <w:szCs w:val="18"/>
              </w:rPr>
              <w:t>201,062,000.00</w:t>
            </w:r>
          </w:p>
        </w:tc>
      </w:tr>
      <w:tr w14:paraId="67A68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828D23">
            <w:pPr>
              <w:spacing w:before="40" w:after="40" w:line="240" w:lineRule="exact"/>
              <w:ind w:firstLine="900" w:firstLineChars="500"/>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14:paraId="72AC4C63">
            <w:pPr>
              <w:spacing w:line="240" w:lineRule="exact"/>
              <w:jc w:val="right"/>
              <w:rPr>
                <w:rFonts w:ascii="宋体" w:hAnsi="宋体" w:eastAsia="宋体" w:cs="宋体"/>
                <w:sz w:val="18"/>
                <w:szCs w:val="18"/>
              </w:rPr>
            </w:pPr>
            <w:r>
              <w:rPr>
                <w:rFonts w:ascii="宋体" w:hAnsi="宋体" w:eastAsia="宋体" w:cs="宋体"/>
                <w:sz w:val="18"/>
                <w:szCs w:val="18"/>
              </w:rPr>
              <w:t>176,781,869.09</w:t>
            </w:r>
          </w:p>
        </w:tc>
        <w:tc>
          <w:tcPr>
            <w:tcW w:w="3213" w:type="dxa"/>
            <w:tcBorders>
              <w:top w:val="single" w:color="auto" w:sz="2" w:space="0"/>
              <w:left w:val="single" w:color="auto" w:sz="2" w:space="0"/>
              <w:bottom w:val="single" w:color="auto" w:sz="2" w:space="0"/>
              <w:right w:val="single" w:color="auto" w:sz="2" w:space="0"/>
            </w:tcBorders>
            <w:vAlign w:val="center"/>
          </w:tcPr>
          <w:p w14:paraId="38E97477">
            <w:pPr>
              <w:spacing w:line="240" w:lineRule="exact"/>
              <w:jc w:val="right"/>
              <w:rPr>
                <w:rFonts w:ascii="宋体" w:hAnsi="宋体" w:eastAsia="宋体" w:cs="宋体"/>
                <w:sz w:val="18"/>
                <w:szCs w:val="18"/>
              </w:rPr>
            </w:pPr>
            <w:r>
              <w:rPr>
                <w:rFonts w:ascii="宋体" w:hAnsi="宋体" w:eastAsia="宋体" w:cs="宋体"/>
                <w:sz w:val="18"/>
                <w:szCs w:val="18"/>
              </w:rPr>
              <w:t>243,842,867.60</w:t>
            </w:r>
          </w:p>
        </w:tc>
      </w:tr>
      <w:tr w14:paraId="720AF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D449F3">
            <w:pPr>
              <w:spacing w:before="40" w:after="40" w:line="240" w:lineRule="exact"/>
              <w:ind w:firstLine="1440" w:firstLineChars="800"/>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1A22121F">
            <w:pPr>
              <w:spacing w:line="240" w:lineRule="exact"/>
              <w:jc w:val="right"/>
              <w:rPr>
                <w:rFonts w:ascii="宋体" w:hAnsi="宋体" w:eastAsia="宋体" w:cs="宋体"/>
                <w:sz w:val="18"/>
                <w:szCs w:val="18"/>
              </w:rPr>
            </w:pPr>
            <w:r>
              <w:rPr>
                <w:rFonts w:ascii="宋体" w:hAnsi="宋体" w:eastAsia="宋体" w:cs="宋体"/>
                <w:sz w:val="18"/>
                <w:szCs w:val="18"/>
              </w:rPr>
              <w:t>47,337,193.93</w:t>
            </w:r>
          </w:p>
        </w:tc>
        <w:tc>
          <w:tcPr>
            <w:tcW w:w="3213" w:type="dxa"/>
            <w:tcBorders>
              <w:top w:val="single" w:color="auto" w:sz="2" w:space="0"/>
              <w:left w:val="single" w:color="auto" w:sz="2" w:space="0"/>
              <w:bottom w:val="single" w:color="auto" w:sz="2" w:space="0"/>
              <w:right w:val="single" w:color="auto" w:sz="2" w:space="0"/>
            </w:tcBorders>
            <w:vAlign w:val="center"/>
          </w:tcPr>
          <w:p w14:paraId="75DFE2F7">
            <w:pPr>
              <w:spacing w:line="240" w:lineRule="exact"/>
              <w:jc w:val="right"/>
              <w:rPr>
                <w:rFonts w:ascii="宋体" w:hAnsi="宋体" w:eastAsia="宋体" w:cs="宋体"/>
                <w:sz w:val="18"/>
                <w:szCs w:val="18"/>
              </w:rPr>
            </w:pPr>
            <w:r>
              <w:rPr>
                <w:rFonts w:ascii="宋体" w:hAnsi="宋体" w:eastAsia="宋体" w:cs="宋体"/>
                <w:sz w:val="18"/>
                <w:szCs w:val="18"/>
              </w:rPr>
              <w:t>68,519,896.21</w:t>
            </w:r>
          </w:p>
        </w:tc>
      </w:tr>
      <w:tr w14:paraId="2AF70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069450">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14:paraId="15C94FB3">
            <w:pPr>
              <w:spacing w:line="240" w:lineRule="exact"/>
              <w:jc w:val="right"/>
              <w:rPr>
                <w:rFonts w:ascii="宋体" w:hAnsi="宋体" w:eastAsia="宋体" w:cs="宋体"/>
                <w:sz w:val="18"/>
                <w:szCs w:val="18"/>
              </w:rPr>
            </w:pPr>
            <w:r>
              <w:rPr>
                <w:rFonts w:ascii="宋体" w:hAnsi="宋体" w:eastAsia="宋体" w:cs="宋体"/>
                <w:sz w:val="18"/>
                <w:szCs w:val="18"/>
              </w:rPr>
              <w:t>108,579,897.78</w:t>
            </w:r>
          </w:p>
        </w:tc>
        <w:tc>
          <w:tcPr>
            <w:tcW w:w="3213" w:type="dxa"/>
            <w:tcBorders>
              <w:top w:val="single" w:color="auto" w:sz="2" w:space="0"/>
              <w:left w:val="single" w:color="auto" w:sz="2" w:space="0"/>
              <w:bottom w:val="single" w:color="auto" w:sz="2" w:space="0"/>
              <w:right w:val="single" w:color="auto" w:sz="2" w:space="0"/>
            </w:tcBorders>
            <w:vAlign w:val="center"/>
          </w:tcPr>
          <w:p w14:paraId="0E1B0CD2">
            <w:pPr>
              <w:spacing w:line="240" w:lineRule="exact"/>
              <w:jc w:val="right"/>
              <w:rPr>
                <w:rFonts w:ascii="宋体" w:hAnsi="宋体" w:eastAsia="宋体" w:cs="宋体"/>
                <w:sz w:val="18"/>
                <w:szCs w:val="18"/>
              </w:rPr>
            </w:pPr>
            <w:r>
              <w:rPr>
                <w:rFonts w:ascii="宋体" w:hAnsi="宋体" w:eastAsia="宋体" w:cs="宋体"/>
                <w:sz w:val="18"/>
                <w:szCs w:val="18"/>
              </w:rPr>
              <w:t>132,331,921.35</w:t>
            </w:r>
          </w:p>
        </w:tc>
      </w:tr>
      <w:tr w14:paraId="6975F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168584">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04F4B3DF">
            <w:pPr>
              <w:spacing w:line="240" w:lineRule="exact"/>
              <w:jc w:val="right"/>
              <w:rPr>
                <w:rFonts w:ascii="宋体" w:hAnsi="宋体" w:eastAsia="宋体" w:cs="宋体"/>
                <w:sz w:val="18"/>
                <w:szCs w:val="18"/>
              </w:rPr>
            </w:pPr>
            <w:r>
              <w:rPr>
                <w:rFonts w:ascii="宋体" w:hAnsi="宋体" w:eastAsia="宋体" w:cs="宋体"/>
                <w:sz w:val="18"/>
                <w:szCs w:val="18"/>
              </w:rPr>
              <w:t>65,616,607.74</w:t>
            </w:r>
          </w:p>
        </w:tc>
        <w:tc>
          <w:tcPr>
            <w:tcW w:w="3213" w:type="dxa"/>
            <w:tcBorders>
              <w:top w:val="single" w:color="auto" w:sz="2" w:space="0"/>
              <w:left w:val="single" w:color="auto" w:sz="2" w:space="0"/>
              <w:bottom w:val="single" w:color="auto" w:sz="2" w:space="0"/>
              <w:right w:val="single" w:color="auto" w:sz="2" w:space="0"/>
            </w:tcBorders>
            <w:vAlign w:val="center"/>
          </w:tcPr>
          <w:p w14:paraId="1C955133">
            <w:pPr>
              <w:spacing w:line="240" w:lineRule="exact"/>
              <w:jc w:val="right"/>
              <w:rPr>
                <w:rFonts w:ascii="宋体" w:hAnsi="宋体" w:eastAsia="宋体" w:cs="宋体"/>
                <w:sz w:val="18"/>
                <w:szCs w:val="18"/>
              </w:rPr>
            </w:pPr>
            <w:r>
              <w:rPr>
                <w:rFonts w:ascii="宋体" w:hAnsi="宋体" w:eastAsia="宋体" w:cs="宋体"/>
                <w:sz w:val="18"/>
                <w:szCs w:val="18"/>
              </w:rPr>
              <w:t>37,787,529.55</w:t>
            </w:r>
          </w:p>
        </w:tc>
      </w:tr>
      <w:tr w14:paraId="49550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D29F5F">
            <w:pPr>
              <w:spacing w:before="40" w:after="40" w:line="240" w:lineRule="exact"/>
              <w:ind w:firstLine="900" w:firstLineChars="500"/>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4018974A">
            <w:pPr>
              <w:spacing w:line="240" w:lineRule="exact"/>
              <w:jc w:val="right"/>
              <w:rPr>
                <w:rFonts w:ascii="宋体" w:hAnsi="宋体" w:eastAsia="宋体" w:cs="宋体"/>
                <w:sz w:val="18"/>
                <w:szCs w:val="18"/>
              </w:rPr>
            </w:pPr>
            <w:r>
              <w:rPr>
                <w:rFonts w:ascii="宋体" w:hAnsi="宋体" w:eastAsia="宋体" w:cs="宋体"/>
                <w:sz w:val="18"/>
                <w:szCs w:val="18"/>
              </w:rPr>
              <w:t>9,589,756.16</w:t>
            </w:r>
          </w:p>
        </w:tc>
        <w:tc>
          <w:tcPr>
            <w:tcW w:w="3213" w:type="dxa"/>
            <w:tcBorders>
              <w:top w:val="single" w:color="auto" w:sz="2" w:space="0"/>
              <w:left w:val="single" w:color="auto" w:sz="2" w:space="0"/>
              <w:bottom w:val="single" w:color="auto" w:sz="2" w:space="0"/>
              <w:right w:val="single" w:color="auto" w:sz="2" w:space="0"/>
            </w:tcBorders>
            <w:vAlign w:val="center"/>
          </w:tcPr>
          <w:p w14:paraId="1A57FA56">
            <w:pPr>
              <w:spacing w:line="240" w:lineRule="exact"/>
              <w:jc w:val="right"/>
              <w:rPr>
                <w:rFonts w:ascii="宋体" w:hAnsi="宋体" w:eastAsia="宋体" w:cs="宋体"/>
                <w:sz w:val="18"/>
                <w:szCs w:val="18"/>
              </w:rPr>
            </w:pPr>
            <w:r>
              <w:rPr>
                <w:rFonts w:ascii="宋体" w:hAnsi="宋体" w:eastAsia="宋体" w:cs="宋体"/>
                <w:sz w:val="18"/>
                <w:szCs w:val="18"/>
              </w:rPr>
              <w:t>7,325,415.78</w:t>
            </w:r>
          </w:p>
        </w:tc>
      </w:tr>
      <w:tr w14:paraId="32194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EF73AE">
            <w:pPr>
              <w:spacing w:before="40" w:after="40" w:line="240" w:lineRule="exact"/>
              <w:ind w:firstLine="1440" w:firstLineChars="800"/>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14:paraId="288B8652">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A11CEBF">
            <w:pPr>
              <w:spacing w:line="240" w:lineRule="exact"/>
              <w:jc w:val="right"/>
              <w:rPr>
                <w:rFonts w:ascii="宋体" w:hAnsi="宋体" w:eastAsia="宋体" w:cs="宋体"/>
                <w:sz w:val="18"/>
                <w:szCs w:val="18"/>
              </w:rPr>
            </w:pPr>
          </w:p>
        </w:tc>
      </w:tr>
      <w:tr w14:paraId="20184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765392">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2F1B9B5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8B73569">
            <w:pPr>
              <w:spacing w:line="240" w:lineRule="exact"/>
              <w:jc w:val="right"/>
              <w:rPr>
                <w:rFonts w:ascii="宋体" w:hAnsi="宋体" w:eastAsia="宋体" w:cs="宋体"/>
                <w:sz w:val="18"/>
                <w:szCs w:val="18"/>
              </w:rPr>
            </w:pPr>
          </w:p>
        </w:tc>
      </w:tr>
      <w:tr w14:paraId="7825D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739578">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02778897">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1706CF0">
            <w:pPr>
              <w:spacing w:line="240" w:lineRule="exact"/>
              <w:jc w:val="right"/>
              <w:rPr>
                <w:rFonts w:ascii="宋体" w:hAnsi="宋体" w:eastAsia="宋体" w:cs="宋体"/>
                <w:sz w:val="18"/>
                <w:szCs w:val="18"/>
              </w:rPr>
            </w:pPr>
          </w:p>
        </w:tc>
      </w:tr>
      <w:tr w14:paraId="3CDD1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5B8252">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27EF2F8">
            <w:pPr>
              <w:spacing w:line="240" w:lineRule="exact"/>
              <w:jc w:val="right"/>
              <w:rPr>
                <w:rFonts w:ascii="宋体" w:hAnsi="宋体" w:eastAsia="宋体" w:cs="宋体"/>
                <w:sz w:val="18"/>
                <w:szCs w:val="18"/>
              </w:rPr>
            </w:pPr>
            <w:r>
              <w:rPr>
                <w:rFonts w:ascii="宋体" w:hAnsi="宋体" w:eastAsia="宋体" w:cs="宋体"/>
                <w:sz w:val="18"/>
                <w:szCs w:val="18"/>
              </w:rPr>
              <w:t>-16,682,363.53</w:t>
            </w:r>
          </w:p>
        </w:tc>
        <w:tc>
          <w:tcPr>
            <w:tcW w:w="3213" w:type="dxa"/>
            <w:tcBorders>
              <w:top w:val="single" w:color="auto" w:sz="2" w:space="0"/>
              <w:left w:val="single" w:color="auto" w:sz="2" w:space="0"/>
              <w:bottom w:val="single" w:color="auto" w:sz="2" w:space="0"/>
              <w:right w:val="single" w:color="auto" w:sz="2" w:space="0"/>
            </w:tcBorders>
            <w:vAlign w:val="center"/>
          </w:tcPr>
          <w:p w14:paraId="6EE972DB">
            <w:pPr>
              <w:spacing w:line="240" w:lineRule="exact"/>
              <w:jc w:val="right"/>
              <w:rPr>
                <w:rFonts w:ascii="宋体" w:hAnsi="宋体" w:eastAsia="宋体" w:cs="宋体"/>
                <w:sz w:val="18"/>
                <w:szCs w:val="18"/>
              </w:rPr>
            </w:pPr>
            <w:r>
              <w:rPr>
                <w:rFonts w:ascii="宋体" w:hAnsi="宋体" w:eastAsia="宋体" w:cs="宋体"/>
                <w:sz w:val="18"/>
                <w:szCs w:val="18"/>
              </w:rPr>
              <w:t>207,118.39</w:t>
            </w:r>
          </w:p>
        </w:tc>
      </w:tr>
      <w:tr w14:paraId="52116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8ECCB5">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1CAABAF">
            <w:pPr>
              <w:spacing w:line="240" w:lineRule="exact"/>
              <w:jc w:val="right"/>
              <w:rPr>
                <w:rFonts w:ascii="宋体" w:hAnsi="宋体" w:eastAsia="宋体" w:cs="宋体"/>
                <w:sz w:val="18"/>
                <w:szCs w:val="18"/>
              </w:rPr>
            </w:pPr>
            <w:r>
              <w:rPr>
                <w:rFonts w:ascii="宋体" w:hAnsi="宋体" w:eastAsia="宋体" w:cs="宋体"/>
                <w:sz w:val="18"/>
                <w:szCs w:val="18"/>
              </w:rPr>
              <w:t>-2,322,527.21</w:t>
            </w:r>
          </w:p>
        </w:tc>
        <w:tc>
          <w:tcPr>
            <w:tcW w:w="3213" w:type="dxa"/>
            <w:tcBorders>
              <w:top w:val="single" w:color="auto" w:sz="2" w:space="0"/>
              <w:left w:val="single" w:color="auto" w:sz="2" w:space="0"/>
              <w:bottom w:val="single" w:color="auto" w:sz="2" w:space="0"/>
              <w:right w:val="single" w:color="auto" w:sz="2" w:space="0"/>
            </w:tcBorders>
            <w:vAlign w:val="center"/>
          </w:tcPr>
          <w:p w14:paraId="12F46536">
            <w:pPr>
              <w:spacing w:line="240" w:lineRule="exact"/>
              <w:jc w:val="right"/>
              <w:rPr>
                <w:rFonts w:ascii="宋体" w:hAnsi="宋体" w:eastAsia="宋体" w:cs="宋体"/>
                <w:sz w:val="18"/>
                <w:szCs w:val="18"/>
              </w:rPr>
            </w:pPr>
            <w:r>
              <w:rPr>
                <w:rFonts w:ascii="宋体" w:hAnsi="宋体" w:eastAsia="宋体" w:cs="宋体"/>
                <w:sz w:val="18"/>
                <w:szCs w:val="18"/>
              </w:rPr>
              <w:t>-50,820,326.66</w:t>
            </w:r>
          </w:p>
        </w:tc>
      </w:tr>
      <w:tr w14:paraId="24120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B95C54">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5D3083E">
            <w:pPr>
              <w:spacing w:line="240" w:lineRule="exact"/>
              <w:jc w:val="right"/>
              <w:rPr>
                <w:rFonts w:ascii="宋体" w:hAnsi="宋体" w:eastAsia="宋体" w:cs="宋体"/>
                <w:sz w:val="18"/>
                <w:szCs w:val="18"/>
              </w:rPr>
            </w:pPr>
            <w:r>
              <w:rPr>
                <w:rFonts w:ascii="宋体" w:hAnsi="宋体" w:eastAsia="宋体" w:cs="宋体"/>
                <w:sz w:val="18"/>
                <w:szCs w:val="18"/>
              </w:rPr>
              <w:t>-5,141,871.08</w:t>
            </w:r>
          </w:p>
        </w:tc>
        <w:tc>
          <w:tcPr>
            <w:tcW w:w="3213" w:type="dxa"/>
            <w:tcBorders>
              <w:top w:val="single" w:color="auto" w:sz="2" w:space="0"/>
              <w:left w:val="single" w:color="auto" w:sz="2" w:space="0"/>
              <w:bottom w:val="single" w:color="auto" w:sz="2" w:space="0"/>
              <w:right w:val="single" w:color="auto" w:sz="2" w:space="0"/>
            </w:tcBorders>
            <w:vAlign w:val="center"/>
          </w:tcPr>
          <w:p w14:paraId="7383C5C2">
            <w:pPr>
              <w:spacing w:line="240" w:lineRule="exact"/>
              <w:jc w:val="right"/>
              <w:rPr>
                <w:rFonts w:ascii="宋体" w:hAnsi="宋体" w:eastAsia="宋体" w:cs="宋体"/>
                <w:sz w:val="18"/>
                <w:szCs w:val="18"/>
              </w:rPr>
            </w:pPr>
            <w:r>
              <w:rPr>
                <w:rFonts w:ascii="宋体" w:hAnsi="宋体" w:eastAsia="宋体" w:cs="宋体"/>
                <w:sz w:val="18"/>
                <w:szCs w:val="18"/>
              </w:rPr>
              <w:t>-86,122,674.99</w:t>
            </w:r>
          </w:p>
        </w:tc>
      </w:tr>
      <w:tr w14:paraId="67837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9ED547">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34B88B56">
            <w:pPr>
              <w:spacing w:line="240" w:lineRule="exact"/>
              <w:jc w:val="right"/>
              <w:rPr>
                <w:rFonts w:ascii="宋体" w:hAnsi="宋体" w:eastAsia="宋体" w:cs="宋体"/>
                <w:sz w:val="18"/>
                <w:szCs w:val="18"/>
              </w:rPr>
            </w:pPr>
            <w:r>
              <w:rPr>
                <w:rFonts w:ascii="宋体" w:hAnsi="宋体" w:eastAsia="宋体" w:cs="宋体"/>
                <w:sz w:val="18"/>
                <w:szCs w:val="18"/>
              </w:rPr>
              <w:t>11,425,239.16</w:t>
            </w:r>
          </w:p>
        </w:tc>
        <w:tc>
          <w:tcPr>
            <w:tcW w:w="3213" w:type="dxa"/>
            <w:tcBorders>
              <w:top w:val="single" w:color="auto" w:sz="2" w:space="0"/>
              <w:left w:val="single" w:color="auto" w:sz="2" w:space="0"/>
              <w:bottom w:val="single" w:color="auto" w:sz="2" w:space="0"/>
              <w:right w:val="single" w:color="auto" w:sz="2" w:space="0"/>
            </w:tcBorders>
            <w:vAlign w:val="center"/>
          </w:tcPr>
          <w:p w14:paraId="55C6919C">
            <w:pPr>
              <w:spacing w:line="240" w:lineRule="exact"/>
              <w:jc w:val="right"/>
              <w:rPr>
                <w:rFonts w:ascii="宋体" w:hAnsi="宋体" w:eastAsia="宋体" w:cs="宋体"/>
                <w:sz w:val="18"/>
                <w:szCs w:val="18"/>
              </w:rPr>
            </w:pPr>
            <w:r>
              <w:rPr>
                <w:rFonts w:ascii="宋体" w:hAnsi="宋体" w:eastAsia="宋体" w:cs="宋体"/>
                <w:sz w:val="18"/>
                <w:szCs w:val="18"/>
              </w:rPr>
              <w:t>33,469,308.79</w:t>
            </w:r>
          </w:p>
        </w:tc>
      </w:tr>
      <w:tr w14:paraId="44609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F64CC7B">
            <w:pPr>
              <w:spacing w:before="40" w:after="40" w:line="240" w:lineRule="exac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E1A2639">
            <w:pPr>
              <w:spacing w:line="240" w:lineRule="exact"/>
              <w:jc w:val="right"/>
              <w:rPr>
                <w:rFonts w:ascii="宋体" w:hAnsi="宋体" w:eastAsia="宋体" w:cs="宋体"/>
                <w:sz w:val="18"/>
                <w:szCs w:val="18"/>
              </w:rPr>
            </w:pPr>
            <w:r>
              <w:rPr>
                <w:rFonts w:ascii="宋体" w:hAnsi="宋体" w:eastAsia="宋体" w:cs="宋体"/>
                <w:sz w:val="18"/>
                <w:szCs w:val="18"/>
              </w:rPr>
              <w:t>77,592,020.58</w:t>
            </w:r>
          </w:p>
        </w:tc>
        <w:tc>
          <w:tcPr>
            <w:tcW w:w="3213" w:type="dxa"/>
            <w:tcBorders>
              <w:top w:val="single" w:color="auto" w:sz="2" w:space="0"/>
              <w:left w:val="single" w:color="auto" w:sz="2" w:space="0"/>
              <w:bottom w:val="single" w:color="auto" w:sz="2" w:space="0"/>
              <w:right w:val="single" w:color="auto" w:sz="2" w:space="0"/>
            </w:tcBorders>
            <w:vAlign w:val="center"/>
          </w:tcPr>
          <w:p w14:paraId="1FD8EF02">
            <w:pPr>
              <w:spacing w:line="240" w:lineRule="exact"/>
              <w:jc w:val="right"/>
              <w:rPr>
                <w:rFonts w:ascii="宋体" w:hAnsi="宋体" w:eastAsia="宋体" w:cs="宋体"/>
                <w:sz w:val="18"/>
                <w:szCs w:val="18"/>
              </w:rPr>
            </w:pPr>
            <w:r>
              <w:rPr>
                <w:rFonts w:ascii="宋体" w:hAnsi="宋体" w:eastAsia="宋体" w:cs="宋体"/>
                <w:sz w:val="18"/>
                <w:szCs w:val="18"/>
              </w:rPr>
              <w:t>-218,183,305.35</w:t>
            </w:r>
          </w:p>
        </w:tc>
      </w:tr>
      <w:tr w14:paraId="3DC61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D32A45">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14:paraId="310AD080">
            <w:pPr>
              <w:spacing w:line="240" w:lineRule="exact"/>
              <w:jc w:val="right"/>
              <w:rPr>
                <w:rFonts w:ascii="宋体" w:hAnsi="宋体" w:eastAsia="宋体" w:cs="宋体"/>
                <w:sz w:val="18"/>
                <w:szCs w:val="18"/>
              </w:rPr>
            </w:pPr>
            <w:r>
              <w:rPr>
                <w:rFonts w:ascii="宋体" w:hAnsi="宋体" w:eastAsia="宋体" w:cs="宋体"/>
                <w:sz w:val="18"/>
                <w:szCs w:val="18"/>
              </w:rPr>
              <w:t>8,305,553.62</w:t>
            </w:r>
          </w:p>
        </w:tc>
        <w:tc>
          <w:tcPr>
            <w:tcW w:w="3213" w:type="dxa"/>
            <w:tcBorders>
              <w:top w:val="single" w:color="auto" w:sz="2" w:space="0"/>
              <w:left w:val="single" w:color="auto" w:sz="2" w:space="0"/>
              <w:bottom w:val="single" w:color="auto" w:sz="2" w:space="0"/>
              <w:right w:val="single" w:color="auto" w:sz="2" w:space="0"/>
            </w:tcBorders>
            <w:vAlign w:val="center"/>
          </w:tcPr>
          <w:p w14:paraId="597DAE30">
            <w:pPr>
              <w:spacing w:line="240" w:lineRule="exact"/>
              <w:jc w:val="right"/>
              <w:rPr>
                <w:rFonts w:ascii="宋体" w:hAnsi="宋体" w:eastAsia="宋体" w:cs="宋体"/>
                <w:sz w:val="18"/>
                <w:szCs w:val="18"/>
              </w:rPr>
            </w:pPr>
            <w:r>
              <w:rPr>
                <w:rFonts w:ascii="宋体" w:hAnsi="宋体" w:eastAsia="宋体" w:cs="宋体"/>
                <w:sz w:val="18"/>
                <w:szCs w:val="18"/>
              </w:rPr>
              <w:t>11,805,981.25</w:t>
            </w:r>
          </w:p>
        </w:tc>
      </w:tr>
      <w:tr w14:paraId="3D5BA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7C4B4B">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14:paraId="4D4901D5">
            <w:pPr>
              <w:spacing w:line="240" w:lineRule="exact"/>
              <w:jc w:val="right"/>
              <w:rPr>
                <w:rFonts w:ascii="宋体" w:hAnsi="宋体" w:eastAsia="宋体" w:cs="宋体"/>
                <w:sz w:val="18"/>
                <w:szCs w:val="18"/>
              </w:rPr>
            </w:pPr>
            <w:r>
              <w:rPr>
                <w:rFonts w:ascii="宋体" w:hAnsi="宋体" w:eastAsia="宋体" w:cs="宋体"/>
                <w:sz w:val="18"/>
                <w:szCs w:val="18"/>
              </w:rPr>
              <w:t>7,241,425.63</w:t>
            </w:r>
          </w:p>
        </w:tc>
        <w:tc>
          <w:tcPr>
            <w:tcW w:w="3213" w:type="dxa"/>
            <w:tcBorders>
              <w:top w:val="single" w:color="auto" w:sz="2" w:space="0"/>
              <w:left w:val="single" w:color="auto" w:sz="2" w:space="0"/>
              <w:bottom w:val="single" w:color="auto" w:sz="2" w:space="0"/>
              <w:right w:val="single" w:color="auto" w:sz="2" w:space="0"/>
            </w:tcBorders>
            <w:vAlign w:val="center"/>
          </w:tcPr>
          <w:p w14:paraId="75F603D2">
            <w:pPr>
              <w:spacing w:line="240" w:lineRule="exact"/>
              <w:jc w:val="right"/>
              <w:rPr>
                <w:rFonts w:ascii="宋体" w:hAnsi="宋体" w:eastAsia="宋体" w:cs="宋体"/>
                <w:sz w:val="18"/>
                <w:szCs w:val="18"/>
              </w:rPr>
            </w:pPr>
            <w:r>
              <w:rPr>
                <w:rFonts w:ascii="宋体" w:hAnsi="宋体" w:eastAsia="宋体" w:cs="宋体"/>
                <w:sz w:val="18"/>
                <w:szCs w:val="18"/>
              </w:rPr>
              <w:t>4,388,839.90</w:t>
            </w:r>
          </w:p>
        </w:tc>
      </w:tr>
      <w:tr w14:paraId="42CBC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3DA616">
            <w:pPr>
              <w:spacing w:before="40" w:after="40" w:line="240" w:lineRule="exac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E0BD664">
            <w:pPr>
              <w:spacing w:line="240" w:lineRule="exact"/>
              <w:jc w:val="right"/>
              <w:rPr>
                <w:rFonts w:ascii="宋体" w:hAnsi="宋体" w:eastAsia="宋体" w:cs="宋体"/>
                <w:sz w:val="18"/>
                <w:szCs w:val="18"/>
              </w:rPr>
            </w:pPr>
            <w:r>
              <w:rPr>
                <w:rFonts w:ascii="宋体" w:hAnsi="宋体" w:eastAsia="宋体" w:cs="宋体"/>
                <w:sz w:val="18"/>
                <w:szCs w:val="18"/>
              </w:rPr>
              <w:t>78,656,148.57</w:t>
            </w:r>
          </w:p>
        </w:tc>
        <w:tc>
          <w:tcPr>
            <w:tcW w:w="3213" w:type="dxa"/>
            <w:tcBorders>
              <w:top w:val="single" w:color="auto" w:sz="2" w:space="0"/>
              <w:left w:val="single" w:color="auto" w:sz="2" w:space="0"/>
              <w:bottom w:val="single" w:color="auto" w:sz="2" w:space="0"/>
              <w:right w:val="single" w:color="auto" w:sz="2" w:space="0"/>
            </w:tcBorders>
            <w:vAlign w:val="center"/>
          </w:tcPr>
          <w:p w14:paraId="5DBAEEC1">
            <w:pPr>
              <w:spacing w:line="240" w:lineRule="exact"/>
              <w:jc w:val="right"/>
              <w:rPr>
                <w:rFonts w:ascii="宋体" w:hAnsi="宋体" w:eastAsia="宋体" w:cs="宋体"/>
                <w:sz w:val="18"/>
                <w:szCs w:val="18"/>
              </w:rPr>
            </w:pPr>
            <w:r>
              <w:rPr>
                <w:rFonts w:ascii="宋体" w:hAnsi="宋体" w:eastAsia="宋体" w:cs="宋体"/>
                <w:sz w:val="18"/>
                <w:szCs w:val="18"/>
              </w:rPr>
              <w:t>-210,766,164.00</w:t>
            </w:r>
          </w:p>
        </w:tc>
      </w:tr>
      <w:tr w14:paraId="37C57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987EF04">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14:paraId="608EA6FD">
            <w:pPr>
              <w:spacing w:line="240" w:lineRule="exact"/>
              <w:jc w:val="right"/>
              <w:rPr>
                <w:rFonts w:ascii="宋体" w:hAnsi="宋体" w:eastAsia="宋体" w:cs="宋体"/>
                <w:sz w:val="18"/>
                <w:szCs w:val="18"/>
              </w:rPr>
            </w:pPr>
            <w:r>
              <w:rPr>
                <w:rFonts w:ascii="宋体" w:hAnsi="宋体" w:eastAsia="宋体" w:cs="宋体"/>
                <w:sz w:val="18"/>
                <w:szCs w:val="18"/>
              </w:rPr>
              <w:t>11,773,401.43</w:t>
            </w:r>
          </w:p>
        </w:tc>
        <w:tc>
          <w:tcPr>
            <w:tcW w:w="3213" w:type="dxa"/>
            <w:tcBorders>
              <w:top w:val="single" w:color="auto" w:sz="2" w:space="0"/>
              <w:left w:val="single" w:color="auto" w:sz="2" w:space="0"/>
              <w:bottom w:val="single" w:color="auto" w:sz="2" w:space="0"/>
              <w:right w:val="single" w:color="auto" w:sz="2" w:space="0"/>
            </w:tcBorders>
            <w:vAlign w:val="center"/>
          </w:tcPr>
          <w:p w14:paraId="394780E9">
            <w:pPr>
              <w:spacing w:line="240" w:lineRule="exact"/>
              <w:jc w:val="right"/>
              <w:rPr>
                <w:rFonts w:ascii="宋体" w:hAnsi="宋体" w:eastAsia="宋体" w:cs="宋体"/>
                <w:sz w:val="18"/>
                <w:szCs w:val="18"/>
              </w:rPr>
            </w:pPr>
            <w:r>
              <w:rPr>
                <w:rFonts w:ascii="宋体" w:hAnsi="宋体" w:eastAsia="宋体" w:cs="宋体"/>
                <w:sz w:val="18"/>
                <w:szCs w:val="18"/>
              </w:rPr>
              <w:t>-15,687,853.04</w:t>
            </w:r>
          </w:p>
        </w:tc>
      </w:tr>
      <w:tr w14:paraId="0DF81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F0A433">
            <w:pPr>
              <w:spacing w:line="240" w:lineRule="exac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EF6E26C">
            <w:pPr>
              <w:spacing w:line="240" w:lineRule="exact"/>
              <w:jc w:val="right"/>
              <w:rPr>
                <w:rFonts w:ascii="宋体" w:hAnsi="宋体" w:eastAsia="宋体" w:cs="宋体"/>
                <w:sz w:val="18"/>
                <w:szCs w:val="18"/>
              </w:rPr>
            </w:pPr>
            <w:r>
              <w:rPr>
                <w:rFonts w:ascii="宋体" w:hAnsi="宋体" w:eastAsia="宋体" w:cs="宋体"/>
                <w:sz w:val="18"/>
                <w:szCs w:val="18"/>
              </w:rPr>
              <w:t>66,882,747.14</w:t>
            </w:r>
          </w:p>
        </w:tc>
        <w:tc>
          <w:tcPr>
            <w:tcW w:w="3213" w:type="dxa"/>
            <w:tcBorders>
              <w:top w:val="single" w:color="auto" w:sz="2" w:space="0"/>
              <w:left w:val="single" w:color="auto" w:sz="2" w:space="0"/>
              <w:bottom w:val="single" w:color="auto" w:sz="2" w:space="0"/>
              <w:right w:val="single" w:color="auto" w:sz="2" w:space="0"/>
            </w:tcBorders>
            <w:vAlign w:val="center"/>
          </w:tcPr>
          <w:p w14:paraId="53C87C90">
            <w:pPr>
              <w:spacing w:line="240" w:lineRule="exact"/>
              <w:jc w:val="right"/>
              <w:rPr>
                <w:rFonts w:ascii="宋体" w:hAnsi="宋体" w:eastAsia="宋体" w:cs="宋体"/>
                <w:sz w:val="18"/>
                <w:szCs w:val="18"/>
              </w:rPr>
            </w:pPr>
            <w:r>
              <w:rPr>
                <w:rFonts w:ascii="宋体" w:hAnsi="宋体" w:eastAsia="宋体" w:cs="宋体"/>
                <w:sz w:val="18"/>
                <w:szCs w:val="18"/>
              </w:rPr>
              <w:t>-195,078,310.96</w:t>
            </w:r>
          </w:p>
        </w:tc>
      </w:tr>
      <w:tr w14:paraId="782B5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ABF962">
            <w:pPr>
              <w:spacing w:line="240" w:lineRule="exact"/>
              <w:ind w:firstLine="180" w:firstLineChars="100"/>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DD04910"/>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026942"/>
        </w:tc>
      </w:tr>
      <w:tr w14:paraId="7D8E4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8FCCD6">
            <w:pPr>
              <w:spacing w:line="240" w:lineRule="exact"/>
              <w:ind w:firstLine="360" w:firstLineChars="200"/>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2276DBA0">
            <w:pPr>
              <w:spacing w:line="240" w:lineRule="exact"/>
              <w:jc w:val="right"/>
              <w:rPr>
                <w:rFonts w:ascii="宋体" w:hAnsi="宋体" w:eastAsia="宋体" w:cs="宋体"/>
                <w:sz w:val="18"/>
                <w:szCs w:val="18"/>
              </w:rPr>
            </w:pPr>
            <w:r>
              <w:rPr>
                <w:rFonts w:ascii="宋体" w:hAnsi="宋体" w:eastAsia="宋体" w:cs="宋体"/>
                <w:sz w:val="18"/>
                <w:szCs w:val="18"/>
              </w:rPr>
              <w:t>66,882,747.14</w:t>
            </w:r>
          </w:p>
        </w:tc>
        <w:tc>
          <w:tcPr>
            <w:tcW w:w="3213" w:type="dxa"/>
            <w:tcBorders>
              <w:top w:val="single" w:color="auto" w:sz="2" w:space="0"/>
              <w:left w:val="single" w:color="auto" w:sz="2" w:space="0"/>
              <w:bottom w:val="single" w:color="auto" w:sz="2" w:space="0"/>
              <w:right w:val="single" w:color="auto" w:sz="2" w:space="0"/>
            </w:tcBorders>
            <w:vAlign w:val="center"/>
          </w:tcPr>
          <w:p w14:paraId="697580D9">
            <w:pPr>
              <w:spacing w:line="240" w:lineRule="exact"/>
              <w:jc w:val="right"/>
              <w:rPr>
                <w:rFonts w:ascii="宋体" w:hAnsi="宋体" w:eastAsia="宋体" w:cs="宋体"/>
                <w:sz w:val="18"/>
                <w:szCs w:val="18"/>
              </w:rPr>
            </w:pPr>
            <w:r>
              <w:rPr>
                <w:rFonts w:ascii="宋体" w:hAnsi="宋体" w:eastAsia="宋体" w:cs="宋体"/>
                <w:sz w:val="18"/>
                <w:szCs w:val="18"/>
              </w:rPr>
              <w:t>-195,078,310.96</w:t>
            </w:r>
          </w:p>
        </w:tc>
      </w:tr>
      <w:tr w14:paraId="757BA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8BC4E7">
            <w:pPr>
              <w:spacing w:line="240" w:lineRule="exact"/>
              <w:ind w:firstLine="360" w:firstLineChars="200"/>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2842F91">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338245A">
            <w:pPr>
              <w:spacing w:line="240" w:lineRule="exact"/>
              <w:jc w:val="right"/>
              <w:rPr>
                <w:rFonts w:ascii="宋体" w:hAnsi="宋体" w:eastAsia="宋体" w:cs="宋体"/>
                <w:sz w:val="18"/>
                <w:szCs w:val="18"/>
              </w:rPr>
            </w:pPr>
          </w:p>
        </w:tc>
      </w:tr>
      <w:tr w14:paraId="0DF25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CD286B">
            <w:pPr>
              <w:spacing w:line="240" w:lineRule="exact"/>
              <w:ind w:firstLine="180" w:firstLineChars="100"/>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A3E45F"/>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6BD677"/>
        </w:tc>
      </w:tr>
      <w:tr w14:paraId="4E789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BE8346">
            <w:pPr>
              <w:spacing w:line="240" w:lineRule="exact"/>
              <w:ind w:firstLine="360" w:firstLineChars="200"/>
              <w:rPr>
                <w:rFonts w:ascii="宋体" w:hAnsi="宋体" w:eastAsia="宋体" w:cs="宋体"/>
                <w:sz w:val="18"/>
                <w:szCs w:val="18"/>
              </w:rPr>
            </w:pPr>
            <w:r>
              <w:rPr>
                <w:rFonts w:ascii="宋体" w:hAnsi="宋体" w:eastAsia="宋体" w:cs="宋体"/>
                <w:sz w:val="18"/>
                <w:szCs w:val="18"/>
              </w:rPr>
              <w:t>1.归属于母公司股东的净利润</w:t>
            </w:r>
          </w:p>
        </w:tc>
        <w:tc>
          <w:tcPr>
            <w:tcW w:w="3213" w:type="dxa"/>
            <w:tcBorders>
              <w:top w:val="single" w:color="auto" w:sz="2" w:space="0"/>
              <w:left w:val="single" w:color="auto" w:sz="2" w:space="0"/>
              <w:bottom w:val="single" w:color="auto" w:sz="2" w:space="0"/>
              <w:right w:val="single" w:color="auto" w:sz="2" w:space="0"/>
            </w:tcBorders>
            <w:vAlign w:val="center"/>
          </w:tcPr>
          <w:p w14:paraId="544A9E5D">
            <w:pPr>
              <w:spacing w:line="240" w:lineRule="exact"/>
              <w:jc w:val="right"/>
              <w:rPr>
                <w:rFonts w:ascii="宋体" w:hAnsi="宋体" w:eastAsia="宋体" w:cs="宋体"/>
                <w:sz w:val="18"/>
                <w:szCs w:val="18"/>
              </w:rPr>
            </w:pPr>
            <w:r>
              <w:rPr>
                <w:rFonts w:ascii="宋体" w:hAnsi="宋体" w:eastAsia="宋体" w:cs="宋体"/>
                <w:sz w:val="18"/>
                <w:szCs w:val="18"/>
              </w:rPr>
              <w:t>57,398,750.92</w:t>
            </w:r>
          </w:p>
        </w:tc>
        <w:tc>
          <w:tcPr>
            <w:tcW w:w="3213" w:type="dxa"/>
            <w:tcBorders>
              <w:top w:val="single" w:color="auto" w:sz="2" w:space="0"/>
              <w:left w:val="single" w:color="auto" w:sz="2" w:space="0"/>
              <w:bottom w:val="single" w:color="auto" w:sz="2" w:space="0"/>
              <w:right w:val="single" w:color="auto" w:sz="2" w:space="0"/>
            </w:tcBorders>
            <w:vAlign w:val="center"/>
          </w:tcPr>
          <w:p w14:paraId="1716CE71">
            <w:pPr>
              <w:spacing w:line="240" w:lineRule="exact"/>
              <w:jc w:val="right"/>
              <w:rPr>
                <w:rFonts w:ascii="宋体" w:hAnsi="宋体" w:eastAsia="宋体" w:cs="宋体"/>
                <w:sz w:val="18"/>
                <w:szCs w:val="18"/>
              </w:rPr>
            </w:pPr>
            <w:r>
              <w:rPr>
                <w:rFonts w:ascii="宋体" w:hAnsi="宋体" w:eastAsia="宋体" w:cs="宋体"/>
                <w:sz w:val="18"/>
                <w:szCs w:val="18"/>
              </w:rPr>
              <w:t>-207,764,974.56</w:t>
            </w:r>
          </w:p>
        </w:tc>
      </w:tr>
      <w:tr w14:paraId="518A8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CDADCB">
            <w:pPr>
              <w:spacing w:line="240" w:lineRule="exact"/>
              <w:ind w:firstLine="360" w:firstLineChars="200"/>
              <w:rPr>
                <w:rFonts w:ascii="宋体" w:hAnsi="宋体" w:eastAsia="宋体" w:cs="宋体"/>
                <w:sz w:val="18"/>
                <w:szCs w:val="18"/>
              </w:rPr>
            </w:pPr>
            <w:r>
              <w:rPr>
                <w:rFonts w:ascii="宋体" w:hAnsi="宋体" w:eastAsia="宋体" w:cs="宋体"/>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14:paraId="4EBDB640">
            <w:pPr>
              <w:spacing w:line="240" w:lineRule="exact"/>
              <w:jc w:val="right"/>
              <w:rPr>
                <w:rFonts w:ascii="宋体" w:hAnsi="宋体" w:eastAsia="宋体" w:cs="宋体"/>
                <w:sz w:val="18"/>
                <w:szCs w:val="18"/>
              </w:rPr>
            </w:pPr>
            <w:r>
              <w:rPr>
                <w:rFonts w:ascii="宋体" w:hAnsi="宋体" w:eastAsia="宋体" w:cs="宋体"/>
                <w:sz w:val="18"/>
                <w:szCs w:val="18"/>
              </w:rPr>
              <w:t>9,483,996.22</w:t>
            </w:r>
          </w:p>
        </w:tc>
        <w:tc>
          <w:tcPr>
            <w:tcW w:w="3213" w:type="dxa"/>
            <w:tcBorders>
              <w:top w:val="single" w:color="auto" w:sz="2" w:space="0"/>
              <w:left w:val="single" w:color="auto" w:sz="2" w:space="0"/>
              <w:bottom w:val="single" w:color="auto" w:sz="2" w:space="0"/>
              <w:right w:val="single" w:color="auto" w:sz="2" w:space="0"/>
            </w:tcBorders>
            <w:vAlign w:val="center"/>
          </w:tcPr>
          <w:p w14:paraId="12EE5450">
            <w:pPr>
              <w:spacing w:line="240" w:lineRule="exact"/>
              <w:jc w:val="right"/>
              <w:rPr>
                <w:rFonts w:ascii="宋体" w:hAnsi="宋体" w:eastAsia="宋体" w:cs="宋体"/>
                <w:sz w:val="18"/>
                <w:szCs w:val="18"/>
              </w:rPr>
            </w:pPr>
            <w:r>
              <w:rPr>
                <w:rFonts w:ascii="宋体" w:hAnsi="宋体" w:eastAsia="宋体" w:cs="宋体"/>
                <w:sz w:val="18"/>
                <w:szCs w:val="18"/>
              </w:rPr>
              <w:t>12,686,663.60</w:t>
            </w:r>
          </w:p>
        </w:tc>
      </w:tr>
      <w:tr w14:paraId="79013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3FFEB7">
            <w:pPr>
              <w:spacing w:line="240" w:lineRule="exac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319E924F">
            <w:pPr>
              <w:spacing w:line="240" w:lineRule="exact"/>
              <w:jc w:val="right"/>
              <w:rPr>
                <w:rFonts w:ascii="宋体" w:hAnsi="宋体" w:eastAsia="宋体" w:cs="宋体"/>
                <w:sz w:val="18"/>
                <w:szCs w:val="18"/>
              </w:rPr>
            </w:pPr>
            <w:r>
              <w:rPr>
                <w:rFonts w:ascii="宋体" w:hAnsi="宋体" w:eastAsia="宋体" w:cs="宋体"/>
                <w:sz w:val="18"/>
                <w:szCs w:val="18"/>
              </w:rPr>
              <w:t>-47,792,135.24</w:t>
            </w:r>
          </w:p>
        </w:tc>
        <w:tc>
          <w:tcPr>
            <w:tcW w:w="3213" w:type="dxa"/>
            <w:tcBorders>
              <w:top w:val="single" w:color="auto" w:sz="2" w:space="0"/>
              <w:left w:val="single" w:color="auto" w:sz="2" w:space="0"/>
              <w:bottom w:val="single" w:color="auto" w:sz="2" w:space="0"/>
              <w:right w:val="single" w:color="auto" w:sz="2" w:space="0"/>
            </w:tcBorders>
            <w:vAlign w:val="center"/>
          </w:tcPr>
          <w:p w14:paraId="35648E77">
            <w:pPr>
              <w:spacing w:line="240" w:lineRule="exact"/>
              <w:jc w:val="right"/>
              <w:rPr>
                <w:rFonts w:ascii="宋体" w:hAnsi="宋体" w:eastAsia="宋体" w:cs="宋体"/>
                <w:sz w:val="18"/>
                <w:szCs w:val="18"/>
              </w:rPr>
            </w:pPr>
            <w:r>
              <w:rPr>
                <w:rFonts w:ascii="宋体" w:hAnsi="宋体" w:eastAsia="宋体" w:cs="宋体"/>
                <w:sz w:val="18"/>
                <w:szCs w:val="18"/>
              </w:rPr>
              <w:t>-16,182,307.37</w:t>
            </w:r>
          </w:p>
        </w:tc>
      </w:tr>
      <w:tr w14:paraId="304CC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406620">
            <w:pPr>
              <w:spacing w:line="240" w:lineRule="exact"/>
              <w:ind w:firstLine="180" w:firstLineChars="100"/>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4F11A8A9">
            <w:pPr>
              <w:spacing w:line="240" w:lineRule="exact"/>
              <w:jc w:val="right"/>
              <w:rPr>
                <w:rFonts w:ascii="宋体" w:hAnsi="宋体" w:eastAsia="宋体" w:cs="宋体"/>
                <w:sz w:val="18"/>
                <w:szCs w:val="18"/>
              </w:rPr>
            </w:pPr>
            <w:r>
              <w:rPr>
                <w:rFonts w:ascii="宋体" w:hAnsi="宋体" w:eastAsia="宋体" w:cs="宋体"/>
                <w:sz w:val="18"/>
                <w:szCs w:val="18"/>
              </w:rPr>
              <w:t>-47,792,135.24</w:t>
            </w:r>
          </w:p>
        </w:tc>
        <w:tc>
          <w:tcPr>
            <w:tcW w:w="3213" w:type="dxa"/>
            <w:tcBorders>
              <w:top w:val="single" w:color="auto" w:sz="2" w:space="0"/>
              <w:left w:val="single" w:color="auto" w:sz="2" w:space="0"/>
              <w:bottom w:val="single" w:color="auto" w:sz="2" w:space="0"/>
              <w:right w:val="single" w:color="auto" w:sz="2" w:space="0"/>
            </w:tcBorders>
            <w:vAlign w:val="center"/>
          </w:tcPr>
          <w:p w14:paraId="5A5A742E">
            <w:pPr>
              <w:spacing w:line="240" w:lineRule="exact"/>
              <w:jc w:val="right"/>
              <w:rPr>
                <w:rFonts w:ascii="宋体" w:hAnsi="宋体" w:eastAsia="宋体" w:cs="宋体"/>
                <w:sz w:val="18"/>
                <w:szCs w:val="18"/>
              </w:rPr>
            </w:pPr>
            <w:r>
              <w:rPr>
                <w:rFonts w:ascii="宋体" w:hAnsi="宋体" w:eastAsia="宋体" w:cs="宋体"/>
                <w:sz w:val="18"/>
                <w:szCs w:val="18"/>
              </w:rPr>
              <w:t>-16,182,307.37</w:t>
            </w:r>
          </w:p>
        </w:tc>
      </w:tr>
      <w:tr w14:paraId="29280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BD92ED">
            <w:pPr>
              <w:spacing w:line="240" w:lineRule="exact"/>
              <w:ind w:firstLine="360" w:firstLineChars="200"/>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0E3A4926">
            <w:pPr>
              <w:spacing w:line="240" w:lineRule="exact"/>
              <w:jc w:val="right"/>
              <w:rPr>
                <w:rFonts w:ascii="宋体" w:hAnsi="宋体" w:eastAsia="宋体" w:cs="宋体"/>
                <w:sz w:val="18"/>
                <w:szCs w:val="18"/>
              </w:rPr>
            </w:pPr>
            <w:r>
              <w:rPr>
                <w:rFonts w:ascii="宋体" w:hAnsi="宋体" w:eastAsia="宋体" w:cs="宋体"/>
                <w:sz w:val="18"/>
                <w:szCs w:val="18"/>
              </w:rPr>
              <w:t>30,992,758.92</w:t>
            </w:r>
          </w:p>
        </w:tc>
        <w:tc>
          <w:tcPr>
            <w:tcW w:w="3213" w:type="dxa"/>
            <w:tcBorders>
              <w:top w:val="single" w:color="auto" w:sz="2" w:space="0"/>
              <w:left w:val="single" w:color="auto" w:sz="2" w:space="0"/>
              <w:bottom w:val="single" w:color="auto" w:sz="2" w:space="0"/>
              <w:right w:val="single" w:color="auto" w:sz="2" w:space="0"/>
            </w:tcBorders>
            <w:vAlign w:val="center"/>
          </w:tcPr>
          <w:p w14:paraId="2712CC92">
            <w:pPr>
              <w:spacing w:line="240" w:lineRule="exact"/>
              <w:jc w:val="right"/>
              <w:rPr>
                <w:rFonts w:ascii="宋体" w:hAnsi="宋体" w:eastAsia="宋体" w:cs="宋体"/>
                <w:sz w:val="18"/>
                <w:szCs w:val="18"/>
              </w:rPr>
            </w:pPr>
            <w:r>
              <w:rPr>
                <w:rFonts w:ascii="宋体" w:hAnsi="宋体" w:eastAsia="宋体" w:cs="宋体"/>
                <w:sz w:val="18"/>
                <w:szCs w:val="18"/>
              </w:rPr>
              <w:t>2,202,277.14</w:t>
            </w:r>
          </w:p>
        </w:tc>
      </w:tr>
      <w:tr w14:paraId="0FC29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B8C0A1">
            <w:pPr>
              <w:spacing w:line="240" w:lineRule="exact"/>
              <w:ind w:firstLine="540" w:firstLineChars="300"/>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14:paraId="39AFF68E">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95F8E72">
            <w:pPr>
              <w:spacing w:line="240" w:lineRule="exact"/>
              <w:jc w:val="right"/>
              <w:rPr>
                <w:rFonts w:ascii="宋体" w:hAnsi="宋体" w:eastAsia="宋体" w:cs="宋体"/>
                <w:sz w:val="18"/>
                <w:szCs w:val="18"/>
              </w:rPr>
            </w:pPr>
          </w:p>
        </w:tc>
      </w:tr>
      <w:tr w14:paraId="1AADF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54A41C">
            <w:pPr>
              <w:spacing w:line="240" w:lineRule="exact"/>
              <w:ind w:firstLine="540" w:firstLineChars="300"/>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7A708B76">
            <w:pPr>
              <w:spacing w:line="240" w:lineRule="exact"/>
              <w:jc w:val="right"/>
              <w:rPr>
                <w:rFonts w:ascii="宋体" w:hAnsi="宋体" w:eastAsia="宋体" w:cs="宋体"/>
                <w:sz w:val="18"/>
                <w:szCs w:val="18"/>
              </w:rPr>
            </w:pPr>
            <w:r>
              <w:rPr>
                <w:rFonts w:ascii="宋体" w:hAnsi="宋体" w:eastAsia="宋体" w:cs="宋体"/>
                <w:sz w:val="18"/>
                <w:szCs w:val="18"/>
              </w:rPr>
              <w:t>2,598,850.60</w:t>
            </w:r>
          </w:p>
        </w:tc>
        <w:tc>
          <w:tcPr>
            <w:tcW w:w="3213" w:type="dxa"/>
            <w:tcBorders>
              <w:top w:val="single" w:color="auto" w:sz="2" w:space="0"/>
              <w:left w:val="single" w:color="auto" w:sz="2" w:space="0"/>
              <w:bottom w:val="single" w:color="auto" w:sz="2" w:space="0"/>
              <w:right w:val="single" w:color="auto" w:sz="2" w:space="0"/>
            </w:tcBorders>
            <w:vAlign w:val="center"/>
          </w:tcPr>
          <w:p w14:paraId="070F22C0">
            <w:pPr>
              <w:spacing w:line="240" w:lineRule="exact"/>
              <w:jc w:val="right"/>
              <w:rPr>
                <w:rFonts w:ascii="宋体" w:hAnsi="宋体" w:eastAsia="宋体" w:cs="宋体"/>
                <w:sz w:val="18"/>
                <w:szCs w:val="18"/>
              </w:rPr>
            </w:pPr>
            <w:r>
              <w:rPr>
                <w:rFonts w:ascii="宋体" w:hAnsi="宋体" w:eastAsia="宋体" w:cs="宋体"/>
                <w:sz w:val="18"/>
                <w:szCs w:val="18"/>
              </w:rPr>
              <w:t>-756,417.84</w:t>
            </w:r>
          </w:p>
        </w:tc>
      </w:tr>
      <w:tr w14:paraId="0D040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BB242B">
            <w:pPr>
              <w:spacing w:line="240" w:lineRule="exact"/>
              <w:ind w:firstLine="540" w:firstLineChars="300"/>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744F2EB1">
            <w:pPr>
              <w:spacing w:line="240" w:lineRule="exact"/>
              <w:jc w:val="right"/>
              <w:rPr>
                <w:rFonts w:ascii="宋体" w:hAnsi="宋体" w:eastAsia="宋体" w:cs="宋体"/>
                <w:sz w:val="18"/>
                <w:szCs w:val="18"/>
              </w:rPr>
            </w:pPr>
            <w:r>
              <w:rPr>
                <w:rFonts w:ascii="宋体" w:hAnsi="宋体" w:eastAsia="宋体" w:cs="宋体"/>
                <w:sz w:val="18"/>
                <w:szCs w:val="18"/>
              </w:rPr>
              <w:t>28,393,908.32</w:t>
            </w:r>
          </w:p>
        </w:tc>
        <w:tc>
          <w:tcPr>
            <w:tcW w:w="3213" w:type="dxa"/>
            <w:tcBorders>
              <w:top w:val="single" w:color="auto" w:sz="2" w:space="0"/>
              <w:left w:val="single" w:color="auto" w:sz="2" w:space="0"/>
              <w:bottom w:val="single" w:color="auto" w:sz="2" w:space="0"/>
              <w:right w:val="single" w:color="auto" w:sz="2" w:space="0"/>
            </w:tcBorders>
            <w:vAlign w:val="center"/>
          </w:tcPr>
          <w:p w14:paraId="0C30F263">
            <w:pPr>
              <w:spacing w:line="240" w:lineRule="exact"/>
              <w:jc w:val="right"/>
              <w:rPr>
                <w:rFonts w:ascii="宋体" w:hAnsi="宋体" w:eastAsia="宋体" w:cs="宋体"/>
                <w:sz w:val="18"/>
                <w:szCs w:val="18"/>
              </w:rPr>
            </w:pPr>
            <w:r>
              <w:rPr>
                <w:rFonts w:ascii="宋体" w:hAnsi="宋体" w:eastAsia="宋体" w:cs="宋体"/>
                <w:sz w:val="18"/>
                <w:szCs w:val="18"/>
              </w:rPr>
              <w:t>2,958,694.98</w:t>
            </w:r>
          </w:p>
        </w:tc>
      </w:tr>
      <w:tr w14:paraId="39E6A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5B84B9">
            <w:pPr>
              <w:spacing w:line="240" w:lineRule="exact"/>
              <w:ind w:firstLine="540" w:firstLineChars="300"/>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639132A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98AC66A">
            <w:pPr>
              <w:spacing w:line="240" w:lineRule="exact"/>
              <w:jc w:val="right"/>
              <w:rPr>
                <w:rFonts w:ascii="宋体" w:hAnsi="宋体" w:eastAsia="宋体" w:cs="宋体"/>
                <w:sz w:val="18"/>
                <w:szCs w:val="18"/>
              </w:rPr>
            </w:pPr>
          </w:p>
        </w:tc>
      </w:tr>
      <w:tr w14:paraId="3685C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8AC29A">
            <w:pPr>
              <w:spacing w:line="240" w:lineRule="exact"/>
              <w:ind w:firstLine="540" w:firstLineChars="300"/>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14:paraId="7C8B4073">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79DD86B">
            <w:pPr>
              <w:spacing w:line="240" w:lineRule="exact"/>
              <w:jc w:val="right"/>
              <w:rPr>
                <w:rFonts w:ascii="宋体" w:hAnsi="宋体" w:eastAsia="宋体" w:cs="宋体"/>
                <w:sz w:val="18"/>
                <w:szCs w:val="18"/>
              </w:rPr>
            </w:pPr>
          </w:p>
        </w:tc>
      </w:tr>
      <w:tr w14:paraId="51713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D306A0">
            <w:pPr>
              <w:spacing w:line="240" w:lineRule="exact"/>
              <w:ind w:firstLine="360" w:firstLineChars="200"/>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57C34877">
            <w:pPr>
              <w:spacing w:line="240" w:lineRule="exact"/>
              <w:jc w:val="right"/>
              <w:rPr>
                <w:rFonts w:ascii="宋体" w:hAnsi="宋体" w:eastAsia="宋体" w:cs="宋体"/>
                <w:sz w:val="18"/>
                <w:szCs w:val="18"/>
              </w:rPr>
            </w:pPr>
            <w:r>
              <w:rPr>
                <w:rFonts w:ascii="宋体" w:hAnsi="宋体" w:eastAsia="宋体" w:cs="宋体"/>
                <w:sz w:val="18"/>
                <w:szCs w:val="18"/>
              </w:rPr>
              <w:t>-78,784,894.16</w:t>
            </w:r>
          </w:p>
        </w:tc>
        <w:tc>
          <w:tcPr>
            <w:tcW w:w="3213" w:type="dxa"/>
            <w:tcBorders>
              <w:top w:val="single" w:color="auto" w:sz="2" w:space="0"/>
              <w:left w:val="single" w:color="auto" w:sz="2" w:space="0"/>
              <w:bottom w:val="single" w:color="auto" w:sz="2" w:space="0"/>
              <w:right w:val="single" w:color="auto" w:sz="2" w:space="0"/>
            </w:tcBorders>
            <w:vAlign w:val="center"/>
          </w:tcPr>
          <w:p w14:paraId="637DD941">
            <w:pPr>
              <w:spacing w:line="240" w:lineRule="exact"/>
              <w:jc w:val="right"/>
              <w:rPr>
                <w:rFonts w:ascii="宋体" w:hAnsi="宋体" w:eastAsia="宋体" w:cs="宋体"/>
                <w:sz w:val="18"/>
                <w:szCs w:val="18"/>
              </w:rPr>
            </w:pPr>
            <w:r>
              <w:rPr>
                <w:rFonts w:ascii="宋体" w:hAnsi="宋体" w:eastAsia="宋体" w:cs="宋体"/>
                <w:sz w:val="18"/>
                <w:szCs w:val="18"/>
              </w:rPr>
              <w:t>-18,384,584.51</w:t>
            </w:r>
          </w:p>
        </w:tc>
      </w:tr>
      <w:tr w14:paraId="5E14E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8CE90FA">
            <w:pPr>
              <w:spacing w:line="240" w:lineRule="exact"/>
              <w:ind w:firstLine="540" w:firstLineChars="300"/>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175F1E86">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7E0737E">
            <w:pPr>
              <w:spacing w:line="240" w:lineRule="exact"/>
              <w:jc w:val="right"/>
              <w:rPr>
                <w:rFonts w:ascii="宋体" w:hAnsi="宋体" w:eastAsia="宋体" w:cs="宋体"/>
                <w:sz w:val="18"/>
                <w:szCs w:val="18"/>
              </w:rPr>
            </w:pPr>
          </w:p>
        </w:tc>
      </w:tr>
      <w:tr w14:paraId="16A77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5FFAB0">
            <w:pPr>
              <w:spacing w:line="240" w:lineRule="exact"/>
              <w:ind w:firstLine="540" w:firstLineChars="300"/>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77B4E7D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6171E26">
            <w:pPr>
              <w:spacing w:line="240" w:lineRule="exact"/>
              <w:jc w:val="right"/>
              <w:rPr>
                <w:rFonts w:ascii="宋体" w:hAnsi="宋体" w:eastAsia="宋体" w:cs="宋体"/>
                <w:sz w:val="18"/>
                <w:szCs w:val="18"/>
              </w:rPr>
            </w:pPr>
          </w:p>
        </w:tc>
      </w:tr>
      <w:tr w14:paraId="27263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A36767">
            <w:pPr>
              <w:spacing w:line="240" w:lineRule="exact"/>
              <w:ind w:firstLine="540" w:firstLineChars="300"/>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14:paraId="7A5EDA4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21F515A">
            <w:pPr>
              <w:spacing w:line="240" w:lineRule="exact"/>
              <w:jc w:val="right"/>
              <w:rPr>
                <w:rFonts w:ascii="宋体" w:hAnsi="宋体" w:eastAsia="宋体" w:cs="宋体"/>
                <w:sz w:val="18"/>
                <w:szCs w:val="18"/>
              </w:rPr>
            </w:pPr>
          </w:p>
        </w:tc>
      </w:tr>
      <w:tr w14:paraId="7FFEC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E81B30">
            <w:pPr>
              <w:spacing w:line="240" w:lineRule="exact"/>
              <w:ind w:firstLine="540" w:firstLineChars="300"/>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14:paraId="04D4E4C9">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3C64AB3">
            <w:pPr>
              <w:spacing w:line="240" w:lineRule="exact"/>
              <w:jc w:val="right"/>
              <w:rPr>
                <w:rFonts w:ascii="宋体" w:hAnsi="宋体" w:eastAsia="宋体" w:cs="宋体"/>
                <w:sz w:val="18"/>
                <w:szCs w:val="18"/>
              </w:rPr>
            </w:pPr>
          </w:p>
        </w:tc>
      </w:tr>
      <w:tr w14:paraId="3DD90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A47063">
            <w:pPr>
              <w:spacing w:line="240" w:lineRule="exact"/>
              <w:ind w:firstLine="540" w:firstLineChars="300"/>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14:paraId="524F778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3CFEDF6">
            <w:pPr>
              <w:spacing w:line="240" w:lineRule="exact"/>
              <w:jc w:val="right"/>
              <w:rPr>
                <w:rFonts w:ascii="宋体" w:hAnsi="宋体" w:eastAsia="宋体" w:cs="宋体"/>
                <w:sz w:val="18"/>
                <w:szCs w:val="18"/>
              </w:rPr>
            </w:pPr>
          </w:p>
        </w:tc>
      </w:tr>
      <w:tr w14:paraId="132CF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873D33">
            <w:pPr>
              <w:spacing w:line="240" w:lineRule="exact"/>
              <w:ind w:firstLine="540" w:firstLineChars="300"/>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14:paraId="5FF60F15">
            <w:pPr>
              <w:spacing w:line="240" w:lineRule="exact"/>
              <w:jc w:val="right"/>
              <w:rPr>
                <w:rFonts w:ascii="宋体" w:hAnsi="宋体" w:eastAsia="宋体" w:cs="宋体"/>
                <w:sz w:val="18"/>
                <w:szCs w:val="18"/>
              </w:rPr>
            </w:pPr>
            <w:r>
              <w:rPr>
                <w:rFonts w:ascii="宋体" w:hAnsi="宋体" w:eastAsia="宋体" w:cs="宋体"/>
                <w:sz w:val="18"/>
                <w:szCs w:val="18"/>
              </w:rPr>
              <w:t>-78,784,894.16</w:t>
            </w:r>
          </w:p>
        </w:tc>
        <w:tc>
          <w:tcPr>
            <w:tcW w:w="3213" w:type="dxa"/>
            <w:tcBorders>
              <w:top w:val="single" w:color="auto" w:sz="2" w:space="0"/>
              <w:left w:val="single" w:color="auto" w:sz="2" w:space="0"/>
              <w:bottom w:val="single" w:color="auto" w:sz="2" w:space="0"/>
              <w:right w:val="single" w:color="auto" w:sz="2" w:space="0"/>
            </w:tcBorders>
            <w:vAlign w:val="center"/>
          </w:tcPr>
          <w:p w14:paraId="3976B959">
            <w:pPr>
              <w:spacing w:line="240" w:lineRule="exact"/>
              <w:jc w:val="right"/>
              <w:rPr>
                <w:rFonts w:ascii="宋体" w:hAnsi="宋体" w:eastAsia="宋体" w:cs="宋体"/>
                <w:sz w:val="18"/>
                <w:szCs w:val="18"/>
              </w:rPr>
            </w:pPr>
            <w:r>
              <w:rPr>
                <w:rFonts w:ascii="宋体" w:hAnsi="宋体" w:eastAsia="宋体" w:cs="宋体"/>
                <w:sz w:val="18"/>
                <w:szCs w:val="18"/>
              </w:rPr>
              <w:t>-18,384,584.51</w:t>
            </w:r>
          </w:p>
        </w:tc>
      </w:tr>
      <w:tr w14:paraId="3C688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69488B">
            <w:pPr>
              <w:spacing w:line="240" w:lineRule="exact"/>
              <w:ind w:firstLine="540" w:firstLineChars="300"/>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14:paraId="7B467B6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15ED174">
            <w:pPr>
              <w:spacing w:line="240" w:lineRule="exact"/>
              <w:jc w:val="right"/>
              <w:rPr>
                <w:rFonts w:ascii="宋体" w:hAnsi="宋体" w:eastAsia="宋体" w:cs="宋体"/>
                <w:sz w:val="18"/>
                <w:szCs w:val="18"/>
              </w:rPr>
            </w:pPr>
          </w:p>
        </w:tc>
      </w:tr>
      <w:tr w14:paraId="56F94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9FEB1F">
            <w:pPr>
              <w:spacing w:line="240" w:lineRule="exact"/>
              <w:ind w:firstLine="180" w:firstLineChars="100"/>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4F573A47">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EEF06BB">
            <w:pPr>
              <w:spacing w:line="240" w:lineRule="exact"/>
              <w:jc w:val="right"/>
              <w:rPr>
                <w:rFonts w:ascii="宋体" w:hAnsi="宋体" w:eastAsia="宋体" w:cs="宋体"/>
                <w:sz w:val="18"/>
                <w:szCs w:val="18"/>
              </w:rPr>
            </w:pPr>
          </w:p>
        </w:tc>
      </w:tr>
      <w:tr w14:paraId="6C4A0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234F13">
            <w:pPr>
              <w:spacing w:line="240" w:lineRule="exac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45D3CB62">
            <w:pPr>
              <w:spacing w:line="240" w:lineRule="exact"/>
              <w:jc w:val="right"/>
              <w:rPr>
                <w:rFonts w:ascii="宋体" w:hAnsi="宋体" w:eastAsia="宋体" w:cs="宋体"/>
                <w:sz w:val="18"/>
                <w:szCs w:val="18"/>
              </w:rPr>
            </w:pPr>
            <w:r>
              <w:rPr>
                <w:rFonts w:ascii="宋体" w:hAnsi="宋体" w:eastAsia="宋体" w:cs="宋体"/>
                <w:sz w:val="18"/>
                <w:szCs w:val="18"/>
              </w:rPr>
              <w:t>19,090,611.90</w:t>
            </w:r>
          </w:p>
        </w:tc>
        <w:tc>
          <w:tcPr>
            <w:tcW w:w="3213" w:type="dxa"/>
            <w:tcBorders>
              <w:top w:val="single" w:color="auto" w:sz="2" w:space="0"/>
              <w:left w:val="single" w:color="auto" w:sz="2" w:space="0"/>
              <w:bottom w:val="single" w:color="auto" w:sz="2" w:space="0"/>
              <w:right w:val="single" w:color="auto" w:sz="2" w:space="0"/>
            </w:tcBorders>
            <w:vAlign w:val="center"/>
          </w:tcPr>
          <w:p w14:paraId="1192AACE">
            <w:pPr>
              <w:spacing w:line="240" w:lineRule="exact"/>
              <w:jc w:val="right"/>
              <w:rPr>
                <w:rFonts w:ascii="宋体" w:hAnsi="宋体" w:eastAsia="宋体" w:cs="宋体"/>
                <w:sz w:val="18"/>
                <w:szCs w:val="18"/>
              </w:rPr>
            </w:pPr>
            <w:r>
              <w:rPr>
                <w:rFonts w:ascii="宋体" w:hAnsi="宋体" w:eastAsia="宋体" w:cs="宋体"/>
                <w:sz w:val="18"/>
                <w:szCs w:val="18"/>
              </w:rPr>
              <w:t>-211,260,618.33</w:t>
            </w:r>
          </w:p>
        </w:tc>
      </w:tr>
      <w:tr w14:paraId="3097D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26D8DB">
            <w:pPr>
              <w:spacing w:line="240" w:lineRule="exact"/>
              <w:ind w:firstLine="180" w:firstLineChars="100"/>
              <w:rPr>
                <w:rFonts w:ascii="宋体" w:hAnsi="宋体" w:eastAsia="宋体" w:cs="宋体"/>
                <w:sz w:val="18"/>
                <w:szCs w:val="18"/>
              </w:rPr>
            </w:pPr>
            <w:r>
              <w:rPr>
                <w:rFonts w:ascii="宋体" w:hAnsi="宋体" w:eastAsia="宋体" w:cs="宋体"/>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5E9BFE79">
            <w:pPr>
              <w:spacing w:line="240" w:lineRule="exact"/>
              <w:jc w:val="right"/>
              <w:rPr>
                <w:rFonts w:ascii="宋体" w:hAnsi="宋体" w:eastAsia="宋体" w:cs="宋体"/>
                <w:sz w:val="18"/>
                <w:szCs w:val="18"/>
              </w:rPr>
            </w:pPr>
            <w:r>
              <w:rPr>
                <w:rFonts w:ascii="宋体" w:hAnsi="宋体" w:eastAsia="宋体" w:cs="宋体"/>
                <w:sz w:val="18"/>
                <w:szCs w:val="18"/>
              </w:rPr>
              <w:t>9,606,615.68</w:t>
            </w:r>
          </w:p>
        </w:tc>
        <w:tc>
          <w:tcPr>
            <w:tcW w:w="3213" w:type="dxa"/>
            <w:tcBorders>
              <w:top w:val="single" w:color="auto" w:sz="2" w:space="0"/>
              <w:left w:val="single" w:color="auto" w:sz="2" w:space="0"/>
              <w:bottom w:val="single" w:color="auto" w:sz="2" w:space="0"/>
              <w:right w:val="single" w:color="auto" w:sz="2" w:space="0"/>
            </w:tcBorders>
            <w:vAlign w:val="center"/>
          </w:tcPr>
          <w:p w14:paraId="60E4B2A8">
            <w:pPr>
              <w:spacing w:line="240" w:lineRule="exact"/>
              <w:jc w:val="right"/>
              <w:rPr>
                <w:rFonts w:ascii="宋体" w:hAnsi="宋体" w:eastAsia="宋体" w:cs="宋体"/>
                <w:sz w:val="18"/>
                <w:szCs w:val="18"/>
              </w:rPr>
            </w:pPr>
            <w:r>
              <w:rPr>
                <w:rFonts w:ascii="宋体" w:hAnsi="宋体" w:eastAsia="宋体" w:cs="宋体"/>
                <w:sz w:val="18"/>
                <w:szCs w:val="18"/>
              </w:rPr>
              <w:t>-223,947,281.93</w:t>
            </w:r>
          </w:p>
        </w:tc>
      </w:tr>
      <w:tr w14:paraId="74FC4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EFABA4">
            <w:pPr>
              <w:spacing w:line="240" w:lineRule="exact"/>
              <w:ind w:firstLine="180" w:firstLineChars="100"/>
              <w:rPr>
                <w:rFonts w:ascii="宋体" w:hAnsi="宋体" w:eastAsia="宋体" w:cs="宋体"/>
                <w:sz w:val="18"/>
                <w:szCs w:val="18"/>
              </w:rPr>
            </w:pPr>
            <w:r>
              <w:rPr>
                <w:rFonts w:ascii="宋体" w:hAnsi="宋体" w:eastAsia="宋体" w:cs="宋体"/>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35E900C6">
            <w:pPr>
              <w:spacing w:line="240" w:lineRule="exact"/>
              <w:jc w:val="right"/>
              <w:rPr>
                <w:rFonts w:ascii="宋体" w:hAnsi="宋体" w:eastAsia="宋体" w:cs="宋体"/>
                <w:sz w:val="18"/>
                <w:szCs w:val="18"/>
              </w:rPr>
            </w:pPr>
            <w:r>
              <w:rPr>
                <w:rFonts w:ascii="宋体" w:hAnsi="宋体" w:eastAsia="宋体" w:cs="宋体"/>
                <w:sz w:val="18"/>
                <w:szCs w:val="18"/>
              </w:rPr>
              <w:t>9,483,996.22</w:t>
            </w:r>
          </w:p>
        </w:tc>
        <w:tc>
          <w:tcPr>
            <w:tcW w:w="3213" w:type="dxa"/>
            <w:tcBorders>
              <w:top w:val="single" w:color="auto" w:sz="2" w:space="0"/>
              <w:left w:val="single" w:color="auto" w:sz="2" w:space="0"/>
              <w:bottom w:val="single" w:color="auto" w:sz="2" w:space="0"/>
              <w:right w:val="single" w:color="auto" w:sz="2" w:space="0"/>
            </w:tcBorders>
            <w:vAlign w:val="center"/>
          </w:tcPr>
          <w:p w14:paraId="00D527F1">
            <w:pPr>
              <w:spacing w:line="240" w:lineRule="exact"/>
              <w:jc w:val="right"/>
              <w:rPr>
                <w:rFonts w:ascii="宋体" w:hAnsi="宋体" w:eastAsia="宋体" w:cs="宋体"/>
                <w:sz w:val="18"/>
                <w:szCs w:val="18"/>
              </w:rPr>
            </w:pPr>
            <w:r>
              <w:rPr>
                <w:rFonts w:ascii="宋体" w:hAnsi="宋体" w:eastAsia="宋体" w:cs="宋体"/>
                <w:sz w:val="18"/>
                <w:szCs w:val="18"/>
              </w:rPr>
              <w:t>12,686,663.60</w:t>
            </w:r>
          </w:p>
        </w:tc>
      </w:tr>
      <w:tr w14:paraId="38E10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808C80">
            <w:pPr>
              <w:spacing w:line="240" w:lineRule="exac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0F12CF"/>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594784"/>
        </w:tc>
      </w:tr>
      <w:tr w14:paraId="02B92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273AA2">
            <w:pPr>
              <w:spacing w:line="240" w:lineRule="exact"/>
              <w:ind w:firstLine="180" w:firstLineChars="100"/>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008890CF">
            <w:pPr>
              <w:spacing w:line="240" w:lineRule="exact"/>
              <w:jc w:val="right"/>
              <w:rPr>
                <w:rFonts w:ascii="宋体" w:hAnsi="宋体" w:eastAsia="宋体" w:cs="宋体"/>
                <w:sz w:val="18"/>
                <w:szCs w:val="18"/>
              </w:rPr>
            </w:pPr>
            <w:r>
              <w:rPr>
                <w:rFonts w:ascii="宋体" w:hAnsi="宋体" w:eastAsia="宋体" w:cs="宋体"/>
                <w:sz w:val="18"/>
                <w:szCs w:val="18"/>
              </w:rPr>
              <w:t>0.03</w:t>
            </w:r>
          </w:p>
        </w:tc>
        <w:tc>
          <w:tcPr>
            <w:tcW w:w="3213" w:type="dxa"/>
            <w:tcBorders>
              <w:top w:val="single" w:color="auto" w:sz="2" w:space="0"/>
              <w:left w:val="single" w:color="auto" w:sz="2" w:space="0"/>
              <w:bottom w:val="single" w:color="auto" w:sz="2" w:space="0"/>
              <w:right w:val="single" w:color="auto" w:sz="2" w:space="0"/>
            </w:tcBorders>
            <w:vAlign w:val="center"/>
          </w:tcPr>
          <w:p w14:paraId="0EFDD127">
            <w:pPr>
              <w:spacing w:line="240" w:lineRule="exact"/>
              <w:jc w:val="right"/>
              <w:rPr>
                <w:rFonts w:ascii="宋体" w:hAnsi="宋体" w:eastAsia="宋体" w:cs="宋体"/>
                <w:sz w:val="18"/>
                <w:szCs w:val="18"/>
              </w:rPr>
            </w:pPr>
            <w:r>
              <w:rPr>
                <w:rFonts w:ascii="宋体" w:hAnsi="宋体" w:eastAsia="宋体" w:cs="宋体"/>
                <w:sz w:val="18"/>
                <w:szCs w:val="18"/>
              </w:rPr>
              <w:t>-0.12</w:t>
            </w:r>
          </w:p>
        </w:tc>
      </w:tr>
      <w:tr w14:paraId="4FAB0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67575E">
            <w:pPr>
              <w:spacing w:line="240" w:lineRule="exact"/>
              <w:ind w:firstLine="180" w:firstLineChars="100"/>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44D1011E">
            <w:pPr>
              <w:spacing w:line="240" w:lineRule="exact"/>
              <w:jc w:val="right"/>
              <w:rPr>
                <w:rFonts w:ascii="宋体" w:hAnsi="宋体" w:eastAsia="宋体" w:cs="宋体"/>
                <w:sz w:val="18"/>
                <w:szCs w:val="18"/>
              </w:rPr>
            </w:pPr>
            <w:r>
              <w:rPr>
                <w:rFonts w:ascii="宋体" w:hAnsi="宋体" w:eastAsia="宋体" w:cs="宋体"/>
                <w:sz w:val="18"/>
                <w:szCs w:val="18"/>
              </w:rPr>
              <w:t>0.03</w:t>
            </w:r>
          </w:p>
        </w:tc>
        <w:tc>
          <w:tcPr>
            <w:tcW w:w="3213" w:type="dxa"/>
            <w:tcBorders>
              <w:top w:val="single" w:color="auto" w:sz="2" w:space="0"/>
              <w:left w:val="single" w:color="auto" w:sz="2" w:space="0"/>
              <w:bottom w:val="single" w:color="auto" w:sz="2" w:space="0"/>
              <w:right w:val="single" w:color="auto" w:sz="2" w:space="0"/>
            </w:tcBorders>
            <w:vAlign w:val="center"/>
          </w:tcPr>
          <w:p w14:paraId="48DE426E">
            <w:pPr>
              <w:spacing w:line="240" w:lineRule="exact"/>
              <w:jc w:val="right"/>
              <w:rPr>
                <w:rFonts w:ascii="宋体" w:hAnsi="宋体" w:eastAsia="宋体" w:cs="宋体"/>
                <w:sz w:val="18"/>
                <w:szCs w:val="18"/>
              </w:rPr>
            </w:pPr>
            <w:r>
              <w:rPr>
                <w:rFonts w:ascii="宋体" w:hAnsi="宋体" w:eastAsia="宋体" w:cs="宋体"/>
                <w:sz w:val="18"/>
                <w:szCs w:val="18"/>
              </w:rPr>
              <w:t>-0.12</w:t>
            </w:r>
          </w:p>
        </w:tc>
      </w:tr>
    </w:tbl>
    <w:p w14:paraId="552B1B42">
      <w:pPr>
        <w:spacing w:before="40" w:after="40" w:line="240" w:lineRule="exact"/>
        <w:rPr>
          <w:rFonts w:ascii="宋体" w:hAnsi="宋体" w:eastAsia="宋体" w:cs="宋体"/>
          <w:sz w:val="18"/>
          <w:szCs w:val="18"/>
        </w:rPr>
      </w:pPr>
      <w:r>
        <w:rPr>
          <w:rFonts w:ascii="宋体" w:hAnsi="宋体" w:eastAsia="宋体" w:cs="宋体"/>
          <w:sz w:val="18"/>
          <w:szCs w:val="18"/>
        </w:rPr>
        <w:t>本期发生同一控制下企业合并的，被合并方在合并前实现的净利润为：</w:t>
      </w:r>
      <w:r>
        <w:rPr>
          <w:rFonts w:hint="eastAsia" w:ascii="宋体" w:hAnsi="宋体" w:eastAsia="宋体" w:cs="宋体"/>
          <w:sz w:val="18"/>
          <w:szCs w:val="18"/>
          <w:lang w:val="en-US" w:eastAsia="zh-CN"/>
        </w:rPr>
        <w:t>0</w:t>
      </w:r>
      <w:r>
        <w:rPr>
          <w:rFonts w:ascii="宋体" w:hAnsi="宋体" w:eastAsia="宋体" w:cs="宋体"/>
          <w:sz w:val="18"/>
          <w:szCs w:val="18"/>
        </w:rPr>
        <w:t>元，上期被合并方实现的净利润为：</w:t>
      </w:r>
      <w:r>
        <w:rPr>
          <w:rFonts w:hint="eastAsia" w:ascii="宋体" w:hAnsi="宋体" w:eastAsia="宋体" w:cs="宋体"/>
          <w:sz w:val="18"/>
          <w:szCs w:val="18"/>
          <w:lang w:val="en-US" w:eastAsia="zh-CN"/>
        </w:rPr>
        <w:t>0</w:t>
      </w:r>
      <w:r>
        <w:rPr>
          <w:rFonts w:ascii="宋体" w:hAnsi="宋体" w:eastAsia="宋体" w:cs="宋体"/>
          <w:sz w:val="18"/>
          <w:szCs w:val="18"/>
        </w:rPr>
        <w:t>元。</w:t>
      </w:r>
    </w:p>
    <w:p w14:paraId="35D317AB">
      <w:pPr>
        <w:spacing w:before="40" w:after="40" w:line="240" w:lineRule="exact"/>
        <w:rPr>
          <w:rFonts w:ascii="宋体" w:hAnsi="宋体" w:eastAsia="宋体" w:cs="宋体"/>
          <w:sz w:val="18"/>
          <w:szCs w:val="18"/>
        </w:rPr>
      </w:pPr>
      <w:r>
        <w:rPr>
          <w:rFonts w:ascii="宋体" w:hAnsi="宋体" w:eastAsia="宋体" w:cs="宋体"/>
          <w:sz w:val="18"/>
          <w:szCs w:val="18"/>
        </w:rPr>
        <w:t>法定代表人：孙伟挺    主管会计工作负责人：陈玲芬    会计机构负责人：王国友</w:t>
      </w:r>
    </w:p>
    <w:p w14:paraId="6D08CBDD">
      <w:pPr>
        <w:pStyle w:val="3"/>
        <w:spacing w:line="280" w:lineRule="exact"/>
        <w:jc w:val="left"/>
        <w:rPr>
          <w:rFonts w:ascii="宋体" w:hAnsi="宋体" w:cs="宋体"/>
          <w:b/>
          <w:bCs/>
        </w:rPr>
      </w:pPr>
      <w:bookmarkStart w:id="164" w:name="_Toc989050"/>
      <w:r>
        <w:rPr>
          <w:rFonts w:ascii="宋体" w:hAnsi="宋体" w:cs="宋体"/>
          <w:b/>
          <w:bCs/>
        </w:rPr>
        <w:t>4、母公司利润表</w:t>
      </w:r>
      <w:bookmarkEnd w:id="164"/>
    </w:p>
    <w:p w14:paraId="7CF56BD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E910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D6798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1BE8E9">
            <w:pPr>
              <w:spacing w:before="40" w:after="40" w:line="240" w:lineRule="exact"/>
              <w:jc w:val="center"/>
              <w:rPr>
                <w:rFonts w:ascii="宋体" w:hAnsi="宋体" w:eastAsia="宋体" w:cs="宋体"/>
                <w:sz w:val="18"/>
                <w:szCs w:val="18"/>
              </w:rPr>
            </w:pPr>
            <w:r>
              <w:rPr>
                <w:rFonts w:ascii="宋体" w:hAnsi="宋体" w:eastAsia="宋体" w:cs="宋体"/>
                <w:sz w:val="18"/>
                <w:szCs w:val="18"/>
              </w:rPr>
              <w:t>2025年度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9EA487">
            <w:pPr>
              <w:spacing w:before="40" w:after="40" w:line="240" w:lineRule="exact"/>
              <w:jc w:val="center"/>
              <w:rPr>
                <w:rFonts w:ascii="宋体" w:hAnsi="宋体" w:eastAsia="宋体" w:cs="宋体"/>
                <w:sz w:val="18"/>
                <w:szCs w:val="18"/>
              </w:rPr>
            </w:pPr>
            <w:r>
              <w:rPr>
                <w:rFonts w:ascii="宋体" w:hAnsi="宋体" w:eastAsia="宋体" w:cs="宋体"/>
                <w:sz w:val="18"/>
                <w:szCs w:val="18"/>
              </w:rPr>
              <w:t>2024年度</w:t>
            </w:r>
          </w:p>
        </w:tc>
      </w:tr>
      <w:tr w14:paraId="3C34A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2132ED">
            <w:pPr>
              <w:spacing w:before="40" w:after="40" w:line="240" w:lineRule="exact"/>
              <w:rPr>
                <w:rFonts w:ascii="宋体" w:hAnsi="宋体" w:eastAsia="宋体" w:cs="宋体"/>
                <w:sz w:val="18"/>
                <w:szCs w:val="18"/>
              </w:rPr>
            </w:pPr>
            <w:r>
              <w:rPr>
                <w:rFonts w:ascii="宋体" w:hAnsi="宋体" w:eastAsia="宋体" w:cs="宋体"/>
                <w:sz w:val="18"/>
                <w:szCs w:val="18"/>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14:paraId="7318DC3A">
            <w:pPr>
              <w:spacing w:line="240" w:lineRule="exact"/>
              <w:jc w:val="right"/>
              <w:rPr>
                <w:rFonts w:ascii="宋体" w:hAnsi="宋体" w:eastAsia="宋体" w:cs="宋体"/>
                <w:sz w:val="18"/>
                <w:szCs w:val="18"/>
              </w:rPr>
            </w:pPr>
            <w:r>
              <w:rPr>
                <w:rFonts w:ascii="宋体" w:hAnsi="宋体" w:eastAsia="宋体" w:cs="宋体"/>
                <w:sz w:val="18"/>
                <w:szCs w:val="18"/>
              </w:rPr>
              <w:t>998,573,353.73</w:t>
            </w:r>
          </w:p>
        </w:tc>
        <w:tc>
          <w:tcPr>
            <w:tcW w:w="3213" w:type="dxa"/>
            <w:tcBorders>
              <w:top w:val="single" w:color="auto" w:sz="2" w:space="0"/>
              <w:left w:val="single" w:color="auto" w:sz="2" w:space="0"/>
              <w:bottom w:val="single" w:color="auto" w:sz="2" w:space="0"/>
              <w:right w:val="single" w:color="auto" w:sz="2" w:space="0"/>
            </w:tcBorders>
            <w:vAlign w:val="center"/>
          </w:tcPr>
          <w:p w14:paraId="1A496BB1">
            <w:pPr>
              <w:spacing w:line="240" w:lineRule="exact"/>
              <w:jc w:val="right"/>
              <w:rPr>
                <w:rFonts w:ascii="宋体" w:hAnsi="宋体" w:eastAsia="宋体" w:cs="宋体"/>
                <w:sz w:val="18"/>
                <w:szCs w:val="18"/>
              </w:rPr>
            </w:pPr>
            <w:r>
              <w:rPr>
                <w:rFonts w:ascii="宋体" w:hAnsi="宋体" w:eastAsia="宋体" w:cs="宋体"/>
                <w:sz w:val="18"/>
                <w:szCs w:val="18"/>
              </w:rPr>
              <w:t>1,100,987,976.84</w:t>
            </w:r>
          </w:p>
        </w:tc>
      </w:tr>
      <w:tr w14:paraId="5F139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BEFD681">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14:paraId="63A72654">
            <w:pPr>
              <w:spacing w:line="240" w:lineRule="exact"/>
              <w:jc w:val="right"/>
              <w:rPr>
                <w:rFonts w:ascii="宋体" w:hAnsi="宋体" w:eastAsia="宋体" w:cs="宋体"/>
                <w:sz w:val="18"/>
                <w:szCs w:val="18"/>
              </w:rPr>
            </w:pPr>
            <w:r>
              <w:rPr>
                <w:rFonts w:ascii="宋体" w:hAnsi="宋体" w:eastAsia="宋体" w:cs="宋体"/>
                <w:sz w:val="18"/>
                <w:szCs w:val="18"/>
              </w:rPr>
              <w:t>973,721,993.27</w:t>
            </w:r>
          </w:p>
        </w:tc>
        <w:tc>
          <w:tcPr>
            <w:tcW w:w="3213" w:type="dxa"/>
            <w:tcBorders>
              <w:top w:val="single" w:color="auto" w:sz="2" w:space="0"/>
              <w:left w:val="single" w:color="auto" w:sz="2" w:space="0"/>
              <w:bottom w:val="single" w:color="auto" w:sz="2" w:space="0"/>
              <w:right w:val="single" w:color="auto" w:sz="2" w:space="0"/>
            </w:tcBorders>
            <w:vAlign w:val="center"/>
          </w:tcPr>
          <w:p w14:paraId="644FC1D5">
            <w:pPr>
              <w:spacing w:line="240" w:lineRule="exact"/>
              <w:jc w:val="right"/>
              <w:rPr>
                <w:rFonts w:ascii="宋体" w:hAnsi="宋体" w:eastAsia="宋体" w:cs="宋体"/>
                <w:sz w:val="18"/>
                <w:szCs w:val="18"/>
              </w:rPr>
            </w:pPr>
            <w:r>
              <w:rPr>
                <w:rFonts w:ascii="宋体" w:hAnsi="宋体" w:eastAsia="宋体" w:cs="宋体"/>
                <w:sz w:val="18"/>
                <w:szCs w:val="18"/>
              </w:rPr>
              <w:t>1,044,517,895.95</w:t>
            </w:r>
          </w:p>
        </w:tc>
      </w:tr>
      <w:tr w14:paraId="5C42D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B5A0F0">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14:paraId="292DB5EC">
            <w:pPr>
              <w:spacing w:line="240" w:lineRule="exact"/>
              <w:jc w:val="right"/>
              <w:rPr>
                <w:rFonts w:ascii="宋体" w:hAnsi="宋体" w:eastAsia="宋体" w:cs="宋体"/>
                <w:sz w:val="18"/>
                <w:szCs w:val="18"/>
              </w:rPr>
            </w:pPr>
            <w:r>
              <w:rPr>
                <w:rFonts w:ascii="宋体" w:hAnsi="宋体" w:eastAsia="宋体" w:cs="宋体"/>
                <w:sz w:val="18"/>
                <w:szCs w:val="18"/>
              </w:rPr>
              <w:t>13,119,628.87</w:t>
            </w:r>
          </w:p>
        </w:tc>
        <w:tc>
          <w:tcPr>
            <w:tcW w:w="3213" w:type="dxa"/>
            <w:tcBorders>
              <w:top w:val="single" w:color="auto" w:sz="2" w:space="0"/>
              <w:left w:val="single" w:color="auto" w:sz="2" w:space="0"/>
              <w:bottom w:val="single" w:color="auto" w:sz="2" w:space="0"/>
              <w:right w:val="single" w:color="auto" w:sz="2" w:space="0"/>
            </w:tcBorders>
            <w:vAlign w:val="center"/>
          </w:tcPr>
          <w:p w14:paraId="33AA72DE">
            <w:pPr>
              <w:spacing w:line="240" w:lineRule="exact"/>
              <w:jc w:val="right"/>
              <w:rPr>
                <w:rFonts w:ascii="宋体" w:hAnsi="宋体" w:eastAsia="宋体" w:cs="宋体"/>
                <w:sz w:val="18"/>
                <w:szCs w:val="18"/>
              </w:rPr>
            </w:pPr>
            <w:r>
              <w:rPr>
                <w:rFonts w:ascii="宋体" w:hAnsi="宋体" w:eastAsia="宋体" w:cs="宋体"/>
                <w:sz w:val="18"/>
                <w:szCs w:val="18"/>
              </w:rPr>
              <w:t>12,894,475.87</w:t>
            </w:r>
          </w:p>
        </w:tc>
      </w:tr>
      <w:tr w14:paraId="79F3C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B0D4CB">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14:paraId="20E9959D">
            <w:pPr>
              <w:spacing w:line="240" w:lineRule="exact"/>
              <w:jc w:val="right"/>
              <w:rPr>
                <w:rFonts w:ascii="宋体" w:hAnsi="宋体" w:eastAsia="宋体" w:cs="宋体"/>
                <w:sz w:val="18"/>
                <w:szCs w:val="18"/>
              </w:rPr>
            </w:pPr>
            <w:r>
              <w:rPr>
                <w:rFonts w:ascii="宋体" w:hAnsi="宋体" w:eastAsia="宋体" w:cs="宋体"/>
                <w:sz w:val="18"/>
                <w:szCs w:val="18"/>
              </w:rPr>
              <w:t>3,077,059.28</w:t>
            </w:r>
          </w:p>
        </w:tc>
        <w:tc>
          <w:tcPr>
            <w:tcW w:w="3213" w:type="dxa"/>
            <w:tcBorders>
              <w:top w:val="single" w:color="auto" w:sz="2" w:space="0"/>
              <w:left w:val="single" w:color="auto" w:sz="2" w:space="0"/>
              <w:bottom w:val="single" w:color="auto" w:sz="2" w:space="0"/>
              <w:right w:val="single" w:color="auto" w:sz="2" w:space="0"/>
            </w:tcBorders>
            <w:vAlign w:val="center"/>
          </w:tcPr>
          <w:p w14:paraId="7E3C4F9C">
            <w:pPr>
              <w:spacing w:line="240" w:lineRule="exact"/>
              <w:jc w:val="right"/>
              <w:rPr>
                <w:rFonts w:ascii="宋体" w:hAnsi="宋体" w:eastAsia="宋体" w:cs="宋体"/>
                <w:sz w:val="18"/>
                <w:szCs w:val="18"/>
              </w:rPr>
            </w:pPr>
            <w:r>
              <w:rPr>
                <w:rFonts w:ascii="宋体" w:hAnsi="宋体" w:eastAsia="宋体" w:cs="宋体"/>
                <w:sz w:val="18"/>
                <w:szCs w:val="18"/>
              </w:rPr>
              <w:t>3,225,485.32</w:t>
            </w:r>
          </w:p>
        </w:tc>
      </w:tr>
      <w:tr w14:paraId="3E9C5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B3F9AC">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14:paraId="720B470B">
            <w:pPr>
              <w:spacing w:line="240" w:lineRule="exact"/>
              <w:jc w:val="right"/>
              <w:rPr>
                <w:rFonts w:ascii="宋体" w:hAnsi="宋体" w:eastAsia="宋体" w:cs="宋体"/>
                <w:sz w:val="18"/>
                <w:szCs w:val="18"/>
              </w:rPr>
            </w:pPr>
            <w:r>
              <w:rPr>
                <w:rFonts w:ascii="宋体" w:hAnsi="宋体" w:eastAsia="宋体" w:cs="宋体"/>
                <w:sz w:val="18"/>
                <w:szCs w:val="18"/>
              </w:rPr>
              <w:t>24,736,088.70</w:t>
            </w:r>
          </w:p>
        </w:tc>
        <w:tc>
          <w:tcPr>
            <w:tcW w:w="3213" w:type="dxa"/>
            <w:tcBorders>
              <w:top w:val="single" w:color="auto" w:sz="2" w:space="0"/>
              <w:left w:val="single" w:color="auto" w:sz="2" w:space="0"/>
              <w:bottom w:val="single" w:color="auto" w:sz="2" w:space="0"/>
              <w:right w:val="single" w:color="auto" w:sz="2" w:space="0"/>
            </w:tcBorders>
            <w:vAlign w:val="center"/>
          </w:tcPr>
          <w:p w14:paraId="42DA87D6">
            <w:pPr>
              <w:spacing w:line="240" w:lineRule="exact"/>
              <w:jc w:val="right"/>
              <w:rPr>
                <w:rFonts w:ascii="宋体" w:hAnsi="宋体" w:eastAsia="宋体" w:cs="宋体"/>
                <w:sz w:val="18"/>
                <w:szCs w:val="18"/>
              </w:rPr>
            </w:pPr>
            <w:r>
              <w:rPr>
                <w:rFonts w:ascii="宋体" w:hAnsi="宋体" w:eastAsia="宋体" w:cs="宋体"/>
                <w:sz w:val="18"/>
                <w:szCs w:val="18"/>
              </w:rPr>
              <w:t>24,403,517.68</w:t>
            </w:r>
          </w:p>
        </w:tc>
      </w:tr>
      <w:tr w14:paraId="4E0FD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9ABA13">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14:paraId="22BB6F1D">
            <w:pPr>
              <w:spacing w:line="240" w:lineRule="exact"/>
              <w:jc w:val="right"/>
              <w:rPr>
                <w:rFonts w:ascii="宋体" w:hAnsi="宋体" w:eastAsia="宋体" w:cs="宋体"/>
                <w:sz w:val="18"/>
                <w:szCs w:val="18"/>
              </w:rPr>
            </w:pPr>
            <w:r>
              <w:rPr>
                <w:rFonts w:ascii="宋体" w:hAnsi="宋体" w:eastAsia="宋体" w:cs="宋体"/>
                <w:sz w:val="18"/>
                <w:szCs w:val="18"/>
              </w:rPr>
              <w:t>39,276,156.78</w:t>
            </w:r>
          </w:p>
        </w:tc>
        <w:tc>
          <w:tcPr>
            <w:tcW w:w="3213" w:type="dxa"/>
            <w:tcBorders>
              <w:top w:val="single" w:color="auto" w:sz="2" w:space="0"/>
              <w:left w:val="single" w:color="auto" w:sz="2" w:space="0"/>
              <w:bottom w:val="single" w:color="auto" w:sz="2" w:space="0"/>
              <w:right w:val="single" w:color="auto" w:sz="2" w:space="0"/>
            </w:tcBorders>
            <w:vAlign w:val="center"/>
          </w:tcPr>
          <w:p w14:paraId="3E24D09A">
            <w:pPr>
              <w:spacing w:line="240" w:lineRule="exact"/>
              <w:jc w:val="right"/>
              <w:rPr>
                <w:rFonts w:ascii="宋体" w:hAnsi="宋体" w:eastAsia="宋体" w:cs="宋体"/>
                <w:sz w:val="18"/>
                <w:szCs w:val="18"/>
              </w:rPr>
            </w:pPr>
            <w:r>
              <w:rPr>
                <w:rFonts w:ascii="宋体" w:hAnsi="宋体" w:eastAsia="宋体" w:cs="宋体"/>
                <w:sz w:val="18"/>
                <w:szCs w:val="18"/>
              </w:rPr>
              <w:t>38,095,918.22</w:t>
            </w:r>
          </w:p>
        </w:tc>
      </w:tr>
      <w:tr w14:paraId="4C8F6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5C1B4D">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14:paraId="08E3C2DC">
            <w:pPr>
              <w:spacing w:line="240" w:lineRule="exact"/>
              <w:jc w:val="right"/>
              <w:rPr>
                <w:rFonts w:ascii="宋体" w:hAnsi="宋体" w:eastAsia="宋体" w:cs="宋体"/>
                <w:sz w:val="18"/>
                <w:szCs w:val="18"/>
              </w:rPr>
            </w:pPr>
            <w:r>
              <w:rPr>
                <w:rFonts w:ascii="宋体" w:hAnsi="宋体" w:eastAsia="宋体" w:cs="宋体"/>
                <w:sz w:val="18"/>
                <w:szCs w:val="18"/>
              </w:rPr>
              <w:t>26,429,289.51</w:t>
            </w:r>
          </w:p>
        </w:tc>
        <w:tc>
          <w:tcPr>
            <w:tcW w:w="3213" w:type="dxa"/>
            <w:tcBorders>
              <w:top w:val="single" w:color="auto" w:sz="2" w:space="0"/>
              <w:left w:val="single" w:color="auto" w:sz="2" w:space="0"/>
              <w:bottom w:val="single" w:color="auto" w:sz="2" w:space="0"/>
              <w:right w:val="single" w:color="auto" w:sz="2" w:space="0"/>
            </w:tcBorders>
            <w:vAlign w:val="center"/>
          </w:tcPr>
          <w:p w14:paraId="0A82C420">
            <w:pPr>
              <w:spacing w:line="240" w:lineRule="exact"/>
              <w:jc w:val="right"/>
              <w:rPr>
                <w:rFonts w:ascii="宋体" w:hAnsi="宋体" w:eastAsia="宋体" w:cs="宋体"/>
                <w:sz w:val="18"/>
                <w:szCs w:val="18"/>
              </w:rPr>
            </w:pPr>
            <w:r>
              <w:rPr>
                <w:rFonts w:ascii="宋体" w:hAnsi="宋体" w:eastAsia="宋体" w:cs="宋体"/>
                <w:sz w:val="18"/>
                <w:szCs w:val="18"/>
              </w:rPr>
              <w:t>19,330,441.96</w:t>
            </w:r>
          </w:p>
        </w:tc>
      </w:tr>
      <w:tr w14:paraId="02813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CC5B50">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14:paraId="1CF19B09">
            <w:pPr>
              <w:spacing w:line="240" w:lineRule="exact"/>
              <w:jc w:val="right"/>
              <w:rPr>
                <w:rFonts w:ascii="宋体" w:hAnsi="宋体" w:eastAsia="宋体" w:cs="宋体"/>
                <w:sz w:val="18"/>
                <w:szCs w:val="18"/>
              </w:rPr>
            </w:pPr>
            <w:r>
              <w:rPr>
                <w:rFonts w:ascii="宋体" w:hAnsi="宋体" w:eastAsia="宋体" w:cs="宋体"/>
                <w:sz w:val="18"/>
                <w:szCs w:val="18"/>
              </w:rPr>
              <w:t>26,824,100.73</w:t>
            </w:r>
          </w:p>
        </w:tc>
        <w:tc>
          <w:tcPr>
            <w:tcW w:w="3213" w:type="dxa"/>
            <w:tcBorders>
              <w:top w:val="single" w:color="auto" w:sz="2" w:space="0"/>
              <w:left w:val="single" w:color="auto" w:sz="2" w:space="0"/>
              <w:bottom w:val="single" w:color="auto" w:sz="2" w:space="0"/>
              <w:right w:val="single" w:color="auto" w:sz="2" w:space="0"/>
            </w:tcBorders>
            <w:vAlign w:val="center"/>
          </w:tcPr>
          <w:p w14:paraId="38FB47CA">
            <w:pPr>
              <w:spacing w:line="240" w:lineRule="exact"/>
              <w:jc w:val="right"/>
              <w:rPr>
                <w:rFonts w:ascii="宋体" w:hAnsi="宋体" w:eastAsia="宋体" w:cs="宋体"/>
                <w:sz w:val="18"/>
                <w:szCs w:val="18"/>
              </w:rPr>
            </w:pPr>
            <w:r>
              <w:rPr>
                <w:rFonts w:ascii="宋体" w:hAnsi="宋体" w:eastAsia="宋体" w:cs="宋体"/>
                <w:sz w:val="18"/>
                <w:szCs w:val="18"/>
              </w:rPr>
              <w:t>19,273,494.61</w:t>
            </w:r>
          </w:p>
        </w:tc>
      </w:tr>
      <w:tr w14:paraId="2A714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B16542">
            <w:pPr>
              <w:spacing w:before="40" w:after="40" w:line="240" w:lineRule="exact"/>
              <w:ind w:firstLine="1260" w:firstLineChars="700"/>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1C43FB63">
            <w:pPr>
              <w:spacing w:line="240" w:lineRule="exact"/>
              <w:jc w:val="right"/>
              <w:rPr>
                <w:rFonts w:ascii="宋体" w:hAnsi="宋体" w:eastAsia="宋体" w:cs="宋体"/>
                <w:sz w:val="18"/>
                <w:szCs w:val="18"/>
              </w:rPr>
            </w:pPr>
            <w:r>
              <w:rPr>
                <w:rFonts w:ascii="宋体" w:hAnsi="宋体" w:eastAsia="宋体" w:cs="宋体"/>
                <w:sz w:val="18"/>
                <w:szCs w:val="18"/>
              </w:rPr>
              <w:t>2,757,655.18</w:t>
            </w:r>
          </w:p>
        </w:tc>
        <w:tc>
          <w:tcPr>
            <w:tcW w:w="3213" w:type="dxa"/>
            <w:tcBorders>
              <w:top w:val="single" w:color="auto" w:sz="2" w:space="0"/>
              <w:left w:val="single" w:color="auto" w:sz="2" w:space="0"/>
              <w:bottom w:val="single" w:color="auto" w:sz="2" w:space="0"/>
              <w:right w:val="single" w:color="auto" w:sz="2" w:space="0"/>
            </w:tcBorders>
            <w:vAlign w:val="center"/>
          </w:tcPr>
          <w:p w14:paraId="18C230B1">
            <w:pPr>
              <w:spacing w:line="240" w:lineRule="exact"/>
              <w:jc w:val="right"/>
              <w:rPr>
                <w:rFonts w:ascii="宋体" w:hAnsi="宋体" w:eastAsia="宋体" w:cs="宋体"/>
                <w:sz w:val="18"/>
                <w:szCs w:val="18"/>
              </w:rPr>
            </w:pPr>
            <w:r>
              <w:rPr>
                <w:rFonts w:ascii="宋体" w:hAnsi="宋体" w:eastAsia="宋体" w:cs="宋体"/>
                <w:sz w:val="18"/>
                <w:szCs w:val="18"/>
              </w:rPr>
              <w:t>736,024.78</w:t>
            </w:r>
          </w:p>
        </w:tc>
      </w:tr>
      <w:tr w14:paraId="060CD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3875D0">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14:paraId="7FB83ABC">
            <w:pPr>
              <w:spacing w:line="240" w:lineRule="exact"/>
              <w:jc w:val="right"/>
              <w:rPr>
                <w:rFonts w:ascii="宋体" w:hAnsi="宋体" w:eastAsia="宋体" w:cs="宋体"/>
                <w:sz w:val="18"/>
                <w:szCs w:val="18"/>
              </w:rPr>
            </w:pPr>
            <w:r>
              <w:rPr>
                <w:rFonts w:ascii="宋体" w:hAnsi="宋体" w:eastAsia="宋体" w:cs="宋体"/>
                <w:sz w:val="18"/>
                <w:szCs w:val="18"/>
              </w:rPr>
              <w:t>53,543,959.16</w:t>
            </w:r>
          </w:p>
        </w:tc>
        <w:tc>
          <w:tcPr>
            <w:tcW w:w="3213" w:type="dxa"/>
            <w:tcBorders>
              <w:top w:val="single" w:color="auto" w:sz="2" w:space="0"/>
              <w:left w:val="single" w:color="auto" w:sz="2" w:space="0"/>
              <w:bottom w:val="single" w:color="auto" w:sz="2" w:space="0"/>
              <w:right w:val="single" w:color="auto" w:sz="2" w:space="0"/>
            </w:tcBorders>
            <w:vAlign w:val="center"/>
          </w:tcPr>
          <w:p w14:paraId="1548F601">
            <w:pPr>
              <w:spacing w:line="240" w:lineRule="exact"/>
              <w:jc w:val="right"/>
              <w:rPr>
                <w:rFonts w:ascii="宋体" w:hAnsi="宋体" w:eastAsia="宋体" w:cs="宋体"/>
                <w:sz w:val="18"/>
                <w:szCs w:val="18"/>
              </w:rPr>
            </w:pPr>
            <w:r>
              <w:rPr>
                <w:rFonts w:ascii="宋体" w:hAnsi="宋体" w:eastAsia="宋体" w:cs="宋体"/>
                <w:sz w:val="18"/>
                <w:szCs w:val="18"/>
              </w:rPr>
              <w:t>57,562,246.92</w:t>
            </w:r>
          </w:p>
        </w:tc>
      </w:tr>
      <w:tr w14:paraId="7E5CA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29AE9A">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984E96E">
            <w:pPr>
              <w:spacing w:line="240" w:lineRule="exact"/>
              <w:jc w:val="right"/>
              <w:rPr>
                <w:rFonts w:ascii="宋体" w:hAnsi="宋体" w:eastAsia="宋体" w:cs="宋体"/>
                <w:sz w:val="18"/>
                <w:szCs w:val="18"/>
              </w:rPr>
            </w:pPr>
            <w:r>
              <w:rPr>
                <w:rFonts w:ascii="宋体" w:hAnsi="宋体" w:eastAsia="宋体" w:cs="宋体"/>
                <w:sz w:val="18"/>
                <w:szCs w:val="18"/>
              </w:rPr>
              <w:t>67,634,237.70</w:t>
            </w:r>
          </w:p>
        </w:tc>
        <w:tc>
          <w:tcPr>
            <w:tcW w:w="3213" w:type="dxa"/>
            <w:tcBorders>
              <w:top w:val="single" w:color="auto" w:sz="2" w:space="0"/>
              <w:left w:val="single" w:color="auto" w:sz="2" w:space="0"/>
              <w:bottom w:val="single" w:color="auto" w:sz="2" w:space="0"/>
              <w:right w:val="single" w:color="auto" w:sz="2" w:space="0"/>
            </w:tcBorders>
            <w:vAlign w:val="center"/>
          </w:tcPr>
          <w:p w14:paraId="36C5B1D0">
            <w:pPr>
              <w:spacing w:line="240" w:lineRule="exact"/>
              <w:jc w:val="right"/>
              <w:rPr>
                <w:rFonts w:ascii="宋体" w:hAnsi="宋体" w:eastAsia="宋体" w:cs="宋体"/>
                <w:sz w:val="18"/>
                <w:szCs w:val="18"/>
              </w:rPr>
            </w:pPr>
            <w:r>
              <w:rPr>
                <w:rFonts w:ascii="宋体" w:hAnsi="宋体" w:eastAsia="宋体" w:cs="宋体"/>
                <w:sz w:val="18"/>
                <w:szCs w:val="18"/>
              </w:rPr>
              <w:t>5,401,761.66</w:t>
            </w:r>
          </w:p>
        </w:tc>
      </w:tr>
      <w:tr w14:paraId="79FA1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36DE03">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140F89CE">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DD35EFA">
            <w:pPr>
              <w:spacing w:line="240" w:lineRule="exact"/>
              <w:jc w:val="right"/>
              <w:rPr>
                <w:rFonts w:ascii="宋体" w:hAnsi="宋体" w:eastAsia="宋体" w:cs="宋体"/>
                <w:sz w:val="18"/>
                <w:szCs w:val="18"/>
              </w:rPr>
            </w:pPr>
          </w:p>
        </w:tc>
      </w:tr>
      <w:tr w14:paraId="590B6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CC3F3D">
            <w:pPr>
              <w:spacing w:before="40" w:after="40" w:line="240" w:lineRule="exact"/>
              <w:ind w:firstLine="1260" w:firstLineChars="700"/>
              <w:rPr>
                <w:rFonts w:ascii="宋体" w:hAnsi="宋体" w:eastAsia="宋体" w:cs="宋体"/>
                <w:sz w:val="18"/>
                <w:szCs w:val="18"/>
              </w:rPr>
            </w:pPr>
            <w:r>
              <w:rPr>
                <w:rFonts w:ascii="宋体" w:hAnsi="宋体" w:eastAsia="宋体" w:cs="宋体"/>
                <w:sz w:val="18"/>
                <w:szCs w:val="18"/>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DC97C68">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D2A06E9">
            <w:pPr>
              <w:spacing w:line="240" w:lineRule="exact"/>
              <w:jc w:val="right"/>
              <w:rPr>
                <w:rFonts w:ascii="宋体" w:hAnsi="宋体" w:eastAsia="宋体" w:cs="宋体"/>
                <w:sz w:val="18"/>
                <w:szCs w:val="18"/>
              </w:rPr>
            </w:pPr>
          </w:p>
        </w:tc>
      </w:tr>
      <w:tr w14:paraId="2DCA1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354B80">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38ABA603">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4B0B17C">
            <w:pPr>
              <w:spacing w:line="240" w:lineRule="exact"/>
              <w:jc w:val="right"/>
              <w:rPr>
                <w:rFonts w:ascii="宋体" w:hAnsi="宋体" w:eastAsia="宋体" w:cs="宋体"/>
                <w:sz w:val="18"/>
                <w:szCs w:val="18"/>
              </w:rPr>
            </w:pPr>
          </w:p>
        </w:tc>
      </w:tr>
      <w:tr w14:paraId="5E390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716933">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88A350B">
            <w:pPr>
              <w:spacing w:line="240" w:lineRule="exact"/>
              <w:jc w:val="right"/>
              <w:rPr>
                <w:rFonts w:ascii="宋体" w:hAnsi="宋体" w:eastAsia="宋体" w:cs="宋体"/>
                <w:sz w:val="18"/>
                <w:szCs w:val="18"/>
              </w:rPr>
            </w:pPr>
            <w:r>
              <w:rPr>
                <w:rFonts w:ascii="宋体" w:hAnsi="宋体" w:eastAsia="宋体" w:cs="宋体"/>
                <w:sz w:val="18"/>
                <w:szCs w:val="18"/>
              </w:rPr>
              <w:t>567,282.60</w:t>
            </w:r>
          </w:p>
        </w:tc>
        <w:tc>
          <w:tcPr>
            <w:tcW w:w="3213" w:type="dxa"/>
            <w:tcBorders>
              <w:top w:val="single" w:color="auto" w:sz="2" w:space="0"/>
              <w:left w:val="single" w:color="auto" w:sz="2" w:space="0"/>
              <w:bottom w:val="single" w:color="auto" w:sz="2" w:space="0"/>
              <w:right w:val="single" w:color="auto" w:sz="2" w:space="0"/>
            </w:tcBorders>
            <w:vAlign w:val="center"/>
          </w:tcPr>
          <w:p w14:paraId="75B3C541">
            <w:pPr>
              <w:spacing w:line="240" w:lineRule="exact"/>
              <w:jc w:val="right"/>
              <w:rPr>
                <w:rFonts w:ascii="宋体" w:hAnsi="宋体" w:eastAsia="宋体" w:cs="宋体"/>
                <w:sz w:val="18"/>
                <w:szCs w:val="18"/>
              </w:rPr>
            </w:pPr>
            <w:r>
              <w:rPr>
                <w:rFonts w:ascii="宋体" w:hAnsi="宋体" w:eastAsia="宋体" w:cs="宋体"/>
                <w:sz w:val="18"/>
                <w:szCs w:val="18"/>
              </w:rPr>
              <w:t>-2,312,327.12</w:t>
            </w:r>
          </w:p>
        </w:tc>
      </w:tr>
      <w:tr w14:paraId="36966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791DF7">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016E382B">
            <w:pPr>
              <w:spacing w:line="240" w:lineRule="exact"/>
              <w:jc w:val="right"/>
              <w:rPr>
                <w:rFonts w:ascii="宋体" w:hAnsi="宋体" w:eastAsia="宋体" w:cs="宋体"/>
                <w:sz w:val="18"/>
                <w:szCs w:val="18"/>
              </w:rPr>
            </w:pPr>
            <w:r>
              <w:rPr>
                <w:rFonts w:ascii="宋体" w:hAnsi="宋体" w:eastAsia="宋体" w:cs="宋体"/>
                <w:sz w:val="18"/>
                <w:szCs w:val="18"/>
              </w:rPr>
              <w:t>-7,280,540.74</w:t>
            </w:r>
          </w:p>
        </w:tc>
        <w:tc>
          <w:tcPr>
            <w:tcW w:w="3213" w:type="dxa"/>
            <w:tcBorders>
              <w:top w:val="single" w:color="auto" w:sz="2" w:space="0"/>
              <w:left w:val="single" w:color="auto" w:sz="2" w:space="0"/>
              <w:bottom w:val="single" w:color="auto" w:sz="2" w:space="0"/>
              <w:right w:val="single" w:color="auto" w:sz="2" w:space="0"/>
            </w:tcBorders>
            <w:vAlign w:val="center"/>
          </w:tcPr>
          <w:p w14:paraId="0A731B0B">
            <w:pPr>
              <w:spacing w:line="240" w:lineRule="exact"/>
              <w:jc w:val="right"/>
              <w:rPr>
                <w:rFonts w:ascii="宋体" w:hAnsi="宋体" w:eastAsia="宋体" w:cs="宋体"/>
                <w:sz w:val="18"/>
                <w:szCs w:val="18"/>
              </w:rPr>
            </w:pPr>
            <w:r>
              <w:rPr>
                <w:rFonts w:ascii="宋体" w:hAnsi="宋体" w:eastAsia="宋体" w:cs="宋体"/>
                <w:sz w:val="18"/>
                <w:szCs w:val="18"/>
              </w:rPr>
              <w:t>-5,076,644.67</w:t>
            </w:r>
          </w:p>
        </w:tc>
      </w:tr>
      <w:tr w14:paraId="1A4CC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0E9924">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8E04BEB">
            <w:pPr>
              <w:spacing w:line="240" w:lineRule="exact"/>
              <w:jc w:val="right"/>
              <w:rPr>
                <w:rFonts w:ascii="宋体" w:hAnsi="宋体" w:eastAsia="宋体" w:cs="宋体"/>
                <w:sz w:val="18"/>
                <w:szCs w:val="18"/>
              </w:rPr>
            </w:pPr>
            <w:r>
              <w:rPr>
                <w:rFonts w:ascii="宋体" w:hAnsi="宋体" w:eastAsia="宋体" w:cs="宋体"/>
                <w:sz w:val="18"/>
                <w:szCs w:val="18"/>
              </w:rPr>
              <w:t>5,897,944.45</w:t>
            </w:r>
          </w:p>
        </w:tc>
        <w:tc>
          <w:tcPr>
            <w:tcW w:w="3213" w:type="dxa"/>
            <w:tcBorders>
              <w:top w:val="single" w:color="auto" w:sz="2" w:space="0"/>
              <w:left w:val="single" w:color="auto" w:sz="2" w:space="0"/>
              <w:bottom w:val="single" w:color="auto" w:sz="2" w:space="0"/>
              <w:right w:val="single" w:color="auto" w:sz="2" w:space="0"/>
            </w:tcBorders>
            <w:vAlign w:val="center"/>
          </w:tcPr>
          <w:p w14:paraId="0A55E121">
            <w:pPr>
              <w:spacing w:line="240" w:lineRule="exact"/>
              <w:jc w:val="right"/>
              <w:rPr>
                <w:rFonts w:ascii="宋体" w:hAnsi="宋体" w:eastAsia="宋体" w:cs="宋体"/>
                <w:sz w:val="18"/>
                <w:szCs w:val="18"/>
              </w:rPr>
            </w:pPr>
            <w:r>
              <w:rPr>
                <w:rFonts w:ascii="宋体" w:hAnsi="宋体" w:eastAsia="宋体" w:cs="宋体"/>
                <w:sz w:val="18"/>
                <w:szCs w:val="18"/>
              </w:rPr>
              <w:t>-7,671,517.67</w:t>
            </w:r>
          </w:p>
        </w:tc>
      </w:tr>
      <w:tr w14:paraId="5B8DF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413493">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01D1ADF3">
            <w:pPr>
              <w:spacing w:line="240" w:lineRule="exact"/>
              <w:jc w:val="right"/>
              <w:rPr>
                <w:rFonts w:ascii="宋体" w:hAnsi="宋体" w:eastAsia="宋体" w:cs="宋体"/>
                <w:sz w:val="18"/>
                <w:szCs w:val="18"/>
              </w:rPr>
            </w:pPr>
            <w:r>
              <w:rPr>
                <w:rFonts w:ascii="宋体" w:hAnsi="宋体" w:eastAsia="宋体" w:cs="宋体"/>
                <w:sz w:val="18"/>
                <w:szCs w:val="18"/>
              </w:rPr>
              <w:t>160,394.37</w:t>
            </w:r>
          </w:p>
        </w:tc>
        <w:tc>
          <w:tcPr>
            <w:tcW w:w="3213" w:type="dxa"/>
            <w:tcBorders>
              <w:top w:val="single" w:color="auto" w:sz="2" w:space="0"/>
              <w:left w:val="single" w:color="auto" w:sz="2" w:space="0"/>
              <w:bottom w:val="single" w:color="auto" w:sz="2" w:space="0"/>
              <w:right w:val="single" w:color="auto" w:sz="2" w:space="0"/>
            </w:tcBorders>
            <w:vAlign w:val="center"/>
          </w:tcPr>
          <w:p w14:paraId="1FC86830">
            <w:pPr>
              <w:spacing w:line="240" w:lineRule="exact"/>
              <w:jc w:val="right"/>
              <w:rPr>
                <w:rFonts w:ascii="宋体" w:hAnsi="宋体" w:eastAsia="宋体" w:cs="宋体"/>
                <w:sz w:val="18"/>
                <w:szCs w:val="18"/>
              </w:rPr>
            </w:pPr>
            <w:r>
              <w:rPr>
                <w:rFonts w:ascii="宋体" w:hAnsi="宋体" w:eastAsia="宋体" w:cs="宋体"/>
                <w:sz w:val="18"/>
                <w:szCs w:val="18"/>
              </w:rPr>
              <w:t>-81,316.22</w:t>
            </w:r>
          </w:p>
        </w:tc>
      </w:tr>
      <w:tr w14:paraId="603B6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416312">
            <w:pPr>
              <w:spacing w:before="40" w:after="40" w:line="240" w:lineRule="exact"/>
              <w:rPr>
                <w:rFonts w:ascii="宋体" w:hAnsi="宋体" w:eastAsia="宋体" w:cs="宋体"/>
                <w:sz w:val="18"/>
                <w:szCs w:val="18"/>
              </w:rPr>
            </w:pPr>
            <w:r>
              <w:rPr>
                <w:rFonts w:ascii="宋体" w:hAnsi="宋体" w:eastAsia="宋体" w:cs="宋体"/>
                <w:sz w:val="18"/>
                <w:szCs w:val="18"/>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86574E6">
            <w:pPr>
              <w:spacing w:line="240" w:lineRule="exact"/>
              <w:jc w:val="right"/>
              <w:rPr>
                <w:rFonts w:ascii="宋体" w:hAnsi="宋体" w:eastAsia="宋体" w:cs="宋体"/>
                <w:sz w:val="18"/>
                <w:szCs w:val="18"/>
              </w:rPr>
            </w:pPr>
            <w:r>
              <w:rPr>
                <w:rFonts w:ascii="宋体" w:hAnsi="宋体" w:eastAsia="宋体" w:cs="宋体"/>
                <w:sz w:val="18"/>
                <w:szCs w:val="18"/>
              </w:rPr>
              <w:t>38,736,414.86</w:t>
            </w:r>
          </w:p>
        </w:tc>
        <w:tc>
          <w:tcPr>
            <w:tcW w:w="3213" w:type="dxa"/>
            <w:tcBorders>
              <w:top w:val="single" w:color="auto" w:sz="2" w:space="0"/>
              <w:left w:val="single" w:color="auto" w:sz="2" w:space="0"/>
              <w:bottom w:val="single" w:color="auto" w:sz="2" w:space="0"/>
              <w:right w:val="single" w:color="auto" w:sz="2" w:space="0"/>
            </w:tcBorders>
            <w:vAlign w:val="center"/>
          </w:tcPr>
          <w:p w14:paraId="7BD55B20">
            <w:pPr>
              <w:spacing w:line="240" w:lineRule="exact"/>
              <w:jc w:val="right"/>
              <w:rPr>
                <w:rFonts w:ascii="宋体" w:hAnsi="宋体" w:eastAsia="宋体" w:cs="宋体"/>
                <w:sz w:val="18"/>
                <w:szCs w:val="18"/>
              </w:rPr>
            </w:pPr>
            <w:r>
              <w:rPr>
                <w:rFonts w:ascii="宋体" w:hAnsi="宋体" w:eastAsia="宋体" w:cs="宋体"/>
                <w:sz w:val="18"/>
                <w:szCs w:val="18"/>
              </w:rPr>
              <w:t>6,342,444.74</w:t>
            </w:r>
          </w:p>
        </w:tc>
      </w:tr>
      <w:tr w14:paraId="24F6A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44AF78">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14:paraId="58182A15">
            <w:pPr>
              <w:spacing w:line="240" w:lineRule="exact"/>
              <w:jc w:val="right"/>
              <w:rPr>
                <w:rFonts w:ascii="宋体" w:hAnsi="宋体" w:eastAsia="宋体" w:cs="宋体"/>
                <w:sz w:val="18"/>
                <w:szCs w:val="18"/>
              </w:rPr>
            </w:pPr>
            <w:r>
              <w:rPr>
                <w:rFonts w:ascii="宋体" w:hAnsi="宋体" w:eastAsia="宋体" w:cs="宋体"/>
                <w:sz w:val="18"/>
                <w:szCs w:val="18"/>
              </w:rPr>
              <w:t>832,795.71</w:t>
            </w:r>
          </w:p>
        </w:tc>
        <w:tc>
          <w:tcPr>
            <w:tcW w:w="3213" w:type="dxa"/>
            <w:tcBorders>
              <w:top w:val="single" w:color="auto" w:sz="2" w:space="0"/>
              <w:left w:val="single" w:color="auto" w:sz="2" w:space="0"/>
              <w:bottom w:val="single" w:color="auto" w:sz="2" w:space="0"/>
              <w:right w:val="single" w:color="auto" w:sz="2" w:space="0"/>
            </w:tcBorders>
            <w:vAlign w:val="center"/>
          </w:tcPr>
          <w:p w14:paraId="2B6C9F85">
            <w:pPr>
              <w:spacing w:line="240" w:lineRule="exact"/>
              <w:jc w:val="right"/>
              <w:rPr>
                <w:rFonts w:ascii="宋体" w:hAnsi="宋体" w:eastAsia="宋体" w:cs="宋体"/>
                <w:sz w:val="18"/>
                <w:szCs w:val="18"/>
              </w:rPr>
            </w:pPr>
            <w:r>
              <w:rPr>
                <w:rFonts w:ascii="宋体" w:hAnsi="宋体" w:eastAsia="宋体" w:cs="宋体"/>
                <w:sz w:val="18"/>
                <w:szCs w:val="18"/>
              </w:rPr>
              <w:t>2,877,093.26</w:t>
            </w:r>
          </w:p>
        </w:tc>
      </w:tr>
      <w:tr w14:paraId="02C35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90C8D4">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14:paraId="6B80D20B">
            <w:pPr>
              <w:spacing w:line="240" w:lineRule="exact"/>
              <w:jc w:val="right"/>
              <w:rPr>
                <w:rFonts w:ascii="宋体" w:hAnsi="宋体" w:eastAsia="宋体" w:cs="宋体"/>
                <w:sz w:val="18"/>
                <w:szCs w:val="18"/>
              </w:rPr>
            </w:pPr>
            <w:r>
              <w:rPr>
                <w:rFonts w:ascii="宋体" w:hAnsi="宋体" w:eastAsia="宋体" w:cs="宋体"/>
                <w:sz w:val="18"/>
                <w:szCs w:val="18"/>
              </w:rPr>
              <w:t>35,574.84</w:t>
            </w:r>
          </w:p>
        </w:tc>
        <w:tc>
          <w:tcPr>
            <w:tcW w:w="3213" w:type="dxa"/>
            <w:tcBorders>
              <w:top w:val="single" w:color="auto" w:sz="2" w:space="0"/>
              <w:left w:val="single" w:color="auto" w:sz="2" w:space="0"/>
              <w:bottom w:val="single" w:color="auto" w:sz="2" w:space="0"/>
              <w:right w:val="single" w:color="auto" w:sz="2" w:space="0"/>
            </w:tcBorders>
            <w:vAlign w:val="center"/>
          </w:tcPr>
          <w:p w14:paraId="3BD3A4F7">
            <w:pPr>
              <w:spacing w:line="240" w:lineRule="exact"/>
              <w:jc w:val="right"/>
              <w:rPr>
                <w:rFonts w:ascii="宋体" w:hAnsi="宋体" w:eastAsia="宋体" w:cs="宋体"/>
                <w:sz w:val="18"/>
                <w:szCs w:val="18"/>
              </w:rPr>
            </w:pPr>
            <w:r>
              <w:rPr>
                <w:rFonts w:ascii="宋体" w:hAnsi="宋体" w:eastAsia="宋体" w:cs="宋体"/>
                <w:sz w:val="18"/>
                <w:szCs w:val="18"/>
              </w:rPr>
              <w:t>708,321.93</w:t>
            </w:r>
          </w:p>
        </w:tc>
      </w:tr>
      <w:tr w14:paraId="6F33C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15F804">
            <w:pPr>
              <w:spacing w:before="40" w:after="40" w:line="240" w:lineRule="exact"/>
              <w:rPr>
                <w:rFonts w:ascii="宋体" w:hAnsi="宋体" w:eastAsia="宋体" w:cs="宋体"/>
                <w:sz w:val="18"/>
                <w:szCs w:val="18"/>
              </w:rPr>
            </w:pPr>
            <w:r>
              <w:rPr>
                <w:rFonts w:ascii="宋体" w:hAnsi="宋体" w:eastAsia="宋体" w:cs="宋体"/>
                <w:sz w:val="18"/>
                <w:szCs w:val="18"/>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D89CD5E">
            <w:pPr>
              <w:spacing w:line="240" w:lineRule="exact"/>
              <w:jc w:val="right"/>
              <w:rPr>
                <w:rFonts w:ascii="宋体" w:hAnsi="宋体" w:eastAsia="宋体" w:cs="宋体"/>
                <w:sz w:val="18"/>
                <w:szCs w:val="18"/>
              </w:rPr>
            </w:pPr>
            <w:r>
              <w:rPr>
                <w:rFonts w:ascii="宋体" w:hAnsi="宋体" w:eastAsia="宋体" w:cs="宋体"/>
                <w:sz w:val="18"/>
                <w:szCs w:val="18"/>
              </w:rPr>
              <w:t>39,533,635.73</w:t>
            </w:r>
          </w:p>
        </w:tc>
        <w:tc>
          <w:tcPr>
            <w:tcW w:w="3213" w:type="dxa"/>
            <w:tcBorders>
              <w:top w:val="single" w:color="auto" w:sz="2" w:space="0"/>
              <w:left w:val="single" w:color="auto" w:sz="2" w:space="0"/>
              <w:bottom w:val="single" w:color="auto" w:sz="2" w:space="0"/>
              <w:right w:val="single" w:color="auto" w:sz="2" w:space="0"/>
            </w:tcBorders>
            <w:vAlign w:val="center"/>
          </w:tcPr>
          <w:p w14:paraId="352FC33D">
            <w:pPr>
              <w:spacing w:line="240" w:lineRule="exact"/>
              <w:jc w:val="right"/>
              <w:rPr>
                <w:rFonts w:ascii="宋体" w:hAnsi="宋体" w:eastAsia="宋体" w:cs="宋体"/>
                <w:sz w:val="18"/>
                <w:szCs w:val="18"/>
              </w:rPr>
            </w:pPr>
            <w:r>
              <w:rPr>
                <w:rFonts w:ascii="宋体" w:hAnsi="宋体" w:eastAsia="宋体" w:cs="宋体"/>
                <w:sz w:val="18"/>
                <w:szCs w:val="18"/>
              </w:rPr>
              <w:t>8,511,216.07</w:t>
            </w:r>
          </w:p>
        </w:tc>
      </w:tr>
      <w:tr w14:paraId="5DCB0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485319">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14:paraId="58EF0160">
            <w:pPr>
              <w:spacing w:line="240" w:lineRule="exact"/>
              <w:jc w:val="right"/>
              <w:rPr>
                <w:rFonts w:ascii="宋体" w:hAnsi="宋体" w:eastAsia="宋体" w:cs="宋体"/>
                <w:sz w:val="18"/>
                <w:szCs w:val="18"/>
              </w:rPr>
            </w:pPr>
            <w:r>
              <w:rPr>
                <w:rFonts w:ascii="宋体" w:hAnsi="宋体" w:eastAsia="宋体" w:cs="宋体"/>
                <w:sz w:val="18"/>
                <w:szCs w:val="18"/>
              </w:rPr>
              <w:t>-5,259,787.83</w:t>
            </w:r>
          </w:p>
        </w:tc>
        <w:tc>
          <w:tcPr>
            <w:tcW w:w="3213" w:type="dxa"/>
            <w:tcBorders>
              <w:top w:val="single" w:color="auto" w:sz="2" w:space="0"/>
              <w:left w:val="single" w:color="auto" w:sz="2" w:space="0"/>
              <w:bottom w:val="single" w:color="auto" w:sz="2" w:space="0"/>
              <w:right w:val="single" w:color="auto" w:sz="2" w:space="0"/>
            </w:tcBorders>
            <w:vAlign w:val="center"/>
          </w:tcPr>
          <w:p w14:paraId="2BCCD601">
            <w:pPr>
              <w:spacing w:line="240" w:lineRule="exact"/>
              <w:jc w:val="right"/>
              <w:rPr>
                <w:rFonts w:ascii="宋体" w:hAnsi="宋体" w:eastAsia="宋体" w:cs="宋体"/>
                <w:sz w:val="18"/>
                <w:szCs w:val="18"/>
              </w:rPr>
            </w:pPr>
            <w:r>
              <w:rPr>
                <w:rFonts w:ascii="宋体" w:hAnsi="宋体" w:eastAsia="宋体" w:cs="宋体"/>
                <w:sz w:val="18"/>
                <w:szCs w:val="18"/>
              </w:rPr>
              <w:t>-4,427,808.27</w:t>
            </w:r>
          </w:p>
        </w:tc>
      </w:tr>
      <w:tr w14:paraId="705A9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ABBB55">
            <w:pPr>
              <w:spacing w:line="240" w:lineRule="exact"/>
              <w:rPr>
                <w:rFonts w:ascii="宋体" w:hAnsi="宋体" w:eastAsia="宋体" w:cs="宋体"/>
                <w:sz w:val="18"/>
                <w:szCs w:val="18"/>
              </w:rPr>
            </w:pPr>
            <w:r>
              <w:rPr>
                <w:rFonts w:ascii="宋体" w:hAnsi="宋体" w:eastAsia="宋体" w:cs="宋体"/>
                <w:sz w:val="18"/>
                <w:szCs w:val="18"/>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20D68F75">
            <w:pPr>
              <w:spacing w:line="240" w:lineRule="exact"/>
              <w:jc w:val="right"/>
              <w:rPr>
                <w:rFonts w:ascii="宋体" w:hAnsi="宋体" w:eastAsia="宋体" w:cs="宋体"/>
                <w:sz w:val="18"/>
                <w:szCs w:val="18"/>
              </w:rPr>
            </w:pPr>
            <w:r>
              <w:rPr>
                <w:rFonts w:ascii="宋体" w:hAnsi="宋体" w:eastAsia="宋体" w:cs="宋体"/>
                <w:sz w:val="18"/>
                <w:szCs w:val="18"/>
              </w:rPr>
              <w:t>44,793,423.56</w:t>
            </w:r>
          </w:p>
        </w:tc>
        <w:tc>
          <w:tcPr>
            <w:tcW w:w="3213" w:type="dxa"/>
            <w:tcBorders>
              <w:top w:val="single" w:color="auto" w:sz="2" w:space="0"/>
              <w:left w:val="single" w:color="auto" w:sz="2" w:space="0"/>
              <w:bottom w:val="single" w:color="auto" w:sz="2" w:space="0"/>
              <w:right w:val="single" w:color="auto" w:sz="2" w:space="0"/>
            </w:tcBorders>
            <w:vAlign w:val="center"/>
          </w:tcPr>
          <w:p w14:paraId="2EF992E9">
            <w:pPr>
              <w:spacing w:line="240" w:lineRule="exact"/>
              <w:jc w:val="right"/>
              <w:rPr>
                <w:rFonts w:ascii="宋体" w:hAnsi="宋体" w:eastAsia="宋体" w:cs="宋体"/>
                <w:sz w:val="18"/>
                <w:szCs w:val="18"/>
              </w:rPr>
            </w:pPr>
            <w:r>
              <w:rPr>
                <w:rFonts w:ascii="宋体" w:hAnsi="宋体" w:eastAsia="宋体" w:cs="宋体"/>
                <w:sz w:val="18"/>
                <w:szCs w:val="18"/>
              </w:rPr>
              <w:t>12,939,024.34</w:t>
            </w:r>
          </w:p>
        </w:tc>
      </w:tr>
      <w:tr w14:paraId="6AC76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89CA80">
            <w:pPr>
              <w:spacing w:line="240" w:lineRule="exact"/>
              <w:ind w:firstLine="180" w:firstLineChars="100"/>
              <w:rPr>
                <w:rFonts w:ascii="宋体" w:hAnsi="宋体" w:eastAsia="宋体" w:cs="宋体"/>
                <w:sz w:val="18"/>
                <w:szCs w:val="18"/>
              </w:rPr>
            </w:pPr>
            <w:r>
              <w:rPr>
                <w:rFonts w:ascii="宋体" w:hAnsi="宋体" w:eastAsia="宋体" w:cs="宋体"/>
                <w:sz w:val="18"/>
                <w:szCs w:val="18"/>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09F07D5">
            <w:pPr>
              <w:spacing w:line="240" w:lineRule="exact"/>
              <w:jc w:val="right"/>
              <w:rPr>
                <w:rFonts w:ascii="宋体" w:hAnsi="宋体" w:eastAsia="宋体" w:cs="宋体"/>
                <w:sz w:val="18"/>
                <w:szCs w:val="18"/>
              </w:rPr>
            </w:pPr>
            <w:r>
              <w:rPr>
                <w:rFonts w:ascii="宋体" w:hAnsi="宋体" w:eastAsia="宋体" w:cs="宋体"/>
                <w:sz w:val="18"/>
                <w:szCs w:val="18"/>
              </w:rPr>
              <w:t>44,793,423.56</w:t>
            </w:r>
          </w:p>
        </w:tc>
        <w:tc>
          <w:tcPr>
            <w:tcW w:w="3213" w:type="dxa"/>
            <w:tcBorders>
              <w:top w:val="single" w:color="auto" w:sz="2" w:space="0"/>
              <w:left w:val="single" w:color="auto" w:sz="2" w:space="0"/>
              <w:bottom w:val="single" w:color="auto" w:sz="2" w:space="0"/>
              <w:right w:val="single" w:color="auto" w:sz="2" w:space="0"/>
            </w:tcBorders>
            <w:vAlign w:val="center"/>
          </w:tcPr>
          <w:p w14:paraId="6BD20265">
            <w:pPr>
              <w:spacing w:line="240" w:lineRule="exact"/>
              <w:jc w:val="right"/>
              <w:rPr>
                <w:rFonts w:ascii="宋体" w:hAnsi="宋体" w:eastAsia="宋体" w:cs="宋体"/>
                <w:sz w:val="18"/>
                <w:szCs w:val="18"/>
              </w:rPr>
            </w:pPr>
            <w:r>
              <w:rPr>
                <w:rFonts w:ascii="宋体" w:hAnsi="宋体" w:eastAsia="宋体" w:cs="宋体"/>
                <w:sz w:val="18"/>
                <w:szCs w:val="18"/>
              </w:rPr>
              <w:t>12,939,024.34</w:t>
            </w:r>
          </w:p>
        </w:tc>
      </w:tr>
      <w:tr w14:paraId="0395D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7A374F">
            <w:pPr>
              <w:spacing w:line="240" w:lineRule="exact"/>
              <w:ind w:firstLine="180" w:firstLineChars="100"/>
              <w:rPr>
                <w:rFonts w:ascii="宋体" w:hAnsi="宋体" w:eastAsia="宋体" w:cs="宋体"/>
                <w:sz w:val="18"/>
                <w:szCs w:val="18"/>
              </w:rPr>
            </w:pPr>
            <w:r>
              <w:rPr>
                <w:rFonts w:ascii="宋体" w:hAnsi="宋体" w:eastAsia="宋体" w:cs="宋体"/>
                <w:sz w:val="18"/>
                <w:szCs w:val="18"/>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7E3017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9F9E4A5">
            <w:pPr>
              <w:spacing w:line="240" w:lineRule="exact"/>
              <w:jc w:val="right"/>
              <w:rPr>
                <w:rFonts w:ascii="宋体" w:hAnsi="宋体" w:eastAsia="宋体" w:cs="宋体"/>
                <w:sz w:val="18"/>
                <w:szCs w:val="18"/>
              </w:rPr>
            </w:pPr>
          </w:p>
        </w:tc>
      </w:tr>
      <w:tr w14:paraId="71CD3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8DA85A">
            <w:pPr>
              <w:spacing w:line="240" w:lineRule="exact"/>
              <w:rPr>
                <w:rFonts w:ascii="宋体" w:hAnsi="宋体" w:eastAsia="宋体" w:cs="宋体"/>
                <w:sz w:val="18"/>
                <w:szCs w:val="18"/>
              </w:rPr>
            </w:pPr>
            <w:r>
              <w:rPr>
                <w:rFonts w:ascii="宋体" w:hAnsi="宋体" w:eastAsia="宋体" w:cs="宋体"/>
                <w:sz w:val="18"/>
                <w:szCs w:val="18"/>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14:paraId="077FA258">
            <w:pPr>
              <w:spacing w:line="240" w:lineRule="exact"/>
              <w:jc w:val="right"/>
              <w:rPr>
                <w:rFonts w:ascii="宋体" w:hAnsi="宋体" w:eastAsia="宋体" w:cs="宋体"/>
                <w:sz w:val="18"/>
                <w:szCs w:val="18"/>
              </w:rPr>
            </w:pPr>
            <w:r>
              <w:rPr>
                <w:rFonts w:ascii="宋体" w:hAnsi="宋体" w:eastAsia="宋体" w:cs="宋体"/>
                <w:sz w:val="18"/>
                <w:szCs w:val="18"/>
              </w:rPr>
              <w:t>13,066,683.32</w:t>
            </w:r>
          </w:p>
        </w:tc>
        <w:tc>
          <w:tcPr>
            <w:tcW w:w="3213" w:type="dxa"/>
            <w:tcBorders>
              <w:top w:val="single" w:color="auto" w:sz="2" w:space="0"/>
              <w:left w:val="single" w:color="auto" w:sz="2" w:space="0"/>
              <w:bottom w:val="single" w:color="auto" w:sz="2" w:space="0"/>
              <w:right w:val="single" w:color="auto" w:sz="2" w:space="0"/>
            </w:tcBorders>
            <w:vAlign w:val="center"/>
          </w:tcPr>
          <w:p w14:paraId="47ABAC95">
            <w:pPr>
              <w:spacing w:line="240" w:lineRule="exact"/>
              <w:jc w:val="right"/>
              <w:rPr>
                <w:rFonts w:ascii="宋体" w:hAnsi="宋体" w:eastAsia="宋体" w:cs="宋体"/>
                <w:sz w:val="18"/>
                <w:szCs w:val="18"/>
              </w:rPr>
            </w:pPr>
            <w:r>
              <w:rPr>
                <w:rFonts w:ascii="宋体" w:hAnsi="宋体" w:eastAsia="宋体" w:cs="宋体"/>
                <w:sz w:val="18"/>
                <w:szCs w:val="18"/>
              </w:rPr>
              <w:t>19,827,320.21</w:t>
            </w:r>
          </w:p>
        </w:tc>
      </w:tr>
      <w:tr w14:paraId="71CED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9A1A48">
            <w:pPr>
              <w:spacing w:line="240" w:lineRule="exact"/>
              <w:ind w:firstLine="360" w:firstLineChars="200"/>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549F4FD7">
            <w:pPr>
              <w:spacing w:line="240" w:lineRule="exact"/>
              <w:jc w:val="right"/>
              <w:rPr>
                <w:rFonts w:ascii="宋体" w:hAnsi="宋体" w:eastAsia="宋体" w:cs="宋体"/>
                <w:sz w:val="18"/>
                <w:szCs w:val="18"/>
              </w:rPr>
            </w:pPr>
            <w:r>
              <w:rPr>
                <w:rFonts w:ascii="宋体" w:hAnsi="宋体" w:eastAsia="宋体" w:cs="宋体"/>
                <w:sz w:val="18"/>
                <w:szCs w:val="18"/>
              </w:rPr>
              <w:t>13,066,683.32</w:t>
            </w:r>
          </w:p>
        </w:tc>
        <w:tc>
          <w:tcPr>
            <w:tcW w:w="3213" w:type="dxa"/>
            <w:tcBorders>
              <w:top w:val="single" w:color="auto" w:sz="2" w:space="0"/>
              <w:left w:val="single" w:color="auto" w:sz="2" w:space="0"/>
              <w:bottom w:val="single" w:color="auto" w:sz="2" w:space="0"/>
              <w:right w:val="single" w:color="auto" w:sz="2" w:space="0"/>
            </w:tcBorders>
            <w:vAlign w:val="center"/>
          </w:tcPr>
          <w:p w14:paraId="7D836FDA">
            <w:pPr>
              <w:spacing w:line="240" w:lineRule="exact"/>
              <w:jc w:val="right"/>
              <w:rPr>
                <w:rFonts w:ascii="宋体" w:hAnsi="宋体" w:eastAsia="宋体" w:cs="宋体"/>
                <w:sz w:val="18"/>
                <w:szCs w:val="18"/>
              </w:rPr>
            </w:pPr>
            <w:r>
              <w:rPr>
                <w:rFonts w:ascii="宋体" w:hAnsi="宋体" w:eastAsia="宋体" w:cs="宋体"/>
                <w:sz w:val="18"/>
                <w:szCs w:val="18"/>
              </w:rPr>
              <w:t>19,827,320.21</w:t>
            </w:r>
          </w:p>
        </w:tc>
      </w:tr>
      <w:tr w14:paraId="5C41A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8B9E5A">
            <w:pPr>
              <w:spacing w:line="240" w:lineRule="exact"/>
              <w:ind w:firstLine="540" w:firstLineChars="300"/>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14:paraId="06A9F5A2">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3305650">
            <w:pPr>
              <w:spacing w:line="240" w:lineRule="exact"/>
              <w:jc w:val="right"/>
              <w:rPr>
                <w:rFonts w:ascii="宋体" w:hAnsi="宋体" w:eastAsia="宋体" w:cs="宋体"/>
                <w:sz w:val="18"/>
                <w:szCs w:val="18"/>
              </w:rPr>
            </w:pPr>
          </w:p>
        </w:tc>
      </w:tr>
      <w:tr w14:paraId="5F52A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9F2357">
            <w:pPr>
              <w:spacing w:line="240" w:lineRule="exact"/>
              <w:ind w:firstLine="540" w:firstLineChars="300"/>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7FCE2C12">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BA5AE3F">
            <w:pPr>
              <w:spacing w:line="240" w:lineRule="exact"/>
              <w:jc w:val="right"/>
              <w:rPr>
                <w:rFonts w:ascii="宋体" w:hAnsi="宋体" w:eastAsia="宋体" w:cs="宋体"/>
                <w:sz w:val="18"/>
                <w:szCs w:val="18"/>
              </w:rPr>
            </w:pPr>
          </w:p>
        </w:tc>
      </w:tr>
      <w:tr w14:paraId="311C3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6FD9AF">
            <w:pPr>
              <w:spacing w:line="240" w:lineRule="exact"/>
              <w:ind w:firstLine="540" w:firstLineChars="300"/>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0888DCD6">
            <w:pPr>
              <w:spacing w:line="240" w:lineRule="exact"/>
              <w:jc w:val="right"/>
              <w:rPr>
                <w:rFonts w:ascii="宋体" w:hAnsi="宋体" w:eastAsia="宋体" w:cs="宋体"/>
                <w:sz w:val="18"/>
                <w:szCs w:val="18"/>
              </w:rPr>
            </w:pPr>
            <w:r>
              <w:rPr>
                <w:rFonts w:ascii="宋体" w:hAnsi="宋体" w:eastAsia="宋体" w:cs="宋体"/>
                <w:sz w:val="18"/>
                <w:szCs w:val="18"/>
              </w:rPr>
              <w:t>13,066,683.32</w:t>
            </w:r>
          </w:p>
        </w:tc>
        <w:tc>
          <w:tcPr>
            <w:tcW w:w="3213" w:type="dxa"/>
            <w:tcBorders>
              <w:top w:val="single" w:color="auto" w:sz="2" w:space="0"/>
              <w:left w:val="single" w:color="auto" w:sz="2" w:space="0"/>
              <w:bottom w:val="single" w:color="auto" w:sz="2" w:space="0"/>
              <w:right w:val="single" w:color="auto" w:sz="2" w:space="0"/>
            </w:tcBorders>
            <w:vAlign w:val="center"/>
          </w:tcPr>
          <w:p w14:paraId="1AD29A7A">
            <w:pPr>
              <w:spacing w:line="240" w:lineRule="exact"/>
              <w:jc w:val="right"/>
              <w:rPr>
                <w:rFonts w:ascii="宋体" w:hAnsi="宋体" w:eastAsia="宋体" w:cs="宋体"/>
                <w:sz w:val="18"/>
                <w:szCs w:val="18"/>
              </w:rPr>
            </w:pPr>
            <w:r>
              <w:rPr>
                <w:rFonts w:ascii="宋体" w:hAnsi="宋体" w:eastAsia="宋体" w:cs="宋体"/>
                <w:sz w:val="18"/>
                <w:szCs w:val="18"/>
              </w:rPr>
              <w:t>3,024,640.88</w:t>
            </w:r>
          </w:p>
        </w:tc>
      </w:tr>
      <w:tr w14:paraId="63006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DD9F91">
            <w:pPr>
              <w:spacing w:line="240" w:lineRule="exact"/>
              <w:ind w:firstLine="540" w:firstLineChars="300"/>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4154D41F">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D1175DB">
            <w:pPr>
              <w:spacing w:line="240" w:lineRule="exact"/>
              <w:jc w:val="right"/>
              <w:rPr>
                <w:rFonts w:ascii="宋体" w:hAnsi="宋体" w:eastAsia="宋体" w:cs="宋体"/>
                <w:sz w:val="18"/>
                <w:szCs w:val="18"/>
              </w:rPr>
            </w:pPr>
          </w:p>
        </w:tc>
      </w:tr>
      <w:tr w14:paraId="4784F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E4F959">
            <w:pPr>
              <w:spacing w:line="240" w:lineRule="exact"/>
              <w:ind w:firstLine="540" w:firstLineChars="300"/>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14:paraId="33358888">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7D21AC6">
            <w:pPr>
              <w:spacing w:line="240" w:lineRule="exact"/>
              <w:jc w:val="right"/>
              <w:rPr>
                <w:rFonts w:ascii="宋体" w:hAnsi="宋体" w:eastAsia="宋体" w:cs="宋体"/>
                <w:sz w:val="18"/>
                <w:szCs w:val="18"/>
              </w:rPr>
            </w:pPr>
            <w:r>
              <w:rPr>
                <w:rFonts w:ascii="宋体" w:hAnsi="宋体" w:eastAsia="宋体" w:cs="宋体"/>
                <w:sz w:val="18"/>
                <w:szCs w:val="18"/>
              </w:rPr>
              <w:t>16,802,679.33</w:t>
            </w:r>
          </w:p>
        </w:tc>
      </w:tr>
      <w:tr w14:paraId="49538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4832A4">
            <w:pPr>
              <w:spacing w:line="240" w:lineRule="exact"/>
              <w:ind w:firstLine="360" w:firstLineChars="200"/>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7862BE17">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B426CA4">
            <w:pPr>
              <w:spacing w:line="240" w:lineRule="exact"/>
              <w:jc w:val="right"/>
              <w:rPr>
                <w:rFonts w:ascii="宋体" w:hAnsi="宋体" w:eastAsia="宋体" w:cs="宋体"/>
                <w:sz w:val="18"/>
                <w:szCs w:val="18"/>
              </w:rPr>
            </w:pPr>
          </w:p>
        </w:tc>
      </w:tr>
      <w:tr w14:paraId="6E126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904C8B">
            <w:pPr>
              <w:spacing w:line="240" w:lineRule="exact"/>
              <w:ind w:firstLine="540" w:firstLineChars="300"/>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67CF2784">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72CA71C">
            <w:pPr>
              <w:spacing w:line="240" w:lineRule="exact"/>
              <w:jc w:val="right"/>
              <w:rPr>
                <w:rFonts w:ascii="宋体" w:hAnsi="宋体" w:eastAsia="宋体" w:cs="宋体"/>
                <w:sz w:val="18"/>
                <w:szCs w:val="18"/>
              </w:rPr>
            </w:pPr>
          </w:p>
        </w:tc>
      </w:tr>
      <w:tr w14:paraId="7F4C0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53BF89">
            <w:pPr>
              <w:spacing w:line="240" w:lineRule="exact"/>
              <w:ind w:firstLine="540" w:firstLineChars="300"/>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122DB65C">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16A4C6C">
            <w:pPr>
              <w:spacing w:line="240" w:lineRule="exact"/>
              <w:jc w:val="right"/>
              <w:rPr>
                <w:rFonts w:ascii="宋体" w:hAnsi="宋体" w:eastAsia="宋体" w:cs="宋体"/>
                <w:sz w:val="18"/>
                <w:szCs w:val="18"/>
              </w:rPr>
            </w:pPr>
          </w:p>
        </w:tc>
      </w:tr>
      <w:tr w14:paraId="766D1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CE9001">
            <w:pPr>
              <w:spacing w:line="240" w:lineRule="exact"/>
              <w:ind w:firstLine="540" w:firstLineChars="300"/>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14:paraId="3C1AA0D9">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89C1723">
            <w:pPr>
              <w:spacing w:line="240" w:lineRule="exact"/>
              <w:jc w:val="right"/>
              <w:rPr>
                <w:rFonts w:ascii="宋体" w:hAnsi="宋体" w:eastAsia="宋体" w:cs="宋体"/>
                <w:sz w:val="18"/>
                <w:szCs w:val="18"/>
              </w:rPr>
            </w:pPr>
          </w:p>
        </w:tc>
      </w:tr>
      <w:tr w14:paraId="12B51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5D6178">
            <w:pPr>
              <w:spacing w:line="240" w:lineRule="exact"/>
              <w:ind w:firstLine="540" w:firstLineChars="300"/>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14:paraId="73E29D3C">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DB98D8A">
            <w:pPr>
              <w:spacing w:line="240" w:lineRule="exact"/>
              <w:jc w:val="right"/>
              <w:rPr>
                <w:rFonts w:ascii="宋体" w:hAnsi="宋体" w:eastAsia="宋体" w:cs="宋体"/>
                <w:sz w:val="18"/>
                <w:szCs w:val="18"/>
              </w:rPr>
            </w:pPr>
          </w:p>
        </w:tc>
      </w:tr>
      <w:tr w14:paraId="60DFD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DF9A30">
            <w:pPr>
              <w:spacing w:line="240" w:lineRule="exact"/>
              <w:ind w:firstLine="540" w:firstLineChars="300"/>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14:paraId="6BD64ED9">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2367BB5">
            <w:pPr>
              <w:spacing w:line="240" w:lineRule="exact"/>
              <w:jc w:val="right"/>
              <w:rPr>
                <w:rFonts w:ascii="宋体" w:hAnsi="宋体" w:eastAsia="宋体" w:cs="宋体"/>
                <w:sz w:val="18"/>
                <w:szCs w:val="18"/>
              </w:rPr>
            </w:pPr>
          </w:p>
        </w:tc>
      </w:tr>
      <w:tr w14:paraId="57FE7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F8EBA3">
            <w:pPr>
              <w:spacing w:line="240" w:lineRule="exact"/>
              <w:ind w:firstLine="540" w:firstLineChars="300"/>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14:paraId="36848287">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5B9F19E">
            <w:pPr>
              <w:spacing w:line="240" w:lineRule="exact"/>
              <w:jc w:val="right"/>
              <w:rPr>
                <w:rFonts w:ascii="宋体" w:hAnsi="宋体" w:eastAsia="宋体" w:cs="宋体"/>
                <w:sz w:val="18"/>
                <w:szCs w:val="18"/>
              </w:rPr>
            </w:pPr>
          </w:p>
        </w:tc>
      </w:tr>
      <w:tr w14:paraId="7643C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07E12B">
            <w:pPr>
              <w:spacing w:line="240" w:lineRule="exact"/>
              <w:ind w:firstLine="540" w:firstLineChars="300"/>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14:paraId="1FD44D8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EF5B4CE">
            <w:pPr>
              <w:spacing w:line="240" w:lineRule="exact"/>
              <w:jc w:val="right"/>
              <w:rPr>
                <w:rFonts w:ascii="宋体" w:hAnsi="宋体" w:eastAsia="宋体" w:cs="宋体"/>
                <w:sz w:val="18"/>
                <w:szCs w:val="18"/>
              </w:rPr>
            </w:pPr>
          </w:p>
        </w:tc>
      </w:tr>
      <w:tr w14:paraId="12C7E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90FA8C">
            <w:pPr>
              <w:spacing w:line="240" w:lineRule="exact"/>
              <w:rPr>
                <w:rFonts w:ascii="宋体" w:hAnsi="宋体" w:eastAsia="宋体" w:cs="宋体"/>
                <w:sz w:val="18"/>
                <w:szCs w:val="18"/>
              </w:rPr>
            </w:pPr>
            <w:r>
              <w:rPr>
                <w:rFonts w:ascii="宋体" w:hAnsi="宋体" w:eastAsia="宋体" w:cs="宋体"/>
                <w:sz w:val="18"/>
                <w:szCs w:val="18"/>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5BE9AE60">
            <w:pPr>
              <w:spacing w:line="240" w:lineRule="exact"/>
              <w:jc w:val="right"/>
              <w:rPr>
                <w:rFonts w:ascii="宋体" w:hAnsi="宋体" w:eastAsia="宋体" w:cs="宋体"/>
                <w:sz w:val="18"/>
                <w:szCs w:val="18"/>
              </w:rPr>
            </w:pPr>
            <w:r>
              <w:rPr>
                <w:rFonts w:ascii="宋体" w:hAnsi="宋体" w:eastAsia="宋体" w:cs="宋体"/>
                <w:sz w:val="18"/>
                <w:szCs w:val="18"/>
              </w:rPr>
              <w:t>57,860,106.88</w:t>
            </w:r>
          </w:p>
        </w:tc>
        <w:tc>
          <w:tcPr>
            <w:tcW w:w="3213" w:type="dxa"/>
            <w:tcBorders>
              <w:top w:val="single" w:color="auto" w:sz="2" w:space="0"/>
              <w:left w:val="single" w:color="auto" w:sz="2" w:space="0"/>
              <w:bottom w:val="single" w:color="auto" w:sz="2" w:space="0"/>
              <w:right w:val="single" w:color="auto" w:sz="2" w:space="0"/>
            </w:tcBorders>
            <w:vAlign w:val="center"/>
          </w:tcPr>
          <w:p w14:paraId="7B33A9E1">
            <w:pPr>
              <w:spacing w:line="240" w:lineRule="exact"/>
              <w:jc w:val="right"/>
              <w:rPr>
                <w:rFonts w:ascii="宋体" w:hAnsi="宋体" w:eastAsia="宋体" w:cs="宋体"/>
                <w:sz w:val="18"/>
                <w:szCs w:val="18"/>
              </w:rPr>
            </w:pPr>
            <w:r>
              <w:rPr>
                <w:rFonts w:ascii="宋体" w:hAnsi="宋体" w:eastAsia="宋体" w:cs="宋体"/>
                <w:sz w:val="18"/>
                <w:szCs w:val="18"/>
              </w:rPr>
              <w:t>32,766,344.55</w:t>
            </w:r>
          </w:p>
        </w:tc>
      </w:tr>
      <w:tr w14:paraId="7D70E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E87E31">
            <w:pPr>
              <w:spacing w:line="240" w:lineRule="exact"/>
              <w:rPr>
                <w:rFonts w:ascii="宋体" w:hAnsi="宋体" w:eastAsia="宋体" w:cs="宋体"/>
                <w:sz w:val="18"/>
                <w:szCs w:val="18"/>
              </w:rPr>
            </w:pPr>
            <w:r>
              <w:rPr>
                <w:rFonts w:ascii="宋体" w:hAnsi="宋体" w:eastAsia="宋体" w:cs="宋体"/>
                <w:sz w:val="18"/>
                <w:szCs w:val="18"/>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2B6DF2"/>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91B5AD"/>
        </w:tc>
      </w:tr>
      <w:tr w14:paraId="3C11A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FAFD18">
            <w:pPr>
              <w:spacing w:line="240" w:lineRule="exact"/>
              <w:ind w:firstLine="180" w:firstLineChars="100"/>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0D38A79E">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3F0D8ED">
            <w:pPr>
              <w:spacing w:line="240" w:lineRule="exact"/>
              <w:jc w:val="right"/>
              <w:rPr>
                <w:rFonts w:ascii="宋体" w:hAnsi="宋体" w:eastAsia="宋体" w:cs="宋体"/>
                <w:sz w:val="18"/>
                <w:szCs w:val="18"/>
              </w:rPr>
            </w:pPr>
          </w:p>
        </w:tc>
      </w:tr>
      <w:tr w14:paraId="56515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044345">
            <w:pPr>
              <w:spacing w:line="240" w:lineRule="exact"/>
              <w:ind w:firstLine="180" w:firstLineChars="100"/>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14:paraId="38379B93">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5E03207">
            <w:pPr>
              <w:spacing w:line="240" w:lineRule="exact"/>
              <w:jc w:val="right"/>
              <w:rPr>
                <w:rFonts w:ascii="宋体" w:hAnsi="宋体" w:eastAsia="宋体" w:cs="宋体"/>
                <w:sz w:val="18"/>
                <w:szCs w:val="18"/>
              </w:rPr>
            </w:pPr>
          </w:p>
        </w:tc>
      </w:tr>
    </w:tbl>
    <w:p w14:paraId="05656F59">
      <w:pPr>
        <w:pStyle w:val="3"/>
        <w:spacing w:line="280" w:lineRule="exact"/>
        <w:jc w:val="left"/>
        <w:rPr>
          <w:rFonts w:ascii="宋体" w:hAnsi="宋体" w:cs="宋体"/>
          <w:b/>
          <w:bCs/>
        </w:rPr>
      </w:pPr>
      <w:bookmarkStart w:id="165" w:name="_Toc989051"/>
      <w:r>
        <w:rPr>
          <w:rFonts w:ascii="宋体" w:hAnsi="宋体" w:cs="宋体"/>
          <w:b/>
          <w:bCs/>
        </w:rPr>
        <w:t>5、合并现金流量表</w:t>
      </w:r>
      <w:bookmarkEnd w:id="165"/>
    </w:p>
    <w:p w14:paraId="493592A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C562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374859">
            <w:pPr>
              <w:spacing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0BFA58">
            <w:pPr>
              <w:spacing w:line="240" w:lineRule="exact"/>
              <w:jc w:val="center"/>
              <w:rPr>
                <w:rFonts w:ascii="宋体" w:hAnsi="宋体" w:eastAsia="宋体" w:cs="宋体"/>
                <w:sz w:val="18"/>
                <w:szCs w:val="18"/>
              </w:rPr>
            </w:pPr>
            <w:r>
              <w:rPr>
                <w:rFonts w:ascii="宋体" w:hAnsi="宋体" w:eastAsia="宋体" w:cs="宋体"/>
                <w:sz w:val="18"/>
                <w:szCs w:val="18"/>
              </w:rPr>
              <w:t>2025年度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E73730">
            <w:pPr>
              <w:spacing w:line="240" w:lineRule="exact"/>
              <w:jc w:val="center"/>
              <w:rPr>
                <w:rFonts w:ascii="宋体" w:hAnsi="宋体" w:eastAsia="宋体" w:cs="宋体"/>
                <w:sz w:val="18"/>
                <w:szCs w:val="18"/>
              </w:rPr>
            </w:pPr>
            <w:r>
              <w:rPr>
                <w:rFonts w:ascii="宋体" w:hAnsi="宋体" w:eastAsia="宋体" w:cs="宋体"/>
                <w:sz w:val="18"/>
                <w:szCs w:val="18"/>
              </w:rPr>
              <w:t>2024年度</w:t>
            </w:r>
          </w:p>
        </w:tc>
      </w:tr>
      <w:tr w14:paraId="22B40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875E82">
            <w:pPr>
              <w:spacing w:line="240" w:lineRule="exac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0481E2"/>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361991"/>
        </w:tc>
      </w:tr>
      <w:tr w14:paraId="3636F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C64C52">
            <w:pPr>
              <w:spacing w:line="240" w:lineRule="exact"/>
              <w:ind w:firstLine="180" w:firstLineChars="100"/>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788A49A2">
            <w:pPr>
              <w:spacing w:line="240" w:lineRule="exact"/>
              <w:jc w:val="right"/>
              <w:rPr>
                <w:rFonts w:ascii="宋体" w:hAnsi="宋体" w:eastAsia="宋体" w:cs="宋体"/>
                <w:sz w:val="18"/>
                <w:szCs w:val="18"/>
              </w:rPr>
            </w:pPr>
            <w:r>
              <w:rPr>
                <w:rFonts w:ascii="宋体" w:hAnsi="宋体" w:eastAsia="宋体" w:cs="宋体"/>
                <w:sz w:val="18"/>
                <w:szCs w:val="18"/>
              </w:rPr>
              <w:t>9,033,880,267.74</w:t>
            </w:r>
          </w:p>
        </w:tc>
        <w:tc>
          <w:tcPr>
            <w:tcW w:w="3213" w:type="dxa"/>
            <w:tcBorders>
              <w:top w:val="single" w:color="auto" w:sz="2" w:space="0"/>
              <w:left w:val="single" w:color="auto" w:sz="2" w:space="0"/>
              <w:bottom w:val="single" w:color="auto" w:sz="2" w:space="0"/>
              <w:right w:val="single" w:color="auto" w:sz="2" w:space="0"/>
            </w:tcBorders>
            <w:vAlign w:val="center"/>
          </w:tcPr>
          <w:p w14:paraId="6312D2F9">
            <w:pPr>
              <w:spacing w:line="240" w:lineRule="exact"/>
              <w:jc w:val="right"/>
              <w:rPr>
                <w:rFonts w:ascii="宋体" w:hAnsi="宋体" w:eastAsia="宋体" w:cs="宋体"/>
                <w:sz w:val="18"/>
                <w:szCs w:val="18"/>
              </w:rPr>
            </w:pPr>
            <w:r>
              <w:rPr>
                <w:rFonts w:ascii="宋体" w:hAnsi="宋体" w:eastAsia="宋体" w:cs="宋体"/>
                <w:sz w:val="18"/>
                <w:szCs w:val="18"/>
              </w:rPr>
              <w:t>11,374,599,041.28</w:t>
            </w:r>
          </w:p>
        </w:tc>
      </w:tr>
      <w:tr w14:paraId="5C54E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0A2823">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242A0D7E">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2723D83">
            <w:pPr>
              <w:spacing w:line="240" w:lineRule="exact"/>
              <w:jc w:val="right"/>
              <w:rPr>
                <w:rFonts w:ascii="宋体" w:hAnsi="宋体" w:eastAsia="宋体" w:cs="宋体"/>
                <w:sz w:val="18"/>
                <w:szCs w:val="18"/>
              </w:rPr>
            </w:pPr>
          </w:p>
        </w:tc>
      </w:tr>
      <w:tr w14:paraId="48B92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C3F171">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7ECDCD9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05E50D6">
            <w:pPr>
              <w:spacing w:line="240" w:lineRule="exact"/>
              <w:jc w:val="right"/>
              <w:rPr>
                <w:rFonts w:ascii="宋体" w:hAnsi="宋体" w:eastAsia="宋体" w:cs="宋体"/>
                <w:sz w:val="18"/>
                <w:szCs w:val="18"/>
              </w:rPr>
            </w:pPr>
          </w:p>
        </w:tc>
      </w:tr>
      <w:tr w14:paraId="5604C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E8D83F">
            <w:pPr>
              <w:spacing w:line="240" w:lineRule="exact"/>
              <w:ind w:firstLine="180" w:firstLineChars="100"/>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29F03DF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2DC8158">
            <w:pPr>
              <w:spacing w:line="240" w:lineRule="exact"/>
              <w:jc w:val="right"/>
              <w:rPr>
                <w:rFonts w:ascii="宋体" w:hAnsi="宋体" w:eastAsia="宋体" w:cs="宋体"/>
                <w:sz w:val="18"/>
                <w:szCs w:val="18"/>
              </w:rPr>
            </w:pPr>
          </w:p>
        </w:tc>
      </w:tr>
      <w:tr w14:paraId="0C40A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687204">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14:paraId="4246AD0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2369083">
            <w:pPr>
              <w:spacing w:line="240" w:lineRule="exact"/>
              <w:jc w:val="right"/>
              <w:rPr>
                <w:rFonts w:ascii="宋体" w:hAnsi="宋体" w:eastAsia="宋体" w:cs="宋体"/>
                <w:sz w:val="18"/>
                <w:szCs w:val="18"/>
              </w:rPr>
            </w:pPr>
          </w:p>
        </w:tc>
      </w:tr>
      <w:tr w14:paraId="5EF73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130BDA">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23AB5D52">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6A7169F">
            <w:pPr>
              <w:spacing w:line="240" w:lineRule="exact"/>
              <w:jc w:val="right"/>
              <w:rPr>
                <w:rFonts w:ascii="宋体" w:hAnsi="宋体" w:eastAsia="宋体" w:cs="宋体"/>
                <w:sz w:val="18"/>
                <w:szCs w:val="18"/>
              </w:rPr>
            </w:pPr>
          </w:p>
        </w:tc>
      </w:tr>
      <w:tr w14:paraId="6F093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BB02E5">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73409216">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8284179">
            <w:pPr>
              <w:spacing w:line="240" w:lineRule="exact"/>
              <w:jc w:val="right"/>
              <w:rPr>
                <w:rFonts w:ascii="宋体" w:hAnsi="宋体" w:eastAsia="宋体" w:cs="宋体"/>
                <w:sz w:val="18"/>
                <w:szCs w:val="18"/>
              </w:rPr>
            </w:pPr>
          </w:p>
        </w:tc>
      </w:tr>
      <w:tr w14:paraId="602D7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5DA73E">
            <w:pPr>
              <w:spacing w:line="240" w:lineRule="exact"/>
              <w:ind w:firstLine="180" w:firstLineChars="100"/>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14:paraId="1D08C01D">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87E8D16">
            <w:pPr>
              <w:spacing w:line="240" w:lineRule="exact"/>
              <w:jc w:val="right"/>
              <w:rPr>
                <w:rFonts w:ascii="宋体" w:hAnsi="宋体" w:eastAsia="宋体" w:cs="宋体"/>
                <w:sz w:val="18"/>
                <w:szCs w:val="18"/>
              </w:rPr>
            </w:pPr>
          </w:p>
        </w:tc>
      </w:tr>
      <w:tr w14:paraId="5E76D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5D8395">
            <w:pPr>
              <w:spacing w:line="240" w:lineRule="exact"/>
              <w:ind w:firstLine="180" w:firstLineChars="100"/>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46773A1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182E58A">
            <w:pPr>
              <w:spacing w:line="240" w:lineRule="exact"/>
              <w:jc w:val="right"/>
              <w:rPr>
                <w:rFonts w:ascii="宋体" w:hAnsi="宋体" w:eastAsia="宋体" w:cs="宋体"/>
                <w:sz w:val="18"/>
                <w:szCs w:val="18"/>
              </w:rPr>
            </w:pPr>
          </w:p>
        </w:tc>
      </w:tr>
      <w:tr w14:paraId="48C00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C78935">
            <w:pPr>
              <w:spacing w:line="240" w:lineRule="exact"/>
              <w:ind w:firstLine="180" w:firstLineChars="100"/>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29E9343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C29AB05">
            <w:pPr>
              <w:spacing w:line="240" w:lineRule="exact"/>
              <w:jc w:val="right"/>
              <w:rPr>
                <w:rFonts w:ascii="宋体" w:hAnsi="宋体" w:eastAsia="宋体" w:cs="宋体"/>
                <w:sz w:val="18"/>
                <w:szCs w:val="18"/>
              </w:rPr>
            </w:pPr>
          </w:p>
        </w:tc>
      </w:tr>
      <w:tr w14:paraId="530AE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B077D3">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359B14FE">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B2E843F">
            <w:pPr>
              <w:spacing w:line="240" w:lineRule="exact"/>
              <w:jc w:val="right"/>
              <w:rPr>
                <w:rFonts w:ascii="宋体" w:hAnsi="宋体" w:eastAsia="宋体" w:cs="宋体"/>
                <w:sz w:val="18"/>
                <w:szCs w:val="18"/>
              </w:rPr>
            </w:pPr>
          </w:p>
        </w:tc>
      </w:tr>
      <w:tr w14:paraId="2997E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229409">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14:paraId="5FD43697">
            <w:pPr>
              <w:spacing w:line="240" w:lineRule="exact"/>
              <w:jc w:val="right"/>
              <w:rPr>
                <w:rFonts w:ascii="宋体" w:hAnsi="宋体" w:eastAsia="宋体" w:cs="宋体"/>
                <w:sz w:val="18"/>
                <w:szCs w:val="18"/>
              </w:rPr>
            </w:pPr>
            <w:r>
              <w:rPr>
                <w:rFonts w:ascii="宋体" w:hAnsi="宋体" w:eastAsia="宋体" w:cs="宋体"/>
                <w:sz w:val="18"/>
                <w:szCs w:val="18"/>
              </w:rPr>
              <w:t>334,826.87</w:t>
            </w:r>
          </w:p>
        </w:tc>
        <w:tc>
          <w:tcPr>
            <w:tcW w:w="3213" w:type="dxa"/>
            <w:tcBorders>
              <w:top w:val="single" w:color="auto" w:sz="2" w:space="0"/>
              <w:left w:val="single" w:color="auto" w:sz="2" w:space="0"/>
              <w:bottom w:val="single" w:color="auto" w:sz="2" w:space="0"/>
              <w:right w:val="single" w:color="auto" w:sz="2" w:space="0"/>
            </w:tcBorders>
            <w:vAlign w:val="center"/>
          </w:tcPr>
          <w:p w14:paraId="4F391DC8">
            <w:pPr>
              <w:spacing w:line="240" w:lineRule="exact"/>
              <w:jc w:val="right"/>
              <w:rPr>
                <w:rFonts w:ascii="宋体" w:hAnsi="宋体" w:eastAsia="宋体" w:cs="宋体"/>
                <w:sz w:val="18"/>
                <w:szCs w:val="18"/>
              </w:rPr>
            </w:pPr>
            <w:r>
              <w:rPr>
                <w:rFonts w:ascii="宋体" w:hAnsi="宋体" w:eastAsia="宋体" w:cs="宋体"/>
                <w:sz w:val="18"/>
                <w:szCs w:val="18"/>
              </w:rPr>
              <w:t>2,715,464.57</w:t>
            </w:r>
          </w:p>
        </w:tc>
      </w:tr>
      <w:tr w14:paraId="42A44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7C1ED7">
            <w:pPr>
              <w:spacing w:line="240" w:lineRule="exact"/>
              <w:ind w:firstLine="180" w:firstLineChars="100"/>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12C14602">
            <w:pPr>
              <w:spacing w:line="240" w:lineRule="exact"/>
              <w:jc w:val="right"/>
              <w:rPr>
                <w:rFonts w:ascii="宋体" w:hAnsi="宋体" w:eastAsia="宋体" w:cs="宋体"/>
                <w:sz w:val="18"/>
                <w:szCs w:val="18"/>
              </w:rPr>
            </w:pPr>
            <w:r>
              <w:rPr>
                <w:rFonts w:ascii="宋体" w:hAnsi="宋体" w:eastAsia="宋体" w:cs="宋体"/>
                <w:sz w:val="18"/>
                <w:szCs w:val="18"/>
              </w:rPr>
              <w:t>513,986,701.75</w:t>
            </w:r>
          </w:p>
        </w:tc>
        <w:tc>
          <w:tcPr>
            <w:tcW w:w="3213" w:type="dxa"/>
            <w:tcBorders>
              <w:top w:val="single" w:color="auto" w:sz="2" w:space="0"/>
              <w:left w:val="single" w:color="auto" w:sz="2" w:space="0"/>
              <w:bottom w:val="single" w:color="auto" w:sz="2" w:space="0"/>
              <w:right w:val="single" w:color="auto" w:sz="2" w:space="0"/>
            </w:tcBorders>
            <w:vAlign w:val="center"/>
          </w:tcPr>
          <w:p w14:paraId="0A2C2928">
            <w:pPr>
              <w:spacing w:line="240" w:lineRule="exact"/>
              <w:jc w:val="right"/>
              <w:rPr>
                <w:rFonts w:ascii="宋体" w:hAnsi="宋体" w:eastAsia="宋体" w:cs="宋体"/>
                <w:sz w:val="18"/>
                <w:szCs w:val="18"/>
              </w:rPr>
            </w:pPr>
            <w:r>
              <w:rPr>
                <w:rFonts w:ascii="宋体" w:hAnsi="宋体" w:eastAsia="宋体" w:cs="宋体"/>
                <w:sz w:val="18"/>
                <w:szCs w:val="18"/>
              </w:rPr>
              <w:t>476,295,398.78</w:t>
            </w:r>
          </w:p>
        </w:tc>
      </w:tr>
      <w:tr w14:paraId="18550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EFB5F9">
            <w:pPr>
              <w:spacing w:line="240" w:lineRule="exac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50EB5167">
            <w:pPr>
              <w:spacing w:line="240" w:lineRule="exact"/>
              <w:jc w:val="right"/>
              <w:rPr>
                <w:rFonts w:ascii="宋体" w:hAnsi="宋体" w:eastAsia="宋体" w:cs="宋体"/>
                <w:sz w:val="18"/>
                <w:szCs w:val="18"/>
              </w:rPr>
            </w:pPr>
            <w:r>
              <w:rPr>
                <w:rFonts w:ascii="宋体" w:hAnsi="宋体" w:eastAsia="宋体" w:cs="宋体"/>
                <w:sz w:val="18"/>
                <w:szCs w:val="18"/>
              </w:rPr>
              <w:t>9,548,201,796.36</w:t>
            </w:r>
          </w:p>
        </w:tc>
        <w:tc>
          <w:tcPr>
            <w:tcW w:w="3213" w:type="dxa"/>
            <w:tcBorders>
              <w:top w:val="single" w:color="auto" w:sz="2" w:space="0"/>
              <w:left w:val="single" w:color="auto" w:sz="2" w:space="0"/>
              <w:bottom w:val="single" w:color="auto" w:sz="2" w:space="0"/>
              <w:right w:val="single" w:color="auto" w:sz="2" w:space="0"/>
            </w:tcBorders>
            <w:vAlign w:val="center"/>
          </w:tcPr>
          <w:p w14:paraId="614BAF2F">
            <w:pPr>
              <w:spacing w:line="240" w:lineRule="exact"/>
              <w:jc w:val="right"/>
              <w:rPr>
                <w:rFonts w:ascii="宋体" w:hAnsi="宋体" w:eastAsia="宋体" w:cs="宋体"/>
                <w:sz w:val="18"/>
                <w:szCs w:val="18"/>
              </w:rPr>
            </w:pPr>
            <w:r>
              <w:rPr>
                <w:rFonts w:ascii="宋体" w:hAnsi="宋体" w:eastAsia="宋体" w:cs="宋体"/>
                <w:sz w:val="18"/>
                <w:szCs w:val="18"/>
              </w:rPr>
              <w:t>11,853,609,904.63</w:t>
            </w:r>
          </w:p>
        </w:tc>
      </w:tr>
      <w:tr w14:paraId="5EF42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9BC1B4">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786EF742">
            <w:pPr>
              <w:spacing w:line="240" w:lineRule="exact"/>
              <w:jc w:val="right"/>
              <w:rPr>
                <w:rFonts w:ascii="宋体" w:hAnsi="宋体" w:eastAsia="宋体" w:cs="宋体"/>
                <w:sz w:val="18"/>
                <w:szCs w:val="18"/>
              </w:rPr>
            </w:pPr>
            <w:r>
              <w:rPr>
                <w:rFonts w:ascii="宋体" w:hAnsi="宋体" w:eastAsia="宋体" w:cs="宋体"/>
                <w:sz w:val="18"/>
                <w:szCs w:val="18"/>
              </w:rPr>
              <w:t>6,566,943,535.74</w:t>
            </w:r>
          </w:p>
        </w:tc>
        <w:tc>
          <w:tcPr>
            <w:tcW w:w="3213" w:type="dxa"/>
            <w:tcBorders>
              <w:top w:val="single" w:color="auto" w:sz="2" w:space="0"/>
              <w:left w:val="single" w:color="auto" w:sz="2" w:space="0"/>
              <w:bottom w:val="single" w:color="auto" w:sz="2" w:space="0"/>
              <w:right w:val="single" w:color="auto" w:sz="2" w:space="0"/>
            </w:tcBorders>
            <w:vAlign w:val="center"/>
          </w:tcPr>
          <w:p w14:paraId="7AA8BB04">
            <w:pPr>
              <w:spacing w:line="240" w:lineRule="exact"/>
              <w:jc w:val="right"/>
              <w:rPr>
                <w:rFonts w:ascii="宋体" w:hAnsi="宋体" w:eastAsia="宋体" w:cs="宋体"/>
                <w:sz w:val="18"/>
                <w:szCs w:val="18"/>
              </w:rPr>
            </w:pPr>
            <w:r>
              <w:rPr>
                <w:rFonts w:ascii="宋体" w:hAnsi="宋体" w:eastAsia="宋体" w:cs="宋体"/>
                <w:sz w:val="18"/>
                <w:szCs w:val="18"/>
              </w:rPr>
              <w:t>10,239,208,646.01</w:t>
            </w:r>
          </w:p>
        </w:tc>
      </w:tr>
      <w:tr w14:paraId="6D7E4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4A3B36">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753B283D">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4F4F5E9">
            <w:pPr>
              <w:spacing w:line="240" w:lineRule="exact"/>
              <w:jc w:val="right"/>
              <w:rPr>
                <w:rFonts w:ascii="宋体" w:hAnsi="宋体" w:eastAsia="宋体" w:cs="宋体"/>
                <w:sz w:val="18"/>
                <w:szCs w:val="18"/>
              </w:rPr>
            </w:pPr>
          </w:p>
        </w:tc>
      </w:tr>
      <w:tr w14:paraId="039CB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3FD0C5">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1B0EA39D">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B8BDE7C">
            <w:pPr>
              <w:spacing w:line="240" w:lineRule="exact"/>
              <w:jc w:val="right"/>
              <w:rPr>
                <w:rFonts w:ascii="宋体" w:hAnsi="宋体" w:eastAsia="宋体" w:cs="宋体"/>
                <w:sz w:val="18"/>
                <w:szCs w:val="18"/>
              </w:rPr>
            </w:pPr>
          </w:p>
        </w:tc>
      </w:tr>
      <w:tr w14:paraId="18940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D5D4E3">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14:paraId="47AC0A13">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E834022">
            <w:pPr>
              <w:spacing w:line="240" w:lineRule="exact"/>
              <w:jc w:val="right"/>
              <w:rPr>
                <w:rFonts w:ascii="宋体" w:hAnsi="宋体" w:eastAsia="宋体" w:cs="宋体"/>
                <w:sz w:val="18"/>
                <w:szCs w:val="18"/>
              </w:rPr>
            </w:pPr>
          </w:p>
        </w:tc>
      </w:tr>
      <w:tr w14:paraId="17D45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6FB48F">
            <w:pPr>
              <w:spacing w:line="240" w:lineRule="exact"/>
              <w:ind w:firstLine="180" w:firstLineChars="100"/>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44C43AE6">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9863325">
            <w:pPr>
              <w:spacing w:line="240" w:lineRule="exact"/>
              <w:jc w:val="right"/>
              <w:rPr>
                <w:rFonts w:ascii="宋体" w:hAnsi="宋体" w:eastAsia="宋体" w:cs="宋体"/>
                <w:sz w:val="18"/>
                <w:szCs w:val="18"/>
              </w:rPr>
            </w:pPr>
          </w:p>
        </w:tc>
      </w:tr>
      <w:tr w14:paraId="00EFB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3B60D9">
            <w:pPr>
              <w:spacing w:line="240" w:lineRule="exact"/>
              <w:ind w:firstLine="180" w:firstLineChars="100"/>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14:paraId="1E337BB7">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915C9A3">
            <w:pPr>
              <w:spacing w:line="240" w:lineRule="exact"/>
              <w:jc w:val="right"/>
              <w:rPr>
                <w:rFonts w:ascii="宋体" w:hAnsi="宋体" w:eastAsia="宋体" w:cs="宋体"/>
                <w:sz w:val="18"/>
                <w:szCs w:val="18"/>
              </w:rPr>
            </w:pPr>
          </w:p>
        </w:tc>
      </w:tr>
      <w:tr w14:paraId="19BD6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51C681">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14:paraId="6D4E07CC">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3A76C55">
            <w:pPr>
              <w:spacing w:line="240" w:lineRule="exact"/>
              <w:jc w:val="right"/>
              <w:rPr>
                <w:rFonts w:ascii="宋体" w:hAnsi="宋体" w:eastAsia="宋体" w:cs="宋体"/>
                <w:sz w:val="18"/>
                <w:szCs w:val="18"/>
              </w:rPr>
            </w:pPr>
          </w:p>
        </w:tc>
      </w:tr>
      <w:tr w14:paraId="31130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B39EF3">
            <w:pPr>
              <w:spacing w:line="240" w:lineRule="exact"/>
              <w:ind w:firstLine="180" w:firstLineChars="100"/>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2FAAB56B">
            <w:pPr>
              <w:spacing w:line="240" w:lineRule="exact"/>
              <w:jc w:val="right"/>
              <w:rPr>
                <w:rFonts w:ascii="宋体" w:hAnsi="宋体" w:eastAsia="宋体" w:cs="宋体"/>
                <w:sz w:val="18"/>
                <w:szCs w:val="18"/>
              </w:rPr>
            </w:pPr>
            <w:r>
              <w:rPr>
                <w:rFonts w:ascii="宋体" w:hAnsi="宋体" w:eastAsia="宋体" w:cs="宋体"/>
                <w:sz w:val="18"/>
                <w:szCs w:val="18"/>
              </w:rPr>
              <w:t>847,522,149.51</w:t>
            </w:r>
          </w:p>
        </w:tc>
        <w:tc>
          <w:tcPr>
            <w:tcW w:w="3213" w:type="dxa"/>
            <w:tcBorders>
              <w:top w:val="single" w:color="auto" w:sz="2" w:space="0"/>
              <w:left w:val="single" w:color="auto" w:sz="2" w:space="0"/>
              <w:bottom w:val="single" w:color="auto" w:sz="2" w:space="0"/>
              <w:right w:val="single" w:color="auto" w:sz="2" w:space="0"/>
            </w:tcBorders>
            <w:vAlign w:val="center"/>
          </w:tcPr>
          <w:p w14:paraId="742D3E71">
            <w:pPr>
              <w:spacing w:line="240" w:lineRule="exact"/>
              <w:jc w:val="right"/>
              <w:rPr>
                <w:rFonts w:ascii="宋体" w:hAnsi="宋体" w:eastAsia="宋体" w:cs="宋体"/>
                <w:sz w:val="18"/>
                <w:szCs w:val="18"/>
              </w:rPr>
            </w:pPr>
            <w:r>
              <w:rPr>
                <w:rFonts w:ascii="宋体" w:hAnsi="宋体" w:eastAsia="宋体" w:cs="宋体"/>
                <w:sz w:val="18"/>
                <w:szCs w:val="18"/>
              </w:rPr>
              <w:t>831,853,372.13</w:t>
            </w:r>
          </w:p>
        </w:tc>
      </w:tr>
      <w:tr w14:paraId="30B35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B1667D">
            <w:pPr>
              <w:spacing w:line="240" w:lineRule="exact"/>
              <w:ind w:firstLine="180" w:firstLineChars="100"/>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14:paraId="6BD48C15">
            <w:pPr>
              <w:spacing w:line="240" w:lineRule="exact"/>
              <w:jc w:val="right"/>
              <w:rPr>
                <w:rFonts w:ascii="宋体" w:hAnsi="宋体" w:eastAsia="宋体" w:cs="宋体"/>
                <w:sz w:val="18"/>
                <w:szCs w:val="18"/>
              </w:rPr>
            </w:pPr>
            <w:r>
              <w:rPr>
                <w:rFonts w:ascii="宋体" w:hAnsi="宋体" w:eastAsia="宋体" w:cs="宋体"/>
                <w:sz w:val="18"/>
                <w:szCs w:val="18"/>
              </w:rPr>
              <w:t>293,943,622.73</w:t>
            </w:r>
          </w:p>
        </w:tc>
        <w:tc>
          <w:tcPr>
            <w:tcW w:w="3213" w:type="dxa"/>
            <w:tcBorders>
              <w:top w:val="single" w:color="auto" w:sz="2" w:space="0"/>
              <w:left w:val="single" w:color="auto" w:sz="2" w:space="0"/>
              <w:bottom w:val="single" w:color="auto" w:sz="2" w:space="0"/>
              <w:right w:val="single" w:color="auto" w:sz="2" w:space="0"/>
            </w:tcBorders>
            <w:vAlign w:val="center"/>
          </w:tcPr>
          <w:p w14:paraId="7F1C3CF1">
            <w:pPr>
              <w:spacing w:line="240" w:lineRule="exact"/>
              <w:jc w:val="right"/>
              <w:rPr>
                <w:rFonts w:ascii="宋体" w:hAnsi="宋体" w:eastAsia="宋体" w:cs="宋体"/>
                <w:sz w:val="18"/>
                <w:szCs w:val="18"/>
              </w:rPr>
            </w:pPr>
            <w:r>
              <w:rPr>
                <w:rFonts w:ascii="宋体" w:hAnsi="宋体" w:eastAsia="宋体" w:cs="宋体"/>
                <w:sz w:val="18"/>
                <w:szCs w:val="18"/>
              </w:rPr>
              <w:t>207,799,022.07</w:t>
            </w:r>
          </w:p>
        </w:tc>
      </w:tr>
      <w:tr w14:paraId="4AAE1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3663B3">
            <w:pPr>
              <w:spacing w:line="240" w:lineRule="exact"/>
              <w:ind w:firstLine="180" w:firstLineChars="100"/>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07CAE07C">
            <w:pPr>
              <w:spacing w:line="240" w:lineRule="exact"/>
              <w:jc w:val="right"/>
              <w:rPr>
                <w:rFonts w:ascii="宋体" w:hAnsi="宋体" w:eastAsia="宋体" w:cs="宋体"/>
                <w:sz w:val="18"/>
                <w:szCs w:val="18"/>
              </w:rPr>
            </w:pPr>
            <w:r>
              <w:rPr>
                <w:rFonts w:ascii="宋体" w:hAnsi="宋体" w:eastAsia="宋体" w:cs="宋体"/>
                <w:sz w:val="18"/>
                <w:szCs w:val="18"/>
              </w:rPr>
              <w:t>370,931,796.53</w:t>
            </w:r>
          </w:p>
        </w:tc>
        <w:tc>
          <w:tcPr>
            <w:tcW w:w="3213" w:type="dxa"/>
            <w:tcBorders>
              <w:top w:val="single" w:color="auto" w:sz="2" w:space="0"/>
              <w:left w:val="single" w:color="auto" w:sz="2" w:space="0"/>
              <w:bottom w:val="single" w:color="auto" w:sz="2" w:space="0"/>
              <w:right w:val="single" w:color="auto" w:sz="2" w:space="0"/>
            </w:tcBorders>
            <w:vAlign w:val="center"/>
          </w:tcPr>
          <w:p w14:paraId="5FC43F2A">
            <w:pPr>
              <w:spacing w:line="240" w:lineRule="exact"/>
              <w:jc w:val="right"/>
              <w:rPr>
                <w:rFonts w:ascii="宋体" w:hAnsi="宋体" w:eastAsia="宋体" w:cs="宋体"/>
                <w:sz w:val="18"/>
                <w:szCs w:val="18"/>
              </w:rPr>
            </w:pPr>
            <w:r>
              <w:rPr>
                <w:rFonts w:ascii="宋体" w:hAnsi="宋体" w:eastAsia="宋体" w:cs="宋体"/>
                <w:sz w:val="18"/>
                <w:szCs w:val="18"/>
              </w:rPr>
              <w:t>302,534,429.03</w:t>
            </w:r>
          </w:p>
        </w:tc>
      </w:tr>
      <w:tr w14:paraId="5BB83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39CBA7">
            <w:pPr>
              <w:spacing w:line="240" w:lineRule="exac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56CB9BC2">
            <w:pPr>
              <w:spacing w:line="240" w:lineRule="exact"/>
              <w:jc w:val="right"/>
              <w:rPr>
                <w:rFonts w:ascii="宋体" w:hAnsi="宋体" w:eastAsia="宋体" w:cs="宋体"/>
                <w:sz w:val="18"/>
                <w:szCs w:val="18"/>
              </w:rPr>
            </w:pPr>
            <w:r>
              <w:rPr>
                <w:rFonts w:ascii="宋体" w:hAnsi="宋体" w:eastAsia="宋体" w:cs="宋体"/>
                <w:sz w:val="18"/>
                <w:szCs w:val="18"/>
              </w:rPr>
              <w:t>8,079,341,104.51</w:t>
            </w:r>
          </w:p>
        </w:tc>
        <w:tc>
          <w:tcPr>
            <w:tcW w:w="3213" w:type="dxa"/>
            <w:tcBorders>
              <w:top w:val="single" w:color="auto" w:sz="2" w:space="0"/>
              <w:left w:val="single" w:color="auto" w:sz="2" w:space="0"/>
              <w:bottom w:val="single" w:color="auto" w:sz="2" w:space="0"/>
              <w:right w:val="single" w:color="auto" w:sz="2" w:space="0"/>
            </w:tcBorders>
            <w:vAlign w:val="center"/>
          </w:tcPr>
          <w:p w14:paraId="70B3B4B3">
            <w:pPr>
              <w:spacing w:line="240" w:lineRule="exact"/>
              <w:jc w:val="right"/>
              <w:rPr>
                <w:rFonts w:ascii="宋体" w:hAnsi="宋体" w:eastAsia="宋体" w:cs="宋体"/>
                <w:sz w:val="18"/>
                <w:szCs w:val="18"/>
              </w:rPr>
            </w:pPr>
            <w:r>
              <w:rPr>
                <w:rFonts w:ascii="宋体" w:hAnsi="宋体" w:eastAsia="宋体" w:cs="宋体"/>
                <w:sz w:val="18"/>
                <w:szCs w:val="18"/>
              </w:rPr>
              <w:t>11,581,395,469.24</w:t>
            </w:r>
          </w:p>
        </w:tc>
      </w:tr>
      <w:tr w14:paraId="29E1F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CA0004">
            <w:pPr>
              <w:spacing w:line="240" w:lineRule="exac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37595038">
            <w:pPr>
              <w:spacing w:line="240" w:lineRule="exact"/>
              <w:jc w:val="right"/>
              <w:rPr>
                <w:rFonts w:ascii="宋体" w:hAnsi="宋体" w:eastAsia="宋体" w:cs="宋体"/>
                <w:sz w:val="18"/>
                <w:szCs w:val="18"/>
              </w:rPr>
            </w:pPr>
            <w:r>
              <w:rPr>
                <w:rFonts w:ascii="宋体" w:hAnsi="宋体" w:eastAsia="宋体" w:cs="宋体"/>
                <w:sz w:val="18"/>
                <w:szCs w:val="18"/>
              </w:rPr>
              <w:t>1,468,860,691.85</w:t>
            </w:r>
          </w:p>
        </w:tc>
        <w:tc>
          <w:tcPr>
            <w:tcW w:w="3213" w:type="dxa"/>
            <w:tcBorders>
              <w:top w:val="single" w:color="auto" w:sz="2" w:space="0"/>
              <w:left w:val="single" w:color="auto" w:sz="2" w:space="0"/>
              <w:bottom w:val="single" w:color="auto" w:sz="2" w:space="0"/>
              <w:right w:val="single" w:color="auto" w:sz="2" w:space="0"/>
            </w:tcBorders>
            <w:vAlign w:val="center"/>
          </w:tcPr>
          <w:p w14:paraId="0076093D">
            <w:pPr>
              <w:spacing w:line="240" w:lineRule="exact"/>
              <w:jc w:val="right"/>
              <w:rPr>
                <w:rFonts w:ascii="宋体" w:hAnsi="宋体" w:eastAsia="宋体" w:cs="宋体"/>
                <w:sz w:val="18"/>
                <w:szCs w:val="18"/>
              </w:rPr>
            </w:pPr>
            <w:r>
              <w:rPr>
                <w:rFonts w:ascii="宋体" w:hAnsi="宋体" w:eastAsia="宋体" w:cs="宋体"/>
                <w:sz w:val="18"/>
                <w:szCs w:val="18"/>
              </w:rPr>
              <w:t>272,214,435.39</w:t>
            </w:r>
          </w:p>
        </w:tc>
      </w:tr>
      <w:tr w14:paraId="53AA1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32F8CA">
            <w:pPr>
              <w:spacing w:line="240" w:lineRule="exac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CAA0A7"/>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0B61E7"/>
        </w:tc>
      </w:tr>
      <w:tr w14:paraId="4E68C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3DD45A">
            <w:pPr>
              <w:spacing w:line="240" w:lineRule="exact"/>
              <w:ind w:firstLine="180" w:firstLineChars="100"/>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4628E054">
            <w:pPr>
              <w:spacing w:line="240" w:lineRule="exact"/>
              <w:jc w:val="right"/>
              <w:rPr>
                <w:rFonts w:ascii="宋体" w:hAnsi="宋体" w:eastAsia="宋体" w:cs="宋体"/>
                <w:sz w:val="18"/>
                <w:szCs w:val="18"/>
              </w:rPr>
            </w:pPr>
            <w:r>
              <w:rPr>
                <w:rFonts w:ascii="宋体" w:hAnsi="宋体" w:eastAsia="宋体" w:cs="宋体"/>
                <w:sz w:val="18"/>
                <w:szCs w:val="18"/>
              </w:rPr>
              <w:t>2,386,013,607.11</w:t>
            </w:r>
          </w:p>
        </w:tc>
        <w:tc>
          <w:tcPr>
            <w:tcW w:w="3213" w:type="dxa"/>
            <w:tcBorders>
              <w:top w:val="single" w:color="auto" w:sz="2" w:space="0"/>
              <w:left w:val="single" w:color="auto" w:sz="2" w:space="0"/>
              <w:bottom w:val="single" w:color="auto" w:sz="2" w:space="0"/>
              <w:right w:val="single" w:color="auto" w:sz="2" w:space="0"/>
            </w:tcBorders>
            <w:vAlign w:val="center"/>
          </w:tcPr>
          <w:p w14:paraId="48859209">
            <w:pPr>
              <w:spacing w:line="240" w:lineRule="exact"/>
              <w:jc w:val="right"/>
              <w:rPr>
                <w:rFonts w:ascii="宋体" w:hAnsi="宋体" w:eastAsia="宋体" w:cs="宋体"/>
                <w:sz w:val="18"/>
                <w:szCs w:val="18"/>
              </w:rPr>
            </w:pPr>
            <w:r>
              <w:rPr>
                <w:rFonts w:ascii="宋体" w:hAnsi="宋体" w:eastAsia="宋体" w:cs="宋体"/>
                <w:sz w:val="18"/>
                <w:szCs w:val="18"/>
              </w:rPr>
              <w:t>617,547,817.34</w:t>
            </w:r>
          </w:p>
        </w:tc>
      </w:tr>
      <w:tr w14:paraId="2FB55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02E2AD">
            <w:pPr>
              <w:spacing w:line="240" w:lineRule="exact"/>
              <w:ind w:firstLine="180" w:firstLineChars="100"/>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4763127B">
            <w:pPr>
              <w:spacing w:line="240" w:lineRule="exact"/>
              <w:jc w:val="right"/>
              <w:rPr>
                <w:rFonts w:ascii="宋体" w:hAnsi="宋体" w:eastAsia="宋体" w:cs="宋体"/>
                <w:sz w:val="18"/>
                <w:szCs w:val="18"/>
              </w:rPr>
            </w:pPr>
            <w:r>
              <w:rPr>
                <w:rFonts w:ascii="宋体" w:hAnsi="宋体" w:eastAsia="宋体" w:cs="宋体"/>
                <w:sz w:val="18"/>
                <w:szCs w:val="18"/>
              </w:rPr>
              <w:t>66,671,433.16</w:t>
            </w:r>
          </w:p>
        </w:tc>
        <w:tc>
          <w:tcPr>
            <w:tcW w:w="3213" w:type="dxa"/>
            <w:tcBorders>
              <w:top w:val="single" w:color="auto" w:sz="2" w:space="0"/>
              <w:left w:val="single" w:color="auto" w:sz="2" w:space="0"/>
              <w:bottom w:val="single" w:color="auto" w:sz="2" w:space="0"/>
              <w:right w:val="single" w:color="auto" w:sz="2" w:space="0"/>
            </w:tcBorders>
            <w:vAlign w:val="center"/>
          </w:tcPr>
          <w:p w14:paraId="5D75DD30">
            <w:pPr>
              <w:spacing w:line="240" w:lineRule="exact"/>
              <w:jc w:val="right"/>
              <w:rPr>
                <w:rFonts w:ascii="宋体" w:hAnsi="宋体" w:eastAsia="宋体" w:cs="宋体"/>
                <w:sz w:val="18"/>
                <w:szCs w:val="18"/>
              </w:rPr>
            </w:pPr>
            <w:r>
              <w:rPr>
                <w:rFonts w:ascii="宋体" w:hAnsi="宋体" w:eastAsia="宋体" w:cs="宋体"/>
                <w:sz w:val="18"/>
                <w:szCs w:val="18"/>
              </w:rPr>
              <w:t>23,394,273.75</w:t>
            </w:r>
          </w:p>
        </w:tc>
      </w:tr>
      <w:tr w14:paraId="32F54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DFC0D5">
            <w:pPr>
              <w:spacing w:line="240" w:lineRule="exact"/>
              <w:ind w:firstLine="180" w:firstLineChars="100"/>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772F1F2D">
            <w:pPr>
              <w:spacing w:line="240" w:lineRule="exact"/>
              <w:jc w:val="right"/>
              <w:rPr>
                <w:rFonts w:ascii="宋体" w:hAnsi="宋体" w:eastAsia="宋体" w:cs="宋体"/>
                <w:sz w:val="18"/>
                <w:szCs w:val="18"/>
              </w:rPr>
            </w:pPr>
            <w:r>
              <w:rPr>
                <w:rFonts w:ascii="宋体" w:hAnsi="宋体" w:eastAsia="宋体" w:cs="宋体"/>
                <w:sz w:val="18"/>
                <w:szCs w:val="18"/>
              </w:rPr>
              <w:t>188,250,566.94</w:t>
            </w:r>
          </w:p>
        </w:tc>
        <w:tc>
          <w:tcPr>
            <w:tcW w:w="3213" w:type="dxa"/>
            <w:tcBorders>
              <w:top w:val="single" w:color="auto" w:sz="2" w:space="0"/>
              <w:left w:val="single" w:color="auto" w:sz="2" w:space="0"/>
              <w:bottom w:val="single" w:color="auto" w:sz="2" w:space="0"/>
              <w:right w:val="single" w:color="auto" w:sz="2" w:space="0"/>
            </w:tcBorders>
            <w:vAlign w:val="center"/>
          </w:tcPr>
          <w:p w14:paraId="55EFBD2A">
            <w:pPr>
              <w:spacing w:line="240" w:lineRule="exact"/>
              <w:jc w:val="right"/>
              <w:rPr>
                <w:rFonts w:ascii="宋体" w:hAnsi="宋体" w:eastAsia="宋体" w:cs="宋体"/>
                <w:sz w:val="18"/>
                <w:szCs w:val="18"/>
              </w:rPr>
            </w:pPr>
            <w:r>
              <w:rPr>
                <w:rFonts w:ascii="宋体" w:hAnsi="宋体" w:eastAsia="宋体" w:cs="宋体"/>
                <w:sz w:val="18"/>
                <w:szCs w:val="18"/>
              </w:rPr>
              <w:t>81,471,848.12</w:t>
            </w:r>
          </w:p>
        </w:tc>
      </w:tr>
      <w:tr w14:paraId="7763E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94F41D">
            <w:pPr>
              <w:spacing w:line="240" w:lineRule="exact"/>
              <w:ind w:firstLine="180" w:firstLineChars="100"/>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3A6BA05D">
            <w:pPr>
              <w:spacing w:line="240" w:lineRule="exact"/>
              <w:jc w:val="right"/>
              <w:rPr>
                <w:rFonts w:ascii="宋体" w:hAnsi="宋体" w:eastAsia="宋体" w:cs="宋体"/>
                <w:sz w:val="18"/>
                <w:szCs w:val="18"/>
              </w:rPr>
            </w:pPr>
            <w:r>
              <w:rPr>
                <w:rFonts w:ascii="宋体" w:hAnsi="宋体" w:eastAsia="宋体" w:cs="宋体"/>
                <w:sz w:val="18"/>
                <w:szCs w:val="18"/>
              </w:rPr>
              <w:t>8,500,000.00</w:t>
            </w:r>
          </w:p>
        </w:tc>
        <w:tc>
          <w:tcPr>
            <w:tcW w:w="3213" w:type="dxa"/>
            <w:tcBorders>
              <w:top w:val="single" w:color="auto" w:sz="2" w:space="0"/>
              <w:left w:val="single" w:color="auto" w:sz="2" w:space="0"/>
              <w:bottom w:val="single" w:color="auto" w:sz="2" w:space="0"/>
              <w:right w:val="single" w:color="auto" w:sz="2" w:space="0"/>
            </w:tcBorders>
            <w:vAlign w:val="center"/>
          </w:tcPr>
          <w:p w14:paraId="1D6971D2">
            <w:pPr>
              <w:spacing w:line="240" w:lineRule="exact"/>
              <w:jc w:val="right"/>
              <w:rPr>
                <w:rFonts w:ascii="宋体" w:hAnsi="宋体" w:eastAsia="宋体" w:cs="宋体"/>
                <w:sz w:val="18"/>
                <w:szCs w:val="18"/>
              </w:rPr>
            </w:pPr>
            <w:r>
              <w:rPr>
                <w:rFonts w:ascii="宋体" w:hAnsi="宋体" w:eastAsia="宋体" w:cs="宋体"/>
                <w:sz w:val="18"/>
                <w:szCs w:val="18"/>
              </w:rPr>
              <w:t>4,791,831.36</w:t>
            </w:r>
          </w:p>
        </w:tc>
      </w:tr>
      <w:tr w14:paraId="5F245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BFC7A8">
            <w:pPr>
              <w:spacing w:line="240" w:lineRule="exact"/>
              <w:ind w:firstLine="180" w:firstLineChars="100"/>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7E1B1104">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4C28363">
            <w:pPr>
              <w:spacing w:line="240" w:lineRule="exact"/>
              <w:jc w:val="right"/>
              <w:rPr>
                <w:rFonts w:ascii="宋体" w:hAnsi="宋体" w:eastAsia="宋体" w:cs="宋体"/>
                <w:sz w:val="18"/>
                <w:szCs w:val="18"/>
              </w:rPr>
            </w:pPr>
          </w:p>
        </w:tc>
      </w:tr>
      <w:tr w14:paraId="302DB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EC92D6">
            <w:pPr>
              <w:spacing w:line="240" w:lineRule="exac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1BEAF741">
            <w:pPr>
              <w:spacing w:line="240" w:lineRule="exact"/>
              <w:jc w:val="right"/>
              <w:rPr>
                <w:rFonts w:ascii="宋体" w:hAnsi="宋体" w:eastAsia="宋体" w:cs="宋体"/>
                <w:sz w:val="18"/>
                <w:szCs w:val="18"/>
              </w:rPr>
            </w:pPr>
            <w:r>
              <w:rPr>
                <w:rFonts w:ascii="宋体" w:hAnsi="宋体" w:eastAsia="宋体" w:cs="宋体"/>
                <w:sz w:val="18"/>
                <w:szCs w:val="18"/>
              </w:rPr>
              <w:t>2,649,435,607.21</w:t>
            </w:r>
          </w:p>
        </w:tc>
        <w:tc>
          <w:tcPr>
            <w:tcW w:w="3213" w:type="dxa"/>
            <w:tcBorders>
              <w:top w:val="single" w:color="auto" w:sz="2" w:space="0"/>
              <w:left w:val="single" w:color="auto" w:sz="2" w:space="0"/>
              <w:bottom w:val="single" w:color="auto" w:sz="2" w:space="0"/>
              <w:right w:val="single" w:color="auto" w:sz="2" w:space="0"/>
            </w:tcBorders>
            <w:vAlign w:val="center"/>
          </w:tcPr>
          <w:p w14:paraId="37F57187">
            <w:pPr>
              <w:spacing w:line="240" w:lineRule="exact"/>
              <w:jc w:val="right"/>
              <w:rPr>
                <w:rFonts w:ascii="宋体" w:hAnsi="宋体" w:eastAsia="宋体" w:cs="宋体"/>
                <w:sz w:val="18"/>
                <w:szCs w:val="18"/>
              </w:rPr>
            </w:pPr>
            <w:r>
              <w:rPr>
                <w:rFonts w:ascii="宋体" w:hAnsi="宋体" w:eastAsia="宋体" w:cs="宋体"/>
                <w:sz w:val="18"/>
                <w:szCs w:val="18"/>
              </w:rPr>
              <w:t>727,205,770.57</w:t>
            </w:r>
          </w:p>
        </w:tc>
      </w:tr>
      <w:tr w14:paraId="3F82C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21520A">
            <w:pPr>
              <w:spacing w:line="240" w:lineRule="exact"/>
              <w:ind w:firstLine="180" w:firstLineChars="100"/>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7270E6B2">
            <w:pPr>
              <w:spacing w:line="240" w:lineRule="exact"/>
              <w:jc w:val="right"/>
              <w:rPr>
                <w:rFonts w:ascii="宋体" w:hAnsi="宋体" w:eastAsia="宋体" w:cs="宋体"/>
                <w:sz w:val="18"/>
                <w:szCs w:val="18"/>
              </w:rPr>
            </w:pPr>
            <w:r>
              <w:rPr>
                <w:rFonts w:ascii="宋体" w:hAnsi="宋体" w:eastAsia="宋体" w:cs="宋体"/>
                <w:sz w:val="18"/>
                <w:szCs w:val="18"/>
              </w:rPr>
              <w:t>714,337,848.13</w:t>
            </w:r>
          </w:p>
        </w:tc>
        <w:tc>
          <w:tcPr>
            <w:tcW w:w="3213" w:type="dxa"/>
            <w:tcBorders>
              <w:top w:val="single" w:color="auto" w:sz="2" w:space="0"/>
              <w:left w:val="single" w:color="auto" w:sz="2" w:space="0"/>
              <w:bottom w:val="single" w:color="auto" w:sz="2" w:space="0"/>
              <w:right w:val="single" w:color="auto" w:sz="2" w:space="0"/>
            </w:tcBorders>
            <w:vAlign w:val="center"/>
          </w:tcPr>
          <w:p w14:paraId="384B2E54">
            <w:pPr>
              <w:spacing w:line="240" w:lineRule="exact"/>
              <w:jc w:val="right"/>
              <w:rPr>
                <w:rFonts w:ascii="宋体" w:hAnsi="宋体" w:eastAsia="宋体" w:cs="宋体"/>
                <w:sz w:val="18"/>
                <w:szCs w:val="18"/>
              </w:rPr>
            </w:pPr>
            <w:r>
              <w:rPr>
                <w:rFonts w:ascii="宋体" w:hAnsi="宋体" w:eastAsia="宋体" w:cs="宋体"/>
                <w:sz w:val="18"/>
                <w:szCs w:val="18"/>
              </w:rPr>
              <w:t>775,016,507.04</w:t>
            </w:r>
          </w:p>
        </w:tc>
      </w:tr>
      <w:tr w14:paraId="72751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8B7DB9">
            <w:pPr>
              <w:spacing w:line="240" w:lineRule="exact"/>
              <w:ind w:firstLine="180" w:firstLineChars="100"/>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6EE15EFA">
            <w:pPr>
              <w:spacing w:line="240" w:lineRule="exact"/>
              <w:jc w:val="right"/>
              <w:rPr>
                <w:rFonts w:ascii="宋体" w:hAnsi="宋体" w:eastAsia="宋体" w:cs="宋体"/>
                <w:sz w:val="18"/>
                <w:szCs w:val="18"/>
              </w:rPr>
            </w:pPr>
            <w:r>
              <w:rPr>
                <w:rFonts w:ascii="宋体" w:hAnsi="宋体" w:eastAsia="宋体" w:cs="宋体"/>
                <w:sz w:val="18"/>
                <w:szCs w:val="18"/>
              </w:rPr>
              <w:t>2,404,464,464.81</w:t>
            </w:r>
          </w:p>
        </w:tc>
        <w:tc>
          <w:tcPr>
            <w:tcW w:w="3213" w:type="dxa"/>
            <w:tcBorders>
              <w:top w:val="single" w:color="auto" w:sz="2" w:space="0"/>
              <w:left w:val="single" w:color="auto" w:sz="2" w:space="0"/>
              <w:bottom w:val="single" w:color="auto" w:sz="2" w:space="0"/>
              <w:right w:val="single" w:color="auto" w:sz="2" w:space="0"/>
            </w:tcBorders>
            <w:vAlign w:val="center"/>
          </w:tcPr>
          <w:p w14:paraId="1E04B75B">
            <w:pPr>
              <w:spacing w:line="240" w:lineRule="exact"/>
              <w:jc w:val="right"/>
              <w:rPr>
                <w:rFonts w:ascii="宋体" w:hAnsi="宋体" w:eastAsia="宋体" w:cs="宋体"/>
                <w:sz w:val="18"/>
                <w:szCs w:val="18"/>
              </w:rPr>
            </w:pPr>
            <w:r>
              <w:rPr>
                <w:rFonts w:ascii="宋体" w:hAnsi="宋体" w:eastAsia="宋体" w:cs="宋体"/>
                <w:sz w:val="18"/>
                <w:szCs w:val="18"/>
              </w:rPr>
              <w:t>615,951,986.38</w:t>
            </w:r>
          </w:p>
        </w:tc>
      </w:tr>
      <w:tr w14:paraId="15D08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D6C97B">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6CAF5E1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FFFAA66">
            <w:pPr>
              <w:spacing w:line="240" w:lineRule="exact"/>
              <w:jc w:val="right"/>
              <w:rPr>
                <w:rFonts w:ascii="宋体" w:hAnsi="宋体" w:eastAsia="宋体" w:cs="宋体"/>
                <w:sz w:val="18"/>
                <w:szCs w:val="18"/>
              </w:rPr>
            </w:pPr>
          </w:p>
        </w:tc>
      </w:tr>
      <w:tr w14:paraId="070BD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8E4ACD">
            <w:pPr>
              <w:spacing w:line="240" w:lineRule="exact"/>
              <w:ind w:firstLine="180" w:firstLineChars="100"/>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34A8ABB9">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8E89CB1">
            <w:pPr>
              <w:spacing w:line="240" w:lineRule="exact"/>
              <w:jc w:val="right"/>
              <w:rPr>
                <w:rFonts w:ascii="宋体" w:hAnsi="宋体" w:eastAsia="宋体" w:cs="宋体"/>
                <w:sz w:val="18"/>
                <w:szCs w:val="18"/>
              </w:rPr>
            </w:pPr>
          </w:p>
        </w:tc>
      </w:tr>
      <w:tr w14:paraId="4808D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65763C">
            <w:pPr>
              <w:spacing w:line="240" w:lineRule="exact"/>
              <w:ind w:firstLine="180" w:firstLineChars="100"/>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5EEC9D83">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B0E067D">
            <w:pPr>
              <w:spacing w:line="240" w:lineRule="exact"/>
              <w:jc w:val="right"/>
              <w:rPr>
                <w:rFonts w:ascii="宋体" w:hAnsi="宋体" w:eastAsia="宋体" w:cs="宋体"/>
                <w:sz w:val="18"/>
                <w:szCs w:val="18"/>
              </w:rPr>
            </w:pPr>
          </w:p>
        </w:tc>
      </w:tr>
      <w:tr w14:paraId="7EF5B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AB97BA">
            <w:pPr>
              <w:spacing w:line="240" w:lineRule="exac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4DBAD33D">
            <w:pPr>
              <w:spacing w:line="240" w:lineRule="exact"/>
              <w:jc w:val="right"/>
              <w:rPr>
                <w:rFonts w:ascii="宋体" w:hAnsi="宋体" w:eastAsia="宋体" w:cs="宋体"/>
                <w:sz w:val="18"/>
                <w:szCs w:val="18"/>
              </w:rPr>
            </w:pPr>
            <w:r>
              <w:rPr>
                <w:rFonts w:ascii="宋体" w:hAnsi="宋体" w:eastAsia="宋体" w:cs="宋体"/>
                <w:sz w:val="18"/>
                <w:szCs w:val="18"/>
              </w:rPr>
              <w:t>3,118,802,312.94</w:t>
            </w:r>
          </w:p>
        </w:tc>
        <w:tc>
          <w:tcPr>
            <w:tcW w:w="3213" w:type="dxa"/>
            <w:tcBorders>
              <w:top w:val="single" w:color="auto" w:sz="2" w:space="0"/>
              <w:left w:val="single" w:color="auto" w:sz="2" w:space="0"/>
              <w:bottom w:val="single" w:color="auto" w:sz="2" w:space="0"/>
              <w:right w:val="single" w:color="auto" w:sz="2" w:space="0"/>
            </w:tcBorders>
            <w:vAlign w:val="center"/>
          </w:tcPr>
          <w:p w14:paraId="04F6ABDC">
            <w:pPr>
              <w:spacing w:line="240" w:lineRule="exact"/>
              <w:jc w:val="right"/>
              <w:rPr>
                <w:rFonts w:ascii="宋体" w:hAnsi="宋体" w:eastAsia="宋体" w:cs="宋体"/>
                <w:sz w:val="18"/>
                <w:szCs w:val="18"/>
              </w:rPr>
            </w:pPr>
            <w:r>
              <w:rPr>
                <w:rFonts w:ascii="宋体" w:hAnsi="宋体" w:eastAsia="宋体" w:cs="宋体"/>
                <w:sz w:val="18"/>
                <w:szCs w:val="18"/>
              </w:rPr>
              <w:t>1,390,968,493.42</w:t>
            </w:r>
          </w:p>
        </w:tc>
      </w:tr>
      <w:tr w14:paraId="7FCBE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99CAAC">
            <w:pPr>
              <w:spacing w:line="240" w:lineRule="exac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0FAC85E0">
            <w:pPr>
              <w:spacing w:line="240" w:lineRule="exact"/>
              <w:jc w:val="right"/>
              <w:rPr>
                <w:rFonts w:ascii="宋体" w:hAnsi="宋体" w:eastAsia="宋体" w:cs="宋体"/>
                <w:sz w:val="18"/>
                <w:szCs w:val="18"/>
              </w:rPr>
            </w:pPr>
            <w:r>
              <w:rPr>
                <w:rFonts w:ascii="宋体" w:hAnsi="宋体" w:eastAsia="宋体" w:cs="宋体"/>
                <w:sz w:val="18"/>
                <w:szCs w:val="18"/>
              </w:rPr>
              <w:t>-469,366,705.73</w:t>
            </w:r>
          </w:p>
        </w:tc>
        <w:tc>
          <w:tcPr>
            <w:tcW w:w="3213" w:type="dxa"/>
            <w:tcBorders>
              <w:top w:val="single" w:color="auto" w:sz="2" w:space="0"/>
              <w:left w:val="single" w:color="auto" w:sz="2" w:space="0"/>
              <w:bottom w:val="single" w:color="auto" w:sz="2" w:space="0"/>
              <w:right w:val="single" w:color="auto" w:sz="2" w:space="0"/>
            </w:tcBorders>
            <w:vAlign w:val="center"/>
          </w:tcPr>
          <w:p w14:paraId="5105A9DC">
            <w:pPr>
              <w:spacing w:line="240" w:lineRule="exact"/>
              <w:jc w:val="right"/>
              <w:rPr>
                <w:rFonts w:ascii="宋体" w:hAnsi="宋体" w:eastAsia="宋体" w:cs="宋体"/>
                <w:sz w:val="18"/>
                <w:szCs w:val="18"/>
              </w:rPr>
            </w:pPr>
            <w:r>
              <w:rPr>
                <w:rFonts w:ascii="宋体" w:hAnsi="宋体" w:eastAsia="宋体" w:cs="宋体"/>
                <w:sz w:val="18"/>
                <w:szCs w:val="18"/>
              </w:rPr>
              <w:t>-663,762,722.85</w:t>
            </w:r>
          </w:p>
        </w:tc>
      </w:tr>
      <w:tr w14:paraId="68010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B5F0523">
            <w:pPr>
              <w:spacing w:line="240" w:lineRule="exac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543074"/>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57FC6C"/>
        </w:tc>
      </w:tr>
      <w:tr w14:paraId="1644D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9CF3BE">
            <w:pPr>
              <w:spacing w:line="240" w:lineRule="exact"/>
              <w:ind w:firstLine="180" w:firstLineChars="100"/>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54A237FC">
            <w:pPr>
              <w:spacing w:line="240" w:lineRule="exact"/>
              <w:jc w:val="right"/>
              <w:rPr>
                <w:rFonts w:ascii="宋体" w:hAnsi="宋体" w:eastAsia="宋体" w:cs="宋体"/>
                <w:sz w:val="18"/>
                <w:szCs w:val="18"/>
              </w:rPr>
            </w:pPr>
            <w:r>
              <w:rPr>
                <w:rFonts w:ascii="宋体" w:hAnsi="宋体" w:eastAsia="宋体" w:cs="宋体"/>
                <w:sz w:val="18"/>
                <w:szCs w:val="18"/>
              </w:rPr>
              <w:t>25,000,000.00</w:t>
            </w:r>
          </w:p>
        </w:tc>
        <w:tc>
          <w:tcPr>
            <w:tcW w:w="3213" w:type="dxa"/>
            <w:tcBorders>
              <w:top w:val="single" w:color="auto" w:sz="2" w:space="0"/>
              <w:left w:val="single" w:color="auto" w:sz="2" w:space="0"/>
              <w:bottom w:val="single" w:color="auto" w:sz="2" w:space="0"/>
              <w:right w:val="single" w:color="auto" w:sz="2" w:space="0"/>
            </w:tcBorders>
            <w:vAlign w:val="center"/>
          </w:tcPr>
          <w:p w14:paraId="30D1C199">
            <w:pPr>
              <w:spacing w:line="240" w:lineRule="exact"/>
              <w:jc w:val="right"/>
              <w:rPr>
                <w:rFonts w:ascii="宋体" w:hAnsi="宋体" w:eastAsia="宋体" w:cs="宋体"/>
                <w:sz w:val="18"/>
                <w:szCs w:val="18"/>
              </w:rPr>
            </w:pPr>
            <w:r>
              <w:rPr>
                <w:rFonts w:ascii="宋体" w:hAnsi="宋体" w:eastAsia="宋体" w:cs="宋体"/>
                <w:sz w:val="18"/>
                <w:szCs w:val="18"/>
              </w:rPr>
              <w:t>4,900,000.00</w:t>
            </w:r>
          </w:p>
        </w:tc>
      </w:tr>
      <w:tr w14:paraId="6F173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FF441E">
            <w:pPr>
              <w:spacing w:line="240" w:lineRule="exact"/>
              <w:ind w:firstLine="180" w:firstLineChars="100"/>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1D0141E1">
            <w:pPr>
              <w:spacing w:line="240" w:lineRule="exact"/>
              <w:jc w:val="right"/>
              <w:rPr>
                <w:rFonts w:ascii="宋体" w:hAnsi="宋体" w:eastAsia="宋体" w:cs="宋体"/>
                <w:sz w:val="18"/>
                <w:szCs w:val="18"/>
              </w:rPr>
            </w:pPr>
            <w:r>
              <w:rPr>
                <w:rFonts w:ascii="宋体" w:hAnsi="宋体" w:eastAsia="宋体" w:cs="宋体"/>
                <w:sz w:val="18"/>
                <w:szCs w:val="18"/>
              </w:rPr>
              <w:t>25,000,000.00</w:t>
            </w:r>
          </w:p>
        </w:tc>
        <w:tc>
          <w:tcPr>
            <w:tcW w:w="3213" w:type="dxa"/>
            <w:tcBorders>
              <w:top w:val="single" w:color="auto" w:sz="2" w:space="0"/>
              <w:left w:val="single" w:color="auto" w:sz="2" w:space="0"/>
              <w:bottom w:val="single" w:color="auto" w:sz="2" w:space="0"/>
              <w:right w:val="single" w:color="auto" w:sz="2" w:space="0"/>
            </w:tcBorders>
            <w:vAlign w:val="center"/>
          </w:tcPr>
          <w:p w14:paraId="2F7355D7">
            <w:pPr>
              <w:spacing w:line="240" w:lineRule="exact"/>
              <w:jc w:val="right"/>
              <w:rPr>
                <w:rFonts w:ascii="宋体" w:hAnsi="宋体" w:eastAsia="宋体" w:cs="宋体"/>
                <w:sz w:val="18"/>
                <w:szCs w:val="18"/>
              </w:rPr>
            </w:pPr>
            <w:r>
              <w:rPr>
                <w:rFonts w:ascii="宋体" w:hAnsi="宋体" w:eastAsia="宋体" w:cs="宋体"/>
                <w:sz w:val="18"/>
                <w:szCs w:val="18"/>
              </w:rPr>
              <w:t>4,900,000.00</w:t>
            </w:r>
          </w:p>
        </w:tc>
      </w:tr>
      <w:tr w14:paraId="1EFA6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C90180">
            <w:pPr>
              <w:spacing w:line="240" w:lineRule="exact"/>
              <w:ind w:firstLine="180" w:firstLineChars="100"/>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281AF4DD">
            <w:pPr>
              <w:spacing w:line="240" w:lineRule="exact"/>
              <w:jc w:val="right"/>
              <w:rPr>
                <w:rFonts w:ascii="宋体" w:hAnsi="宋体" w:eastAsia="宋体" w:cs="宋体"/>
                <w:sz w:val="18"/>
                <w:szCs w:val="18"/>
              </w:rPr>
            </w:pPr>
            <w:r>
              <w:rPr>
                <w:rFonts w:ascii="宋体" w:hAnsi="宋体" w:eastAsia="宋体" w:cs="宋体"/>
                <w:sz w:val="18"/>
                <w:szCs w:val="18"/>
              </w:rPr>
              <w:t>5,279,593,943.60</w:t>
            </w:r>
          </w:p>
        </w:tc>
        <w:tc>
          <w:tcPr>
            <w:tcW w:w="3213" w:type="dxa"/>
            <w:tcBorders>
              <w:top w:val="single" w:color="auto" w:sz="2" w:space="0"/>
              <w:left w:val="single" w:color="auto" w:sz="2" w:space="0"/>
              <w:bottom w:val="single" w:color="auto" w:sz="2" w:space="0"/>
              <w:right w:val="single" w:color="auto" w:sz="2" w:space="0"/>
            </w:tcBorders>
            <w:vAlign w:val="center"/>
          </w:tcPr>
          <w:p w14:paraId="5EF1490D">
            <w:pPr>
              <w:spacing w:line="240" w:lineRule="exact"/>
              <w:jc w:val="right"/>
              <w:rPr>
                <w:rFonts w:ascii="宋体" w:hAnsi="宋体" w:eastAsia="宋体" w:cs="宋体"/>
                <w:sz w:val="18"/>
                <w:szCs w:val="18"/>
              </w:rPr>
            </w:pPr>
            <w:r>
              <w:rPr>
                <w:rFonts w:ascii="宋体" w:hAnsi="宋体" w:eastAsia="宋体" w:cs="宋体"/>
                <w:sz w:val="18"/>
                <w:szCs w:val="18"/>
              </w:rPr>
              <w:t>6,858,717,732.14</w:t>
            </w:r>
          </w:p>
        </w:tc>
      </w:tr>
      <w:tr w14:paraId="6874E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FDCCF3">
            <w:pPr>
              <w:spacing w:line="240" w:lineRule="exact"/>
              <w:ind w:firstLine="180" w:firstLineChars="100"/>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2EBCE2A2">
            <w:pPr>
              <w:spacing w:line="240" w:lineRule="exact"/>
              <w:jc w:val="right"/>
              <w:rPr>
                <w:rFonts w:ascii="宋体" w:hAnsi="宋体" w:eastAsia="宋体" w:cs="宋体"/>
                <w:sz w:val="18"/>
                <w:szCs w:val="18"/>
              </w:rPr>
            </w:pPr>
            <w:r>
              <w:rPr>
                <w:rFonts w:ascii="宋体" w:hAnsi="宋体" w:eastAsia="宋体" w:cs="宋体"/>
                <w:sz w:val="18"/>
                <w:szCs w:val="18"/>
              </w:rPr>
              <w:t>15,919,412.99</w:t>
            </w:r>
          </w:p>
        </w:tc>
        <w:tc>
          <w:tcPr>
            <w:tcW w:w="3213" w:type="dxa"/>
            <w:tcBorders>
              <w:top w:val="single" w:color="auto" w:sz="2" w:space="0"/>
              <w:left w:val="single" w:color="auto" w:sz="2" w:space="0"/>
              <w:bottom w:val="single" w:color="auto" w:sz="2" w:space="0"/>
              <w:right w:val="single" w:color="auto" w:sz="2" w:space="0"/>
            </w:tcBorders>
            <w:vAlign w:val="center"/>
          </w:tcPr>
          <w:p w14:paraId="37818CEA">
            <w:pPr>
              <w:spacing w:line="240" w:lineRule="exact"/>
              <w:jc w:val="right"/>
              <w:rPr>
                <w:rFonts w:ascii="宋体" w:hAnsi="宋体" w:eastAsia="宋体" w:cs="宋体"/>
                <w:sz w:val="18"/>
                <w:szCs w:val="18"/>
              </w:rPr>
            </w:pPr>
            <w:r>
              <w:rPr>
                <w:rFonts w:ascii="宋体" w:hAnsi="宋体" w:eastAsia="宋体" w:cs="宋体"/>
                <w:sz w:val="18"/>
                <w:szCs w:val="18"/>
              </w:rPr>
              <w:t>113,457,176.61</w:t>
            </w:r>
          </w:p>
        </w:tc>
      </w:tr>
      <w:tr w14:paraId="4F015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1C4F9A">
            <w:pPr>
              <w:spacing w:line="240" w:lineRule="exac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20FDF242">
            <w:pPr>
              <w:spacing w:line="240" w:lineRule="exact"/>
              <w:jc w:val="right"/>
              <w:rPr>
                <w:rFonts w:ascii="宋体" w:hAnsi="宋体" w:eastAsia="宋体" w:cs="宋体"/>
                <w:sz w:val="18"/>
                <w:szCs w:val="18"/>
              </w:rPr>
            </w:pPr>
            <w:r>
              <w:rPr>
                <w:rFonts w:ascii="宋体" w:hAnsi="宋体" w:eastAsia="宋体" w:cs="宋体"/>
                <w:sz w:val="18"/>
                <w:szCs w:val="18"/>
              </w:rPr>
              <w:t>5,320,513,356.59</w:t>
            </w:r>
          </w:p>
        </w:tc>
        <w:tc>
          <w:tcPr>
            <w:tcW w:w="3213" w:type="dxa"/>
            <w:tcBorders>
              <w:top w:val="single" w:color="auto" w:sz="2" w:space="0"/>
              <w:left w:val="single" w:color="auto" w:sz="2" w:space="0"/>
              <w:bottom w:val="single" w:color="auto" w:sz="2" w:space="0"/>
              <w:right w:val="single" w:color="auto" w:sz="2" w:space="0"/>
            </w:tcBorders>
            <w:vAlign w:val="center"/>
          </w:tcPr>
          <w:p w14:paraId="40268855">
            <w:pPr>
              <w:spacing w:line="240" w:lineRule="exact"/>
              <w:jc w:val="right"/>
              <w:rPr>
                <w:rFonts w:ascii="宋体" w:hAnsi="宋体" w:eastAsia="宋体" w:cs="宋体"/>
                <w:sz w:val="18"/>
                <w:szCs w:val="18"/>
              </w:rPr>
            </w:pPr>
            <w:r>
              <w:rPr>
                <w:rFonts w:ascii="宋体" w:hAnsi="宋体" w:eastAsia="宋体" w:cs="宋体"/>
                <w:sz w:val="18"/>
                <w:szCs w:val="18"/>
              </w:rPr>
              <w:t>6,977,074,908.75</w:t>
            </w:r>
          </w:p>
        </w:tc>
      </w:tr>
      <w:tr w14:paraId="4DE2B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647684">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0210E961">
            <w:pPr>
              <w:spacing w:line="240" w:lineRule="exact"/>
              <w:jc w:val="right"/>
              <w:rPr>
                <w:rFonts w:ascii="宋体" w:hAnsi="宋体" w:eastAsia="宋体" w:cs="宋体"/>
                <w:sz w:val="18"/>
                <w:szCs w:val="18"/>
              </w:rPr>
            </w:pPr>
            <w:r>
              <w:rPr>
                <w:rFonts w:ascii="宋体" w:hAnsi="宋体" w:eastAsia="宋体" w:cs="宋体"/>
                <w:sz w:val="18"/>
                <w:szCs w:val="18"/>
              </w:rPr>
              <w:t>6,866,298,984.55</w:t>
            </w:r>
          </w:p>
        </w:tc>
        <w:tc>
          <w:tcPr>
            <w:tcW w:w="3213" w:type="dxa"/>
            <w:tcBorders>
              <w:top w:val="single" w:color="auto" w:sz="2" w:space="0"/>
              <w:left w:val="single" w:color="auto" w:sz="2" w:space="0"/>
              <w:bottom w:val="single" w:color="auto" w:sz="2" w:space="0"/>
              <w:right w:val="single" w:color="auto" w:sz="2" w:space="0"/>
            </w:tcBorders>
            <w:vAlign w:val="center"/>
          </w:tcPr>
          <w:p w14:paraId="63B9F7D0">
            <w:pPr>
              <w:spacing w:line="240" w:lineRule="exact"/>
              <w:jc w:val="right"/>
              <w:rPr>
                <w:rFonts w:ascii="宋体" w:hAnsi="宋体" w:eastAsia="宋体" w:cs="宋体"/>
                <w:sz w:val="18"/>
                <w:szCs w:val="18"/>
              </w:rPr>
            </w:pPr>
            <w:r>
              <w:rPr>
                <w:rFonts w:ascii="宋体" w:hAnsi="宋体" w:eastAsia="宋体" w:cs="宋体"/>
                <w:sz w:val="18"/>
                <w:szCs w:val="18"/>
              </w:rPr>
              <w:t>6,168,761,338.50</w:t>
            </w:r>
          </w:p>
        </w:tc>
      </w:tr>
      <w:tr w14:paraId="2E9CB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D9E2B5">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6D9FF6B9">
            <w:pPr>
              <w:spacing w:line="240" w:lineRule="exact"/>
              <w:jc w:val="right"/>
              <w:rPr>
                <w:rFonts w:ascii="宋体" w:hAnsi="宋体" w:eastAsia="宋体" w:cs="宋体"/>
                <w:sz w:val="18"/>
                <w:szCs w:val="18"/>
              </w:rPr>
            </w:pPr>
            <w:r>
              <w:rPr>
                <w:rFonts w:ascii="宋体" w:hAnsi="宋体" w:eastAsia="宋体" w:cs="宋体"/>
                <w:sz w:val="18"/>
                <w:szCs w:val="18"/>
              </w:rPr>
              <w:t>239,683,767.18</w:t>
            </w:r>
          </w:p>
        </w:tc>
        <w:tc>
          <w:tcPr>
            <w:tcW w:w="3213" w:type="dxa"/>
            <w:tcBorders>
              <w:top w:val="single" w:color="auto" w:sz="2" w:space="0"/>
              <w:left w:val="single" w:color="auto" w:sz="2" w:space="0"/>
              <w:bottom w:val="single" w:color="auto" w:sz="2" w:space="0"/>
              <w:right w:val="single" w:color="auto" w:sz="2" w:space="0"/>
            </w:tcBorders>
            <w:vAlign w:val="center"/>
          </w:tcPr>
          <w:p w14:paraId="7E7860AC">
            <w:pPr>
              <w:spacing w:line="240" w:lineRule="exact"/>
              <w:jc w:val="right"/>
              <w:rPr>
                <w:rFonts w:ascii="宋体" w:hAnsi="宋体" w:eastAsia="宋体" w:cs="宋体"/>
                <w:sz w:val="18"/>
                <w:szCs w:val="18"/>
              </w:rPr>
            </w:pPr>
            <w:r>
              <w:rPr>
                <w:rFonts w:ascii="宋体" w:hAnsi="宋体" w:eastAsia="宋体" w:cs="宋体"/>
                <w:sz w:val="18"/>
                <w:szCs w:val="18"/>
              </w:rPr>
              <w:t>303,369,499.98</w:t>
            </w:r>
          </w:p>
        </w:tc>
      </w:tr>
      <w:tr w14:paraId="6B069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F2BB4E">
            <w:pPr>
              <w:spacing w:line="240" w:lineRule="exact"/>
              <w:ind w:firstLine="180" w:firstLineChars="100"/>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14:paraId="683DE61A">
            <w:pPr>
              <w:spacing w:line="240" w:lineRule="exact"/>
              <w:jc w:val="right"/>
              <w:rPr>
                <w:rFonts w:ascii="宋体" w:hAnsi="宋体" w:eastAsia="宋体" w:cs="宋体"/>
                <w:sz w:val="18"/>
                <w:szCs w:val="18"/>
              </w:rPr>
            </w:pPr>
            <w:r>
              <w:rPr>
                <w:rFonts w:ascii="宋体" w:hAnsi="宋体" w:eastAsia="宋体" w:cs="宋体"/>
                <w:sz w:val="18"/>
                <w:szCs w:val="18"/>
              </w:rPr>
              <w:t>47,003,860.00</w:t>
            </w:r>
          </w:p>
        </w:tc>
        <w:tc>
          <w:tcPr>
            <w:tcW w:w="3213" w:type="dxa"/>
            <w:tcBorders>
              <w:top w:val="single" w:color="auto" w:sz="2" w:space="0"/>
              <w:left w:val="single" w:color="auto" w:sz="2" w:space="0"/>
              <w:bottom w:val="single" w:color="auto" w:sz="2" w:space="0"/>
              <w:right w:val="single" w:color="auto" w:sz="2" w:space="0"/>
            </w:tcBorders>
            <w:vAlign w:val="center"/>
          </w:tcPr>
          <w:p w14:paraId="231A1774">
            <w:pPr>
              <w:spacing w:line="240" w:lineRule="exact"/>
              <w:jc w:val="right"/>
              <w:rPr>
                <w:rFonts w:ascii="宋体" w:hAnsi="宋体" w:eastAsia="宋体" w:cs="宋体"/>
                <w:sz w:val="18"/>
                <w:szCs w:val="18"/>
              </w:rPr>
            </w:pPr>
            <w:r>
              <w:rPr>
                <w:rFonts w:ascii="宋体" w:hAnsi="宋体" w:eastAsia="宋体" w:cs="宋体"/>
                <w:sz w:val="18"/>
                <w:szCs w:val="18"/>
              </w:rPr>
              <w:t>10,132,400.00</w:t>
            </w:r>
          </w:p>
        </w:tc>
      </w:tr>
      <w:tr w14:paraId="0D42A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BFB3C9">
            <w:pPr>
              <w:spacing w:line="240" w:lineRule="exact"/>
              <w:ind w:firstLine="180" w:firstLineChars="100"/>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1EB130A0">
            <w:pPr>
              <w:spacing w:line="240" w:lineRule="exact"/>
              <w:jc w:val="right"/>
              <w:rPr>
                <w:rFonts w:ascii="宋体" w:hAnsi="宋体" w:eastAsia="宋体" w:cs="宋体"/>
                <w:sz w:val="18"/>
                <w:szCs w:val="18"/>
              </w:rPr>
            </w:pPr>
            <w:r>
              <w:rPr>
                <w:rFonts w:ascii="宋体" w:hAnsi="宋体" w:eastAsia="宋体" w:cs="宋体"/>
                <w:sz w:val="18"/>
                <w:szCs w:val="18"/>
              </w:rPr>
              <w:t>138,438,557.94</w:t>
            </w:r>
          </w:p>
        </w:tc>
        <w:tc>
          <w:tcPr>
            <w:tcW w:w="3213" w:type="dxa"/>
            <w:tcBorders>
              <w:top w:val="single" w:color="auto" w:sz="2" w:space="0"/>
              <w:left w:val="single" w:color="auto" w:sz="2" w:space="0"/>
              <w:bottom w:val="single" w:color="auto" w:sz="2" w:space="0"/>
              <w:right w:val="single" w:color="auto" w:sz="2" w:space="0"/>
            </w:tcBorders>
            <w:vAlign w:val="center"/>
          </w:tcPr>
          <w:p w14:paraId="24DABE05">
            <w:pPr>
              <w:spacing w:line="240" w:lineRule="exact"/>
              <w:jc w:val="right"/>
              <w:rPr>
                <w:rFonts w:ascii="宋体" w:hAnsi="宋体" w:eastAsia="宋体" w:cs="宋体"/>
                <w:sz w:val="18"/>
                <w:szCs w:val="18"/>
              </w:rPr>
            </w:pPr>
            <w:r>
              <w:rPr>
                <w:rFonts w:ascii="宋体" w:hAnsi="宋体" w:eastAsia="宋体" w:cs="宋体"/>
                <w:sz w:val="18"/>
                <w:szCs w:val="18"/>
              </w:rPr>
              <w:t>120,408,389.24</w:t>
            </w:r>
          </w:p>
        </w:tc>
      </w:tr>
      <w:tr w14:paraId="2FC3F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AC1C91">
            <w:pPr>
              <w:spacing w:line="240" w:lineRule="exac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507E1904">
            <w:pPr>
              <w:spacing w:line="240" w:lineRule="exact"/>
              <w:jc w:val="right"/>
              <w:rPr>
                <w:rFonts w:ascii="宋体" w:hAnsi="宋体" w:eastAsia="宋体" w:cs="宋体"/>
                <w:sz w:val="18"/>
                <w:szCs w:val="18"/>
              </w:rPr>
            </w:pPr>
            <w:r>
              <w:rPr>
                <w:rFonts w:ascii="宋体" w:hAnsi="宋体" w:eastAsia="宋体" w:cs="宋体"/>
                <w:sz w:val="18"/>
                <w:szCs w:val="18"/>
              </w:rPr>
              <w:t>7,244,421,309.67</w:t>
            </w:r>
          </w:p>
        </w:tc>
        <w:tc>
          <w:tcPr>
            <w:tcW w:w="3213" w:type="dxa"/>
            <w:tcBorders>
              <w:top w:val="single" w:color="auto" w:sz="2" w:space="0"/>
              <w:left w:val="single" w:color="auto" w:sz="2" w:space="0"/>
              <w:bottom w:val="single" w:color="auto" w:sz="2" w:space="0"/>
              <w:right w:val="single" w:color="auto" w:sz="2" w:space="0"/>
            </w:tcBorders>
            <w:vAlign w:val="center"/>
          </w:tcPr>
          <w:p w14:paraId="17A6B205">
            <w:pPr>
              <w:spacing w:line="240" w:lineRule="exact"/>
              <w:jc w:val="right"/>
              <w:rPr>
                <w:rFonts w:ascii="宋体" w:hAnsi="宋体" w:eastAsia="宋体" w:cs="宋体"/>
                <w:sz w:val="18"/>
                <w:szCs w:val="18"/>
              </w:rPr>
            </w:pPr>
            <w:r>
              <w:rPr>
                <w:rFonts w:ascii="宋体" w:hAnsi="宋体" w:eastAsia="宋体" w:cs="宋体"/>
                <w:sz w:val="18"/>
                <w:szCs w:val="18"/>
              </w:rPr>
              <w:t>6,592,539,227.72</w:t>
            </w:r>
          </w:p>
        </w:tc>
      </w:tr>
      <w:tr w14:paraId="34688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7B5E9E">
            <w:pPr>
              <w:spacing w:line="240" w:lineRule="exac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7C51AAD0">
            <w:pPr>
              <w:spacing w:line="240" w:lineRule="exact"/>
              <w:jc w:val="right"/>
              <w:rPr>
                <w:rFonts w:ascii="宋体" w:hAnsi="宋体" w:eastAsia="宋体" w:cs="宋体"/>
                <w:sz w:val="18"/>
                <w:szCs w:val="18"/>
              </w:rPr>
            </w:pPr>
            <w:r>
              <w:rPr>
                <w:rFonts w:ascii="宋体" w:hAnsi="宋体" w:eastAsia="宋体" w:cs="宋体"/>
                <w:sz w:val="18"/>
                <w:szCs w:val="18"/>
              </w:rPr>
              <w:t>-1,923,907,953.08</w:t>
            </w:r>
          </w:p>
        </w:tc>
        <w:tc>
          <w:tcPr>
            <w:tcW w:w="3213" w:type="dxa"/>
            <w:tcBorders>
              <w:top w:val="single" w:color="auto" w:sz="2" w:space="0"/>
              <w:left w:val="single" w:color="auto" w:sz="2" w:space="0"/>
              <w:bottom w:val="single" w:color="auto" w:sz="2" w:space="0"/>
              <w:right w:val="single" w:color="auto" w:sz="2" w:space="0"/>
            </w:tcBorders>
            <w:vAlign w:val="center"/>
          </w:tcPr>
          <w:p w14:paraId="57BD5214">
            <w:pPr>
              <w:spacing w:line="240" w:lineRule="exact"/>
              <w:jc w:val="right"/>
              <w:rPr>
                <w:rFonts w:ascii="宋体" w:hAnsi="宋体" w:eastAsia="宋体" w:cs="宋体"/>
                <w:sz w:val="18"/>
                <w:szCs w:val="18"/>
              </w:rPr>
            </w:pPr>
            <w:r>
              <w:rPr>
                <w:rFonts w:ascii="宋体" w:hAnsi="宋体" w:eastAsia="宋体" w:cs="宋体"/>
                <w:sz w:val="18"/>
                <w:szCs w:val="18"/>
              </w:rPr>
              <w:t>384,535,681.03</w:t>
            </w:r>
          </w:p>
        </w:tc>
      </w:tr>
      <w:tr w14:paraId="1AB15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31F195">
            <w:pPr>
              <w:spacing w:line="240" w:lineRule="exac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14:paraId="2A3B278E">
            <w:pPr>
              <w:spacing w:line="240" w:lineRule="exact"/>
              <w:jc w:val="right"/>
              <w:rPr>
                <w:rFonts w:ascii="宋体" w:hAnsi="宋体" w:eastAsia="宋体" w:cs="宋体"/>
                <w:sz w:val="18"/>
                <w:szCs w:val="18"/>
              </w:rPr>
            </w:pPr>
            <w:r>
              <w:rPr>
                <w:rFonts w:ascii="宋体" w:hAnsi="宋体" w:eastAsia="宋体" w:cs="宋体"/>
                <w:sz w:val="18"/>
                <w:szCs w:val="18"/>
              </w:rPr>
              <w:t>-25,723,251.81</w:t>
            </w:r>
          </w:p>
        </w:tc>
        <w:tc>
          <w:tcPr>
            <w:tcW w:w="3213" w:type="dxa"/>
            <w:tcBorders>
              <w:top w:val="single" w:color="auto" w:sz="2" w:space="0"/>
              <w:left w:val="single" w:color="auto" w:sz="2" w:space="0"/>
              <w:bottom w:val="single" w:color="auto" w:sz="2" w:space="0"/>
              <w:right w:val="single" w:color="auto" w:sz="2" w:space="0"/>
            </w:tcBorders>
            <w:vAlign w:val="center"/>
          </w:tcPr>
          <w:p w14:paraId="1705793B">
            <w:pPr>
              <w:spacing w:line="240" w:lineRule="exact"/>
              <w:jc w:val="right"/>
              <w:rPr>
                <w:rFonts w:ascii="宋体" w:hAnsi="宋体" w:eastAsia="宋体" w:cs="宋体"/>
                <w:sz w:val="18"/>
                <w:szCs w:val="18"/>
              </w:rPr>
            </w:pPr>
            <w:r>
              <w:rPr>
                <w:rFonts w:ascii="宋体" w:hAnsi="宋体" w:eastAsia="宋体" w:cs="宋体"/>
                <w:sz w:val="18"/>
                <w:szCs w:val="18"/>
              </w:rPr>
              <w:t>-19,660,004.98</w:t>
            </w:r>
          </w:p>
        </w:tc>
      </w:tr>
      <w:tr w14:paraId="6744A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38675D">
            <w:pPr>
              <w:spacing w:line="240" w:lineRule="exac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65BB7E5C">
            <w:pPr>
              <w:spacing w:line="240" w:lineRule="exact"/>
              <w:jc w:val="right"/>
              <w:rPr>
                <w:rFonts w:ascii="宋体" w:hAnsi="宋体" w:eastAsia="宋体" w:cs="宋体"/>
                <w:sz w:val="18"/>
                <w:szCs w:val="18"/>
              </w:rPr>
            </w:pPr>
            <w:r>
              <w:rPr>
                <w:rFonts w:ascii="宋体" w:hAnsi="宋体" w:eastAsia="宋体" w:cs="宋体"/>
                <w:sz w:val="18"/>
                <w:szCs w:val="18"/>
              </w:rPr>
              <w:t>-950,137,218.77</w:t>
            </w:r>
          </w:p>
        </w:tc>
        <w:tc>
          <w:tcPr>
            <w:tcW w:w="3213" w:type="dxa"/>
            <w:tcBorders>
              <w:top w:val="single" w:color="auto" w:sz="2" w:space="0"/>
              <w:left w:val="single" w:color="auto" w:sz="2" w:space="0"/>
              <w:bottom w:val="single" w:color="auto" w:sz="2" w:space="0"/>
              <w:right w:val="single" w:color="auto" w:sz="2" w:space="0"/>
            </w:tcBorders>
            <w:vAlign w:val="center"/>
          </w:tcPr>
          <w:p w14:paraId="3591F135">
            <w:pPr>
              <w:spacing w:line="240" w:lineRule="exact"/>
              <w:jc w:val="right"/>
              <w:rPr>
                <w:rFonts w:ascii="宋体" w:hAnsi="宋体" w:eastAsia="宋体" w:cs="宋体"/>
                <w:sz w:val="18"/>
                <w:szCs w:val="18"/>
              </w:rPr>
            </w:pPr>
            <w:r>
              <w:rPr>
                <w:rFonts w:ascii="宋体" w:hAnsi="宋体" w:eastAsia="宋体" w:cs="宋体"/>
                <w:sz w:val="18"/>
                <w:szCs w:val="18"/>
              </w:rPr>
              <w:t>-26,672,611.41</w:t>
            </w:r>
          </w:p>
        </w:tc>
      </w:tr>
      <w:tr w14:paraId="1C673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8829D7">
            <w:pPr>
              <w:spacing w:line="240" w:lineRule="exact"/>
              <w:ind w:firstLine="180" w:firstLineChars="100"/>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1DD6C1E3">
            <w:pPr>
              <w:spacing w:line="240" w:lineRule="exact"/>
              <w:jc w:val="right"/>
              <w:rPr>
                <w:rFonts w:ascii="宋体" w:hAnsi="宋体" w:eastAsia="宋体" w:cs="宋体"/>
                <w:sz w:val="18"/>
                <w:szCs w:val="18"/>
              </w:rPr>
            </w:pPr>
            <w:r>
              <w:rPr>
                <w:rFonts w:ascii="宋体" w:hAnsi="宋体" w:eastAsia="宋体" w:cs="宋体"/>
                <w:sz w:val="18"/>
                <w:szCs w:val="18"/>
              </w:rPr>
              <w:t>2,157,207,946.09</w:t>
            </w:r>
          </w:p>
        </w:tc>
        <w:tc>
          <w:tcPr>
            <w:tcW w:w="3213" w:type="dxa"/>
            <w:tcBorders>
              <w:top w:val="single" w:color="auto" w:sz="2" w:space="0"/>
              <w:left w:val="single" w:color="auto" w:sz="2" w:space="0"/>
              <w:bottom w:val="single" w:color="auto" w:sz="2" w:space="0"/>
              <w:right w:val="single" w:color="auto" w:sz="2" w:space="0"/>
            </w:tcBorders>
            <w:vAlign w:val="center"/>
          </w:tcPr>
          <w:p w14:paraId="7EF745FD">
            <w:pPr>
              <w:spacing w:line="240" w:lineRule="exact"/>
              <w:jc w:val="right"/>
              <w:rPr>
                <w:rFonts w:ascii="宋体" w:hAnsi="宋体" w:eastAsia="宋体" w:cs="宋体"/>
                <w:sz w:val="18"/>
                <w:szCs w:val="18"/>
              </w:rPr>
            </w:pPr>
            <w:r>
              <w:rPr>
                <w:rFonts w:ascii="宋体" w:hAnsi="宋体" w:eastAsia="宋体" w:cs="宋体"/>
                <w:sz w:val="18"/>
                <w:szCs w:val="18"/>
              </w:rPr>
              <w:t>2,183,880,557.50</w:t>
            </w:r>
          </w:p>
        </w:tc>
      </w:tr>
      <w:tr w14:paraId="4EF7E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770059">
            <w:pPr>
              <w:spacing w:line="240" w:lineRule="exac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784E152B">
            <w:pPr>
              <w:spacing w:line="240" w:lineRule="exact"/>
              <w:jc w:val="right"/>
              <w:rPr>
                <w:rFonts w:ascii="宋体" w:hAnsi="宋体" w:eastAsia="宋体" w:cs="宋体"/>
                <w:sz w:val="18"/>
                <w:szCs w:val="18"/>
              </w:rPr>
            </w:pPr>
            <w:r>
              <w:rPr>
                <w:rFonts w:ascii="宋体" w:hAnsi="宋体" w:eastAsia="宋体" w:cs="宋体"/>
                <w:sz w:val="18"/>
                <w:szCs w:val="18"/>
              </w:rPr>
              <w:t>1,207,070,727.32</w:t>
            </w:r>
          </w:p>
        </w:tc>
        <w:tc>
          <w:tcPr>
            <w:tcW w:w="3213" w:type="dxa"/>
            <w:tcBorders>
              <w:top w:val="single" w:color="auto" w:sz="2" w:space="0"/>
              <w:left w:val="single" w:color="auto" w:sz="2" w:space="0"/>
              <w:bottom w:val="single" w:color="auto" w:sz="2" w:space="0"/>
              <w:right w:val="single" w:color="auto" w:sz="2" w:space="0"/>
            </w:tcBorders>
            <w:vAlign w:val="center"/>
          </w:tcPr>
          <w:p w14:paraId="2B781DBD">
            <w:pPr>
              <w:spacing w:line="240" w:lineRule="exact"/>
              <w:jc w:val="right"/>
              <w:rPr>
                <w:rFonts w:ascii="宋体" w:hAnsi="宋体" w:eastAsia="宋体" w:cs="宋体"/>
                <w:sz w:val="18"/>
                <w:szCs w:val="18"/>
              </w:rPr>
            </w:pPr>
            <w:r>
              <w:rPr>
                <w:rFonts w:ascii="宋体" w:hAnsi="宋体" w:eastAsia="宋体" w:cs="宋体"/>
                <w:sz w:val="18"/>
                <w:szCs w:val="18"/>
              </w:rPr>
              <w:t>2,157,207,946.09</w:t>
            </w:r>
          </w:p>
        </w:tc>
      </w:tr>
    </w:tbl>
    <w:p w14:paraId="42C2EF86">
      <w:pPr>
        <w:pStyle w:val="3"/>
        <w:spacing w:line="280" w:lineRule="exact"/>
        <w:jc w:val="left"/>
        <w:rPr>
          <w:rFonts w:ascii="宋体" w:hAnsi="宋体" w:cs="宋体"/>
          <w:b/>
          <w:bCs/>
        </w:rPr>
      </w:pPr>
      <w:bookmarkStart w:id="166" w:name="_Toc989052"/>
      <w:r>
        <w:rPr>
          <w:rFonts w:ascii="宋体" w:hAnsi="宋体" w:cs="宋体"/>
          <w:b/>
          <w:bCs/>
        </w:rPr>
        <w:t>6、母公司现金流量表</w:t>
      </w:r>
      <w:bookmarkEnd w:id="166"/>
    </w:p>
    <w:p w14:paraId="19179571">
      <w:pPr>
        <w:spacing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9E52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0B5604">
            <w:pPr>
              <w:spacing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010459">
            <w:pPr>
              <w:spacing w:line="240" w:lineRule="exact"/>
              <w:jc w:val="center"/>
              <w:rPr>
                <w:rFonts w:ascii="宋体" w:hAnsi="宋体" w:eastAsia="宋体" w:cs="宋体"/>
                <w:sz w:val="18"/>
                <w:szCs w:val="18"/>
              </w:rPr>
            </w:pPr>
            <w:r>
              <w:rPr>
                <w:rFonts w:ascii="宋体" w:hAnsi="宋体" w:eastAsia="宋体" w:cs="宋体"/>
                <w:sz w:val="18"/>
                <w:szCs w:val="18"/>
              </w:rPr>
              <w:t>2025年度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76955E">
            <w:pPr>
              <w:spacing w:line="240" w:lineRule="exact"/>
              <w:jc w:val="center"/>
              <w:rPr>
                <w:rFonts w:ascii="宋体" w:hAnsi="宋体" w:eastAsia="宋体" w:cs="宋体"/>
                <w:sz w:val="18"/>
                <w:szCs w:val="18"/>
              </w:rPr>
            </w:pPr>
            <w:r>
              <w:rPr>
                <w:rFonts w:ascii="宋体" w:hAnsi="宋体" w:eastAsia="宋体" w:cs="宋体"/>
                <w:sz w:val="18"/>
                <w:szCs w:val="18"/>
              </w:rPr>
              <w:t>2024年度</w:t>
            </w:r>
          </w:p>
        </w:tc>
      </w:tr>
      <w:tr w14:paraId="4FCD4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B7C09C">
            <w:pPr>
              <w:spacing w:line="240" w:lineRule="exac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943515"/>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CCDB27"/>
        </w:tc>
      </w:tr>
      <w:tr w14:paraId="54758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3526F2">
            <w:pPr>
              <w:spacing w:line="240" w:lineRule="exact"/>
              <w:ind w:firstLine="180" w:firstLineChars="100"/>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702708BF">
            <w:pPr>
              <w:spacing w:line="240" w:lineRule="exact"/>
              <w:jc w:val="right"/>
              <w:rPr>
                <w:rFonts w:ascii="宋体" w:hAnsi="宋体" w:eastAsia="宋体" w:cs="宋体"/>
                <w:sz w:val="18"/>
                <w:szCs w:val="18"/>
              </w:rPr>
            </w:pPr>
            <w:r>
              <w:rPr>
                <w:rFonts w:ascii="宋体" w:hAnsi="宋体" w:eastAsia="宋体" w:cs="宋体"/>
                <w:sz w:val="18"/>
                <w:szCs w:val="18"/>
              </w:rPr>
              <w:t>866,205,741.73</w:t>
            </w:r>
          </w:p>
        </w:tc>
        <w:tc>
          <w:tcPr>
            <w:tcW w:w="3213" w:type="dxa"/>
            <w:tcBorders>
              <w:top w:val="single" w:color="auto" w:sz="2" w:space="0"/>
              <w:left w:val="single" w:color="auto" w:sz="2" w:space="0"/>
              <w:bottom w:val="single" w:color="auto" w:sz="2" w:space="0"/>
              <w:right w:val="single" w:color="auto" w:sz="2" w:space="0"/>
            </w:tcBorders>
            <w:vAlign w:val="center"/>
          </w:tcPr>
          <w:p w14:paraId="2F16AA54">
            <w:pPr>
              <w:spacing w:line="240" w:lineRule="exact"/>
              <w:jc w:val="right"/>
              <w:rPr>
                <w:rFonts w:ascii="宋体" w:hAnsi="宋体" w:eastAsia="宋体" w:cs="宋体"/>
                <w:sz w:val="18"/>
                <w:szCs w:val="18"/>
              </w:rPr>
            </w:pPr>
            <w:r>
              <w:rPr>
                <w:rFonts w:ascii="宋体" w:hAnsi="宋体" w:eastAsia="宋体" w:cs="宋体"/>
                <w:sz w:val="18"/>
                <w:szCs w:val="18"/>
              </w:rPr>
              <w:t>1,421,321,476.24</w:t>
            </w:r>
          </w:p>
        </w:tc>
      </w:tr>
      <w:tr w14:paraId="669DE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3A2B21">
            <w:pPr>
              <w:spacing w:line="240" w:lineRule="exact"/>
              <w:ind w:firstLine="180" w:firstLineChars="100"/>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14:paraId="46CB34A7">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D44D293">
            <w:pPr>
              <w:spacing w:line="240" w:lineRule="exact"/>
              <w:jc w:val="right"/>
              <w:rPr>
                <w:rFonts w:ascii="宋体" w:hAnsi="宋体" w:eastAsia="宋体" w:cs="宋体"/>
                <w:sz w:val="18"/>
                <w:szCs w:val="18"/>
              </w:rPr>
            </w:pPr>
          </w:p>
        </w:tc>
      </w:tr>
      <w:tr w14:paraId="7C837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C0B095">
            <w:pPr>
              <w:spacing w:line="240" w:lineRule="exact"/>
              <w:ind w:firstLine="180" w:firstLineChars="100"/>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0D1B275B">
            <w:pPr>
              <w:spacing w:line="240" w:lineRule="exact"/>
              <w:jc w:val="right"/>
              <w:rPr>
                <w:rFonts w:ascii="宋体" w:hAnsi="宋体" w:eastAsia="宋体" w:cs="宋体"/>
                <w:sz w:val="18"/>
                <w:szCs w:val="18"/>
              </w:rPr>
            </w:pPr>
            <w:r>
              <w:rPr>
                <w:rFonts w:ascii="宋体" w:hAnsi="宋体" w:eastAsia="宋体" w:cs="宋体"/>
                <w:sz w:val="18"/>
                <w:szCs w:val="18"/>
              </w:rPr>
              <w:t>60,618,058.52</w:t>
            </w:r>
          </w:p>
        </w:tc>
        <w:tc>
          <w:tcPr>
            <w:tcW w:w="3213" w:type="dxa"/>
            <w:tcBorders>
              <w:top w:val="single" w:color="auto" w:sz="2" w:space="0"/>
              <w:left w:val="single" w:color="auto" w:sz="2" w:space="0"/>
              <w:bottom w:val="single" w:color="auto" w:sz="2" w:space="0"/>
              <w:right w:val="single" w:color="auto" w:sz="2" w:space="0"/>
            </w:tcBorders>
            <w:vAlign w:val="center"/>
          </w:tcPr>
          <w:p w14:paraId="781B6CA8">
            <w:pPr>
              <w:spacing w:line="240" w:lineRule="exact"/>
              <w:jc w:val="right"/>
              <w:rPr>
                <w:rFonts w:ascii="宋体" w:hAnsi="宋体" w:eastAsia="宋体" w:cs="宋体"/>
                <w:sz w:val="18"/>
                <w:szCs w:val="18"/>
              </w:rPr>
            </w:pPr>
            <w:r>
              <w:rPr>
                <w:rFonts w:ascii="宋体" w:hAnsi="宋体" w:eastAsia="宋体" w:cs="宋体"/>
                <w:sz w:val="18"/>
                <w:szCs w:val="18"/>
              </w:rPr>
              <w:t>95,766,735.90</w:t>
            </w:r>
          </w:p>
        </w:tc>
      </w:tr>
      <w:tr w14:paraId="20581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0A0C06">
            <w:pPr>
              <w:spacing w:line="240" w:lineRule="exac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185794C6">
            <w:pPr>
              <w:spacing w:line="240" w:lineRule="exact"/>
              <w:jc w:val="right"/>
              <w:rPr>
                <w:rFonts w:ascii="宋体" w:hAnsi="宋体" w:eastAsia="宋体" w:cs="宋体"/>
                <w:sz w:val="18"/>
                <w:szCs w:val="18"/>
              </w:rPr>
            </w:pPr>
            <w:r>
              <w:rPr>
                <w:rFonts w:ascii="宋体" w:hAnsi="宋体" w:eastAsia="宋体" w:cs="宋体"/>
                <w:sz w:val="18"/>
                <w:szCs w:val="18"/>
              </w:rPr>
              <w:t>926,823,800.25</w:t>
            </w:r>
          </w:p>
        </w:tc>
        <w:tc>
          <w:tcPr>
            <w:tcW w:w="3213" w:type="dxa"/>
            <w:tcBorders>
              <w:top w:val="single" w:color="auto" w:sz="2" w:space="0"/>
              <w:left w:val="single" w:color="auto" w:sz="2" w:space="0"/>
              <w:bottom w:val="single" w:color="auto" w:sz="2" w:space="0"/>
              <w:right w:val="single" w:color="auto" w:sz="2" w:space="0"/>
            </w:tcBorders>
            <w:vAlign w:val="center"/>
          </w:tcPr>
          <w:p w14:paraId="09BF015F">
            <w:pPr>
              <w:spacing w:line="240" w:lineRule="exact"/>
              <w:jc w:val="right"/>
              <w:rPr>
                <w:rFonts w:ascii="宋体" w:hAnsi="宋体" w:eastAsia="宋体" w:cs="宋体"/>
                <w:sz w:val="18"/>
                <w:szCs w:val="18"/>
              </w:rPr>
            </w:pPr>
            <w:r>
              <w:rPr>
                <w:rFonts w:ascii="宋体" w:hAnsi="宋体" w:eastAsia="宋体" w:cs="宋体"/>
                <w:sz w:val="18"/>
                <w:szCs w:val="18"/>
              </w:rPr>
              <w:t>1,517,088,212.14</w:t>
            </w:r>
          </w:p>
        </w:tc>
      </w:tr>
      <w:tr w14:paraId="61D17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7271DB">
            <w:pPr>
              <w:spacing w:line="240" w:lineRule="exact"/>
              <w:ind w:firstLine="180" w:firstLineChars="100"/>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7F9066E5">
            <w:pPr>
              <w:spacing w:line="240" w:lineRule="exact"/>
              <w:jc w:val="right"/>
              <w:rPr>
                <w:rFonts w:ascii="宋体" w:hAnsi="宋体" w:eastAsia="宋体" w:cs="宋体"/>
                <w:sz w:val="18"/>
                <w:szCs w:val="18"/>
              </w:rPr>
            </w:pPr>
            <w:r>
              <w:rPr>
                <w:rFonts w:ascii="宋体" w:hAnsi="宋体" w:eastAsia="宋体" w:cs="宋体"/>
                <w:sz w:val="18"/>
                <w:szCs w:val="18"/>
              </w:rPr>
              <w:t>906,132,411.02</w:t>
            </w:r>
          </w:p>
        </w:tc>
        <w:tc>
          <w:tcPr>
            <w:tcW w:w="3213" w:type="dxa"/>
            <w:tcBorders>
              <w:top w:val="single" w:color="auto" w:sz="2" w:space="0"/>
              <w:left w:val="single" w:color="auto" w:sz="2" w:space="0"/>
              <w:bottom w:val="single" w:color="auto" w:sz="2" w:space="0"/>
              <w:right w:val="single" w:color="auto" w:sz="2" w:space="0"/>
            </w:tcBorders>
            <w:vAlign w:val="center"/>
          </w:tcPr>
          <w:p w14:paraId="1BE26B9C">
            <w:pPr>
              <w:spacing w:line="240" w:lineRule="exact"/>
              <w:jc w:val="right"/>
              <w:rPr>
                <w:rFonts w:ascii="宋体" w:hAnsi="宋体" w:eastAsia="宋体" w:cs="宋体"/>
                <w:sz w:val="18"/>
                <w:szCs w:val="18"/>
              </w:rPr>
            </w:pPr>
            <w:r>
              <w:rPr>
                <w:rFonts w:ascii="宋体" w:hAnsi="宋体" w:eastAsia="宋体" w:cs="宋体"/>
                <w:sz w:val="18"/>
                <w:szCs w:val="18"/>
              </w:rPr>
              <w:t>1,264,716,989.08</w:t>
            </w:r>
          </w:p>
        </w:tc>
      </w:tr>
      <w:tr w14:paraId="00E4C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8D4B2A">
            <w:pPr>
              <w:spacing w:line="240" w:lineRule="exact"/>
              <w:ind w:firstLine="180" w:firstLineChars="100"/>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7750EBA0">
            <w:pPr>
              <w:spacing w:line="240" w:lineRule="exact"/>
              <w:jc w:val="right"/>
              <w:rPr>
                <w:rFonts w:ascii="宋体" w:hAnsi="宋体" w:eastAsia="宋体" w:cs="宋体"/>
                <w:sz w:val="18"/>
                <w:szCs w:val="18"/>
              </w:rPr>
            </w:pPr>
            <w:r>
              <w:rPr>
                <w:rFonts w:ascii="宋体" w:hAnsi="宋体" w:eastAsia="宋体" w:cs="宋体"/>
                <w:sz w:val="18"/>
                <w:szCs w:val="18"/>
              </w:rPr>
              <w:t>80,131,727.80</w:t>
            </w:r>
          </w:p>
        </w:tc>
        <w:tc>
          <w:tcPr>
            <w:tcW w:w="3213" w:type="dxa"/>
            <w:tcBorders>
              <w:top w:val="single" w:color="auto" w:sz="2" w:space="0"/>
              <w:left w:val="single" w:color="auto" w:sz="2" w:space="0"/>
              <w:bottom w:val="single" w:color="auto" w:sz="2" w:space="0"/>
              <w:right w:val="single" w:color="auto" w:sz="2" w:space="0"/>
            </w:tcBorders>
            <w:vAlign w:val="center"/>
          </w:tcPr>
          <w:p w14:paraId="0CBA248B">
            <w:pPr>
              <w:spacing w:line="240" w:lineRule="exact"/>
              <w:jc w:val="right"/>
              <w:rPr>
                <w:rFonts w:ascii="宋体" w:hAnsi="宋体" w:eastAsia="宋体" w:cs="宋体"/>
                <w:sz w:val="18"/>
                <w:szCs w:val="18"/>
              </w:rPr>
            </w:pPr>
            <w:r>
              <w:rPr>
                <w:rFonts w:ascii="宋体" w:hAnsi="宋体" w:eastAsia="宋体" w:cs="宋体"/>
                <w:sz w:val="18"/>
                <w:szCs w:val="18"/>
              </w:rPr>
              <w:t>81,497,165.05</w:t>
            </w:r>
          </w:p>
        </w:tc>
      </w:tr>
      <w:tr w14:paraId="50023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BDD7D7">
            <w:pPr>
              <w:spacing w:line="240" w:lineRule="exact"/>
              <w:ind w:firstLine="180" w:firstLineChars="100"/>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14:paraId="33797984">
            <w:pPr>
              <w:spacing w:line="240" w:lineRule="exact"/>
              <w:jc w:val="right"/>
              <w:rPr>
                <w:rFonts w:ascii="宋体" w:hAnsi="宋体" w:eastAsia="宋体" w:cs="宋体"/>
                <w:sz w:val="18"/>
                <w:szCs w:val="18"/>
              </w:rPr>
            </w:pPr>
            <w:r>
              <w:rPr>
                <w:rFonts w:ascii="宋体" w:hAnsi="宋体" w:eastAsia="宋体" w:cs="宋体"/>
                <w:sz w:val="18"/>
                <w:szCs w:val="18"/>
              </w:rPr>
              <w:t>36,498,930.78</w:t>
            </w:r>
          </w:p>
        </w:tc>
        <w:tc>
          <w:tcPr>
            <w:tcW w:w="3213" w:type="dxa"/>
            <w:tcBorders>
              <w:top w:val="single" w:color="auto" w:sz="2" w:space="0"/>
              <w:left w:val="single" w:color="auto" w:sz="2" w:space="0"/>
              <w:bottom w:val="single" w:color="auto" w:sz="2" w:space="0"/>
              <w:right w:val="single" w:color="auto" w:sz="2" w:space="0"/>
            </w:tcBorders>
            <w:vAlign w:val="center"/>
          </w:tcPr>
          <w:p w14:paraId="01DA23CF">
            <w:pPr>
              <w:spacing w:line="240" w:lineRule="exact"/>
              <w:jc w:val="right"/>
              <w:rPr>
                <w:rFonts w:ascii="宋体" w:hAnsi="宋体" w:eastAsia="宋体" w:cs="宋体"/>
                <w:sz w:val="18"/>
                <w:szCs w:val="18"/>
              </w:rPr>
            </w:pPr>
            <w:r>
              <w:rPr>
                <w:rFonts w:ascii="宋体" w:hAnsi="宋体" w:eastAsia="宋体" w:cs="宋体"/>
                <w:sz w:val="18"/>
                <w:szCs w:val="18"/>
              </w:rPr>
              <w:t>24,223,030.81</w:t>
            </w:r>
          </w:p>
        </w:tc>
      </w:tr>
      <w:tr w14:paraId="59C36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4EACA5">
            <w:pPr>
              <w:spacing w:line="240" w:lineRule="exact"/>
              <w:ind w:firstLine="180" w:firstLineChars="100"/>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23543236">
            <w:pPr>
              <w:spacing w:line="240" w:lineRule="exact"/>
              <w:jc w:val="right"/>
              <w:rPr>
                <w:rFonts w:ascii="宋体" w:hAnsi="宋体" w:eastAsia="宋体" w:cs="宋体"/>
                <w:sz w:val="18"/>
                <w:szCs w:val="18"/>
              </w:rPr>
            </w:pPr>
            <w:r>
              <w:rPr>
                <w:rFonts w:ascii="宋体" w:hAnsi="宋体" w:eastAsia="宋体" w:cs="宋体"/>
                <w:sz w:val="18"/>
                <w:szCs w:val="18"/>
              </w:rPr>
              <w:t>40,669,958.46</w:t>
            </w:r>
          </w:p>
        </w:tc>
        <w:tc>
          <w:tcPr>
            <w:tcW w:w="3213" w:type="dxa"/>
            <w:tcBorders>
              <w:top w:val="single" w:color="auto" w:sz="2" w:space="0"/>
              <w:left w:val="single" w:color="auto" w:sz="2" w:space="0"/>
              <w:bottom w:val="single" w:color="auto" w:sz="2" w:space="0"/>
              <w:right w:val="single" w:color="auto" w:sz="2" w:space="0"/>
            </w:tcBorders>
            <w:vAlign w:val="center"/>
          </w:tcPr>
          <w:p w14:paraId="39C369AB">
            <w:pPr>
              <w:spacing w:line="240" w:lineRule="exact"/>
              <w:jc w:val="right"/>
              <w:rPr>
                <w:rFonts w:ascii="宋体" w:hAnsi="宋体" w:eastAsia="宋体" w:cs="宋体"/>
                <w:sz w:val="18"/>
                <w:szCs w:val="18"/>
              </w:rPr>
            </w:pPr>
            <w:r>
              <w:rPr>
                <w:rFonts w:ascii="宋体" w:hAnsi="宋体" w:eastAsia="宋体" w:cs="宋体"/>
                <w:sz w:val="18"/>
                <w:szCs w:val="18"/>
              </w:rPr>
              <w:t>29,823,566.96</w:t>
            </w:r>
          </w:p>
        </w:tc>
      </w:tr>
      <w:tr w14:paraId="56097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BCD1BE">
            <w:pPr>
              <w:spacing w:line="240" w:lineRule="exac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5155FC72">
            <w:pPr>
              <w:spacing w:line="240" w:lineRule="exact"/>
              <w:jc w:val="right"/>
              <w:rPr>
                <w:rFonts w:ascii="宋体" w:hAnsi="宋体" w:eastAsia="宋体" w:cs="宋体"/>
                <w:sz w:val="18"/>
                <w:szCs w:val="18"/>
              </w:rPr>
            </w:pPr>
            <w:r>
              <w:rPr>
                <w:rFonts w:ascii="宋体" w:hAnsi="宋体" w:eastAsia="宋体" w:cs="宋体"/>
                <w:sz w:val="18"/>
                <w:szCs w:val="18"/>
              </w:rPr>
              <w:t>1,063,433,028.06</w:t>
            </w:r>
          </w:p>
        </w:tc>
        <w:tc>
          <w:tcPr>
            <w:tcW w:w="3213" w:type="dxa"/>
            <w:tcBorders>
              <w:top w:val="single" w:color="auto" w:sz="2" w:space="0"/>
              <w:left w:val="single" w:color="auto" w:sz="2" w:space="0"/>
              <w:bottom w:val="single" w:color="auto" w:sz="2" w:space="0"/>
              <w:right w:val="single" w:color="auto" w:sz="2" w:space="0"/>
            </w:tcBorders>
            <w:vAlign w:val="center"/>
          </w:tcPr>
          <w:p w14:paraId="3191B200">
            <w:pPr>
              <w:spacing w:line="240" w:lineRule="exact"/>
              <w:jc w:val="right"/>
              <w:rPr>
                <w:rFonts w:ascii="宋体" w:hAnsi="宋体" w:eastAsia="宋体" w:cs="宋体"/>
                <w:sz w:val="18"/>
                <w:szCs w:val="18"/>
              </w:rPr>
            </w:pPr>
            <w:r>
              <w:rPr>
                <w:rFonts w:ascii="宋体" w:hAnsi="宋体" w:eastAsia="宋体" w:cs="宋体"/>
                <w:sz w:val="18"/>
                <w:szCs w:val="18"/>
              </w:rPr>
              <w:t>1,400,260,751.90</w:t>
            </w:r>
          </w:p>
        </w:tc>
      </w:tr>
      <w:tr w14:paraId="437BE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5DC837">
            <w:pPr>
              <w:spacing w:line="240" w:lineRule="exac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69650322">
            <w:pPr>
              <w:spacing w:line="240" w:lineRule="exact"/>
              <w:jc w:val="right"/>
              <w:rPr>
                <w:rFonts w:ascii="宋体" w:hAnsi="宋体" w:eastAsia="宋体" w:cs="宋体"/>
                <w:sz w:val="18"/>
                <w:szCs w:val="18"/>
              </w:rPr>
            </w:pPr>
            <w:r>
              <w:rPr>
                <w:rFonts w:ascii="宋体" w:hAnsi="宋体" w:eastAsia="宋体" w:cs="宋体"/>
                <w:sz w:val="18"/>
                <w:szCs w:val="18"/>
              </w:rPr>
              <w:t>-136,609,227.81</w:t>
            </w:r>
          </w:p>
        </w:tc>
        <w:tc>
          <w:tcPr>
            <w:tcW w:w="3213" w:type="dxa"/>
            <w:tcBorders>
              <w:top w:val="single" w:color="auto" w:sz="2" w:space="0"/>
              <w:left w:val="single" w:color="auto" w:sz="2" w:space="0"/>
              <w:bottom w:val="single" w:color="auto" w:sz="2" w:space="0"/>
              <w:right w:val="single" w:color="auto" w:sz="2" w:space="0"/>
            </w:tcBorders>
            <w:vAlign w:val="center"/>
          </w:tcPr>
          <w:p w14:paraId="726D60DD">
            <w:pPr>
              <w:spacing w:line="240" w:lineRule="exact"/>
              <w:jc w:val="right"/>
              <w:rPr>
                <w:rFonts w:ascii="宋体" w:hAnsi="宋体" w:eastAsia="宋体" w:cs="宋体"/>
                <w:sz w:val="18"/>
                <w:szCs w:val="18"/>
              </w:rPr>
            </w:pPr>
            <w:r>
              <w:rPr>
                <w:rFonts w:ascii="宋体" w:hAnsi="宋体" w:eastAsia="宋体" w:cs="宋体"/>
                <w:sz w:val="18"/>
                <w:szCs w:val="18"/>
              </w:rPr>
              <w:t>116,827,460.24</w:t>
            </w:r>
          </w:p>
        </w:tc>
      </w:tr>
      <w:tr w14:paraId="1255D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A603A2">
            <w:pPr>
              <w:spacing w:line="240" w:lineRule="exac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AB5947"/>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CCAF4C"/>
        </w:tc>
      </w:tr>
      <w:tr w14:paraId="0FD3E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8D0D87">
            <w:pPr>
              <w:spacing w:line="240" w:lineRule="exact"/>
              <w:ind w:firstLine="180" w:firstLineChars="100"/>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5F5202B8">
            <w:pPr>
              <w:spacing w:line="240" w:lineRule="exact"/>
              <w:jc w:val="right"/>
              <w:rPr>
                <w:rFonts w:ascii="宋体" w:hAnsi="宋体" w:eastAsia="宋体" w:cs="宋体"/>
                <w:sz w:val="18"/>
                <w:szCs w:val="18"/>
              </w:rPr>
            </w:pPr>
            <w:r>
              <w:rPr>
                <w:rFonts w:ascii="宋体" w:hAnsi="宋体" w:eastAsia="宋体" w:cs="宋体"/>
                <w:sz w:val="18"/>
                <w:szCs w:val="18"/>
              </w:rPr>
              <w:t>440,000,001.00</w:t>
            </w:r>
          </w:p>
        </w:tc>
        <w:tc>
          <w:tcPr>
            <w:tcW w:w="3213" w:type="dxa"/>
            <w:tcBorders>
              <w:top w:val="single" w:color="auto" w:sz="2" w:space="0"/>
              <w:left w:val="single" w:color="auto" w:sz="2" w:space="0"/>
              <w:bottom w:val="single" w:color="auto" w:sz="2" w:space="0"/>
              <w:right w:val="single" w:color="auto" w:sz="2" w:space="0"/>
            </w:tcBorders>
            <w:vAlign w:val="center"/>
          </w:tcPr>
          <w:p w14:paraId="2EB42D38">
            <w:pPr>
              <w:spacing w:line="240" w:lineRule="exact"/>
              <w:jc w:val="right"/>
              <w:rPr>
                <w:rFonts w:ascii="宋体" w:hAnsi="宋体" w:eastAsia="宋体" w:cs="宋体"/>
                <w:sz w:val="18"/>
                <w:szCs w:val="18"/>
              </w:rPr>
            </w:pPr>
            <w:r>
              <w:rPr>
                <w:rFonts w:ascii="宋体" w:hAnsi="宋体" w:eastAsia="宋体" w:cs="宋体"/>
                <w:sz w:val="18"/>
                <w:szCs w:val="18"/>
              </w:rPr>
              <w:t>10,000.00</w:t>
            </w:r>
          </w:p>
        </w:tc>
      </w:tr>
      <w:tr w14:paraId="05A75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537BD1">
            <w:pPr>
              <w:spacing w:line="240" w:lineRule="exact"/>
              <w:ind w:firstLine="180" w:firstLineChars="100"/>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1F6192F4">
            <w:pPr>
              <w:spacing w:line="240" w:lineRule="exact"/>
              <w:jc w:val="right"/>
              <w:rPr>
                <w:rFonts w:ascii="宋体" w:hAnsi="宋体" w:eastAsia="宋体" w:cs="宋体"/>
                <w:sz w:val="18"/>
                <w:szCs w:val="18"/>
              </w:rPr>
            </w:pPr>
            <w:r>
              <w:rPr>
                <w:rFonts w:ascii="宋体" w:hAnsi="宋体" w:eastAsia="宋体" w:cs="宋体"/>
                <w:sz w:val="18"/>
                <w:szCs w:val="18"/>
              </w:rPr>
              <w:t>65,448,021.38</w:t>
            </w:r>
          </w:p>
        </w:tc>
        <w:tc>
          <w:tcPr>
            <w:tcW w:w="3213" w:type="dxa"/>
            <w:tcBorders>
              <w:top w:val="single" w:color="auto" w:sz="2" w:space="0"/>
              <w:left w:val="single" w:color="auto" w:sz="2" w:space="0"/>
              <w:bottom w:val="single" w:color="auto" w:sz="2" w:space="0"/>
              <w:right w:val="single" w:color="auto" w:sz="2" w:space="0"/>
            </w:tcBorders>
            <w:vAlign w:val="center"/>
          </w:tcPr>
          <w:p w14:paraId="29D5DFE3">
            <w:pPr>
              <w:spacing w:line="240" w:lineRule="exact"/>
              <w:jc w:val="right"/>
              <w:rPr>
                <w:rFonts w:ascii="宋体" w:hAnsi="宋体" w:eastAsia="宋体" w:cs="宋体"/>
                <w:sz w:val="18"/>
                <w:szCs w:val="18"/>
              </w:rPr>
            </w:pPr>
            <w:r>
              <w:rPr>
                <w:rFonts w:ascii="宋体" w:hAnsi="宋体" w:eastAsia="宋体" w:cs="宋体"/>
                <w:sz w:val="18"/>
                <w:szCs w:val="18"/>
              </w:rPr>
              <w:t>4,868.14</w:t>
            </w:r>
          </w:p>
        </w:tc>
      </w:tr>
      <w:tr w14:paraId="50BCC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3C686F">
            <w:pPr>
              <w:spacing w:line="240" w:lineRule="exact"/>
              <w:ind w:firstLine="180" w:firstLineChars="100"/>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759B8596">
            <w:pPr>
              <w:spacing w:line="240" w:lineRule="exact"/>
              <w:jc w:val="right"/>
              <w:rPr>
                <w:rFonts w:ascii="宋体" w:hAnsi="宋体" w:eastAsia="宋体" w:cs="宋体"/>
                <w:sz w:val="18"/>
                <w:szCs w:val="18"/>
              </w:rPr>
            </w:pPr>
            <w:r>
              <w:rPr>
                <w:rFonts w:ascii="宋体" w:hAnsi="宋体" w:eastAsia="宋体" w:cs="宋体"/>
                <w:sz w:val="18"/>
                <w:szCs w:val="18"/>
              </w:rPr>
              <w:t>652,000.00</w:t>
            </w:r>
          </w:p>
        </w:tc>
        <w:tc>
          <w:tcPr>
            <w:tcW w:w="3213" w:type="dxa"/>
            <w:tcBorders>
              <w:top w:val="single" w:color="auto" w:sz="2" w:space="0"/>
              <w:left w:val="single" w:color="auto" w:sz="2" w:space="0"/>
              <w:bottom w:val="single" w:color="auto" w:sz="2" w:space="0"/>
              <w:right w:val="single" w:color="auto" w:sz="2" w:space="0"/>
            </w:tcBorders>
            <w:vAlign w:val="center"/>
          </w:tcPr>
          <w:p w14:paraId="7ABE8FB5">
            <w:pPr>
              <w:spacing w:line="240" w:lineRule="exact"/>
              <w:jc w:val="right"/>
              <w:rPr>
                <w:rFonts w:ascii="宋体" w:hAnsi="宋体" w:eastAsia="宋体" w:cs="宋体"/>
                <w:sz w:val="18"/>
                <w:szCs w:val="18"/>
              </w:rPr>
            </w:pPr>
            <w:r>
              <w:rPr>
                <w:rFonts w:ascii="宋体" w:hAnsi="宋体" w:eastAsia="宋体" w:cs="宋体"/>
                <w:sz w:val="18"/>
                <w:szCs w:val="18"/>
              </w:rPr>
              <w:t>1,506,683.74</w:t>
            </w:r>
          </w:p>
        </w:tc>
      </w:tr>
      <w:tr w14:paraId="6468F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166388">
            <w:pPr>
              <w:spacing w:line="240" w:lineRule="exact"/>
              <w:ind w:firstLine="180" w:firstLineChars="100"/>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3C012E24">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A5A066E">
            <w:pPr>
              <w:spacing w:line="240" w:lineRule="exact"/>
              <w:jc w:val="right"/>
              <w:rPr>
                <w:rFonts w:ascii="宋体" w:hAnsi="宋体" w:eastAsia="宋体" w:cs="宋体"/>
                <w:sz w:val="18"/>
                <w:szCs w:val="18"/>
              </w:rPr>
            </w:pPr>
          </w:p>
        </w:tc>
      </w:tr>
      <w:tr w14:paraId="7F786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85E388">
            <w:pPr>
              <w:spacing w:line="240" w:lineRule="exact"/>
              <w:ind w:firstLine="180" w:firstLineChars="100"/>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3FC62BEC">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3E56602">
            <w:pPr>
              <w:spacing w:line="240" w:lineRule="exact"/>
              <w:jc w:val="right"/>
              <w:rPr>
                <w:rFonts w:ascii="宋体" w:hAnsi="宋体" w:eastAsia="宋体" w:cs="宋体"/>
                <w:sz w:val="18"/>
                <w:szCs w:val="18"/>
              </w:rPr>
            </w:pPr>
          </w:p>
        </w:tc>
      </w:tr>
      <w:tr w14:paraId="47D0B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48F9AF">
            <w:pPr>
              <w:spacing w:line="240" w:lineRule="exac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3372797F">
            <w:pPr>
              <w:spacing w:line="240" w:lineRule="exact"/>
              <w:jc w:val="right"/>
              <w:rPr>
                <w:rFonts w:ascii="宋体" w:hAnsi="宋体" w:eastAsia="宋体" w:cs="宋体"/>
                <w:sz w:val="18"/>
                <w:szCs w:val="18"/>
              </w:rPr>
            </w:pPr>
            <w:r>
              <w:rPr>
                <w:rFonts w:ascii="宋体" w:hAnsi="宋体" w:eastAsia="宋体" w:cs="宋体"/>
                <w:sz w:val="18"/>
                <w:szCs w:val="18"/>
              </w:rPr>
              <w:t>506,100,022.38</w:t>
            </w:r>
          </w:p>
        </w:tc>
        <w:tc>
          <w:tcPr>
            <w:tcW w:w="3213" w:type="dxa"/>
            <w:tcBorders>
              <w:top w:val="single" w:color="auto" w:sz="2" w:space="0"/>
              <w:left w:val="single" w:color="auto" w:sz="2" w:space="0"/>
              <w:bottom w:val="single" w:color="auto" w:sz="2" w:space="0"/>
              <w:right w:val="single" w:color="auto" w:sz="2" w:space="0"/>
            </w:tcBorders>
            <w:vAlign w:val="center"/>
          </w:tcPr>
          <w:p w14:paraId="1BAE4571">
            <w:pPr>
              <w:spacing w:line="240" w:lineRule="exact"/>
              <w:jc w:val="right"/>
              <w:rPr>
                <w:rFonts w:ascii="宋体" w:hAnsi="宋体" w:eastAsia="宋体" w:cs="宋体"/>
                <w:sz w:val="18"/>
                <w:szCs w:val="18"/>
              </w:rPr>
            </w:pPr>
            <w:r>
              <w:rPr>
                <w:rFonts w:ascii="宋体" w:hAnsi="宋体" w:eastAsia="宋体" w:cs="宋体"/>
                <w:sz w:val="18"/>
                <w:szCs w:val="18"/>
              </w:rPr>
              <w:t>1,521,551.88</w:t>
            </w:r>
          </w:p>
        </w:tc>
      </w:tr>
      <w:tr w14:paraId="76817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199C0B">
            <w:pPr>
              <w:spacing w:line="240" w:lineRule="exact"/>
              <w:ind w:firstLine="180" w:firstLineChars="100"/>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42EA37F7">
            <w:pPr>
              <w:spacing w:line="240" w:lineRule="exact"/>
              <w:jc w:val="right"/>
              <w:rPr>
                <w:rFonts w:ascii="宋体" w:hAnsi="宋体" w:eastAsia="宋体" w:cs="宋体"/>
                <w:sz w:val="18"/>
                <w:szCs w:val="18"/>
              </w:rPr>
            </w:pPr>
            <w:r>
              <w:rPr>
                <w:rFonts w:ascii="宋体" w:hAnsi="宋体" w:eastAsia="宋体" w:cs="宋体"/>
                <w:sz w:val="18"/>
                <w:szCs w:val="18"/>
              </w:rPr>
              <w:t>106,934,699.00</w:t>
            </w:r>
          </w:p>
        </w:tc>
        <w:tc>
          <w:tcPr>
            <w:tcW w:w="3213" w:type="dxa"/>
            <w:tcBorders>
              <w:top w:val="single" w:color="auto" w:sz="2" w:space="0"/>
              <w:left w:val="single" w:color="auto" w:sz="2" w:space="0"/>
              <w:bottom w:val="single" w:color="auto" w:sz="2" w:space="0"/>
              <w:right w:val="single" w:color="auto" w:sz="2" w:space="0"/>
            </w:tcBorders>
            <w:vAlign w:val="center"/>
          </w:tcPr>
          <w:p w14:paraId="156B7F5E">
            <w:pPr>
              <w:spacing w:line="240" w:lineRule="exact"/>
              <w:jc w:val="right"/>
              <w:rPr>
                <w:rFonts w:ascii="宋体" w:hAnsi="宋体" w:eastAsia="宋体" w:cs="宋体"/>
                <w:sz w:val="18"/>
                <w:szCs w:val="18"/>
              </w:rPr>
            </w:pPr>
            <w:r>
              <w:rPr>
                <w:rFonts w:ascii="宋体" w:hAnsi="宋体" w:eastAsia="宋体" w:cs="宋体"/>
                <w:sz w:val="18"/>
                <w:szCs w:val="18"/>
              </w:rPr>
              <w:t>191,646,321.00</w:t>
            </w:r>
          </w:p>
        </w:tc>
      </w:tr>
      <w:tr w14:paraId="5D1A6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3CCF8A">
            <w:pPr>
              <w:spacing w:line="240" w:lineRule="exact"/>
              <w:ind w:firstLine="180" w:firstLineChars="100"/>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5E656F41">
            <w:pPr>
              <w:spacing w:line="240" w:lineRule="exact"/>
              <w:jc w:val="right"/>
              <w:rPr>
                <w:rFonts w:ascii="宋体" w:hAnsi="宋体" w:eastAsia="宋体" w:cs="宋体"/>
                <w:sz w:val="18"/>
                <w:szCs w:val="18"/>
              </w:rPr>
            </w:pPr>
            <w:r>
              <w:rPr>
                <w:rFonts w:ascii="宋体" w:hAnsi="宋体" w:eastAsia="宋体" w:cs="宋体"/>
                <w:sz w:val="18"/>
                <w:szCs w:val="18"/>
              </w:rPr>
              <w:t>496,250,001.00</w:t>
            </w:r>
          </w:p>
        </w:tc>
        <w:tc>
          <w:tcPr>
            <w:tcW w:w="3213" w:type="dxa"/>
            <w:tcBorders>
              <w:top w:val="single" w:color="auto" w:sz="2" w:space="0"/>
              <w:left w:val="single" w:color="auto" w:sz="2" w:space="0"/>
              <w:bottom w:val="single" w:color="auto" w:sz="2" w:space="0"/>
              <w:right w:val="single" w:color="auto" w:sz="2" w:space="0"/>
            </w:tcBorders>
            <w:vAlign w:val="center"/>
          </w:tcPr>
          <w:p w14:paraId="598945E1">
            <w:pPr>
              <w:spacing w:line="240" w:lineRule="exact"/>
              <w:jc w:val="right"/>
              <w:rPr>
                <w:rFonts w:ascii="宋体" w:hAnsi="宋体" w:eastAsia="宋体" w:cs="宋体"/>
                <w:sz w:val="18"/>
                <w:szCs w:val="18"/>
              </w:rPr>
            </w:pPr>
          </w:p>
        </w:tc>
      </w:tr>
      <w:tr w14:paraId="4E970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BFDE66">
            <w:pPr>
              <w:spacing w:line="240" w:lineRule="exact"/>
              <w:ind w:firstLine="180" w:firstLineChars="100"/>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14:paraId="4216AA8E">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357483D">
            <w:pPr>
              <w:spacing w:line="240" w:lineRule="exact"/>
              <w:jc w:val="right"/>
              <w:rPr>
                <w:rFonts w:ascii="宋体" w:hAnsi="宋体" w:eastAsia="宋体" w:cs="宋体"/>
                <w:sz w:val="18"/>
                <w:szCs w:val="18"/>
              </w:rPr>
            </w:pPr>
          </w:p>
        </w:tc>
      </w:tr>
      <w:tr w14:paraId="2CE82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BF16D3">
            <w:pPr>
              <w:spacing w:line="240" w:lineRule="exact"/>
              <w:ind w:firstLine="180" w:firstLineChars="100"/>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2D17D90E">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64709D2">
            <w:pPr>
              <w:spacing w:line="240" w:lineRule="exact"/>
              <w:jc w:val="right"/>
              <w:rPr>
                <w:rFonts w:ascii="宋体" w:hAnsi="宋体" w:eastAsia="宋体" w:cs="宋体"/>
                <w:sz w:val="18"/>
                <w:szCs w:val="18"/>
              </w:rPr>
            </w:pPr>
          </w:p>
        </w:tc>
      </w:tr>
      <w:tr w14:paraId="21913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77256D">
            <w:pPr>
              <w:spacing w:line="240" w:lineRule="exac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61F6EB55">
            <w:pPr>
              <w:spacing w:line="240" w:lineRule="exact"/>
              <w:jc w:val="right"/>
              <w:rPr>
                <w:rFonts w:ascii="宋体" w:hAnsi="宋体" w:eastAsia="宋体" w:cs="宋体"/>
                <w:sz w:val="18"/>
                <w:szCs w:val="18"/>
              </w:rPr>
            </w:pPr>
            <w:r>
              <w:rPr>
                <w:rFonts w:ascii="宋体" w:hAnsi="宋体" w:eastAsia="宋体" w:cs="宋体"/>
                <w:sz w:val="18"/>
                <w:szCs w:val="18"/>
              </w:rPr>
              <w:t>603,184,700.00</w:t>
            </w:r>
          </w:p>
        </w:tc>
        <w:tc>
          <w:tcPr>
            <w:tcW w:w="3213" w:type="dxa"/>
            <w:tcBorders>
              <w:top w:val="single" w:color="auto" w:sz="2" w:space="0"/>
              <w:left w:val="single" w:color="auto" w:sz="2" w:space="0"/>
              <w:bottom w:val="single" w:color="auto" w:sz="2" w:space="0"/>
              <w:right w:val="single" w:color="auto" w:sz="2" w:space="0"/>
            </w:tcBorders>
            <w:vAlign w:val="center"/>
          </w:tcPr>
          <w:p w14:paraId="666129EB">
            <w:pPr>
              <w:spacing w:line="240" w:lineRule="exact"/>
              <w:jc w:val="right"/>
              <w:rPr>
                <w:rFonts w:ascii="宋体" w:hAnsi="宋体" w:eastAsia="宋体" w:cs="宋体"/>
                <w:sz w:val="18"/>
                <w:szCs w:val="18"/>
              </w:rPr>
            </w:pPr>
            <w:r>
              <w:rPr>
                <w:rFonts w:ascii="宋体" w:hAnsi="宋体" w:eastAsia="宋体" w:cs="宋体"/>
                <w:sz w:val="18"/>
                <w:szCs w:val="18"/>
              </w:rPr>
              <w:t>191,646,321.00</w:t>
            </w:r>
          </w:p>
        </w:tc>
      </w:tr>
      <w:tr w14:paraId="7E3F2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7476FA">
            <w:pPr>
              <w:spacing w:line="240" w:lineRule="exac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73D5C934">
            <w:pPr>
              <w:spacing w:line="240" w:lineRule="exact"/>
              <w:jc w:val="right"/>
              <w:rPr>
                <w:rFonts w:ascii="宋体" w:hAnsi="宋体" w:eastAsia="宋体" w:cs="宋体"/>
                <w:sz w:val="18"/>
                <w:szCs w:val="18"/>
              </w:rPr>
            </w:pPr>
            <w:r>
              <w:rPr>
                <w:rFonts w:ascii="宋体" w:hAnsi="宋体" w:eastAsia="宋体" w:cs="宋体"/>
                <w:sz w:val="18"/>
                <w:szCs w:val="18"/>
              </w:rPr>
              <w:t>-97,084,677.62</w:t>
            </w:r>
          </w:p>
        </w:tc>
        <w:tc>
          <w:tcPr>
            <w:tcW w:w="3213" w:type="dxa"/>
            <w:tcBorders>
              <w:top w:val="single" w:color="auto" w:sz="2" w:space="0"/>
              <w:left w:val="single" w:color="auto" w:sz="2" w:space="0"/>
              <w:bottom w:val="single" w:color="auto" w:sz="2" w:space="0"/>
              <w:right w:val="single" w:color="auto" w:sz="2" w:space="0"/>
            </w:tcBorders>
            <w:vAlign w:val="center"/>
          </w:tcPr>
          <w:p w14:paraId="55A5FAAC">
            <w:pPr>
              <w:spacing w:line="240" w:lineRule="exact"/>
              <w:jc w:val="right"/>
              <w:rPr>
                <w:rFonts w:ascii="宋体" w:hAnsi="宋体" w:eastAsia="宋体" w:cs="宋体"/>
                <w:sz w:val="18"/>
                <w:szCs w:val="18"/>
              </w:rPr>
            </w:pPr>
            <w:r>
              <w:rPr>
                <w:rFonts w:ascii="宋体" w:hAnsi="宋体" w:eastAsia="宋体" w:cs="宋体"/>
                <w:sz w:val="18"/>
                <w:szCs w:val="18"/>
              </w:rPr>
              <w:t>-190,124,769.12</w:t>
            </w:r>
          </w:p>
        </w:tc>
      </w:tr>
      <w:tr w14:paraId="14A6B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B0588F">
            <w:pPr>
              <w:spacing w:line="240" w:lineRule="exac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4BBC56"/>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B10CEE"/>
        </w:tc>
      </w:tr>
      <w:tr w14:paraId="3E36F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599A7D">
            <w:pPr>
              <w:spacing w:line="240" w:lineRule="exact"/>
              <w:ind w:firstLine="180" w:firstLineChars="100"/>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1421EB5D">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0B8759D">
            <w:pPr>
              <w:spacing w:line="240" w:lineRule="exact"/>
              <w:jc w:val="right"/>
              <w:rPr>
                <w:rFonts w:ascii="宋体" w:hAnsi="宋体" w:eastAsia="宋体" w:cs="宋体"/>
                <w:sz w:val="18"/>
                <w:szCs w:val="18"/>
              </w:rPr>
            </w:pPr>
          </w:p>
        </w:tc>
      </w:tr>
      <w:tr w14:paraId="3F47A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4015DE">
            <w:pPr>
              <w:spacing w:line="240" w:lineRule="exact"/>
              <w:ind w:firstLine="180" w:firstLineChars="100"/>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14:paraId="55A52799">
            <w:pPr>
              <w:spacing w:line="240" w:lineRule="exact"/>
              <w:jc w:val="right"/>
              <w:rPr>
                <w:rFonts w:ascii="宋体" w:hAnsi="宋体" w:eastAsia="宋体" w:cs="宋体"/>
                <w:sz w:val="18"/>
                <w:szCs w:val="18"/>
              </w:rPr>
            </w:pPr>
            <w:r>
              <w:rPr>
                <w:rFonts w:ascii="宋体" w:hAnsi="宋体" w:eastAsia="宋体" w:cs="宋体"/>
                <w:sz w:val="18"/>
                <w:szCs w:val="18"/>
              </w:rPr>
              <w:t>429,808,997.83</w:t>
            </w:r>
          </w:p>
        </w:tc>
        <w:tc>
          <w:tcPr>
            <w:tcW w:w="3213" w:type="dxa"/>
            <w:tcBorders>
              <w:top w:val="single" w:color="auto" w:sz="2" w:space="0"/>
              <w:left w:val="single" w:color="auto" w:sz="2" w:space="0"/>
              <w:bottom w:val="single" w:color="auto" w:sz="2" w:space="0"/>
              <w:right w:val="single" w:color="auto" w:sz="2" w:space="0"/>
            </w:tcBorders>
            <w:vAlign w:val="center"/>
          </w:tcPr>
          <w:p w14:paraId="37B11B79">
            <w:pPr>
              <w:spacing w:line="240" w:lineRule="exact"/>
              <w:jc w:val="right"/>
              <w:rPr>
                <w:rFonts w:ascii="宋体" w:hAnsi="宋体" w:eastAsia="宋体" w:cs="宋体"/>
                <w:sz w:val="18"/>
                <w:szCs w:val="18"/>
              </w:rPr>
            </w:pPr>
            <w:r>
              <w:rPr>
                <w:rFonts w:ascii="宋体" w:hAnsi="宋体" w:eastAsia="宋体" w:cs="宋体"/>
                <w:sz w:val="18"/>
                <w:szCs w:val="18"/>
              </w:rPr>
              <w:t>281,476,171.84</w:t>
            </w:r>
          </w:p>
        </w:tc>
      </w:tr>
      <w:tr w14:paraId="00752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0BE3DE">
            <w:pPr>
              <w:spacing w:line="240" w:lineRule="exact"/>
              <w:ind w:firstLine="180" w:firstLineChars="100"/>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6BC4BB94">
            <w:pPr>
              <w:spacing w:line="240" w:lineRule="exact"/>
              <w:jc w:val="right"/>
              <w:rPr>
                <w:rFonts w:ascii="宋体" w:hAnsi="宋体" w:eastAsia="宋体" w:cs="宋体"/>
                <w:sz w:val="18"/>
                <w:szCs w:val="18"/>
              </w:rPr>
            </w:pPr>
            <w:r>
              <w:rPr>
                <w:rFonts w:ascii="宋体" w:hAnsi="宋体" w:eastAsia="宋体" w:cs="宋体"/>
                <w:sz w:val="18"/>
                <w:szCs w:val="18"/>
              </w:rPr>
              <w:t>30,892,356.00</w:t>
            </w:r>
          </w:p>
        </w:tc>
        <w:tc>
          <w:tcPr>
            <w:tcW w:w="3213" w:type="dxa"/>
            <w:tcBorders>
              <w:top w:val="single" w:color="auto" w:sz="2" w:space="0"/>
              <w:left w:val="single" w:color="auto" w:sz="2" w:space="0"/>
              <w:bottom w:val="single" w:color="auto" w:sz="2" w:space="0"/>
              <w:right w:val="single" w:color="auto" w:sz="2" w:space="0"/>
            </w:tcBorders>
            <w:vAlign w:val="center"/>
          </w:tcPr>
          <w:p w14:paraId="440D99FA">
            <w:pPr>
              <w:spacing w:line="240" w:lineRule="exact"/>
              <w:jc w:val="right"/>
              <w:rPr>
                <w:rFonts w:ascii="宋体" w:hAnsi="宋体" w:eastAsia="宋体" w:cs="宋体"/>
                <w:sz w:val="18"/>
                <w:szCs w:val="18"/>
              </w:rPr>
            </w:pPr>
          </w:p>
        </w:tc>
      </w:tr>
      <w:tr w14:paraId="78D3E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2AA70C">
            <w:pPr>
              <w:spacing w:line="240" w:lineRule="exac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14:paraId="7972F6BE">
            <w:pPr>
              <w:spacing w:line="240" w:lineRule="exact"/>
              <w:jc w:val="right"/>
              <w:rPr>
                <w:rFonts w:ascii="宋体" w:hAnsi="宋体" w:eastAsia="宋体" w:cs="宋体"/>
                <w:sz w:val="18"/>
                <w:szCs w:val="18"/>
              </w:rPr>
            </w:pPr>
            <w:r>
              <w:rPr>
                <w:rFonts w:ascii="宋体" w:hAnsi="宋体" w:eastAsia="宋体" w:cs="宋体"/>
                <w:sz w:val="18"/>
                <w:szCs w:val="18"/>
              </w:rPr>
              <w:t>460,701,353.83</w:t>
            </w:r>
          </w:p>
        </w:tc>
        <w:tc>
          <w:tcPr>
            <w:tcW w:w="3213" w:type="dxa"/>
            <w:tcBorders>
              <w:top w:val="single" w:color="auto" w:sz="2" w:space="0"/>
              <w:left w:val="single" w:color="auto" w:sz="2" w:space="0"/>
              <w:bottom w:val="single" w:color="auto" w:sz="2" w:space="0"/>
              <w:right w:val="single" w:color="auto" w:sz="2" w:space="0"/>
            </w:tcBorders>
            <w:vAlign w:val="center"/>
          </w:tcPr>
          <w:p w14:paraId="542D7DD8">
            <w:pPr>
              <w:spacing w:line="240" w:lineRule="exact"/>
              <w:jc w:val="right"/>
              <w:rPr>
                <w:rFonts w:ascii="宋体" w:hAnsi="宋体" w:eastAsia="宋体" w:cs="宋体"/>
                <w:sz w:val="18"/>
                <w:szCs w:val="18"/>
              </w:rPr>
            </w:pPr>
            <w:r>
              <w:rPr>
                <w:rFonts w:ascii="宋体" w:hAnsi="宋体" w:eastAsia="宋体" w:cs="宋体"/>
                <w:sz w:val="18"/>
                <w:szCs w:val="18"/>
              </w:rPr>
              <w:t>281,476,171.84</w:t>
            </w:r>
          </w:p>
        </w:tc>
      </w:tr>
      <w:tr w14:paraId="30608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A00928">
            <w:pPr>
              <w:spacing w:line="240" w:lineRule="exact"/>
              <w:ind w:firstLine="180" w:firstLineChars="100"/>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2D457E02">
            <w:pPr>
              <w:spacing w:line="240" w:lineRule="exact"/>
              <w:jc w:val="right"/>
              <w:rPr>
                <w:rFonts w:ascii="宋体" w:hAnsi="宋体" w:eastAsia="宋体" w:cs="宋体"/>
                <w:sz w:val="18"/>
                <w:szCs w:val="18"/>
              </w:rPr>
            </w:pPr>
            <w:r>
              <w:rPr>
                <w:rFonts w:ascii="宋体" w:hAnsi="宋体" w:eastAsia="宋体" w:cs="宋体"/>
                <w:sz w:val="18"/>
                <w:szCs w:val="18"/>
              </w:rPr>
              <w:t>238,200,000.00</w:t>
            </w:r>
          </w:p>
        </w:tc>
        <w:tc>
          <w:tcPr>
            <w:tcW w:w="3213" w:type="dxa"/>
            <w:tcBorders>
              <w:top w:val="single" w:color="auto" w:sz="2" w:space="0"/>
              <w:left w:val="single" w:color="auto" w:sz="2" w:space="0"/>
              <w:bottom w:val="single" w:color="auto" w:sz="2" w:space="0"/>
              <w:right w:val="single" w:color="auto" w:sz="2" w:space="0"/>
            </w:tcBorders>
            <w:vAlign w:val="center"/>
          </w:tcPr>
          <w:p w14:paraId="3674366E">
            <w:pPr>
              <w:spacing w:line="240" w:lineRule="exact"/>
              <w:jc w:val="right"/>
              <w:rPr>
                <w:rFonts w:ascii="宋体" w:hAnsi="宋体" w:eastAsia="宋体" w:cs="宋体"/>
                <w:sz w:val="18"/>
                <w:szCs w:val="18"/>
              </w:rPr>
            </w:pPr>
            <w:r>
              <w:rPr>
                <w:rFonts w:ascii="宋体" w:hAnsi="宋体" w:eastAsia="宋体" w:cs="宋体"/>
                <w:sz w:val="18"/>
                <w:szCs w:val="18"/>
              </w:rPr>
              <w:t>30,421,524.97</w:t>
            </w:r>
          </w:p>
        </w:tc>
      </w:tr>
      <w:tr w14:paraId="01238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C6DFA7">
            <w:pPr>
              <w:spacing w:line="240" w:lineRule="exact"/>
              <w:ind w:firstLine="180" w:firstLineChars="100"/>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14:paraId="727EAB06">
            <w:pPr>
              <w:spacing w:line="240" w:lineRule="exact"/>
              <w:jc w:val="right"/>
              <w:rPr>
                <w:rFonts w:ascii="宋体" w:hAnsi="宋体" w:eastAsia="宋体" w:cs="宋体"/>
                <w:sz w:val="18"/>
                <w:szCs w:val="18"/>
              </w:rPr>
            </w:pPr>
            <w:r>
              <w:rPr>
                <w:rFonts w:ascii="宋体" w:hAnsi="宋体" w:eastAsia="宋体" w:cs="宋体"/>
                <w:sz w:val="18"/>
                <w:szCs w:val="18"/>
              </w:rPr>
              <w:t>19,524,853.03</w:t>
            </w:r>
          </w:p>
        </w:tc>
        <w:tc>
          <w:tcPr>
            <w:tcW w:w="3213" w:type="dxa"/>
            <w:tcBorders>
              <w:top w:val="single" w:color="auto" w:sz="2" w:space="0"/>
              <w:left w:val="single" w:color="auto" w:sz="2" w:space="0"/>
              <w:bottom w:val="single" w:color="auto" w:sz="2" w:space="0"/>
              <w:right w:val="single" w:color="auto" w:sz="2" w:space="0"/>
            </w:tcBorders>
            <w:vAlign w:val="center"/>
          </w:tcPr>
          <w:p w14:paraId="1C0BBDB8">
            <w:pPr>
              <w:spacing w:line="240" w:lineRule="exact"/>
              <w:jc w:val="right"/>
              <w:rPr>
                <w:rFonts w:ascii="宋体" w:hAnsi="宋体" w:eastAsia="宋体" w:cs="宋体"/>
                <w:sz w:val="18"/>
                <w:szCs w:val="18"/>
              </w:rPr>
            </w:pPr>
            <w:r>
              <w:rPr>
                <w:rFonts w:ascii="宋体" w:hAnsi="宋体" w:eastAsia="宋体" w:cs="宋体"/>
                <w:sz w:val="18"/>
                <w:szCs w:val="18"/>
              </w:rPr>
              <w:t>65,492,870.60</w:t>
            </w:r>
          </w:p>
        </w:tc>
      </w:tr>
      <w:tr w14:paraId="2981F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4342F5">
            <w:pPr>
              <w:spacing w:line="240" w:lineRule="exact"/>
              <w:ind w:firstLine="180" w:firstLineChars="100"/>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14:paraId="1CE6B4E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4C8D3F9">
            <w:pPr>
              <w:spacing w:line="240" w:lineRule="exact"/>
              <w:jc w:val="right"/>
              <w:rPr>
                <w:rFonts w:ascii="宋体" w:hAnsi="宋体" w:eastAsia="宋体" w:cs="宋体"/>
                <w:sz w:val="18"/>
                <w:szCs w:val="18"/>
              </w:rPr>
            </w:pPr>
            <w:r>
              <w:rPr>
                <w:rFonts w:ascii="宋体" w:hAnsi="宋体" w:eastAsia="宋体" w:cs="宋体"/>
                <w:sz w:val="18"/>
                <w:szCs w:val="18"/>
              </w:rPr>
              <w:t>39,942,441.13</w:t>
            </w:r>
          </w:p>
        </w:tc>
      </w:tr>
      <w:tr w14:paraId="68CED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FE0DC9">
            <w:pPr>
              <w:spacing w:line="240" w:lineRule="exac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14:paraId="13360D71">
            <w:pPr>
              <w:spacing w:line="240" w:lineRule="exact"/>
              <w:jc w:val="right"/>
              <w:rPr>
                <w:rFonts w:ascii="宋体" w:hAnsi="宋体" w:eastAsia="宋体" w:cs="宋体"/>
                <w:sz w:val="18"/>
                <w:szCs w:val="18"/>
              </w:rPr>
            </w:pPr>
            <w:r>
              <w:rPr>
                <w:rFonts w:ascii="宋体" w:hAnsi="宋体" w:eastAsia="宋体" w:cs="宋体"/>
                <w:sz w:val="18"/>
                <w:szCs w:val="18"/>
              </w:rPr>
              <w:t>257,724,853.03</w:t>
            </w:r>
          </w:p>
        </w:tc>
        <w:tc>
          <w:tcPr>
            <w:tcW w:w="3213" w:type="dxa"/>
            <w:tcBorders>
              <w:top w:val="single" w:color="auto" w:sz="2" w:space="0"/>
              <w:left w:val="single" w:color="auto" w:sz="2" w:space="0"/>
              <w:bottom w:val="single" w:color="auto" w:sz="2" w:space="0"/>
              <w:right w:val="single" w:color="auto" w:sz="2" w:space="0"/>
            </w:tcBorders>
            <w:vAlign w:val="center"/>
          </w:tcPr>
          <w:p w14:paraId="5B6B0962">
            <w:pPr>
              <w:spacing w:line="240" w:lineRule="exact"/>
              <w:jc w:val="right"/>
              <w:rPr>
                <w:rFonts w:ascii="宋体" w:hAnsi="宋体" w:eastAsia="宋体" w:cs="宋体"/>
                <w:sz w:val="18"/>
                <w:szCs w:val="18"/>
              </w:rPr>
            </w:pPr>
            <w:r>
              <w:rPr>
                <w:rFonts w:ascii="宋体" w:hAnsi="宋体" w:eastAsia="宋体" w:cs="宋体"/>
                <w:sz w:val="18"/>
                <w:szCs w:val="18"/>
              </w:rPr>
              <w:t>135,856,836.70</w:t>
            </w:r>
          </w:p>
        </w:tc>
      </w:tr>
      <w:tr w14:paraId="6438A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A98EDA">
            <w:pPr>
              <w:spacing w:line="240" w:lineRule="exac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20E16CB7">
            <w:pPr>
              <w:spacing w:line="240" w:lineRule="exact"/>
              <w:jc w:val="right"/>
              <w:rPr>
                <w:rFonts w:ascii="宋体" w:hAnsi="宋体" w:eastAsia="宋体" w:cs="宋体"/>
                <w:sz w:val="18"/>
                <w:szCs w:val="18"/>
              </w:rPr>
            </w:pPr>
            <w:r>
              <w:rPr>
                <w:rFonts w:ascii="宋体" w:hAnsi="宋体" w:eastAsia="宋体" w:cs="宋体"/>
                <w:sz w:val="18"/>
                <w:szCs w:val="18"/>
              </w:rPr>
              <w:t>202,976,500.80</w:t>
            </w:r>
          </w:p>
        </w:tc>
        <w:tc>
          <w:tcPr>
            <w:tcW w:w="3213" w:type="dxa"/>
            <w:tcBorders>
              <w:top w:val="single" w:color="auto" w:sz="2" w:space="0"/>
              <w:left w:val="single" w:color="auto" w:sz="2" w:space="0"/>
              <w:bottom w:val="single" w:color="auto" w:sz="2" w:space="0"/>
              <w:right w:val="single" w:color="auto" w:sz="2" w:space="0"/>
            </w:tcBorders>
            <w:vAlign w:val="center"/>
          </w:tcPr>
          <w:p w14:paraId="0DDDFE23">
            <w:pPr>
              <w:spacing w:line="240" w:lineRule="exact"/>
              <w:jc w:val="right"/>
              <w:rPr>
                <w:rFonts w:ascii="宋体" w:hAnsi="宋体" w:eastAsia="宋体" w:cs="宋体"/>
                <w:sz w:val="18"/>
                <w:szCs w:val="18"/>
              </w:rPr>
            </w:pPr>
            <w:r>
              <w:rPr>
                <w:rFonts w:ascii="宋体" w:hAnsi="宋体" w:eastAsia="宋体" w:cs="宋体"/>
                <w:sz w:val="18"/>
                <w:szCs w:val="18"/>
              </w:rPr>
              <w:t>145,619,335.14</w:t>
            </w:r>
          </w:p>
        </w:tc>
      </w:tr>
      <w:tr w14:paraId="64749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880F15">
            <w:pPr>
              <w:spacing w:line="240" w:lineRule="exac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14:paraId="28C8EE83">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E387944">
            <w:pPr>
              <w:spacing w:line="240" w:lineRule="exact"/>
              <w:jc w:val="right"/>
              <w:rPr>
                <w:rFonts w:ascii="宋体" w:hAnsi="宋体" w:eastAsia="宋体" w:cs="宋体"/>
                <w:sz w:val="18"/>
                <w:szCs w:val="18"/>
              </w:rPr>
            </w:pPr>
          </w:p>
        </w:tc>
      </w:tr>
      <w:tr w14:paraId="09EB5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AD6562F">
            <w:pPr>
              <w:spacing w:line="240" w:lineRule="exac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5474D0D4">
            <w:pPr>
              <w:spacing w:line="240" w:lineRule="exact"/>
              <w:jc w:val="right"/>
              <w:rPr>
                <w:rFonts w:ascii="宋体" w:hAnsi="宋体" w:eastAsia="宋体" w:cs="宋体"/>
                <w:sz w:val="18"/>
                <w:szCs w:val="18"/>
              </w:rPr>
            </w:pPr>
            <w:r>
              <w:rPr>
                <w:rFonts w:ascii="宋体" w:hAnsi="宋体" w:eastAsia="宋体" w:cs="宋体"/>
                <w:sz w:val="18"/>
                <w:szCs w:val="18"/>
              </w:rPr>
              <w:t>-30,717,404.63</w:t>
            </w:r>
          </w:p>
        </w:tc>
        <w:tc>
          <w:tcPr>
            <w:tcW w:w="3213" w:type="dxa"/>
            <w:tcBorders>
              <w:top w:val="single" w:color="auto" w:sz="2" w:space="0"/>
              <w:left w:val="single" w:color="auto" w:sz="2" w:space="0"/>
              <w:bottom w:val="single" w:color="auto" w:sz="2" w:space="0"/>
              <w:right w:val="single" w:color="auto" w:sz="2" w:space="0"/>
            </w:tcBorders>
            <w:vAlign w:val="center"/>
          </w:tcPr>
          <w:p w14:paraId="2DD10014">
            <w:pPr>
              <w:spacing w:line="240" w:lineRule="exact"/>
              <w:jc w:val="right"/>
              <w:rPr>
                <w:rFonts w:ascii="宋体" w:hAnsi="宋体" w:eastAsia="宋体" w:cs="宋体"/>
                <w:sz w:val="18"/>
                <w:szCs w:val="18"/>
              </w:rPr>
            </w:pPr>
            <w:r>
              <w:rPr>
                <w:rFonts w:ascii="宋体" w:hAnsi="宋体" w:eastAsia="宋体" w:cs="宋体"/>
                <w:sz w:val="18"/>
                <w:szCs w:val="18"/>
              </w:rPr>
              <w:t>72,322,026.26</w:t>
            </w:r>
          </w:p>
        </w:tc>
      </w:tr>
      <w:tr w14:paraId="0624C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CECEB9">
            <w:pPr>
              <w:spacing w:line="240" w:lineRule="exact"/>
              <w:ind w:firstLine="180" w:firstLineChars="100"/>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12449B03">
            <w:pPr>
              <w:spacing w:line="240" w:lineRule="exact"/>
              <w:jc w:val="right"/>
              <w:rPr>
                <w:rFonts w:ascii="宋体" w:hAnsi="宋体" w:eastAsia="宋体" w:cs="宋体"/>
                <w:sz w:val="18"/>
                <w:szCs w:val="18"/>
              </w:rPr>
            </w:pPr>
            <w:r>
              <w:rPr>
                <w:rFonts w:ascii="宋体" w:hAnsi="宋体" w:eastAsia="宋体" w:cs="宋体"/>
                <w:sz w:val="18"/>
                <w:szCs w:val="18"/>
              </w:rPr>
              <w:t>107,541,226.83</w:t>
            </w:r>
          </w:p>
        </w:tc>
        <w:tc>
          <w:tcPr>
            <w:tcW w:w="3213" w:type="dxa"/>
            <w:tcBorders>
              <w:top w:val="single" w:color="auto" w:sz="2" w:space="0"/>
              <w:left w:val="single" w:color="auto" w:sz="2" w:space="0"/>
              <w:bottom w:val="single" w:color="auto" w:sz="2" w:space="0"/>
              <w:right w:val="single" w:color="auto" w:sz="2" w:space="0"/>
            </w:tcBorders>
            <w:vAlign w:val="center"/>
          </w:tcPr>
          <w:p w14:paraId="6C8F92DA">
            <w:pPr>
              <w:spacing w:line="240" w:lineRule="exact"/>
              <w:jc w:val="right"/>
              <w:rPr>
                <w:rFonts w:ascii="宋体" w:hAnsi="宋体" w:eastAsia="宋体" w:cs="宋体"/>
                <w:sz w:val="18"/>
                <w:szCs w:val="18"/>
              </w:rPr>
            </w:pPr>
            <w:r>
              <w:rPr>
                <w:rFonts w:ascii="宋体" w:hAnsi="宋体" w:eastAsia="宋体" w:cs="宋体"/>
                <w:sz w:val="18"/>
                <w:szCs w:val="18"/>
              </w:rPr>
              <w:t>35,219,200.57</w:t>
            </w:r>
          </w:p>
        </w:tc>
      </w:tr>
      <w:tr w14:paraId="15C74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C952DF">
            <w:pPr>
              <w:spacing w:line="240" w:lineRule="exac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4A2D1AC7">
            <w:pPr>
              <w:spacing w:line="240" w:lineRule="exact"/>
              <w:jc w:val="right"/>
              <w:rPr>
                <w:rFonts w:ascii="宋体" w:hAnsi="宋体" w:eastAsia="宋体" w:cs="宋体"/>
                <w:sz w:val="18"/>
                <w:szCs w:val="18"/>
              </w:rPr>
            </w:pPr>
            <w:r>
              <w:rPr>
                <w:rFonts w:ascii="宋体" w:hAnsi="宋体" w:eastAsia="宋体" w:cs="宋体"/>
                <w:sz w:val="18"/>
                <w:szCs w:val="18"/>
              </w:rPr>
              <w:t>76,823,822.20</w:t>
            </w:r>
          </w:p>
        </w:tc>
        <w:tc>
          <w:tcPr>
            <w:tcW w:w="3213" w:type="dxa"/>
            <w:tcBorders>
              <w:top w:val="single" w:color="auto" w:sz="2" w:space="0"/>
              <w:left w:val="single" w:color="auto" w:sz="2" w:space="0"/>
              <w:bottom w:val="single" w:color="auto" w:sz="2" w:space="0"/>
              <w:right w:val="single" w:color="auto" w:sz="2" w:space="0"/>
            </w:tcBorders>
            <w:vAlign w:val="center"/>
          </w:tcPr>
          <w:p w14:paraId="2756A37C">
            <w:pPr>
              <w:spacing w:line="240" w:lineRule="exact"/>
              <w:jc w:val="right"/>
              <w:rPr>
                <w:rFonts w:ascii="宋体" w:hAnsi="宋体" w:eastAsia="宋体" w:cs="宋体"/>
                <w:sz w:val="18"/>
                <w:szCs w:val="18"/>
              </w:rPr>
            </w:pPr>
            <w:r>
              <w:rPr>
                <w:rFonts w:ascii="宋体" w:hAnsi="宋体" w:eastAsia="宋体" w:cs="宋体"/>
                <w:sz w:val="18"/>
                <w:szCs w:val="18"/>
              </w:rPr>
              <w:t>107,541,226.83</w:t>
            </w:r>
          </w:p>
        </w:tc>
      </w:tr>
    </w:tbl>
    <w:p w14:paraId="489C02B7">
      <w:pPr>
        <w:pStyle w:val="3"/>
        <w:spacing w:line="280" w:lineRule="exact"/>
        <w:jc w:val="left"/>
        <w:rPr>
          <w:rFonts w:ascii="宋体" w:hAnsi="宋体" w:cs="宋体"/>
          <w:b/>
          <w:bCs/>
        </w:rPr>
      </w:pPr>
      <w:bookmarkStart w:id="167" w:name="_Toc989053"/>
      <w:r>
        <w:rPr>
          <w:rFonts w:ascii="宋体" w:hAnsi="宋体" w:cs="宋体"/>
          <w:b/>
          <w:bCs/>
        </w:rPr>
        <w:t>7、合并所有者权益变动表</w:t>
      </w:r>
      <w:bookmarkEnd w:id="167"/>
    </w:p>
    <w:p w14:paraId="75C36A0E">
      <w:pPr>
        <w:spacing w:line="240" w:lineRule="exact"/>
        <w:rPr>
          <w:rFonts w:ascii="宋体" w:hAnsi="宋体" w:eastAsia="宋体" w:cs="宋体"/>
          <w:sz w:val="18"/>
          <w:szCs w:val="18"/>
        </w:rPr>
      </w:pPr>
      <w:r>
        <w:rPr>
          <w:rFonts w:ascii="宋体" w:hAnsi="宋体" w:eastAsia="宋体" w:cs="宋体"/>
          <w:sz w:val="18"/>
          <w:szCs w:val="18"/>
        </w:rPr>
        <w:t>本期金额</w:t>
      </w:r>
    </w:p>
    <w:p w14:paraId="185E8DCA">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602"/>
        <w:gridCol w:w="602"/>
        <w:gridCol w:w="602"/>
        <w:gridCol w:w="603"/>
        <w:gridCol w:w="602"/>
        <w:gridCol w:w="602"/>
        <w:gridCol w:w="602"/>
        <w:gridCol w:w="602"/>
        <w:gridCol w:w="602"/>
        <w:gridCol w:w="602"/>
        <w:gridCol w:w="602"/>
        <w:gridCol w:w="602"/>
        <w:gridCol w:w="607"/>
        <w:gridCol w:w="602"/>
        <w:gridCol w:w="603"/>
      </w:tblGrid>
      <w:tr w14:paraId="616B6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9C1D70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14:paraId="4E472E04">
            <w:pPr>
              <w:spacing w:before="40" w:after="40" w:line="240" w:lineRule="exact"/>
              <w:jc w:val="center"/>
              <w:rPr>
                <w:rFonts w:ascii="宋体" w:hAnsi="宋体" w:eastAsia="宋体" w:cs="宋体"/>
                <w:sz w:val="18"/>
                <w:szCs w:val="18"/>
              </w:rPr>
            </w:pPr>
            <w:r>
              <w:rPr>
                <w:rFonts w:ascii="宋体" w:hAnsi="宋体" w:eastAsia="宋体" w:cs="宋体"/>
                <w:sz w:val="18"/>
                <w:szCs w:val="18"/>
              </w:rPr>
              <w:t>2025年度</w:t>
            </w:r>
          </w:p>
        </w:tc>
      </w:tr>
      <w:tr w14:paraId="24423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E6399D8"/>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2F45967A">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1C318D3">
            <w:pPr>
              <w:spacing w:before="40" w:after="40" w:line="0" w:lineRule="atLeast"/>
              <w:jc w:val="center"/>
              <w:rPr>
                <w:rFonts w:ascii="宋体" w:hAnsi="宋体" w:eastAsia="宋体" w:cs="宋体"/>
                <w:sz w:val="18"/>
                <w:szCs w:val="18"/>
              </w:rPr>
            </w:pPr>
            <w:r>
              <w:rPr>
                <w:rFonts w:ascii="宋体" w:hAnsi="宋体" w:eastAsia="宋体" w:cs="宋体"/>
                <w:sz w:val="18"/>
                <w:szCs w:val="18"/>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21A6ADC">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14:paraId="288C1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22E4864"/>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E2818A2">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52ABD78C">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CA5B1C3">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1939994">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0FE379D">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3930339">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8D585EE">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EF3A2D9">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EED1431">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3FD9B4C">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AAF64CF">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B584DBA"/>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BC00FD9"/>
        </w:tc>
      </w:tr>
      <w:tr w14:paraId="5B591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666057B"/>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D4F417F"/>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6B2F47C0">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4FE42798">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76973C6">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716F7BD"/>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DB9F360"/>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E2E028D"/>
        </w:tc>
        <w:tc>
          <w:tcPr>
            <w:tcW w:w="602" w:type="dxa"/>
            <w:vMerge w:val="continue"/>
            <w:tcBorders>
              <w:top w:val="single" w:color="auto" w:sz="2" w:space="0"/>
              <w:left w:val="single" w:color="auto" w:sz="2" w:space="0"/>
              <w:bottom w:val="single" w:color="auto" w:sz="2" w:space="0"/>
              <w:right w:val="single" w:color="auto" w:sz="2" w:space="0"/>
            </w:tcBorders>
            <w:vAlign w:val="center"/>
          </w:tcPr>
          <w:p w14:paraId="3F9D2D52"/>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26AFDB7"/>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8089DD4"/>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5EC9220"/>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E24B671"/>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61BF2F1"/>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6ACC8C4"/>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2F5C19C"/>
        </w:tc>
      </w:tr>
      <w:tr w14:paraId="0368D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95B4114">
            <w:pPr>
              <w:spacing w:before="40" w:after="40" w:line="240" w:lineRule="exact"/>
              <w:rPr>
                <w:rFonts w:ascii="宋体" w:hAnsi="宋体" w:eastAsia="宋体" w:cs="宋体"/>
                <w:sz w:val="18"/>
                <w:szCs w:val="18"/>
              </w:rPr>
            </w:pPr>
            <w:r>
              <w:rPr>
                <w:rFonts w:ascii="宋体" w:hAnsi="宋体" w:eastAsia="宋体" w:cs="宋体"/>
                <w:sz w:val="18"/>
                <w:szCs w:val="18"/>
              </w:rPr>
              <w:t>一、上年期末余额</w:t>
            </w:r>
          </w:p>
        </w:tc>
        <w:tc>
          <w:tcPr>
            <w:tcW w:w="602" w:type="dxa"/>
            <w:tcBorders>
              <w:top w:val="single" w:color="auto" w:sz="2" w:space="0"/>
              <w:left w:val="single" w:color="auto" w:sz="2" w:space="0"/>
              <w:bottom w:val="single" w:color="auto" w:sz="2" w:space="0"/>
              <w:right w:val="single" w:color="auto" w:sz="2" w:space="0"/>
            </w:tcBorders>
            <w:vAlign w:val="center"/>
          </w:tcPr>
          <w:p w14:paraId="5C9D8BAD">
            <w:pPr>
              <w:spacing w:line="240" w:lineRule="exact"/>
              <w:jc w:val="right"/>
              <w:rPr>
                <w:rFonts w:ascii="宋体" w:hAnsi="宋体" w:eastAsia="宋体" w:cs="宋体"/>
                <w:sz w:val="18"/>
                <w:szCs w:val="18"/>
              </w:rPr>
            </w:pPr>
            <w:r>
              <w:rPr>
                <w:rFonts w:ascii="宋体" w:hAnsi="宋体" w:eastAsia="宋体" w:cs="宋体"/>
                <w:sz w:val="18"/>
                <w:szCs w:val="18"/>
              </w:rPr>
              <w:t>1,700,681,355.00</w:t>
            </w:r>
          </w:p>
        </w:tc>
        <w:tc>
          <w:tcPr>
            <w:tcW w:w="602" w:type="dxa"/>
            <w:tcBorders>
              <w:top w:val="single" w:color="auto" w:sz="2" w:space="0"/>
              <w:left w:val="single" w:color="auto" w:sz="2" w:space="0"/>
              <w:bottom w:val="single" w:color="auto" w:sz="2" w:space="0"/>
              <w:right w:val="single" w:color="auto" w:sz="2" w:space="0"/>
            </w:tcBorders>
            <w:vAlign w:val="center"/>
          </w:tcPr>
          <w:p w14:paraId="6A401A6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587B87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66D730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811C9F4">
            <w:pPr>
              <w:spacing w:line="240" w:lineRule="exact"/>
              <w:jc w:val="right"/>
              <w:rPr>
                <w:rFonts w:ascii="宋体" w:hAnsi="宋体" w:eastAsia="宋体" w:cs="宋体"/>
                <w:sz w:val="18"/>
                <w:szCs w:val="18"/>
              </w:rPr>
            </w:pPr>
            <w:r>
              <w:rPr>
                <w:rFonts w:ascii="宋体" w:hAnsi="宋体" w:eastAsia="宋体" w:cs="宋体"/>
                <w:sz w:val="18"/>
                <w:szCs w:val="18"/>
              </w:rPr>
              <w:t>2,738,348,953.80</w:t>
            </w:r>
          </w:p>
        </w:tc>
        <w:tc>
          <w:tcPr>
            <w:tcW w:w="602" w:type="dxa"/>
            <w:tcBorders>
              <w:top w:val="single" w:color="auto" w:sz="2" w:space="0"/>
              <w:left w:val="single" w:color="auto" w:sz="2" w:space="0"/>
              <w:bottom w:val="single" w:color="auto" w:sz="2" w:space="0"/>
              <w:right w:val="single" w:color="auto" w:sz="2" w:space="0"/>
            </w:tcBorders>
            <w:vAlign w:val="center"/>
          </w:tcPr>
          <w:p w14:paraId="4888E37E">
            <w:pPr>
              <w:spacing w:line="240" w:lineRule="exact"/>
              <w:jc w:val="right"/>
              <w:rPr>
                <w:rFonts w:ascii="宋体" w:hAnsi="宋体" w:eastAsia="宋体" w:cs="宋体"/>
                <w:sz w:val="18"/>
                <w:szCs w:val="18"/>
              </w:rPr>
            </w:pPr>
            <w:r>
              <w:rPr>
                <w:rFonts w:ascii="宋体" w:hAnsi="宋体" w:eastAsia="宋体" w:cs="宋体"/>
                <w:sz w:val="18"/>
                <w:szCs w:val="18"/>
              </w:rPr>
              <w:t>300,104,207.84</w:t>
            </w:r>
          </w:p>
        </w:tc>
        <w:tc>
          <w:tcPr>
            <w:tcW w:w="602" w:type="dxa"/>
            <w:tcBorders>
              <w:top w:val="single" w:color="auto" w:sz="2" w:space="0"/>
              <w:left w:val="single" w:color="auto" w:sz="2" w:space="0"/>
              <w:bottom w:val="single" w:color="auto" w:sz="2" w:space="0"/>
              <w:right w:val="single" w:color="auto" w:sz="2" w:space="0"/>
            </w:tcBorders>
            <w:vAlign w:val="center"/>
          </w:tcPr>
          <w:p w14:paraId="1C2AB110">
            <w:pPr>
              <w:spacing w:line="240" w:lineRule="exact"/>
              <w:jc w:val="right"/>
              <w:rPr>
                <w:rFonts w:ascii="宋体" w:hAnsi="宋体" w:eastAsia="宋体" w:cs="宋体"/>
                <w:sz w:val="18"/>
                <w:szCs w:val="18"/>
              </w:rPr>
            </w:pPr>
            <w:r>
              <w:rPr>
                <w:rFonts w:ascii="宋体" w:hAnsi="宋体" w:eastAsia="宋体" w:cs="宋体"/>
                <w:sz w:val="18"/>
                <w:szCs w:val="18"/>
              </w:rPr>
              <w:t>-112,335,813.37</w:t>
            </w:r>
          </w:p>
        </w:tc>
        <w:tc>
          <w:tcPr>
            <w:tcW w:w="602" w:type="dxa"/>
            <w:tcBorders>
              <w:top w:val="single" w:color="auto" w:sz="2" w:space="0"/>
              <w:left w:val="single" w:color="auto" w:sz="2" w:space="0"/>
              <w:bottom w:val="single" w:color="auto" w:sz="2" w:space="0"/>
              <w:right w:val="single" w:color="auto" w:sz="2" w:space="0"/>
            </w:tcBorders>
            <w:vAlign w:val="center"/>
          </w:tcPr>
          <w:p w14:paraId="6A1B109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7D28D10">
            <w:pPr>
              <w:spacing w:line="240" w:lineRule="exact"/>
              <w:jc w:val="right"/>
              <w:rPr>
                <w:rFonts w:ascii="宋体" w:hAnsi="宋体" w:eastAsia="宋体" w:cs="宋体"/>
                <w:sz w:val="18"/>
                <w:szCs w:val="18"/>
              </w:rPr>
            </w:pPr>
            <w:r>
              <w:rPr>
                <w:rFonts w:ascii="宋体" w:hAnsi="宋体" w:eastAsia="宋体" w:cs="宋体"/>
                <w:sz w:val="18"/>
                <w:szCs w:val="18"/>
              </w:rPr>
              <w:t>340,761,640.15</w:t>
            </w:r>
          </w:p>
        </w:tc>
        <w:tc>
          <w:tcPr>
            <w:tcW w:w="602" w:type="dxa"/>
            <w:tcBorders>
              <w:top w:val="single" w:color="auto" w:sz="2" w:space="0"/>
              <w:left w:val="single" w:color="auto" w:sz="2" w:space="0"/>
              <w:bottom w:val="single" w:color="auto" w:sz="2" w:space="0"/>
              <w:right w:val="single" w:color="auto" w:sz="2" w:space="0"/>
            </w:tcBorders>
            <w:vAlign w:val="center"/>
          </w:tcPr>
          <w:p w14:paraId="10D41EF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D51562E">
            <w:pPr>
              <w:spacing w:line="240" w:lineRule="exact"/>
              <w:jc w:val="right"/>
              <w:rPr>
                <w:rFonts w:ascii="宋体" w:hAnsi="宋体" w:eastAsia="宋体" w:cs="宋体"/>
                <w:sz w:val="18"/>
                <w:szCs w:val="18"/>
              </w:rPr>
            </w:pPr>
            <w:r>
              <w:rPr>
                <w:rFonts w:ascii="宋体" w:hAnsi="宋体" w:eastAsia="宋体" w:cs="宋体"/>
                <w:sz w:val="18"/>
                <w:szCs w:val="18"/>
              </w:rPr>
              <w:t>1,415,566,855.48</w:t>
            </w:r>
          </w:p>
        </w:tc>
        <w:tc>
          <w:tcPr>
            <w:tcW w:w="602" w:type="dxa"/>
            <w:tcBorders>
              <w:top w:val="single" w:color="auto" w:sz="2" w:space="0"/>
              <w:left w:val="single" w:color="auto" w:sz="2" w:space="0"/>
              <w:bottom w:val="single" w:color="auto" w:sz="2" w:space="0"/>
              <w:right w:val="single" w:color="auto" w:sz="2" w:space="0"/>
            </w:tcBorders>
            <w:vAlign w:val="center"/>
          </w:tcPr>
          <w:p w14:paraId="56CC652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99D588E">
            <w:pPr>
              <w:spacing w:line="240" w:lineRule="exact"/>
              <w:jc w:val="right"/>
              <w:rPr>
                <w:rFonts w:ascii="宋体" w:hAnsi="宋体" w:eastAsia="宋体" w:cs="宋体"/>
                <w:sz w:val="18"/>
                <w:szCs w:val="18"/>
              </w:rPr>
            </w:pPr>
            <w:r>
              <w:rPr>
                <w:rFonts w:ascii="宋体" w:hAnsi="宋体" w:eastAsia="宋体" w:cs="宋体"/>
                <w:sz w:val="18"/>
                <w:szCs w:val="18"/>
              </w:rPr>
              <w:t>5,782,918,783.22</w:t>
            </w:r>
          </w:p>
        </w:tc>
        <w:tc>
          <w:tcPr>
            <w:tcW w:w="602" w:type="dxa"/>
            <w:tcBorders>
              <w:top w:val="single" w:color="auto" w:sz="2" w:space="0"/>
              <w:left w:val="single" w:color="auto" w:sz="2" w:space="0"/>
              <w:bottom w:val="single" w:color="auto" w:sz="2" w:space="0"/>
              <w:right w:val="single" w:color="auto" w:sz="2" w:space="0"/>
            </w:tcBorders>
            <w:vAlign w:val="center"/>
          </w:tcPr>
          <w:p w14:paraId="4E98CA4F">
            <w:pPr>
              <w:spacing w:line="240" w:lineRule="exact"/>
              <w:jc w:val="right"/>
              <w:rPr>
                <w:rFonts w:ascii="宋体" w:hAnsi="宋体" w:eastAsia="宋体" w:cs="宋体"/>
                <w:sz w:val="18"/>
                <w:szCs w:val="18"/>
              </w:rPr>
            </w:pPr>
            <w:r>
              <w:rPr>
                <w:rFonts w:ascii="宋体" w:hAnsi="宋体" w:eastAsia="宋体" w:cs="宋体"/>
                <w:sz w:val="18"/>
                <w:szCs w:val="18"/>
              </w:rPr>
              <w:t>291,121,567.71</w:t>
            </w:r>
          </w:p>
        </w:tc>
        <w:tc>
          <w:tcPr>
            <w:tcW w:w="602" w:type="dxa"/>
            <w:tcBorders>
              <w:top w:val="single" w:color="auto" w:sz="2" w:space="0"/>
              <w:left w:val="single" w:color="auto" w:sz="2" w:space="0"/>
              <w:bottom w:val="single" w:color="auto" w:sz="2" w:space="0"/>
              <w:right w:val="single" w:color="auto" w:sz="2" w:space="0"/>
            </w:tcBorders>
            <w:vAlign w:val="center"/>
          </w:tcPr>
          <w:p w14:paraId="640FC44C">
            <w:pPr>
              <w:spacing w:line="240" w:lineRule="exact"/>
              <w:jc w:val="right"/>
              <w:rPr>
                <w:rFonts w:ascii="宋体" w:hAnsi="宋体" w:eastAsia="宋体" w:cs="宋体"/>
                <w:sz w:val="18"/>
                <w:szCs w:val="18"/>
              </w:rPr>
            </w:pPr>
            <w:r>
              <w:rPr>
                <w:rFonts w:ascii="宋体" w:hAnsi="宋体" w:eastAsia="宋体" w:cs="宋体"/>
                <w:sz w:val="18"/>
                <w:szCs w:val="18"/>
              </w:rPr>
              <w:t>6,074,040,350.93</w:t>
            </w:r>
          </w:p>
        </w:tc>
      </w:tr>
      <w:tr w14:paraId="19E09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9592A1A">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加：会计政策变更</w:t>
            </w:r>
          </w:p>
        </w:tc>
        <w:tc>
          <w:tcPr>
            <w:tcW w:w="602" w:type="dxa"/>
            <w:tcBorders>
              <w:top w:val="single" w:color="auto" w:sz="2" w:space="0"/>
              <w:left w:val="single" w:color="auto" w:sz="2" w:space="0"/>
              <w:bottom w:val="single" w:color="auto" w:sz="2" w:space="0"/>
              <w:right w:val="single" w:color="auto" w:sz="2" w:space="0"/>
            </w:tcBorders>
            <w:vAlign w:val="center"/>
          </w:tcPr>
          <w:p w14:paraId="019F12C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6ADA77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095331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47140B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DD1756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805318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8B7277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52B4CF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3BDBA6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706A0F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5E96CC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438D02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BE08A9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3FF12E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87E3398">
            <w:pPr>
              <w:spacing w:line="240" w:lineRule="exact"/>
              <w:jc w:val="right"/>
              <w:rPr>
                <w:rFonts w:ascii="宋体" w:hAnsi="宋体" w:eastAsia="宋体" w:cs="宋体"/>
                <w:sz w:val="18"/>
                <w:szCs w:val="18"/>
              </w:rPr>
            </w:pPr>
          </w:p>
        </w:tc>
      </w:tr>
      <w:tr w14:paraId="51EDC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03CEB78F">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前期差错更正</w:t>
            </w:r>
          </w:p>
        </w:tc>
        <w:tc>
          <w:tcPr>
            <w:tcW w:w="602" w:type="dxa"/>
            <w:tcBorders>
              <w:top w:val="single" w:color="auto" w:sz="2" w:space="0"/>
              <w:left w:val="single" w:color="auto" w:sz="2" w:space="0"/>
              <w:bottom w:val="single" w:color="auto" w:sz="2" w:space="0"/>
              <w:right w:val="single" w:color="auto" w:sz="2" w:space="0"/>
            </w:tcBorders>
            <w:vAlign w:val="center"/>
          </w:tcPr>
          <w:p w14:paraId="7389AC4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60771B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585FA3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8825BE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D743C3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95DC2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E798C1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E493C4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6892EF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22A032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F9EADE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CA87E8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72350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EAD9E2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6F43ABE">
            <w:pPr>
              <w:spacing w:line="240" w:lineRule="exact"/>
              <w:jc w:val="right"/>
              <w:rPr>
                <w:rFonts w:ascii="宋体" w:hAnsi="宋体" w:eastAsia="宋体" w:cs="宋体"/>
                <w:sz w:val="18"/>
                <w:szCs w:val="18"/>
              </w:rPr>
            </w:pPr>
          </w:p>
        </w:tc>
      </w:tr>
      <w:tr w14:paraId="5EEC0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475421C8">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其他</w:t>
            </w:r>
          </w:p>
        </w:tc>
        <w:tc>
          <w:tcPr>
            <w:tcW w:w="602" w:type="dxa"/>
            <w:tcBorders>
              <w:top w:val="single" w:color="auto" w:sz="2" w:space="0"/>
              <w:left w:val="single" w:color="auto" w:sz="2" w:space="0"/>
              <w:bottom w:val="single" w:color="auto" w:sz="2" w:space="0"/>
              <w:right w:val="single" w:color="auto" w:sz="2" w:space="0"/>
            </w:tcBorders>
            <w:vAlign w:val="center"/>
          </w:tcPr>
          <w:p w14:paraId="192C058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B4E5D2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D25DD0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6F7361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646B9D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D2C89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7C4DE9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20C16C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6FB634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E30597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41A9FC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8CD881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41810B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9435F4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915DB57">
            <w:pPr>
              <w:spacing w:line="240" w:lineRule="exact"/>
              <w:jc w:val="right"/>
              <w:rPr>
                <w:rFonts w:ascii="宋体" w:hAnsi="宋体" w:eastAsia="宋体" w:cs="宋体"/>
                <w:sz w:val="18"/>
                <w:szCs w:val="18"/>
              </w:rPr>
            </w:pPr>
          </w:p>
        </w:tc>
      </w:tr>
      <w:tr w14:paraId="23C91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F92B144">
            <w:pPr>
              <w:spacing w:before="40" w:after="40" w:line="240" w:lineRule="exact"/>
              <w:rPr>
                <w:rFonts w:ascii="宋体" w:hAnsi="宋体" w:eastAsia="宋体" w:cs="宋体"/>
                <w:sz w:val="18"/>
                <w:szCs w:val="18"/>
              </w:rPr>
            </w:pPr>
            <w:r>
              <w:rPr>
                <w:rFonts w:ascii="宋体" w:hAnsi="宋体" w:eastAsia="宋体" w:cs="宋体"/>
                <w:sz w:val="18"/>
                <w:szCs w:val="18"/>
              </w:rPr>
              <w:t>二、本年期初余额</w:t>
            </w:r>
          </w:p>
        </w:tc>
        <w:tc>
          <w:tcPr>
            <w:tcW w:w="602" w:type="dxa"/>
            <w:tcBorders>
              <w:top w:val="single" w:color="auto" w:sz="2" w:space="0"/>
              <w:left w:val="single" w:color="auto" w:sz="2" w:space="0"/>
              <w:bottom w:val="single" w:color="auto" w:sz="2" w:space="0"/>
              <w:right w:val="single" w:color="auto" w:sz="2" w:space="0"/>
            </w:tcBorders>
            <w:vAlign w:val="center"/>
          </w:tcPr>
          <w:p w14:paraId="1DCBB0AA">
            <w:pPr>
              <w:spacing w:line="240" w:lineRule="exact"/>
              <w:jc w:val="right"/>
              <w:rPr>
                <w:rFonts w:ascii="宋体" w:hAnsi="宋体" w:eastAsia="宋体" w:cs="宋体"/>
                <w:sz w:val="18"/>
                <w:szCs w:val="18"/>
              </w:rPr>
            </w:pPr>
            <w:r>
              <w:rPr>
                <w:rFonts w:ascii="宋体" w:hAnsi="宋体" w:eastAsia="宋体" w:cs="宋体"/>
                <w:sz w:val="18"/>
                <w:szCs w:val="18"/>
              </w:rPr>
              <w:t>1,700,681,355.00</w:t>
            </w:r>
          </w:p>
        </w:tc>
        <w:tc>
          <w:tcPr>
            <w:tcW w:w="602" w:type="dxa"/>
            <w:tcBorders>
              <w:top w:val="single" w:color="auto" w:sz="2" w:space="0"/>
              <w:left w:val="single" w:color="auto" w:sz="2" w:space="0"/>
              <w:bottom w:val="single" w:color="auto" w:sz="2" w:space="0"/>
              <w:right w:val="single" w:color="auto" w:sz="2" w:space="0"/>
            </w:tcBorders>
            <w:vAlign w:val="center"/>
          </w:tcPr>
          <w:p w14:paraId="6E63BD3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332923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18DCCD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A1E6241">
            <w:pPr>
              <w:spacing w:line="240" w:lineRule="exact"/>
              <w:jc w:val="right"/>
              <w:rPr>
                <w:rFonts w:ascii="宋体" w:hAnsi="宋体" w:eastAsia="宋体" w:cs="宋体"/>
                <w:sz w:val="18"/>
                <w:szCs w:val="18"/>
              </w:rPr>
            </w:pPr>
            <w:r>
              <w:rPr>
                <w:rFonts w:ascii="宋体" w:hAnsi="宋体" w:eastAsia="宋体" w:cs="宋体"/>
                <w:sz w:val="18"/>
                <w:szCs w:val="18"/>
              </w:rPr>
              <w:t>2,738,348,953.80</w:t>
            </w:r>
          </w:p>
        </w:tc>
        <w:tc>
          <w:tcPr>
            <w:tcW w:w="602" w:type="dxa"/>
            <w:tcBorders>
              <w:top w:val="single" w:color="auto" w:sz="2" w:space="0"/>
              <w:left w:val="single" w:color="auto" w:sz="2" w:space="0"/>
              <w:bottom w:val="single" w:color="auto" w:sz="2" w:space="0"/>
              <w:right w:val="single" w:color="auto" w:sz="2" w:space="0"/>
            </w:tcBorders>
            <w:vAlign w:val="center"/>
          </w:tcPr>
          <w:p w14:paraId="2469023A">
            <w:pPr>
              <w:spacing w:line="240" w:lineRule="exact"/>
              <w:jc w:val="right"/>
              <w:rPr>
                <w:rFonts w:ascii="宋体" w:hAnsi="宋体" w:eastAsia="宋体" w:cs="宋体"/>
                <w:sz w:val="18"/>
                <w:szCs w:val="18"/>
              </w:rPr>
            </w:pPr>
            <w:r>
              <w:rPr>
                <w:rFonts w:ascii="宋体" w:hAnsi="宋体" w:eastAsia="宋体" w:cs="宋体"/>
                <w:sz w:val="18"/>
                <w:szCs w:val="18"/>
              </w:rPr>
              <w:t>300,104,207.84</w:t>
            </w:r>
          </w:p>
        </w:tc>
        <w:tc>
          <w:tcPr>
            <w:tcW w:w="602" w:type="dxa"/>
            <w:tcBorders>
              <w:top w:val="single" w:color="auto" w:sz="2" w:space="0"/>
              <w:left w:val="single" w:color="auto" w:sz="2" w:space="0"/>
              <w:bottom w:val="single" w:color="auto" w:sz="2" w:space="0"/>
              <w:right w:val="single" w:color="auto" w:sz="2" w:space="0"/>
            </w:tcBorders>
            <w:vAlign w:val="center"/>
          </w:tcPr>
          <w:p w14:paraId="40239B6D">
            <w:pPr>
              <w:spacing w:line="240" w:lineRule="exact"/>
              <w:jc w:val="right"/>
              <w:rPr>
                <w:rFonts w:ascii="宋体" w:hAnsi="宋体" w:eastAsia="宋体" w:cs="宋体"/>
                <w:sz w:val="18"/>
                <w:szCs w:val="18"/>
              </w:rPr>
            </w:pPr>
            <w:r>
              <w:rPr>
                <w:rFonts w:ascii="宋体" w:hAnsi="宋体" w:eastAsia="宋体" w:cs="宋体"/>
                <w:sz w:val="18"/>
                <w:szCs w:val="18"/>
              </w:rPr>
              <w:t>-112,335,813.37</w:t>
            </w:r>
          </w:p>
        </w:tc>
        <w:tc>
          <w:tcPr>
            <w:tcW w:w="602" w:type="dxa"/>
            <w:tcBorders>
              <w:top w:val="single" w:color="auto" w:sz="2" w:space="0"/>
              <w:left w:val="single" w:color="auto" w:sz="2" w:space="0"/>
              <w:bottom w:val="single" w:color="auto" w:sz="2" w:space="0"/>
              <w:right w:val="single" w:color="auto" w:sz="2" w:space="0"/>
            </w:tcBorders>
            <w:vAlign w:val="center"/>
          </w:tcPr>
          <w:p w14:paraId="0BD467F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4F75330">
            <w:pPr>
              <w:spacing w:line="240" w:lineRule="exact"/>
              <w:jc w:val="right"/>
              <w:rPr>
                <w:rFonts w:ascii="宋体" w:hAnsi="宋体" w:eastAsia="宋体" w:cs="宋体"/>
                <w:sz w:val="18"/>
                <w:szCs w:val="18"/>
              </w:rPr>
            </w:pPr>
            <w:r>
              <w:rPr>
                <w:rFonts w:ascii="宋体" w:hAnsi="宋体" w:eastAsia="宋体" w:cs="宋体"/>
                <w:sz w:val="18"/>
                <w:szCs w:val="18"/>
              </w:rPr>
              <w:t>340,761,640.15</w:t>
            </w:r>
          </w:p>
        </w:tc>
        <w:tc>
          <w:tcPr>
            <w:tcW w:w="602" w:type="dxa"/>
            <w:tcBorders>
              <w:top w:val="single" w:color="auto" w:sz="2" w:space="0"/>
              <w:left w:val="single" w:color="auto" w:sz="2" w:space="0"/>
              <w:bottom w:val="single" w:color="auto" w:sz="2" w:space="0"/>
              <w:right w:val="single" w:color="auto" w:sz="2" w:space="0"/>
            </w:tcBorders>
            <w:vAlign w:val="center"/>
          </w:tcPr>
          <w:p w14:paraId="29436D4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796879F">
            <w:pPr>
              <w:spacing w:line="240" w:lineRule="exact"/>
              <w:jc w:val="right"/>
              <w:rPr>
                <w:rFonts w:ascii="宋体" w:hAnsi="宋体" w:eastAsia="宋体" w:cs="宋体"/>
                <w:sz w:val="18"/>
                <w:szCs w:val="18"/>
              </w:rPr>
            </w:pPr>
            <w:r>
              <w:rPr>
                <w:rFonts w:ascii="宋体" w:hAnsi="宋体" w:eastAsia="宋体" w:cs="宋体"/>
                <w:sz w:val="18"/>
                <w:szCs w:val="18"/>
              </w:rPr>
              <w:t>1,415,566,855.48</w:t>
            </w:r>
          </w:p>
        </w:tc>
        <w:tc>
          <w:tcPr>
            <w:tcW w:w="602" w:type="dxa"/>
            <w:tcBorders>
              <w:top w:val="single" w:color="auto" w:sz="2" w:space="0"/>
              <w:left w:val="single" w:color="auto" w:sz="2" w:space="0"/>
              <w:bottom w:val="single" w:color="auto" w:sz="2" w:space="0"/>
              <w:right w:val="single" w:color="auto" w:sz="2" w:space="0"/>
            </w:tcBorders>
            <w:vAlign w:val="center"/>
          </w:tcPr>
          <w:p w14:paraId="4D13D44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471DA0">
            <w:pPr>
              <w:spacing w:line="240" w:lineRule="exact"/>
              <w:jc w:val="right"/>
              <w:rPr>
                <w:rFonts w:ascii="宋体" w:hAnsi="宋体" w:eastAsia="宋体" w:cs="宋体"/>
                <w:sz w:val="18"/>
                <w:szCs w:val="18"/>
              </w:rPr>
            </w:pPr>
            <w:r>
              <w:rPr>
                <w:rFonts w:ascii="宋体" w:hAnsi="宋体" w:eastAsia="宋体" w:cs="宋体"/>
                <w:sz w:val="18"/>
                <w:szCs w:val="18"/>
              </w:rPr>
              <w:t>5,782,918,783.22</w:t>
            </w:r>
          </w:p>
        </w:tc>
        <w:tc>
          <w:tcPr>
            <w:tcW w:w="602" w:type="dxa"/>
            <w:tcBorders>
              <w:top w:val="single" w:color="auto" w:sz="2" w:space="0"/>
              <w:left w:val="single" w:color="auto" w:sz="2" w:space="0"/>
              <w:bottom w:val="single" w:color="auto" w:sz="2" w:space="0"/>
              <w:right w:val="single" w:color="auto" w:sz="2" w:space="0"/>
            </w:tcBorders>
            <w:vAlign w:val="center"/>
          </w:tcPr>
          <w:p w14:paraId="659195A3">
            <w:pPr>
              <w:spacing w:line="240" w:lineRule="exact"/>
              <w:jc w:val="right"/>
              <w:rPr>
                <w:rFonts w:ascii="宋体" w:hAnsi="宋体" w:eastAsia="宋体" w:cs="宋体"/>
                <w:sz w:val="18"/>
                <w:szCs w:val="18"/>
              </w:rPr>
            </w:pPr>
            <w:r>
              <w:rPr>
                <w:rFonts w:ascii="宋体" w:hAnsi="宋体" w:eastAsia="宋体" w:cs="宋体"/>
                <w:sz w:val="18"/>
                <w:szCs w:val="18"/>
              </w:rPr>
              <w:t>291,121,567.71</w:t>
            </w:r>
          </w:p>
        </w:tc>
        <w:tc>
          <w:tcPr>
            <w:tcW w:w="602" w:type="dxa"/>
            <w:tcBorders>
              <w:top w:val="single" w:color="auto" w:sz="2" w:space="0"/>
              <w:left w:val="single" w:color="auto" w:sz="2" w:space="0"/>
              <w:bottom w:val="single" w:color="auto" w:sz="2" w:space="0"/>
              <w:right w:val="single" w:color="auto" w:sz="2" w:space="0"/>
            </w:tcBorders>
            <w:vAlign w:val="center"/>
          </w:tcPr>
          <w:p w14:paraId="621338DD">
            <w:pPr>
              <w:spacing w:line="240" w:lineRule="exact"/>
              <w:jc w:val="right"/>
              <w:rPr>
                <w:rFonts w:ascii="宋体" w:hAnsi="宋体" w:eastAsia="宋体" w:cs="宋体"/>
                <w:sz w:val="18"/>
                <w:szCs w:val="18"/>
              </w:rPr>
            </w:pPr>
            <w:r>
              <w:rPr>
                <w:rFonts w:ascii="宋体" w:hAnsi="宋体" w:eastAsia="宋体" w:cs="宋体"/>
                <w:sz w:val="18"/>
                <w:szCs w:val="18"/>
              </w:rPr>
              <w:t>6,074,040,350.93</w:t>
            </w:r>
          </w:p>
        </w:tc>
      </w:tr>
      <w:tr w14:paraId="1FEDC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4FB7DC9">
            <w:pPr>
              <w:spacing w:before="40" w:after="40" w:line="240" w:lineRule="exact"/>
              <w:rPr>
                <w:rFonts w:ascii="宋体" w:hAnsi="宋体" w:eastAsia="宋体" w:cs="宋体"/>
                <w:sz w:val="18"/>
                <w:szCs w:val="18"/>
              </w:rPr>
            </w:pPr>
            <w:r>
              <w:rPr>
                <w:rFonts w:ascii="宋体" w:hAnsi="宋体" w:eastAsia="宋体" w:cs="宋体"/>
                <w:sz w:val="18"/>
                <w:szCs w:val="18"/>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vAlign w:val="center"/>
          </w:tcPr>
          <w:p w14:paraId="68944C7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16631B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88D82A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95A228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5083DE8">
            <w:pPr>
              <w:spacing w:line="240" w:lineRule="exact"/>
              <w:jc w:val="right"/>
              <w:rPr>
                <w:rFonts w:ascii="宋体" w:hAnsi="宋体" w:eastAsia="宋体" w:cs="宋体"/>
                <w:sz w:val="18"/>
                <w:szCs w:val="18"/>
              </w:rPr>
            </w:pPr>
            <w:r>
              <w:rPr>
                <w:rFonts w:ascii="宋体" w:hAnsi="宋体" w:eastAsia="宋体" w:cs="宋体"/>
                <w:sz w:val="18"/>
                <w:szCs w:val="18"/>
              </w:rPr>
              <w:t>-80,706.80</w:t>
            </w:r>
          </w:p>
        </w:tc>
        <w:tc>
          <w:tcPr>
            <w:tcW w:w="602" w:type="dxa"/>
            <w:tcBorders>
              <w:top w:val="single" w:color="auto" w:sz="2" w:space="0"/>
              <w:left w:val="single" w:color="auto" w:sz="2" w:space="0"/>
              <w:bottom w:val="single" w:color="auto" w:sz="2" w:space="0"/>
              <w:right w:val="single" w:color="auto" w:sz="2" w:space="0"/>
            </w:tcBorders>
            <w:vAlign w:val="center"/>
          </w:tcPr>
          <w:p w14:paraId="79B8C39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DE89FBB">
            <w:pPr>
              <w:spacing w:line="240" w:lineRule="exact"/>
              <w:jc w:val="right"/>
              <w:rPr>
                <w:rFonts w:ascii="宋体" w:hAnsi="宋体" w:eastAsia="宋体" w:cs="宋体"/>
                <w:sz w:val="18"/>
                <w:szCs w:val="18"/>
              </w:rPr>
            </w:pPr>
            <w:r>
              <w:rPr>
                <w:rFonts w:ascii="宋体" w:hAnsi="宋体" w:eastAsia="宋体" w:cs="宋体"/>
                <w:sz w:val="18"/>
                <w:szCs w:val="18"/>
              </w:rPr>
              <w:t>-47,792,135.24</w:t>
            </w:r>
          </w:p>
        </w:tc>
        <w:tc>
          <w:tcPr>
            <w:tcW w:w="602" w:type="dxa"/>
            <w:tcBorders>
              <w:top w:val="single" w:color="auto" w:sz="2" w:space="0"/>
              <w:left w:val="single" w:color="auto" w:sz="2" w:space="0"/>
              <w:bottom w:val="single" w:color="auto" w:sz="2" w:space="0"/>
              <w:right w:val="single" w:color="auto" w:sz="2" w:space="0"/>
            </w:tcBorders>
            <w:vAlign w:val="center"/>
          </w:tcPr>
          <w:p w14:paraId="61831DA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24F08C8">
            <w:pPr>
              <w:spacing w:line="240" w:lineRule="exact"/>
              <w:jc w:val="right"/>
              <w:rPr>
                <w:rFonts w:ascii="宋体" w:hAnsi="宋体" w:eastAsia="宋体" w:cs="宋体"/>
                <w:sz w:val="18"/>
                <w:szCs w:val="18"/>
              </w:rPr>
            </w:pPr>
            <w:r>
              <w:rPr>
                <w:rFonts w:ascii="宋体" w:hAnsi="宋体" w:eastAsia="宋体" w:cs="宋体"/>
                <w:sz w:val="18"/>
                <w:szCs w:val="18"/>
              </w:rPr>
              <w:t>4,479,342.36</w:t>
            </w:r>
          </w:p>
        </w:tc>
        <w:tc>
          <w:tcPr>
            <w:tcW w:w="602" w:type="dxa"/>
            <w:tcBorders>
              <w:top w:val="single" w:color="auto" w:sz="2" w:space="0"/>
              <w:left w:val="single" w:color="auto" w:sz="2" w:space="0"/>
              <w:bottom w:val="single" w:color="auto" w:sz="2" w:space="0"/>
              <w:right w:val="single" w:color="auto" w:sz="2" w:space="0"/>
            </w:tcBorders>
            <w:vAlign w:val="center"/>
          </w:tcPr>
          <w:p w14:paraId="57283F9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D630B64">
            <w:pPr>
              <w:spacing w:line="240" w:lineRule="exact"/>
              <w:jc w:val="right"/>
              <w:rPr>
                <w:rFonts w:ascii="宋体" w:hAnsi="宋体" w:eastAsia="宋体" w:cs="宋体"/>
                <w:sz w:val="18"/>
                <w:szCs w:val="18"/>
              </w:rPr>
            </w:pPr>
            <w:r>
              <w:rPr>
                <w:rFonts w:ascii="宋体" w:hAnsi="宋体" w:eastAsia="宋体" w:cs="宋体"/>
                <w:sz w:val="18"/>
                <w:szCs w:val="18"/>
              </w:rPr>
              <w:t>52,919,408.56</w:t>
            </w:r>
          </w:p>
        </w:tc>
        <w:tc>
          <w:tcPr>
            <w:tcW w:w="602" w:type="dxa"/>
            <w:tcBorders>
              <w:top w:val="single" w:color="auto" w:sz="2" w:space="0"/>
              <w:left w:val="single" w:color="auto" w:sz="2" w:space="0"/>
              <w:bottom w:val="single" w:color="auto" w:sz="2" w:space="0"/>
              <w:right w:val="single" w:color="auto" w:sz="2" w:space="0"/>
            </w:tcBorders>
            <w:vAlign w:val="center"/>
          </w:tcPr>
          <w:p w14:paraId="7F214AE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C84536">
            <w:pPr>
              <w:spacing w:line="240" w:lineRule="exact"/>
              <w:jc w:val="right"/>
              <w:rPr>
                <w:rFonts w:ascii="宋体" w:hAnsi="宋体" w:eastAsia="宋体" w:cs="宋体"/>
                <w:sz w:val="18"/>
                <w:szCs w:val="18"/>
              </w:rPr>
            </w:pPr>
            <w:r>
              <w:rPr>
                <w:rFonts w:ascii="宋体" w:hAnsi="宋体" w:eastAsia="宋体" w:cs="宋体"/>
                <w:sz w:val="18"/>
                <w:szCs w:val="18"/>
              </w:rPr>
              <w:t>9,525,908.88</w:t>
            </w:r>
          </w:p>
        </w:tc>
        <w:tc>
          <w:tcPr>
            <w:tcW w:w="602" w:type="dxa"/>
            <w:tcBorders>
              <w:top w:val="single" w:color="auto" w:sz="2" w:space="0"/>
              <w:left w:val="single" w:color="auto" w:sz="2" w:space="0"/>
              <w:bottom w:val="single" w:color="auto" w:sz="2" w:space="0"/>
              <w:right w:val="single" w:color="auto" w:sz="2" w:space="0"/>
            </w:tcBorders>
            <w:vAlign w:val="center"/>
          </w:tcPr>
          <w:p w14:paraId="38198367">
            <w:pPr>
              <w:spacing w:line="240" w:lineRule="exact"/>
              <w:jc w:val="right"/>
              <w:rPr>
                <w:rFonts w:ascii="宋体" w:hAnsi="宋体" w:eastAsia="宋体" w:cs="宋体"/>
                <w:sz w:val="18"/>
                <w:szCs w:val="18"/>
              </w:rPr>
            </w:pPr>
            <w:r>
              <w:rPr>
                <w:rFonts w:ascii="宋体" w:hAnsi="宋体" w:eastAsia="宋体" w:cs="宋体"/>
                <w:sz w:val="18"/>
                <w:szCs w:val="18"/>
              </w:rPr>
              <w:t>-10,415,456.98</w:t>
            </w:r>
          </w:p>
        </w:tc>
        <w:tc>
          <w:tcPr>
            <w:tcW w:w="602" w:type="dxa"/>
            <w:tcBorders>
              <w:top w:val="single" w:color="auto" w:sz="2" w:space="0"/>
              <w:left w:val="single" w:color="auto" w:sz="2" w:space="0"/>
              <w:bottom w:val="single" w:color="auto" w:sz="2" w:space="0"/>
              <w:right w:val="single" w:color="auto" w:sz="2" w:space="0"/>
            </w:tcBorders>
            <w:vAlign w:val="center"/>
          </w:tcPr>
          <w:p w14:paraId="01CD51EE">
            <w:pPr>
              <w:spacing w:line="240" w:lineRule="exact"/>
              <w:jc w:val="right"/>
              <w:rPr>
                <w:rFonts w:ascii="宋体" w:hAnsi="宋体" w:eastAsia="宋体" w:cs="宋体"/>
                <w:sz w:val="18"/>
                <w:szCs w:val="18"/>
              </w:rPr>
            </w:pPr>
            <w:r>
              <w:rPr>
                <w:rFonts w:ascii="宋体" w:hAnsi="宋体" w:eastAsia="宋体" w:cs="宋体"/>
                <w:sz w:val="18"/>
                <w:szCs w:val="18"/>
              </w:rPr>
              <w:t>-889,548.10</w:t>
            </w:r>
          </w:p>
        </w:tc>
      </w:tr>
      <w:tr w14:paraId="626E8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FB1499A">
            <w:pPr>
              <w:spacing w:before="40" w:after="40" w:line="240" w:lineRule="exact"/>
              <w:rPr>
                <w:rFonts w:ascii="宋体" w:hAnsi="宋体" w:eastAsia="宋体" w:cs="宋体"/>
                <w:sz w:val="18"/>
                <w:szCs w:val="18"/>
              </w:rPr>
            </w:pPr>
            <w:r>
              <w:rPr>
                <w:rFonts w:ascii="宋体" w:hAnsi="宋体" w:eastAsia="宋体" w:cs="宋体"/>
                <w:sz w:val="18"/>
                <w:szCs w:val="18"/>
              </w:rPr>
              <w:t>（一）综合收益总额</w:t>
            </w:r>
          </w:p>
        </w:tc>
        <w:tc>
          <w:tcPr>
            <w:tcW w:w="602" w:type="dxa"/>
            <w:tcBorders>
              <w:top w:val="single" w:color="auto" w:sz="2" w:space="0"/>
              <w:left w:val="single" w:color="auto" w:sz="2" w:space="0"/>
              <w:bottom w:val="single" w:color="auto" w:sz="2" w:space="0"/>
              <w:right w:val="single" w:color="auto" w:sz="2" w:space="0"/>
            </w:tcBorders>
            <w:vAlign w:val="center"/>
          </w:tcPr>
          <w:p w14:paraId="243A1E9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051BC8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BD746D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C55BF0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47C5D5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992C96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7FF20A1">
            <w:pPr>
              <w:spacing w:line="240" w:lineRule="exact"/>
              <w:jc w:val="right"/>
              <w:rPr>
                <w:rFonts w:ascii="宋体" w:hAnsi="宋体" w:eastAsia="宋体" w:cs="宋体"/>
                <w:sz w:val="18"/>
                <w:szCs w:val="18"/>
              </w:rPr>
            </w:pPr>
            <w:r>
              <w:rPr>
                <w:rFonts w:ascii="宋体" w:hAnsi="宋体" w:eastAsia="宋体" w:cs="宋体"/>
                <w:sz w:val="18"/>
                <w:szCs w:val="18"/>
              </w:rPr>
              <w:t>-47,792,135.24</w:t>
            </w:r>
          </w:p>
        </w:tc>
        <w:tc>
          <w:tcPr>
            <w:tcW w:w="602" w:type="dxa"/>
            <w:tcBorders>
              <w:top w:val="single" w:color="auto" w:sz="2" w:space="0"/>
              <w:left w:val="single" w:color="auto" w:sz="2" w:space="0"/>
              <w:bottom w:val="single" w:color="auto" w:sz="2" w:space="0"/>
              <w:right w:val="single" w:color="auto" w:sz="2" w:space="0"/>
            </w:tcBorders>
            <w:vAlign w:val="center"/>
          </w:tcPr>
          <w:p w14:paraId="788EE06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20679F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B5EB6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7FBF97F">
            <w:pPr>
              <w:spacing w:line="240" w:lineRule="exact"/>
              <w:jc w:val="right"/>
              <w:rPr>
                <w:rFonts w:ascii="宋体" w:hAnsi="宋体" w:eastAsia="宋体" w:cs="宋体"/>
                <w:sz w:val="18"/>
                <w:szCs w:val="18"/>
              </w:rPr>
            </w:pPr>
            <w:r>
              <w:rPr>
                <w:rFonts w:ascii="宋体" w:hAnsi="宋体" w:eastAsia="宋体" w:cs="宋体"/>
                <w:sz w:val="18"/>
                <w:szCs w:val="18"/>
              </w:rPr>
              <w:t>57,398,750.92</w:t>
            </w:r>
          </w:p>
        </w:tc>
        <w:tc>
          <w:tcPr>
            <w:tcW w:w="602" w:type="dxa"/>
            <w:tcBorders>
              <w:top w:val="single" w:color="auto" w:sz="2" w:space="0"/>
              <w:left w:val="single" w:color="auto" w:sz="2" w:space="0"/>
              <w:bottom w:val="single" w:color="auto" w:sz="2" w:space="0"/>
              <w:right w:val="single" w:color="auto" w:sz="2" w:space="0"/>
            </w:tcBorders>
            <w:vAlign w:val="center"/>
          </w:tcPr>
          <w:p w14:paraId="1C51E7E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ABC34E9">
            <w:pPr>
              <w:spacing w:line="240" w:lineRule="exact"/>
              <w:jc w:val="right"/>
              <w:rPr>
                <w:rFonts w:ascii="宋体" w:hAnsi="宋体" w:eastAsia="宋体" w:cs="宋体"/>
                <w:sz w:val="18"/>
                <w:szCs w:val="18"/>
              </w:rPr>
            </w:pPr>
            <w:r>
              <w:rPr>
                <w:rFonts w:ascii="宋体" w:hAnsi="宋体" w:eastAsia="宋体" w:cs="宋体"/>
                <w:sz w:val="18"/>
                <w:szCs w:val="18"/>
              </w:rPr>
              <w:t>9,606,615.68</w:t>
            </w:r>
          </w:p>
        </w:tc>
        <w:tc>
          <w:tcPr>
            <w:tcW w:w="602" w:type="dxa"/>
            <w:tcBorders>
              <w:top w:val="single" w:color="auto" w:sz="2" w:space="0"/>
              <w:left w:val="single" w:color="auto" w:sz="2" w:space="0"/>
              <w:bottom w:val="single" w:color="auto" w:sz="2" w:space="0"/>
              <w:right w:val="single" w:color="auto" w:sz="2" w:space="0"/>
            </w:tcBorders>
            <w:vAlign w:val="center"/>
          </w:tcPr>
          <w:p w14:paraId="2AC5EF0E">
            <w:pPr>
              <w:spacing w:line="240" w:lineRule="exact"/>
              <w:jc w:val="right"/>
              <w:rPr>
                <w:rFonts w:ascii="宋体" w:hAnsi="宋体" w:eastAsia="宋体" w:cs="宋体"/>
                <w:sz w:val="18"/>
                <w:szCs w:val="18"/>
              </w:rPr>
            </w:pPr>
            <w:r>
              <w:rPr>
                <w:rFonts w:ascii="宋体" w:hAnsi="宋体" w:eastAsia="宋体" w:cs="宋体"/>
                <w:sz w:val="18"/>
                <w:szCs w:val="18"/>
              </w:rPr>
              <w:t>9,483,996.22</w:t>
            </w:r>
          </w:p>
        </w:tc>
        <w:tc>
          <w:tcPr>
            <w:tcW w:w="602" w:type="dxa"/>
            <w:tcBorders>
              <w:top w:val="single" w:color="auto" w:sz="2" w:space="0"/>
              <w:left w:val="single" w:color="auto" w:sz="2" w:space="0"/>
              <w:bottom w:val="single" w:color="auto" w:sz="2" w:space="0"/>
              <w:right w:val="single" w:color="auto" w:sz="2" w:space="0"/>
            </w:tcBorders>
            <w:vAlign w:val="center"/>
          </w:tcPr>
          <w:p w14:paraId="2654CD73">
            <w:pPr>
              <w:spacing w:line="240" w:lineRule="exact"/>
              <w:jc w:val="right"/>
              <w:rPr>
                <w:rFonts w:ascii="宋体" w:hAnsi="宋体" w:eastAsia="宋体" w:cs="宋体"/>
                <w:sz w:val="18"/>
                <w:szCs w:val="18"/>
              </w:rPr>
            </w:pPr>
            <w:r>
              <w:rPr>
                <w:rFonts w:ascii="宋体" w:hAnsi="宋体" w:eastAsia="宋体" w:cs="宋体"/>
                <w:sz w:val="18"/>
                <w:szCs w:val="18"/>
              </w:rPr>
              <w:t>19,090,611.90</w:t>
            </w:r>
          </w:p>
        </w:tc>
      </w:tr>
      <w:tr w14:paraId="23462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3552DB98">
            <w:pPr>
              <w:spacing w:before="40" w:after="40" w:line="240" w:lineRule="exact"/>
              <w:rPr>
                <w:rFonts w:ascii="宋体" w:hAnsi="宋体" w:eastAsia="宋体" w:cs="宋体"/>
                <w:sz w:val="18"/>
                <w:szCs w:val="18"/>
              </w:rPr>
            </w:pPr>
            <w:r>
              <w:rPr>
                <w:rFonts w:ascii="宋体" w:hAnsi="宋体" w:eastAsia="宋体" w:cs="宋体"/>
                <w:sz w:val="18"/>
                <w:szCs w:val="18"/>
              </w:rPr>
              <w:t>（二）所有者投入和减少资本</w:t>
            </w:r>
          </w:p>
        </w:tc>
        <w:tc>
          <w:tcPr>
            <w:tcW w:w="602" w:type="dxa"/>
            <w:tcBorders>
              <w:top w:val="single" w:color="auto" w:sz="2" w:space="0"/>
              <w:left w:val="single" w:color="auto" w:sz="2" w:space="0"/>
              <w:bottom w:val="single" w:color="auto" w:sz="2" w:space="0"/>
              <w:right w:val="single" w:color="auto" w:sz="2" w:space="0"/>
            </w:tcBorders>
            <w:vAlign w:val="center"/>
          </w:tcPr>
          <w:p w14:paraId="2251670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CC09DD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9F72AE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CE27D2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EED256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9EE091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49BB39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C51588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29AA39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1CB20C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DE3D54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AD344E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B85FB3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4D9F8A">
            <w:pPr>
              <w:spacing w:line="240" w:lineRule="exact"/>
              <w:jc w:val="right"/>
              <w:rPr>
                <w:rFonts w:ascii="宋体" w:hAnsi="宋体" w:eastAsia="宋体" w:cs="宋体"/>
                <w:sz w:val="18"/>
                <w:szCs w:val="18"/>
              </w:rPr>
            </w:pPr>
            <w:r>
              <w:rPr>
                <w:rFonts w:ascii="宋体" w:hAnsi="宋体" w:eastAsia="宋体" w:cs="宋体"/>
                <w:sz w:val="18"/>
                <w:szCs w:val="18"/>
              </w:rPr>
              <w:t>-10,520,000.00</w:t>
            </w:r>
          </w:p>
        </w:tc>
        <w:tc>
          <w:tcPr>
            <w:tcW w:w="602" w:type="dxa"/>
            <w:tcBorders>
              <w:top w:val="single" w:color="auto" w:sz="2" w:space="0"/>
              <w:left w:val="single" w:color="auto" w:sz="2" w:space="0"/>
              <w:bottom w:val="single" w:color="auto" w:sz="2" w:space="0"/>
              <w:right w:val="single" w:color="auto" w:sz="2" w:space="0"/>
            </w:tcBorders>
            <w:vAlign w:val="center"/>
          </w:tcPr>
          <w:p w14:paraId="7692A42D">
            <w:pPr>
              <w:spacing w:line="240" w:lineRule="exact"/>
              <w:jc w:val="right"/>
              <w:rPr>
                <w:rFonts w:ascii="宋体" w:hAnsi="宋体" w:eastAsia="宋体" w:cs="宋体"/>
                <w:sz w:val="18"/>
                <w:szCs w:val="18"/>
              </w:rPr>
            </w:pPr>
            <w:r>
              <w:rPr>
                <w:rFonts w:ascii="宋体" w:hAnsi="宋体" w:eastAsia="宋体" w:cs="宋体"/>
                <w:sz w:val="18"/>
                <w:szCs w:val="18"/>
              </w:rPr>
              <w:t>-10,520,000.00</w:t>
            </w:r>
          </w:p>
        </w:tc>
      </w:tr>
      <w:tr w14:paraId="5F560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55BE542">
            <w:pPr>
              <w:spacing w:before="40" w:after="40" w:line="240" w:lineRule="exact"/>
              <w:rPr>
                <w:rFonts w:ascii="宋体" w:hAnsi="宋体" w:eastAsia="宋体" w:cs="宋体"/>
                <w:sz w:val="18"/>
                <w:szCs w:val="18"/>
              </w:rPr>
            </w:pPr>
            <w:r>
              <w:rPr>
                <w:rFonts w:ascii="宋体" w:hAnsi="宋体" w:eastAsia="宋体" w:cs="宋体"/>
                <w:sz w:val="18"/>
                <w:szCs w:val="18"/>
              </w:rPr>
              <w:t>1．所有者投入的普通股</w:t>
            </w:r>
          </w:p>
        </w:tc>
        <w:tc>
          <w:tcPr>
            <w:tcW w:w="602" w:type="dxa"/>
            <w:tcBorders>
              <w:top w:val="single" w:color="auto" w:sz="2" w:space="0"/>
              <w:left w:val="single" w:color="auto" w:sz="2" w:space="0"/>
              <w:bottom w:val="single" w:color="auto" w:sz="2" w:space="0"/>
              <w:right w:val="single" w:color="auto" w:sz="2" w:space="0"/>
            </w:tcBorders>
            <w:vAlign w:val="center"/>
          </w:tcPr>
          <w:p w14:paraId="23E8378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9D351D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F03A1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821154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49ED6C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9F89C4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C99B72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A9D4D5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8D6980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4DC5CA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436DCE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2F1B8D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3902EB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280F309">
            <w:pPr>
              <w:spacing w:line="240" w:lineRule="exact"/>
              <w:jc w:val="right"/>
              <w:rPr>
                <w:rFonts w:ascii="宋体" w:hAnsi="宋体" w:eastAsia="宋体" w:cs="宋体"/>
                <w:sz w:val="18"/>
                <w:szCs w:val="18"/>
              </w:rPr>
            </w:pPr>
            <w:r>
              <w:rPr>
                <w:rFonts w:ascii="宋体" w:hAnsi="宋体" w:eastAsia="宋体" w:cs="宋体"/>
                <w:sz w:val="18"/>
                <w:szCs w:val="18"/>
              </w:rPr>
              <w:t>25,000,000.00</w:t>
            </w:r>
          </w:p>
        </w:tc>
        <w:tc>
          <w:tcPr>
            <w:tcW w:w="602" w:type="dxa"/>
            <w:tcBorders>
              <w:top w:val="single" w:color="auto" w:sz="2" w:space="0"/>
              <w:left w:val="single" w:color="auto" w:sz="2" w:space="0"/>
              <w:bottom w:val="single" w:color="auto" w:sz="2" w:space="0"/>
              <w:right w:val="single" w:color="auto" w:sz="2" w:space="0"/>
            </w:tcBorders>
            <w:vAlign w:val="center"/>
          </w:tcPr>
          <w:p w14:paraId="3491563F">
            <w:pPr>
              <w:spacing w:line="240" w:lineRule="exact"/>
              <w:jc w:val="right"/>
              <w:rPr>
                <w:rFonts w:ascii="宋体" w:hAnsi="宋体" w:eastAsia="宋体" w:cs="宋体"/>
                <w:sz w:val="18"/>
                <w:szCs w:val="18"/>
              </w:rPr>
            </w:pPr>
            <w:r>
              <w:rPr>
                <w:rFonts w:ascii="宋体" w:hAnsi="宋体" w:eastAsia="宋体" w:cs="宋体"/>
                <w:sz w:val="18"/>
                <w:szCs w:val="18"/>
              </w:rPr>
              <w:t>25,000,000.00</w:t>
            </w:r>
          </w:p>
        </w:tc>
      </w:tr>
      <w:tr w14:paraId="36DF3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6D9F181F">
            <w:pPr>
              <w:spacing w:before="40" w:after="40" w:line="240" w:lineRule="exact"/>
              <w:rPr>
                <w:rFonts w:ascii="宋体" w:hAnsi="宋体" w:eastAsia="宋体" w:cs="宋体"/>
                <w:sz w:val="18"/>
                <w:szCs w:val="18"/>
              </w:rPr>
            </w:pPr>
            <w:r>
              <w:rPr>
                <w:rFonts w:ascii="宋体" w:hAnsi="宋体" w:eastAsia="宋体" w:cs="宋体"/>
                <w:sz w:val="18"/>
                <w:szCs w:val="18"/>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vAlign w:val="center"/>
          </w:tcPr>
          <w:p w14:paraId="49B19B5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AB4D33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DCF532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AA3D9A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FA9D3F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5B0255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9ABA8A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B307E5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2B1CE3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FDB3B2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1A4AC9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A48050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2A8476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16EC4E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AB34CB2">
            <w:pPr>
              <w:spacing w:line="240" w:lineRule="exact"/>
              <w:jc w:val="right"/>
              <w:rPr>
                <w:rFonts w:ascii="宋体" w:hAnsi="宋体" w:eastAsia="宋体" w:cs="宋体"/>
                <w:sz w:val="18"/>
                <w:szCs w:val="18"/>
              </w:rPr>
            </w:pPr>
          </w:p>
        </w:tc>
      </w:tr>
      <w:tr w14:paraId="685D4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0074E1AD">
            <w:pPr>
              <w:spacing w:before="40" w:after="40" w:line="240" w:lineRule="exact"/>
              <w:rPr>
                <w:rFonts w:ascii="宋体" w:hAnsi="宋体" w:eastAsia="宋体" w:cs="宋体"/>
                <w:sz w:val="18"/>
                <w:szCs w:val="18"/>
              </w:rPr>
            </w:pPr>
            <w:r>
              <w:rPr>
                <w:rFonts w:ascii="宋体" w:hAnsi="宋体" w:eastAsia="宋体" w:cs="宋体"/>
                <w:sz w:val="18"/>
                <w:szCs w:val="18"/>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vAlign w:val="center"/>
          </w:tcPr>
          <w:p w14:paraId="67DA2EB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3528DA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FCCB3A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28706D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55B639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54EC0C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8C5D60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5DA0FE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D85E48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3D3C59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030DF8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E3F3B0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52732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3D748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99B2161">
            <w:pPr>
              <w:spacing w:line="240" w:lineRule="exact"/>
              <w:jc w:val="right"/>
              <w:rPr>
                <w:rFonts w:ascii="宋体" w:hAnsi="宋体" w:eastAsia="宋体" w:cs="宋体"/>
                <w:sz w:val="18"/>
                <w:szCs w:val="18"/>
              </w:rPr>
            </w:pPr>
          </w:p>
        </w:tc>
      </w:tr>
      <w:tr w14:paraId="7C647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4CAD8677">
            <w:pPr>
              <w:spacing w:before="40" w:after="40" w:line="240" w:lineRule="exact"/>
              <w:rPr>
                <w:rFonts w:ascii="宋体" w:hAnsi="宋体" w:eastAsia="宋体" w:cs="宋体"/>
                <w:sz w:val="18"/>
                <w:szCs w:val="18"/>
              </w:rPr>
            </w:pPr>
            <w:r>
              <w:rPr>
                <w:rFonts w:ascii="宋体" w:hAnsi="宋体"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14:paraId="0B57645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BD5DD1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1F4880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9869D7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7AE49F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B296CA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CDA09A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CCEBE4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4649FC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BE3970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42A48B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4BFD7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EEAE76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B14AE2A">
            <w:pPr>
              <w:spacing w:line="240" w:lineRule="exact"/>
              <w:jc w:val="right"/>
              <w:rPr>
                <w:rFonts w:ascii="宋体" w:hAnsi="宋体" w:eastAsia="宋体" w:cs="宋体"/>
                <w:sz w:val="18"/>
                <w:szCs w:val="18"/>
              </w:rPr>
            </w:pPr>
            <w:r>
              <w:rPr>
                <w:rFonts w:ascii="宋体" w:hAnsi="宋体" w:eastAsia="宋体" w:cs="宋体"/>
                <w:sz w:val="18"/>
                <w:szCs w:val="18"/>
              </w:rPr>
              <w:t>-35,520,000.00</w:t>
            </w:r>
          </w:p>
        </w:tc>
        <w:tc>
          <w:tcPr>
            <w:tcW w:w="602" w:type="dxa"/>
            <w:tcBorders>
              <w:top w:val="single" w:color="auto" w:sz="2" w:space="0"/>
              <w:left w:val="single" w:color="auto" w:sz="2" w:space="0"/>
              <w:bottom w:val="single" w:color="auto" w:sz="2" w:space="0"/>
              <w:right w:val="single" w:color="auto" w:sz="2" w:space="0"/>
            </w:tcBorders>
            <w:vAlign w:val="center"/>
          </w:tcPr>
          <w:p w14:paraId="1254EF88">
            <w:pPr>
              <w:spacing w:line="240" w:lineRule="exact"/>
              <w:jc w:val="right"/>
              <w:rPr>
                <w:rFonts w:ascii="宋体" w:hAnsi="宋体" w:eastAsia="宋体" w:cs="宋体"/>
                <w:sz w:val="18"/>
                <w:szCs w:val="18"/>
              </w:rPr>
            </w:pPr>
            <w:r>
              <w:rPr>
                <w:rFonts w:ascii="宋体" w:hAnsi="宋体" w:eastAsia="宋体" w:cs="宋体"/>
                <w:sz w:val="18"/>
                <w:szCs w:val="18"/>
              </w:rPr>
              <w:t>-35,520,000.00</w:t>
            </w:r>
          </w:p>
        </w:tc>
      </w:tr>
      <w:tr w14:paraId="7F28F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7661D26E">
            <w:pPr>
              <w:spacing w:before="40" w:after="40" w:line="240" w:lineRule="exact"/>
              <w:rPr>
                <w:rFonts w:ascii="宋体" w:hAnsi="宋体" w:eastAsia="宋体" w:cs="宋体"/>
                <w:sz w:val="18"/>
                <w:szCs w:val="18"/>
              </w:rPr>
            </w:pPr>
            <w:r>
              <w:rPr>
                <w:rFonts w:ascii="宋体" w:hAnsi="宋体" w:eastAsia="宋体" w:cs="宋体"/>
                <w:sz w:val="18"/>
                <w:szCs w:val="18"/>
              </w:rPr>
              <w:t>（三）利润分配</w:t>
            </w:r>
          </w:p>
        </w:tc>
        <w:tc>
          <w:tcPr>
            <w:tcW w:w="602" w:type="dxa"/>
            <w:tcBorders>
              <w:top w:val="single" w:color="auto" w:sz="2" w:space="0"/>
              <w:left w:val="single" w:color="auto" w:sz="2" w:space="0"/>
              <w:bottom w:val="single" w:color="auto" w:sz="2" w:space="0"/>
              <w:right w:val="single" w:color="auto" w:sz="2" w:space="0"/>
            </w:tcBorders>
            <w:vAlign w:val="center"/>
          </w:tcPr>
          <w:p w14:paraId="2130330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E17BC5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62E95B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F7187E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80FA64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C6810A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1222C3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5A0D69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87F6CD7">
            <w:pPr>
              <w:spacing w:line="240" w:lineRule="exact"/>
              <w:jc w:val="right"/>
              <w:rPr>
                <w:rFonts w:ascii="宋体" w:hAnsi="宋体" w:eastAsia="宋体" w:cs="宋体"/>
                <w:sz w:val="18"/>
                <w:szCs w:val="18"/>
              </w:rPr>
            </w:pPr>
            <w:r>
              <w:rPr>
                <w:rFonts w:ascii="宋体" w:hAnsi="宋体" w:eastAsia="宋体" w:cs="宋体"/>
                <w:sz w:val="18"/>
                <w:szCs w:val="18"/>
              </w:rPr>
              <w:t>4,479,342.36</w:t>
            </w:r>
          </w:p>
        </w:tc>
        <w:tc>
          <w:tcPr>
            <w:tcW w:w="602" w:type="dxa"/>
            <w:tcBorders>
              <w:top w:val="single" w:color="auto" w:sz="2" w:space="0"/>
              <w:left w:val="single" w:color="auto" w:sz="2" w:space="0"/>
              <w:bottom w:val="single" w:color="auto" w:sz="2" w:space="0"/>
              <w:right w:val="single" w:color="auto" w:sz="2" w:space="0"/>
            </w:tcBorders>
            <w:vAlign w:val="center"/>
          </w:tcPr>
          <w:p w14:paraId="471B7FF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F20EBFA">
            <w:pPr>
              <w:spacing w:line="240" w:lineRule="exact"/>
              <w:jc w:val="right"/>
              <w:rPr>
                <w:rFonts w:ascii="宋体" w:hAnsi="宋体" w:eastAsia="宋体" w:cs="宋体"/>
                <w:sz w:val="18"/>
                <w:szCs w:val="18"/>
              </w:rPr>
            </w:pPr>
            <w:r>
              <w:rPr>
                <w:rFonts w:ascii="宋体" w:hAnsi="宋体" w:eastAsia="宋体" w:cs="宋体"/>
                <w:sz w:val="18"/>
                <w:szCs w:val="18"/>
              </w:rPr>
              <w:t>-4,479,342.36</w:t>
            </w:r>
          </w:p>
        </w:tc>
        <w:tc>
          <w:tcPr>
            <w:tcW w:w="602" w:type="dxa"/>
            <w:tcBorders>
              <w:top w:val="single" w:color="auto" w:sz="2" w:space="0"/>
              <w:left w:val="single" w:color="auto" w:sz="2" w:space="0"/>
              <w:bottom w:val="single" w:color="auto" w:sz="2" w:space="0"/>
              <w:right w:val="single" w:color="auto" w:sz="2" w:space="0"/>
            </w:tcBorders>
            <w:vAlign w:val="center"/>
          </w:tcPr>
          <w:p w14:paraId="19D66A3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11B2EA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B2332A5">
            <w:pPr>
              <w:spacing w:line="240" w:lineRule="exact"/>
              <w:jc w:val="right"/>
              <w:rPr>
                <w:rFonts w:ascii="宋体" w:hAnsi="宋体" w:eastAsia="宋体" w:cs="宋体"/>
                <w:sz w:val="18"/>
                <w:szCs w:val="18"/>
              </w:rPr>
            </w:pPr>
            <w:r>
              <w:rPr>
                <w:rFonts w:ascii="宋体" w:hAnsi="宋体" w:eastAsia="宋体" w:cs="宋体"/>
                <w:sz w:val="18"/>
                <w:szCs w:val="18"/>
              </w:rPr>
              <w:t>-9,460,160.00</w:t>
            </w:r>
          </w:p>
        </w:tc>
        <w:tc>
          <w:tcPr>
            <w:tcW w:w="602" w:type="dxa"/>
            <w:tcBorders>
              <w:top w:val="single" w:color="auto" w:sz="2" w:space="0"/>
              <w:left w:val="single" w:color="auto" w:sz="2" w:space="0"/>
              <w:bottom w:val="single" w:color="auto" w:sz="2" w:space="0"/>
              <w:right w:val="single" w:color="auto" w:sz="2" w:space="0"/>
            </w:tcBorders>
            <w:vAlign w:val="center"/>
          </w:tcPr>
          <w:p w14:paraId="3D0D28BE">
            <w:pPr>
              <w:spacing w:line="240" w:lineRule="exact"/>
              <w:jc w:val="right"/>
              <w:rPr>
                <w:rFonts w:ascii="宋体" w:hAnsi="宋体" w:eastAsia="宋体" w:cs="宋体"/>
                <w:sz w:val="18"/>
                <w:szCs w:val="18"/>
              </w:rPr>
            </w:pPr>
            <w:r>
              <w:rPr>
                <w:rFonts w:ascii="宋体" w:hAnsi="宋体" w:eastAsia="宋体" w:cs="宋体"/>
                <w:sz w:val="18"/>
                <w:szCs w:val="18"/>
              </w:rPr>
              <w:t>-9,460,160.00</w:t>
            </w:r>
          </w:p>
        </w:tc>
      </w:tr>
      <w:tr w14:paraId="64C34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054F944D">
            <w:pPr>
              <w:spacing w:before="40" w:after="40" w:line="240" w:lineRule="exact"/>
              <w:rPr>
                <w:rFonts w:ascii="宋体" w:hAnsi="宋体" w:eastAsia="宋体" w:cs="宋体"/>
                <w:sz w:val="18"/>
                <w:szCs w:val="18"/>
              </w:rPr>
            </w:pPr>
            <w:r>
              <w:rPr>
                <w:rFonts w:ascii="宋体" w:hAnsi="宋体" w:eastAsia="宋体" w:cs="宋体"/>
                <w:sz w:val="18"/>
                <w:szCs w:val="18"/>
              </w:rPr>
              <w:t>1．提取盈余公积</w:t>
            </w:r>
          </w:p>
        </w:tc>
        <w:tc>
          <w:tcPr>
            <w:tcW w:w="602" w:type="dxa"/>
            <w:tcBorders>
              <w:top w:val="single" w:color="auto" w:sz="2" w:space="0"/>
              <w:left w:val="single" w:color="auto" w:sz="2" w:space="0"/>
              <w:bottom w:val="single" w:color="auto" w:sz="2" w:space="0"/>
              <w:right w:val="single" w:color="auto" w:sz="2" w:space="0"/>
            </w:tcBorders>
            <w:vAlign w:val="center"/>
          </w:tcPr>
          <w:p w14:paraId="7698E6E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813929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291DAD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E2BE4E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1B3629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3F92E7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A0BF90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A551BE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6D0318B">
            <w:pPr>
              <w:spacing w:line="240" w:lineRule="exact"/>
              <w:jc w:val="right"/>
              <w:rPr>
                <w:rFonts w:ascii="宋体" w:hAnsi="宋体" w:eastAsia="宋体" w:cs="宋体"/>
                <w:sz w:val="18"/>
                <w:szCs w:val="18"/>
              </w:rPr>
            </w:pPr>
            <w:r>
              <w:rPr>
                <w:rFonts w:ascii="宋体" w:hAnsi="宋体" w:eastAsia="宋体" w:cs="宋体"/>
                <w:sz w:val="18"/>
                <w:szCs w:val="18"/>
              </w:rPr>
              <w:t>4,479,342.36</w:t>
            </w:r>
          </w:p>
        </w:tc>
        <w:tc>
          <w:tcPr>
            <w:tcW w:w="602" w:type="dxa"/>
            <w:tcBorders>
              <w:top w:val="single" w:color="auto" w:sz="2" w:space="0"/>
              <w:left w:val="single" w:color="auto" w:sz="2" w:space="0"/>
              <w:bottom w:val="single" w:color="auto" w:sz="2" w:space="0"/>
              <w:right w:val="single" w:color="auto" w:sz="2" w:space="0"/>
            </w:tcBorders>
            <w:vAlign w:val="center"/>
          </w:tcPr>
          <w:p w14:paraId="5B30134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24B334E">
            <w:pPr>
              <w:spacing w:line="240" w:lineRule="exact"/>
              <w:jc w:val="right"/>
              <w:rPr>
                <w:rFonts w:ascii="宋体" w:hAnsi="宋体" w:eastAsia="宋体" w:cs="宋体"/>
                <w:sz w:val="18"/>
                <w:szCs w:val="18"/>
              </w:rPr>
            </w:pPr>
            <w:r>
              <w:rPr>
                <w:rFonts w:ascii="宋体" w:hAnsi="宋体" w:eastAsia="宋体" w:cs="宋体"/>
                <w:sz w:val="18"/>
                <w:szCs w:val="18"/>
              </w:rPr>
              <w:t>-4,479,342.36</w:t>
            </w:r>
          </w:p>
        </w:tc>
        <w:tc>
          <w:tcPr>
            <w:tcW w:w="602" w:type="dxa"/>
            <w:tcBorders>
              <w:top w:val="single" w:color="auto" w:sz="2" w:space="0"/>
              <w:left w:val="single" w:color="auto" w:sz="2" w:space="0"/>
              <w:bottom w:val="single" w:color="auto" w:sz="2" w:space="0"/>
              <w:right w:val="single" w:color="auto" w:sz="2" w:space="0"/>
            </w:tcBorders>
            <w:vAlign w:val="center"/>
          </w:tcPr>
          <w:p w14:paraId="29C9A3D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73AB76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BDC023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0FEA0E4">
            <w:pPr>
              <w:spacing w:line="240" w:lineRule="exact"/>
              <w:jc w:val="right"/>
              <w:rPr>
                <w:rFonts w:ascii="宋体" w:hAnsi="宋体" w:eastAsia="宋体" w:cs="宋体"/>
                <w:sz w:val="18"/>
                <w:szCs w:val="18"/>
              </w:rPr>
            </w:pPr>
          </w:p>
        </w:tc>
      </w:tr>
      <w:tr w14:paraId="120B5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99C9512">
            <w:pPr>
              <w:spacing w:before="40" w:after="40" w:line="240" w:lineRule="exact"/>
              <w:rPr>
                <w:rFonts w:ascii="宋体" w:hAnsi="宋体" w:eastAsia="宋体" w:cs="宋体"/>
                <w:sz w:val="18"/>
                <w:szCs w:val="18"/>
              </w:rPr>
            </w:pPr>
            <w:r>
              <w:rPr>
                <w:rFonts w:ascii="宋体" w:hAnsi="宋体" w:eastAsia="宋体" w:cs="宋体"/>
                <w:sz w:val="18"/>
                <w:szCs w:val="18"/>
              </w:rPr>
              <w:t>2．提取一般风险准备</w:t>
            </w:r>
          </w:p>
        </w:tc>
        <w:tc>
          <w:tcPr>
            <w:tcW w:w="602" w:type="dxa"/>
            <w:tcBorders>
              <w:top w:val="single" w:color="auto" w:sz="2" w:space="0"/>
              <w:left w:val="single" w:color="auto" w:sz="2" w:space="0"/>
              <w:bottom w:val="single" w:color="auto" w:sz="2" w:space="0"/>
              <w:right w:val="single" w:color="auto" w:sz="2" w:space="0"/>
            </w:tcBorders>
            <w:vAlign w:val="center"/>
          </w:tcPr>
          <w:p w14:paraId="17D5EC0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6A92D1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64D811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23838E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E00B2B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C45994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509956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820E6C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B6C123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563C86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D89DD9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843C6C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BBFD30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887773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C5DDD9F">
            <w:pPr>
              <w:spacing w:line="240" w:lineRule="exact"/>
              <w:jc w:val="right"/>
              <w:rPr>
                <w:rFonts w:ascii="宋体" w:hAnsi="宋体" w:eastAsia="宋体" w:cs="宋体"/>
                <w:sz w:val="18"/>
                <w:szCs w:val="18"/>
              </w:rPr>
            </w:pPr>
          </w:p>
        </w:tc>
      </w:tr>
      <w:tr w14:paraId="3B3C0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11F9BD3">
            <w:pPr>
              <w:spacing w:before="40" w:after="40" w:line="240" w:lineRule="exact"/>
              <w:rPr>
                <w:rFonts w:ascii="宋体" w:hAnsi="宋体" w:eastAsia="宋体" w:cs="宋体"/>
                <w:sz w:val="18"/>
                <w:szCs w:val="18"/>
              </w:rPr>
            </w:pPr>
            <w:r>
              <w:rPr>
                <w:rFonts w:ascii="宋体" w:hAnsi="宋体" w:eastAsia="宋体" w:cs="宋体"/>
                <w:sz w:val="18"/>
                <w:szCs w:val="18"/>
              </w:rPr>
              <w:t>3．对所有者（或股东）的分配</w:t>
            </w:r>
          </w:p>
        </w:tc>
        <w:tc>
          <w:tcPr>
            <w:tcW w:w="602" w:type="dxa"/>
            <w:tcBorders>
              <w:top w:val="single" w:color="auto" w:sz="2" w:space="0"/>
              <w:left w:val="single" w:color="auto" w:sz="2" w:space="0"/>
              <w:bottom w:val="single" w:color="auto" w:sz="2" w:space="0"/>
              <w:right w:val="single" w:color="auto" w:sz="2" w:space="0"/>
            </w:tcBorders>
            <w:vAlign w:val="center"/>
          </w:tcPr>
          <w:p w14:paraId="7819F30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62DA1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62DBEC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3D4BDB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EE5ADD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34443A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1B5862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A41795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729575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3E2FF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61621B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EBB023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0B1B58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5E61E22">
            <w:pPr>
              <w:spacing w:line="240" w:lineRule="exact"/>
              <w:jc w:val="right"/>
              <w:rPr>
                <w:rFonts w:ascii="宋体" w:hAnsi="宋体" w:eastAsia="宋体" w:cs="宋体"/>
                <w:sz w:val="18"/>
                <w:szCs w:val="18"/>
              </w:rPr>
            </w:pPr>
            <w:r>
              <w:rPr>
                <w:rFonts w:ascii="宋体" w:hAnsi="宋体" w:eastAsia="宋体" w:cs="宋体"/>
                <w:sz w:val="18"/>
                <w:szCs w:val="18"/>
              </w:rPr>
              <w:t>-9,460,160.00</w:t>
            </w:r>
          </w:p>
        </w:tc>
        <w:tc>
          <w:tcPr>
            <w:tcW w:w="602" w:type="dxa"/>
            <w:tcBorders>
              <w:top w:val="single" w:color="auto" w:sz="2" w:space="0"/>
              <w:left w:val="single" w:color="auto" w:sz="2" w:space="0"/>
              <w:bottom w:val="single" w:color="auto" w:sz="2" w:space="0"/>
              <w:right w:val="single" w:color="auto" w:sz="2" w:space="0"/>
            </w:tcBorders>
            <w:vAlign w:val="center"/>
          </w:tcPr>
          <w:p w14:paraId="51285C94">
            <w:pPr>
              <w:spacing w:line="240" w:lineRule="exact"/>
              <w:jc w:val="right"/>
              <w:rPr>
                <w:rFonts w:ascii="宋体" w:hAnsi="宋体" w:eastAsia="宋体" w:cs="宋体"/>
                <w:sz w:val="18"/>
                <w:szCs w:val="18"/>
              </w:rPr>
            </w:pPr>
            <w:r>
              <w:rPr>
                <w:rFonts w:ascii="宋体" w:hAnsi="宋体" w:eastAsia="宋体" w:cs="宋体"/>
                <w:sz w:val="18"/>
                <w:szCs w:val="18"/>
              </w:rPr>
              <w:t>-9,460,160.00</w:t>
            </w:r>
          </w:p>
        </w:tc>
      </w:tr>
      <w:tr w14:paraId="432EB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12EB337">
            <w:pPr>
              <w:spacing w:before="40" w:after="40" w:line="240" w:lineRule="exact"/>
              <w:rPr>
                <w:rFonts w:ascii="宋体" w:hAnsi="宋体" w:eastAsia="宋体" w:cs="宋体"/>
                <w:sz w:val="18"/>
                <w:szCs w:val="18"/>
              </w:rPr>
            </w:pPr>
            <w:r>
              <w:rPr>
                <w:rFonts w:ascii="宋体" w:hAnsi="宋体"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14:paraId="046E80C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8633E9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E94266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80F94A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40961A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0F74CA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60765C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BFDA91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7798F8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A44807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D3CD12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8E353F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B2B558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C05E9F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2E8D960">
            <w:pPr>
              <w:spacing w:line="240" w:lineRule="exact"/>
              <w:jc w:val="right"/>
              <w:rPr>
                <w:rFonts w:ascii="宋体" w:hAnsi="宋体" w:eastAsia="宋体" w:cs="宋体"/>
                <w:sz w:val="18"/>
                <w:szCs w:val="18"/>
              </w:rPr>
            </w:pPr>
          </w:p>
        </w:tc>
      </w:tr>
      <w:tr w14:paraId="6249A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7789488A">
            <w:pPr>
              <w:spacing w:before="40" w:after="40" w:line="240" w:lineRule="exact"/>
              <w:rPr>
                <w:rFonts w:ascii="宋体" w:hAnsi="宋体" w:eastAsia="宋体" w:cs="宋体"/>
                <w:sz w:val="18"/>
                <w:szCs w:val="18"/>
              </w:rPr>
            </w:pPr>
            <w:r>
              <w:rPr>
                <w:rFonts w:ascii="宋体" w:hAnsi="宋体" w:eastAsia="宋体" w:cs="宋体"/>
                <w:sz w:val="18"/>
                <w:szCs w:val="18"/>
              </w:rPr>
              <w:t>（四）所有者权益内部结转</w:t>
            </w:r>
          </w:p>
        </w:tc>
        <w:tc>
          <w:tcPr>
            <w:tcW w:w="602" w:type="dxa"/>
            <w:tcBorders>
              <w:top w:val="single" w:color="auto" w:sz="2" w:space="0"/>
              <w:left w:val="single" w:color="auto" w:sz="2" w:space="0"/>
              <w:bottom w:val="single" w:color="auto" w:sz="2" w:space="0"/>
              <w:right w:val="single" w:color="auto" w:sz="2" w:space="0"/>
            </w:tcBorders>
            <w:vAlign w:val="center"/>
          </w:tcPr>
          <w:p w14:paraId="596520D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F97493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158975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E1D4B4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E0B759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B2FB5F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7453C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6006C4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399E13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128F4F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71EFF6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03FDC5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ECFF71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96505E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FE87FF1">
            <w:pPr>
              <w:spacing w:line="240" w:lineRule="exact"/>
              <w:jc w:val="right"/>
              <w:rPr>
                <w:rFonts w:ascii="宋体" w:hAnsi="宋体" w:eastAsia="宋体" w:cs="宋体"/>
                <w:sz w:val="18"/>
                <w:szCs w:val="18"/>
              </w:rPr>
            </w:pPr>
          </w:p>
        </w:tc>
      </w:tr>
      <w:tr w14:paraId="01671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1B5691B">
            <w:pPr>
              <w:spacing w:before="40" w:after="40" w:line="240" w:lineRule="exact"/>
              <w:rPr>
                <w:rFonts w:ascii="宋体" w:hAnsi="宋体" w:eastAsia="宋体" w:cs="宋体"/>
                <w:sz w:val="18"/>
                <w:szCs w:val="18"/>
              </w:rPr>
            </w:pPr>
            <w:r>
              <w:rPr>
                <w:rFonts w:ascii="宋体" w:hAnsi="宋体" w:eastAsia="宋体" w:cs="宋体"/>
                <w:sz w:val="18"/>
                <w:szCs w:val="18"/>
              </w:rPr>
              <w:t>1．资本公积转增资本（或股本）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14:paraId="4B99642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BAEC1B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C6079E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40C709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AE5407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EDE5CB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FDADA7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BCC5CF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0254FB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42214A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52BD77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C6F9EC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9CE4AA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2D7013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790074B">
            <w:pPr>
              <w:spacing w:line="240" w:lineRule="exact"/>
              <w:jc w:val="right"/>
              <w:rPr>
                <w:rFonts w:ascii="宋体" w:hAnsi="宋体" w:eastAsia="宋体" w:cs="宋体"/>
                <w:sz w:val="18"/>
                <w:szCs w:val="18"/>
              </w:rPr>
            </w:pPr>
          </w:p>
        </w:tc>
      </w:tr>
      <w:tr w14:paraId="346BB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65283497">
            <w:pPr>
              <w:spacing w:before="40" w:after="40" w:line="240" w:lineRule="exact"/>
              <w:rPr>
                <w:rFonts w:ascii="宋体" w:hAnsi="宋体" w:eastAsia="宋体" w:cs="宋体"/>
                <w:sz w:val="18"/>
                <w:szCs w:val="18"/>
              </w:rPr>
            </w:pPr>
            <w:r>
              <w:rPr>
                <w:rFonts w:ascii="宋体" w:hAnsi="宋体" w:eastAsia="宋体" w:cs="宋体"/>
                <w:sz w:val="18"/>
                <w:szCs w:val="18"/>
              </w:rPr>
              <w:t>2．盈余公积转增资本（或股本）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14:paraId="7650CF8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8CDA99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E5DBAC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FF7927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3941D6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AB512D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E575F2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7EF543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900854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F71825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23A032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2F7AE1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D08ED7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9FCE49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EDF9A03">
            <w:pPr>
              <w:spacing w:line="240" w:lineRule="exact"/>
              <w:jc w:val="right"/>
              <w:rPr>
                <w:rFonts w:ascii="宋体" w:hAnsi="宋体" w:eastAsia="宋体" w:cs="宋体"/>
                <w:sz w:val="18"/>
                <w:szCs w:val="18"/>
              </w:rPr>
            </w:pPr>
          </w:p>
        </w:tc>
      </w:tr>
      <w:tr w14:paraId="2FCE6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E173AC9">
            <w:pPr>
              <w:spacing w:before="40" w:after="40" w:line="240" w:lineRule="exact"/>
              <w:rPr>
                <w:rFonts w:ascii="宋体" w:hAnsi="宋体" w:eastAsia="宋体" w:cs="宋体"/>
                <w:sz w:val="18"/>
                <w:szCs w:val="18"/>
              </w:rPr>
            </w:pPr>
            <w:r>
              <w:rPr>
                <w:rFonts w:ascii="宋体" w:hAnsi="宋体" w:eastAsia="宋体" w:cs="宋体"/>
                <w:sz w:val="18"/>
                <w:szCs w:val="18"/>
              </w:rPr>
              <w:t>3．盈余公积弥补亏损</w:t>
            </w:r>
          </w:p>
        </w:tc>
        <w:tc>
          <w:tcPr>
            <w:tcW w:w="602" w:type="dxa"/>
            <w:tcBorders>
              <w:top w:val="single" w:color="auto" w:sz="2" w:space="0"/>
              <w:left w:val="single" w:color="auto" w:sz="2" w:space="0"/>
              <w:bottom w:val="single" w:color="auto" w:sz="2" w:space="0"/>
              <w:right w:val="single" w:color="auto" w:sz="2" w:space="0"/>
            </w:tcBorders>
            <w:vAlign w:val="center"/>
          </w:tcPr>
          <w:p w14:paraId="3A489DB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93EC6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59C7CA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0E92B0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6F59F1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3E3DAE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7FB732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D55ED2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A434E3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DCBEDF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D1BDAD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8DFE8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929350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B02E56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1FB9F31">
            <w:pPr>
              <w:spacing w:line="240" w:lineRule="exact"/>
              <w:jc w:val="right"/>
              <w:rPr>
                <w:rFonts w:ascii="宋体" w:hAnsi="宋体" w:eastAsia="宋体" w:cs="宋体"/>
                <w:sz w:val="18"/>
                <w:szCs w:val="18"/>
              </w:rPr>
            </w:pPr>
          </w:p>
        </w:tc>
      </w:tr>
      <w:tr w14:paraId="50AF5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CB097BD">
            <w:pPr>
              <w:spacing w:before="40" w:after="40" w:line="240" w:lineRule="exact"/>
              <w:rPr>
                <w:rFonts w:ascii="宋体" w:hAnsi="宋体" w:eastAsia="宋体" w:cs="宋体"/>
                <w:sz w:val="18"/>
                <w:szCs w:val="18"/>
              </w:rPr>
            </w:pPr>
            <w:r>
              <w:rPr>
                <w:rFonts w:ascii="宋体" w:hAnsi="宋体" w:eastAsia="宋体" w:cs="宋体"/>
                <w:sz w:val="18"/>
                <w:szCs w:val="18"/>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vAlign w:val="center"/>
          </w:tcPr>
          <w:p w14:paraId="2B51185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101FBD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E5EE9D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026D40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73291C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E30255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88AE9F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3D831F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F172F6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08964D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80CA2E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AED928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B3B61D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FC1E5F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155765D">
            <w:pPr>
              <w:spacing w:line="240" w:lineRule="exact"/>
              <w:jc w:val="right"/>
              <w:rPr>
                <w:rFonts w:ascii="宋体" w:hAnsi="宋体" w:eastAsia="宋体" w:cs="宋体"/>
                <w:sz w:val="18"/>
                <w:szCs w:val="18"/>
              </w:rPr>
            </w:pPr>
          </w:p>
        </w:tc>
      </w:tr>
      <w:tr w14:paraId="6B0FE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73E66004">
            <w:pPr>
              <w:spacing w:before="40" w:after="40" w:line="240" w:lineRule="exact"/>
              <w:rPr>
                <w:rFonts w:ascii="宋体" w:hAnsi="宋体" w:eastAsia="宋体" w:cs="宋体"/>
                <w:sz w:val="18"/>
                <w:szCs w:val="18"/>
              </w:rPr>
            </w:pPr>
            <w:r>
              <w:rPr>
                <w:rFonts w:ascii="宋体" w:hAnsi="宋体" w:eastAsia="宋体" w:cs="宋体"/>
                <w:sz w:val="18"/>
                <w:szCs w:val="18"/>
              </w:rPr>
              <w:t>5．其他综合收益结转留存收益</w:t>
            </w:r>
          </w:p>
        </w:tc>
        <w:tc>
          <w:tcPr>
            <w:tcW w:w="602" w:type="dxa"/>
            <w:tcBorders>
              <w:top w:val="single" w:color="auto" w:sz="2" w:space="0"/>
              <w:left w:val="single" w:color="auto" w:sz="2" w:space="0"/>
              <w:bottom w:val="single" w:color="auto" w:sz="2" w:space="0"/>
              <w:right w:val="single" w:color="auto" w:sz="2" w:space="0"/>
            </w:tcBorders>
            <w:vAlign w:val="center"/>
          </w:tcPr>
          <w:p w14:paraId="4AB4E32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D925EE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F4CDB6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758EAE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EAEA31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BA6726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980212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1B384B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7C16FC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3A7EE6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F99D02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2E11EC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E093E8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AB8472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A48364D">
            <w:pPr>
              <w:spacing w:line="240" w:lineRule="exact"/>
              <w:jc w:val="right"/>
              <w:rPr>
                <w:rFonts w:ascii="宋体" w:hAnsi="宋体" w:eastAsia="宋体" w:cs="宋体"/>
                <w:sz w:val="18"/>
                <w:szCs w:val="18"/>
              </w:rPr>
            </w:pPr>
          </w:p>
        </w:tc>
      </w:tr>
      <w:tr w14:paraId="46565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799A2B8A">
            <w:pPr>
              <w:spacing w:before="40" w:after="40" w:line="240" w:lineRule="exact"/>
              <w:rPr>
                <w:rFonts w:ascii="宋体" w:hAnsi="宋体" w:eastAsia="宋体" w:cs="宋体"/>
                <w:sz w:val="18"/>
                <w:szCs w:val="18"/>
              </w:rPr>
            </w:pPr>
            <w:r>
              <w:rPr>
                <w:rFonts w:ascii="宋体" w:hAnsi="宋体" w:eastAsia="宋体" w:cs="宋体"/>
                <w:sz w:val="18"/>
                <w:szCs w:val="18"/>
              </w:rPr>
              <w:t>6．其他</w:t>
            </w:r>
          </w:p>
        </w:tc>
        <w:tc>
          <w:tcPr>
            <w:tcW w:w="602" w:type="dxa"/>
            <w:tcBorders>
              <w:top w:val="single" w:color="auto" w:sz="2" w:space="0"/>
              <w:left w:val="single" w:color="auto" w:sz="2" w:space="0"/>
              <w:bottom w:val="single" w:color="auto" w:sz="2" w:space="0"/>
              <w:right w:val="single" w:color="auto" w:sz="2" w:space="0"/>
            </w:tcBorders>
            <w:vAlign w:val="center"/>
          </w:tcPr>
          <w:p w14:paraId="691A307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A84B37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608B35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171878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17C173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DDC664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AEE08A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346D18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36DC8D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6E720A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8C6B7D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0405F8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A9D8C9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44FA58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4A899FC">
            <w:pPr>
              <w:spacing w:line="240" w:lineRule="exact"/>
              <w:jc w:val="right"/>
              <w:rPr>
                <w:rFonts w:ascii="宋体" w:hAnsi="宋体" w:eastAsia="宋体" w:cs="宋体"/>
                <w:sz w:val="18"/>
                <w:szCs w:val="18"/>
              </w:rPr>
            </w:pPr>
          </w:p>
        </w:tc>
      </w:tr>
      <w:tr w14:paraId="6F0D9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7D7C1962">
            <w:pPr>
              <w:spacing w:before="40" w:after="40" w:line="240" w:lineRule="exact"/>
              <w:rPr>
                <w:rFonts w:ascii="宋体" w:hAnsi="宋体" w:eastAsia="宋体" w:cs="宋体"/>
                <w:sz w:val="18"/>
                <w:szCs w:val="18"/>
              </w:rPr>
            </w:pPr>
            <w:r>
              <w:rPr>
                <w:rFonts w:ascii="宋体" w:hAnsi="宋体" w:eastAsia="宋体" w:cs="宋体"/>
                <w:sz w:val="18"/>
                <w:szCs w:val="18"/>
              </w:rPr>
              <w:t>（五）专项储备</w:t>
            </w:r>
          </w:p>
        </w:tc>
        <w:tc>
          <w:tcPr>
            <w:tcW w:w="602" w:type="dxa"/>
            <w:tcBorders>
              <w:top w:val="single" w:color="auto" w:sz="2" w:space="0"/>
              <w:left w:val="single" w:color="auto" w:sz="2" w:space="0"/>
              <w:bottom w:val="single" w:color="auto" w:sz="2" w:space="0"/>
              <w:right w:val="single" w:color="auto" w:sz="2" w:space="0"/>
            </w:tcBorders>
            <w:vAlign w:val="center"/>
          </w:tcPr>
          <w:p w14:paraId="7240214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5BF32A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C611E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51BE26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082F76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7EA391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7D29D4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1CAB0A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9052D2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E964AE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6B1036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4315B0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9005F7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AE3DEA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7AA5A4C">
            <w:pPr>
              <w:spacing w:line="240" w:lineRule="exact"/>
              <w:jc w:val="right"/>
              <w:rPr>
                <w:rFonts w:ascii="宋体" w:hAnsi="宋体" w:eastAsia="宋体" w:cs="宋体"/>
                <w:sz w:val="18"/>
                <w:szCs w:val="18"/>
              </w:rPr>
            </w:pPr>
          </w:p>
        </w:tc>
      </w:tr>
      <w:tr w14:paraId="5B54C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34F45B67">
            <w:pPr>
              <w:spacing w:before="40" w:after="40" w:line="240" w:lineRule="exact"/>
              <w:rPr>
                <w:rFonts w:ascii="宋体" w:hAnsi="宋体" w:eastAsia="宋体" w:cs="宋体"/>
                <w:sz w:val="18"/>
                <w:szCs w:val="18"/>
              </w:rPr>
            </w:pPr>
            <w:r>
              <w:rPr>
                <w:rFonts w:ascii="宋体" w:hAnsi="宋体" w:eastAsia="宋体" w:cs="宋体"/>
                <w:sz w:val="18"/>
                <w:szCs w:val="18"/>
              </w:rPr>
              <w:t>1．本期提取</w:t>
            </w:r>
          </w:p>
        </w:tc>
        <w:tc>
          <w:tcPr>
            <w:tcW w:w="602" w:type="dxa"/>
            <w:tcBorders>
              <w:top w:val="single" w:color="auto" w:sz="2" w:space="0"/>
              <w:left w:val="single" w:color="auto" w:sz="2" w:space="0"/>
              <w:bottom w:val="single" w:color="auto" w:sz="2" w:space="0"/>
              <w:right w:val="single" w:color="auto" w:sz="2" w:space="0"/>
            </w:tcBorders>
            <w:vAlign w:val="center"/>
          </w:tcPr>
          <w:p w14:paraId="2653388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DAEE20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FEB077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D92B37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0DF90B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744AF4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690B99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AEA58A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E0C7DD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A1D8C3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BFDC8C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7562D3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70F6E8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34B421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BD4B4D">
            <w:pPr>
              <w:spacing w:line="240" w:lineRule="exact"/>
              <w:jc w:val="right"/>
              <w:rPr>
                <w:rFonts w:ascii="宋体" w:hAnsi="宋体" w:eastAsia="宋体" w:cs="宋体"/>
                <w:sz w:val="18"/>
                <w:szCs w:val="18"/>
              </w:rPr>
            </w:pPr>
          </w:p>
        </w:tc>
      </w:tr>
      <w:tr w14:paraId="2A0E5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7568B858">
            <w:pPr>
              <w:spacing w:before="40" w:after="40" w:line="240" w:lineRule="exact"/>
              <w:rPr>
                <w:rFonts w:ascii="宋体" w:hAnsi="宋体" w:eastAsia="宋体" w:cs="宋体"/>
                <w:sz w:val="18"/>
                <w:szCs w:val="18"/>
              </w:rPr>
            </w:pPr>
            <w:r>
              <w:rPr>
                <w:rFonts w:ascii="宋体" w:hAnsi="宋体" w:eastAsia="宋体" w:cs="宋体"/>
                <w:sz w:val="18"/>
                <w:szCs w:val="18"/>
              </w:rPr>
              <w:t>2．本期使用</w:t>
            </w:r>
          </w:p>
        </w:tc>
        <w:tc>
          <w:tcPr>
            <w:tcW w:w="602" w:type="dxa"/>
            <w:tcBorders>
              <w:top w:val="single" w:color="auto" w:sz="2" w:space="0"/>
              <w:left w:val="single" w:color="auto" w:sz="2" w:space="0"/>
              <w:bottom w:val="single" w:color="auto" w:sz="2" w:space="0"/>
              <w:right w:val="single" w:color="auto" w:sz="2" w:space="0"/>
            </w:tcBorders>
            <w:vAlign w:val="center"/>
          </w:tcPr>
          <w:p w14:paraId="20AF684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FEA273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79A1DE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747C2E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6817B2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D49559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90B5AA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113F9B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7701AE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E771F5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C0125E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155AA9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412C62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304020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C475321">
            <w:pPr>
              <w:spacing w:line="240" w:lineRule="exact"/>
              <w:jc w:val="right"/>
              <w:rPr>
                <w:rFonts w:ascii="宋体" w:hAnsi="宋体" w:eastAsia="宋体" w:cs="宋体"/>
                <w:sz w:val="18"/>
                <w:szCs w:val="18"/>
              </w:rPr>
            </w:pPr>
          </w:p>
        </w:tc>
      </w:tr>
      <w:tr w14:paraId="7797F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4DDBB55B">
            <w:pPr>
              <w:spacing w:before="40" w:after="40" w:line="240" w:lineRule="exact"/>
              <w:rPr>
                <w:rFonts w:ascii="宋体" w:hAnsi="宋体" w:eastAsia="宋体" w:cs="宋体"/>
                <w:sz w:val="18"/>
                <w:szCs w:val="18"/>
              </w:rPr>
            </w:pPr>
            <w:r>
              <w:rPr>
                <w:rFonts w:ascii="宋体" w:hAnsi="宋体" w:eastAsia="宋体" w:cs="宋体"/>
                <w:sz w:val="18"/>
                <w:szCs w:val="18"/>
              </w:rPr>
              <w:t>（六）其他</w:t>
            </w:r>
          </w:p>
        </w:tc>
        <w:tc>
          <w:tcPr>
            <w:tcW w:w="602" w:type="dxa"/>
            <w:tcBorders>
              <w:top w:val="single" w:color="auto" w:sz="2" w:space="0"/>
              <w:left w:val="single" w:color="auto" w:sz="2" w:space="0"/>
              <w:bottom w:val="single" w:color="auto" w:sz="2" w:space="0"/>
              <w:right w:val="single" w:color="auto" w:sz="2" w:space="0"/>
            </w:tcBorders>
            <w:vAlign w:val="center"/>
          </w:tcPr>
          <w:p w14:paraId="425C533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CE98C0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3463A1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960193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63727D7">
            <w:pPr>
              <w:spacing w:line="240" w:lineRule="exact"/>
              <w:jc w:val="right"/>
              <w:rPr>
                <w:rFonts w:ascii="宋体" w:hAnsi="宋体" w:eastAsia="宋体" w:cs="宋体"/>
                <w:sz w:val="18"/>
                <w:szCs w:val="18"/>
              </w:rPr>
            </w:pPr>
            <w:r>
              <w:rPr>
                <w:rFonts w:ascii="宋体" w:hAnsi="宋体" w:eastAsia="宋体" w:cs="宋体"/>
                <w:sz w:val="18"/>
                <w:szCs w:val="18"/>
              </w:rPr>
              <w:t>-80,706.80</w:t>
            </w:r>
          </w:p>
        </w:tc>
        <w:tc>
          <w:tcPr>
            <w:tcW w:w="602" w:type="dxa"/>
            <w:tcBorders>
              <w:top w:val="single" w:color="auto" w:sz="2" w:space="0"/>
              <w:left w:val="single" w:color="auto" w:sz="2" w:space="0"/>
              <w:bottom w:val="single" w:color="auto" w:sz="2" w:space="0"/>
              <w:right w:val="single" w:color="auto" w:sz="2" w:space="0"/>
            </w:tcBorders>
            <w:vAlign w:val="center"/>
          </w:tcPr>
          <w:p w14:paraId="1C6BFBE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08A93D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B2C4ED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3E064D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58F0FF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D857B7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D8015E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49684A7">
            <w:pPr>
              <w:spacing w:line="240" w:lineRule="exact"/>
              <w:jc w:val="right"/>
              <w:rPr>
                <w:rFonts w:ascii="宋体" w:hAnsi="宋体" w:eastAsia="宋体" w:cs="宋体"/>
                <w:sz w:val="18"/>
                <w:szCs w:val="18"/>
              </w:rPr>
            </w:pPr>
            <w:r>
              <w:rPr>
                <w:rFonts w:ascii="宋体" w:hAnsi="宋体" w:eastAsia="宋体" w:cs="宋体"/>
                <w:sz w:val="18"/>
                <w:szCs w:val="18"/>
              </w:rPr>
              <w:t>-80,706.80</w:t>
            </w:r>
          </w:p>
        </w:tc>
        <w:tc>
          <w:tcPr>
            <w:tcW w:w="602" w:type="dxa"/>
            <w:tcBorders>
              <w:top w:val="single" w:color="auto" w:sz="2" w:space="0"/>
              <w:left w:val="single" w:color="auto" w:sz="2" w:space="0"/>
              <w:bottom w:val="single" w:color="auto" w:sz="2" w:space="0"/>
              <w:right w:val="single" w:color="auto" w:sz="2" w:space="0"/>
            </w:tcBorders>
            <w:vAlign w:val="center"/>
          </w:tcPr>
          <w:p w14:paraId="0DC5D51E">
            <w:pPr>
              <w:spacing w:line="240" w:lineRule="exact"/>
              <w:jc w:val="right"/>
              <w:rPr>
                <w:rFonts w:ascii="宋体" w:hAnsi="宋体" w:eastAsia="宋体" w:cs="宋体"/>
                <w:sz w:val="18"/>
                <w:szCs w:val="18"/>
              </w:rPr>
            </w:pPr>
            <w:r>
              <w:rPr>
                <w:rFonts w:ascii="宋体" w:hAnsi="宋体" w:eastAsia="宋体" w:cs="宋体"/>
                <w:sz w:val="18"/>
                <w:szCs w:val="18"/>
              </w:rPr>
              <w:t>80,706.80</w:t>
            </w:r>
          </w:p>
        </w:tc>
        <w:tc>
          <w:tcPr>
            <w:tcW w:w="602" w:type="dxa"/>
            <w:tcBorders>
              <w:top w:val="single" w:color="auto" w:sz="2" w:space="0"/>
              <w:left w:val="single" w:color="auto" w:sz="2" w:space="0"/>
              <w:bottom w:val="single" w:color="auto" w:sz="2" w:space="0"/>
              <w:right w:val="single" w:color="auto" w:sz="2" w:space="0"/>
            </w:tcBorders>
            <w:vAlign w:val="center"/>
          </w:tcPr>
          <w:p w14:paraId="37AAA5F9">
            <w:pPr>
              <w:spacing w:line="240" w:lineRule="exact"/>
              <w:jc w:val="right"/>
              <w:rPr>
                <w:rFonts w:ascii="宋体" w:hAnsi="宋体" w:eastAsia="宋体" w:cs="宋体"/>
                <w:sz w:val="18"/>
                <w:szCs w:val="18"/>
              </w:rPr>
            </w:pPr>
          </w:p>
        </w:tc>
      </w:tr>
      <w:tr w14:paraId="20357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75748238">
            <w:pPr>
              <w:spacing w:before="40" w:after="40" w:line="240" w:lineRule="exact"/>
              <w:rPr>
                <w:rFonts w:ascii="宋体" w:hAnsi="宋体" w:eastAsia="宋体" w:cs="宋体"/>
                <w:sz w:val="18"/>
                <w:szCs w:val="18"/>
              </w:rPr>
            </w:pPr>
            <w:r>
              <w:rPr>
                <w:rFonts w:ascii="宋体" w:hAnsi="宋体" w:eastAsia="宋体" w:cs="宋体"/>
                <w:sz w:val="18"/>
                <w:szCs w:val="18"/>
              </w:rPr>
              <w:t>四、本期期末余额</w:t>
            </w:r>
          </w:p>
        </w:tc>
        <w:tc>
          <w:tcPr>
            <w:tcW w:w="602" w:type="dxa"/>
            <w:tcBorders>
              <w:top w:val="single" w:color="auto" w:sz="2" w:space="0"/>
              <w:left w:val="single" w:color="auto" w:sz="2" w:space="0"/>
              <w:bottom w:val="single" w:color="auto" w:sz="2" w:space="0"/>
              <w:right w:val="single" w:color="auto" w:sz="2" w:space="0"/>
            </w:tcBorders>
            <w:vAlign w:val="center"/>
          </w:tcPr>
          <w:p w14:paraId="51DE640C">
            <w:pPr>
              <w:spacing w:line="240" w:lineRule="exact"/>
              <w:jc w:val="right"/>
              <w:rPr>
                <w:rFonts w:ascii="宋体" w:hAnsi="宋体" w:eastAsia="宋体" w:cs="宋体"/>
                <w:sz w:val="18"/>
                <w:szCs w:val="18"/>
              </w:rPr>
            </w:pPr>
            <w:r>
              <w:rPr>
                <w:rFonts w:ascii="宋体" w:hAnsi="宋体" w:eastAsia="宋体" w:cs="宋体"/>
                <w:sz w:val="18"/>
                <w:szCs w:val="18"/>
              </w:rPr>
              <w:t>1,700,681,355.00</w:t>
            </w:r>
          </w:p>
        </w:tc>
        <w:tc>
          <w:tcPr>
            <w:tcW w:w="602" w:type="dxa"/>
            <w:tcBorders>
              <w:top w:val="single" w:color="auto" w:sz="2" w:space="0"/>
              <w:left w:val="single" w:color="auto" w:sz="2" w:space="0"/>
              <w:bottom w:val="single" w:color="auto" w:sz="2" w:space="0"/>
              <w:right w:val="single" w:color="auto" w:sz="2" w:space="0"/>
            </w:tcBorders>
            <w:vAlign w:val="center"/>
          </w:tcPr>
          <w:p w14:paraId="024F58D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EE1A66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EE1E6F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4402915">
            <w:pPr>
              <w:spacing w:line="240" w:lineRule="exact"/>
              <w:jc w:val="right"/>
              <w:rPr>
                <w:rFonts w:ascii="宋体" w:hAnsi="宋体" w:eastAsia="宋体" w:cs="宋体"/>
                <w:sz w:val="18"/>
                <w:szCs w:val="18"/>
              </w:rPr>
            </w:pPr>
            <w:r>
              <w:rPr>
                <w:rFonts w:ascii="宋体" w:hAnsi="宋体" w:eastAsia="宋体" w:cs="宋体"/>
                <w:sz w:val="18"/>
                <w:szCs w:val="18"/>
              </w:rPr>
              <w:t>2,738,268,247.00</w:t>
            </w:r>
          </w:p>
        </w:tc>
        <w:tc>
          <w:tcPr>
            <w:tcW w:w="602" w:type="dxa"/>
            <w:tcBorders>
              <w:top w:val="single" w:color="auto" w:sz="2" w:space="0"/>
              <w:left w:val="single" w:color="auto" w:sz="2" w:space="0"/>
              <w:bottom w:val="single" w:color="auto" w:sz="2" w:space="0"/>
              <w:right w:val="single" w:color="auto" w:sz="2" w:space="0"/>
            </w:tcBorders>
            <w:vAlign w:val="center"/>
          </w:tcPr>
          <w:p w14:paraId="589DE7AC">
            <w:pPr>
              <w:spacing w:line="240" w:lineRule="exact"/>
              <w:jc w:val="right"/>
              <w:rPr>
                <w:rFonts w:ascii="宋体" w:hAnsi="宋体" w:eastAsia="宋体" w:cs="宋体"/>
                <w:sz w:val="18"/>
                <w:szCs w:val="18"/>
              </w:rPr>
            </w:pPr>
            <w:r>
              <w:rPr>
                <w:rFonts w:ascii="宋体" w:hAnsi="宋体" w:eastAsia="宋体" w:cs="宋体"/>
                <w:sz w:val="18"/>
                <w:szCs w:val="18"/>
              </w:rPr>
              <w:t>300,104,207.84</w:t>
            </w:r>
          </w:p>
        </w:tc>
        <w:tc>
          <w:tcPr>
            <w:tcW w:w="602" w:type="dxa"/>
            <w:tcBorders>
              <w:top w:val="single" w:color="auto" w:sz="2" w:space="0"/>
              <w:left w:val="single" w:color="auto" w:sz="2" w:space="0"/>
              <w:bottom w:val="single" w:color="auto" w:sz="2" w:space="0"/>
              <w:right w:val="single" w:color="auto" w:sz="2" w:space="0"/>
            </w:tcBorders>
            <w:vAlign w:val="center"/>
          </w:tcPr>
          <w:p w14:paraId="6CBA12FA">
            <w:pPr>
              <w:spacing w:line="240" w:lineRule="exact"/>
              <w:jc w:val="right"/>
              <w:rPr>
                <w:rFonts w:ascii="宋体" w:hAnsi="宋体" w:eastAsia="宋体" w:cs="宋体"/>
                <w:sz w:val="18"/>
                <w:szCs w:val="18"/>
              </w:rPr>
            </w:pPr>
            <w:r>
              <w:rPr>
                <w:rFonts w:ascii="宋体" w:hAnsi="宋体" w:eastAsia="宋体" w:cs="宋体"/>
                <w:sz w:val="18"/>
                <w:szCs w:val="18"/>
              </w:rPr>
              <w:t>-160,127,948.61</w:t>
            </w:r>
          </w:p>
        </w:tc>
        <w:tc>
          <w:tcPr>
            <w:tcW w:w="602" w:type="dxa"/>
            <w:tcBorders>
              <w:top w:val="single" w:color="auto" w:sz="2" w:space="0"/>
              <w:left w:val="single" w:color="auto" w:sz="2" w:space="0"/>
              <w:bottom w:val="single" w:color="auto" w:sz="2" w:space="0"/>
              <w:right w:val="single" w:color="auto" w:sz="2" w:space="0"/>
            </w:tcBorders>
            <w:vAlign w:val="center"/>
          </w:tcPr>
          <w:p w14:paraId="5FDD107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EB0424E">
            <w:pPr>
              <w:spacing w:line="240" w:lineRule="exact"/>
              <w:jc w:val="right"/>
              <w:rPr>
                <w:rFonts w:ascii="宋体" w:hAnsi="宋体" w:eastAsia="宋体" w:cs="宋体"/>
                <w:sz w:val="18"/>
                <w:szCs w:val="18"/>
              </w:rPr>
            </w:pPr>
            <w:r>
              <w:rPr>
                <w:rFonts w:ascii="宋体" w:hAnsi="宋体" w:eastAsia="宋体" w:cs="宋体"/>
                <w:sz w:val="18"/>
                <w:szCs w:val="18"/>
              </w:rPr>
              <w:t>345,240,982.51</w:t>
            </w:r>
          </w:p>
        </w:tc>
        <w:tc>
          <w:tcPr>
            <w:tcW w:w="602" w:type="dxa"/>
            <w:tcBorders>
              <w:top w:val="single" w:color="auto" w:sz="2" w:space="0"/>
              <w:left w:val="single" w:color="auto" w:sz="2" w:space="0"/>
              <w:bottom w:val="single" w:color="auto" w:sz="2" w:space="0"/>
              <w:right w:val="single" w:color="auto" w:sz="2" w:space="0"/>
            </w:tcBorders>
            <w:vAlign w:val="center"/>
          </w:tcPr>
          <w:p w14:paraId="5A81270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FF3EC99">
            <w:pPr>
              <w:spacing w:line="240" w:lineRule="exact"/>
              <w:jc w:val="right"/>
              <w:rPr>
                <w:rFonts w:ascii="宋体" w:hAnsi="宋体" w:eastAsia="宋体" w:cs="宋体"/>
                <w:sz w:val="18"/>
                <w:szCs w:val="18"/>
              </w:rPr>
            </w:pPr>
            <w:r>
              <w:rPr>
                <w:rFonts w:ascii="宋体" w:hAnsi="宋体" w:eastAsia="宋体" w:cs="宋体"/>
                <w:sz w:val="18"/>
                <w:szCs w:val="18"/>
              </w:rPr>
              <w:t>1,468,486,264.04</w:t>
            </w:r>
          </w:p>
        </w:tc>
        <w:tc>
          <w:tcPr>
            <w:tcW w:w="602" w:type="dxa"/>
            <w:tcBorders>
              <w:top w:val="single" w:color="auto" w:sz="2" w:space="0"/>
              <w:left w:val="single" w:color="auto" w:sz="2" w:space="0"/>
              <w:bottom w:val="single" w:color="auto" w:sz="2" w:space="0"/>
              <w:right w:val="single" w:color="auto" w:sz="2" w:space="0"/>
            </w:tcBorders>
            <w:vAlign w:val="center"/>
          </w:tcPr>
          <w:p w14:paraId="67EF96A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395F358">
            <w:pPr>
              <w:spacing w:line="240" w:lineRule="exact"/>
              <w:jc w:val="right"/>
              <w:rPr>
                <w:rFonts w:ascii="宋体" w:hAnsi="宋体" w:eastAsia="宋体" w:cs="宋体"/>
                <w:sz w:val="18"/>
                <w:szCs w:val="18"/>
              </w:rPr>
            </w:pPr>
            <w:r>
              <w:rPr>
                <w:rFonts w:ascii="宋体" w:hAnsi="宋体" w:eastAsia="宋体" w:cs="宋体"/>
                <w:sz w:val="18"/>
                <w:szCs w:val="18"/>
              </w:rPr>
              <w:t>5,792,444,692.10</w:t>
            </w:r>
          </w:p>
        </w:tc>
        <w:tc>
          <w:tcPr>
            <w:tcW w:w="602" w:type="dxa"/>
            <w:tcBorders>
              <w:top w:val="single" w:color="auto" w:sz="2" w:space="0"/>
              <w:left w:val="single" w:color="auto" w:sz="2" w:space="0"/>
              <w:bottom w:val="single" w:color="auto" w:sz="2" w:space="0"/>
              <w:right w:val="single" w:color="auto" w:sz="2" w:space="0"/>
            </w:tcBorders>
            <w:vAlign w:val="center"/>
          </w:tcPr>
          <w:p w14:paraId="4465A25B">
            <w:pPr>
              <w:spacing w:line="240" w:lineRule="exact"/>
              <w:jc w:val="right"/>
              <w:rPr>
                <w:rFonts w:ascii="宋体" w:hAnsi="宋体" w:eastAsia="宋体" w:cs="宋体"/>
                <w:sz w:val="18"/>
                <w:szCs w:val="18"/>
              </w:rPr>
            </w:pPr>
            <w:r>
              <w:rPr>
                <w:rFonts w:ascii="宋体" w:hAnsi="宋体" w:eastAsia="宋体" w:cs="宋体"/>
                <w:sz w:val="18"/>
                <w:szCs w:val="18"/>
              </w:rPr>
              <w:t>280,706,110.73</w:t>
            </w:r>
          </w:p>
        </w:tc>
        <w:tc>
          <w:tcPr>
            <w:tcW w:w="602" w:type="dxa"/>
            <w:tcBorders>
              <w:top w:val="single" w:color="auto" w:sz="2" w:space="0"/>
              <w:left w:val="single" w:color="auto" w:sz="2" w:space="0"/>
              <w:bottom w:val="single" w:color="auto" w:sz="2" w:space="0"/>
              <w:right w:val="single" w:color="auto" w:sz="2" w:space="0"/>
            </w:tcBorders>
            <w:vAlign w:val="center"/>
          </w:tcPr>
          <w:p w14:paraId="15B8971F">
            <w:pPr>
              <w:spacing w:line="240" w:lineRule="exact"/>
              <w:jc w:val="right"/>
              <w:rPr>
                <w:rFonts w:ascii="宋体" w:hAnsi="宋体" w:eastAsia="宋体" w:cs="宋体"/>
                <w:sz w:val="18"/>
                <w:szCs w:val="18"/>
              </w:rPr>
            </w:pPr>
            <w:r>
              <w:rPr>
                <w:rFonts w:ascii="宋体" w:hAnsi="宋体" w:eastAsia="宋体" w:cs="宋体"/>
                <w:sz w:val="18"/>
                <w:szCs w:val="18"/>
              </w:rPr>
              <w:t>6,073,150,802.83</w:t>
            </w:r>
          </w:p>
        </w:tc>
      </w:tr>
    </w:tbl>
    <w:p w14:paraId="5A44CE6F">
      <w:pPr>
        <w:spacing w:line="240" w:lineRule="exact"/>
        <w:rPr>
          <w:rFonts w:ascii="宋体" w:hAnsi="宋体" w:eastAsia="宋体" w:cs="宋体"/>
          <w:sz w:val="18"/>
          <w:szCs w:val="18"/>
        </w:rPr>
      </w:pPr>
      <w:r>
        <w:rPr>
          <w:rFonts w:ascii="宋体" w:hAnsi="宋体" w:eastAsia="宋体" w:cs="宋体"/>
          <w:sz w:val="18"/>
          <w:szCs w:val="18"/>
        </w:rPr>
        <w:t>上期金额</w:t>
      </w:r>
    </w:p>
    <w:p w14:paraId="4C86C78C">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602"/>
        <w:gridCol w:w="602"/>
        <w:gridCol w:w="602"/>
        <w:gridCol w:w="603"/>
        <w:gridCol w:w="602"/>
        <w:gridCol w:w="602"/>
        <w:gridCol w:w="602"/>
        <w:gridCol w:w="602"/>
        <w:gridCol w:w="602"/>
        <w:gridCol w:w="602"/>
        <w:gridCol w:w="602"/>
        <w:gridCol w:w="602"/>
        <w:gridCol w:w="607"/>
        <w:gridCol w:w="602"/>
        <w:gridCol w:w="603"/>
      </w:tblGrid>
      <w:tr w14:paraId="17E49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7513E42">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14:paraId="0A04CA99">
            <w:pPr>
              <w:spacing w:before="40" w:after="40" w:line="240" w:lineRule="exact"/>
              <w:jc w:val="center"/>
              <w:rPr>
                <w:rFonts w:ascii="宋体" w:hAnsi="宋体" w:eastAsia="宋体" w:cs="宋体"/>
                <w:sz w:val="18"/>
                <w:szCs w:val="18"/>
              </w:rPr>
            </w:pPr>
            <w:r>
              <w:rPr>
                <w:rFonts w:ascii="宋体" w:hAnsi="宋体" w:eastAsia="宋体" w:cs="宋体"/>
                <w:sz w:val="18"/>
                <w:szCs w:val="18"/>
              </w:rPr>
              <w:t>2024年度</w:t>
            </w:r>
          </w:p>
        </w:tc>
      </w:tr>
      <w:tr w14:paraId="34A53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A3AC469"/>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40753B45">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00C2497">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F42FC20">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14:paraId="35FFF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DBBFCA7"/>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B54E10E">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4E18BEF6">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DD2AD5B">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D7B2B36">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A05C889">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49C77C8">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62D38A0">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BAEC098">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54964BF">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9EECF86">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CD1DF49">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455C9DB"/>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1617F58"/>
        </w:tc>
      </w:tr>
      <w:tr w14:paraId="7C11C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74B8106"/>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ADD7D79"/>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547F03A">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4FECB389">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3C06B393">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0F46003"/>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2FA5B28"/>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06F6236"/>
        </w:tc>
        <w:tc>
          <w:tcPr>
            <w:tcW w:w="602" w:type="dxa"/>
            <w:vMerge w:val="continue"/>
            <w:tcBorders>
              <w:top w:val="single" w:color="auto" w:sz="2" w:space="0"/>
              <w:left w:val="single" w:color="auto" w:sz="2" w:space="0"/>
              <w:bottom w:val="single" w:color="auto" w:sz="2" w:space="0"/>
              <w:right w:val="single" w:color="auto" w:sz="2" w:space="0"/>
            </w:tcBorders>
            <w:vAlign w:val="center"/>
          </w:tcPr>
          <w:p w14:paraId="2BF8E425"/>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C3DE8FB"/>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14FAAE0"/>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8414B73"/>
        </w:tc>
        <w:tc>
          <w:tcPr>
            <w:tcW w:w="602" w:type="dxa"/>
            <w:vMerge w:val="continue"/>
            <w:tcBorders>
              <w:top w:val="single" w:color="auto" w:sz="2" w:space="0"/>
              <w:left w:val="single" w:color="auto" w:sz="2" w:space="0"/>
              <w:bottom w:val="single" w:color="auto" w:sz="2" w:space="0"/>
              <w:right w:val="single" w:color="auto" w:sz="2" w:space="0"/>
            </w:tcBorders>
            <w:vAlign w:val="center"/>
          </w:tcPr>
          <w:p w14:paraId="2A68AD58"/>
        </w:tc>
        <w:tc>
          <w:tcPr>
            <w:tcW w:w="602" w:type="dxa"/>
            <w:vMerge w:val="continue"/>
            <w:tcBorders>
              <w:top w:val="single" w:color="auto" w:sz="2" w:space="0"/>
              <w:left w:val="single" w:color="auto" w:sz="2" w:space="0"/>
              <w:bottom w:val="single" w:color="auto" w:sz="2" w:space="0"/>
              <w:right w:val="single" w:color="auto" w:sz="2" w:space="0"/>
            </w:tcBorders>
            <w:vAlign w:val="center"/>
          </w:tcPr>
          <w:p w14:paraId="521CFAF8"/>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1878742"/>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F336D4C"/>
        </w:tc>
      </w:tr>
      <w:tr w14:paraId="7F49A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097573DF">
            <w:pPr>
              <w:spacing w:before="40" w:after="40" w:line="240" w:lineRule="exact"/>
              <w:rPr>
                <w:rFonts w:ascii="宋体" w:hAnsi="宋体" w:eastAsia="宋体" w:cs="宋体"/>
                <w:sz w:val="18"/>
                <w:szCs w:val="18"/>
              </w:rPr>
            </w:pPr>
            <w:r>
              <w:rPr>
                <w:rFonts w:ascii="宋体" w:hAnsi="宋体" w:eastAsia="宋体" w:cs="宋体"/>
                <w:sz w:val="18"/>
                <w:szCs w:val="18"/>
              </w:rPr>
              <w:t>一、上年期末余额</w:t>
            </w:r>
          </w:p>
        </w:tc>
        <w:tc>
          <w:tcPr>
            <w:tcW w:w="602" w:type="dxa"/>
            <w:tcBorders>
              <w:top w:val="single" w:color="auto" w:sz="2" w:space="0"/>
              <w:left w:val="single" w:color="auto" w:sz="2" w:space="0"/>
              <w:bottom w:val="single" w:color="auto" w:sz="2" w:space="0"/>
              <w:right w:val="single" w:color="auto" w:sz="2" w:space="0"/>
            </w:tcBorders>
            <w:vAlign w:val="center"/>
          </w:tcPr>
          <w:p w14:paraId="4474F8CF">
            <w:pPr>
              <w:spacing w:line="240" w:lineRule="exact"/>
              <w:jc w:val="right"/>
              <w:rPr>
                <w:rFonts w:ascii="宋体" w:hAnsi="宋体" w:eastAsia="宋体" w:cs="宋体"/>
                <w:sz w:val="18"/>
                <w:szCs w:val="18"/>
              </w:rPr>
            </w:pPr>
            <w:r>
              <w:rPr>
                <w:rFonts w:ascii="宋体" w:hAnsi="宋体" w:eastAsia="宋体" w:cs="宋体"/>
                <w:sz w:val="18"/>
                <w:szCs w:val="18"/>
              </w:rPr>
              <w:t>1,700,681,355.00</w:t>
            </w:r>
          </w:p>
        </w:tc>
        <w:tc>
          <w:tcPr>
            <w:tcW w:w="602" w:type="dxa"/>
            <w:tcBorders>
              <w:top w:val="single" w:color="auto" w:sz="2" w:space="0"/>
              <w:left w:val="single" w:color="auto" w:sz="2" w:space="0"/>
              <w:bottom w:val="single" w:color="auto" w:sz="2" w:space="0"/>
              <w:right w:val="single" w:color="auto" w:sz="2" w:space="0"/>
            </w:tcBorders>
            <w:vAlign w:val="center"/>
          </w:tcPr>
          <w:p w14:paraId="5D8BC06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1CEBE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B3E8FA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60A8770">
            <w:pPr>
              <w:spacing w:line="240" w:lineRule="exact"/>
              <w:jc w:val="right"/>
              <w:rPr>
                <w:rFonts w:ascii="宋体" w:hAnsi="宋体" w:eastAsia="宋体" w:cs="宋体"/>
                <w:sz w:val="18"/>
                <w:szCs w:val="18"/>
              </w:rPr>
            </w:pPr>
            <w:r>
              <w:rPr>
                <w:rFonts w:ascii="宋体" w:hAnsi="宋体" w:eastAsia="宋体" w:cs="宋体"/>
                <w:sz w:val="18"/>
                <w:szCs w:val="18"/>
              </w:rPr>
              <w:t>2,738,348,953.80</w:t>
            </w:r>
          </w:p>
        </w:tc>
        <w:tc>
          <w:tcPr>
            <w:tcW w:w="602" w:type="dxa"/>
            <w:tcBorders>
              <w:top w:val="single" w:color="auto" w:sz="2" w:space="0"/>
              <w:left w:val="single" w:color="auto" w:sz="2" w:space="0"/>
              <w:bottom w:val="single" w:color="auto" w:sz="2" w:space="0"/>
              <w:right w:val="single" w:color="auto" w:sz="2" w:space="0"/>
            </w:tcBorders>
            <w:vAlign w:val="center"/>
          </w:tcPr>
          <w:p w14:paraId="43BDBF59">
            <w:pPr>
              <w:spacing w:line="240" w:lineRule="exact"/>
              <w:jc w:val="right"/>
              <w:rPr>
                <w:rFonts w:ascii="宋体" w:hAnsi="宋体" w:eastAsia="宋体" w:cs="宋体"/>
                <w:sz w:val="18"/>
                <w:szCs w:val="18"/>
              </w:rPr>
            </w:pPr>
            <w:r>
              <w:rPr>
                <w:rFonts w:ascii="宋体" w:hAnsi="宋体" w:eastAsia="宋体" w:cs="宋体"/>
                <w:sz w:val="18"/>
                <w:szCs w:val="18"/>
              </w:rPr>
              <w:t>200,071,093.36</w:t>
            </w:r>
          </w:p>
        </w:tc>
        <w:tc>
          <w:tcPr>
            <w:tcW w:w="602" w:type="dxa"/>
            <w:tcBorders>
              <w:top w:val="single" w:color="auto" w:sz="2" w:space="0"/>
              <w:left w:val="single" w:color="auto" w:sz="2" w:space="0"/>
              <w:bottom w:val="single" w:color="auto" w:sz="2" w:space="0"/>
              <w:right w:val="single" w:color="auto" w:sz="2" w:space="0"/>
            </w:tcBorders>
            <w:vAlign w:val="center"/>
          </w:tcPr>
          <w:p w14:paraId="3AFC4C3F">
            <w:pPr>
              <w:spacing w:line="240" w:lineRule="exact"/>
              <w:jc w:val="right"/>
              <w:rPr>
                <w:rFonts w:ascii="宋体" w:hAnsi="宋体" w:eastAsia="宋体" w:cs="宋体"/>
                <w:sz w:val="18"/>
                <w:szCs w:val="18"/>
              </w:rPr>
            </w:pPr>
            <w:r>
              <w:rPr>
                <w:rFonts w:ascii="宋体" w:hAnsi="宋体" w:eastAsia="宋体" w:cs="宋体"/>
                <w:sz w:val="18"/>
                <w:szCs w:val="18"/>
              </w:rPr>
              <w:t>-96,153,506.00</w:t>
            </w:r>
          </w:p>
        </w:tc>
        <w:tc>
          <w:tcPr>
            <w:tcW w:w="602" w:type="dxa"/>
            <w:tcBorders>
              <w:top w:val="single" w:color="auto" w:sz="2" w:space="0"/>
              <w:left w:val="single" w:color="auto" w:sz="2" w:space="0"/>
              <w:bottom w:val="single" w:color="auto" w:sz="2" w:space="0"/>
              <w:right w:val="single" w:color="auto" w:sz="2" w:space="0"/>
            </w:tcBorders>
            <w:vAlign w:val="center"/>
          </w:tcPr>
          <w:p w14:paraId="4645756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0B826EA">
            <w:pPr>
              <w:spacing w:line="240" w:lineRule="exact"/>
              <w:jc w:val="right"/>
              <w:rPr>
                <w:rFonts w:ascii="宋体" w:hAnsi="宋体" w:eastAsia="宋体" w:cs="宋体"/>
                <w:sz w:val="18"/>
                <w:szCs w:val="18"/>
              </w:rPr>
            </w:pPr>
            <w:r>
              <w:rPr>
                <w:rFonts w:ascii="宋体" w:hAnsi="宋体" w:eastAsia="宋体" w:cs="宋体"/>
                <w:sz w:val="18"/>
                <w:szCs w:val="18"/>
              </w:rPr>
              <w:t>339,467,737.72</w:t>
            </w:r>
          </w:p>
        </w:tc>
        <w:tc>
          <w:tcPr>
            <w:tcW w:w="602" w:type="dxa"/>
            <w:tcBorders>
              <w:top w:val="single" w:color="auto" w:sz="2" w:space="0"/>
              <w:left w:val="single" w:color="auto" w:sz="2" w:space="0"/>
              <w:bottom w:val="single" w:color="auto" w:sz="2" w:space="0"/>
              <w:right w:val="single" w:color="auto" w:sz="2" w:space="0"/>
            </w:tcBorders>
            <w:vAlign w:val="center"/>
          </w:tcPr>
          <w:p w14:paraId="0F9E9AC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D6A6C0A">
            <w:pPr>
              <w:spacing w:line="240" w:lineRule="exact"/>
              <w:jc w:val="right"/>
              <w:rPr>
                <w:rFonts w:ascii="宋体" w:hAnsi="宋体" w:eastAsia="宋体" w:cs="宋体"/>
                <w:sz w:val="18"/>
                <w:szCs w:val="18"/>
              </w:rPr>
            </w:pPr>
            <w:r>
              <w:rPr>
                <w:rFonts w:ascii="宋体" w:hAnsi="宋体" w:eastAsia="宋体" w:cs="宋体"/>
                <w:sz w:val="18"/>
                <w:szCs w:val="18"/>
              </w:rPr>
              <w:t>1,674,292,092.74</w:t>
            </w:r>
          </w:p>
        </w:tc>
        <w:tc>
          <w:tcPr>
            <w:tcW w:w="602" w:type="dxa"/>
            <w:tcBorders>
              <w:top w:val="single" w:color="auto" w:sz="2" w:space="0"/>
              <w:left w:val="single" w:color="auto" w:sz="2" w:space="0"/>
              <w:bottom w:val="single" w:color="auto" w:sz="2" w:space="0"/>
              <w:right w:val="single" w:color="auto" w:sz="2" w:space="0"/>
            </w:tcBorders>
            <w:vAlign w:val="center"/>
          </w:tcPr>
          <w:p w14:paraId="6D5AC10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1515F57">
            <w:pPr>
              <w:spacing w:line="240" w:lineRule="exact"/>
              <w:jc w:val="right"/>
              <w:rPr>
                <w:rFonts w:ascii="宋体" w:hAnsi="宋体" w:eastAsia="宋体" w:cs="宋体"/>
                <w:sz w:val="18"/>
                <w:szCs w:val="18"/>
              </w:rPr>
            </w:pPr>
            <w:r>
              <w:rPr>
                <w:rFonts w:ascii="宋体" w:hAnsi="宋体" w:eastAsia="宋体" w:cs="宋体"/>
                <w:sz w:val="18"/>
                <w:szCs w:val="18"/>
              </w:rPr>
              <w:t>6,156,565,539.90</w:t>
            </w:r>
          </w:p>
        </w:tc>
        <w:tc>
          <w:tcPr>
            <w:tcW w:w="602" w:type="dxa"/>
            <w:tcBorders>
              <w:top w:val="single" w:color="auto" w:sz="2" w:space="0"/>
              <w:left w:val="single" w:color="auto" w:sz="2" w:space="0"/>
              <w:bottom w:val="single" w:color="auto" w:sz="2" w:space="0"/>
              <w:right w:val="single" w:color="auto" w:sz="2" w:space="0"/>
            </w:tcBorders>
            <w:vAlign w:val="center"/>
          </w:tcPr>
          <w:p w14:paraId="7F0F997B">
            <w:pPr>
              <w:spacing w:line="240" w:lineRule="exact"/>
              <w:jc w:val="right"/>
              <w:rPr>
                <w:rFonts w:ascii="宋体" w:hAnsi="宋体" w:eastAsia="宋体" w:cs="宋体"/>
                <w:sz w:val="18"/>
                <w:szCs w:val="18"/>
              </w:rPr>
            </w:pPr>
            <w:r>
              <w:rPr>
                <w:rFonts w:ascii="宋体" w:hAnsi="宋体" w:eastAsia="宋体" w:cs="宋体"/>
                <w:sz w:val="18"/>
                <w:szCs w:val="18"/>
              </w:rPr>
              <w:t>291,949,555.56</w:t>
            </w:r>
          </w:p>
        </w:tc>
        <w:tc>
          <w:tcPr>
            <w:tcW w:w="602" w:type="dxa"/>
            <w:tcBorders>
              <w:top w:val="single" w:color="auto" w:sz="2" w:space="0"/>
              <w:left w:val="single" w:color="auto" w:sz="2" w:space="0"/>
              <w:bottom w:val="single" w:color="auto" w:sz="2" w:space="0"/>
              <w:right w:val="single" w:color="auto" w:sz="2" w:space="0"/>
            </w:tcBorders>
            <w:vAlign w:val="center"/>
          </w:tcPr>
          <w:p w14:paraId="2D6FC3DA">
            <w:pPr>
              <w:spacing w:line="240" w:lineRule="exact"/>
              <w:jc w:val="right"/>
              <w:rPr>
                <w:rFonts w:ascii="宋体" w:hAnsi="宋体" w:eastAsia="宋体" w:cs="宋体"/>
                <w:sz w:val="18"/>
                <w:szCs w:val="18"/>
              </w:rPr>
            </w:pPr>
            <w:r>
              <w:rPr>
                <w:rFonts w:ascii="宋体" w:hAnsi="宋体" w:eastAsia="宋体" w:cs="宋体"/>
                <w:sz w:val="18"/>
                <w:szCs w:val="18"/>
              </w:rPr>
              <w:t>6,448,515,095.46</w:t>
            </w:r>
          </w:p>
        </w:tc>
      </w:tr>
      <w:tr w14:paraId="4BC81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7E8EFD0">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加：会计政策变更</w:t>
            </w:r>
          </w:p>
        </w:tc>
        <w:tc>
          <w:tcPr>
            <w:tcW w:w="602" w:type="dxa"/>
            <w:tcBorders>
              <w:top w:val="single" w:color="auto" w:sz="2" w:space="0"/>
              <w:left w:val="single" w:color="auto" w:sz="2" w:space="0"/>
              <w:bottom w:val="single" w:color="auto" w:sz="2" w:space="0"/>
              <w:right w:val="single" w:color="auto" w:sz="2" w:space="0"/>
            </w:tcBorders>
            <w:vAlign w:val="center"/>
          </w:tcPr>
          <w:p w14:paraId="7AEA158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064D03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ECAE01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CA55BA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104C12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8CBC3A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6CDD88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8C89FD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20BB4E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88A72D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97512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2224C3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5EFAD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DCC37C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6A63486">
            <w:pPr>
              <w:spacing w:line="240" w:lineRule="exact"/>
              <w:jc w:val="right"/>
              <w:rPr>
                <w:rFonts w:ascii="宋体" w:hAnsi="宋体" w:eastAsia="宋体" w:cs="宋体"/>
                <w:sz w:val="18"/>
                <w:szCs w:val="18"/>
              </w:rPr>
            </w:pPr>
          </w:p>
        </w:tc>
      </w:tr>
      <w:tr w14:paraId="3F543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050B3B5">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前期差错更正</w:t>
            </w:r>
          </w:p>
        </w:tc>
        <w:tc>
          <w:tcPr>
            <w:tcW w:w="602" w:type="dxa"/>
            <w:tcBorders>
              <w:top w:val="single" w:color="auto" w:sz="2" w:space="0"/>
              <w:left w:val="single" w:color="auto" w:sz="2" w:space="0"/>
              <w:bottom w:val="single" w:color="auto" w:sz="2" w:space="0"/>
              <w:right w:val="single" w:color="auto" w:sz="2" w:space="0"/>
            </w:tcBorders>
            <w:vAlign w:val="center"/>
          </w:tcPr>
          <w:p w14:paraId="09CF1C5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F289D1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FFB61B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4D15AF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6561A3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E8256B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B7371A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296B3E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659F71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C16850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ACC2B5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DE7BAA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6A272C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B9BFC4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10B26EE">
            <w:pPr>
              <w:spacing w:line="240" w:lineRule="exact"/>
              <w:jc w:val="right"/>
              <w:rPr>
                <w:rFonts w:ascii="宋体" w:hAnsi="宋体" w:eastAsia="宋体" w:cs="宋体"/>
                <w:sz w:val="18"/>
                <w:szCs w:val="18"/>
              </w:rPr>
            </w:pPr>
          </w:p>
        </w:tc>
      </w:tr>
      <w:tr w14:paraId="5BBFF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3809CDBD">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其他</w:t>
            </w:r>
          </w:p>
        </w:tc>
        <w:tc>
          <w:tcPr>
            <w:tcW w:w="602" w:type="dxa"/>
            <w:tcBorders>
              <w:top w:val="single" w:color="auto" w:sz="2" w:space="0"/>
              <w:left w:val="single" w:color="auto" w:sz="2" w:space="0"/>
              <w:bottom w:val="single" w:color="auto" w:sz="2" w:space="0"/>
              <w:right w:val="single" w:color="auto" w:sz="2" w:space="0"/>
            </w:tcBorders>
            <w:vAlign w:val="center"/>
          </w:tcPr>
          <w:p w14:paraId="6892866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5FA405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82A4D1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069BF1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E530F5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1B8E1F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C18EFB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756EA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70BD32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BDAD19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34D520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54602E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5926AE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4AA5F1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285E7C2">
            <w:pPr>
              <w:spacing w:line="240" w:lineRule="exact"/>
              <w:jc w:val="right"/>
              <w:rPr>
                <w:rFonts w:ascii="宋体" w:hAnsi="宋体" w:eastAsia="宋体" w:cs="宋体"/>
                <w:sz w:val="18"/>
                <w:szCs w:val="18"/>
              </w:rPr>
            </w:pPr>
          </w:p>
        </w:tc>
      </w:tr>
      <w:tr w14:paraId="1E437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454838A6">
            <w:pPr>
              <w:spacing w:before="40" w:after="40" w:line="240" w:lineRule="exact"/>
              <w:rPr>
                <w:rFonts w:ascii="宋体" w:hAnsi="宋体" w:eastAsia="宋体" w:cs="宋体"/>
                <w:sz w:val="18"/>
                <w:szCs w:val="18"/>
              </w:rPr>
            </w:pPr>
            <w:r>
              <w:rPr>
                <w:rFonts w:ascii="宋体" w:hAnsi="宋体" w:eastAsia="宋体" w:cs="宋体"/>
                <w:sz w:val="18"/>
                <w:szCs w:val="18"/>
              </w:rPr>
              <w:t>二、本年期初余额</w:t>
            </w:r>
          </w:p>
        </w:tc>
        <w:tc>
          <w:tcPr>
            <w:tcW w:w="602" w:type="dxa"/>
            <w:tcBorders>
              <w:top w:val="single" w:color="auto" w:sz="2" w:space="0"/>
              <w:left w:val="single" w:color="auto" w:sz="2" w:space="0"/>
              <w:bottom w:val="single" w:color="auto" w:sz="2" w:space="0"/>
              <w:right w:val="single" w:color="auto" w:sz="2" w:space="0"/>
            </w:tcBorders>
            <w:vAlign w:val="center"/>
          </w:tcPr>
          <w:p w14:paraId="25707631">
            <w:pPr>
              <w:spacing w:line="240" w:lineRule="exact"/>
              <w:jc w:val="right"/>
              <w:rPr>
                <w:rFonts w:ascii="宋体" w:hAnsi="宋体" w:eastAsia="宋体" w:cs="宋体"/>
                <w:sz w:val="18"/>
                <w:szCs w:val="18"/>
              </w:rPr>
            </w:pPr>
            <w:r>
              <w:rPr>
                <w:rFonts w:ascii="宋体" w:hAnsi="宋体" w:eastAsia="宋体" w:cs="宋体"/>
                <w:sz w:val="18"/>
                <w:szCs w:val="18"/>
              </w:rPr>
              <w:t>1,700,681,355.00</w:t>
            </w:r>
          </w:p>
        </w:tc>
        <w:tc>
          <w:tcPr>
            <w:tcW w:w="602" w:type="dxa"/>
            <w:tcBorders>
              <w:top w:val="single" w:color="auto" w:sz="2" w:space="0"/>
              <w:left w:val="single" w:color="auto" w:sz="2" w:space="0"/>
              <w:bottom w:val="single" w:color="auto" w:sz="2" w:space="0"/>
              <w:right w:val="single" w:color="auto" w:sz="2" w:space="0"/>
            </w:tcBorders>
            <w:vAlign w:val="center"/>
          </w:tcPr>
          <w:p w14:paraId="5E8B18C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0234DC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F4E13E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8D2D137">
            <w:pPr>
              <w:spacing w:line="240" w:lineRule="exact"/>
              <w:jc w:val="right"/>
              <w:rPr>
                <w:rFonts w:ascii="宋体" w:hAnsi="宋体" w:eastAsia="宋体" w:cs="宋体"/>
                <w:sz w:val="18"/>
                <w:szCs w:val="18"/>
              </w:rPr>
            </w:pPr>
            <w:r>
              <w:rPr>
                <w:rFonts w:ascii="宋体" w:hAnsi="宋体" w:eastAsia="宋体" w:cs="宋体"/>
                <w:sz w:val="18"/>
                <w:szCs w:val="18"/>
              </w:rPr>
              <w:t>2,738,348,953.80</w:t>
            </w:r>
          </w:p>
        </w:tc>
        <w:tc>
          <w:tcPr>
            <w:tcW w:w="602" w:type="dxa"/>
            <w:tcBorders>
              <w:top w:val="single" w:color="auto" w:sz="2" w:space="0"/>
              <w:left w:val="single" w:color="auto" w:sz="2" w:space="0"/>
              <w:bottom w:val="single" w:color="auto" w:sz="2" w:space="0"/>
              <w:right w:val="single" w:color="auto" w:sz="2" w:space="0"/>
            </w:tcBorders>
            <w:vAlign w:val="center"/>
          </w:tcPr>
          <w:p w14:paraId="2E8764E3">
            <w:pPr>
              <w:spacing w:line="240" w:lineRule="exact"/>
              <w:jc w:val="right"/>
              <w:rPr>
                <w:rFonts w:ascii="宋体" w:hAnsi="宋体" w:eastAsia="宋体" w:cs="宋体"/>
                <w:sz w:val="18"/>
                <w:szCs w:val="18"/>
              </w:rPr>
            </w:pPr>
            <w:r>
              <w:rPr>
                <w:rFonts w:ascii="宋体" w:hAnsi="宋体" w:eastAsia="宋体" w:cs="宋体"/>
                <w:sz w:val="18"/>
                <w:szCs w:val="18"/>
              </w:rPr>
              <w:t>200,071,093.36</w:t>
            </w:r>
          </w:p>
        </w:tc>
        <w:tc>
          <w:tcPr>
            <w:tcW w:w="602" w:type="dxa"/>
            <w:tcBorders>
              <w:top w:val="single" w:color="auto" w:sz="2" w:space="0"/>
              <w:left w:val="single" w:color="auto" w:sz="2" w:space="0"/>
              <w:bottom w:val="single" w:color="auto" w:sz="2" w:space="0"/>
              <w:right w:val="single" w:color="auto" w:sz="2" w:space="0"/>
            </w:tcBorders>
            <w:vAlign w:val="center"/>
          </w:tcPr>
          <w:p w14:paraId="4A97EE4D">
            <w:pPr>
              <w:spacing w:line="240" w:lineRule="exact"/>
              <w:jc w:val="right"/>
              <w:rPr>
                <w:rFonts w:ascii="宋体" w:hAnsi="宋体" w:eastAsia="宋体" w:cs="宋体"/>
                <w:sz w:val="18"/>
                <w:szCs w:val="18"/>
              </w:rPr>
            </w:pPr>
            <w:r>
              <w:rPr>
                <w:rFonts w:ascii="宋体" w:hAnsi="宋体" w:eastAsia="宋体" w:cs="宋体"/>
                <w:sz w:val="18"/>
                <w:szCs w:val="18"/>
              </w:rPr>
              <w:t>-96,153,506.00</w:t>
            </w:r>
          </w:p>
        </w:tc>
        <w:tc>
          <w:tcPr>
            <w:tcW w:w="602" w:type="dxa"/>
            <w:tcBorders>
              <w:top w:val="single" w:color="auto" w:sz="2" w:space="0"/>
              <w:left w:val="single" w:color="auto" w:sz="2" w:space="0"/>
              <w:bottom w:val="single" w:color="auto" w:sz="2" w:space="0"/>
              <w:right w:val="single" w:color="auto" w:sz="2" w:space="0"/>
            </w:tcBorders>
            <w:vAlign w:val="center"/>
          </w:tcPr>
          <w:p w14:paraId="159DEF8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F08BAC5">
            <w:pPr>
              <w:spacing w:line="240" w:lineRule="exact"/>
              <w:jc w:val="right"/>
              <w:rPr>
                <w:rFonts w:ascii="宋体" w:hAnsi="宋体" w:eastAsia="宋体" w:cs="宋体"/>
                <w:sz w:val="18"/>
                <w:szCs w:val="18"/>
              </w:rPr>
            </w:pPr>
            <w:r>
              <w:rPr>
                <w:rFonts w:ascii="宋体" w:hAnsi="宋体" w:eastAsia="宋体" w:cs="宋体"/>
                <w:sz w:val="18"/>
                <w:szCs w:val="18"/>
              </w:rPr>
              <w:t>339,467,737.72</w:t>
            </w:r>
          </w:p>
        </w:tc>
        <w:tc>
          <w:tcPr>
            <w:tcW w:w="602" w:type="dxa"/>
            <w:tcBorders>
              <w:top w:val="single" w:color="auto" w:sz="2" w:space="0"/>
              <w:left w:val="single" w:color="auto" w:sz="2" w:space="0"/>
              <w:bottom w:val="single" w:color="auto" w:sz="2" w:space="0"/>
              <w:right w:val="single" w:color="auto" w:sz="2" w:space="0"/>
            </w:tcBorders>
            <w:vAlign w:val="center"/>
          </w:tcPr>
          <w:p w14:paraId="3FF3BE1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9AE3E8C">
            <w:pPr>
              <w:spacing w:line="240" w:lineRule="exact"/>
              <w:jc w:val="right"/>
              <w:rPr>
                <w:rFonts w:ascii="宋体" w:hAnsi="宋体" w:eastAsia="宋体" w:cs="宋体"/>
                <w:sz w:val="18"/>
                <w:szCs w:val="18"/>
              </w:rPr>
            </w:pPr>
            <w:r>
              <w:rPr>
                <w:rFonts w:ascii="宋体" w:hAnsi="宋体" w:eastAsia="宋体" w:cs="宋体"/>
                <w:sz w:val="18"/>
                <w:szCs w:val="18"/>
              </w:rPr>
              <w:t>1,674,292,092.74</w:t>
            </w:r>
          </w:p>
        </w:tc>
        <w:tc>
          <w:tcPr>
            <w:tcW w:w="602" w:type="dxa"/>
            <w:tcBorders>
              <w:top w:val="single" w:color="auto" w:sz="2" w:space="0"/>
              <w:left w:val="single" w:color="auto" w:sz="2" w:space="0"/>
              <w:bottom w:val="single" w:color="auto" w:sz="2" w:space="0"/>
              <w:right w:val="single" w:color="auto" w:sz="2" w:space="0"/>
            </w:tcBorders>
            <w:vAlign w:val="center"/>
          </w:tcPr>
          <w:p w14:paraId="19F0ED7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DED9D9D">
            <w:pPr>
              <w:spacing w:line="240" w:lineRule="exact"/>
              <w:jc w:val="right"/>
              <w:rPr>
                <w:rFonts w:ascii="宋体" w:hAnsi="宋体" w:eastAsia="宋体" w:cs="宋体"/>
                <w:sz w:val="18"/>
                <w:szCs w:val="18"/>
              </w:rPr>
            </w:pPr>
            <w:r>
              <w:rPr>
                <w:rFonts w:ascii="宋体" w:hAnsi="宋体" w:eastAsia="宋体" w:cs="宋体"/>
                <w:sz w:val="18"/>
                <w:szCs w:val="18"/>
              </w:rPr>
              <w:t>6,156,565,539.90</w:t>
            </w:r>
          </w:p>
        </w:tc>
        <w:tc>
          <w:tcPr>
            <w:tcW w:w="602" w:type="dxa"/>
            <w:tcBorders>
              <w:top w:val="single" w:color="auto" w:sz="2" w:space="0"/>
              <w:left w:val="single" w:color="auto" w:sz="2" w:space="0"/>
              <w:bottom w:val="single" w:color="auto" w:sz="2" w:space="0"/>
              <w:right w:val="single" w:color="auto" w:sz="2" w:space="0"/>
            </w:tcBorders>
            <w:vAlign w:val="center"/>
          </w:tcPr>
          <w:p w14:paraId="2BB720B0">
            <w:pPr>
              <w:spacing w:line="240" w:lineRule="exact"/>
              <w:jc w:val="right"/>
              <w:rPr>
                <w:rFonts w:ascii="宋体" w:hAnsi="宋体" w:eastAsia="宋体" w:cs="宋体"/>
                <w:sz w:val="18"/>
                <w:szCs w:val="18"/>
              </w:rPr>
            </w:pPr>
            <w:r>
              <w:rPr>
                <w:rFonts w:ascii="宋体" w:hAnsi="宋体" w:eastAsia="宋体" w:cs="宋体"/>
                <w:sz w:val="18"/>
                <w:szCs w:val="18"/>
              </w:rPr>
              <w:t>291,949,555.56</w:t>
            </w:r>
          </w:p>
        </w:tc>
        <w:tc>
          <w:tcPr>
            <w:tcW w:w="602" w:type="dxa"/>
            <w:tcBorders>
              <w:top w:val="single" w:color="auto" w:sz="2" w:space="0"/>
              <w:left w:val="single" w:color="auto" w:sz="2" w:space="0"/>
              <w:bottom w:val="single" w:color="auto" w:sz="2" w:space="0"/>
              <w:right w:val="single" w:color="auto" w:sz="2" w:space="0"/>
            </w:tcBorders>
            <w:vAlign w:val="center"/>
          </w:tcPr>
          <w:p w14:paraId="0A1460B4">
            <w:pPr>
              <w:spacing w:line="240" w:lineRule="exact"/>
              <w:jc w:val="right"/>
              <w:rPr>
                <w:rFonts w:ascii="宋体" w:hAnsi="宋体" w:eastAsia="宋体" w:cs="宋体"/>
                <w:sz w:val="18"/>
                <w:szCs w:val="18"/>
              </w:rPr>
            </w:pPr>
            <w:r>
              <w:rPr>
                <w:rFonts w:ascii="宋体" w:hAnsi="宋体" w:eastAsia="宋体" w:cs="宋体"/>
                <w:sz w:val="18"/>
                <w:szCs w:val="18"/>
              </w:rPr>
              <w:t>6,448,515,095.46</w:t>
            </w:r>
          </w:p>
        </w:tc>
      </w:tr>
      <w:tr w14:paraId="35AA1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07BD0E83">
            <w:pPr>
              <w:spacing w:before="40" w:after="40" w:line="240" w:lineRule="exact"/>
              <w:rPr>
                <w:rFonts w:ascii="宋体" w:hAnsi="宋体" w:eastAsia="宋体" w:cs="宋体"/>
                <w:sz w:val="18"/>
                <w:szCs w:val="18"/>
              </w:rPr>
            </w:pPr>
            <w:r>
              <w:rPr>
                <w:rFonts w:ascii="宋体" w:hAnsi="宋体" w:eastAsia="宋体" w:cs="宋体"/>
                <w:sz w:val="18"/>
                <w:szCs w:val="18"/>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vAlign w:val="center"/>
          </w:tcPr>
          <w:p w14:paraId="70BC55B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D9D9F9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F37F13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D24653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2FDC67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42EC3A7">
            <w:pPr>
              <w:spacing w:line="240" w:lineRule="exact"/>
              <w:jc w:val="right"/>
              <w:rPr>
                <w:rFonts w:ascii="宋体" w:hAnsi="宋体" w:eastAsia="宋体" w:cs="宋体"/>
                <w:sz w:val="18"/>
                <w:szCs w:val="18"/>
              </w:rPr>
            </w:pPr>
            <w:r>
              <w:rPr>
                <w:rFonts w:ascii="宋体" w:hAnsi="宋体" w:eastAsia="宋体" w:cs="宋体"/>
                <w:sz w:val="18"/>
                <w:szCs w:val="18"/>
              </w:rPr>
              <w:t>100,033,114.48</w:t>
            </w:r>
          </w:p>
        </w:tc>
        <w:tc>
          <w:tcPr>
            <w:tcW w:w="602" w:type="dxa"/>
            <w:tcBorders>
              <w:top w:val="single" w:color="auto" w:sz="2" w:space="0"/>
              <w:left w:val="single" w:color="auto" w:sz="2" w:space="0"/>
              <w:bottom w:val="single" w:color="auto" w:sz="2" w:space="0"/>
              <w:right w:val="single" w:color="auto" w:sz="2" w:space="0"/>
            </w:tcBorders>
            <w:vAlign w:val="center"/>
          </w:tcPr>
          <w:p w14:paraId="49DFD73C">
            <w:pPr>
              <w:spacing w:line="240" w:lineRule="exact"/>
              <w:jc w:val="right"/>
              <w:rPr>
                <w:rFonts w:ascii="宋体" w:hAnsi="宋体" w:eastAsia="宋体" w:cs="宋体"/>
                <w:sz w:val="18"/>
                <w:szCs w:val="18"/>
              </w:rPr>
            </w:pPr>
            <w:r>
              <w:rPr>
                <w:rFonts w:ascii="宋体" w:hAnsi="宋体" w:eastAsia="宋体" w:cs="宋体"/>
                <w:sz w:val="18"/>
                <w:szCs w:val="18"/>
              </w:rPr>
              <w:t>-16,182,307.37</w:t>
            </w:r>
          </w:p>
        </w:tc>
        <w:tc>
          <w:tcPr>
            <w:tcW w:w="602" w:type="dxa"/>
            <w:tcBorders>
              <w:top w:val="single" w:color="auto" w:sz="2" w:space="0"/>
              <w:left w:val="single" w:color="auto" w:sz="2" w:space="0"/>
              <w:bottom w:val="single" w:color="auto" w:sz="2" w:space="0"/>
              <w:right w:val="single" w:color="auto" w:sz="2" w:space="0"/>
            </w:tcBorders>
            <w:vAlign w:val="center"/>
          </w:tcPr>
          <w:p w14:paraId="300FE87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8DEE560">
            <w:pPr>
              <w:spacing w:line="240" w:lineRule="exact"/>
              <w:jc w:val="right"/>
              <w:rPr>
                <w:rFonts w:ascii="宋体" w:hAnsi="宋体" w:eastAsia="宋体" w:cs="宋体"/>
                <w:sz w:val="18"/>
                <w:szCs w:val="18"/>
              </w:rPr>
            </w:pPr>
            <w:r>
              <w:rPr>
                <w:rFonts w:ascii="宋体" w:hAnsi="宋体" w:eastAsia="宋体" w:cs="宋体"/>
                <w:sz w:val="18"/>
                <w:szCs w:val="18"/>
              </w:rPr>
              <w:t>1,293,902.43</w:t>
            </w:r>
          </w:p>
        </w:tc>
        <w:tc>
          <w:tcPr>
            <w:tcW w:w="602" w:type="dxa"/>
            <w:tcBorders>
              <w:top w:val="single" w:color="auto" w:sz="2" w:space="0"/>
              <w:left w:val="single" w:color="auto" w:sz="2" w:space="0"/>
              <w:bottom w:val="single" w:color="auto" w:sz="2" w:space="0"/>
              <w:right w:val="single" w:color="auto" w:sz="2" w:space="0"/>
            </w:tcBorders>
            <w:vAlign w:val="center"/>
          </w:tcPr>
          <w:p w14:paraId="679F062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A6D9678">
            <w:pPr>
              <w:spacing w:line="240" w:lineRule="exact"/>
              <w:jc w:val="right"/>
              <w:rPr>
                <w:rFonts w:ascii="宋体" w:hAnsi="宋体" w:eastAsia="宋体" w:cs="宋体"/>
                <w:sz w:val="18"/>
                <w:szCs w:val="18"/>
              </w:rPr>
            </w:pPr>
            <w:r>
              <w:rPr>
                <w:rFonts w:ascii="宋体" w:hAnsi="宋体" w:eastAsia="宋体" w:cs="宋体"/>
                <w:sz w:val="18"/>
                <w:szCs w:val="18"/>
              </w:rPr>
              <w:t>-258,725,237.26</w:t>
            </w:r>
          </w:p>
        </w:tc>
        <w:tc>
          <w:tcPr>
            <w:tcW w:w="602" w:type="dxa"/>
            <w:tcBorders>
              <w:top w:val="single" w:color="auto" w:sz="2" w:space="0"/>
              <w:left w:val="single" w:color="auto" w:sz="2" w:space="0"/>
              <w:bottom w:val="single" w:color="auto" w:sz="2" w:space="0"/>
              <w:right w:val="single" w:color="auto" w:sz="2" w:space="0"/>
            </w:tcBorders>
            <w:vAlign w:val="center"/>
          </w:tcPr>
          <w:p w14:paraId="21C9579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E9E5FAD">
            <w:pPr>
              <w:spacing w:line="240" w:lineRule="exact"/>
              <w:jc w:val="right"/>
              <w:rPr>
                <w:rFonts w:ascii="宋体" w:hAnsi="宋体" w:eastAsia="宋体" w:cs="宋体"/>
                <w:sz w:val="18"/>
                <w:szCs w:val="18"/>
              </w:rPr>
            </w:pPr>
            <w:r>
              <w:rPr>
                <w:rFonts w:ascii="宋体" w:hAnsi="宋体" w:eastAsia="宋体" w:cs="宋体"/>
                <w:sz w:val="18"/>
                <w:szCs w:val="18"/>
              </w:rPr>
              <w:t>-373,646,756.68</w:t>
            </w:r>
          </w:p>
        </w:tc>
        <w:tc>
          <w:tcPr>
            <w:tcW w:w="602" w:type="dxa"/>
            <w:tcBorders>
              <w:top w:val="single" w:color="auto" w:sz="2" w:space="0"/>
              <w:left w:val="single" w:color="auto" w:sz="2" w:space="0"/>
              <w:bottom w:val="single" w:color="auto" w:sz="2" w:space="0"/>
              <w:right w:val="single" w:color="auto" w:sz="2" w:space="0"/>
            </w:tcBorders>
            <w:vAlign w:val="center"/>
          </w:tcPr>
          <w:p w14:paraId="4098BBF0">
            <w:pPr>
              <w:spacing w:line="240" w:lineRule="exact"/>
              <w:jc w:val="right"/>
              <w:rPr>
                <w:rFonts w:ascii="宋体" w:hAnsi="宋体" w:eastAsia="宋体" w:cs="宋体"/>
                <w:sz w:val="18"/>
                <w:szCs w:val="18"/>
              </w:rPr>
            </w:pPr>
            <w:r>
              <w:rPr>
                <w:rFonts w:ascii="宋体" w:hAnsi="宋体" w:eastAsia="宋体" w:cs="宋体"/>
                <w:sz w:val="18"/>
                <w:szCs w:val="18"/>
              </w:rPr>
              <w:t>-827,987.85</w:t>
            </w:r>
          </w:p>
        </w:tc>
        <w:tc>
          <w:tcPr>
            <w:tcW w:w="602" w:type="dxa"/>
            <w:tcBorders>
              <w:top w:val="single" w:color="auto" w:sz="2" w:space="0"/>
              <w:left w:val="single" w:color="auto" w:sz="2" w:space="0"/>
              <w:bottom w:val="single" w:color="auto" w:sz="2" w:space="0"/>
              <w:right w:val="single" w:color="auto" w:sz="2" w:space="0"/>
            </w:tcBorders>
            <w:vAlign w:val="center"/>
          </w:tcPr>
          <w:p w14:paraId="6C70CF6D">
            <w:pPr>
              <w:spacing w:line="240" w:lineRule="exact"/>
              <w:jc w:val="right"/>
              <w:rPr>
                <w:rFonts w:ascii="宋体" w:hAnsi="宋体" w:eastAsia="宋体" w:cs="宋体"/>
                <w:sz w:val="18"/>
                <w:szCs w:val="18"/>
              </w:rPr>
            </w:pPr>
            <w:r>
              <w:rPr>
                <w:rFonts w:ascii="宋体" w:hAnsi="宋体" w:eastAsia="宋体" w:cs="宋体"/>
                <w:sz w:val="18"/>
                <w:szCs w:val="18"/>
              </w:rPr>
              <w:t>-374,474,744.53</w:t>
            </w:r>
          </w:p>
        </w:tc>
      </w:tr>
      <w:tr w14:paraId="2BBBA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366846A3">
            <w:pPr>
              <w:spacing w:before="40" w:after="40" w:line="240" w:lineRule="exact"/>
              <w:rPr>
                <w:rFonts w:ascii="宋体" w:hAnsi="宋体" w:eastAsia="宋体" w:cs="宋体"/>
                <w:sz w:val="18"/>
                <w:szCs w:val="18"/>
              </w:rPr>
            </w:pPr>
            <w:r>
              <w:rPr>
                <w:rFonts w:ascii="宋体" w:hAnsi="宋体" w:eastAsia="宋体" w:cs="宋体"/>
                <w:sz w:val="18"/>
                <w:szCs w:val="18"/>
              </w:rPr>
              <w:t>（一）综合收益总额</w:t>
            </w:r>
          </w:p>
        </w:tc>
        <w:tc>
          <w:tcPr>
            <w:tcW w:w="602" w:type="dxa"/>
            <w:tcBorders>
              <w:top w:val="single" w:color="auto" w:sz="2" w:space="0"/>
              <w:left w:val="single" w:color="auto" w:sz="2" w:space="0"/>
              <w:bottom w:val="single" w:color="auto" w:sz="2" w:space="0"/>
              <w:right w:val="single" w:color="auto" w:sz="2" w:space="0"/>
            </w:tcBorders>
            <w:vAlign w:val="center"/>
          </w:tcPr>
          <w:p w14:paraId="29D47A3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5A8378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E11B83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39F4D5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E8EA65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7858A0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FE6BEED">
            <w:pPr>
              <w:spacing w:line="240" w:lineRule="exact"/>
              <w:jc w:val="right"/>
              <w:rPr>
                <w:rFonts w:ascii="宋体" w:hAnsi="宋体" w:eastAsia="宋体" w:cs="宋体"/>
                <w:sz w:val="18"/>
                <w:szCs w:val="18"/>
              </w:rPr>
            </w:pPr>
            <w:r>
              <w:rPr>
                <w:rFonts w:ascii="宋体" w:hAnsi="宋体" w:eastAsia="宋体" w:cs="宋体"/>
                <w:sz w:val="18"/>
                <w:szCs w:val="18"/>
              </w:rPr>
              <w:t>-16,182,307.37</w:t>
            </w:r>
          </w:p>
        </w:tc>
        <w:tc>
          <w:tcPr>
            <w:tcW w:w="602" w:type="dxa"/>
            <w:tcBorders>
              <w:top w:val="single" w:color="auto" w:sz="2" w:space="0"/>
              <w:left w:val="single" w:color="auto" w:sz="2" w:space="0"/>
              <w:bottom w:val="single" w:color="auto" w:sz="2" w:space="0"/>
              <w:right w:val="single" w:color="auto" w:sz="2" w:space="0"/>
            </w:tcBorders>
            <w:vAlign w:val="center"/>
          </w:tcPr>
          <w:p w14:paraId="5348448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CFEAAD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C10474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CE74239">
            <w:pPr>
              <w:spacing w:line="240" w:lineRule="exact"/>
              <w:jc w:val="right"/>
              <w:rPr>
                <w:rFonts w:ascii="宋体" w:hAnsi="宋体" w:eastAsia="宋体" w:cs="宋体"/>
                <w:sz w:val="18"/>
                <w:szCs w:val="18"/>
              </w:rPr>
            </w:pPr>
            <w:r>
              <w:rPr>
                <w:rFonts w:ascii="宋体" w:hAnsi="宋体" w:eastAsia="宋体" w:cs="宋体"/>
                <w:sz w:val="18"/>
                <w:szCs w:val="18"/>
              </w:rPr>
              <w:t>-207,764,974.56</w:t>
            </w:r>
          </w:p>
        </w:tc>
        <w:tc>
          <w:tcPr>
            <w:tcW w:w="602" w:type="dxa"/>
            <w:tcBorders>
              <w:top w:val="single" w:color="auto" w:sz="2" w:space="0"/>
              <w:left w:val="single" w:color="auto" w:sz="2" w:space="0"/>
              <w:bottom w:val="single" w:color="auto" w:sz="2" w:space="0"/>
              <w:right w:val="single" w:color="auto" w:sz="2" w:space="0"/>
            </w:tcBorders>
            <w:vAlign w:val="center"/>
          </w:tcPr>
          <w:p w14:paraId="0C61E97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11B8FBE">
            <w:pPr>
              <w:spacing w:line="240" w:lineRule="exact"/>
              <w:jc w:val="right"/>
              <w:rPr>
                <w:rFonts w:ascii="宋体" w:hAnsi="宋体" w:eastAsia="宋体" w:cs="宋体"/>
                <w:sz w:val="18"/>
                <w:szCs w:val="18"/>
              </w:rPr>
            </w:pPr>
            <w:r>
              <w:rPr>
                <w:rFonts w:ascii="宋体" w:hAnsi="宋体" w:eastAsia="宋体" w:cs="宋体"/>
                <w:sz w:val="18"/>
                <w:szCs w:val="18"/>
              </w:rPr>
              <w:t>-223,947,281.93</w:t>
            </w:r>
          </w:p>
        </w:tc>
        <w:tc>
          <w:tcPr>
            <w:tcW w:w="602" w:type="dxa"/>
            <w:tcBorders>
              <w:top w:val="single" w:color="auto" w:sz="2" w:space="0"/>
              <w:left w:val="single" w:color="auto" w:sz="2" w:space="0"/>
              <w:bottom w:val="single" w:color="auto" w:sz="2" w:space="0"/>
              <w:right w:val="single" w:color="auto" w:sz="2" w:space="0"/>
            </w:tcBorders>
            <w:vAlign w:val="center"/>
          </w:tcPr>
          <w:p w14:paraId="7AA7D2F0">
            <w:pPr>
              <w:spacing w:line="240" w:lineRule="exact"/>
              <w:jc w:val="right"/>
              <w:rPr>
                <w:rFonts w:ascii="宋体" w:hAnsi="宋体" w:eastAsia="宋体" w:cs="宋体"/>
                <w:sz w:val="18"/>
                <w:szCs w:val="18"/>
              </w:rPr>
            </w:pPr>
            <w:r>
              <w:rPr>
                <w:rFonts w:ascii="宋体" w:hAnsi="宋体" w:eastAsia="宋体" w:cs="宋体"/>
                <w:sz w:val="18"/>
                <w:szCs w:val="18"/>
              </w:rPr>
              <w:t>12,686,663.60</w:t>
            </w:r>
          </w:p>
        </w:tc>
        <w:tc>
          <w:tcPr>
            <w:tcW w:w="602" w:type="dxa"/>
            <w:tcBorders>
              <w:top w:val="single" w:color="auto" w:sz="2" w:space="0"/>
              <w:left w:val="single" w:color="auto" w:sz="2" w:space="0"/>
              <w:bottom w:val="single" w:color="auto" w:sz="2" w:space="0"/>
              <w:right w:val="single" w:color="auto" w:sz="2" w:space="0"/>
            </w:tcBorders>
            <w:vAlign w:val="center"/>
          </w:tcPr>
          <w:p w14:paraId="49E6C205">
            <w:pPr>
              <w:spacing w:line="240" w:lineRule="exact"/>
              <w:jc w:val="right"/>
              <w:rPr>
                <w:rFonts w:ascii="宋体" w:hAnsi="宋体" w:eastAsia="宋体" w:cs="宋体"/>
                <w:sz w:val="18"/>
                <w:szCs w:val="18"/>
              </w:rPr>
            </w:pPr>
            <w:r>
              <w:rPr>
                <w:rFonts w:ascii="宋体" w:hAnsi="宋体" w:eastAsia="宋体" w:cs="宋体"/>
                <w:sz w:val="18"/>
                <w:szCs w:val="18"/>
              </w:rPr>
              <w:t>-211,260,618.33</w:t>
            </w:r>
          </w:p>
        </w:tc>
      </w:tr>
      <w:tr w14:paraId="26757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3AC3E92B">
            <w:pPr>
              <w:spacing w:before="40" w:after="40" w:line="240" w:lineRule="exact"/>
              <w:rPr>
                <w:rFonts w:ascii="宋体" w:hAnsi="宋体" w:eastAsia="宋体" w:cs="宋体"/>
                <w:sz w:val="18"/>
                <w:szCs w:val="18"/>
              </w:rPr>
            </w:pPr>
            <w:r>
              <w:rPr>
                <w:rFonts w:ascii="宋体" w:hAnsi="宋体" w:eastAsia="宋体" w:cs="宋体"/>
                <w:sz w:val="18"/>
                <w:szCs w:val="18"/>
              </w:rPr>
              <w:t>（二）所有者投入和减少资本</w:t>
            </w:r>
          </w:p>
        </w:tc>
        <w:tc>
          <w:tcPr>
            <w:tcW w:w="602" w:type="dxa"/>
            <w:tcBorders>
              <w:top w:val="single" w:color="auto" w:sz="2" w:space="0"/>
              <w:left w:val="single" w:color="auto" w:sz="2" w:space="0"/>
              <w:bottom w:val="single" w:color="auto" w:sz="2" w:space="0"/>
              <w:right w:val="single" w:color="auto" w:sz="2" w:space="0"/>
            </w:tcBorders>
            <w:vAlign w:val="center"/>
          </w:tcPr>
          <w:p w14:paraId="11A9005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0A6D01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38127F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A7530F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7CF684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BA5C1DF">
            <w:pPr>
              <w:spacing w:line="240" w:lineRule="exact"/>
              <w:jc w:val="right"/>
              <w:rPr>
                <w:rFonts w:ascii="宋体" w:hAnsi="宋体" w:eastAsia="宋体" w:cs="宋体"/>
                <w:sz w:val="18"/>
                <w:szCs w:val="18"/>
              </w:rPr>
            </w:pPr>
            <w:r>
              <w:rPr>
                <w:rFonts w:ascii="宋体" w:hAnsi="宋体" w:eastAsia="宋体" w:cs="宋体"/>
                <w:sz w:val="18"/>
                <w:szCs w:val="18"/>
              </w:rPr>
              <w:t>100,033,114.48</w:t>
            </w:r>
          </w:p>
        </w:tc>
        <w:tc>
          <w:tcPr>
            <w:tcW w:w="602" w:type="dxa"/>
            <w:tcBorders>
              <w:top w:val="single" w:color="auto" w:sz="2" w:space="0"/>
              <w:left w:val="single" w:color="auto" w:sz="2" w:space="0"/>
              <w:bottom w:val="single" w:color="auto" w:sz="2" w:space="0"/>
              <w:right w:val="single" w:color="auto" w:sz="2" w:space="0"/>
            </w:tcBorders>
            <w:vAlign w:val="center"/>
          </w:tcPr>
          <w:p w14:paraId="51613D4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E3D227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8A710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CF3E50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587994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6EF7B5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96F94E1">
            <w:pPr>
              <w:spacing w:line="240" w:lineRule="exact"/>
              <w:jc w:val="right"/>
              <w:rPr>
                <w:rFonts w:ascii="宋体" w:hAnsi="宋体" w:eastAsia="宋体" w:cs="宋体"/>
                <w:sz w:val="18"/>
                <w:szCs w:val="18"/>
              </w:rPr>
            </w:pPr>
            <w:r>
              <w:rPr>
                <w:rFonts w:ascii="宋体" w:hAnsi="宋体" w:eastAsia="宋体" w:cs="宋体"/>
                <w:sz w:val="18"/>
                <w:szCs w:val="18"/>
              </w:rPr>
              <w:t>-100,033,114.48</w:t>
            </w:r>
          </w:p>
        </w:tc>
        <w:tc>
          <w:tcPr>
            <w:tcW w:w="602" w:type="dxa"/>
            <w:tcBorders>
              <w:top w:val="single" w:color="auto" w:sz="2" w:space="0"/>
              <w:left w:val="single" w:color="auto" w:sz="2" w:space="0"/>
              <w:bottom w:val="single" w:color="auto" w:sz="2" w:space="0"/>
              <w:right w:val="single" w:color="auto" w:sz="2" w:space="0"/>
            </w:tcBorders>
            <w:vAlign w:val="center"/>
          </w:tcPr>
          <w:p w14:paraId="6052297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1CBDDCD">
            <w:pPr>
              <w:spacing w:line="240" w:lineRule="exact"/>
              <w:jc w:val="right"/>
              <w:rPr>
                <w:rFonts w:ascii="宋体" w:hAnsi="宋体" w:eastAsia="宋体" w:cs="宋体"/>
                <w:sz w:val="18"/>
                <w:szCs w:val="18"/>
              </w:rPr>
            </w:pPr>
            <w:r>
              <w:rPr>
                <w:rFonts w:ascii="宋体" w:hAnsi="宋体" w:eastAsia="宋体" w:cs="宋体"/>
                <w:sz w:val="18"/>
                <w:szCs w:val="18"/>
              </w:rPr>
              <w:t>-100,033,114.48</w:t>
            </w:r>
          </w:p>
        </w:tc>
      </w:tr>
      <w:tr w14:paraId="2722A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81302A3">
            <w:pPr>
              <w:spacing w:before="40" w:after="40" w:line="240" w:lineRule="exact"/>
              <w:rPr>
                <w:rFonts w:ascii="宋体" w:hAnsi="宋体" w:eastAsia="宋体" w:cs="宋体"/>
                <w:sz w:val="18"/>
                <w:szCs w:val="18"/>
              </w:rPr>
            </w:pPr>
            <w:r>
              <w:rPr>
                <w:rFonts w:ascii="宋体" w:hAnsi="宋体" w:eastAsia="宋体" w:cs="宋体"/>
                <w:sz w:val="18"/>
                <w:szCs w:val="18"/>
              </w:rPr>
              <w:t>1．所有者投入的普通股</w:t>
            </w:r>
          </w:p>
        </w:tc>
        <w:tc>
          <w:tcPr>
            <w:tcW w:w="602" w:type="dxa"/>
            <w:tcBorders>
              <w:top w:val="single" w:color="auto" w:sz="2" w:space="0"/>
              <w:left w:val="single" w:color="auto" w:sz="2" w:space="0"/>
              <w:bottom w:val="single" w:color="auto" w:sz="2" w:space="0"/>
              <w:right w:val="single" w:color="auto" w:sz="2" w:space="0"/>
            </w:tcBorders>
            <w:vAlign w:val="center"/>
          </w:tcPr>
          <w:p w14:paraId="235A8C8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B50FE4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B0D501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EF10F4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70F480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CCD96A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FF3DA5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D85610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7C6FEC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37D2B6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110997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C76A79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2FB63A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9B57EE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3D23B88">
            <w:pPr>
              <w:spacing w:line="240" w:lineRule="exact"/>
              <w:jc w:val="right"/>
              <w:rPr>
                <w:rFonts w:ascii="宋体" w:hAnsi="宋体" w:eastAsia="宋体" w:cs="宋体"/>
                <w:sz w:val="18"/>
                <w:szCs w:val="18"/>
              </w:rPr>
            </w:pPr>
          </w:p>
        </w:tc>
      </w:tr>
      <w:tr w14:paraId="0BD8A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03F146E1">
            <w:pPr>
              <w:spacing w:before="40" w:after="40" w:line="240" w:lineRule="exact"/>
              <w:rPr>
                <w:rFonts w:ascii="宋体" w:hAnsi="宋体" w:eastAsia="宋体" w:cs="宋体"/>
                <w:sz w:val="18"/>
                <w:szCs w:val="18"/>
              </w:rPr>
            </w:pPr>
            <w:r>
              <w:rPr>
                <w:rFonts w:ascii="宋体" w:hAnsi="宋体" w:eastAsia="宋体" w:cs="宋体"/>
                <w:sz w:val="18"/>
                <w:szCs w:val="18"/>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vAlign w:val="center"/>
          </w:tcPr>
          <w:p w14:paraId="20F43DB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5CEEB8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0EB9CA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F667DB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072E48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6016DF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8B0B24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DB8A09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A55289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1DFB9D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BCD3A4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F3EFDC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FB9377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691C18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032C655">
            <w:pPr>
              <w:spacing w:line="240" w:lineRule="exact"/>
              <w:jc w:val="right"/>
              <w:rPr>
                <w:rFonts w:ascii="宋体" w:hAnsi="宋体" w:eastAsia="宋体" w:cs="宋体"/>
                <w:sz w:val="18"/>
                <w:szCs w:val="18"/>
              </w:rPr>
            </w:pPr>
          </w:p>
        </w:tc>
      </w:tr>
      <w:tr w14:paraId="03F64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6B69FBCB">
            <w:pPr>
              <w:spacing w:before="40" w:after="40" w:line="240" w:lineRule="exact"/>
              <w:rPr>
                <w:rFonts w:ascii="宋体" w:hAnsi="宋体" w:eastAsia="宋体" w:cs="宋体"/>
                <w:sz w:val="18"/>
                <w:szCs w:val="18"/>
              </w:rPr>
            </w:pPr>
            <w:r>
              <w:rPr>
                <w:rFonts w:ascii="宋体" w:hAnsi="宋体" w:eastAsia="宋体" w:cs="宋体"/>
                <w:sz w:val="18"/>
                <w:szCs w:val="18"/>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vAlign w:val="center"/>
          </w:tcPr>
          <w:p w14:paraId="4663980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AEB74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CCAA69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6D48BD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08A247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648A49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7EDBFB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FB8946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3C1918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7ED4C7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3FFA5B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427C2D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8715A8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7B44CD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C048272">
            <w:pPr>
              <w:spacing w:line="240" w:lineRule="exact"/>
              <w:jc w:val="right"/>
              <w:rPr>
                <w:rFonts w:ascii="宋体" w:hAnsi="宋体" w:eastAsia="宋体" w:cs="宋体"/>
                <w:sz w:val="18"/>
                <w:szCs w:val="18"/>
              </w:rPr>
            </w:pPr>
          </w:p>
        </w:tc>
      </w:tr>
      <w:tr w14:paraId="49470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BC5FB1F">
            <w:pPr>
              <w:spacing w:before="40" w:after="40" w:line="240" w:lineRule="exact"/>
              <w:rPr>
                <w:rFonts w:ascii="宋体" w:hAnsi="宋体" w:eastAsia="宋体" w:cs="宋体"/>
                <w:sz w:val="18"/>
                <w:szCs w:val="18"/>
              </w:rPr>
            </w:pPr>
            <w:r>
              <w:rPr>
                <w:rFonts w:ascii="宋体" w:hAnsi="宋体"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14:paraId="6141650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333E21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BDB19B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56D412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9D20BB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A735DDC">
            <w:pPr>
              <w:spacing w:line="240" w:lineRule="exact"/>
              <w:jc w:val="right"/>
              <w:rPr>
                <w:rFonts w:ascii="宋体" w:hAnsi="宋体" w:eastAsia="宋体" w:cs="宋体"/>
                <w:sz w:val="18"/>
                <w:szCs w:val="18"/>
              </w:rPr>
            </w:pPr>
            <w:r>
              <w:rPr>
                <w:rFonts w:ascii="宋体" w:hAnsi="宋体" w:eastAsia="宋体" w:cs="宋体"/>
                <w:sz w:val="18"/>
                <w:szCs w:val="18"/>
              </w:rPr>
              <w:t>100,033,114.48</w:t>
            </w:r>
          </w:p>
        </w:tc>
        <w:tc>
          <w:tcPr>
            <w:tcW w:w="602" w:type="dxa"/>
            <w:tcBorders>
              <w:top w:val="single" w:color="auto" w:sz="2" w:space="0"/>
              <w:left w:val="single" w:color="auto" w:sz="2" w:space="0"/>
              <w:bottom w:val="single" w:color="auto" w:sz="2" w:space="0"/>
              <w:right w:val="single" w:color="auto" w:sz="2" w:space="0"/>
            </w:tcBorders>
            <w:vAlign w:val="center"/>
          </w:tcPr>
          <w:p w14:paraId="45CB00A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18603D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FA7E80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C63DD9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56ECC7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AE1610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9B91724">
            <w:pPr>
              <w:spacing w:line="240" w:lineRule="exact"/>
              <w:jc w:val="right"/>
              <w:rPr>
                <w:rFonts w:ascii="宋体" w:hAnsi="宋体" w:eastAsia="宋体" w:cs="宋体"/>
                <w:sz w:val="18"/>
                <w:szCs w:val="18"/>
              </w:rPr>
            </w:pPr>
            <w:r>
              <w:rPr>
                <w:rFonts w:ascii="宋体" w:hAnsi="宋体" w:eastAsia="宋体" w:cs="宋体"/>
                <w:sz w:val="18"/>
                <w:szCs w:val="18"/>
              </w:rPr>
              <w:t>-100,033,114.48</w:t>
            </w:r>
          </w:p>
        </w:tc>
        <w:tc>
          <w:tcPr>
            <w:tcW w:w="602" w:type="dxa"/>
            <w:tcBorders>
              <w:top w:val="single" w:color="auto" w:sz="2" w:space="0"/>
              <w:left w:val="single" w:color="auto" w:sz="2" w:space="0"/>
              <w:bottom w:val="single" w:color="auto" w:sz="2" w:space="0"/>
              <w:right w:val="single" w:color="auto" w:sz="2" w:space="0"/>
            </w:tcBorders>
            <w:vAlign w:val="center"/>
          </w:tcPr>
          <w:p w14:paraId="48DB88F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59DCE2E">
            <w:pPr>
              <w:spacing w:line="240" w:lineRule="exact"/>
              <w:jc w:val="right"/>
              <w:rPr>
                <w:rFonts w:ascii="宋体" w:hAnsi="宋体" w:eastAsia="宋体" w:cs="宋体"/>
                <w:sz w:val="18"/>
                <w:szCs w:val="18"/>
              </w:rPr>
            </w:pPr>
            <w:r>
              <w:rPr>
                <w:rFonts w:ascii="宋体" w:hAnsi="宋体" w:eastAsia="宋体" w:cs="宋体"/>
                <w:sz w:val="18"/>
                <w:szCs w:val="18"/>
              </w:rPr>
              <w:t>-100,033,114.48</w:t>
            </w:r>
          </w:p>
        </w:tc>
      </w:tr>
      <w:tr w14:paraId="3862C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B2B021F">
            <w:pPr>
              <w:spacing w:before="40" w:after="40" w:line="240" w:lineRule="exact"/>
              <w:rPr>
                <w:rFonts w:ascii="宋体" w:hAnsi="宋体" w:eastAsia="宋体" w:cs="宋体"/>
                <w:sz w:val="18"/>
                <w:szCs w:val="18"/>
              </w:rPr>
            </w:pPr>
            <w:r>
              <w:rPr>
                <w:rFonts w:ascii="宋体" w:hAnsi="宋体" w:eastAsia="宋体" w:cs="宋体"/>
                <w:sz w:val="18"/>
                <w:szCs w:val="18"/>
              </w:rPr>
              <w:t>（三）利润分配</w:t>
            </w:r>
          </w:p>
        </w:tc>
        <w:tc>
          <w:tcPr>
            <w:tcW w:w="602" w:type="dxa"/>
            <w:tcBorders>
              <w:top w:val="single" w:color="auto" w:sz="2" w:space="0"/>
              <w:left w:val="single" w:color="auto" w:sz="2" w:space="0"/>
              <w:bottom w:val="single" w:color="auto" w:sz="2" w:space="0"/>
              <w:right w:val="single" w:color="auto" w:sz="2" w:space="0"/>
            </w:tcBorders>
            <w:vAlign w:val="center"/>
          </w:tcPr>
          <w:p w14:paraId="26AC320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10E81C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D29410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93BDC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6A96C6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45BE80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81A312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7AC1A2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19B89E7">
            <w:pPr>
              <w:spacing w:line="240" w:lineRule="exact"/>
              <w:jc w:val="right"/>
              <w:rPr>
                <w:rFonts w:ascii="宋体" w:hAnsi="宋体" w:eastAsia="宋体" w:cs="宋体"/>
                <w:sz w:val="18"/>
                <w:szCs w:val="18"/>
              </w:rPr>
            </w:pPr>
            <w:r>
              <w:rPr>
                <w:rFonts w:ascii="宋体" w:hAnsi="宋体" w:eastAsia="宋体" w:cs="宋体"/>
                <w:sz w:val="18"/>
                <w:szCs w:val="18"/>
              </w:rPr>
              <w:t>1,293,902.43</w:t>
            </w:r>
          </w:p>
        </w:tc>
        <w:tc>
          <w:tcPr>
            <w:tcW w:w="602" w:type="dxa"/>
            <w:tcBorders>
              <w:top w:val="single" w:color="auto" w:sz="2" w:space="0"/>
              <w:left w:val="single" w:color="auto" w:sz="2" w:space="0"/>
              <w:bottom w:val="single" w:color="auto" w:sz="2" w:space="0"/>
              <w:right w:val="single" w:color="auto" w:sz="2" w:space="0"/>
            </w:tcBorders>
            <w:vAlign w:val="center"/>
          </w:tcPr>
          <w:p w14:paraId="32F36CA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399F225">
            <w:pPr>
              <w:spacing w:line="240" w:lineRule="exact"/>
              <w:jc w:val="right"/>
              <w:rPr>
                <w:rFonts w:ascii="宋体" w:hAnsi="宋体" w:eastAsia="宋体" w:cs="宋体"/>
                <w:sz w:val="18"/>
                <w:szCs w:val="18"/>
              </w:rPr>
            </w:pPr>
            <w:r>
              <w:rPr>
                <w:rFonts w:ascii="宋体" w:hAnsi="宋体" w:eastAsia="宋体" w:cs="宋体"/>
                <w:sz w:val="18"/>
                <w:szCs w:val="18"/>
              </w:rPr>
              <w:t>-50,960,262.70</w:t>
            </w:r>
          </w:p>
        </w:tc>
        <w:tc>
          <w:tcPr>
            <w:tcW w:w="602" w:type="dxa"/>
            <w:tcBorders>
              <w:top w:val="single" w:color="auto" w:sz="2" w:space="0"/>
              <w:left w:val="single" w:color="auto" w:sz="2" w:space="0"/>
              <w:bottom w:val="single" w:color="auto" w:sz="2" w:space="0"/>
              <w:right w:val="single" w:color="auto" w:sz="2" w:space="0"/>
            </w:tcBorders>
            <w:vAlign w:val="center"/>
          </w:tcPr>
          <w:p w14:paraId="0B92F30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F9B6B6">
            <w:pPr>
              <w:spacing w:line="240" w:lineRule="exact"/>
              <w:jc w:val="right"/>
              <w:rPr>
                <w:rFonts w:ascii="宋体" w:hAnsi="宋体" w:eastAsia="宋体" w:cs="宋体"/>
                <w:sz w:val="18"/>
                <w:szCs w:val="18"/>
              </w:rPr>
            </w:pPr>
            <w:r>
              <w:rPr>
                <w:rFonts w:ascii="宋体" w:hAnsi="宋体" w:eastAsia="宋体" w:cs="宋体"/>
                <w:sz w:val="18"/>
                <w:szCs w:val="18"/>
              </w:rPr>
              <w:t>-49,666,360.27</w:t>
            </w:r>
          </w:p>
        </w:tc>
        <w:tc>
          <w:tcPr>
            <w:tcW w:w="602" w:type="dxa"/>
            <w:tcBorders>
              <w:top w:val="single" w:color="auto" w:sz="2" w:space="0"/>
              <w:left w:val="single" w:color="auto" w:sz="2" w:space="0"/>
              <w:bottom w:val="single" w:color="auto" w:sz="2" w:space="0"/>
              <w:right w:val="single" w:color="auto" w:sz="2" w:space="0"/>
            </w:tcBorders>
            <w:vAlign w:val="center"/>
          </w:tcPr>
          <w:p w14:paraId="41722A37">
            <w:pPr>
              <w:spacing w:line="240" w:lineRule="exact"/>
              <w:jc w:val="right"/>
              <w:rPr>
                <w:rFonts w:ascii="宋体" w:hAnsi="宋体" w:eastAsia="宋体" w:cs="宋体"/>
                <w:sz w:val="18"/>
                <w:szCs w:val="18"/>
              </w:rPr>
            </w:pPr>
            <w:r>
              <w:rPr>
                <w:rFonts w:ascii="宋体" w:hAnsi="宋体" w:eastAsia="宋体" w:cs="宋体"/>
                <w:sz w:val="18"/>
                <w:szCs w:val="18"/>
              </w:rPr>
              <w:t>-13,514,651.45</w:t>
            </w:r>
          </w:p>
        </w:tc>
        <w:tc>
          <w:tcPr>
            <w:tcW w:w="602" w:type="dxa"/>
            <w:tcBorders>
              <w:top w:val="single" w:color="auto" w:sz="2" w:space="0"/>
              <w:left w:val="single" w:color="auto" w:sz="2" w:space="0"/>
              <w:bottom w:val="single" w:color="auto" w:sz="2" w:space="0"/>
              <w:right w:val="single" w:color="auto" w:sz="2" w:space="0"/>
            </w:tcBorders>
            <w:vAlign w:val="center"/>
          </w:tcPr>
          <w:p w14:paraId="66F85367">
            <w:pPr>
              <w:spacing w:line="240" w:lineRule="exact"/>
              <w:jc w:val="right"/>
              <w:rPr>
                <w:rFonts w:ascii="宋体" w:hAnsi="宋体" w:eastAsia="宋体" w:cs="宋体"/>
                <w:sz w:val="18"/>
                <w:szCs w:val="18"/>
              </w:rPr>
            </w:pPr>
            <w:r>
              <w:rPr>
                <w:rFonts w:ascii="宋体" w:hAnsi="宋体" w:eastAsia="宋体" w:cs="宋体"/>
                <w:sz w:val="18"/>
                <w:szCs w:val="18"/>
              </w:rPr>
              <w:t>-63,181,011.72</w:t>
            </w:r>
          </w:p>
        </w:tc>
      </w:tr>
      <w:tr w14:paraId="47591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4B1E895">
            <w:pPr>
              <w:spacing w:before="40" w:after="40" w:line="240" w:lineRule="exact"/>
              <w:rPr>
                <w:rFonts w:ascii="宋体" w:hAnsi="宋体" w:eastAsia="宋体" w:cs="宋体"/>
                <w:sz w:val="18"/>
                <w:szCs w:val="18"/>
              </w:rPr>
            </w:pPr>
            <w:r>
              <w:rPr>
                <w:rFonts w:ascii="宋体" w:hAnsi="宋体" w:eastAsia="宋体" w:cs="宋体"/>
                <w:sz w:val="18"/>
                <w:szCs w:val="18"/>
              </w:rPr>
              <w:t>1．提取盈余公积</w:t>
            </w:r>
          </w:p>
        </w:tc>
        <w:tc>
          <w:tcPr>
            <w:tcW w:w="602" w:type="dxa"/>
            <w:tcBorders>
              <w:top w:val="single" w:color="auto" w:sz="2" w:space="0"/>
              <w:left w:val="single" w:color="auto" w:sz="2" w:space="0"/>
              <w:bottom w:val="single" w:color="auto" w:sz="2" w:space="0"/>
              <w:right w:val="single" w:color="auto" w:sz="2" w:space="0"/>
            </w:tcBorders>
            <w:vAlign w:val="center"/>
          </w:tcPr>
          <w:p w14:paraId="7E3B592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0A65B3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48993D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151268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37E778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0A66AC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DD84C6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941839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98109BD">
            <w:pPr>
              <w:spacing w:line="240" w:lineRule="exact"/>
              <w:jc w:val="right"/>
              <w:rPr>
                <w:rFonts w:ascii="宋体" w:hAnsi="宋体" w:eastAsia="宋体" w:cs="宋体"/>
                <w:sz w:val="18"/>
                <w:szCs w:val="18"/>
              </w:rPr>
            </w:pPr>
            <w:r>
              <w:rPr>
                <w:rFonts w:ascii="宋体" w:hAnsi="宋体" w:eastAsia="宋体" w:cs="宋体"/>
                <w:sz w:val="18"/>
                <w:szCs w:val="18"/>
              </w:rPr>
              <w:t>1,293,902.43</w:t>
            </w:r>
          </w:p>
        </w:tc>
        <w:tc>
          <w:tcPr>
            <w:tcW w:w="602" w:type="dxa"/>
            <w:tcBorders>
              <w:top w:val="single" w:color="auto" w:sz="2" w:space="0"/>
              <w:left w:val="single" w:color="auto" w:sz="2" w:space="0"/>
              <w:bottom w:val="single" w:color="auto" w:sz="2" w:space="0"/>
              <w:right w:val="single" w:color="auto" w:sz="2" w:space="0"/>
            </w:tcBorders>
            <w:vAlign w:val="center"/>
          </w:tcPr>
          <w:p w14:paraId="62CDAB7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0837DE5">
            <w:pPr>
              <w:spacing w:line="240" w:lineRule="exact"/>
              <w:jc w:val="right"/>
              <w:rPr>
                <w:rFonts w:ascii="宋体" w:hAnsi="宋体" w:eastAsia="宋体" w:cs="宋体"/>
                <w:sz w:val="18"/>
                <w:szCs w:val="18"/>
              </w:rPr>
            </w:pPr>
            <w:r>
              <w:rPr>
                <w:rFonts w:ascii="宋体" w:hAnsi="宋体" w:eastAsia="宋体" w:cs="宋体"/>
                <w:sz w:val="18"/>
                <w:szCs w:val="18"/>
              </w:rPr>
              <w:t>-1,293,902.43</w:t>
            </w:r>
          </w:p>
        </w:tc>
        <w:tc>
          <w:tcPr>
            <w:tcW w:w="602" w:type="dxa"/>
            <w:tcBorders>
              <w:top w:val="single" w:color="auto" w:sz="2" w:space="0"/>
              <w:left w:val="single" w:color="auto" w:sz="2" w:space="0"/>
              <w:bottom w:val="single" w:color="auto" w:sz="2" w:space="0"/>
              <w:right w:val="single" w:color="auto" w:sz="2" w:space="0"/>
            </w:tcBorders>
            <w:vAlign w:val="center"/>
          </w:tcPr>
          <w:p w14:paraId="15F3180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828A87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B5DF85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32F009C">
            <w:pPr>
              <w:spacing w:line="240" w:lineRule="exact"/>
              <w:jc w:val="right"/>
              <w:rPr>
                <w:rFonts w:ascii="宋体" w:hAnsi="宋体" w:eastAsia="宋体" w:cs="宋体"/>
                <w:sz w:val="18"/>
                <w:szCs w:val="18"/>
              </w:rPr>
            </w:pPr>
          </w:p>
        </w:tc>
      </w:tr>
      <w:tr w14:paraId="70D4F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7BF1A66A">
            <w:pPr>
              <w:spacing w:before="40" w:after="40" w:line="240" w:lineRule="exact"/>
              <w:rPr>
                <w:rFonts w:ascii="宋体" w:hAnsi="宋体" w:eastAsia="宋体" w:cs="宋体"/>
                <w:sz w:val="18"/>
                <w:szCs w:val="18"/>
              </w:rPr>
            </w:pPr>
            <w:r>
              <w:rPr>
                <w:rFonts w:ascii="宋体" w:hAnsi="宋体" w:eastAsia="宋体" w:cs="宋体"/>
                <w:sz w:val="18"/>
                <w:szCs w:val="18"/>
              </w:rPr>
              <w:t>2．提取一般风险准备</w:t>
            </w:r>
          </w:p>
        </w:tc>
        <w:tc>
          <w:tcPr>
            <w:tcW w:w="602" w:type="dxa"/>
            <w:tcBorders>
              <w:top w:val="single" w:color="auto" w:sz="2" w:space="0"/>
              <w:left w:val="single" w:color="auto" w:sz="2" w:space="0"/>
              <w:bottom w:val="single" w:color="auto" w:sz="2" w:space="0"/>
              <w:right w:val="single" w:color="auto" w:sz="2" w:space="0"/>
            </w:tcBorders>
            <w:vAlign w:val="center"/>
          </w:tcPr>
          <w:p w14:paraId="0344942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D4F8B7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E75711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7194EE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207519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C86F82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AF675B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880575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EDAF43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17D552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101D73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A97CBE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917C68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78EA3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75418AB">
            <w:pPr>
              <w:spacing w:line="240" w:lineRule="exact"/>
              <w:jc w:val="right"/>
              <w:rPr>
                <w:rFonts w:ascii="宋体" w:hAnsi="宋体" w:eastAsia="宋体" w:cs="宋体"/>
                <w:sz w:val="18"/>
                <w:szCs w:val="18"/>
              </w:rPr>
            </w:pPr>
          </w:p>
        </w:tc>
      </w:tr>
      <w:tr w14:paraId="3DA20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3871A481">
            <w:pPr>
              <w:spacing w:before="40" w:after="40" w:line="240" w:lineRule="exact"/>
              <w:rPr>
                <w:rFonts w:ascii="宋体" w:hAnsi="宋体" w:eastAsia="宋体" w:cs="宋体"/>
                <w:sz w:val="18"/>
                <w:szCs w:val="18"/>
              </w:rPr>
            </w:pPr>
            <w:r>
              <w:rPr>
                <w:rFonts w:ascii="宋体" w:hAnsi="宋体" w:eastAsia="宋体" w:cs="宋体"/>
                <w:sz w:val="18"/>
                <w:szCs w:val="18"/>
              </w:rPr>
              <w:t>3．对所有者（或股东）的分配</w:t>
            </w:r>
          </w:p>
        </w:tc>
        <w:tc>
          <w:tcPr>
            <w:tcW w:w="602" w:type="dxa"/>
            <w:tcBorders>
              <w:top w:val="single" w:color="auto" w:sz="2" w:space="0"/>
              <w:left w:val="single" w:color="auto" w:sz="2" w:space="0"/>
              <w:bottom w:val="single" w:color="auto" w:sz="2" w:space="0"/>
              <w:right w:val="single" w:color="auto" w:sz="2" w:space="0"/>
            </w:tcBorders>
            <w:vAlign w:val="center"/>
          </w:tcPr>
          <w:p w14:paraId="5360729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D5C1E1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24CC9C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382F21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EF3ADA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DE7BEC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905705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DEAF24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757541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26E124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415FB65">
            <w:pPr>
              <w:spacing w:line="240" w:lineRule="exact"/>
              <w:jc w:val="right"/>
              <w:rPr>
                <w:rFonts w:ascii="宋体" w:hAnsi="宋体" w:eastAsia="宋体" w:cs="宋体"/>
                <w:sz w:val="18"/>
                <w:szCs w:val="18"/>
              </w:rPr>
            </w:pPr>
            <w:r>
              <w:rPr>
                <w:rFonts w:ascii="宋体" w:hAnsi="宋体" w:eastAsia="宋体" w:cs="宋体"/>
                <w:sz w:val="18"/>
                <w:szCs w:val="18"/>
              </w:rPr>
              <w:t>-49,666,360.27</w:t>
            </w:r>
          </w:p>
        </w:tc>
        <w:tc>
          <w:tcPr>
            <w:tcW w:w="602" w:type="dxa"/>
            <w:tcBorders>
              <w:top w:val="single" w:color="auto" w:sz="2" w:space="0"/>
              <w:left w:val="single" w:color="auto" w:sz="2" w:space="0"/>
              <w:bottom w:val="single" w:color="auto" w:sz="2" w:space="0"/>
              <w:right w:val="single" w:color="auto" w:sz="2" w:space="0"/>
            </w:tcBorders>
            <w:vAlign w:val="center"/>
          </w:tcPr>
          <w:p w14:paraId="24B0F90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FAA3C27">
            <w:pPr>
              <w:spacing w:line="240" w:lineRule="exact"/>
              <w:jc w:val="right"/>
              <w:rPr>
                <w:rFonts w:ascii="宋体" w:hAnsi="宋体" w:eastAsia="宋体" w:cs="宋体"/>
                <w:sz w:val="18"/>
                <w:szCs w:val="18"/>
              </w:rPr>
            </w:pPr>
            <w:r>
              <w:rPr>
                <w:rFonts w:ascii="宋体" w:hAnsi="宋体" w:eastAsia="宋体" w:cs="宋体"/>
                <w:sz w:val="18"/>
                <w:szCs w:val="18"/>
              </w:rPr>
              <w:t>-49,666,360.27</w:t>
            </w:r>
          </w:p>
        </w:tc>
        <w:tc>
          <w:tcPr>
            <w:tcW w:w="602" w:type="dxa"/>
            <w:tcBorders>
              <w:top w:val="single" w:color="auto" w:sz="2" w:space="0"/>
              <w:left w:val="single" w:color="auto" w:sz="2" w:space="0"/>
              <w:bottom w:val="single" w:color="auto" w:sz="2" w:space="0"/>
              <w:right w:val="single" w:color="auto" w:sz="2" w:space="0"/>
            </w:tcBorders>
            <w:vAlign w:val="center"/>
          </w:tcPr>
          <w:p w14:paraId="230B60E6">
            <w:pPr>
              <w:spacing w:line="240" w:lineRule="exact"/>
              <w:jc w:val="right"/>
              <w:rPr>
                <w:rFonts w:ascii="宋体" w:hAnsi="宋体" w:eastAsia="宋体" w:cs="宋体"/>
                <w:sz w:val="18"/>
                <w:szCs w:val="18"/>
              </w:rPr>
            </w:pPr>
            <w:r>
              <w:rPr>
                <w:rFonts w:ascii="宋体" w:hAnsi="宋体" w:eastAsia="宋体" w:cs="宋体"/>
                <w:sz w:val="18"/>
                <w:szCs w:val="18"/>
              </w:rPr>
              <w:t>-13,514,651.45</w:t>
            </w:r>
          </w:p>
        </w:tc>
        <w:tc>
          <w:tcPr>
            <w:tcW w:w="602" w:type="dxa"/>
            <w:tcBorders>
              <w:top w:val="single" w:color="auto" w:sz="2" w:space="0"/>
              <w:left w:val="single" w:color="auto" w:sz="2" w:space="0"/>
              <w:bottom w:val="single" w:color="auto" w:sz="2" w:space="0"/>
              <w:right w:val="single" w:color="auto" w:sz="2" w:space="0"/>
            </w:tcBorders>
            <w:vAlign w:val="center"/>
          </w:tcPr>
          <w:p w14:paraId="32933E16">
            <w:pPr>
              <w:spacing w:line="240" w:lineRule="exact"/>
              <w:jc w:val="right"/>
              <w:rPr>
                <w:rFonts w:ascii="宋体" w:hAnsi="宋体" w:eastAsia="宋体" w:cs="宋体"/>
                <w:sz w:val="18"/>
                <w:szCs w:val="18"/>
              </w:rPr>
            </w:pPr>
            <w:r>
              <w:rPr>
                <w:rFonts w:ascii="宋体" w:hAnsi="宋体" w:eastAsia="宋体" w:cs="宋体"/>
                <w:sz w:val="18"/>
                <w:szCs w:val="18"/>
              </w:rPr>
              <w:t>-63,181,011.72</w:t>
            </w:r>
          </w:p>
        </w:tc>
      </w:tr>
      <w:tr w14:paraId="28088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5FF0CB69">
            <w:pPr>
              <w:spacing w:before="40" w:after="40" w:line="240" w:lineRule="exact"/>
              <w:rPr>
                <w:rFonts w:ascii="宋体" w:hAnsi="宋体" w:eastAsia="宋体" w:cs="宋体"/>
                <w:sz w:val="18"/>
                <w:szCs w:val="18"/>
              </w:rPr>
            </w:pPr>
            <w:r>
              <w:rPr>
                <w:rFonts w:ascii="宋体" w:hAnsi="宋体"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14:paraId="2269BF7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E05B9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1B046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6DFABA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FAC38C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188F34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8C13C4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BEADB2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61AE0A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F6D47C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B05604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03141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ECD02C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BCB501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37B5C45">
            <w:pPr>
              <w:spacing w:line="240" w:lineRule="exact"/>
              <w:jc w:val="right"/>
              <w:rPr>
                <w:rFonts w:ascii="宋体" w:hAnsi="宋体" w:eastAsia="宋体" w:cs="宋体"/>
                <w:sz w:val="18"/>
                <w:szCs w:val="18"/>
              </w:rPr>
            </w:pPr>
          </w:p>
        </w:tc>
      </w:tr>
      <w:tr w14:paraId="17812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35E9726F">
            <w:pPr>
              <w:spacing w:before="40" w:after="40" w:line="240" w:lineRule="exact"/>
              <w:rPr>
                <w:rFonts w:ascii="宋体" w:hAnsi="宋体" w:eastAsia="宋体" w:cs="宋体"/>
                <w:sz w:val="18"/>
                <w:szCs w:val="18"/>
              </w:rPr>
            </w:pPr>
            <w:r>
              <w:rPr>
                <w:rFonts w:ascii="宋体" w:hAnsi="宋体" w:eastAsia="宋体" w:cs="宋体"/>
                <w:sz w:val="18"/>
                <w:szCs w:val="18"/>
              </w:rPr>
              <w:t>（四）所有者权益内部结转</w:t>
            </w:r>
          </w:p>
        </w:tc>
        <w:tc>
          <w:tcPr>
            <w:tcW w:w="602" w:type="dxa"/>
            <w:tcBorders>
              <w:top w:val="single" w:color="auto" w:sz="2" w:space="0"/>
              <w:left w:val="single" w:color="auto" w:sz="2" w:space="0"/>
              <w:bottom w:val="single" w:color="auto" w:sz="2" w:space="0"/>
              <w:right w:val="single" w:color="auto" w:sz="2" w:space="0"/>
            </w:tcBorders>
            <w:vAlign w:val="center"/>
          </w:tcPr>
          <w:p w14:paraId="503B447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0F9C44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3ECC9F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1A2E40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56ACD6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3714B1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F2CAC2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38626C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32495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E86AEF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11D32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FB988E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46D31A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D7EC01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C05A77C">
            <w:pPr>
              <w:spacing w:line="240" w:lineRule="exact"/>
              <w:jc w:val="right"/>
              <w:rPr>
                <w:rFonts w:ascii="宋体" w:hAnsi="宋体" w:eastAsia="宋体" w:cs="宋体"/>
                <w:sz w:val="18"/>
                <w:szCs w:val="18"/>
              </w:rPr>
            </w:pPr>
          </w:p>
        </w:tc>
      </w:tr>
      <w:tr w14:paraId="6FDB2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6D6B5131">
            <w:pPr>
              <w:spacing w:before="40" w:after="40" w:line="240" w:lineRule="exact"/>
              <w:rPr>
                <w:rFonts w:ascii="宋体" w:hAnsi="宋体" w:eastAsia="宋体" w:cs="宋体"/>
                <w:sz w:val="18"/>
                <w:szCs w:val="18"/>
              </w:rPr>
            </w:pPr>
            <w:r>
              <w:rPr>
                <w:rFonts w:ascii="宋体" w:hAnsi="宋体" w:eastAsia="宋体" w:cs="宋体"/>
                <w:sz w:val="18"/>
                <w:szCs w:val="18"/>
              </w:rPr>
              <w:t>1．资本公积转增资本（或股本）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14:paraId="507AA17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6EA515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AA3C8F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6C290E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86E7F5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C2493F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4162B5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033C41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D87E44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3607E7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290A72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B02047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ECDB5D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BB089F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1CEED48">
            <w:pPr>
              <w:spacing w:line="240" w:lineRule="exact"/>
              <w:jc w:val="right"/>
              <w:rPr>
                <w:rFonts w:ascii="宋体" w:hAnsi="宋体" w:eastAsia="宋体" w:cs="宋体"/>
                <w:sz w:val="18"/>
                <w:szCs w:val="18"/>
              </w:rPr>
            </w:pPr>
          </w:p>
        </w:tc>
      </w:tr>
      <w:tr w14:paraId="477EF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6600410E">
            <w:pPr>
              <w:spacing w:before="40" w:after="40" w:line="240" w:lineRule="exact"/>
              <w:rPr>
                <w:rFonts w:ascii="宋体" w:hAnsi="宋体" w:eastAsia="宋体" w:cs="宋体"/>
                <w:sz w:val="18"/>
                <w:szCs w:val="18"/>
              </w:rPr>
            </w:pPr>
            <w:r>
              <w:rPr>
                <w:rFonts w:ascii="宋体" w:hAnsi="宋体" w:eastAsia="宋体" w:cs="宋体"/>
                <w:sz w:val="18"/>
                <w:szCs w:val="18"/>
              </w:rPr>
              <w:t>2．盈余公积转增资本（或股本）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14:paraId="7437DBD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D3BFD0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BB6FBE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D62406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190A4D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7315C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AE41E4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12C510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FA5900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2A8981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5104D7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406A97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CA0569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744010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D9EA484">
            <w:pPr>
              <w:spacing w:line="240" w:lineRule="exact"/>
              <w:jc w:val="right"/>
              <w:rPr>
                <w:rFonts w:ascii="宋体" w:hAnsi="宋体" w:eastAsia="宋体" w:cs="宋体"/>
                <w:sz w:val="18"/>
                <w:szCs w:val="18"/>
              </w:rPr>
            </w:pPr>
          </w:p>
        </w:tc>
      </w:tr>
      <w:tr w14:paraId="12707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3745E37D">
            <w:pPr>
              <w:spacing w:before="40" w:after="40" w:line="240" w:lineRule="exact"/>
              <w:rPr>
                <w:rFonts w:ascii="宋体" w:hAnsi="宋体" w:eastAsia="宋体" w:cs="宋体"/>
                <w:sz w:val="18"/>
                <w:szCs w:val="18"/>
              </w:rPr>
            </w:pPr>
            <w:r>
              <w:rPr>
                <w:rFonts w:ascii="宋体" w:hAnsi="宋体" w:eastAsia="宋体" w:cs="宋体"/>
                <w:sz w:val="18"/>
                <w:szCs w:val="18"/>
              </w:rPr>
              <w:t>3．盈余公积弥补亏损</w:t>
            </w:r>
          </w:p>
        </w:tc>
        <w:tc>
          <w:tcPr>
            <w:tcW w:w="602" w:type="dxa"/>
            <w:tcBorders>
              <w:top w:val="single" w:color="auto" w:sz="2" w:space="0"/>
              <w:left w:val="single" w:color="auto" w:sz="2" w:space="0"/>
              <w:bottom w:val="single" w:color="auto" w:sz="2" w:space="0"/>
              <w:right w:val="single" w:color="auto" w:sz="2" w:space="0"/>
            </w:tcBorders>
            <w:vAlign w:val="center"/>
          </w:tcPr>
          <w:p w14:paraId="40EEACC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103CA9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75F36B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EDF531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699D60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045926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5E5616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89660D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03B81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AF4AAE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E2D92B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8738F6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AB4645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61CAF9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CFD96A5">
            <w:pPr>
              <w:spacing w:line="240" w:lineRule="exact"/>
              <w:jc w:val="right"/>
              <w:rPr>
                <w:rFonts w:ascii="宋体" w:hAnsi="宋体" w:eastAsia="宋体" w:cs="宋体"/>
                <w:sz w:val="18"/>
                <w:szCs w:val="18"/>
              </w:rPr>
            </w:pPr>
          </w:p>
        </w:tc>
      </w:tr>
      <w:tr w14:paraId="3FFD6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3403EDE0">
            <w:pPr>
              <w:spacing w:before="40" w:after="40" w:line="240" w:lineRule="exact"/>
              <w:rPr>
                <w:rFonts w:ascii="宋体" w:hAnsi="宋体" w:eastAsia="宋体" w:cs="宋体"/>
                <w:sz w:val="18"/>
                <w:szCs w:val="18"/>
              </w:rPr>
            </w:pPr>
            <w:r>
              <w:rPr>
                <w:rFonts w:ascii="宋体" w:hAnsi="宋体" w:eastAsia="宋体" w:cs="宋体"/>
                <w:sz w:val="18"/>
                <w:szCs w:val="18"/>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vAlign w:val="center"/>
          </w:tcPr>
          <w:p w14:paraId="79DCACE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725116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0D834B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E6BE57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CB6ECA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3549F5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8BDFEF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73399F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DDFCFC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7CDFBD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62C469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CF3B35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4472EF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A497DD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50F8970">
            <w:pPr>
              <w:spacing w:line="240" w:lineRule="exact"/>
              <w:jc w:val="right"/>
              <w:rPr>
                <w:rFonts w:ascii="宋体" w:hAnsi="宋体" w:eastAsia="宋体" w:cs="宋体"/>
                <w:sz w:val="18"/>
                <w:szCs w:val="18"/>
              </w:rPr>
            </w:pPr>
          </w:p>
        </w:tc>
      </w:tr>
      <w:tr w14:paraId="4EEFD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1C63A1E">
            <w:pPr>
              <w:spacing w:before="40" w:after="40" w:line="240" w:lineRule="exact"/>
              <w:rPr>
                <w:rFonts w:ascii="宋体" w:hAnsi="宋体" w:eastAsia="宋体" w:cs="宋体"/>
                <w:sz w:val="18"/>
                <w:szCs w:val="18"/>
              </w:rPr>
            </w:pPr>
            <w:r>
              <w:rPr>
                <w:rFonts w:ascii="宋体" w:hAnsi="宋体" w:eastAsia="宋体" w:cs="宋体"/>
                <w:sz w:val="18"/>
                <w:szCs w:val="18"/>
              </w:rPr>
              <w:t>5．其他综合收益结转留存收益</w:t>
            </w:r>
          </w:p>
        </w:tc>
        <w:tc>
          <w:tcPr>
            <w:tcW w:w="602" w:type="dxa"/>
            <w:tcBorders>
              <w:top w:val="single" w:color="auto" w:sz="2" w:space="0"/>
              <w:left w:val="single" w:color="auto" w:sz="2" w:space="0"/>
              <w:bottom w:val="single" w:color="auto" w:sz="2" w:space="0"/>
              <w:right w:val="single" w:color="auto" w:sz="2" w:space="0"/>
            </w:tcBorders>
            <w:vAlign w:val="center"/>
          </w:tcPr>
          <w:p w14:paraId="341599C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D5EF7F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5B62C0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A36EF8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F7D0D5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0FA820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58DF5F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7100F0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0A6A14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287973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EB18E0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DA3BB8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AB13AE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C3E113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4C8F6C9">
            <w:pPr>
              <w:spacing w:line="240" w:lineRule="exact"/>
              <w:jc w:val="right"/>
              <w:rPr>
                <w:rFonts w:ascii="宋体" w:hAnsi="宋体" w:eastAsia="宋体" w:cs="宋体"/>
                <w:sz w:val="18"/>
                <w:szCs w:val="18"/>
              </w:rPr>
            </w:pPr>
          </w:p>
        </w:tc>
      </w:tr>
      <w:tr w14:paraId="20B1C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3063AEF6">
            <w:pPr>
              <w:spacing w:before="40" w:after="40" w:line="240" w:lineRule="exact"/>
              <w:rPr>
                <w:rFonts w:ascii="宋体" w:hAnsi="宋体" w:eastAsia="宋体" w:cs="宋体"/>
                <w:sz w:val="18"/>
                <w:szCs w:val="18"/>
              </w:rPr>
            </w:pPr>
            <w:r>
              <w:rPr>
                <w:rFonts w:ascii="宋体" w:hAnsi="宋体" w:eastAsia="宋体" w:cs="宋体"/>
                <w:sz w:val="18"/>
                <w:szCs w:val="18"/>
              </w:rPr>
              <w:t>6．其他</w:t>
            </w:r>
          </w:p>
        </w:tc>
        <w:tc>
          <w:tcPr>
            <w:tcW w:w="602" w:type="dxa"/>
            <w:tcBorders>
              <w:top w:val="single" w:color="auto" w:sz="2" w:space="0"/>
              <w:left w:val="single" w:color="auto" w:sz="2" w:space="0"/>
              <w:bottom w:val="single" w:color="auto" w:sz="2" w:space="0"/>
              <w:right w:val="single" w:color="auto" w:sz="2" w:space="0"/>
            </w:tcBorders>
            <w:vAlign w:val="center"/>
          </w:tcPr>
          <w:p w14:paraId="7A06A32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9E437C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1C4550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1C8ACF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45AFF88">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0B299B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19F1EE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69AFC7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F7E454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E35860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35D5B9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7DE334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066E5E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6D89C8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50B2218">
            <w:pPr>
              <w:spacing w:line="240" w:lineRule="exact"/>
              <w:jc w:val="right"/>
              <w:rPr>
                <w:rFonts w:ascii="宋体" w:hAnsi="宋体" w:eastAsia="宋体" w:cs="宋体"/>
                <w:sz w:val="18"/>
                <w:szCs w:val="18"/>
              </w:rPr>
            </w:pPr>
          </w:p>
        </w:tc>
      </w:tr>
      <w:tr w14:paraId="28C6A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2A386511">
            <w:pPr>
              <w:spacing w:before="40" w:after="40" w:line="240" w:lineRule="exact"/>
              <w:rPr>
                <w:rFonts w:ascii="宋体" w:hAnsi="宋体" w:eastAsia="宋体" w:cs="宋体"/>
                <w:sz w:val="18"/>
                <w:szCs w:val="18"/>
              </w:rPr>
            </w:pPr>
            <w:r>
              <w:rPr>
                <w:rFonts w:ascii="宋体" w:hAnsi="宋体" w:eastAsia="宋体" w:cs="宋体"/>
                <w:sz w:val="18"/>
                <w:szCs w:val="18"/>
              </w:rPr>
              <w:t>（五）专项储备</w:t>
            </w:r>
          </w:p>
        </w:tc>
        <w:tc>
          <w:tcPr>
            <w:tcW w:w="602" w:type="dxa"/>
            <w:tcBorders>
              <w:top w:val="single" w:color="auto" w:sz="2" w:space="0"/>
              <w:left w:val="single" w:color="auto" w:sz="2" w:space="0"/>
              <w:bottom w:val="single" w:color="auto" w:sz="2" w:space="0"/>
              <w:right w:val="single" w:color="auto" w:sz="2" w:space="0"/>
            </w:tcBorders>
            <w:vAlign w:val="center"/>
          </w:tcPr>
          <w:p w14:paraId="09ABFBE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B0B5B1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80539F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AF3992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D6D8A9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867920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68508B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FB6AA8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C8DB80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8887F8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88E322A">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8522A1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214E6C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8D113A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0EF4245">
            <w:pPr>
              <w:spacing w:line="240" w:lineRule="exact"/>
              <w:jc w:val="right"/>
              <w:rPr>
                <w:rFonts w:ascii="宋体" w:hAnsi="宋体" w:eastAsia="宋体" w:cs="宋体"/>
                <w:sz w:val="18"/>
                <w:szCs w:val="18"/>
              </w:rPr>
            </w:pPr>
          </w:p>
        </w:tc>
      </w:tr>
      <w:tr w14:paraId="5F5F1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4BB83151">
            <w:pPr>
              <w:spacing w:before="40" w:after="40" w:line="240" w:lineRule="exact"/>
              <w:rPr>
                <w:rFonts w:ascii="宋体" w:hAnsi="宋体" w:eastAsia="宋体" w:cs="宋体"/>
                <w:sz w:val="18"/>
                <w:szCs w:val="18"/>
              </w:rPr>
            </w:pPr>
            <w:r>
              <w:rPr>
                <w:rFonts w:ascii="宋体" w:hAnsi="宋体" w:eastAsia="宋体" w:cs="宋体"/>
                <w:sz w:val="18"/>
                <w:szCs w:val="18"/>
              </w:rPr>
              <w:t>1．本期提取</w:t>
            </w:r>
          </w:p>
        </w:tc>
        <w:tc>
          <w:tcPr>
            <w:tcW w:w="602" w:type="dxa"/>
            <w:tcBorders>
              <w:top w:val="single" w:color="auto" w:sz="2" w:space="0"/>
              <w:left w:val="single" w:color="auto" w:sz="2" w:space="0"/>
              <w:bottom w:val="single" w:color="auto" w:sz="2" w:space="0"/>
              <w:right w:val="single" w:color="auto" w:sz="2" w:space="0"/>
            </w:tcBorders>
            <w:vAlign w:val="center"/>
          </w:tcPr>
          <w:p w14:paraId="26F2D4D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465CCA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2ACE87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360C7D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B3C23D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D99FEA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5EA05A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7FACA9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67300E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8D102A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283514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62F1AD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DE85C0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16516E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14B451C">
            <w:pPr>
              <w:spacing w:line="240" w:lineRule="exact"/>
              <w:jc w:val="right"/>
              <w:rPr>
                <w:rFonts w:ascii="宋体" w:hAnsi="宋体" w:eastAsia="宋体" w:cs="宋体"/>
                <w:sz w:val="18"/>
                <w:szCs w:val="18"/>
              </w:rPr>
            </w:pPr>
          </w:p>
        </w:tc>
      </w:tr>
      <w:tr w14:paraId="53A45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01263D87">
            <w:pPr>
              <w:spacing w:before="40" w:after="40" w:line="240" w:lineRule="exact"/>
              <w:rPr>
                <w:rFonts w:ascii="宋体" w:hAnsi="宋体" w:eastAsia="宋体" w:cs="宋体"/>
                <w:sz w:val="18"/>
                <w:szCs w:val="18"/>
              </w:rPr>
            </w:pPr>
            <w:r>
              <w:rPr>
                <w:rFonts w:ascii="宋体" w:hAnsi="宋体" w:eastAsia="宋体" w:cs="宋体"/>
                <w:sz w:val="18"/>
                <w:szCs w:val="18"/>
              </w:rPr>
              <w:t>2．本期使用</w:t>
            </w:r>
          </w:p>
        </w:tc>
        <w:tc>
          <w:tcPr>
            <w:tcW w:w="602" w:type="dxa"/>
            <w:tcBorders>
              <w:top w:val="single" w:color="auto" w:sz="2" w:space="0"/>
              <w:left w:val="single" w:color="auto" w:sz="2" w:space="0"/>
              <w:bottom w:val="single" w:color="auto" w:sz="2" w:space="0"/>
              <w:right w:val="single" w:color="auto" w:sz="2" w:space="0"/>
            </w:tcBorders>
            <w:vAlign w:val="center"/>
          </w:tcPr>
          <w:p w14:paraId="06E9C98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43732C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5EA922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C5233F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927F54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B9B97D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83B209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1231D1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9E973A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D40F6B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31041E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315251E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F7493C0">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08B7115">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AB20A5F">
            <w:pPr>
              <w:spacing w:line="240" w:lineRule="exact"/>
              <w:jc w:val="right"/>
              <w:rPr>
                <w:rFonts w:ascii="宋体" w:hAnsi="宋体" w:eastAsia="宋体" w:cs="宋体"/>
                <w:sz w:val="18"/>
                <w:szCs w:val="18"/>
              </w:rPr>
            </w:pPr>
          </w:p>
        </w:tc>
      </w:tr>
      <w:tr w14:paraId="6C928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0137877A">
            <w:pPr>
              <w:spacing w:before="40" w:after="40" w:line="240" w:lineRule="exact"/>
              <w:rPr>
                <w:rFonts w:ascii="宋体" w:hAnsi="宋体" w:eastAsia="宋体" w:cs="宋体"/>
                <w:sz w:val="18"/>
                <w:szCs w:val="18"/>
              </w:rPr>
            </w:pPr>
            <w:r>
              <w:rPr>
                <w:rFonts w:ascii="宋体" w:hAnsi="宋体" w:eastAsia="宋体" w:cs="宋体"/>
                <w:sz w:val="18"/>
                <w:szCs w:val="18"/>
              </w:rPr>
              <w:t>（六）其他</w:t>
            </w:r>
          </w:p>
        </w:tc>
        <w:tc>
          <w:tcPr>
            <w:tcW w:w="602" w:type="dxa"/>
            <w:tcBorders>
              <w:top w:val="single" w:color="auto" w:sz="2" w:space="0"/>
              <w:left w:val="single" w:color="auto" w:sz="2" w:space="0"/>
              <w:bottom w:val="single" w:color="auto" w:sz="2" w:space="0"/>
              <w:right w:val="single" w:color="auto" w:sz="2" w:space="0"/>
            </w:tcBorders>
            <w:vAlign w:val="center"/>
          </w:tcPr>
          <w:p w14:paraId="4590D46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36EF317">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B0AD18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747885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15F256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2EDA164">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073A729">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E659C3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680EECE">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A19B68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7717F2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AA96B76">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07140B23">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70B24B41">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4AA264A">
            <w:pPr>
              <w:spacing w:line="240" w:lineRule="exact"/>
              <w:jc w:val="right"/>
              <w:rPr>
                <w:rFonts w:ascii="宋体" w:hAnsi="宋体" w:eastAsia="宋体" w:cs="宋体"/>
                <w:sz w:val="18"/>
                <w:szCs w:val="18"/>
              </w:rPr>
            </w:pPr>
          </w:p>
        </w:tc>
      </w:tr>
      <w:tr w14:paraId="3D1DA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14:paraId="12906BDA">
            <w:pPr>
              <w:spacing w:before="40" w:after="40" w:line="240" w:lineRule="exact"/>
              <w:rPr>
                <w:rFonts w:ascii="宋体" w:hAnsi="宋体" w:eastAsia="宋体" w:cs="宋体"/>
                <w:sz w:val="18"/>
                <w:szCs w:val="18"/>
              </w:rPr>
            </w:pPr>
            <w:r>
              <w:rPr>
                <w:rFonts w:ascii="宋体" w:hAnsi="宋体" w:eastAsia="宋体" w:cs="宋体"/>
                <w:sz w:val="18"/>
                <w:szCs w:val="18"/>
              </w:rPr>
              <w:t>四、本期期末余额</w:t>
            </w:r>
          </w:p>
        </w:tc>
        <w:tc>
          <w:tcPr>
            <w:tcW w:w="602" w:type="dxa"/>
            <w:tcBorders>
              <w:top w:val="single" w:color="auto" w:sz="2" w:space="0"/>
              <w:left w:val="single" w:color="auto" w:sz="2" w:space="0"/>
              <w:bottom w:val="single" w:color="auto" w:sz="2" w:space="0"/>
              <w:right w:val="single" w:color="auto" w:sz="2" w:space="0"/>
            </w:tcBorders>
            <w:vAlign w:val="center"/>
          </w:tcPr>
          <w:p w14:paraId="13FD27EA">
            <w:pPr>
              <w:spacing w:line="240" w:lineRule="exact"/>
              <w:jc w:val="right"/>
              <w:rPr>
                <w:rFonts w:ascii="宋体" w:hAnsi="宋体" w:eastAsia="宋体" w:cs="宋体"/>
                <w:sz w:val="18"/>
                <w:szCs w:val="18"/>
              </w:rPr>
            </w:pPr>
            <w:r>
              <w:rPr>
                <w:rFonts w:ascii="宋体" w:hAnsi="宋体" w:eastAsia="宋体" w:cs="宋体"/>
                <w:sz w:val="18"/>
                <w:szCs w:val="18"/>
              </w:rPr>
              <w:t>1,700,681,355.00</w:t>
            </w:r>
          </w:p>
        </w:tc>
        <w:tc>
          <w:tcPr>
            <w:tcW w:w="602" w:type="dxa"/>
            <w:tcBorders>
              <w:top w:val="single" w:color="auto" w:sz="2" w:space="0"/>
              <w:left w:val="single" w:color="auto" w:sz="2" w:space="0"/>
              <w:bottom w:val="single" w:color="auto" w:sz="2" w:space="0"/>
              <w:right w:val="single" w:color="auto" w:sz="2" w:space="0"/>
            </w:tcBorders>
            <w:vAlign w:val="center"/>
          </w:tcPr>
          <w:p w14:paraId="5C648B0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2D2116BC">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45D586B">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4F3C1161">
            <w:pPr>
              <w:spacing w:line="240" w:lineRule="exact"/>
              <w:jc w:val="right"/>
              <w:rPr>
                <w:rFonts w:ascii="宋体" w:hAnsi="宋体" w:eastAsia="宋体" w:cs="宋体"/>
                <w:sz w:val="18"/>
                <w:szCs w:val="18"/>
              </w:rPr>
            </w:pPr>
            <w:r>
              <w:rPr>
                <w:rFonts w:ascii="宋体" w:hAnsi="宋体" w:eastAsia="宋体" w:cs="宋体"/>
                <w:sz w:val="18"/>
                <w:szCs w:val="18"/>
              </w:rPr>
              <w:t>2,738,348,953.80</w:t>
            </w:r>
          </w:p>
        </w:tc>
        <w:tc>
          <w:tcPr>
            <w:tcW w:w="602" w:type="dxa"/>
            <w:tcBorders>
              <w:top w:val="single" w:color="auto" w:sz="2" w:space="0"/>
              <w:left w:val="single" w:color="auto" w:sz="2" w:space="0"/>
              <w:bottom w:val="single" w:color="auto" w:sz="2" w:space="0"/>
              <w:right w:val="single" w:color="auto" w:sz="2" w:space="0"/>
            </w:tcBorders>
            <w:vAlign w:val="center"/>
          </w:tcPr>
          <w:p w14:paraId="42246A82">
            <w:pPr>
              <w:spacing w:line="240" w:lineRule="exact"/>
              <w:jc w:val="right"/>
              <w:rPr>
                <w:rFonts w:ascii="宋体" w:hAnsi="宋体" w:eastAsia="宋体" w:cs="宋体"/>
                <w:sz w:val="18"/>
                <w:szCs w:val="18"/>
              </w:rPr>
            </w:pPr>
            <w:r>
              <w:rPr>
                <w:rFonts w:ascii="宋体" w:hAnsi="宋体" w:eastAsia="宋体" w:cs="宋体"/>
                <w:sz w:val="18"/>
                <w:szCs w:val="18"/>
              </w:rPr>
              <w:t>300,104,207.84</w:t>
            </w:r>
          </w:p>
        </w:tc>
        <w:tc>
          <w:tcPr>
            <w:tcW w:w="602" w:type="dxa"/>
            <w:tcBorders>
              <w:top w:val="single" w:color="auto" w:sz="2" w:space="0"/>
              <w:left w:val="single" w:color="auto" w:sz="2" w:space="0"/>
              <w:bottom w:val="single" w:color="auto" w:sz="2" w:space="0"/>
              <w:right w:val="single" w:color="auto" w:sz="2" w:space="0"/>
            </w:tcBorders>
            <w:vAlign w:val="center"/>
          </w:tcPr>
          <w:p w14:paraId="2E58F204">
            <w:pPr>
              <w:spacing w:line="240" w:lineRule="exact"/>
              <w:jc w:val="right"/>
              <w:rPr>
                <w:rFonts w:ascii="宋体" w:hAnsi="宋体" w:eastAsia="宋体" w:cs="宋体"/>
                <w:sz w:val="18"/>
                <w:szCs w:val="18"/>
              </w:rPr>
            </w:pPr>
            <w:r>
              <w:rPr>
                <w:rFonts w:ascii="宋体" w:hAnsi="宋体" w:eastAsia="宋体" w:cs="宋体"/>
                <w:sz w:val="18"/>
                <w:szCs w:val="18"/>
              </w:rPr>
              <w:t>-112,335,813.37</w:t>
            </w:r>
          </w:p>
        </w:tc>
        <w:tc>
          <w:tcPr>
            <w:tcW w:w="602" w:type="dxa"/>
            <w:tcBorders>
              <w:top w:val="single" w:color="auto" w:sz="2" w:space="0"/>
              <w:left w:val="single" w:color="auto" w:sz="2" w:space="0"/>
              <w:bottom w:val="single" w:color="auto" w:sz="2" w:space="0"/>
              <w:right w:val="single" w:color="auto" w:sz="2" w:space="0"/>
            </w:tcBorders>
            <w:vAlign w:val="center"/>
          </w:tcPr>
          <w:p w14:paraId="30063C6D">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57997712">
            <w:pPr>
              <w:spacing w:line="240" w:lineRule="exact"/>
              <w:jc w:val="right"/>
              <w:rPr>
                <w:rFonts w:ascii="宋体" w:hAnsi="宋体" w:eastAsia="宋体" w:cs="宋体"/>
                <w:sz w:val="18"/>
                <w:szCs w:val="18"/>
              </w:rPr>
            </w:pPr>
            <w:r>
              <w:rPr>
                <w:rFonts w:ascii="宋体" w:hAnsi="宋体" w:eastAsia="宋体" w:cs="宋体"/>
                <w:sz w:val="18"/>
                <w:szCs w:val="18"/>
              </w:rPr>
              <w:t>340,761,640.15</w:t>
            </w:r>
          </w:p>
        </w:tc>
        <w:tc>
          <w:tcPr>
            <w:tcW w:w="602" w:type="dxa"/>
            <w:tcBorders>
              <w:top w:val="single" w:color="auto" w:sz="2" w:space="0"/>
              <w:left w:val="single" w:color="auto" w:sz="2" w:space="0"/>
              <w:bottom w:val="single" w:color="auto" w:sz="2" w:space="0"/>
              <w:right w:val="single" w:color="auto" w:sz="2" w:space="0"/>
            </w:tcBorders>
            <w:vAlign w:val="center"/>
          </w:tcPr>
          <w:p w14:paraId="6AC23BBF">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135D86BC">
            <w:pPr>
              <w:spacing w:line="240" w:lineRule="exact"/>
              <w:jc w:val="right"/>
              <w:rPr>
                <w:rFonts w:ascii="宋体" w:hAnsi="宋体" w:eastAsia="宋体" w:cs="宋体"/>
                <w:sz w:val="18"/>
                <w:szCs w:val="18"/>
              </w:rPr>
            </w:pPr>
            <w:r>
              <w:rPr>
                <w:rFonts w:ascii="宋体" w:hAnsi="宋体" w:eastAsia="宋体" w:cs="宋体"/>
                <w:sz w:val="18"/>
                <w:szCs w:val="18"/>
              </w:rPr>
              <w:t>1,415,566,855.48</w:t>
            </w:r>
          </w:p>
        </w:tc>
        <w:tc>
          <w:tcPr>
            <w:tcW w:w="602" w:type="dxa"/>
            <w:tcBorders>
              <w:top w:val="single" w:color="auto" w:sz="2" w:space="0"/>
              <w:left w:val="single" w:color="auto" w:sz="2" w:space="0"/>
              <w:bottom w:val="single" w:color="auto" w:sz="2" w:space="0"/>
              <w:right w:val="single" w:color="auto" w:sz="2" w:space="0"/>
            </w:tcBorders>
            <w:vAlign w:val="center"/>
          </w:tcPr>
          <w:p w14:paraId="2D107582">
            <w:pPr>
              <w:spacing w:line="240" w:lineRule="exact"/>
              <w:jc w:val="right"/>
              <w:rPr>
                <w:rFonts w:ascii="宋体" w:hAnsi="宋体"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14:paraId="61575E72">
            <w:pPr>
              <w:spacing w:line="240" w:lineRule="exact"/>
              <w:jc w:val="right"/>
              <w:rPr>
                <w:rFonts w:ascii="宋体" w:hAnsi="宋体" w:eastAsia="宋体" w:cs="宋体"/>
                <w:sz w:val="18"/>
                <w:szCs w:val="18"/>
              </w:rPr>
            </w:pPr>
            <w:r>
              <w:rPr>
                <w:rFonts w:ascii="宋体" w:hAnsi="宋体" w:eastAsia="宋体" w:cs="宋体"/>
                <w:sz w:val="18"/>
                <w:szCs w:val="18"/>
              </w:rPr>
              <w:t>5,782,918,783.22</w:t>
            </w:r>
          </w:p>
        </w:tc>
        <w:tc>
          <w:tcPr>
            <w:tcW w:w="602" w:type="dxa"/>
            <w:tcBorders>
              <w:top w:val="single" w:color="auto" w:sz="2" w:space="0"/>
              <w:left w:val="single" w:color="auto" w:sz="2" w:space="0"/>
              <w:bottom w:val="single" w:color="auto" w:sz="2" w:space="0"/>
              <w:right w:val="single" w:color="auto" w:sz="2" w:space="0"/>
            </w:tcBorders>
            <w:vAlign w:val="center"/>
          </w:tcPr>
          <w:p w14:paraId="02309BF0">
            <w:pPr>
              <w:spacing w:line="240" w:lineRule="exact"/>
              <w:jc w:val="right"/>
              <w:rPr>
                <w:rFonts w:ascii="宋体" w:hAnsi="宋体" w:eastAsia="宋体" w:cs="宋体"/>
                <w:sz w:val="18"/>
                <w:szCs w:val="18"/>
              </w:rPr>
            </w:pPr>
            <w:r>
              <w:rPr>
                <w:rFonts w:ascii="宋体" w:hAnsi="宋体" w:eastAsia="宋体" w:cs="宋体"/>
                <w:sz w:val="18"/>
                <w:szCs w:val="18"/>
              </w:rPr>
              <w:t>291,121,567.71</w:t>
            </w:r>
          </w:p>
        </w:tc>
        <w:tc>
          <w:tcPr>
            <w:tcW w:w="602" w:type="dxa"/>
            <w:tcBorders>
              <w:top w:val="single" w:color="auto" w:sz="2" w:space="0"/>
              <w:left w:val="single" w:color="auto" w:sz="2" w:space="0"/>
              <w:bottom w:val="single" w:color="auto" w:sz="2" w:space="0"/>
              <w:right w:val="single" w:color="auto" w:sz="2" w:space="0"/>
            </w:tcBorders>
            <w:vAlign w:val="center"/>
          </w:tcPr>
          <w:p w14:paraId="24E4C247">
            <w:pPr>
              <w:spacing w:line="240" w:lineRule="exact"/>
              <w:jc w:val="right"/>
              <w:rPr>
                <w:rFonts w:ascii="宋体" w:hAnsi="宋体" w:eastAsia="宋体" w:cs="宋体"/>
                <w:sz w:val="18"/>
                <w:szCs w:val="18"/>
              </w:rPr>
            </w:pPr>
            <w:r>
              <w:rPr>
                <w:rFonts w:ascii="宋体" w:hAnsi="宋体" w:eastAsia="宋体" w:cs="宋体"/>
                <w:sz w:val="18"/>
                <w:szCs w:val="18"/>
              </w:rPr>
              <w:t>6,074,040,350.93</w:t>
            </w:r>
          </w:p>
        </w:tc>
      </w:tr>
    </w:tbl>
    <w:p w14:paraId="55B55B14">
      <w:pPr>
        <w:pStyle w:val="3"/>
        <w:spacing w:line="280" w:lineRule="exact"/>
        <w:jc w:val="left"/>
        <w:rPr>
          <w:rFonts w:ascii="宋体" w:hAnsi="宋体" w:cs="宋体"/>
          <w:b/>
          <w:bCs/>
        </w:rPr>
      </w:pPr>
      <w:bookmarkStart w:id="168" w:name="_Toc989054"/>
      <w:r>
        <w:rPr>
          <w:rFonts w:ascii="宋体" w:hAnsi="宋体" w:cs="宋体"/>
          <w:b/>
          <w:bCs/>
        </w:rPr>
        <w:t>8、母公司所有者权益变动表</w:t>
      </w:r>
      <w:bookmarkEnd w:id="168"/>
    </w:p>
    <w:p w14:paraId="252E6D82">
      <w:pPr>
        <w:spacing w:before="40" w:after="40" w:line="240" w:lineRule="exact"/>
        <w:rPr>
          <w:rFonts w:ascii="宋体" w:hAnsi="宋体" w:eastAsia="宋体" w:cs="宋体"/>
          <w:sz w:val="18"/>
          <w:szCs w:val="18"/>
        </w:rPr>
      </w:pPr>
      <w:r>
        <w:rPr>
          <w:rFonts w:ascii="宋体" w:hAnsi="宋体" w:eastAsia="宋体" w:cs="宋体"/>
          <w:sz w:val="18"/>
          <w:szCs w:val="18"/>
        </w:rPr>
        <w:t>本期金额</w:t>
      </w:r>
    </w:p>
    <w:p w14:paraId="13BBC607">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2"/>
        <w:gridCol w:w="741"/>
        <w:gridCol w:w="741"/>
        <w:gridCol w:w="741"/>
        <w:gridCol w:w="741"/>
        <w:gridCol w:w="741"/>
        <w:gridCol w:w="741"/>
        <w:gridCol w:w="741"/>
        <w:gridCol w:w="746"/>
      </w:tblGrid>
      <w:tr w14:paraId="58B94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DEF8E74">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14:paraId="001190E7">
            <w:pPr>
              <w:spacing w:before="40" w:after="40" w:line="240" w:lineRule="exact"/>
              <w:jc w:val="center"/>
              <w:rPr>
                <w:rFonts w:ascii="宋体" w:hAnsi="宋体" w:eastAsia="宋体" w:cs="宋体"/>
                <w:sz w:val="18"/>
                <w:szCs w:val="18"/>
              </w:rPr>
            </w:pPr>
            <w:r>
              <w:rPr>
                <w:rFonts w:ascii="宋体" w:hAnsi="宋体" w:eastAsia="宋体" w:cs="宋体"/>
                <w:sz w:val="18"/>
                <w:szCs w:val="18"/>
              </w:rPr>
              <w:t>2025年度</w:t>
            </w:r>
          </w:p>
        </w:tc>
      </w:tr>
      <w:tr w14:paraId="40548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65D404C"/>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40D19BD">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174A0635">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9B7C7F5">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0D9E9E5">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855816F">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F6AC608">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EED39F4">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EAB74F5">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20C98AE">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FDC5266">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14:paraId="759DE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63834B4"/>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ED61DE8"/>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9E58D6D">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032EF0C">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D6E89DA">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6853FC6"/>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2EBEECE"/>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9D0CEEB"/>
        </w:tc>
        <w:tc>
          <w:tcPr>
            <w:tcW w:w="741" w:type="dxa"/>
            <w:vMerge w:val="continue"/>
            <w:tcBorders>
              <w:top w:val="single" w:color="auto" w:sz="2" w:space="0"/>
              <w:left w:val="single" w:color="auto" w:sz="2" w:space="0"/>
              <w:bottom w:val="single" w:color="auto" w:sz="2" w:space="0"/>
              <w:right w:val="single" w:color="auto" w:sz="2" w:space="0"/>
            </w:tcBorders>
            <w:vAlign w:val="center"/>
          </w:tcPr>
          <w:p w14:paraId="74485A40"/>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3F8F222"/>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8A57B25"/>
        </w:tc>
        <w:tc>
          <w:tcPr>
            <w:tcW w:w="741" w:type="dxa"/>
            <w:vMerge w:val="continue"/>
            <w:tcBorders>
              <w:top w:val="single" w:color="auto" w:sz="2" w:space="0"/>
              <w:left w:val="single" w:color="auto" w:sz="2" w:space="0"/>
              <w:bottom w:val="single" w:color="auto" w:sz="2" w:space="0"/>
              <w:right w:val="single" w:color="auto" w:sz="2" w:space="0"/>
            </w:tcBorders>
            <w:vAlign w:val="center"/>
          </w:tcPr>
          <w:p w14:paraId="1230C247"/>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0389830"/>
        </w:tc>
      </w:tr>
      <w:tr w14:paraId="50197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FEE9F46">
            <w:pPr>
              <w:spacing w:before="40" w:after="40" w:line="240" w:lineRule="exact"/>
              <w:rPr>
                <w:rFonts w:ascii="宋体" w:hAnsi="宋体" w:eastAsia="宋体" w:cs="宋体"/>
                <w:sz w:val="18"/>
                <w:szCs w:val="18"/>
              </w:rPr>
            </w:pPr>
            <w:r>
              <w:rPr>
                <w:rFonts w:ascii="宋体" w:hAnsi="宋体" w:eastAsia="宋体" w:cs="宋体"/>
                <w:sz w:val="18"/>
                <w:szCs w:val="18"/>
              </w:rPr>
              <w:t>一、上年期末余额</w:t>
            </w:r>
          </w:p>
        </w:tc>
        <w:tc>
          <w:tcPr>
            <w:tcW w:w="741" w:type="dxa"/>
            <w:tcBorders>
              <w:top w:val="single" w:color="auto" w:sz="2" w:space="0"/>
              <w:left w:val="single" w:color="auto" w:sz="2" w:space="0"/>
              <w:bottom w:val="single" w:color="auto" w:sz="2" w:space="0"/>
              <w:right w:val="single" w:color="auto" w:sz="2" w:space="0"/>
            </w:tcBorders>
            <w:vAlign w:val="center"/>
          </w:tcPr>
          <w:p w14:paraId="4C7EEB22">
            <w:pPr>
              <w:spacing w:line="240" w:lineRule="exact"/>
              <w:jc w:val="right"/>
              <w:rPr>
                <w:rFonts w:ascii="宋体" w:hAnsi="宋体" w:eastAsia="宋体" w:cs="宋体"/>
                <w:sz w:val="18"/>
                <w:szCs w:val="18"/>
              </w:rPr>
            </w:pPr>
            <w:r>
              <w:rPr>
                <w:rFonts w:ascii="宋体" w:hAnsi="宋体" w:eastAsia="宋体" w:cs="宋体"/>
                <w:sz w:val="18"/>
                <w:szCs w:val="18"/>
              </w:rPr>
              <w:t>1,700,681,355.00</w:t>
            </w:r>
          </w:p>
        </w:tc>
        <w:tc>
          <w:tcPr>
            <w:tcW w:w="741" w:type="dxa"/>
            <w:tcBorders>
              <w:top w:val="single" w:color="auto" w:sz="2" w:space="0"/>
              <w:left w:val="single" w:color="auto" w:sz="2" w:space="0"/>
              <w:bottom w:val="single" w:color="auto" w:sz="2" w:space="0"/>
              <w:right w:val="single" w:color="auto" w:sz="2" w:space="0"/>
            </w:tcBorders>
            <w:vAlign w:val="center"/>
          </w:tcPr>
          <w:p w14:paraId="3ADDD46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412443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876785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0C74835">
            <w:pPr>
              <w:spacing w:line="240" w:lineRule="exact"/>
              <w:jc w:val="right"/>
              <w:rPr>
                <w:rFonts w:ascii="宋体" w:hAnsi="宋体" w:eastAsia="宋体" w:cs="宋体"/>
                <w:sz w:val="18"/>
                <w:szCs w:val="18"/>
              </w:rPr>
            </w:pPr>
            <w:r>
              <w:rPr>
                <w:rFonts w:ascii="宋体" w:hAnsi="宋体" w:eastAsia="宋体" w:cs="宋体"/>
                <w:sz w:val="18"/>
                <w:szCs w:val="18"/>
              </w:rPr>
              <w:t>3,106,930,758.15</w:t>
            </w:r>
          </w:p>
        </w:tc>
        <w:tc>
          <w:tcPr>
            <w:tcW w:w="741" w:type="dxa"/>
            <w:tcBorders>
              <w:top w:val="single" w:color="auto" w:sz="2" w:space="0"/>
              <w:left w:val="single" w:color="auto" w:sz="2" w:space="0"/>
              <w:bottom w:val="single" w:color="auto" w:sz="2" w:space="0"/>
              <w:right w:val="single" w:color="auto" w:sz="2" w:space="0"/>
            </w:tcBorders>
            <w:vAlign w:val="center"/>
          </w:tcPr>
          <w:p w14:paraId="3F3FE05D">
            <w:pPr>
              <w:spacing w:line="240" w:lineRule="exact"/>
              <w:jc w:val="right"/>
              <w:rPr>
                <w:rFonts w:ascii="宋体" w:hAnsi="宋体" w:eastAsia="宋体" w:cs="宋体"/>
                <w:sz w:val="18"/>
                <w:szCs w:val="18"/>
              </w:rPr>
            </w:pPr>
            <w:r>
              <w:rPr>
                <w:rFonts w:ascii="宋体" w:hAnsi="宋体" w:eastAsia="宋体" w:cs="宋体"/>
                <w:sz w:val="18"/>
                <w:szCs w:val="18"/>
              </w:rPr>
              <w:t>300,104,207.84</w:t>
            </w:r>
          </w:p>
        </w:tc>
        <w:tc>
          <w:tcPr>
            <w:tcW w:w="741" w:type="dxa"/>
            <w:tcBorders>
              <w:top w:val="single" w:color="auto" w:sz="2" w:space="0"/>
              <w:left w:val="single" w:color="auto" w:sz="2" w:space="0"/>
              <w:bottom w:val="single" w:color="auto" w:sz="2" w:space="0"/>
              <w:right w:val="single" w:color="auto" w:sz="2" w:space="0"/>
            </w:tcBorders>
            <w:vAlign w:val="center"/>
          </w:tcPr>
          <w:p w14:paraId="10005B7F">
            <w:pPr>
              <w:spacing w:line="240" w:lineRule="exact"/>
              <w:jc w:val="right"/>
              <w:rPr>
                <w:rFonts w:ascii="宋体" w:hAnsi="宋体" w:eastAsia="宋体" w:cs="宋体"/>
                <w:sz w:val="18"/>
                <w:szCs w:val="18"/>
              </w:rPr>
            </w:pPr>
            <w:r>
              <w:rPr>
                <w:rFonts w:ascii="宋体" w:hAnsi="宋体" w:eastAsia="宋体" w:cs="宋体"/>
                <w:sz w:val="18"/>
                <w:szCs w:val="18"/>
              </w:rPr>
              <w:t>33,830,744.58</w:t>
            </w:r>
          </w:p>
        </w:tc>
        <w:tc>
          <w:tcPr>
            <w:tcW w:w="741" w:type="dxa"/>
            <w:tcBorders>
              <w:top w:val="single" w:color="auto" w:sz="2" w:space="0"/>
              <w:left w:val="single" w:color="auto" w:sz="2" w:space="0"/>
              <w:bottom w:val="single" w:color="auto" w:sz="2" w:space="0"/>
              <w:right w:val="single" w:color="auto" w:sz="2" w:space="0"/>
            </w:tcBorders>
            <w:vAlign w:val="center"/>
          </w:tcPr>
          <w:p w14:paraId="3ABFBEE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41B6ED0">
            <w:pPr>
              <w:spacing w:line="240" w:lineRule="exact"/>
              <w:jc w:val="right"/>
              <w:rPr>
                <w:rFonts w:ascii="宋体" w:hAnsi="宋体" w:eastAsia="宋体" w:cs="宋体"/>
                <w:sz w:val="18"/>
                <w:szCs w:val="18"/>
              </w:rPr>
            </w:pPr>
            <w:r>
              <w:rPr>
                <w:rFonts w:ascii="宋体" w:hAnsi="宋体" w:eastAsia="宋体" w:cs="宋体"/>
                <w:sz w:val="18"/>
                <w:szCs w:val="18"/>
              </w:rPr>
              <w:t>309,166,201.62</w:t>
            </w:r>
          </w:p>
        </w:tc>
        <w:tc>
          <w:tcPr>
            <w:tcW w:w="741" w:type="dxa"/>
            <w:tcBorders>
              <w:top w:val="single" w:color="auto" w:sz="2" w:space="0"/>
              <w:left w:val="single" w:color="auto" w:sz="2" w:space="0"/>
              <w:bottom w:val="single" w:color="auto" w:sz="2" w:space="0"/>
              <w:right w:val="single" w:color="auto" w:sz="2" w:space="0"/>
            </w:tcBorders>
            <w:vAlign w:val="center"/>
          </w:tcPr>
          <w:p w14:paraId="2BBA23E0">
            <w:pPr>
              <w:spacing w:line="240" w:lineRule="exact"/>
              <w:jc w:val="right"/>
              <w:rPr>
                <w:rFonts w:ascii="宋体" w:hAnsi="宋体" w:eastAsia="宋体" w:cs="宋体"/>
                <w:sz w:val="18"/>
                <w:szCs w:val="18"/>
              </w:rPr>
            </w:pPr>
            <w:r>
              <w:rPr>
                <w:rFonts w:ascii="宋体" w:hAnsi="宋体" w:eastAsia="宋体" w:cs="宋体"/>
                <w:sz w:val="18"/>
                <w:szCs w:val="18"/>
              </w:rPr>
              <w:t>509,777,501.50</w:t>
            </w:r>
          </w:p>
        </w:tc>
        <w:tc>
          <w:tcPr>
            <w:tcW w:w="741" w:type="dxa"/>
            <w:tcBorders>
              <w:top w:val="single" w:color="auto" w:sz="2" w:space="0"/>
              <w:left w:val="single" w:color="auto" w:sz="2" w:space="0"/>
              <w:bottom w:val="single" w:color="auto" w:sz="2" w:space="0"/>
              <w:right w:val="single" w:color="auto" w:sz="2" w:space="0"/>
            </w:tcBorders>
            <w:vAlign w:val="center"/>
          </w:tcPr>
          <w:p w14:paraId="32A2707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C2A1D2B">
            <w:pPr>
              <w:spacing w:line="240" w:lineRule="exact"/>
              <w:jc w:val="right"/>
              <w:rPr>
                <w:rFonts w:ascii="宋体" w:hAnsi="宋体" w:eastAsia="宋体" w:cs="宋体"/>
                <w:sz w:val="18"/>
                <w:szCs w:val="18"/>
              </w:rPr>
            </w:pPr>
            <w:r>
              <w:rPr>
                <w:rFonts w:ascii="宋体" w:hAnsi="宋体" w:eastAsia="宋体" w:cs="宋体"/>
                <w:sz w:val="18"/>
                <w:szCs w:val="18"/>
              </w:rPr>
              <w:t>5,360,282,353.01</w:t>
            </w:r>
          </w:p>
        </w:tc>
      </w:tr>
      <w:tr w14:paraId="6B52C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FDF39D7">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加：会计政策变更</w:t>
            </w:r>
          </w:p>
        </w:tc>
        <w:tc>
          <w:tcPr>
            <w:tcW w:w="741" w:type="dxa"/>
            <w:tcBorders>
              <w:top w:val="single" w:color="auto" w:sz="2" w:space="0"/>
              <w:left w:val="single" w:color="auto" w:sz="2" w:space="0"/>
              <w:bottom w:val="single" w:color="auto" w:sz="2" w:space="0"/>
              <w:right w:val="single" w:color="auto" w:sz="2" w:space="0"/>
            </w:tcBorders>
            <w:vAlign w:val="center"/>
          </w:tcPr>
          <w:p w14:paraId="77706DB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71C6ED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3523A5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24BBE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1B2E4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15E911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9249E4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CE5B73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DCA081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8F560A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5DDA8B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754296B">
            <w:pPr>
              <w:spacing w:line="240" w:lineRule="exact"/>
              <w:jc w:val="right"/>
              <w:rPr>
                <w:rFonts w:ascii="宋体" w:hAnsi="宋体" w:eastAsia="宋体" w:cs="宋体"/>
                <w:sz w:val="18"/>
                <w:szCs w:val="18"/>
              </w:rPr>
            </w:pPr>
          </w:p>
        </w:tc>
      </w:tr>
      <w:tr w14:paraId="282E2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780F2C6">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前期差错更正</w:t>
            </w:r>
          </w:p>
        </w:tc>
        <w:tc>
          <w:tcPr>
            <w:tcW w:w="741" w:type="dxa"/>
            <w:tcBorders>
              <w:top w:val="single" w:color="auto" w:sz="2" w:space="0"/>
              <w:left w:val="single" w:color="auto" w:sz="2" w:space="0"/>
              <w:bottom w:val="single" w:color="auto" w:sz="2" w:space="0"/>
              <w:right w:val="single" w:color="auto" w:sz="2" w:space="0"/>
            </w:tcBorders>
            <w:vAlign w:val="center"/>
          </w:tcPr>
          <w:p w14:paraId="63FED97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362E4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88667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FD0D41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986CE0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C92D3E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DCBDA7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D36D3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5ECFF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674AD7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8A2A7E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69165B9">
            <w:pPr>
              <w:spacing w:line="240" w:lineRule="exact"/>
              <w:jc w:val="right"/>
              <w:rPr>
                <w:rFonts w:ascii="宋体" w:hAnsi="宋体" w:eastAsia="宋体" w:cs="宋体"/>
                <w:sz w:val="18"/>
                <w:szCs w:val="18"/>
              </w:rPr>
            </w:pPr>
          </w:p>
        </w:tc>
      </w:tr>
      <w:tr w14:paraId="07729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0FF2409">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其他</w:t>
            </w:r>
          </w:p>
        </w:tc>
        <w:tc>
          <w:tcPr>
            <w:tcW w:w="741" w:type="dxa"/>
            <w:tcBorders>
              <w:top w:val="single" w:color="auto" w:sz="2" w:space="0"/>
              <w:left w:val="single" w:color="auto" w:sz="2" w:space="0"/>
              <w:bottom w:val="single" w:color="auto" w:sz="2" w:space="0"/>
              <w:right w:val="single" w:color="auto" w:sz="2" w:space="0"/>
            </w:tcBorders>
            <w:vAlign w:val="center"/>
          </w:tcPr>
          <w:p w14:paraId="5B21039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C3813B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491B2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1A9215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D21D6B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3270C9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8D65B1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A715AA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3999EB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0AA393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04F6F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E236D4E">
            <w:pPr>
              <w:spacing w:line="240" w:lineRule="exact"/>
              <w:jc w:val="right"/>
              <w:rPr>
                <w:rFonts w:ascii="宋体" w:hAnsi="宋体" w:eastAsia="宋体" w:cs="宋体"/>
                <w:sz w:val="18"/>
                <w:szCs w:val="18"/>
              </w:rPr>
            </w:pPr>
          </w:p>
        </w:tc>
      </w:tr>
      <w:tr w14:paraId="76AE1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A237711">
            <w:pPr>
              <w:spacing w:before="40" w:after="40" w:line="240" w:lineRule="exact"/>
              <w:rPr>
                <w:rFonts w:ascii="宋体" w:hAnsi="宋体" w:eastAsia="宋体" w:cs="宋体"/>
                <w:sz w:val="18"/>
                <w:szCs w:val="18"/>
              </w:rPr>
            </w:pPr>
            <w:r>
              <w:rPr>
                <w:rFonts w:ascii="宋体" w:hAnsi="宋体" w:eastAsia="宋体" w:cs="宋体"/>
                <w:sz w:val="18"/>
                <w:szCs w:val="18"/>
              </w:rPr>
              <w:t>二、本年期初余额</w:t>
            </w:r>
          </w:p>
        </w:tc>
        <w:tc>
          <w:tcPr>
            <w:tcW w:w="741" w:type="dxa"/>
            <w:tcBorders>
              <w:top w:val="single" w:color="auto" w:sz="2" w:space="0"/>
              <w:left w:val="single" w:color="auto" w:sz="2" w:space="0"/>
              <w:bottom w:val="single" w:color="auto" w:sz="2" w:space="0"/>
              <w:right w:val="single" w:color="auto" w:sz="2" w:space="0"/>
            </w:tcBorders>
            <w:vAlign w:val="center"/>
          </w:tcPr>
          <w:p w14:paraId="540D94B3">
            <w:pPr>
              <w:spacing w:line="240" w:lineRule="exact"/>
              <w:jc w:val="right"/>
              <w:rPr>
                <w:rFonts w:ascii="宋体" w:hAnsi="宋体" w:eastAsia="宋体" w:cs="宋体"/>
                <w:sz w:val="18"/>
                <w:szCs w:val="18"/>
              </w:rPr>
            </w:pPr>
            <w:r>
              <w:rPr>
                <w:rFonts w:ascii="宋体" w:hAnsi="宋体" w:eastAsia="宋体" w:cs="宋体"/>
                <w:sz w:val="18"/>
                <w:szCs w:val="18"/>
              </w:rPr>
              <w:t>1,700,681,355.00</w:t>
            </w:r>
          </w:p>
        </w:tc>
        <w:tc>
          <w:tcPr>
            <w:tcW w:w="741" w:type="dxa"/>
            <w:tcBorders>
              <w:top w:val="single" w:color="auto" w:sz="2" w:space="0"/>
              <w:left w:val="single" w:color="auto" w:sz="2" w:space="0"/>
              <w:bottom w:val="single" w:color="auto" w:sz="2" w:space="0"/>
              <w:right w:val="single" w:color="auto" w:sz="2" w:space="0"/>
            </w:tcBorders>
            <w:vAlign w:val="center"/>
          </w:tcPr>
          <w:p w14:paraId="02CF158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443F3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634DF9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79EAE0B">
            <w:pPr>
              <w:spacing w:line="240" w:lineRule="exact"/>
              <w:jc w:val="right"/>
              <w:rPr>
                <w:rFonts w:ascii="宋体" w:hAnsi="宋体" w:eastAsia="宋体" w:cs="宋体"/>
                <w:sz w:val="18"/>
                <w:szCs w:val="18"/>
              </w:rPr>
            </w:pPr>
            <w:r>
              <w:rPr>
                <w:rFonts w:ascii="宋体" w:hAnsi="宋体" w:eastAsia="宋体" w:cs="宋体"/>
                <w:sz w:val="18"/>
                <w:szCs w:val="18"/>
              </w:rPr>
              <w:t>3,106,930,758.15</w:t>
            </w:r>
          </w:p>
        </w:tc>
        <w:tc>
          <w:tcPr>
            <w:tcW w:w="741" w:type="dxa"/>
            <w:tcBorders>
              <w:top w:val="single" w:color="auto" w:sz="2" w:space="0"/>
              <w:left w:val="single" w:color="auto" w:sz="2" w:space="0"/>
              <w:bottom w:val="single" w:color="auto" w:sz="2" w:space="0"/>
              <w:right w:val="single" w:color="auto" w:sz="2" w:space="0"/>
            </w:tcBorders>
            <w:vAlign w:val="center"/>
          </w:tcPr>
          <w:p w14:paraId="00A1D821">
            <w:pPr>
              <w:spacing w:line="240" w:lineRule="exact"/>
              <w:jc w:val="right"/>
              <w:rPr>
                <w:rFonts w:ascii="宋体" w:hAnsi="宋体" w:eastAsia="宋体" w:cs="宋体"/>
                <w:sz w:val="18"/>
                <w:szCs w:val="18"/>
              </w:rPr>
            </w:pPr>
            <w:r>
              <w:rPr>
                <w:rFonts w:ascii="宋体" w:hAnsi="宋体" w:eastAsia="宋体" w:cs="宋体"/>
                <w:sz w:val="18"/>
                <w:szCs w:val="18"/>
              </w:rPr>
              <w:t>300,104,207.84</w:t>
            </w:r>
          </w:p>
        </w:tc>
        <w:tc>
          <w:tcPr>
            <w:tcW w:w="741" w:type="dxa"/>
            <w:tcBorders>
              <w:top w:val="single" w:color="auto" w:sz="2" w:space="0"/>
              <w:left w:val="single" w:color="auto" w:sz="2" w:space="0"/>
              <w:bottom w:val="single" w:color="auto" w:sz="2" w:space="0"/>
              <w:right w:val="single" w:color="auto" w:sz="2" w:space="0"/>
            </w:tcBorders>
            <w:vAlign w:val="center"/>
          </w:tcPr>
          <w:p w14:paraId="4B0F5FA0">
            <w:pPr>
              <w:spacing w:line="240" w:lineRule="exact"/>
              <w:jc w:val="right"/>
              <w:rPr>
                <w:rFonts w:ascii="宋体" w:hAnsi="宋体" w:eastAsia="宋体" w:cs="宋体"/>
                <w:sz w:val="18"/>
                <w:szCs w:val="18"/>
              </w:rPr>
            </w:pPr>
            <w:r>
              <w:rPr>
                <w:rFonts w:ascii="宋体" w:hAnsi="宋体" w:eastAsia="宋体" w:cs="宋体"/>
                <w:sz w:val="18"/>
                <w:szCs w:val="18"/>
              </w:rPr>
              <w:t>33,830,744.58</w:t>
            </w:r>
          </w:p>
        </w:tc>
        <w:tc>
          <w:tcPr>
            <w:tcW w:w="741" w:type="dxa"/>
            <w:tcBorders>
              <w:top w:val="single" w:color="auto" w:sz="2" w:space="0"/>
              <w:left w:val="single" w:color="auto" w:sz="2" w:space="0"/>
              <w:bottom w:val="single" w:color="auto" w:sz="2" w:space="0"/>
              <w:right w:val="single" w:color="auto" w:sz="2" w:space="0"/>
            </w:tcBorders>
            <w:vAlign w:val="center"/>
          </w:tcPr>
          <w:p w14:paraId="3949986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3FF92A3">
            <w:pPr>
              <w:spacing w:line="240" w:lineRule="exact"/>
              <w:jc w:val="right"/>
              <w:rPr>
                <w:rFonts w:ascii="宋体" w:hAnsi="宋体" w:eastAsia="宋体" w:cs="宋体"/>
                <w:sz w:val="18"/>
                <w:szCs w:val="18"/>
              </w:rPr>
            </w:pPr>
            <w:r>
              <w:rPr>
                <w:rFonts w:ascii="宋体" w:hAnsi="宋体" w:eastAsia="宋体" w:cs="宋体"/>
                <w:sz w:val="18"/>
                <w:szCs w:val="18"/>
              </w:rPr>
              <w:t>309,166,201.62</w:t>
            </w:r>
          </w:p>
        </w:tc>
        <w:tc>
          <w:tcPr>
            <w:tcW w:w="741" w:type="dxa"/>
            <w:tcBorders>
              <w:top w:val="single" w:color="auto" w:sz="2" w:space="0"/>
              <w:left w:val="single" w:color="auto" w:sz="2" w:space="0"/>
              <w:bottom w:val="single" w:color="auto" w:sz="2" w:space="0"/>
              <w:right w:val="single" w:color="auto" w:sz="2" w:space="0"/>
            </w:tcBorders>
            <w:vAlign w:val="center"/>
          </w:tcPr>
          <w:p w14:paraId="4D19AABE">
            <w:pPr>
              <w:spacing w:line="240" w:lineRule="exact"/>
              <w:jc w:val="right"/>
              <w:rPr>
                <w:rFonts w:ascii="宋体" w:hAnsi="宋体" w:eastAsia="宋体" w:cs="宋体"/>
                <w:sz w:val="18"/>
                <w:szCs w:val="18"/>
              </w:rPr>
            </w:pPr>
            <w:r>
              <w:rPr>
                <w:rFonts w:ascii="宋体" w:hAnsi="宋体" w:eastAsia="宋体" w:cs="宋体"/>
                <w:sz w:val="18"/>
                <w:szCs w:val="18"/>
              </w:rPr>
              <w:t>509,777,501.50</w:t>
            </w:r>
          </w:p>
        </w:tc>
        <w:tc>
          <w:tcPr>
            <w:tcW w:w="741" w:type="dxa"/>
            <w:tcBorders>
              <w:top w:val="single" w:color="auto" w:sz="2" w:space="0"/>
              <w:left w:val="single" w:color="auto" w:sz="2" w:space="0"/>
              <w:bottom w:val="single" w:color="auto" w:sz="2" w:space="0"/>
              <w:right w:val="single" w:color="auto" w:sz="2" w:space="0"/>
            </w:tcBorders>
            <w:vAlign w:val="center"/>
          </w:tcPr>
          <w:p w14:paraId="22DA136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3C32A6F">
            <w:pPr>
              <w:spacing w:line="240" w:lineRule="exact"/>
              <w:jc w:val="right"/>
              <w:rPr>
                <w:rFonts w:ascii="宋体" w:hAnsi="宋体" w:eastAsia="宋体" w:cs="宋体"/>
                <w:sz w:val="18"/>
                <w:szCs w:val="18"/>
              </w:rPr>
            </w:pPr>
            <w:r>
              <w:rPr>
                <w:rFonts w:ascii="宋体" w:hAnsi="宋体" w:eastAsia="宋体" w:cs="宋体"/>
                <w:sz w:val="18"/>
                <w:szCs w:val="18"/>
              </w:rPr>
              <w:t>5,360,282,353.01</w:t>
            </w:r>
          </w:p>
        </w:tc>
      </w:tr>
      <w:tr w14:paraId="1A42D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A1631C5">
            <w:pPr>
              <w:spacing w:before="40" w:after="40" w:line="240" w:lineRule="exact"/>
              <w:rPr>
                <w:rFonts w:ascii="宋体" w:hAnsi="宋体" w:eastAsia="宋体" w:cs="宋体"/>
                <w:sz w:val="18"/>
                <w:szCs w:val="18"/>
              </w:rPr>
            </w:pPr>
            <w:r>
              <w:rPr>
                <w:rFonts w:ascii="宋体" w:hAnsi="宋体" w:eastAsia="宋体" w:cs="宋体"/>
                <w:sz w:val="18"/>
                <w:szCs w:val="18"/>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vAlign w:val="center"/>
          </w:tcPr>
          <w:p w14:paraId="7035278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B02CE2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A6CC82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A0EBA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0EF622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581AA2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A599A52">
            <w:pPr>
              <w:spacing w:line="240" w:lineRule="exact"/>
              <w:jc w:val="right"/>
              <w:rPr>
                <w:rFonts w:ascii="宋体" w:hAnsi="宋体" w:eastAsia="宋体" w:cs="宋体"/>
                <w:sz w:val="18"/>
                <w:szCs w:val="18"/>
              </w:rPr>
            </w:pPr>
            <w:r>
              <w:rPr>
                <w:rFonts w:ascii="宋体" w:hAnsi="宋体" w:eastAsia="宋体" w:cs="宋体"/>
                <w:sz w:val="18"/>
                <w:szCs w:val="18"/>
              </w:rPr>
              <w:t>13,066,683.32</w:t>
            </w:r>
          </w:p>
        </w:tc>
        <w:tc>
          <w:tcPr>
            <w:tcW w:w="741" w:type="dxa"/>
            <w:tcBorders>
              <w:top w:val="single" w:color="auto" w:sz="2" w:space="0"/>
              <w:left w:val="single" w:color="auto" w:sz="2" w:space="0"/>
              <w:bottom w:val="single" w:color="auto" w:sz="2" w:space="0"/>
              <w:right w:val="single" w:color="auto" w:sz="2" w:space="0"/>
            </w:tcBorders>
            <w:vAlign w:val="center"/>
          </w:tcPr>
          <w:p w14:paraId="1181CDD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BAABA40">
            <w:pPr>
              <w:spacing w:line="240" w:lineRule="exact"/>
              <w:jc w:val="right"/>
              <w:rPr>
                <w:rFonts w:ascii="宋体" w:hAnsi="宋体" w:eastAsia="宋体" w:cs="宋体"/>
                <w:sz w:val="18"/>
                <w:szCs w:val="18"/>
              </w:rPr>
            </w:pPr>
            <w:r>
              <w:rPr>
                <w:rFonts w:ascii="宋体" w:hAnsi="宋体" w:eastAsia="宋体" w:cs="宋体"/>
                <w:sz w:val="18"/>
                <w:szCs w:val="18"/>
              </w:rPr>
              <w:t>4,479,342.36</w:t>
            </w:r>
          </w:p>
        </w:tc>
        <w:tc>
          <w:tcPr>
            <w:tcW w:w="741" w:type="dxa"/>
            <w:tcBorders>
              <w:top w:val="single" w:color="auto" w:sz="2" w:space="0"/>
              <w:left w:val="single" w:color="auto" w:sz="2" w:space="0"/>
              <w:bottom w:val="single" w:color="auto" w:sz="2" w:space="0"/>
              <w:right w:val="single" w:color="auto" w:sz="2" w:space="0"/>
            </w:tcBorders>
            <w:vAlign w:val="center"/>
          </w:tcPr>
          <w:p w14:paraId="24DD012C">
            <w:pPr>
              <w:spacing w:line="240" w:lineRule="exact"/>
              <w:jc w:val="right"/>
              <w:rPr>
                <w:rFonts w:ascii="宋体" w:hAnsi="宋体" w:eastAsia="宋体" w:cs="宋体"/>
                <w:sz w:val="18"/>
                <w:szCs w:val="18"/>
              </w:rPr>
            </w:pPr>
            <w:r>
              <w:rPr>
                <w:rFonts w:ascii="宋体" w:hAnsi="宋体" w:eastAsia="宋体" w:cs="宋体"/>
                <w:sz w:val="18"/>
                <w:szCs w:val="18"/>
              </w:rPr>
              <w:t>40,314,081.20</w:t>
            </w:r>
          </w:p>
        </w:tc>
        <w:tc>
          <w:tcPr>
            <w:tcW w:w="741" w:type="dxa"/>
            <w:tcBorders>
              <w:top w:val="single" w:color="auto" w:sz="2" w:space="0"/>
              <w:left w:val="single" w:color="auto" w:sz="2" w:space="0"/>
              <w:bottom w:val="single" w:color="auto" w:sz="2" w:space="0"/>
              <w:right w:val="single" w:color="auto" w:sz="2" w:space="0"/>
            </w:tcBorders>
            <w:vAlign w:val="center"/>
          </w:tcPr>
          <w:p w14:paraId="73F9E7B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83E2A35">
            <w:pPr>
              <w:spacing w:line="240" w:lineRule="exact"/>
              <w:jc w:val="right"/>
              <w:rPr>
                <w:rFonts w:ascii="宋体" w:hAnsi="宋体" w:eastAsia="宋体" w:cs="宋体"/>
                <w:sz w:val="18"/>
                <w:szCs w:val="18"/>
              </w:rPr>
            </w:pPr>
            <w:r>
              <w:rPr>
                <w:rFonts w:ascii="宋体" w:hAnsi="宋体" w:eastAsia="宋体" w:cs="宋体"/>
                <w:sz w:val="18"/>
                <w:szCs w:val="18"/>
              </w:rPr>
              <w:t>57,860,106.88</w:t>
            </w:r>
          </w:p>
        </w:tc>
      </w:tr>
      <w:tr w14:paraId="71268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3A90914">
            <w:pPr>
              <w:spacing w:before="40" w:after="40" w:line="240" w:lineRule="exact"/>
              <w:rPr>
                <w:rFonts w:ascii="宋体" w:hAnsi="宋体" w:eastAsia="宋体" w:cs="宋体"/>
                <w:sz w:val="18"/>
                <w:szCs w:val="18"/>
              </w:rPr>
            </w:pPr>
            <w:r>
              <w:rPr>
                <w:rFonts w:ascii="宋体" w:hAnsi="宋体" w:eastAsia="宋体" w:cs="宋体"/>
                <w:sz w:val="18"/>
                <w:szCs w:val="18"/>
              </w:rPr>
              <w:t>（一）综合收益总额</w:t>
            </w:r>
          </w:p>
        </w:tc>
        <w:tc>
          <w:tcPr>
            <w:tcW w:w="741" w:type="dxa"/>
            <w:tcBorders>
              <w:top w:val="single" w:color="auto" w:sz="2" w:space="0"/>
              <w:left w:val="single" w:color="auto" w:sz="2" w:space="0"/>
              <w:bottom w:val="single" w:color="auto" w:sz="2" w:space="0"/>
              <w:right w:val="single" w:color="auto" w:sz="2" w:space="0"/>
            </w:tcBorders>
            <w:vAlign w:val="center"/>
          </w:tcPr>
          <w:p w14:paraId="746F736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ACA70B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3E2B06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4B3CCD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A90A9E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A150E1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B7508A2">
            <w:pPr>
              <w:spacing w:line="240" w:lineRule="exact"/>
              <w:jc w:val="right"/>
              <w:rPr>
                <w:rFonts w:ascii="宋体" w:hAnsi="宋体" w:eastAsia="宋体" w:cs="宋体"/>
                <w:sz w:val="18"/>
                <w:szCs w:val="18"/>
              </w:rPr>
            </w:pPr>
            <w:r>
              <w:rPr>
                <w:rFonts w:ascii="宋体" w:hAnsi="宋体" w:eastAsia="宋体" w:cs="宋体"/>
                <w:sz w:val="18"/>
                <w:szCs w:val="18"/>
              </w:rPr>
              <w:t>13,066,683.32</w:t>
            </w:r>
          </w:p>
        </w:tc>
        <w:tc>
          <w:tcPr>
            <w:tcW w:w="741" w:type="dxa"/>
            <w:tcBorders>
              <w:top w:val="single" w:color="auto" w:sz="2" w:space="0"/>
              <w:left w:val="single" w:color="auto" w:sz="2" w:space="0"/>
              <w:bottom w:val="single" w:color="auto" w:sz="2" w:space="0"/>
              <w:right w:val="single" w:color="auto" w:sz="2" w:space="0"/>
            </w:tcBorders>
            <w:vAlign w:val="center"/>
          </w:tcPr>
          <w:p w14:paraId="261B60E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EA8A6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0299499">
            <w:pPr>
              <w:spacing w:line="240" w:lineRule="exact"/>
              <w:jc w:val="right"/>
              <w:rPr>
                <w:rFonts w:ascii="宋体" w:hAnsi="宋体" w:eastAsia="宋体" w:cs="宋体"/>
                <w:sz w:val="18"/>
                <w:szCs w:val="18"/>
              </w:rPr>
            </w:pPr>
            <w:r>
              <w:rPr>
                <w:rFonts w:ascii="宋体" w:hAnsi="宋体" w:eastAsia="宋体" w:cs="宋体"/>
                <w:sz w:val="18"/>
                <w:szCs w:val="18"/>
              </w:rPr>
              <w:t>44,793,423.56</w:t>
            </w:r>
          </w:p>
        </w:tc>
        <w:tc>
          <w:tcPr>
            <w:tcW w:w="741" w:type="dxa"/>
            <w:tcBorders>
              <w:top w:val="single" w:color="auto" w:sz="2" w:space="0"/>
              <w:left w:val="single" w:color="auto" w:sz="2" w:space="0"/>
              <w:bottom w:val="single" w:color="auto" w:sz="2" w:space="0"/>
              <w:right w:val="single" w:color="auto" w:sz="2" w:space="0"/>
            </w:tcBorders>
            <w:vAlign w:val="center"/>
          </w:tcPr>
          <w:p w14:paraId="78C69DF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920C905">
            <w:pPr>
              <w:spacing w:line="240" w:lineRule="exact"/>
              <w:jc w:val="right"/>
              <w:rPr>
                <w:rFonts w:ascii="宋体" w:hAnsi="宋体" w:eastAsia="宋体" w:cs="宋体"/>
                <w:sz w:val="18"/>
                <w:szCs w:val="18"/>
              </w:rPr>
            </w:pPr>
            <w:r>
              <w:rPr>
                <w:rFonts w:ascii="宋体" w:hAnsi="宋体" w:eastAsia="宋体" w:cs="宋体"/>
                <w:sz w:val="18"/>
                <w:szCs w:val="18"/>
              </w:rPr>
              <w:t>57,860,106.88</w:t>
            </w:r>
          </w:p>
        </w:tc>
      </w:tr>
      <w:tr w14:paraId="7D8DB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D57520E">
            <w:pPr>
              <w:spacing w:before="40" w:after="40" w:line="240" w:lineRule="exact"/>
              <w:rPr>
                <w:rFonts w:ascii="宋体" w:hAnsi="宋体" w:eastAsia="宋体" w:cs="宋体"/>
                <w:sz w:val="18"/>
                <w:szCs w:val="18"/>
              </w:rPr>
            </w:pPr>
            <w:r>
              <w:rPr>
                <w:rFonts w:ascii="宋体" w:hAnsi="宋体" w:eastAsia="宋体" w:cs="宋体"/>
                <w:sz w:val="18"/>
                <w:szCs w:val="18"/>
              </w:rPr>
              <w:t>（二）所有者投入和减少资本</w:t>
            </w:r>
          </w:p>
        </w:tc>
        <w:tc>
          <w:tcPr>
            <w:tcW w:w="741" w:type="dxa"/>
            <w:tcBorders>
              <w:top w:val="single" w:color="auto" w:sz="2" w:space="0"/>
              <w:left w:val="single" w:color="auto" w:sz="2" w:space="0"/>
              <w:bottom w:val="single" w:color="auto" w:sz="2" w:space="0"/>
              <w:right w:val="single" w:color="auto" w:sz="2" w:space="0"/>
            </w:tcBorders>
            <w:vAlign w:val="center"/>
          </w:tcPr>
          <w:p w14:paraId="0A00CF0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829013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D9436E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1A5658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628B92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CB5BD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B38F71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D77783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04847A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D9F1A3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448C96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B745A8C">
            <w:pPr>
              <w:spacing w:line="240" w:lineRule="exact"/>
              <w:jc w:val="right"/>
              <w:rPr>
                <w:rFonts w:ascii="宋体" w:hAnsi="宋体" w:eastAsia="宋体" w:cs="宋体"/>
                <w:sz w:val="18"/>
                <w:szCs w:val="18"/>
              </w:rPr>
            </w:pPr>
          </w:p>
        </w:tc>
      </w:tr>
      <w:tr w14:paraId="759C8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7430808">
            <w:pPr>
              <w:spacing w:before="40" w:after="40" w:line="240" w:lineRule="exact"/>
              <w:rPr>
                <w:rFonts w:ascii="宋体" w:hAnsi="宋体" w:eastAsia="宋体" w:cs="宋体"/>
                <w:sz w:val="18"/>
                <w:szCs w:val="18"/>
              </w:rPr>
            </w:pPr>
            <w:r>
              <w:rPr>
                <w:rFonts w:ascii="宋体" w:hAnsi="宋体" w:eastAsia="宋体" w:cs="宋体"/>
                <w:sz w:val="18"/>
                <w:szCs w:val="18"/>
              </w:rPr>
              <w:t>1．所有者投入的普通股</w:t>
            </w:r>
          </w:p>
        </w:tc>
        <w:tc>
          <w:tcPr>
            <w:tcW w:w="741" w:type="dxa"/>
            <w:tcBorders>
              <w:top w:val="single" w:color="auto" w:sz="2" w:space="0"/>
              <w:left w:val="single" w:color="auto" w:sz="2" w:space="0"/>
              <w:bottom w:val="single" w:color="auto" w:sz="2" w:space="0"/>
              <w:right w:val="single" w:color="auto" w:sz="2" w:space="0"/>
            </w:tcBorders>
            <w:vAlign w:val="center"/>
          </w:tcPr>
          <w:p w14:paraId="4B52401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C9A38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F21738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9BC8A8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706529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939902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BB5B2E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814351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23C7C1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A8E0FC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D43340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CCD3AAE">
            <w:pPr>
              <w:spacing w:line="240" w:lineRule="exact"/>
              <w:jc w:val="right"/>
              <w:rPr>
                <w:rFonts w:ascii="宋体" w:hAnsi="宋体" w:eastAsia="宋体" w:cs="宋体"/>
                <w:sz w:val="18"/>
                <w:szCs w:val="18"/>
              </w:rPr>
            </w:pPr>
          </w:p>
        </w:tc>
      </w:tr>
      <w:tr w14:paraId="6F2AC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6AAABA1">
            <w:pPr>
              <w:spacing w:before="40" w:after="40" w:line="240" w:lineRule="exact"/>
              <w:rPr>
                <w:rFonts w:ascii="宋体" w:hAnsi="宋体" w:eastAsia="宋体" w:cs="宋体"/>
                <w:sz w:val="18"/>
                <w:szCs w:val="18"/>
              </w:rPr>
            </w:pPr>
            <w:r>
              <w:rPr>
                <w:rFonts w:ascii="宋体" w:hAnsi="宋体" w:eastAsia="宋体" w:cs="宋体"/>
                <w:sz w:val="18"/>
                <w:szCs w:val="18"/>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vAlign w:val="center"/>
          </w:tcPr>
          <w:p w14:paraId="26409A9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51CC28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EE93E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D28626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58E529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0C6F30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945389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C5E3F1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E4B6B9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0F843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5A9AAE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6E20605">
            <w:pPr>
              <w:spacing w:line="240" w:lineRule="exact"/>
              <w:jc w:val="right"/>
              <w:rPr>
                <w:rFonts w:ascii="宋体" w:hAnsi="宋体" w:eastAsia="宋体" w:cs="宋体"/>
                <w:sz w:val="18"/>
                <w:szCs w:val="18"/>
              </w:rPr>
            </w:pPr>
          </w:p>
        </w:tc>
      </w:tr>
      <w:tr w14:paraId="0CA11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EA2ADD8">
            <w:pPr>
              <w:spacing w:before="40" w:after="40" w:line="240" w:lineRule="exact"/>
              <w:rPr>
                <w:rFonts w:ascii="宋体" w:hAnsi="宋体" w:eastAsia="宋体" w:cs="宋体"/>
                <w:sz w:val="18"/>
                <w:szCs w:val="18"/>
              </w:rPr>
            </w:pPr>
            <w:r>
              <w:rPr>
                <w:rFonts w:ascii="宋体" w:hAnsi="宋体" w:eastAsia="宋体" w:cs="宋体"/>
                <w:sz w:val="18"/>
                <w:szCs w:val="18"/>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vAlign w:val="center"/>
          </w:tcPr>
          <w:p w14:paraId="11C8EC2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8A24A0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4E712C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048AE7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165A4F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0160CA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AC6BCA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BED3B7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394ACB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29D838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E4A25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504D7AE">
            <w:pPr>
              <w:spacing w:line="240" w:lineRule="exact"/>
              <w:jc w:val="right"/>
              <w:rPr>
                <w:rFonts w:ascii="宋体" w:hAnsi="宋体" w:eastAsia="宋体" w:cs="宋体"/>
                <w:sz w:val="18"/>
                <w:szCs w:val="18"/>
              </w:rPr>
            </w:pPr>
          </w:p>
        </w:tc>
      </w:tr>
      <w:tr w14:paraId="00ADD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CEA5BD6">
            <w:pPr>
              <w:spacing w:before="40" w:after="40" w:line="240" w:lineRule="exact"/>
              <w:rPr>
                <w:rFonts w:ascii="宋体" w:hAnsi="宋体" w:eastAsia="宋体" w:cs="宋体"/>
                <w:sz w:val="18"/>
                <w:szCs w:val="18"/>
              </w:rPr>
            </w:pPr>
            <w:r>
              <w:rPr>
                <w:rFonts w:ascii="宋体" w:hAnsi="宋体" w:eastAsia="宋体" w:cs="宋体"/>
                <w:sz w:val="18"/>
                <w:szCs w:val="18"/>
              </w:rPr>
              <w:t>4．其他</w:t>
            </w:r>
          </w:p>
        </w:tc>
        <w:tc>
          <w:tcPr>
            <w:tcW w:w="741" w:type="dxa"/>
            <w:tcBorders>
              <w:top w:val="single" w:color="auto" w:sz="2" w:space="0"/>
              <w:left w:val="single" w:color="auto" w:sz="2" w:space="0"/>
              <w:bottom w:val="single" w:color="auto" w:sz="2" w:space="0"/>
              <w:right w:val="single" w:color="auto" w:sz="2" w:space="0"/>
            </w:tcBorders>
            <w:vAlign w:val="center"/>
          </w:tcPr>
          <w:p w14:paraId="711D0B1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BE37CC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2F0172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768724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6CD619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BFB03B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833534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70EF06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F47E19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CC70BF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4454D9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E8C44C6">
            <w:pPr>
              <w:spacing w:line="240" w:lineRule="exact"/>
              <w:jc w:val="right"/>
              <w:rPr>
                <w:rFonts w:ascii="宋体" w:hAnsi="宋体" w:eastAsia="宋体" w:cs="宋体"/>
                <w:sz w:val="18"/>
                <w:szCs w:val="18"/>
              </w:rPr>
            </w:pPr>
          </w:p>
        </w:tc>
      </w:tr>
      <w:tr w14:paraId="39D75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38CB494">
            <w:pPr>
              <w:spacing w:before="40" w:after="40" w:line="240" w:lineRule="exact"/>
              <w:rPr>
                <w:rFonts w:ascii="宋体" w:hAnsi="宋体" w:eastAsia="宋体" w:cs="宋体"/>
                <w:sz w:val="18"/>
                <w:szCs w:val="18"/>
              </w:rPr>
            </w:pPr>
            <w:r>
              <w:rPr>
                <w:rFonts w:ascii="宋体" w:hAnsi="宋体" w:eastAsia="宋体" w:cs="宋体"/>
                <w:sz w:val="18"/>
                <w:szCs w:val="18"/>
              </w:rPr>
              <w:t>（三）利润分配</w:t>
            </w:r>
          </w:p>
        </w:tc>
        <w:tc>
          <w:tcPr>
            <w:tcW w:w="741" w:type="dxa"/>
            <w:tcBorders>
              <w:top w:val="single" w:color="auto" w:sz="2" w:space="0"/>
              <w:left w:val="single" w:color="auto" w:sz="2" w:space="0"/>
              <w:bottom w:val="single" w:color="auto" w:sz="2" w:space="0"/>
              <w:right w:val="single" w:color="auto" w:sz="2" w:space="0"/>
            </w:tcBorders>
            <w:vAlign w:val="center"/>
          </w:tcPr>
          <w:p w14:paraId="4B342B8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DE2BD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F3863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8D8516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8CFD57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39C399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6B6B7F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8355AA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9070D03">
            <w:pPr>
              <w:spacing w:line="240" w:lineRule="exact"/>
              <w:jc w:val="right"/>
              <w:rPr>
                <w:rFonts w:ascii="宋体" w:hAnsi="宋体" w:eastAsia="宋体" w:cs="宋体"/>
                <w:sz w:val="18"/>
                <w:szCs w:val="18"/>
              </w:rPr>
            </w:pPr>
            <w:r>
              <w:rPr>
                <w:rFonts w:ascii="宋体" w:hAnsi="宋体" w:eastAsia="宋体" w:cs="宋体"/>
                <w:sz w:val="18"/>
                <w:szCs w:val="18"/>
              </w:rPr>
              <w:t>4,479,342.36</w:t>
            </w:r>
          </w:p>
        </w:tc>
        <w:tc>
          <w:tcPr>
            <w:tcW w:w="741" w:type="dxa"/>
            <w:tcBorders>
              <w:top w:val="single" w:color="auto" w:sz="2" w:space="0"/>
              <w:left w:val="single" w:color="auto" w:sz="2" w:space="0"/>
              <w:bottom w:val="single" w:color="auto" w:sz="2" w:space="0"/>
              <w:right w:val="single" w:color="auto" w:sz="2" w:space="0"/>
            </w:tcBorders>
            <w:vAlign w:val="center"/>
          </w:tcPr>
          <w:p w14:paraId="0B6C54D0">
            <w:pPr>
              <w:spacing w:line="240" w:lineRule="exact"/>
              <w:jc w:val="right"/>
              <w:rPr>
                <w:rFonts w:ascii="宋体" w:hAnsi="宋体" w:eastAsia="宋体" w:cs="宋体"/>
                <w:sz w:val="18"/>
                <w:szCs w:val="18"/>
              </w:rPr>
            </w:pPr>
            <w:r>
              <w:rPr>
                <w:rFonts w:ascii="宋体" w:hAnsi="宋体" w:eastAsia="宋体" w:cs="宋体"/>
                <w:sz w:val="18"/>
                <w:szCs w:val="18"/>
              </w:rPr>
              <w:t>-4,479,342.36</w:t>
            </w:r>
          </w:p>
        </w:tc>
        <w:tc>
          <w:tcPr>
            <w:tcW w:w="741" w:type="dxa"/>
            <w:tcBorders>
              <w:top w:val="single" w:color="auto" w:sz="2" w:space="0"/>
              <w:left w:val="single" w:color="auto" w:sz="2" w:space="0"/>
              <w:bottom w:val="single" w:color="auto" w:sz="2" w:space="0"/>
              <w:right w:val="single" w:color="auto" w:sz="2" w:space="0"/>
            </w:tcBorders>
            <w:vAlign w:val="center"/>
          </w:tcPr>
          <w:p w14:paraId="2B535E8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E529ECD">
            <w:pPr>
              <w:spacing w:line="240" w:lineRule="exact"/>
              <w:jc w:val="right"/>
              <w:rPr>
                <w:rFonts w:ascii="宋体" w:hAnsi="宋体" w:eastAsia="宋体" w:cs="宋体"/>
                <w:sz w:val="18"/>
                <w:szCs w:val="18"/>
              </w:rPr>
            </w:pPr>
          </w:p>
        </w:tc>
      </w:tr>
      <w:tr w14:paraId="67A1E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DAD11D4">
            <w:pPr>
              <w:spacing w:before="40" w:after="40" w:line="240" w:lineRule="exact"/>
              <w:rPr>
                <w:rFonts w:ascii="宋体" w:hAnsi="宋体" w:eastAsia="宋体" w:cs="宋体"/>
                <w:sz w:val="18"/>
                <w:szCs w:val="18"/>
              </w:rPr>
            </w:pPr>
            <w:r>
              <w:rPr>
                <w:rFonts w:ascii="宋体" w:hAnsi="宋体" w:eastAsia="宋体" w:cs="宋体"/>
                <w:sz w:val="18"/>
                <w:szCs w:val="18"/>
              </w:rPr>
              <w:t>1．提取盈余公积</w:t>
            </w:r>
          </w:p>
        </w:tc>
        <w:tc>
          <w:tcPr>
            <w:tcW w:w="741" w:type="dxa"/>
            <w:tcBorders>
              <w:top w:val="single" w:color="auto" w:sz="2" w:space="0"/>
              <w:left w:val="single" w:color="auto" w:sz="2" w:space="0"/>
              <w:bottom w:val="single" w:color="auto" w:sz="2" w:space="0"/>
              <w:right w:val="single" w:color="auto" w:sz="2" w:space="0"/>
            </w:tcBorders>
            <w:vAlign w:val="center"/>
          </w:tcPr>
          <w:p w14:paraId="0241A94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82FE9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0B3051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EE285B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BFFB02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09CB17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3AE22A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E75EFD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0413A7B">
            <w:pPr>
              <w:spacing w:line="240" w:lineRule="exact"/>
              <w:jc w:val="right"/>
              <w:rPr>
                <w:rFonts w:ascii="宋体" w:hAnsi="宋体" w:eastAsia="宋体" w:cs="宋体"/>
                <w:sz w:val="18"/>
                <w:szCs w:val="18"/>
              </w:rPr>
            </w:pPr>
            <w:r>
              <w:rPr>
                <w:rFonts w:ascii="宋体" w:hAnsi="宋体" w:eastAsia="宋体" w:cs="宋体"/>
                <w:sz w:val="18"/>
                <w:szCs w:val="18"/>
              </w:rPr>
              <w:t>4,479,342.36</w:t>
            </w:r>
          </w:p>
        </w:tc>
        <w:tc>
          <w:tcPr>
            <w:tcW w:w="741" w:type="dxa"/>
            <w:tcBorders>
              <w:top w:val="single" w:color="auto" w:sz="2" w:space="0"/>
              <w:left w:val="single" w:color="auto" w:sz="2" w:space="0"/>
              <w:bottom w:val="single" w:color="auto" w:sz="2" w:space="0"/>
              <w:right w:val="single" w:color="auto" w:sz="2" w:space="0"/>
            </w:tcBorders>
            <w:vAlign w:val="center"/>
          </w:tcPr>
          <w:p w14:paraId="564ED76C">
            <w:pPr>
              <w:spacing w:line="240" w:lineRule="exact"/>
              <w:jc w:val="right"/>
              <w:rPr>
                <w:rFonts w:ascii="宋体" w:hAnsi="宋体" w:eastAsia="宋体" w:cs="宋体"/>
                <w:sz w:val="18"/>
                <w:szCs w:val="18"/>
              </w:rPr>
            </w:pPr>
            <w:r>
              <w:rPr>
                <w:rFonts w:ascii="宋体" w:hAnsi="宋体" w:eastAsia="宋体" w:cs="宋体"/>
                <w:sz w:val="18"/>
                <w:szCs w:val="18"/>
              </w:rPr>
              <w:t>-4,479,342.36</w:t>
            </w:r>
          </w:p>
        </w:tc>
        <w:tc>
          <w:tcPr>
            <w:tcW w:w="741" w:type="dxa"/>
            <w:tcBorders>
              <w:top w:val="single" w:color="auto" w:sz="2" w:space="0"/>
              <w:left w:val="single" w:color="auto" w:sz="2" w:space="0"/>
              <w:bottom w:val="single" w:color="auto" w:sz="2" w:space="0"/>
              <w:right w:val="single" w:color="auto" w:sz="2" w:space="0"/>
            </w:tcBorders>
            <w:vAlign w:val="center"/>
          </w:tcPr>
          <w:p w14:paraId="4F5E69F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4629292">
            <w:pPr>
              <w:spacing w:line="240" w:lineRule="exact"/>
              <w:jc w:val="right"/>
              <w:rPr>
                <w:rFonts w:ascii="宋体" w:hAnsi="宋体" w:eastAsia="宋体" w:cs="宋体"/>
                <w:sz w:val="18"/>
                <w:szCs w:val="18"/>
              </w:rPr>
            </w:pPr>
          </w:p>
        </w:tc>
      </w:tr>
      <w:tr w14:paraId="2F83D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BA7302F">
            <w:pPr>
              <w:spacing w:before="40" w:after="40" w:line="240" w:lineRule="exact"/>
              <w:rPr>
                <w:rFonts w:ascii="宋体" w:hAnsi="宋体" w:eastAsia="宋体" w:cs="宋体"/>
                <w:sz w:val="18"/>
                <w:szCs w:val="18"/>
              </w:rPr>
            </w:pPr>
            <w:r>
              <w:rPr>
                <w:rFonts w:ascii="宋体" w:hAnsi="宋体" w:eastAsia="宋体" w:cs="宋体"/>
                <w:sz w:val="18"/>
                <w:szCs w:val="18"/>
              </w:rPr>
              <w:t>2．对所有者（或股东）的分配</w:t>
            </w:r>
          </w:p>
        </w:tc>
        <w:tc>
          <w:tcPr>
            <w:tcW w:w="741" w:type="dxa"/>
            <w:tcBorders>
              <w:top w:val="single" w:color="auto" w:sz="2" w:space="0"/>
              <w:left w:val="single" w:color="auto" w:sz="2" w:space="0"/>
              <w:bottom w:val="single" w:color="auto" w:sz="2" w:space="0"/>
              <w:right w:val="single" w:color="auto" w:sz="2" w:space="0"/>
            </w:tcBorders>
            <w:vAlign w:val="center"/>
          </w:tcPr>
          <w:p w14:paraId="1D76DEE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C58BEF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A112A7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BF0CCA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0CE27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FFEB01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FFF8EE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9C538F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166528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36C90A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AB76FB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68F1D3E">
            <w:pPr>
              <w:spacing w:line="240" w:lineRule="exact"/>
              <w:jc w:val="right"/>
              <w:rPr>
                <w:rFonts w:ascii="宋体" w:hAnsi="宋体" w:eastAsia="宋体" w:cs="宋体"/>
                <w:sz w:val="18"/>
                <w:szCs w:val="18"/>
              </w:rPr>
            </w:pPr>
          </w:p>
        </w:tc>
      </w:tr>
      <w:tr w14:paraId="3212E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44BC421">
            <w:pPr>
              <w:spacing w:before="40" w:after="40" w:line="240" w:lineRule="exact"/>
              <w:rPr>
                <w:rFonts w:ascii="宋体" w:hAnsi="宋体" w:eastAsia="宋体" w:cs="宋体"/>
                <w:sz w:val="18"/>
                <w:szCs w:val="18"/>
              </w:rPr>
            </w:pPr>
            <w:r>
              <w:rPr>
                <w:rFonts w:ascii="宋体" w:hAnsi="宋体" w:eastAsia="宋体" w:cs="宋体"/>
                <w:sz w:val="18"/>
                <w:szCs w:val="18"/>
              </w:rPr>
              <w:t>3．其他</w:t>
            </w:r>
          </w:p>
        </w:tc>
        <w:tc>
          <w:tcPr>
            <w:tcW w:w="741" w:type="dxa"/>
            <w:tcBorders>
              <w:top w:val="single" w:color="auto" w:sz="2" w:space="0"/>
              <w:left w:val="single" w:color="auto" w:sz="2" w:space="0"/>
              <w:bottom w:val="single" w:color="auto" w:sz="2" w:space="0"/>
              <w:right w:val="single" w:color="auto" w:sz="2" w:space="0"/>
            </w:tcBorders>
            <w:vAlign w:val="center"/>
          </w:tcPr>
          <w:p w14:paraId="7D54870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584731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59401C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EF3553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69B4AE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28FDF1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190840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9EFB4B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5A340E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D289A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BF8838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1474A46">
            <w:pPr>
              <w:spacing w:line="240" w:lineRule="exact"/>
              <w:jc w:val="right"/>
              <w:rPr>
                <w:rFonts w:ascii="宋体" w:hAnsi="宋体" w:eastAsia="宋体" w:cs="宋体"/>
                <w:sz w:val="18"/>
                <w:szCs w:val="18"/>
              </w:rPr>
            </w:pPr>
          </w:p>
        </w:tc>
      </w:tr>
      <w:tr w14:paraId="6FDB5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CA8C25E">
            <w:pPr>
              <w:spacing w:before="40" w:after="40" w:line="240" w:lineRule="exact"/>
              <w:rPr>
                <w:rFonts w:ascii="宋体" w:hAnsi="宋体" w:eastAsia="宋体" w:cs="宋体"/>
                <w:sz w:val="18"/>
                <w:szCs w:val="18"/>
              </w:rPr>
            </w:pPr>
            <w:r>
              <w:rPr>
                <w:rFonts w:ascii="宋体" w:hAnsi="宋体" w:eastAsia="宋体" w:cs="宋体"/>
                <w:sz w:val="18"/>
                <w:szCs w:val="18"/>
              </w:rPr>
              <w:t>（四）所有者权益内部结转</w:t>
            </w:r>
          </w:p>
        </w:tc>
        <w:tc>
          <w:tcPr>
            <w:tcW w:w="741" w:type="dxa"/>
            <w:tcBorders>
              <w:top w:val="single" w:color="auto" w:sz="2" w:space="0"/>
              <w:left w:val="single" w:color="auto" w:sz="2" w:space="0"/>
              <w:bottom w:val="single" w:color="auto" w:sz="2" w:space="0"/>
              <w:right w:val="single" w:color="auto" w:sz="2" w:space="0"/>
            </w:tcBorders>
            <w:vAlign w:val="center"/>
          </w:tcPr>
          <w:p w14:paraId="089455E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C6CF63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22AB1E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88BA3C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963B5E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1726D5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283064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973BA0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A527EF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9D1C06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5EB822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44676E0">
            <w:pPr>
              <w:spacing w:line="240" w:lineRule="exact"/>
              <w:jc w:val="right"/>
              <w:rPr>
                <w:rFonts w:ascii="宋体" w:hAnsi="宋体" w:eastAsia="宋体" w:cs="宋体"/>
                <w:sz w:val="18"/>
                <w:szCs w:val="18"/>
              </w:rPr>
            </w:pPr>
          </w:p>
        </w:tc>
      </w:tr>
      <w:tr w14:paraId="37FA7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17CA76A">
            <w:pPr>
              <w:spacing w:before="40" w:after="40" w:line="240" w:lineRule="exact"/>
              <w:rPr>
                <w:rFonts w:ascii="宋体" w:hAnsi="宋体" w:eastAsia="宋体" w:cs="宋体"/>
                <w:sz w:val="18"/>
                <w:szCs w:val="18"/>
              </w:rPr>
            </w:pPr>
            <w:r>
              <w:rPr>
                <w:rFonts w:ascii="宋体" w:hAnsi="宋体" w:eastAsia="宋体" w:cs="宋体"/>
                <w:sz w:val="18"/>
                <w:szCs w:val="18"/>
              </w:rPr>
              <w:t>1．资本公积转增资本（或股本）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14:paraId="4DC3298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F2F6B1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29966F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A20880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82D601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C00CE8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C45DA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E62233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A6621E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1F6CE8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730783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7A0A95">
            <w:pPr>
              <w:spacing w:line="240" w:lineRule="exact"/>
              <w:jc w:val="right"/>
              <w:rPr>
                <w:rFonts w:ascii="宋体" w:hAnsi="宋体" w:eastAsia="宋体" w:cs="宋体"/>
                <w:sz w:val="18"/>
                <w:szCs w:val="18"/>
              </w:rPr>
            </w:pPr>
          </w:p>
        </w:tc>
      </w:tr>
      <w:tr w14:paraId="7CCE6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088E016">
            <w:pPr>
              <w:spacing w:before="40" w:after="40" w:line="240" w:lineRule="exact"/>
              <w:rPr>
                <w:rFonts w:ascii="宋体" w:hAnsi="宋体" w:eastAsia="宋体" w:cs="宋体"/>
                <w:sz w:val="18"/>
                <w:szCs w:val="18"/>
              </w:rPr>
            </w:pPr>
            <w:r>
              <w:rPr>
                <w:rFonts w:ascii="宋体" w:hAnsi="宋体" w:eastAsia="宋体" w:cs="宋体"/>
                <w:sz w:val="18"/>
                <w:szCs w:val="18"/>
              </w:rPr>
              <w:t>2．盈余公积转增资本（或股本）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14:paraId="6CE427E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64C0B1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9849E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790DA9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E5681F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95B4CA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ED077D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72AD94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820744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E17B2A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C9A92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C3E7DFA">
            <w:pPr>
              <w:spacing w:line="240" w:lineRule="exact"/>
              <w:jc w:val="right"/>
              <w:rPr>
                <w:rFonts w:ascii="宋体" w:hAnsi="宋体" w:eastAsia="宋体" w:cs="宋体"/>
                <w:sz w:val="18"/>
                <w:szCs w:val="18"/>
              </w:rPr>
            </w:pPr>
          </w:p>
        </w:tc>
      </w:tr>
      <w:tr w14:paraId="16DC5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2556282">
            <w:pPr>
              <w:spacing w:before="40" w:after="40" w:line="240" w:lineRule="exact"/>
              <w:rPr>
                <w:rFonts w:ascii="宋体" w:hAnsi="宋体" w:eastAsia="宋体" w:cs="宋体"/>
                <w:sz w:val="18"/>
                <w:szCs w:val="18"/>
              </w:rPr>
            </w:pPr>
            <w:r>
              <w:rPr>
                <w:rFonts w:ascii="宋体" w:hAnsi="宋体" w:eastAsia="宋体" w:cs="宋体"/>
                <w:sz w:val="18"/>
                <w:szCs w:val="18"/>
              </w:rPr>
              <w:t>3．盈余公积弥补亏损</w:t>
            </w:r>
          </w:p>
        </w:tc>
        <w:tc>
          <w:tcPr>
            <w:tcW w:w="741" w:type="dxa"/>
            <w:tcBorders>
              <w:top w:val="single" w:color="auto" w:sz="2" w:space="0"/>
              <w:left w:val="single" w:color="auto" w:sz="2" w:space="0"/>
              <w:bottom w:val="single" w:color="auto" w:sz="2" w:space="0"/>
              <w:right w:val="single" w:color="auto" w:sz="2" w:space="0"/>
            </w:tcBorders>
            <w:vAlign w:val="center"/>
          </w:tcPr>
          <w:p w14:paraId="0DCCBD0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78616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011262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B9B54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591CD4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E294C5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B39EBB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161843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9987C3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61F089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0F3F87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D5DEA8B">
            <w:pPr>
              <w:spacing w:line="240" w:lineRule="exact"/>
              <w:jc w:val="right"/>
              <w:rPr>
                <w:rFonts w:ascii="宋体" w:hAnsi="宋体" w:eastAsia="宋体" w:cs="宋体"/>
                <w:sz w:val="18"/>
                <w:szCs w:val="18"/>
              </w:rPr>
            </w:pPr>
          </w:p>
        </w:tc>
      </w:tr>
      <w:tr w14:paraId="15D29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E9D60EC">
            <w:pPr>
              <w:spacing w:before="40" w:after="40" w:line="240" w:lineRule="exact"/>
              <w:rPr>
                <w:rFonts w:ascii="宋体" w:hAnsi="宋体" w:eastAsia="宋体" w:cs="宋体"/>
                <w:sz w:val="18"/>
                <w:szCs w:val="18"/>
              </w:rPr>
            </w:pPr>
            <w:r>
              <w:rPr>
                <w:rFonts w:ascii="宋体" w:hAnsi="宋体" w:eastAsia="宋体" w:cs="宋体"/>
                <w:sz w:val="18"/>
                <w:szCs w:val="18"/>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vAlign w:val="center"/>
          </w:tcPr>
          <w:p w14:paraId="69CFDFC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DA2B56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52EF30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2FDA21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822C22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3DFD3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FE0B1E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91A3D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D6BB9A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406B79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DF7B4F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0C4B6A5">
            <w:pPr>
              <w:spacing w:line="240" w:lineRule="exact"/>
              <w:jc w:val="right"/>
              <w:rPr>
                <w:rFonts w:ascii="宋体" w:hAnsi="宋体" w:eastAsia="宋体" w:cs="宋体"/>
                <w:sz w:val="18"/>
                <w:szCs w:val="18"/>
              </w:rPr>
            </w:pPr>
          </w:p>
        </w:tc>
      </w:tr>
      <w:tr w14:paraId="38E96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5CA46DA">
            <w:pPr>
              <w:spacing w:before="40" w:after="40" w:line="240" w:lineRule="exact"/>
              <w:rPr>
                <w:rFonts w:ascii="宋体" w:hAnsi="宋体" w:eastAsia="宋体" w:cs="宋体"/>
                <w:sz w:val="18"/>
                <w:szCs w:val="18"/>
              </w:rPr>
            </w:pPr>
            <w:r>
              <w:rPr>
                <w:rFonts w:ascii="宋体" w:hAnsi="宋体" w:eastAsia="宋体" w:cs="宋体"/>
                <w:sz w:val="18"/>
                <w:szCs w:val="18"/>
              </w:rPr>
              <w:t>5．其他综合收益结转留存收益</w:t>
            </w:r>
          </w:p>
        </w:tc>
        <w:tc>
          <w:tcPr>
            <w:tcW w:w="741" w:type="dxa"/>
            <w:tcBorders>
              <w:top w:val="single" w:color="auto" w:sz="2" w:space="0"/>
              <w:left w:val="single" w:color="auto" w:sz="2" w:space="0"/>
              <w:bottom w:val="single" w:color="auto" w:sz="2" w:space="0"/>
              <w:right w:val="single" w:color="auto" w:sz="2" w:space="0"/>
            </w:tcBorders>
            <w:vAlign w:val="center"/>
          </w:tcPr>
          <w:p w14:paraId="66DD39F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5A5353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94C705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E8B280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08494B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0BB2C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FC092D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3D56F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34B156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21D30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F1679E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0E16BF9">
            <w:pPr>
              <w:spacing w:line="240" w:lineRule="exact"/>
              <w:jc w:val="right"/>
              <w:rPr>
                <w:rFonts w:ascii="宋体" w:hAnsi="宋体" w:eastAsia="宋体" w:cs="宋体"/>
                <w:sz w:val="18"/>
                <w:szCs w:val="18"/>
              </w:rPr>
            </w:pPr>
          </w:p>
        </w:tc>
      </w:tr>
      <w:tr w14:paraId="0D1B8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45DC526">
            <w:pPr>
              <w:spacing w:before="40" w:after="40" w:line="240" w:lineRule="exact"/>
              <w:rPr>
                <w:rFonts w:ascii="宋体" w:hAnsi="宋体" w:eastAsia="宋体" w:cs="宋体"/>
                <w:sz w:val="18"/>
                <w:szCs w:val="18"/>
              </w:rPr>
            </w:pPr>
            <w:r>
              <w:rPr>
                <w:rFonts w:ascii="宋体" w:hAnsi="宋体" w:eastAsia="宋体" w:cs="宋体"/>
                <w:sz w:val="18"/>
                <w:szCs w:val="18"/>
              </w:rPr>
              <w:t>6．其他</w:t>
            </w:r>
          </w:p>
        </w:tc>
        <w:tc>
          <w:tcPr>
            <w:tcW w:w="741" w:type="dxa"/>
            <w:tcBorders>
              <w:top w:val="single" w:color="auto" w:sz="2" w:space="0"/>
              <w:left w:val="single" w:color="auto" w:sz="2" w:space="0"/>
              <w:bottom w:val="single" w:color="auto" w:sz="2" w:space="0"/>
              <w:right w:val="single" w:color="auto" w:sz="2" w:space="0"/>
            </w:tcBorders>
            <w:vAlign w:val="center"/>
          </w:tcPr>
          <w:p w14:paraId="505F4B8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485939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826762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CB1B2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B2FAA1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9EAF7F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07089A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D86B13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2892AD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A150ED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CC3B4C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E55F41">
            <w:pPr>
              <w:spacing w:line="240" w:lineRule="exact"/>
              <w:jc w:val="right"/>
              <w:rPr>
                <w:rFonts w:ascii="宋体" w:hAnsi="宋体" w:eastAsia="宋体" w:cs="宋体"/>
                <w:sz w:val="18"/>
                <w:szCs w:val="18"/>
              </w:rPr>
            </w:pPr>
          </w:p>
        </w:tc>
      </w:tr>
      <w:tr w14:paraId="036C5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622CE87">
            <w:pPr>
              <w:spacing w:before="40" w:after="40" w:line="240" w:lineRule="exact"/>
              <w:rPr>
                <w:rFonts w:ascii="宋体" w:hAnsi="宋体" w:eastAsia="宋体" w:cs="宋体"/>
                <w:sz w:val="18"/>
                <w:szCs w:val="18"/>
              </w:rPr>
            </w:pPr>
            <w:r>
              <w:rPr>
                <w:rFonts w:ascii="宋体" w:hAnsi="宋体" w:eastAsia="宋体" w:cs="宋体"/>
                <w:sz w:val="18"/>
                <w:szCs w:val="18"/>
              </w:rPr>
              <w:t>（五）专项储备</w:t>
            </w:r>
          </w:p>
        </w:tc>
        <w:tc>
          <w:tcPr>
            <w:tcW w:w="741" w:type="dxa"/>
            <w:tcBorders>
              <w:top w:val="single" w:color="auto" w:sz="2" w:space="0"/>
              <w:left w:val="single" w:color="auto" w:sz="2" w:space="0"/>
              <w:bottom w:val="single" w:color="auto" w:sz="2" w:space="0"/>
              <w:right w:val="single" w:color="auto" w:sz="2" w:space="0"/>
            </w:tcBorders>
            <w:vAlign w:val="center"/>
          </w:tcPr>
          <w:p w14:paraId="0AB5A1D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06553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52AB7A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BD5C68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747555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800DA7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4EBD61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E0000C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58727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55B08C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69937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18741D">
            <w:pPr>
              <w:spacing w:line="240" w:lineRule="exact"/>
              <w:jc w:val="right"/>
              <w:rPr>
                <w:rFonts w:ascii="宋体" w:hAnsi="宋体" w:eastAsia="宋体" w:cs="宋体"/>
                <w:sz w:val="18"/>
                <w:szCs w:val="18"/>
              </w:rPr>
            </w:pPr>
          </w:p>
        </w:tc>
      </w:tr>
      <w:tr w14:paraId="29144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73C43FB">
            <w:pPr>
              <w:spacing w:before="40" w:after="40" w:line="240" w:lineRule="exact"/>
              <w:rPr>
                <w:rFonts w:ascii="宋体" w:hAnsi="宋体" w:eastAsia="宋体" w:cs="宋体"/>
                <w:sz w:val="18"/>
                <w:szCs w:val="18"/>
              </w:rPr>
            </w:pPr>
            <w:r>
              <w:rPr>
                <w:rFonts w:ascii="宋体" w:hAnsi="宋体" w:eastAsia="宋体" w:cs="宋体"/>
                <w:sz w:val="18"/>
                <w:szCs w:val="18"/>
              </w:rPr>
              <w:t>1．本期提取</w:t>
            </w:r>
          </w:p>
        </w:tc>
        <w:tc>
          <w:tcPr>
            <w:tcW w:w="741" w:type="dxa"/>
            <w:tcBorders>
              <w:top w:val="single" w:color="auto" w:sz="2" w:space="0"/>
              <w:left w:val="single" w:color="auto" w:sz="2" w:space="0"/>
              <w:bottom w:val="single" w:color="auto" w:sz="2" w:space="0"/>
              <w:right w:val="single" w:color="auto" w:sz="2" w:space="0"/>
            </w:tcBorders>
            <w:vAlign w:val="center"/>
          </w:tcPr>
          <w:p w14:paraId="7832204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E65694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35639C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D5B746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9B9942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6D4D02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1448E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690F7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A8FFD9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2F521C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7DA323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6487BB">
            <w:pPr>
              <w:spacing w:line="240" w:lineRule="exact"/>
              <w:jc w:val="right"/>
              <w:rPr>
                <w:rFonts w:ascii="宋体" w:hAnsi="宋体" w:eastAsia="宋体" w:cs="宋体"/>
                <w:sz w:val="18"/>
                <w:szCs w:val="18"/>
              </w:rPr>
            </w:pPr>
          </w:p>
        </w:tc>
      </w:tr>
      <w:tr w14:paraId="09C49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C0149F6">
            <w:pPr>
              <w:spacing w:before="40" w:after="40" w:line="240" w:lineRule="exact"/>
              <w:rPr>
                <w:rFonts w:ascii="宋体" w:hAnsi="宋体" w:eastAsia="宋体" w:cs="宋体"/>
                <w:sz w:val="18"/>
                <w:szCs w:val="18"/>
              </w:rPr>
            </w:pPr>
            <w:r>
              <w:rPr>
                <w:rFonts w:ascii="宋体" w:hAnsi="宋体" w:eastAsia="宋体" w:cs="宋体"/>
                <w:sz w:val="18"/>
                <w:szCs w:val="18"/>
              </w:rPr>
              <w:t>2．本期使用</w:t>
            </w:r>
          </w:p>
        </w:tc>
        <w:tc>
          <w:tcPr>
            <w:tcW w:w="741" w:type="dxa"/>
            <w:tcBorders>
              <w:top w:val="single" w:color="auto" w:sz="2" w:space="0"/>
              <w:left w:val="single" w:color="auto" w:sz="2" w:space="0"/>
              <w:bottom w:val="single" w:color="auto" w:sz="2" w:space="0"/>
              <w:right w:val="single" w:color="auto" w:sz="2" w:space="0"/>
            </w:tcBorders>
            <w:vAlign w:val="center"/>
          </w:tcPr>
          <w:p w14:paraId="403ABA7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2E944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784DC1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0BFDB7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E620B6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ED70E7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1F904C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CDD673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8559DF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C161AF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5F850F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09F70CD">
            <w:pPr>
              <w:spacing w:line="240" w:lineRule="exact"/>
              <w:jc w:val="right"/>
              <w:rPr>
                <w:rFonts w:ascii="宋体" w:hAnsi="宋体" w:eastAsia="宋体" w:cs="宋体"/>
                <w:sz w:val="18"/>
                <w:szCs w:val="18"/>
              </w:rPr>
            </w:pPr>
          </w:p>
        </w:tc>
      </w:tr>
      <w:tr w14:paraId="0F809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2061F58">
            <w:pPr>
              <w:spacing w:before="40" w:after="40" w:line="240" w:lineRule="exact"/>
              <w:rPr>
                <w:rFonts w:ascii="宋体" w:hAnsi="宋体" w:eastAsia="宋体" w:cs="宋体"/>
                <w:sz w:val="18"/>
                <w:szCs w:val="18"/>
              </w:rPr>
            </w:pPr>
            <w:r>
              <w:rPr>
                <w:rFonts w:ascii="宋体" w:hAnsi="宋体" w:eastAsia="宋体" w:cs="宋体"/>
                <w:sz w:val="18"/>
                <w:szCs w:val="18"/>
              </w:rPr>
              <w:t>（六）其他</w:t>
            </w:r>
          </w:p>
        </w:tc>
        <w:tc>
          <w:tcPr>
            <w:tcW w:w="741" w:type="dxa"/>
            <w:tcBorders>
              <w:top w:val="single" w:color="auto" w:sz="2" w:space="0"/>
              <w:left w:val="single" w:color="auto" w:sz="2" w:space="0"/>
              <w:bottom w:val="single" w:color="auto" w:sz="2" w:space="0"/>
              <w:right w:val="single" w:color="auto" w:sz="2" w:space="0"/>
            </w:tcBorders>
            <w:vAlign w:val="center"/>
          </w:tcPr>
          <w:p w14:paraId="6E6E043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BD730A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BD305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084A8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276EC1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63821D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8F0E61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CEDACF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230BF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51C082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F5B3FB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45E110C">
            <w:pPr>
              <w:spacing w:line="240" w:lineRule="exact"/>
              <w:jc w:val="right"/>
              <w:rPr>
                <w:rFonts w:ascii="宋体" w:hAnsi="宋体" w:eastAsia="宋体" w:cs="宋体"/>
                <w:sz w:val="18"/>
                <w:szCs w:val="18"/>
              </w:rPr>
            </w:pPr>
          </w:p>
        </w:tc>
      </w:tr>
      <w:tr w14:paraId="09F7F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AE0E6A3">
            <w:pPr>
              <w:spacing w:before="40" w:after="40" w:line="240" w:lineRule="exact"/>
              <w:rPr>
                <w:rFonts w:ascii="宋体" w:hAnsi="宋体" w:eastAsia="宋体" w:cs="宋体"/>
                <w:sz w:val="18"/>
                <w:szCs w:val="18"/>
              </w:rPr>
            </w:pPr>
            <w:r>
              <w:rPr>
                <w:rFonts w:ascii="宋体" w:hAnsi="宋体" w:eastAsia="宋体" w:cs="宋体"/>
                <w:sz w:val="18"/>
                <w:szCs w:val="18"/>
              </w:rPr>
              <w:t>四、本期期末余额</w:t>
            </w:r>
          </w:p>
        </w:tc>
        <w:tc>
          <w:tcPr>
            <w:tcW w:w="741" w:type="dxa"/>
            <w:tcBorders>
              <w:top w:val="single" w:color="auto" w:sz="2" w:space="0"/>
              <w:left w:val="single" w:color="auto" w:sz="2" w:space="0"/>
              <w:bottom w:val="single" w:color="auto" w:sz="2" w:space="0"/>
              <w:right w:val="single" w:color="auto" w:sz="2" w:space="0"/>
            </w:tcBorders>
            <w:vAlign w:val="center"/>
          </w:tcPr>
          <w:p w14:paraId="308EA6AE">
            <w:pPr>
              <w:spacing w:line="240" w:lineRule="exact"/>
              <w:jc w:val="right"/>
              <w:rPr>
                <w:rFonts w:ascii="宋体" w:hAnsi="宋体" w:eastAsia="宋体" w:cs="宋体"/>
                <w:sz w:val="18"/>
                <w:szCs w:val="18"/>
              </w:rPr>
            </w:pPr>
            <w:r>
              <w:rPr>
                <w:rFonts w:ascii="宋体" w:hAnsi="宋体" w:eastAsia="宋体" w:cs="宋体"/>
                <w:sz w:val="18"/>
                <w:szCs w:val="18"/>
              </w:rPr>
              <w:t>1,700,681,355.00</w:t>
            </w:r>
          </w:p>
        </w:tc>
        <w:tc>
          <w:tcPr>
            <w:tcW w:w="741" w:type="dxa"/>
            <w:tcBorders>
              <w:top w:val="single" w:color="auto" w:sz="2" w:space="0"/>
              <w:left w:val="single" w:color="auto" w:sz="2" w:space="0"/>
              <w:bottom w:val="single" w:color="auto" w:sz="2" w:space="0"/>
              <w:right w:val="single" w:color="auto" w:sz="2" w:space="0"/>
            </w:tcBorders>
            <w:vAlign w:val="center"/>
          </w:tcPr>
          <w:p w14:paraId="5F73541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5532F6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1D37E9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665BE6E">
            <w:pPr>
              <w:spacing w:line="240" w:lineRule="exact"/>
              <w:jc w:val="right"/>
              <w:rPr>
                <w:rFonts w:ascii="宋体" w:hAnsi="宋体" w:eastAsia="宋体" w:cs="宋体"/>
                <w:sz w:val="18"/>
                <w:szCs w:val="18"/>
              </w:rPr>
            </w:pPr>
            <w:r>
              <w:rPr>
                <w:rFonts w:ascii="宋体" w:hAnsi="宋体" w:eastAsia="宋体" w:cs="宋体"/>
                <w:sz w:val="18"/>
                <w:szCs w:val="18"/>
              </w:rPr>
              <w:t>3,106,930,758.15</w:t>
            </w:r>
          </w:p>
        </w:tc>
        <w:tc>
          <w:tcPr>
            <w:tcW w:w="741" w:type="dxa"/>
            <w:tcBorders>
              <w:top w:val="single" w:color="auto" w:sz="2" w:space="0"/>
              <w:left w:val="single" w:color="auto" w:sz="2" w:space="0"/>
              <w:bottom w:val="single" w:color="auto" w:sz="2" w:space="0"/>
              <w:right w:val="single" w:color="auto" w:sz="2" w:space="0"/>
            </w:tcBorders>
            <w:vAlign w:val="center"/>
          </w:tcPr>
          <w:p w14:paraId="3F165077">
            <w:pPr>
              <w:spacing w:line="240" w:lineRule="exact"/>
              <w:jc w:val="right"/>
              <w:rPr>
                <w:rFonts w:ascii="宋体" w:hAnsi="宋体" w:eastAsia="宋体" w:cs="宋体"/>
                <w:sz w:val="18"/>
                <w:szCs w:val="18"/>
              </w:rPr>
            </w:pPr>
            <w:r>
              <w:rPr>
                <w:rFonts w:ascii="宋体" w:hAnsi="宋体" w:eastAsia="宋体" w:cs="宋体"/>
                <w:sz w:val="18"/>
                <w:szCs w:val="18"/>
              </w:rPr>
              <w:t>300,104,207.84</w:t>
            </w:r>
          </w:p>
        </w:tc>
        <w:tc>
          <w:tcPr>
            <w:tcW w:w="741" w:type="dxa"/>
            <w:tcBorders>
              <w:top w:val="single" w:color="auto" w:sz="2" w:space="0"/>
              <w:left w:val="single" w:color="auto" w:sz="2" w:space="0"/>
              <w:bottom w:val="single" w:color="auto" w:sz="2" w:space="0"/>
              <w:right w:val="single" w:color="auto" w:sz="2" w:space="0"/>
            </w:tcBorders>
            <w:vAlign w:val="center"/>
          </w:tcPr>
          <w:p w14:paraId="10C8F124">
            <w:pPr>
              <w:spacing w:line="240" w:lineRule="exact"/>
              <w:jc w:val="right"/>
              <w:rPr>
                <w:rFonts w:ascii="宋体" w:hAnsi="宋体" w:eastAsia="宋体" w:cs="宋体"/>
                <w:sz w:val="18"/>
                <w:szCs w:val="18"/>
              </w:rPr>
            </w:pPr>
            <w:r>
              <w:rPr>
                <w:rFonts w:ascii="宋体" w:hAnsi="宋体" w:eastAsia="宋体" w:cs="宋体"/>
                <w:sz w:val="18"/>
                <w:szCs w:val="18"/>
              </w:rPr>
              <w:t>46,897,427.90</w:t>
            </w:r>
          </w:p>
        </w:tc>
        <w:tc>
          <w:tcPr>
            <w:tcW w:w="741" w:type="dxa"/>
            <w:tcBorders>
              <w:top w:val="single" w:color="auto" w:sz="2" w:space="0"/>
              <w:left w:val="single" w:color="auto" w:sz="2" w:space="0"/>
              <w:bottom w:val="single" w:color="auto" w:sz="2" w:space="0"/>
              <w:right w:val="single" w:color="auto" w:sz="2" w:space="0"/>
            </w:tcBorders>
            <w:vAlign w:val="center"/>
          </w:tcPr>
          <w:p w14:paraId="568DDD3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FB3F3B8">
            <w:pPr>
              <w:spacing w:line="240" w:lineRule="exact"/>
              <w:jc w:val="right"/>
              <w:rPr>
                <w:rFonts w:ascii="宋体" w:hAnsi="宋体" w:eastAsia="宋体" w:cs="宋体"/>
                <w:sz w:val="18"/>
                <w:szCs w:val="18"/>
              </w:rPr>
            </w:pPr>
            <w:r>
              <w:rPr>
                <w:rFonts w:ascii="宋体" w:hAnsi="宋体" w:eastAsia="宋体" w:cs="宋体"/>
                <w:sz w:val="18"/>
                <w:szCs w:val="18"/>
              </w:rPr>
              <w:t>313,645,543.98</w:t>
            </w:r>
          </w:p>
        </w:tc>
        <w:tc>
          <w:tcPr>
            <w:tcW w:w="741" w:type="dxa"/>
            <w:tcBorders>
              <w:top w:val="single" w:color="auto" w:sz="2" w:space="0"/>
              <w:left w:val="single" w:color="auto" w:sz="2" w:space="0"/>
              <w:bottom w:val="single" w:color="auto" w:sz="2" w:space="0"/>
              <w:right w:val="single" w:color="auto" w:sz="2" w:space="0"/>
            </w:tcBorders>
            <w:vAlign w:val="center"/>
          </w:tcPr>
          <w:p w14:paraId="3D49FAD0">
            <w:pPr>
              <w:spacing w:line="240" w:lineRule="exact"/>
              <w:jc w:val="right"/>
              <w:rPr>
                <w:rFonts w:ascii="宋体" w:hAnsi="宋体" w:eastAsia="宋体" w:cs="宋体"/>
                <w:sz w:val="18"/>
                <w:szCs w:val="18"/>
              </w:rPr>
            </w:pPr>
            <w:r>
              <w:rPr>
                <w:rFonts w:ascii="宋体" w:hAnsi="宋体" w:eastAsia="宋体" w:cs="宋体"/>
                <w:sz w:val="18"/>
                <w:szCs w:val="18"/>
              </w:rPr>
              <w:t>550,091,582.70</w:t>
            </w:r>
          </w:p>
        </w:tc>
        <w:tc>
          <w:tcPr>
            <w:tcW w:w="741" w:type="dxa"/>
            <w:tcBorders>
              <w:top w:val="single" w:color="auto" w:sz="2" w:space="0"/>
              <w:left w:val="single" w:color="auto" w:sz="2" w:space="0"/>
              <w:bottom w:val="single" w:color="auto" w:sz="2" w:space="0"/>
              <w:right w:val="single" w:color="auto" w:sz="2" w:space="0"/>
            </w:tcBorders>
            <w:vAlign w:val="center"/>
          </w:tcPr>
          <w:p w14:paraId="000FF0A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D7F562B">
            <w:pPr>
              <w:spacing w:line="240" w:lineRule="exact"/>
              <w:jc w:val="right"/>
              <w:rPr>
                <w:rFonts w:ascii="宋体" w:hAnsi="宋体" w:eastAsia="宋体" w:cs="宋体"/>
                <w:sz w:val="18"/>
                <w:szCs w:val="18"/>
              </w:rPr>
            </w:pPr>
            <w:r>
              <w:rPr>
                <w:rFonts w:ascii="宋体" w:hAnsi="宋体" w:eastAsia="宋体" w:cs="宋体"/>
                <w:sz w:val="18"/>
                <w:szCs w:val="18"/>
              </w:rPr>
              <w:t>5,418,142,459.89</w:t>
            </w:r>
          </w:p>
        </w:tc>
      </w:tr>
    </w:tbl>
    <w:p w14:paraId="19B0F66D">
      <w:pPr>
        <w:spacing w:before="40" w:after="40" w:line="240" w:lineRule="exact"/>
        <w:rPr>
          <w:rFonts w:ascii="宋体" w:hAnsi="宋体" w:eastAsia="宋体" w:cs="宋体"/>
          <w:sz w:val="18"/>
          <w:szCs w:val="18"/>
        </w:rPr>
      </w:pPr>
      <w:r>
        <w:rPr>
          <w:rFonts w:ascii="宋体" w:hAnsi="宋体" w:eastAsia="宋体" w:cs="宋体"/>
          <w:sz w:val="18"/>
          <w:szCs w:val="18"/>
        </w:rPr>
        <w:t>上期金额</w:t>
      </w:r>
    </w:p>
    <w:p w14:paraId="42147308">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2"/>
        <w:gridCol w:w="741"/>
        <w:gridCol w:w="741"/>
        <w:gridCol w:w="741"/>
        <w:gridCol w:w="741"/>
        <w:gridCol w:w="741"/>
        <w:gridCol w:w="741"/>
        <w:gridCol w:w="741"/>
        <w:gridCol w:w="746"/>
      </w:tblGrid>
      <w:tr w14:paraId="0C672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26E685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14:paraId="61F50AFA">
            <w:pPr>
              <w:spacing w:before="40" w:after="40" w:line="240" w:lineRule="exact"/>
              <w:jc w:val="center"/>
              <w:rPr>
                <w:rFonts w:ascii="宋体" w:hAnsi="宋体" w:eastAsia="宋体" w:cs="宋体"/>
                <w:sz w:val="18"/>
                <w:szCs w:val="18"/>
              </w:rPr>
            </w:pPr>
            <w:r>
              <w:rPr>
                <w:rFonts w:ascii="宋体" w:hAnsi="宋体" w:eastAsia="宋体" w:cs="宋体"/>
                <w:sz w:val="18"/>
                <w:szCs w:val="18"/>
              </w:rPr>
              <w:t>2024年度</w:t>
            </w:r>
          </w:p>
        </w:tc>
      </w:tr>
      <w:tr w14:paraId="1A079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0462D55"/>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A0660E8">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5231A3BA">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E0C843A">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2AA938B">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86F41FE">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EF7EDDE">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1371953">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A7ED1FF">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E065D53">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5FE0E63">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14:paraId="7ED3A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2A03804"/>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31003C2"/>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732ACE2">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C07CD25">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54851AC">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933540E"/>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4A3C907"/>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BF1ED2E"/>
        </w:tc>
        <w:tc>
          <w:tcPr>
            <w:tcW w:w="741" w:type="dxa"/>
            <w:vMerge w:val="continue"/>
            <w:tcBorders>
              <w:top w:val="single" w:color="auto" w:sz="2" w:space="0"/>
              <w:left w:val="single" w:color="auto" w:sz="2" w:space="0"/>
              <w:bottom w:val="single" w:color="auto" w:sz="2" w:space="0"/>
              <w:right w:val="single" w:color="auto" w:sz="2" w:space="0"/>
            </w:tcBorders>
            <w:vAlign w:val="center"/>
          </w:tcPr>
          <w:p w14:paraId="7E85A993"/>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FE9D288"/>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487FC35"/>
        </w:tc>
        <w:tc>
          <w:tcPr>
            <w:tcW w:w="741" w:type="dxa"/>
            <w:vMerge w:val="continue"/>
            <w:tcBorders>
              <w:top w:val="single" w:color="auto" w:sz="2" w:space="0"/>
              <w:left w:val="single" w:color="auto" w:sz="2" w:space="0"/>
              <w:bottom w:val="single" w:color="auto" w:sz="2" w:space="0"/>
              <w:right w:val="single" w:color="auto" w:sz="2" w:space="0"/>
            </w:tcBorders>
            <w:vAlign w:val="center"/>
          </w:tcPr>
          <w:p w14:paraId="101DA118"/>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EBD47B4"/>
        </w:tc>
      </w:tr>
      <w:tr w14:paraId="07705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757E705">
            <w:pPr>
              <w:spacing w:before="40" w:after="40" w:line="240" w:lineRule="exact"/>
              <w:rPr>
                <w:rFonts w:ascii="宋体" w:hAnsi="宋体" w:eastAsia="宋体" w:cs="宋体"/>
                <w:sz w:val="18"/>
                <w:szCs w:val="18"/>
              </w:rPr>
            </w:pPr>
            <w:r>
              <w:rPr>
                <w:rFonts w:ascii="宋体" w:hAnsi="宋体" w:eastAsia="宋体" w:cs="宋体"/>
                <w:sz w:val="18"/>
                <w:szCs w:val="18"/>
              </w:rPr>
              <w:t>一、上年期末余额</w:t>
            </w:r>
          </w:p>
        </w:tc>
        <w:tc>
          <w:tcPr>
            <w:tcW w:w="741" w:type="dxa"/>
            <w:tcBorders>
              <w:top w:val="single" w:color="auto" w:sz="2" w:space="0"/>
              <w:left w:val="single" w:color="auto" w:sz="2" w:space="0"/>
              <w:bottom w:val="single" w:color="auto" w:sz="2" w:space="0"/>
              <w:right w:val="single" w:color="auto" w:sz="2" w:space="0"/>
            </w:tcBorders>
            <w:vAlign w:val="center"/>
          </w:tcPr>
          <w:p w14:paraId="71DFF267">
            <w:pPr>
              <w:spacing w:line="240" w:lineRule="exact"/>
              <w:jc w:val="right"/>
              <w:rPr>
                <w:rFonts w:ascii="宋体" w:hAnsi="宋体" w:eastAsia="宋体" w:cs="宋体"/>
                <w:sz w:val="18"/>
                <w:szCs w:val="18"/>
              </w:rPr>
            </w:pPr>
            <w:r>
              <w:rPr>
                <w:rFonts w:ascii="宋体" w:hAnsi="宋体" w:eastAsia="宋体" w:cs="宋体"/>
                <w:sz w:val="18"/>
                <w:szCs w:val="18"/>
              </w:rPr>
              <w:t>1,700,681,355.00</w:t>
            </w:r>
          </w:p>
        </w:tc>
        <w:tc>
          <w:tcPr>
            <w:tcW w:w="741" w:type="dxa"/>
            <w:tcBorders>
              <w:top w:val="single" w:color="auto" w:sz="2" w:space="0"/>
              <w:left w:val="single" w:color="auto" w:sz="2" w:space="0"/>
              <w:bottom w:val="single" w:color="auto" w:sz="2" w:space="0"/>
              <w:right w:val="single" w:color="auto" w:sz="2" w:space="0"/>
            </w:tcBorders>
            <w:vAlign w:val="center"/>
          </w:tcPr>
          <w:p w14:paraId="5364BE0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EBE4B8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8C49E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627271B">
            <w:pPr>
              <w:spacing w:line="240" w:lineRule="exact"/>
              <w:jc w:val="right"/>
              <w:rPr>
                <w:rFonts w:ascii="宋体" w:hAnsi="宋体" w:eastAsia="宋体" w:cs="宋体"/>
                <w:sz w:val="18"/>
                <w:szCs w:val="18"/>
              </w:rPr>
            </w:pPr>
            <w:r>
              <w:rPr>
                <w:rFonts w:ascii="宋体" w:hAnsi="宋体" w:eastAsia="宋体" w:cs="宋体"/>
                <w:sz w:val="18"/>
                <w:szCs w:val="18"/>
              </w:rPr>
              <w:t>3,106,930,758.15</w:t>
            </w:r>
          </w:p>
        </w:tc>
        <w:tc>
          <w:tcPr>
            <w:tcW w:w="741" w:type="dxa"/>
            <w:tcBorders>
              <w:top w:val="single" w:color="auto" w:sz="2" w:space="0"/>
              <w:left w:val="single" w:color="auto" w:sz="2" w:space="0"/>
              <w:bottom w:val="single" w:color="auto" w:sz="2" w:space="0"/>
              <w:right w:val="single" w:color="auto" w:sz="2" w:space="0"/>
            </w:tcBorders>
            <w:vAlign w:val="center"/>
          </w:tcPr>
          <w:p w14:paraId="238F6E50">
            <w:pPr>
              <w:spacing w:line="240" w:lineRule="exact"/>
              <w:jc w:val="right"/>
              <w:rPr>
                <w:rFonts w:ascii="宋体" w:hAnsi="宋体" w:eastAsia="宋体" w:cs="宋体"/>
                <w:sz w:val="18"/>
                <w:szCs w:val="18"/>
              </w:rPr>
            </w:pPr>
            <w:r>
              <w:rPr>
                <w:rFonts w:ascii="宋体" w:hAnsi="宋体" w:eastAsia="宋体" w:cs="宋体"/>
                <w:sz w:val="18"/>
                <w:szCs w:val="18"/>
              </w:rPr>
              <w:t>200,071,093.36</w:t>
            </w:r>
          </w:p>
        </w:tc>
        <w:tc>
          <w:tcPr>
            <w:tcW w:w="741" w:type="dxa"/>
            <w:tcBorders>
              <w:top w:val="single" w:color="auto" w:sz="2" w:space="0"/>
              <w:left w:val="single" w:color="auto" w:sz="2" w:space="0"/>
              <w:bottom w:val="single" w:color="auto" w:sz="2" w:space="0"/>
              <w:right w:val="single" w:color="auto" w:sz="2" w:space="0"/>
            </w:tcBorders>
            <w:vAlign w:val="center"/>
          </w:tcPr>
          <w:p w14:paraId="056D77B4">
            <w:pPr>
              <w:spacing w:line="240" w:lineRule="exact"/>
              <w:jc w:val="right"/>
              <w:rPr>
                <w:rFonts w:ascii="宋体" w:hAnsi="宋体" w:eastAsia="宋体" w:cs="宋体"/>
                <w:sz w:val="18"/>
                <w:szCs w:val="18"/>
              </w:rPr>
            </w:pPr>
            <w:r>
              <w:rPr>
                <w:rFonts w:ascii="宋体" w:hAnsi="宋体" w:eastAsia="宋体" w:cs="宋体"/>
                <w:sz w:val="18"/>
                <w:szCs w:val="18"/>
              </w:rPr>
              <w:t>14,003,424.37</w:t>
            </w:r>
          </w:p>
        </w:tc>
        <w:tc>
          <w:tcPr>
            <w:tcW w:w="741" w:type="dxa"/>
            <w:tcBorders>
              <w:top w:val="single" w:color="auto" w:sz="2" w:space="0"/>
              <w:left w:val="single" w:color="auto" w:sz="2" w:space="0"/>
              <w:bottom w:val="single" w:color="auto" w:sz="2" w:space="0"/>
              <w:right w:val="single" w:color="auto" w:sz="2" w:space="0"/>
            </w:tcBorders>
            <w:vAlign w:val="center"/>
          </w:tcPr>
          <w:p w14:paraId="095BB20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9B331B1">
            <w:pPr>
              <w:spacing w:line="240" w:lineRule="exact"/>
              <w:jc w:val="right"/>
              <w:rPr>
                <w:rFonts w:ascii="宋体" w:hAnsi="宋体" w:eastAsia="宋体" w:cs="宋体"/>
                <w:sz w:val="18"/>
                <w:szCs w:val="18"/>
              </w:rPr>
            </w:pPr>
            <w:r>
              <w:rPr>
                <w:rFonts w:ascii="宋体" w:hAnsi="宋体" w:eastAsia="宋体" w:cs="宋体"/>
                <w:sz w:val="18"/>
                <w:szCs w:val="18"/>
              </w:rPr>
              <w:t>307,872,299.19</w:t>
            </w:r>
          </w:p>
        </w:tc>
        <w:tc>
          <w:tcPr>
            <w:tcW w:w="741" w:type="dxa"/>
            <w:tcBorders>
              <w:top w:val="single" w:color="auto" w:sz="2" w:space="0"/>
              <w:left w:val="single" w:color="auto" w:sz="2" w:space="0"/>
              <w:bottom w:val="single" w:color="auto" w:sz="2" w:space="0"/>
              <w:right w:val="single" w:color="auto" w:sz="2" w:space="0"/>
            </w:tcBorders>
            <w:vAlign w:val="center"/>
          </w:tcPr>
          <w:p w14:paraId="451A81E6">
            <w:pPr>
              <w:spacing w:line="240" w:lineRule="exact"/>
              <w:jc w:val="right"/>
              <w:rPr>
                <w:rFonts w:ascii="宋体" w:hAnsi="宋体" w:eastAsia="宋体" w:cs="宋体"/>
                <w:sz w:val="18"/>
                <w:szCs w:val="18"/>
              </w:rPr>
            </w:pPr>
            <w:r>
              <w:rPr>
                <w:rFonts w:ascii="宋体" w:hAnsi="宋体" w:eastAsia="宋体" w:cs="宋体"/>
                <w:sz w:val="18"/>
                <w:szCs w:val="18"/>
              </w:rPr>
              <w:t>547,798,739.86</w:t>
            </w:r>
          </w:p>
        </w:tc>
        <w:tc>
          <w:tcPr>
            <w:tcW w:w="741" w:type="dxa"/>
            <w:tcBorders>
              <w:top w:val="single" w:color="auto" w:sz="2" w:space="0"/>
              <w:left w:val="single" w:color="auto" w:sz="2" w:space="0"/>
              <w:bottom w:val="single" w:color="auto" w:sz="2" w:space="0"/>
              <w:right w:val="single" w:color="auto" w:sz="2" w:space="0"/>
            </w:tcBorders>
            <w:vAlign w:val="center"/>
          </w:tcPr>
          <w:p w14:paraId="6E083C1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6D54ED3">
            <w:pPr>
              <w:spacing w:line="240" w:lineRule="exact"/>
              <w:jc w:val="right"/>
              <w:rPr>
                <w:rFonts w:ascii="宋体" w:hAnsi="宋体" w:eastAsia="宋体" w:cs="宋体"/>
                <w:sz w:val="18"/>
                <w:szCs w:val="18"/>
              </w:rPr>
            </w:pPr>
            <w:r>
              <w:rPr>
                <w:rFonts w:ascii="宋体" w:hAnsi="宋体" w:eastAsia="宋体" w:cs="宋体"/>
                <w:sz w:val="18"/>
                <w:szCs w:val="18"/>
              </w:rPr>
              <w:t>5,477,215,483.21</w:t>
            </w:r>
          </w:p>
        </w:tc>
      </w:tr>
      <w:tr w14:paraId="1185F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71C3B51">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加：会计政策变更</w:t>
            </w:r>
          </w:p>
        </w:tc>
        <w:tc>
          <w:tcPr>
            <w:tcW w:w="741" w:type="dxa"/>
            <w:tcBorders>
              <w:top w:val="single" w:color="auto" w:sz="2" w:space="0"/>
              <w:left w:val="single" w:color="auto" w:sz="2" w:space="0"/>
              <w:bottom w:val="single" w:color="auto" w:sz="2" w:space="0"/>
              <w:right w:val="single" w:color="auto" w:sz="2" w:space="0"/>
            </w:tcBorders>
            <w:vAlign w:val="center"/>
          </w:tcPr>
          <w:p w14:paraId="56884A4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30B753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3AEBAC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A361A0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D6AF9C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7F5673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E89BD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1A240A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ECFCDD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0F19D6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9F41D7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3E747E3">
            <w:pPr>
              <w:spacing w:line="240" w:lineRule="exact"/>
              <w:jc w:val="right"/>
              <w:rPr>
                <w:rFonts w:ascii="宋体" w:hAnsi="宋体" w:eastAsia="宋体" w:cs="宋体"/>
                <w:sz w:val="18"/>
                <w:szCs w:val="18"/>
              </w:rPr>
            </w:pPr>
          </w:p>
        </w:tc>
      </w:tr>
      <w:tr w14:paraId="18233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EA3AC96">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前期差错更正</w:t>
            </w:r>
          </w:p>
        </w:tc>
        <w:tc>
          <w:tcPr>
            <w:tcW w:w="741" w:type="dxa"/>
            <w:tcBorders>
              <w:top w:val="single" w:color="auto" w:sz="2" w:space="0"/>
              <w:left w:val="single" w:color="auto" w:sz="2" w:space="0"/>
              <w:bottom w:val="single" w:color="auto" w:sz="2" w:space="0"/>
              <w:right w:val="single" w:color="auto" w:sz="2" w:space="0"/>
            </w:tcBorders>
            <w:vAlign w:val="center"/>
          </w:tcPr>
          <w:p w14:paraId="0E9D598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0E73D6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A31A46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7D7506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720675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479D9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79441F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22FC8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B320B2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216C82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AAFBC1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2C1E711">
            <w:pPr>
              <w:spacing w:line="240" w:lineRule="exact"/>
              <w:jc w:val="right"/>
              <w:rPr>
                <w:rFonts w:ascii="宋体" w:hAnsi="宋体" w:eastAsia="宋体" w:cs="宋体"/>
                <w:sz w:val="18"/>
                <w:szCs w:val="18"/>
              </w:rPr>
            </w:pPr>
          </w:p>
        </w:tc>
      </w:tr>
      <w:tr w14:paraId="75A31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3D93E80">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其他</w:t>
            </w:r>
          </w:p>
        </w:tc>
        <w:tc>
          <w:tcPr>
            <w:tcW w:w="741" w:type="dxa"/>
            <w:tcBorders>
              <w:top w:val="single" w:color="auto" w:sz="2" w:space="0"/>
              <w:left w:val="single" w:color="auto" w:sz="2" w:space="0"/>
              <w:bottom w:val="single" w:color="auto" w:sz="2" w:space="0"/>
              <w:right w:val="single" w:color="auto" w:sz="2" w:space="0"/>
            </w:tcBorders>
            <w:vAlign w:val="center"/>
          </w:tcPr>
          <w:p w14:paraId="65E016D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C1FFE9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C246D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A6179A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A395CE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565055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4C96E3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A38452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2FBE89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44C3B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39FD39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2EE7110">
            <w:pPr>
              <w:spacing w:line="240" w:lineRule="exact"/>
              <w:jc w:val="right"/>
              <w:rPr>
                <w:rFonts w:ascii="宋体" w:hAnsi="宋体" w:eastAsia="宋体" w:cs="宋体"/>
                <w:sz w:val="18"/>
                <w:szCs w:val="18"/>
              </w:rPr>
            </w:pPr>
          </w:p>
        </w:tc>
      </w:tr>
      <w:tr w14:paraId="20A30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ADE1AB5">
            <w:pPr>
              <w:spacing w:before="40" w:after="40" w:line="240" w:lineRule="exact"/>
              <w:rPr>
                <w:rFonts w:ascii="宋体" w:hAnsi="宋体" w:eastAsia="宋体" w:cs="宋体"/>
                <w:sz w:val="18"/>
                <w:szCs w:val="18"/>
              </w:rPr>
            </w:pPr>
            <w:r>
              <w:rPr>
                <w:rFonts w:ascii="宋体" w:hAnsi="宋体" w:eastAsia="宋体" w:cs="宋体"/>
                <w:sz w:val="18"/>
                <w:szCs w:val="18"/>
              </w:rPr>
              <w:t>二、本年期初余额</w:t>
            </w:r>
          </w:p>
        </w:tc>
        <w:tc>
          <w:tcPr>
            <w:tcW w:w="741" w:type="dxa"/>
            <w:tcBorders>
              <w:top w:val="single" w:color="auto" w:sz="2" w:space="0"/>
              <w:left w:val="single" w:color="auto" w:sz="2" w:space="0"/>
              <w:bottom w:val="single" w:color="auto" w:sz="2" w:space="0"/>
              <w:right w:val="single" w:color="auto" w:sz="2" w:space="0"/>
            </w:tcBorders>
            <w:vAlign w:val="center"/>
          </w:tcPr>
          <w:p w14:paraId="6773BC16">
            <w:pPr>
              <w:spacing w:line="240" w:lineRule="exact"/>
              <w:jc w:val="right"/>
              <w:rPr>
                <w:rFonts w:ascii="宋体" w:hAnsi="宋体" w:eastAsia="宋体" w:cs="宋体"/>
                <w:sz w:val="18"/>
                <w:szCs w:val="18"/>
              </w:rPr>
            </w:pPr>
            <w:r>
              <w:rPr>
                <w:rFonts w:ascii="宋体" w:hAnsi="宋体" w:eastAsia="宋体" w:cs="宋体"/>
                <w:sz w:val="18"/>
                <w:szCs w:val="18"/>
              </w:rPr>
              <w:t>1,700,681,355.00</w:t>
            </w:r>
          </w:p>
        </w:tc>
        <w:tc>
          <w:tcPr>
            <w:tcW w:w="741" w:type="dxa"/>
            <w:tcBorders>
              <w:top w:val="single" w:color="auto" w:sz="2" w:space="0"/>
              <w:left w:val="single" w:color="auto" w:sz="2" w:space="0"/>
              <w:bottom w:val="single" w:color="auto" w:sz="2" w:space="0"/>
              <w:right w:val="single" w:color="auto" w:sz="2" w:space="0"/>
            </w:tcBorders>
            <w:vAlign w:val="center"/>
          </w:tcPr>
          <w:p w14:paraId="7E21804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202B64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E26697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98E8983">
            <w:pPr>
              <w:spacing w:line="240" w:lineRule="exact"/>
              <w:jc w:val="right"/>
              <w:rPr>
                <w:rFonts w:ascii="宋体" w:hAnsi="宋体" w:eastAsia="宋体" w:cs="宋体"/>
                <w:sz w:val="18"/>
                <w:szCs w:val="18"/>
              </w:rPr>
            </w:pPr>
            <w:r>
              <w:rPr>
                <w:rFonts w:ascii="宋体" w:hAnsi="宋体" w:eastAsia="宋体" w:cs="宋体"/>
                <w:sz w:val="18"/>
                <w:szCs w:val="18"/>
              </w:rPr>
              <w:t>3,106,930,758.15</w:t>
            </w:r>
          </w:p>
        </w:tc>
        <w:tc>
          <w:tcPr>
            <w:tcW w:w="741" w:type="dxa"/>
            <w:tcBorders>
              <w:top w:val="single" w:color="auto" w:sz="2" w:space="0"/>
              <w:left w:val="single" w:color="auto" w:sz="2" w:space="0"/>
              <w:bottom w:val="single" w:color="auto" w:sz="2" w:space="0"/>
              <w:right w:val="single" w:color="auto" w:sz="2" w:space="0"/>
            </w:tcBorders>
            <w:vAlign w:val="center"/>
          </w:tcPr>
          <w:p w14:paraId="6E55D8A9">
            <w:pPr>
              <w:spacing w:line="240" w:lineRule="exact"/>
              <w:jc w:val="right"/>
              <w:rPr>
                <w:rFonts w:ascii="宋体" w:hAnsi="宋体" w:eastAsia="宋体" w:cs="宋体"/>
                <w:sz w:val="18"/>
                <w:szCs w:val="18"/>
              </w:rPr>
            </w:pPr>
            <w:r>
              <w:rPr>
                <w:rFonts w:ascii="宋体" w:hAnsi="宋体" w:eastAsia="宋体" w:cs="宋体"/>
                <w:sz w:val="18"/>
                <w:szCs w:val="18"/>
              </w:rPr>
              <w:t>200,071,093.36</w:t>
            </w:r>
          </w:p>
        </w:tc>
        <w:tc>
          <w:tcPr>
            <w:tcW w:w="741" w:type="dxa"/>
            <w:tcBorders>
              <w:top w:val="single" w:color="auto" w:sz="2" w:space="0"/>
              <w:left w:val="single" w:color="auto" w:sz="2" w:space="0"/>
              <w:bottom w:val="single" w:color="auto" w:sz="2" w:space="0"/>
              <w:right w:val="single" w:color="auto" w:sz="2" w:space="0"/>
            </w:tcBorders>
            <w:vAlign w:val="center"/>
          </w:tcPr>
          <w:p w14:paraId="2280E006">
            <w:pPr>
              <w:spacing w:line="240" w:lineRule="exact"/>
              <w:jc w:val="right"/>
              <w:rPr>
                <w:rFonts w:ascii="宋体" w:hAnsi="宋体" w:eastAsia="宋体" w:cs="宋体"/>
                <w:sz w:val="18"/>
                <w:szCs w:val="18"/>
              </w:rPr>
            </w:pPr>
            <w:r>
              <w:rPr>
                <w:rFonts w:ascii="宋体" w:hAnsi="宋体" w:eastAsia="宋体" w:cs="宋体"/>
                <w:sz w:val="18"/>
                <w:szCs w:val="18"/>
              </w:rPr>
              <w:t>14,003,424.37</w:t>
            </w:r>
          </w:p>
        </w:tc>
        <w:tc>
          <w:tcPr>
            <w:tcW w:w="741" w:type="dxa"/>
            <w:tcBorders>
              <w:top w:val="single" w:color="auto" w:sz="2" w:space="0"/>
              <w:left w:val="single" w:color="auto" w:sz="2" w:space="0"/>
              <w:bottom w:val="single" w:color="auto" w:sz="2" w:space="0"/>
              <w:right w:val="single" w:color="auto" w:sz="2" w:space="0"/>
            </w:tcBorders>
            <w:vAlign w:val="center"/>
          </w:tcPr>
          <w:p w14:paraId="42DB65A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EE44F97">
            <w:pPr>
              <w:spacing w:line="240" w:lineRule="exact"/>
              <w:jc w:val="right"/>
              <w:rPr>
                <w:rFonts w:ascii="宋体" w:hAnsi="宋体" w:eastAsia="宋体" w:cs="宋体"/>
                <w:sz w:val="18"/>
                <w:szCs w:val="18"/>
              </w:rPr>
            </w:pPr>
            <w:r>
              <w:rPr>
                <w:rFonts w:ascii="宋体" w:hAnsi="宋体" w:eastAsia="宋体" w:cs="宋体"/>
                <w:sz w:val="18"/>
                <w:szCs w:val="18"/>
              </w:rPr>
              <w:t>307,872,299.19</w:t>
            </w:r>
          </w:p>
        </w:tc>
        <w:tc>
          <w:tcPr>
            <w:tcW w:w="741" w:type="dxa"/>
            <w:tcBorders>
              <w:top w:val="single" w:color="auto" w:sz="2" w:space="0"/>
              <w:left w:val="single" w:color="auto" w:sz="2" w:space="0"/>
              <w:bottom w:val="single" w:color="auto" w:sz="2" w:space="0"/>
              <w:right w:val="single" w:color="auto" w:sz="2" w:space="0"/>
            </w:tcBorders>
            <w:vAlign w:val="center"/>
          </w:tcPr>
          <w:p w14:paraId="01AD17B0">
            <w:pPr>
              <w:spacing w:line="240" w:lineRule="exact"/>
              <w:jc w:val="right"/>
              <w:rPr>
                <w:rFonts w:ascii="宋体" w:hAnsi="宋体" w:eastAsia="宋体" w:cs="宋体"/>
                <w:sz w:val="18"/>
                <w:szCs w:val="18"/>
              </w:rPr>
            </w:pPr>
            <w:r>
              <w:rPr>
                <w:rFonts w:ascii="宋体" w:hAnsi="宋体" w:eastAsia="宋体" w:cs="宋体"/>
                <w:sz w:val="18"/>
                <w:szCs w:val="18"/>
              </w:rPr>
              <w:t>547,798,739.86</w:t>
            </w:r>
          </w:p>
        </w:tc>
        <w:tc>
          <w:tcPr>
            <w:tcW w:w="741" w:type="dxa"/>
            <w:tcBorders>
              <w:top w:val="single" w:color="auto" w:sz="2" w:space="0"/>
              <w:left w:val="single" w:color="auto" w:sz="2" w:space="0"/>
              <w:bottom w:val="single" w:color="auto" w:sz="2" w:space="0"/>
              <w:right w:val="single" w:color="auto" w:sz="2" w:space="0"/>
            </w:tcBorders>
            <w:vAlign w:val="center"/>
          </w:tcPr>
          <w:p w14:paraId="735F90E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70A267A">
            <w:pPr>
              <w:spacing w:line="240" w:lineRule="exact"/>
              <w:jc w:val="right"/>
              <w:rPr>
                <w:rFonts w:ascii="宋体" w:hAnsi="宋体" w:eastAsia="宋体" w:cs="宋体"/>
                <w:sz w:val="18"/>
                <w:szCs w:val="18"/>
              </w:rPr>
            </w:pPr>
            <w:r>
              <w:rPr>
                <w:rFonts w:ascii="宋体" w:hAnsi="宋体" w:eastAsia="宋体" w:cs="宋体"/>
                <w:sz w:val="18"/>
                <w:szCs w:val="18"/>
              </w:rPr>
              <w:t>5,477,215,483.21</w:t>
            </w:r>
          </w:p>
        </w:tc>
      </w:tr>
      <w:tr w14:paraId="7B447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047CD44">
            <w:pPr>
              <w:spacing w:before="40" w:after="40" w:line="240" w:lineRule="exact"/>
              <w:rPr>
                <w:rFonts w:ascii="宋体" w:hAnsi="宋体" w:eastAsia="宋体" w:cs="宋体"/>
                <w:sz w:val="18"/>
                <w:szCs w:val="18"/>
              </w:rPr>
            </w:pPr>
            <w:r>
              <w:rPr>
                <w:rFonts w:ascii="宋体" w:hAnsi="宋体" w:eastAsia="宋体" w:cs="宋体"/>
                <w:sz w:val="18"/>
                <w:szCs w:val="18"/>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vAlign w:val="center"/>
          </w:tcPr>
          <w:p w14:paraId="21D989D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C5DA2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17640B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DC42E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27EFD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2998B62">
            <w:pPr>
              <w:spacing w:line="240" w:lineRule="exact"/>
              <w:jc w:val="right"/>
              <w:rPr>
                <w:rFonts w:ascii="宋体" w:hAnsi="宋体" w:eastAsia="宋体" w:cs="宋体"/>
                <w:sz w:val="18"/>
                <w:szCs w:val="18"/>
              </w:rPr>
            </w:pPr>
            <w:r>
              <w:rPr>
                <w:rFonts w:ascii="宋体" w:hAnsi="宋体" w:eastAsia="宋体" w:cs="宋体"/>
                <w:sz w:val="18"/>
                <w:szCs w:val="18"/>
              </w:rPr>
              <w:t>100,033,114.48</w:t>
            </w:r>
          </w:p>
        </w:tc>
        <w:tc>
          <w:tcPr>
            <w:tcW w:w="741" w:type="dxa"/>
            <w:tcBorders>
              <w:top w:val="single" w:color="auto" w:sz="2" w:space="0"/>
              <w:left w:val="single" w:color="auto" w:sz="2" w:space="0"/>
              <w:bottom w:val="single" w:color="auto" w:sz="2" w:space="0"/>
              <w:right w:val="single" w:color="auto" w:sz="2" w:space="0"/>
            </w:tcBorders>
            <w:vAlign w:val="center"/>
          </w:tcPr>
          <w:p w14:paraId="632CFE20">
            <w:pPr>
              <w:spacing w:line="240" w:lineRule="exact"/>
              <w:jc w:val="right"/>
              <w:rPr>
                <w:rFonts w:ascii="宋体" w:hAnsi="宋体" w:eastAsia="宋体" w:cs="宋体"/>
                <w:sz w:val="18"/>
                <w:szCs w:val="18"/>
              </w:rPr>
            </w:pPr>
            <w:r>
              <w:rPr>
                <w:rFonts w:ascii="宋体" w:hAnsi="宋体" w:eastAsia="宋体" w:cs="宋体"/>
                <w:sz w:val="18"/>
                <w:szCs w:val="18"/>
              </w:rPr>
              <w:t>19,827,320.21</w:t>
            </w:r>
          </w:p>
        </w:tc>
        <w:tc>
          <w:tcPr>
            <w:tcW w:w="741" w:type="dxa"/>
            <w:tcBorders>
              <w:top w:val="single" w:color="auto" w:sz="2" w:space="0"/>
              <w:left w:val="single" w:color="auto" w:sz="2" w:space="0"/>
              <w:bottom w:val="single" w:color="auto" w:sz="2" w:space="0"/>
              <w:right w:val="single" w:color="auto" w:sz="2" w:space="0"/>
            </w:tcBorders>
            <w:vAlign w:val="center"/>
          </w:tcPr>
          <w:p w14:paraId="0C50B24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CD23815">
            <w:pPr>
              <w:spacing w:line="240" w:lineRule="exact"/>
              <w:jc w:val="right"/>
              <w:rPr>
                <w:rFonts w:ascii="宋体" w:hAnsi="宋体" w:eastAsia="宋体" w:cs="宋体"/>
                <w:sz w:val="18"/>
                <w:szCs w:val="18"/>
              </w:rPr>
            </w:pPr>
            <w:r>
              <w:rPr>
                <w:rFonts w:ascii="宋体" w:hAnsi="宋体" w:eastAsia="宋体" w:cs="宋体"/>
                <w:sz w:val="18"/>
                <w:szCs w:val="18"/>
              </w:rPr>
              <w:t>1,293,902.43</w:t>
            </w:r>
          </w:p>
        </w:tc>
        <w:tc>
          <w:tcPr>
            <w:tcW w:w="741" w:type="dxa"/>
            <w:tcBorders>
              <w:top w:val="single" w:color="auto" w:sz="2" w:space="0"/>
              <w:left w:val="single" w:color="auto" w:sz="2" w:space="0"/>
              <w:bottom w:val="single" w:color="auto" w:sz="2" w:space="0"/>
              <w:right w:val="single" w:color="auto" w:sz="2" w:space="0"/>
            </w:tcBorders>
            <w:vAlign w:val="center"/>
          </w:tcPr>
          <w:p w14:paraId="066D2EB2">
            <w:pPr>
              <w:spacing w:line="240" w:lineRule="exact"/>
              <w:jc w:val="right"/>
              <w:rPr>
                <w:rFonts w:ascii="宋体" w:hAnsi="宋体" w:eastAsia="宋体" w:cs="宋体"/>
                <w:sz w:val="18"/>
                <w:szCs w:val="18"/>
              </w:rPr>
            </w:pPr>
            <w:r>
              <w:rPr>
                <w:rFonts w:ascii="宋体" w:hAnsi="宋体" w:eastAsia="宋体" w:cs="宋体"/>
                <w:sz w:val="18"/>
                <w:szCs w:val="18"/>
              </w:rPr>
              <w:t>-38,021,238.36</w:t>
            </w:r>
          </w:p>
        </w:tc>
        <w:tc>
          <w:tcPr>
            <w:tcW w:w="741" w:type="dxa"/>
            <w:tcBorders>
              <w:top w:val="single" w:color="auto" w:sz="2" w:space="0"/>
              <w:left w:val="single" w:color="auto" w:sz="2" w:space="0"/>
              <w:bottom w:val="single" w:color="auto" w:sz="2" w:space="0"/>
              <w:right w:val="single" w:color="auto" w:sz="2" w:space="0"/>
            </w:tcBorders>
            <w:vAlign w:val="center"/>
          </w:tcPr>
          <w:p w14:paraId="377C9B5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95745C">
            <w:pPr>
              <w:spacing w:line="240" w:lineRule="exact"/>
              <w:jc w:val="right"/>
              <w:rPr>
                <w:rFonts w:ascii="宋体" w:hAnsi="宋体" w:eastAsia="宋体" w:cs="宋体"/>
                <w:sz w:val="18"/>
                <w:szCs w:val="18"/>
              </w:rPr>
            </w:pPr>
            <w:r>
              <w:rPr>
                <w:rFonts w:ascii="宋体" w:hAnsi="宋体" w:eastAsia="宋体" w:cs="宋体"/>
                <w:sz w:val="18"/>
                <w:szCs w:val="18"/>
              </w:rPr>
              <w:t>-116,933,130.20</w:t>
            </w:r>
          </w:p>
        </w:tc>
      </w:tr>
      <w:tr w14:paraId="460BE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CCE0AE5">
            <w:pPr>
              <w:spacing w:before="40" w:after="40" w:line="240" w:lineRule="exact"/>
              <w:rPr>
                <w:rFonts w:ascii="宋体" w:hAnsi="宋体" w:eastAsia="宋体" w:cs="宋体"/>
                <w:sz w:val="18"/>
                <w:szCs w:val="18"/>
              </w:rPr>
            </w:pPr>
            <w:r>
              <w:rPr>
                <w:rFonts w:ascii="宋体" w:hAnsi="宋体" w:eastAsia="宋体" w:cs="宋体"/>
                <w:sz w:val="18"/>
                <w:szCs w:val="18"/>
              </w:rPr>
              <w:t>（一）综合收益总额</w:t>
            </w:r>
          </w:p>
        </w:tc>
        <w:tc>
          <w:tcPr>
            <w:tcW w:w="741" w:type="dxa"/>
            <w:tcBorders>
              <w:top w:val="single" w:color="auto" w:sz="2" w:space="0"/>
              <w:left w:val="single" w:color="auto" w:sz="2" w:space="0"/>
              <w:bottom w:val="single" w:color="auto" w:sz="2" w:space="0"/>
              <w:right w:val="single" w:color="auto" w:sz="2" w:space="0"/>
            </w:tcBorders>
            <w:vAlign w:val="center"/>
          </w:tcPr>
          <w:p w14:paraId="7DD79ED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56D6E2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EDD386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E94520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CE50A7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9F74B1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57292F">
            <w:pPr>
              <w:spacing w:line="240" w:lineRule="exact"/>
              <w:jc w:val="right"/>
              <w:rPr>
                <w:rFonts w:ascii="宋体" w:hAnsi="宋体" w:eastAsia="宋体" w:cs="宋体"/>
                <w:sz w:val="18"/>
                <w:szCs w:val="18"/>
              </w:rPr>
            </w:pPr>
            <w:r>
              <w:rPr>
                <w:rFonts w:ascii="宋体" w:hAnsi="宋体" w:eastAsia="宋体" w:cs="宋体"/>
                <w:sz w:val="18"/>
                <w:szCs w:val="18"/>
              </w:rPr>
              <w:t>19,827,320.21</w:t>
            </w:r>
          </w:p>
        </w:tc>
        <w:tc>
          <w:tcPr>
            <w:tcW w:w="741" w:type="dxa"/>
            <w:tcBorders>
              <w:top w:val="single" w:color="auto" w:sz="2" w:space="0"/>
              <w:left w:val="single" w:color="auto" w:sz="2" w:space="0"/>
              <w:bottom w:val="single" w:color="auto" w:sz="2" w:space="0"/>
              <w:right w:val="single" w:color="auto" w:sz="2" w:space="0"/>
            </w:tcBorders>
            <w:vAlign w:val="center"/>
          </w:tcPr>
          <w:p w14:paraId="7CCCAAF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D0EFBA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33B8E81">
            <w:pPr>
              <w:spacing w:line="240" w:lineRule="exact"/>
              <w:jc w:val="right"/>
              <w:rPr>
                <w:rFonts w:ascii="宋体" w:hAnsi="宋体" w:eastAsia="宋体" w:cs="宋体"/>
                <w:sz w:val="18"/>
                <w:szCs w:val="18"/>
              </w:rPr>
            </w:pPr>
            <w:r>
              <w:rPr>
                <w:rFonts w:ascii="宋体" w:hAnsi="宋体" w:eastAsia="宋体" w:cs="宋体"/>
                <w:sz w:val="18"/>
                <w:szCs w:val="18"/>
              </w:rPr>
              <w:t>12,939,024.34</w:t>
            </w:r>
          </w:p>
        </w:tc>
        <w:tc>
          <w:tcPr>
            <w:tcW w:w="741" w:type="dxa"/>
            <w:tcBorders>
              <w:top w:val="single" w:color="auto" w:sz="2" w:space="0"/>
              <w:left w:val="single" w:color="auto" w:sz="2" w:space="0"/>
              <w:bottom w:val="single" w:color="auto" w:sz="2" w:space="0"/>
              <w:right w:val="single" w:color="auto" w:sz="2" w:space="0"/>
            </w:tcBorders>
            <w:vAlign w:val="center"/>
          </w:tcPr>
          <w:p w14:paraId="58AE02A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A0DC0A9">
            <w:pPr>
              <w:spacing w:line="240" w:lineRule="exact"/>
              <w:jc w:val="right"/>
              <w:rPr>
                <w:rFonts w:ascii="宋体" w:hAnsi="宋体" w:eastAsia="宋体" w:cs="宋体"/>
                <w:sz w:val="18"/>
                <w:szCs w:val="18"/>
              </w:rPr>
            </w:pPr>
            <w:r>
              <w:rPr>
                <w:rFonts w:ascii="宋体" w:hAnsi="宋体" w:eastAsia="宋体" w:cs="宋体"/>
                <w:sz w:val="18"/>
                <w:szCs w:val="18"/>
              </w:rPr>
              <w:t>32,766,344.55</w:t>
            </w:r>
          </w:p>
        </w:tc>
      </w:tr>
      <w:tr w14:paraId="3957F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A4D6541">
            <w:pPr>
              <w:spacing w:before="40" w:after="40" w:line="240" w:lineRule="exact"/>
              <w:rPr>
                <w:rFonts w:ascii="宋体" w:hAnsi="宋体" w:eastAsia="宋体" w:cs="宋体"/>
                <w:sz w:val="18"/>
                <w:szCs w:val="18"/>
              </w:rPr>
            </w:pPr>
            <w:r>
              <w:rPr>
                <w:rFonts w:ascii="宋体" w:hAnsi="宋体" w:eastAsia="宋体" w:cs="宋体"/>
                <w:sz w:val="18"/>
                <w:szCs w:val="18"/>
              </w:rPr>
              <w:t>（二）所有者投入和减少资本</w:t>
            </w:r>
          </w:p>
        </w:tc>
        <w:tc>
          <w:tcPr>
            <w:tcW w:w="741" w:type="dxa"/>
            <w:tcBorders>
              <w:top w:val="single" w:color="auto" w:sz="2" w:space="0"/>
              <w:left w:val="single" w:color="auto" w:sz="2" w:space="0"/>
              <w:bottom w:val="single" w:color="auto" w:sz="2" w:space="0"/>
              <w:right w:val="single" w:color="auto" w:sz="2" w:space="0"/>
            </w:tcBorders>
            <w:vAlign w:val="center"/>
          </w:tcPr>
          <w:p w14:paraId="405669B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05776A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43377D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399A9E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563D78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3436247">
            <w:pPr>
              <w:spacing w:line="240" w:lineRule="exact"/>
              <w:jc w:val="right"/>
              <w:rPr>
                <w:rFonts w:ascii="宋体" w:hAnsi="宋体" w:eastAsia="宋体" w:cs="宋体"/>
                <w:sz w:val="18"/>
                <w:szCs w:val="18"/>
              </w:rPr>
            </w:pPr>
            <w:r>
              <w:rPr>
                <w:rFonts w:ascii="宋体" w:hAnsi="宋体" w:eastAsia="宋体" w:cs="宋体"/>
                <w:sz w:val="18"/>
                <w:szCs w:val="18"/>
              </w:rPr>
              <w:t>100,033,114.48</w:t>
            </w:r>
          </w:p>
        </w:tc>
        <w:tc>
          <w:tcPr>
            <w:tcW w:w="741" w:type="dxa"/>
            <w:tcBorders>
              <w:top w:val="single" w:color="auto" w:sz="2" w:space="0"/>
              <w:left w:val="single" w:color="auto" w:sz="2" w:space="0"/>
              <w:bottom w:val="single" w:color="auto" w:sz="2" w:space="0"/>
              <w:right w:val="single" w:color="auto" w:sz="2" w:space="0"/>
            </w:tcBorders>
            <w:vAlign w:val="center"/>
          </w:tcPr>
          <w:p w14:paraId="71A07F4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7DE65A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E20EA5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4930FD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229E6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F02794B">
            <w:pPr>
              <w:spacing w:line="240" w:lineRule="exact"/>
              <w:jc w:val="right"/>
              <w:rPr>
                <w:rFonts w:ascii="宋体" w:hAnsi="宋体" w:eastAsia="宋体" w:cs="宋体"/>
                <w:sz w:val="18"/>
                <w:szCs w:val="18"/>
              </w:rPr>
            </w:pPr>
            <w:r>
              <w:rPr>
                <w:rFonts w:ascii="宋体" w:hAnsi="宋体" w:eastAsia="宋体" w:cs="宋体"/>
                <w:sz w:val="18"/>
                <w:szCs w:val="18"/>
              </w:rPr>
              <w:t>-100,033,114.48</w:t>
            </w:r>
          </w:p>
        </w:tc>
      </w:tr>
      <w:tr w14:paraId="7A666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835278D">
            <w:pPr>
              <w:spacing w:before="40" w:after="40" w:line="240" w:lineRule="exact"/>
              <w:rPr>
                <w:rFonts w:ascii="宋体" w:hAnsi="宋体" w:eastAsia="宋体" w:cs="宋体"/>
                <w:sz w:val="18"/>
                <w:szCs w:val="18"/>
              </w:rPr>
            </w:pPr>
            <w:r>
              <w:rPr>
                <w:rFonts w:ascii="宋体" w:hAnsi="宋体" w:eastAsia="宋体" w:cs="宋体"/>
                <w:sz w:val="18"/>
                <w:szCs w:val="18"/>
              </w:rPr>
              <w:t>1．所有者投入的普通股</w:t>
            </w:r>
          </w:p>
        </w:tc>
        <w:tc>
          <w:tcPr>
            <w:tcW w:w="741" w:type="dxa"/>
            <w:tcBorders>
              <w:top w:val="single" w:color="auto" w:sz="2" w:space="0"/>
              <w:left w:val="single" w:color="auto" w:sz="2" w:space="0"/>
              <w:bottom w:val="single" w:color="auto" w:sz="2" w:space="0"/>
              <w:right w:val="single" w:color="auto" w:sz="2" w:space="0"/>
            </w:tcBorders>
            <w:vAlign w:val="center"/>
          </w:tcPr>
          <w:p w14:paraId="48B900B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33EBE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85DFAE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D0275C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C906B7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A5EB7F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957DB8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BEECC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AF0DDB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F83273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E23F0C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D19BD61">
            <w:pPr>
              <w:spacing w:line="240" w:lineRule="exact"/>
              <w:jc w:val="right"/>
              <w:rPr>
                <w:rFonts w:ascii="宋体" w:hAnsi="宋体" w:eastAsia="宋体" w:cs="宋体"/>
                <w:sz w:val="18"/>
                <w:szCs w:val="18"/>
              </w:rPr>
            </w:pPr>
          </w:p>
        </w:tc>
      </w:tr>
      <w:tr w14:paraId="36383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7C4689D">
            <w:pPr>
              <w:spacing w:before="40" w:after="40" w:line="240" w:lineRule="exact"/>
              <w:rPr>
                <w:rFonts w:ascii="宋体" w:hAnsi="宋体" w:eastAsia="宋体" w:cs="宋体"/>
                <w:sz w:val="18"/>
                <w:szCs w:val="18"/>
              </w:rPr>
            </w:pPr>
            <w:r>
              <w:rPr>
                <w:rFonts w:ascii="宋体" w:hAnsi="宋体" w:eastAsia="宋体" w:cs="宋体"/>
                <w:sz w:val="18"/>
                <w:szCs w:val="18"/>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vAlign w:val="center"/>
          </w:tcPr>
          <w:p w14:paraId="3FB103F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4CBBD4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346F82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1401E1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2AD27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E81C39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FDE78D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5379BE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BB37FA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0CA07D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D9CA0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2F62C68">
            <w:pPr>
              <w:spacing w:line="240" w:lineRule="exact"/>
              <w:jc w:val="right"/>
              <w:rPr>
                <w:rFonts w:ascii="宋体" w:hAnsi="宋体" w:eastAsia="宋体" w:cs="宋体"/>
                <w:sz w:val="18"/>
                <w:szCs w:val="18"/>
              </w:rPr>
            </w:pPr>
          </w:p>
        </w:tc>
      </w:tr>
      <w:tr w14:paraId="133B0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902A719">
            <w:pPr>
              <w:spacing w:before="40" w:after="40" w:line="240" w:lineRule="exact"/>
              <w:rPr>
                <w:rFonts w:ascii="宋体" w:hAnsi="宋体" w:eastAsia="宋体" w:cs="宋体"/>
                <w:sz w:val="18"/>
                <w:szCs w:val="18"/>
              </w:rPr>
            </w:pPr>
            <w:r>
              <w:rPr>
                <w:rFonts w:ascii="宋体" w:hAnsi="宋体" w:eastAsia="宋体" w:cs="宋体"/>
                <w:sz w:val="18"/>
                <w:szCs w:val="18"/>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vAlign w:val="center"/>
          </w:tcPr>
          <w:p w14:paraId="29C9FB7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567DC8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C12587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194652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2FF2EA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0A4B95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E239CA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CF3D02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F9B032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44EED6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9C3766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4BDAE41">
            <w:pPr>
              <w:spacing w:line="240" w:lineRule="exact"/>
              <w:jc w:val="right"/>
              <w:rPr>
                <w:rFonts w:ascii="宋体" w:hAnsi="宋体" w:eastAsia="宋体" w:cs="宋体"/>
                <w:sz w:val="18"/>
                <w:szCs w:val="18"/>
              </w:rPr>
            </w:pPr>
          </w:p>
        </w:tc>
      </w:tr>
      <w:tr w14:paraId="4DBBE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86A18BD">
            <w:pPr>
              <w:spacing w:before="40" w:after="40" w:line="240" w:lineRule="exact"/>
              <w:rPr>
                <w:rFonts w:ascii="宋体" w:hAnsi="宋体" w:eastAsia="宋体" w:cs="宋体"/>
                <w:sz w:val="18"/>
                <w:szCs w:val="18"/>
              </w:rPr>
            </w:pPr>
            <w:r>
              <w:rPr>
                <w:rFonts w:ascii="宋体" w:hAnsi="宋体" w:eastAsia="宋体" w:cs="宋体"/>
                <w:sz w:val="18"/>
                <w:szCs w:val="18"/>
              </w:rPr>
              <w:t>4．其他</w:t>
            </w:r>
          </w:p>
        </w:tc>
        <w:tc>
          <w:tcPr>
            <w:tcW w:w="741" w:type="dxa"/>
            <w:tcBorders>
              <w:top w:val="single" w:color="auto" w:sz="2" w:space="0"/>
              <w:left w:val="single" w:color="auto" w:sz="2" w:space="0"/>
              <w:bottom w:val="single" w:color="auto" w:sz="2" w:space="0"/>
              <w:right w:val="single" w:color="auto" w:sz="2" w:space="0"/>
            </w:tcBorders>
            <w:vAlign w:val="center"/>
          </w:tcPr>
          <w:p w14:paraId="44A22DB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CB5B64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91F1ED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08E893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A4F49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8241798">
            <w:pPr>
              <w:spacing w:line="240" w:lineRule="exact"/>
              <w:jc w:val="right"/>
              <w:rPr>
                <w:rFonts w:ascii="宋体" w:hAnsi="宋体" w:eastAsia="宋体" w:cs="宋体"/>
                <w:sz w:val="18"/>
                <w:szCs w:val="18"/>
              </w:rPr>
            </w:pPr>
            <w:r>
              <w:rPr>
                <w:rFonts w:ascii="宋体" w:hAnsi="宋体" w:eastAsia="宋体" w:cs="宋体"/>
                <w:sz w:val="18"/>
                <w:szCs w:val="18"/>
              </w:rPr>
              <w:t>100,033,114.48</w:t>
            </w:r>
          </w:p>
        </w:tc>
        <w:tc>
          <w:tcPr>
            <w:tcW w:w="741" w:type="dxa"/>
            <w:tcBorders>
              <w:top w:val="single" w:color="auto" w:sz="2" w:space="0"/>
              <w:left w:val="single" w:color="auto" w:sz="2" w:space="0"/>
              <w:bottom w:val="single" w:color="auto" w:sz="2" w:space="0"/>
              <w:right w:val="single" w:color="auto" w:sz="2" w:space="0"/>
            </w:tcBorders>
            <w:vAlign w:val="center"/>
          </w:tcPr>
          <w:p w14:paraId="43C8819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7EE5CE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926C8B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48F26E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7E78E5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447D55C">
            <w:pPr>
              <w:spacing w:line="240" w:lineRule="exact"/>
              <w:jc w:val="right"/>
              <w:rPr>
                <w:rFonts w:ascii="宋体" w:hAnsi="宋体" w:eastAsia="宋体" w:cs="宋体"/>
                <w:sz w:val="18"/>
                <w:szCs w:val="18"/>
              </w:rPr>
            </w:pPr>
            <w:r>
              <w:rPr>
                <w:rFonts w:ascii="宋体" w:hAnsi="宋体" w:eastAsia="宋体" w:cs="宋体"/>
                <w:sz w:val="18"/>
                <w:szCs w:val="18"/>
              </w:rPr>
              <w:t>-100,033,114.48</w:t>
            </w:r>
          </w:p>
        </w:tc>
      </w:tr>
      <w:tr w14:paraId="06683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6228FE6">
            <w:pPr>
              <w:spacing w:before="40" w:after="40" w:line="240" w:lineRule="exact"/>
              <w:rPr>
                <w:rFonts w:ascii="宋体" w:hAnsi="宋体" w:eastAsia="宋体" w:cs="宋体"/>
                <w:sz w:val="18"/>
                <w:szCs w:val="18"/>
              </w:rPr>
            </w:pPr>
            <w:r>
              <w:rPr>
                <w:rFonts w:ascii="宋体" w:hAnsi="宋体" w:eastAsia="宋体" w:cs="宋体"/>
                <w:sz w:val="18"/>
                <w:szCs w:val="18"/>
              </w:rPr>
              <w:t>（三）利润分配</w:t>
            </w:r>
          </w:p>
        </w:tc>
        <w:tc>
          <w:tcPr>
            <w:tcW w:w="741" w:type="dxa"/>
            <w:tcBorders>
              <w:top w:val="single" w:color="auto" w:sz="2" w:space="0"/>
              <w:left w:val="single" w:color="auto" w:sz="2" w:space="0"/>
              <w:bottom w:val="single" w:color="auto" w:sz="2" w:space="0"/>
              <w:right w:val="single" w:color="auto" w:sz="2" w:space="0"/>
            </w:tcBorders>
            <w:vAlign w:val="center"/>
          </w:tcPr>
          <w:p w14:paraId="7BF0CF6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CE44C8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06E70E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4AD3B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D9862B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DB85E7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C53E7A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AD7EA1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B1D69CB">
            <w:pPr>
              <w:spacing w:line="240" w:lineRule="exact"/>
              <w:jc w:val="right"/>
              <w:rPr>
                <w:rFonts w:ascii="宋体" w:hAnsi="宋体" w:eastAsia="宋体" w:cs="宋体"/>
                <w:sz w:val="18"/>
                <w:szCs w:val="18"/>
              </w:rPr>
            </w:pPr>
            <w:r>
              <w:rPr>
                <w:rFonts w:ascii="宋体" w:hAnsi="宋体" w:eastAsia="宋体" w:cs="宋体"/>
                <w:sz w:val="18"/>
                <w:szCs w:val="18"/>
              </w:rPr>
              <w:t>1,293,902.43</w:t>
            </w:r>
          </w:p>
        </w:tc>
        <w:tc>
          <w:tcPr>
            <w:tcW w:w="741" w:type="dxa"/>
            <w:tcBorders>
              <w:top w:val="single" w:color="auto" w:sz="2" w:space="0"/>
              <w:left w:val="single" w:color="auto" w:sz="2" w:space="0"/>
              <w:bottom w:val="single" w:color="auto" w:sz="2" w:space="0"/>
              <w:right w:val="single" w:color="auto" w:sz="2" w:space="0"/>
            </w:tcBorders>
            <w:vAlign w:val="center"/>
          </w:tcPr>
          <w:p w14:paraId="5D53E2B4">
            <w:pPr>
              <w:spacing w:line="240" w:lineRule="exact"/>
              <w:jc w:val="right"/>
              <w:rPr>
                <w:rFonts w:ascii="宋体" w:hAnsi="宋体" w:eastAsia="宋体" w:cs="宋体"/>
                <w:sz w:val="18"/>
                <w:szCs w:val="18"/>
              </w:rPr>
            </w:pPr>
            <w:r>
              <w:rPr>
                <w:rFonts w:ascii="宋体" w:hAnsi="宋体" w:eastAsia="宋体" w:cs="宋体"/>
                <w:sz w:val="18"/>
                <w:szCs w:val="18"/>
              </w:rPr>
              <w:t>-50,960,262.70</w:t>
            </w:r>
          </w:p>
        </w:tc>
        <w:tc>
          <w:tcPr>
            <w:tcW w:w="741" w:type="dxa"/>
            <w:tcBorders>
              <w:top w:val="single" w:color="auto" w:sz="2" w:space="0"/>
              <w:left w:val="single" w:color="auto" w:sz="2" w:space="0"/>
              <w:bottom w:val="single" w:color="auto" w:sz="2" w:space="0"/>
              <w:right w:val="single" w:color="auto" w:sz="2" w:space="0"/>
            </w:tcBorders>
            <w:vAlign w:val="center"/>
          </w:tcPr>
          <w:p w14:paraId="29712D3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CC65EAE">
            <w:pPr>
              <w:spacing w:line="240" w:lineRule="exact"/>
              <w:jc w:val="right"/>
              <w:rPr>
                <w:rFonts w:ascii="宋体" w:hAnsi="宋体" w:eastAsia="宋体" w:cs="宋体"/>
                <w:sz w:val="18"/>
                <w:szCs w:val="18"/>
              </w:rPr>
            </w:pPr>
            <w:r>
              <w:rPr>
                <w:rFonts w:ascii="宋体" w:hAnsi="宋体" w:eastAsia="宋体" w:cs="宋体"/>
                <w:sz w:val="18"/>
                <w:szCs w:val="18"/>
              </w:rPr>
              <w:t>-49,666,360.27</w:t>
            </w:r>
          </w:p>
        </w:tc>
      </w:tr>
      <w:tr w14:paraId="5E56C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BDFB904">
            <w:pPr>
              <w:spacing w:before="40" w:after="40" w:line="240" w:lineRule="exact"/>
              <w:rPr>
                <w:rFonts w:ascii="宋体" w:hAnsi="宋体" w:eastAsia="宋体" w:cs="宋体"/>
                <w:sz w:val="18"/>
                <w:szCs w:val="18"/>
              </w:rPr>
            </w:pPr>
            <w:r>
              <w:rPr>
                <w:rFonts w:ascii="宋体" w:hAnsi="宋体" w:eastAsia="宋体" w:cs="宋体"/>
                <w:sz w:val="18"/>
                <w:szCs w:val="18"/>
              </w:rPr>
              <w:t>1．提取盈余公积</w:t>
            </w:r>
          </w:p>
        </w:tc>
        <w:tc>
          <w:tcPr>
            <w:tcW w:w="741" w:type="dxa"/>
            <w:tcBorders>
              <w:top w:val="single" w:color="auto" w:sz="2" w:space="0"/>
              <w:left w:val="single" w:color="auto" w:sz="2" w:space="0"/>
              <w:bottom w:val="single" w:color="auto" w:sz="2" w:space="0"/>
              <w:right w:val="single" w:color="auto" w:sz="2" w:space="0"/>
            </w:tcBorders>
            <w:vAlign w:val="center"/>
          </w:tcPr>
          <w:p w14:paraId="1F18835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EA2D8B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86801F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DC13C1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72AA6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1BC7EA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B177C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3835E7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CBED713">
            <w:pPr>
              <w:spacing w:line="240" w:lineRule="exact"/>
              <w:jc w:val="right"/>
              <w:rPr>
                <w:rFonts w:ascii="宋体" w:hAnsi="宋体" w:eastAsia="宋体" w:cs="宋体"/>
                <w:sz w:val="18"/>
                <w:szCs w:val="18"/>
              </w:rPr>
            </w:pPr>
            <w:r>
              <w:rPr>
                <w:rFonts w:ascii="宋体" w:hAnsi="宋体" w:eastAsia="宋体" w:cs="宋体"/>
                <w:sz w:val="18"/>
                <w:szCs w:val="18"/>
              </w:rPr>
              <w:t>1,293,902.43</w:t>
            </w:r>
          </w:p>
        </w:tc>
        <w:tc>
          <w:tcPr>
            <w:tcW w:w="741" w:type="dxa"/>
            <w:tcBorders>
              <w:top w:val="single" w:color="auto" w:sz="2" w:space="0"/>
              <w:left w:val="single" w:color="auto" w:sz="2" w:space="0"/>
              <w:bottom w:val="single" w:color="auto" w:sz="2" w:space="0"/>
              <w:right w:val="single" w:color="auto" w:sz="2" w:space="0"/>
            </w:tcBorders>
            <w:vAlign w:val="center"/>
          </w:tcPr>
          <w:p w14:paraId="224E76EA">
            <w:pPr>
              <w:spacing w:line="240" w:lineRule="exact"/>
              <w:jc w:val="right"/>
              <w:rPr>
                <w:rFonts w:ascii="宋体" w:hAnsi="宋体" w:eastAsia="宋体" w:cs="宋体"/>
                <w:sz w:val="18"/>
                <w:szCs w:val="18"/>
              </w:rPr>
            </w:pPr>
            <w:r>
              <w:rPr>
                <w:rFonts w:ascii="宋体" w:hAnsi="宋体" w:eastAsia="宋体" w:cs="宋体"/>
                <w:sz w:val="18"/>
                <w:szCs w:val="18"/>
              </w:rPr>
              <w:t>-1,293,902.43</w:t>
            </w:r>
          </w:p>
        </w:tc>
        <w:tc>
          <w:tcPr>
            <w:tcW w:w="741" w:type="dxa"/>
            <w:tcBorders>
              <w:top w:val="single" w:color="auto" w:sz="2" w:space="0"/>
              <w:left w:val="single" w:color="auto" w:sz="2" w:space="0"/>
              <w:bottom w:val="single" w:color="auto" w:sz="2" w:space="0"/>
              <w:right w:val="single" w:color="auto" w:sz="2" w:space="0"/>
            </w:tcBorders>
            <w:vAlign w:val="center"/>
          </w:tcPr>
          <w:p w14:paraId="1FF6CA1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910B203">
            <w:pPr>
              <w:spacing w:line="240" w:lineRule="exact"/>
              <w:jc w:val="right"/>
              <w:rPr>
                <w:rFonts w:ascii="宋体" w:hAnsi="宋体" w:eastAsia="宋体" w:cs="宋体"/>
                <w:sz w:val="18"/>
                <w:szCs w:val="18"/>
              </w:rPr>
            </w:pPr>
          </w:p>
        </w:tc>
      </w:tr>
      <w:tr w14:paraId="55096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0FC1A44">
            <w:pPr>
              <w:spacing w:before="40" w:after="40" w:line="240" w:lineRule="exact"/>
              <w:rPr>
                <w:rFonts w:ascii="宋体" w:hAnsi="宋体" w:eastAsia="宋体" w:cs="宋体"/>
                <w:sz w:val="18"/>
                <w:szCs w:val="18"/>
              </w:rPr>
            </w:pPr>
            <w:r>
              <w:rPr>
                <w:rFonts w:ascii="宋体" w:hAnsi="宋体" w:eastAsia="宋体" w:cs="宋体"/>
                <w:sz w:val="18"/>
                <w:szCs w:val="18"/>
              </w:rPr>
              <w:t>2．对所有者（或股东）的分配</w:t>
            </w:r>
          </w:p>
        </w:tc>
        <w:tc>
          <w:tcPr>
            <w:tcW w:w="741" w:type="dxa"/>
            <w:tcBorders>
              <w:top w:val="single" w:color="auto" w:sz="2" w:space="0"/>
              <w:left w:val="single" w:color="auto" w:sz="2" w:space="0"/>
              <w:bottom w:val="single" w:color="auto" w:sz="2" w:space="0"/>
              <w:right w:val="single" w:color="auto" w:sz="2" w:space="0"/>
            </w:tcBorders>
            <w:vAlign w:val="center"/>
          </w:tcPr>
          <w:p w14:paraId="0E59A5B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2B4318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BD0B0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BA551E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67DAD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C8980B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3A9757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92DD0D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3EF050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C20B26F">
            <w:pPr>
              <w:spacing w:line="240" w:lineRule="exact"/>
              <w:jc w:val="right"/>
              <w:rPr>
                <w:rFonts w:ascii="宋体" w:hAnsi="宋体" w:eastAsia="宋体" w:cs="宋体"/>
                <w:sz w:val="18"/>
                <w:szCs w:val="18"/>
              </w:rPr>
            </w:pPr>
            <w:r>
              <w:rPr>
                <w:rFonts w:ascii="宋体" w:hAnsi="宋体" w:eastAsia="宋体" w:cs="宋体"/>
                <w:sz w:val="18"/>
                <w:szCs w:val="18"/>
              </w:rPr>
              <w:t>-49,666,360.27</w:t>
            </w:r>
          </w:p>
        </w:tc>
        <w:tc>
          <w:tcPr>
            <w:tcW w:w="741" w:type="dxa"/>
            <w:tcBorders>
              <w:top w:val="single" w:color="auto" w:sz="2" w:space="0"/>
              <w:left w:val="single" w:color="auto" w:sz="2" w:space="0"/>
              <w:bottom w:val="single" w:color="auto" w:sz="2" w:space="0"/>
              <w:right w:val="single" w:color="auto" w:sz="2" w:space="0"/>
            </w:tcBorders>
            <w:vAlign w:val="center"/>
          </w:tcPr>
          <w:p w14:paraId="295C497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7BF6327">
            <w:pPr>
              <w:spacing w:line="240" w:lineRule="exact"/>
              <w:jc w:val="right"/>
              <w:rPr>
                <w:rFonts w:ascii="宋体" w:hAnsi="宋体" w:eastAsia="宋体" w:cs="宋体"/>
                <w:sz w:val="18"/>
                <w:szCs w:val="18"/>
              </w:rPr>
            </w:pPr>
            <w:r>
              <w:rPr>
                <w:rFonts w:ascii="宋体" w:hAnsi="宋体" w:eastAsia="宋体" w:cs="宋体"/>
                <w:sz w:val="18"/>
                <w:szCs w:val="18"/>
              </w:rPr>
              <w:t>-49,666,360.27</w:t>
            </w:r>
          </w:p>
        </w:tc>
      </w:tr>
      <w:tr w14:paraId="2CF88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8A70A28">
            <w:pPr>
              <w:spacing w:before="40" w:after="40" w:line="240" w:lineRule="exact"/>
              <w:rPr>
                <w:rFonts w:ascii="宋体" w:hAnsi="宋体" w:eastAsia="宋体" w:cs="宋体"/>
                <w:sz w:val="18"/>
                <w:szCs w:val="18"/>
              </w:rPr>
            </w:pPr>
            <w:r>
              <w:rPr>
                <w:rFonts w:ascii="宋体" w:hAnsi="宋体" w:eastAsia="宋体" w:cs="宋体"/>
                <w:sz w:val="18"/>
                <w:szCs w:val="18"/>
              </w:rPr>
              <w:t>3．其他</w:t>
            </w:r>
          </w:p>
        </w:tc>
        <w:tc>
          <w:tcPr>
            <w:tcW w:w="741" w:type="dxa"/>
            <w:tcBorders>
              <w:top w:val="single" w:color="auto" w:sz="2" w:space="0"/>
              <w:left w:val="single" w:color="auto" w:sz="2" w:space="0"/>
              <w:bottom w:val="single" w:color="auto" w:sz="2" w:space="0"/>
              <w:right w:val="single" w:color="auto" w:sz="2" w:space="0"/>
            </w:tcBorders>
            <w:vAlign w:val="center"/>
          </w:tcPr>
          <w:p w14:paraId="616BC19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120F87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2EC7B4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F62B97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DFF6C0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BC8F04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C4327F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1DA60A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C379B8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BC60D7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1BDD9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10481BD">
            <w:pPr>
              <w:spacing w:line="240" w:lineRule="exact"/>
              <w:jc w:val="right"/>
              <w:rPr>
                <w:rFonts w:ascii="宋体" w:hAnsi="宋体" w:eastAsia="宋体" w:cs="宋体"/>
                <w:sz w:val="18"/>
                <w:szCs w:val="18"/>
              </w:rPr>
            </w:pPr>
          </w:p>
        </w:tc>
      </w:tr>
      <w:tr w14:paraId="44D91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4421C01">
            <w:pPr>
              <w:spacing w:before="40" w:after="40" w:line="240" w:lineRule="exact"/>
              <w:rPr>
                <w:rFonts w:ascii="宋体" w:hAnsi="宋体" w:eastAsia="宋体" w:cs="宋体"/>
                <w:sz w:val="18"/>
                <w:szCs w:val="18"/>
              </w:rPr>
            </w:pPr>
            <w:r>
              <w:rPr>
                <w:rFonts w:ascii="宋体" w:hAnsi="宋体" w:eastAsia="宋体" w:cs="宋体"/>
                <w:sz w:val="18"/>
                <w:szCs w:val="18"/>
              </w:rPr>
              <w:t>（四）所有者权益内部结转</w:t>
            </w:r>
          </w:p>
        </w:tc>
        <w:tc>
          <w:tcPr>
            <w:tcW w:w="741" w:type="dxa"/>
            <w:tcBorders>
              <w:top w:val="single" w:color="auto" w:sz="2" w:space="0"/>
              <w:left w:val="single" w:color="auto" w:sz="2" w:space="0"/>
              <w:bottom w:val="single" w:color="auto" w:sz="2" w:space="0"/>
              <w:right w:val="single" w:color="auto" w:sz="2" w:space="0"/>
            </w:tcBorders>
            <w:vAlign w:val="center"/>
          </w:tcPr>
          <w:p w14:paraId="05DF8BC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9B5BC4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6B1E28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183365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CB51EB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18DCE4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2F4321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FDC905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A0268A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F906A0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A3405F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80B9324">
            <w:pPr>
              <w:spacing w:line="240" w:lineRule="exact"/>
              <w:jc w:val="right"/>
              <w:rPr>
                <w:rFonts w:ascii="宋体" w:hAnsi="宋体" w:eastAsia="宋体" w:cs="宋体"/>
                <w:sz w:val="18"/>
                <w:szCs w:val="18"/>
              </w:rPr>
            </w:pPr>
          </w:p>
        </w:tc>
      </w:tr>
      <w:tr w14:paraId="21FC1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E8C00A4">
            <w:pPr>
              <w:spacing w:before="40" w:after="40" w:line="240" w:lineRule="exact"/>
              <w:rPr>
                <w:rFonts w:ascii="宋体" w:hAnsi="宋体" w:eastAsia="宋体" w:cs="宋体"/>
                <w:sz w:val="18"/>
                <w:szCs w:val="18"/>
              </w:rPr>
            </w:pPr>
            <w:r>
              <w:rPr>
                <w:rFonts w:ascii="宋体" w:hAnsi="宋体" w:eastAsia="宋体" w:cs="宋体"/>
                <w:sz w:val="18"/>
                <w:szCs w:val="18"/>
              </w:rPr>
              <w:t>1．资本公积转增资本（或股本）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14:paraId="78C3534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71B17E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01EE30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50360F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2B0234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1A1593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07D05D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399352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E449D0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7C2AB3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8F2ACC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BB9F067">
            <w:pPr>
              <w:spacing w:line="240" w:lineRule="exact"/>
              <w:jc w:val="right"/>
              <w:rPr>
                <w:rFonts w:ascii="宋体" w:hAnsi="宋体" w:eastAsia="宋体" w:cs="宋体"/>
                <w:sz w:val="18"/>
                <w:szCs w:val="18"/>
              </w:rPr>
            </w:pPr>
          </w:p>
        </w:tc>
      </w:tr>
      <w:tr w14:paraId="5B999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BDAD228">
            <w:pPr>
              <w:spacing w:before="40" w:after="40" w:line="240" w:lineRule="exact"/>
              <w:rPr>
                <w:rFonts w:ascii="宋体" w:hAnsi="宋体" w:eastAsia="宋体" w:cs="宋体"/>
                <w:sz w:val="18"/>
                <w:szCs w:val="18"/>
              </w:rPr>
            </w:pPr>
            <w:r>
              <w:rPr>
                <w:rFonts w:ascii="宋体" w:hAnsi="宋体" w:eastAsia="宋体" w:cs="宋体"/>
                <w:sz w:val="18"/>
                <w:szCs w:val="18"/>
              </w:rPr>
              <w:t>2．盈余公积转增资本（或股本）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14:paraId="03986AA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BF741D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911E61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87BFCE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9DF385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01A54F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67C07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82968E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FE9394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969D4E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D103F5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3DEF8EA">
            <w:pPr>
              <w:spacing w:line="240" w:lineRule="exact"/>
              <w:jc w:val="right"/>
              <w:rPr>
                <w:rFonts w:ascii="宋体" w:hAnsi="宋体" w:eastAsia="宋体" w:cs="宋体"/>
                <w:sz w:val="18"/>
                <w:szCs w:val="18"/>
              </w:rPr>
            </w:pPr>
          </w:p>
        </w:tc>
      </w:tr>
      <w:tr w14:paraId="58B56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9189B0A">
            <w:pPr>
              <w:spacing w:before="40" w:after="40" w:line="240" w:lineRule="exact"/>
              <w:rPr>
                <w:rFonts w:ascii="宋体" w:hAnsi="宋体" w:eastAsia="宋体" w:cs="宋体"/>
                <w:sz w:val="18"/>
                <w:szCs w:val="18"/>
              </w:rPr>
            </w:pPr>
            <w:r>
              <w:rPr>
                <w:rFonts w:ascii="宋体" w:hAnsi="宋体" w:eastAsia="宋体" w:cs="宋体"/>
                <w:sz w:val="18"/>
                <w:szCs w:val="18"/>
              </w:rPr>
              <w:t>3．盈余公积弥补亏损</w:t>
            </w:r>
          </w:p>
        </w:tc>
        <w:tc>
          <w:tcPr>
            <w:tcW w:w="741" w:type="dxa"/>
            <w:tcBorders>
              <w:top w:val="single" w:color="auto" w:sz="2" w:space="0"/>
              <w:left w:val="single" w:color="auto" w:sz="2" w:space="0"/>
              <w:bottom w:val="single" w:color="auto" w:sz="2" w:space="0"/>
              <w:right w:val="single" w:color="auto" w:sz="2" w:space="0"/>
            </w:tcBorders>
            <w:vAlign w:val="center"/>
          </w:tcPr>
          <w:p w14:paraId="6477B1A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B4E9F5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F9561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6427D3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501E3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E1C6FA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C2BEA1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82CA6B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362F04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46FBA4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E7FE2C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7FB2BCC">
            <w:pPr>
              <w:spacing w:line="240" w:lineRule="exact"/>
              <w:jc w:val="right"/>
              <w:rPr>
                <w:rFonts w:ascii="宋体" w:hAnsi="宋体" w:eastAsia="宋体" w:cs="宋体"/>
                <w:sz w:val="18"/>
                <w:szCs w:val="18"/>
              </w:rPr>
            </w:pPr>
          </w:p>
        </w:tc>
      </w:tr>
      <w:tr w14:paraId="682E9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00C49CF">
            <w:pPr>
              <w:spacing w:before="40" w:after="40" w:line="240" w:lineRule="exact"/>
              <w:rPr>
                <w:rFonts w:ascii="宋体" w:hAnsi="宋体" w:eastAsia="宋体" w:cs="宋体"/>
                <w:sz w:val="18"/>
                <w:szCs w:val="18"/>
              </w:rPr>
            </w:pPr>
            <w:r>
              <w:rPr>
                <w:rFonts w:ascii="宋体" w:hAnsi="宋体" w:eastAsia="宋体" w:cs="宋体"/>
                <w:sz w:val="18"/>
                <w:szCs w:val="18"/>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vAlign w:val="center"/>
          </w:tcPr>
          <w:p w14:paraId="15D622F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971A3B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C751E1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CE9161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1FB7F8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917219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CAF57E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1F1AE0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C6C65B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9A4C82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F005C9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5086B0">
            <w:pPr>
              <w:spacing w:line="240" w:lineRule="exact"/>
              <w:jc w:val="right"/>
              <w:rPr>
                <w:rFonts w:ascii="宋体" w:hAnsi="宋体" w:eastAsia="宋体" w:cs="宋体"/>
                <w:sz w:val="18"/>
                <w:szCs w:val="18"/>
              </w:rPr>
            </w:pPr>
          </w:p>
        </w:tc>
      </w:tr>
      <w:tr w14:paraId="47AF0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D6762F1">
            <w:pPr>
              <w:spacing w:before="40" w:after="40" w:line="240" w:lineRule="exact"/>
              <w:rPr>
                <w:rFonts w:ascii="宋体" w:hAnsi="宋体" w:eastAsia="宋体" w:cs="宋体"/>
                <w:sz w:val="18"/>
                <w:szCs w:val="18"/>
              </w:rPr>
            </w:pPr>
            <w:r>
              <w:rPr>
                <w:rFonts w:ascii="宋体" w:hAnsi="宋体" w:eastAsia="宋体" w:cs="宋体"/>
                <w:sz w:val="18"/>
                <w:szCs w:val="18"/>
              </w:rPr>
              <w:t>5．其他综合收益结转留存收益</w:t>
            </w:r>
          </w:p>
        </w:tc>
        <w:tc>
          <w:tcPr>
            <w:tcW w:w="741" w:type="dxa"/>
            <w:tcBorders>
              <w:top w:val="single" w:color="auto" w:sz="2" w:space="0"/>
              <w:left w:val="single" w:color="auto" w:sz="2" w:space="0"/>
              <w:bottom w:val="single" w:color="auto" w:sz="2" w:space="0"/>
              <w:right w:val="single" w:color="auto" w:sz="2" w:space="0"/>
            </w:tcBorders>
            <w:vAlign w:val="center"/>
          </w:tcPr>
          <w:p w14:paraId="2436E78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D01E61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06B777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DFF4EB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A77ACC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5575AE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5962C6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9227A8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93D69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1AB4A2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0C39E6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EC14B79">
            <w:pPr>
              <w:spacing w:line="240" w:lineRule="exact"/>
              <w:jc w:val="right"/>
              <w:rPr>
                <w:rFonts w:ascii="宋体" w:hAnsi="宋体" w:eastAsia="宋体" w:cs="宋体"/>
                <w:sz w:val="18"/>
                <w:szCs w:val="18"/>
              </w:rPr>
            </w:pPr>
          </w:p>
        </w:tc>
      </w:tr>
      <w:tr w14:paraId="1851F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4C72AA5">
            <w:pPr>
              <w:spacing w:before="40" w:after="40" w:line="240" w:lineRule="exact"/>
              <w:rPr>
                <w:rFonts w:ascii="宋体" w:hAnsi="宋体" w:eastAsia="宋体" w:cs="宋体"/>
                <w:sz w:val="18"/>
                <w:szCs w:val="18"/>
              </w:rPr>
            </w:pPr>
            <w:r>
              <w:rPr>
                <w:rFonts w:ascii="宋体" w:hAnsi="宋体" w:eastAsia="宋体" w:cs="宋体"/>
                <w:sz w:val="18"/>
                <w:szCs w:val="18"/>
              </w:rPr>
              <w:t>6．其他</w:t>
            </w:r>
          </w:p>
        </w:tc>
        <w:tc>
          <w:tcPr>
            <w:tcW w:w="741" w:type="dxa"/>
            <w:tcBorders>
              <w:top w:val="single" w:color="auto" w:sz="2" w:space="0"/>
              <w:left w:val="single" w:color="auto" w:sz="2" w:space="0"/>
              <w:bottom w:val="single" w:color="auto" w:sz="2" w:space="0"/>
              <w:right w:val="single" w:color="auto" w:sz="2" w:space="0"/>
            </w:tcBorders>
            <w:vAlign w:val="center"/>
          </w:tcPr>
          <w:p w14:paraId="0F9A97A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93C0B5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92E2FA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30C26D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5A0CE0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6F3F2B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87DB5E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F2DD28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3E4757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F107B5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D9349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9765997">
            <w:pPr>
              <w:spacing w:line="240" w:lineRule="exact"/>
              <w:jc w:val="right"/>
              <w:rPr>
                <w:rFonts w:ascii="宋体" w:hAnsi="宋体" w:eastAsia="宋体" w:cs="宋体"/>
                <w:sz w:val="18"/>
                <w:szCs w:val="18"/>
              </w:rPr>
            </w:pPr>
          </w:p>
        </w:tc>
      </w:tr>
      <w:tr w14:paraId="78AE8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38E564B4">
            <w:pPr>
              <w:spacing w:before="40" w:after="40" w:line="240" w:lineRule="exact"/>
              <w:rPr>
                <w:rFonts w:ascii="宋体" w:hAnsi="宋体" w:eastAsia="宋体" w:cs="宋体"/>
                <w:sz w:val="18"/>
                <w:szCs w:val="18"/>
              </w:rPr>
            </w:pPr>
            <w:r>
              <w:rPr>
                <w:rFonts w:ascii="宋体" w:hAnsi="宋体" w:eastAsia="宋体" w:cs="宋体"/>
                <w:sz w:val="18"/>
                <w:szCs w:val="18"/>
              </w:rPr>
              <w:t>（五）专项储备</w:t>
            </w:r>
          </w:p>
        </w:tc>
        <w:tc>
          <w:tcPr>
            <w:tcW w:w="741" w:type="dxa"/>
            <w:tcBorders>
              <w:top w:val="single" w:color="auto" w:sz="2" w:space="0"/>
              <w:left w:val="single" w:color="auto" w:sz="2" w:space="0"/>
              <w:bottom w:val="single" w:color="auto" w:sz="2" w:space="0"/>
              <w:right w:val="single" w:color="auto" w:sz="2" w:space="0"/>
            </w:tcBorders>
            <w:vAlign w:val="center"/>
          </w:tcPr>
          <w:p w14:paraId="10FF609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2ECABC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4C383C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F42F6B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E20F24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485126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11356D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9B5934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98E06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5D3F4B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FEA686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AC5F9F5">
            <w:pPr>
              <w:spacing w:line="240" w:lineRule="exact"/>
              <w:jc w:val="right"/>
              <w:rPr>
                <w:rFonts w:ascii="宋体" w:hAnsi="宋体" w:eastAsia="宋体" w:cs="宋体"/>
                <w:sz w:val="18"/>
                <w:szCs w:val="18"/>
              </w:rPr>
            </w:pPr>
          </w:p>
        </w:tc>
      </w:tr>
      <w:tr w14:paraId="6DD58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BED7340">
            <w:pPr>
              <w:spacing w:before="40" w:after="40" w:line="240" w:lineRule="exact"/>
              <w:rPr>
                <w:rFonts w:ascii="宋体" w:hAnsi="宋体" w:eastAsia="宋体" w:cs="宋体"/>
                <w:sz w:val="18"/>
                <w:szCs w:val="18"/>
              </w:rPr>
            </w:pPr>
            <w:r>
              <w:rPr>
                <w:rFonts w:ascii="宋体" w:hAnsi="宋体" w:eastAsia="宋体" w:cs="宋体"/>
                <w:sz w:val="18"/>
                <w:szCs w:val="18"/>
              </w:rPr>
              <w:t>1．本期提取</w:t>
            </w:r>
          </w:p>
        </w:tc>
        <w:tc>
          <w:tcPr>
            <w:tcW w:w="741" w:type="dxa"/>
            <w:tcBorders>
              <w:top w:val="single" w:color="auto" w:sz="2" w:space="0"/>
              <w:left w:val="single" w:color="auto" w:sz="2" w:space="0"/>
              <w:bottom w:val="single" w:color="auto" w:sz="2" w:space="0"/>
              <w:right w:val="single" w:color="auto" w:sz="2" w:space="0"/>
            </w:tcBorders>
            <w:vAlign w:val="center"/>
          </w:tcPr>
          <w:p w14:paraId="1F305E5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9BB40F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4F2E76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0A929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429D5C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6E5A37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77AF12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164CD3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C34E8B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0479F6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0067BB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177DA18">
            <w:pPr>
              <w:spacing w:line="240" w:lineRule="exact"/>
              <w:jc w:val="right"/>
              <w:rPr>
                <w:rFonts w:ascii="宋体" w:hAnsi="宋体" w:eastAsia="宋体" w:cs="宋体"/>
                <w:sz w:val="18"/>
                <w:szCs w:val="18"/>
              </w:rPr>
            </w:pPr>
          </w:p>
        </w:tc>
      </w:tr>
      <w:tr w14:paraId="0FFFD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3122B9A">
            <w:pPr>
              <w:spacing w:before="40" w:after="40" w:line="240" w:lineRule="exact"/>
              <w:rPr>
                <w:rFonts w:ascii="宋体" w:hAnsi="宋体" w:eastAsia="宋体" w:cs="宋体"/>
                <w:sz w:val="18"/>
                <w:szCs w:val="18"/>
              </w:rPr>
            </w:pPr>
            <w:r>
              <w:rPr>
                <w:rFonts w:ascii="宋体" w:hAnsi="宋体" w:eastAsia="宋体" w:cs="宋体"/>
                <w:sz w:val="18"/>
                <w:szCs w:val="18"/>
              </w:rPr>
              <w:t>2．本期使用</w:t>
            </w:r>
          </w:p>
        </w:tc>
        <w:tc>
          <w:tcPr>
            <w:tcW w:w="741" w:type="dxa"/>
            <w:tcBorders>
              <w:top w:val="single" w:color="auto" w:sz="2" w:space="0"/>
              <w:left w:val="single" w:color="auto" w:sz="2" w:space="0"/>
              <w:bottom w:val="single" w:color="auto" w:sz="2" w:space="0"/>
              <w:right w:val="single" w:color="auto" w:sz="2" w:space="0"/>
            </w:tcBorders>
            <w:vAlign w:val="center"/>
          </w:tcPr>
          <w:p w14:paraId="70B047E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11427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3BBEA3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B5F70C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0B755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39840E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042E1B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3A89D0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3849A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6E8F81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DA824D4">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4114A35">
            <w:pPr>
              <w:spacing w:line="240" w:lineRule="exact"/>
              <w:jc w:val="right"/>
              <w:rPr>
                <w:rFonts w:ascii="宋体" w:hAnsi="宋体" w:eastAsia="宋体" w:cs="宋体"/>
                <w:sz w:val="18"/>
                <w:szCs w:val="18"/>
              </w:rPr>
            </w:pPr>
          </w:p>
        </w:tc>
      </w:tr>
      <w:tr w14:paraId="3E22C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04A6EBD">
            <w:pPr>
              <w:spacing w:before="40" w:after="40" w:line="240" w:lineRule="exact"/>
              <w:rPr>
                <w:rFonts w:ascii="宋体" w:hAnsi="宋体" w:eastAsia="宋体" w:cs="宋体"/>
                <w:sz w:val="18"/>
                <w:szCs w:val="18"/>
              </w:rPr>
            </w:pPr>
            <w:r>
              <w:rPr>
                <w:rFonts w:ascii="宋体" w:hAnsi="宋体" w:eastAsia="宋体" w:cs="宋体"/>
                <w:sz w:val="18"/>
                <w:szCs w:val="18"/>
              </w:rPr>
              <w:t>（六）其他</w:t>
            </w:r>
          </w:p>
        </w:tc>
        <w:tc>
          <w:tcPr>
            <w:tcW w:w="741" w:type="dxa"/>
            <w:tcBorders>
              <w:top w:val="single" w:color="auto" w:sz="2" w:space="0"/>
              <w:left w:val="single" w:color="auto" w:sz="2" w:space="0"/>
              <w:bottom w:val="single" w:color="auto" w:sz="2" w:space="0"/>
              <w:right w:val="single" w:color="auto" w:sz="2" w:space="0"/>
            </w:tcBorders>
            <w:vAlign w:val="center"/>
          </w:tcPr>
          <w:p w14:paraId="77084AC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656178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FCCE78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0F94E0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78BAA5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ECF121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851086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F1BC5B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214378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A48214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FADA29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FDDF8CE">
            <w:pPr>
              <w:spacing w:line="240" w:lineRule="exact"/>
              <w:jc w:val="right"/>
              <w:rPr>
                <w:rFonts w:ascii="宋体" w:hAnsi="宋体" w:eastAsia="宋体" w:cs="宋体"/>
                <w:sz w:val="18"/>
                <w:szCs w:val="18"/>
              </w:rPr>
            </w:pPr>
          </w:p>
        </w:tc>
      </w:tr>
      <w:tr w14:paraId="7EAE2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7961BF2">
            <w:pPr>
              <w:spacing w:before="40" w:after="40" w:line="240" w:lineRule="exact"/>
              <w:rPr>
                <w:rFonts w:ascii="宋体" w:hAnsi="宋体" w:eastAsia="宋体" w:cs="宋体"/>
                <w:sz w:val="18"/>
                <w:szCs w:val="18"/>
              </w:rPr>
            </w:pPr>
            <w:r>
              <w:rPr>
                <w:rFonts w:ascii="宋体" w:hAnsi="宋体" w:eastAsia="宋体" w:cs="宋体"/>
                <w:sz w:val="18"/>
                <w:szCs w:val="18"/>
              </w:rPr>
              <w:t>四、本期期末余额</w:t>
            </w:r>
          </w:p>
        </w:tc>
        <w:tc>
          <w:tcPr>
            <w:tcW w:w="741" w:type="dxa"/>
            <w:tcBorders>
              <w:top w:val="single" w:color="auto" w:sz="2" w:space="0"/>
              <w:left w:val="single" w:color="auto" w:sz="2" w:space="0"/>
              <w:bottom w:val="single" w:color="auto" w:sz="2" w:space="0"/>
              <w:right w:val="single" w:color="auto" w:sz="2" w:space="0"/>
            </w:tcBorders>
            <w:vAlign w:val="center"/>
          </w:tcPr>
          <w:p w14:paraId="0CD321E9">
            <w:pPr>
              <w:spacing w:line="240" w:lineRule="exact"/>
              <w:jc w:val="right"/>
              <w:rPr>
                <w:rFonts w:ascii="宋体" w:hAnsi="宋体" w:eastAsia="宋体" w:cs="宋体"/>
                <w:sz w:val="18"/>
                <w:szCs w:val="18"/>
              </w:rPr>
            </w:pPr>
            <w:r>
              <w:rPr>
                <w:rFonts w:ascii="宋体" w:hAnsi="宋体" w:eastAsia="宋体" w:cs="宋体"/>
                <w:sz w:val="18"/>
                <w:szCs w:val="18"/>
              </w:rPr>
              <w:t>1,700,681,355.00</w:t>
            </w:r>
          </w:p>
        </w:tc>
        <w:tc>
          <w:tcPr>
            <w:tcW w:w="741" w:type="dxa"/>
            <w:tcBorders>
              <w:top w:val="single" w:color="auto" w:sz="2" w:space="0"/>
              <w:left w:val="single" w:color="auto" w:sz="2" w:space="0"/>
              <w:bottom w:val="single" w:color="auto" w:sz="2" w:space="0"/>
              <w:right w:val="single" w:color="auto" w:sz="2" w:space="0"/>
            </w:tcBorders>
            <w:vAlign w:val="center"/>
          </w:tcPr>
          <w:p w14:paraId="2F7C12A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6A99F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7177DA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D6CC39">
            <w:pPr>
              <w:spacing w:line="240" w:lineRule="exact"/>
              <w:jc w:val="right"/>
              <w:rPr>
                <w:rFonts w:ascii="宋体" w:hAnsi="宋体" w:eastAsia="宋体" w:cs="宋体"/>
                <w:sz w:val="18"/>
                <w:szCs w:val="18"/>
              </w:rPr>
            </w:pPr>
            <w:r>
              <w:rPr>
                <w:rFonts w:ascii="宋体" w:hAnsi="宋体" w:eastAsia="宋体" w:cs="宋体"/>
                <w:sz w:val="18"/>
                <w:szCs w:val="18"/>
              </w:rPr>
              <w:t>3,106,930,758.15</w:t>
            </w:r>
          </w:p>
        </w:tc>
        <w:tc>
          <w:tcPr>
            <w:tcW w:w="741" w:type="dxa"/>
            <w:tcBorders>
              <w:top w:val="single" w:color="auto" w:sz="2" w:space="0"/>
              <w:left w:val="single" w:color="auto" w:sz="2" w:space="0"/>
              <w:bottom w:val="single" w:color="auto" w:sz="2" w:space="0"/>
              <w:right w:val="single" w:color="auto" w:sz="2" w:space="0"/>
            </w:tcBorders>
            <w:vAlign w:val="center"/>
          </w:tcPr>
          <w:p w14:paraId="287649C8">
            <w:pPr>
              <w:spacing w:line="240" w:lineRule="exact"/>
              <w:jc w:val="right"/>
              <w:rPr>
                <w:rFonts w:ascii="宋体" w:hAnsi="宋体" w:eastAsia="宋体" w:cs="宋体"/>
                <w:sz w:val="18"/>
                <w:szCs w:val="18"/>
              </w:rPr>
            </w:pPr>
            <w:r>
              <w:rPr>
                <w:rFonts w:ascii="宋体" w:hAnsi="宋体" w:eastAsia="宋体" w:cs="宋体"/>
                <w:sz w:val="18"/>
                <w:szCs w:val="18"/>
              </w:rPr>
              <w:t>300,104,207.84</w:t>
            </w:r>
          </w:p>
        </w:tc>
        <w:tc>
          <w:tcPr>
            <w:tcW w:w="741" w:type="dxa"/>
            <w:tcBorders>
              <w:top w:val="single" w:color="auto" w:sz="2" w:space="0"/>
              <w:left w:val="single" w:color="auto" w:sz="2" w:space="0"/>
              <w:bottom w:val="single" w:color="auto" w:sz="2" w:space="0"/>
              <w:right w:val="single" w:color="auto" w:sz="2" w:space="0"/>
            </w:tcBorders>
            <w:vAlign w:val="center"/>
          </w:tcPr>
          <w:p w14:paraId="4BADD60C">
            <w:pPr>
              <w:spacing w:line="240" w:lineRule="exact"/>
              <w:jc w:val="right"/>
              <w:rPr>
                <w:rFonts w:ascii="宋体" w:hAnsi="宋体" w:eastAsia="宋体" w:cs="宋体"/>
                <w:sz w:val="18"/>
                <w:szCs w:val="18"/>
              </w:rPr>
            </w:pPr>
            <w:r>
              <w:rPr>
                <w:rFonts w:ascii="宋体" w:hAnsi="宋体" w:eastAsia="宋体" w:cs="宋体"/>
                <w:sz w:val="18"/>
                <w:szCs w:val="18"/>
              </w:rPr>
              <w:t>33,830,744.58</w:t>
            </w:r>
          </w:p>
        </w:tc>
        <w:tc>
          <w:tcPr>
            <w:tcW w:w="741" w:type="dxa"/>
            <w:tcBorders>
              <w:top w:val="single" w:color="auto" w:sz="2" w:space="0"/>
              <w:left w:val="single" w:color="auto" w:sz="2" w:space="0"/>
              <w:bottom w:val="single" w:color="auto" w:sz="2" w:space="0"/>
              <w:right w:val="single" w:color="auto" w:sz="2" w:space="0"/>
            </w:tcBorders>
            <w:vAlign w:val="center"/>
          </w:tcPr>
          <w:p w14:paraId="0E66B2A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3B2850A">
            <w:pPr>
              <w:spacing w:line="240" w:lineRule="exact"/>
              <w:jc w:val="right"/>
              <w:rPr>
                <w:rFonts w:ascii="宋体" w:hAnsi="宋体" w:eastAsia="宋体" w:cs="宋体"/>
                <w:sz w:val="18"/>
                <w:szCs w:val="18"/>
              </w:rPr>
            </w:pPr>
            <w:r>
              <w:rPr>
                <w:rFonts w:ascii="宋体" w:hAnsi="宋体" w:eastAsia="宋体" w:cs="宋体"/>
                <w:sz w:val="18"/>
                <w:szCs w:val="18"/>
              </w:rPr>
              <w:t>309,166,201.62</w:t>
            </w:r>
          </w:p>
        </w:tc>
        <w:tc>
          <w:tcPr>
            <w:tcW w:w="741" w:type="dxa"/>
            <w:tcBorders>
              <w:top w:val="single" w:color="auto" w:sz="2" w:space="0"/>
              <w:left w:val="single" w:color="auto" w:sz="2" w:space="0"/>
              <w:bottom w:val="single" w:color="auto" w:sz="2" w:space="0"/>
              <w:right w:val="single" w:color="auto" w:sz="2" w:space="0"/>
            </w:tcBorders>
            <w:vAlign w:val="center"/>
          </w:tcPr>
          <w:p w14:paraId="07492E58">
            <w:pPr>
              <w:spacing w:line="240" w:lineRule="exact"/>
              <w:jc w:val="right"/>
              <w:rPr>
                <w:rFonts w:ascii="宋体" w:hAnsi="宋体" w:eastAsia="宋体" w:cs="宋体"/>
                <w:sz w:val="18"/>
                <w:szCs w:val="18"/>
              </w:rPr>
            </w:pPr>
            <w:r>
              <w:rPr>
                <w:rFonts w:ascii="宋体" w:hAnsi="宋体" w:eastAsia="宋体" w:cs="宋体"/>
                <w:sz w:val="18"/>
                <w:szCs w:val="18"/>
              </w:rPr>
              <w:t>509,777,501.50</w:t>
            </w:r>
          </w:p>
        </w:tc>
        <w:tc>
          <w:tcPr>
            <w:tcW w:w="741" w:type="dxa"/>
            <w:tcBorders>
              <w:top w:val="single" w:color="auto" w:sz="2" w:space="0"/>
              <w:left w:val="single" w:color="auto" w:sz="2" w:space="0"/>
              <w:bottom w:val="single" w:color="auto" w:sz="2" w:space="0"/>
              <w:right w:val="single" w:color="auto" w:sz="2" w:space="0"/>
            </w:tcBorders>
            <w:vAlign w:val="center"/>
          </w:tcPr>
          <w:p w14:paraId="2411826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8DEF291">
            <w:pPr>
              <w:spacing w:line="240" w:lineRule="exact"/>
              <w:jc w:val="right"/>
              <w:rPr>
                <w:rFonts w:ascii="宋体" w:hAnsi="宋体" w:eastAsia="宋体" w:cs="宋体"/>
                <w:sz w:val="18"/>
                <w:szCs w:val="18"/>
              </w:rPr>
            </w:pPr>
            <w:r>
              <w:rPr>
                <w:rFonts w:ascii="宋体" w:hAnsi="宋体" w:eastAsia="宋体" w:cs="宋体"/>
                <w:sz w:val="18"/>
                <w:szCs w:val="18"/>
              </w:rPr>
              <w:t>5,360,282,353.01</w:t>
            </w:r>
          </w:p>
        </w:tc>
      </w:tr>
    </w:tbl>
    <w:p w14:paraId="6456E12B">
      <w:pPr>
        <w:pStyle w:val="2"/>
        <w:spacing w:before="300" w:after="300" w:line="320" w:lineRule="exact"/>
        <w:rPr>
          <w:rFonts w:ascii="宋体" w:hAnsi="宋体" w:eastAsia="宋体" w:cs="宋体"/>
          <w:b/>
          <w:bCs/>
          <w:sz w:val="24"/>
          <w:szCs w:val="24"/>
        </w:rPr>
      </w:pPr>
      <w:bookmarkStart w:id="169" w:name="_Toc989055"/>
      <w:r>
        <w:rPr>
          <w:rFonts w:ascii="宋体" w:hAnsi="宋体" w:eastAsia="宋体" w:cs="宋体"/>
          <w:b/>
          <w:bCs/>
          <w:sz w:val="24"/>
          <w:szCs w:val="24"/>
        </w:rPr>
        <w:t>三、公司基本情况</w:t>
      </w:r>
      <w:bookmarkEnd w:id="169"/>
    </w:p>
    <w:p w14:paraId="578F67F7">
      <w:pPr>
        <w:keepNext w:val="0"/>
        <w:keepLines w:val="0"/>
        <w:pageBreakBefore w:val="0"/>
        <w:widowControl/>
        <w:kinsoku/>
        <w:wordWrap/>
        <w:overflowPunct/>
        <w:topLinePunct w:val="0"/>
        <w:autoSpaceDE/>
        <w:autoSpaceDN/>
        <w:bidi w:val="0"/>
        <w:adjustRightInd/>
        <w:snapToGrid/>
        <w:spacing w:before="100" w:beforeAutospacing="1" w:after="100" w:afterAutospacing="1"/>
        <w:ind w:left="426" w:firstLine="420" w:firstLineChars="200"/>
        <w:jc w:val="both"/>
        <w:textAlignment w:val="auto"/>
        <w:rPr>
          <w:rFonts w:ascii="宋体" w:hAnsi="宋体" w:eastAsia="宋体" w:cs="宋体"/>
          <w:kern w:val="0"/>
          <w:szCs w:val="21"/>
        </w:rPr>
      </w:pPr>
      <w:r>
        <w:rPr>
          <w:rFonts w:hint="eastAsia" w:ascii="宋体" w:hAnsi="宋体" w:eastAsia="宋体" w:cs="宋体"/>
          <w:kern w:val="0"/>
          <w:szCs w:val="21"/>
        </w:rPr>
        <w:t>公司注册地、组织形式和总部地址</w:t>
      </w:r>
    </w:p>
    <w:p w14:paraId="6EE6A81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sz w:val="21"/>
          <w:szCs w:val="21"/>
        </w:rPr>
      </w:pPr>
      <w:r>
        <w:rPr>
          <w:rFonts w:hint="eastAsia"/>
          <w:sz w:val="21"/>
          <w:szCs w:val="21"/>
        </w:rPr>
        <w:t>华孚时尚股份有限公司（以下简称“公司”或“本公司”）前身系于2000年10月经安徽省体改委【皖体改函[2000]79号】、安徽省人民政府【皖府股字[2000]第37号】文批准，由安徽飞亚纺织集团有限公司(以下简称“飞亚集团”)作为主发起人，联合上海东华大学科技园发展有限公司、淮北印染集团公司、上海市纺织科学研究院、安徽省国有资产运营有限公司、淮北市国有资产运营有限公司等五家企业共同发起，采用募集方式设立的股份有限公司。并于2000 年10 月31 日在安徽省工商行政管理局登记注册，注册资本为6,000.00万元。根据本公司2003 年第一次临时股东大会决议，并经中国证券监督管理委员会证监发行字[2005]9号文核准，本公司于2005 年4 月向社会公众公开发行股票4,000万股，2005年4 月27日在深圳证券交易所挂牌上市。</w:t>
      </w:r>
    </w:p>
    <w:p w14:paraId="05411B3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sz w:val="21"/>
          <w:szCs w:val="21"/>
        </w:rPr>
      </w:pPr>
      <w:r>
        <w:rPr>
          <w:rFonts w:hint="eastAsia"/>
          <w:sz w:val="21"/>
          <w:szCs w:val="21"/>
        </w:rPr>
        <w:t>2008年1月22日淮北市人民政府国有资产监督管理委员会与华孚控股有限公司(以下简称“华孚控股”)签订《产权交易合同》，华孚控股拟收购淮北市人民政府国有资产监督管理委员会持有的飞亚集团100%的股权，飞亚集团持有本公司40.55%的股权。</w:t>
      </w:r>
    </w:p>
    <w:p w14:paraId="3A6EC45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sz w:val="21"/>
          <w:szCs w:val="21"/>
        </w:rPr>
      </w:pPr>
      <w:r>
        <w:rPr>
          <w:rFonts w:hint="eastAsia"/>
          <w:sz w:val="21"/>
          <w:szCs w:val="21"/>
        </w:rPr>
        <w:t>上述转让经2008年4月6日国务院国有资产监督管理委员会国资产权［2008］357号《关于安徽飞亚纺织发展股份有限公司间接转让涉及的国有股东性质变更有关问题的批复》以及2008年6月27日中国证券监督管理委员会证监许可［2008］849号《关于核准华孚控股有限公司公告安徽飞亚纺织发展股份有限公司收购报告书的批复》批准。2008年12月10日完成工商变更登记手续，飞亚集团变更为华孚控股全资子公司。</w:t>
      </w:r>
    </w:p>
    <w:p w14:paraId="32EB7082">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sz w:val="21"/>
          <w:szCs w:val="21"/>
        </w:rPr>
      </w:pPr>
      <w:r>
        <w:rPr>
          <w:rFonts w:hint="eastAsia"/>
          <w:sz w:val="21"/>
          <w:szCs w:val="21"/>
        </w:rPr>
        <w:t>2008年1月30日，飞亚集团分别与受让方廖煜、赵伟光和陈敏签署了股权转让协议。飞亚集团以协议转让方式分别向廖煜、赵伟光和陈敏转让499万股本公司股权，合计转让1,497万股权，占本公司总股本的14.97%。飞亚集团减持后持有本公司2,557.91万股，占总股本的25.58%，该转让于2008年12月3日完成股权过户手续。</w:t>
      </w:r>
    </w:p>
    <w:p w14:paraId="720C7A0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sz w:val="21"/>
          <w:szCs w:val="21"/>
        </w:rPr>
      </w:pPr>
      <w:r>
        <w:rPr>
          <w:rFonts w:hint="eastAsia"/>
          <w:sz w:val="21"/>
          <w:szCs w:val="21"/>
        </w:rPr>
        <w:t>本公司2008年5月15日与华孚控股、深圳市华人投资有限公司及朱翠云、宋江、顾振华、潘金平、齐昌玮、张小荷、项小岳、王斌签署了《非公开发行股份与资产购买协议书》，并经2008年第三届董事会第三次会议决议、2008年第二次临时股东大会决议通过，本公司以通过非公开发行13,511.10万股普通股为对价，认购华孚控股、深圳市华人投资有限公司及朱翠云、宋江、顾振华、潘金平、齐昌玮、张小荷、项小岳、王斌八位自然人合计持有的深圳市华孚进出口有限公司100%股权；认购华孚控股持有的江西华孚色纺有限公司40%股权、持有的浙江缙云华孚纺织有限公司29.70%股权以及持有的浙江金棉纺织有限公司37.50%股权(以下简称“标的资产”)。</w:t>
      </w:r>
    </w:p>
    <w:p w14:paraId="2564988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sz w:val="21"/>
          <w:szCs w:val="21"/>
        </w:rPr>
      </w:pPr>
      <w:r>
        <w:rPr>
          <w:rFonts w:hint="eastAsia"/>
          <w:sz w:val="21"/>
          <w:szCs w:val="21"/>
        </w:rPr>
        <w:t>2008年12月29日，根据中国证券监督管理委员会上市公司并购重组审核委员会审核结果，本公司发行股份购买资产暨关联交易获得有条件通过。</w:t>
      </w:r>
    </w:p>
    <w:p w14:paraId="1FFE9FC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sz w:val="21"/>
          <w:szCs w:val="21"/>
        </w:rPr>
      </w:pPr>
      <w:r>
        <w:rPr>
          <w:rFonts w:hint="eastAsia"/>
          <w:sz w:val="21"/>
          <w:szCs w:val="21"/>
        </w:rPr>
        <w:t>2008年12月31日，本公司召开2008年第四次临时股东大会，决议通过《关于变更公司注册名称的议案》，本公司注册名称拟由“安徽飞亚纺织发展股份有限公司”变更为“安徽华孚色纺股份有限公司”，并于2009年1月5日完成工商变更登记手续。</w:t>
      </w:r>
    </w:p>
    <w:p w14:paraId="36EC741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sz w:val="21"/>
          <w:szCs w:val="21"/>
        </w:rPr>
      </w:pPr>
      <w:r>
        <w:rPr>
          <w:rFonts w:hint="eastAsia"/>
          <w:sz w:val="21"/>
          <w:szCs w:val="21"/>
        </w:rPr>
        <w:t>2009年3月19日，本公司召开2008年度股东大会，决议通过《关于变更公司注册名称的议案》，本公司注册名称拟由“安徽华孚色纺股份有限公司”变更为“华孚色纺股份有限公司”。</w:t>
      </w:r>
    </w:p>
    <w:p w14:paraId="525D94CE">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sz w:val="21"/>
          <w:szCs w:val="21"/>
        </w:rPr>
      </w:pPr>
      <w:r>
        <w:rPr>
          <w:rFonts w:hint="eastAsia"/>
          <w:sz w:val="21"/>
          <w:szCs w:val="21"/>
        </w:rPr>
        <w:t>本公司2017年8月23日召开第六届董事会第八次会议、2017年9月12日召开2017年第二次临时股东大会审议通过了《关于拟变更公司名称、证券简称及修订〈公司章程〉的议案》，公司名称由华孚色纺股份有限公司变更为华孚时尚股份有限公司，现持有统一社会信用代码为9134060072553187XK的营业执照。</w:t>
      </w:r>
    </w:p>
    <w:p w14:paraId="5B26524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sz w:val="21"/>
          <w:szCs w:val="21"/>
        </w:rPr>
      </w:pPr>
      <w:r>
        <w:rPr>
          <w:rFonts w:hint="eastAsia"/>
          <w:sz w:val="21"/>
          <w:szCs w:val="21"/>
        </w:rPr>
        <w:t>经过历年的派送红股、配售新股、转增股本及增发新股，截止2025年12月31日，本公司累计发行股本总数170,068.1355万股，注册资本为170,068.1355万元，注册地址：淮北经济开发区新区石山路6号，总部地址：广东省深圳市福田区市花路5号长富金茂大厦59楼，母公司为华孚控股有限公司，最终实际控制人为孙伟挺、陈玲芬。</w:t>
      </w:r>
    </w:p>
    <w:p w14:paraId="32B31D3F">
      <w:pPr>
        <w:keepNext w:val="0"/>
        <w:keepLines w:val="0"/>
        <w:pageBreakBefore w:val="0"/>
        <w:widowControl/>
        <w:kinsoku/>
        <w:wordWrap/>
        <w:overflowPunct/>
        <w:topLinePunct w:val="0"/>
        <w:autoSpaceDE/>
        <w:autoSpaceDN/>
        <w:bidi w:val="0"/>
        <w:adjustRightInd/>
        <w:snapToGrid/>
        <w:spacing w:before="100" w:beforeAutospacing="1" w:after="100" w:afterAutospacing="1"/>
        <w:ind w:left="426" w:firstLine="420" w:firstLineChars="200"/>
        <w:jc w:val="both"/>
        <w:textAlignment w:val="auto"/>
        <w:rPr>
          <w:rFonts w:ascii="宋体" w:hAnsi="宋体" w:eastAsia="宋体" w:cs="宋体"/>
          <w:kern w:val="0"/>
          <w:szCs w:val="21"/>
        </w:rPr>
      </w:pPr>
      <w:r>
        <w:rPr>
          <w:rFonts w:hint="eastAsia" w:ascii="宋体" w:hAnsi="宋体" w:eastAsia="宋体" w:cs="宋体"/>
          <w:kern w:val="0"/>
          <w:szCs w:val="21"/>
        </w:rPr>
        <w:t>公司业务性质和主要经营活动</w:t>
      </w:r>
    </w:p>
    <w:p w14:paraId="02DD32CE">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sz w:val="21"/>
          <w:szCs w:val="21"/>
        </w:rPr>
      </w:pPr>
      <w:r>
        <w:rPr>
          <w:rFonts w:hint="eastAsia"/>
          <w:sz w:val="21"/>
          <w:szCs w:val="21"/>
        </w:rPr>
        <w:t>本公司属纺织行业，主要经营活动：纱线的研发、生产、销售；棉花的采购、加工、销售；袜制品设计、生产、销售；棉花种子生产、销售等。</w:t>
      </w:r>
    </w:p>
    <w:p w14:paraId="1CC19936">
      <w:pPr>
        <w:keepNext w:val="0"/>
        <w:keepLines w:val="0"/>
        <w:pageBreakBefore w:val="0"/>
        <w:widowControl/>
        <w:kinsoku/>
        <w:wordWrap/>
        <w:overflowPunct/>
        <w:topLinePunct w:val="0"/>
        <w:autoSpaceDE/>
        <w:autoSpaceDN/>
        <w:bidi w:val="0"/>
        <w:adjustRightInd/>
        <w:snapToGrid/>
        <w:spacing w:before="100" w:beforeAutospacing="1" w:after="100" w:afterAutospacing="1"/>
        <w:ind w:left="426" w:firstLine="420" w:firstLineChars="200"/>
        <w:jc w:val="both"/>
        <w:textAlignment w:val="auto"/>
        <w:rPr>
          <w:rFonts w:ascii="宋体" w:hAnsi="宋体" w:eastAsia="宋体" w:cs="宋体"/>
          <w:kern w:val="0"/>
          <w:szCs w:val="21"/>
        </w:rPr>
      </w:pPr>
      <w:r>
        <w:rPr>
          <w:rFonts w:hint="eastAsia" w:ascii="宋体" w:hAnsi="宋体" w:eastAsia="宋体" w:cs="宋体"/>
          <w:kern w:val="0"/>
          <w:szCs w:val="21"/>
        </w:rPr>
        <w:t>合并财务报表范围</w:t>
      </w:r>
    </w:p>
    <w:p w14:paraId="6645430A">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ascii="Times New Roman" w:hAnsi="Times New Roman" w:cs="Times New Roman"/>
          <w:sz w:val="21"/>
          <w:szCs w:val="21"/>
        </w:rPr>
      </w:pPr>
      <w:r>
        <w:rPr>
          <w:rFonts w:hint="eastAsia" w:cs="Times New Roman"/>
          <w:sz w:val="21"/>
          <w:szCs w:val="21"/>
        </w:rPr>
        <w:t>本公司本期纳入合并范围的子公司共</w:t>
      </w:r>
      <w:r>
        <w:rPr>
          <w:rFonts w:ascii="Arial" w:hAnsi="Arial" w:cs="Arial"/>
          <w:sz w:val="21"/>
          <w:szCs w:val="21"/>
        </w:rPr>
        <w:t>88</w:t>
      </w:r>
      <w:r>
        <w:rPr>
          <w:rFonts w:hint="eastAsia" w:cs="Times New Roman"/>
          <w:sz w:val="21"/>
          <w:szCs w:val="21"/>
        </w:rPr>
        <w:t>户，详见十、在其他主体中的权益。本期纳入合并财务报表范围的主体较上期相比，增加</w:t>
      </w:r>
      <w:r>
        <w:rPr>
          <w:rFonts w:ascii="Arial" w:hAnsi="Arial" w:cs="Arial"/>
          <w:sz w:val="21"/>
          <w:szCs w:val="21"/>
        </w:rPr>
        <w:t>3</w:t>
      </w:r>
      <w:r>
        <w:rPr>
          <w:rFonts w:hint="eastAsia" w:cs="Times New Roman"/>
          <w:sz w:val="21"/>
          <w:szCs w:val="21"/>
        </w:rPr>
        <w:t>户，减少</w:t>
      </w:r>
      <w:r>
        <w:rPr>
          <w:rFonts w:ascii="Arial" w:hAnsi="Arial" w:cs="Arial"/>
          <w:sz w:val="21"/>
          <w:szCs w:val="21"/>
        </w:rPr>
        <w:t>1</w:t>
      </w:r>
      <w:r>
        <w:rPr>
          <w:rFonts w:hint="eastAsia" w:cs="Times New Roman"/>
          <w:sz w:val="21"/>
          <w:szCs w:val="21"/>
        </w:rPr>
        <w:t>户，</w:t>
      </w:r>
      <w:r>
        <w:rPr>
          <w:rStyle w:val="18"/>
          <w:rFonts w:ascii="Times New Roman" w:hAnsi="Times New Roman" w:cs="Times New Roman"/>
        </w:rPr>
        <w:t>合并范围变更主体的具体信息详见九、合并范围的变更。</w:t>
      </w:r>
    </w:p>
    <w:p w14:paraId="518E1A38">
      <w:pPr>
        <w:keepNext w:val="0"/>
        <w:keepLines w:val="0"/>
        <w:pageBreakBefore w:val="0"/>
        <w:widowControl/>
        <w:kinsoku/>
        <w:wordWrap/>
        <w:overflowPunct/>
        <w:topLinePunct w:val="0"/>
        <w:autoSpaceDE/>
        <w:autoSpaceDN/>
        <w:bidi w:val="0"/>
        <w:adjustRightInd/>
        <w:snapToGrid/>
        <w:spacing w:before="100" w:beforeAutospacing="1" w:after="100" w:afterAutospacing="1"/>
        <w:ind w:left="426" w:firstLine="420" w:firstLineChars="200"/>
        <w:jc w:val="both"/>
        <w:textAlignment w:val="auto"/>
        <w:rPr>
          <w:rFonts w:ascii="宋体" w:hAnsi="宋体" w:eastAsia="宋体" w:cs="宋体"/>
          <w:kern w:val="0"/>
          <w:szCs w:val="21"/>
        </w:rPr>
      </w:pPr>
      <w:r>
        <w:rPr>
          <w:rFonts w:hint="eastAsia" w:ascii="宋体" w:hAnsi="宋体" w:eastAsia="宋体" w:cs="宋体"/>
          <w:kern w:val="0"/>
          <w:szCs w:val="21"/>
        </w:rPr>
        <w:t>财务报表的批准报出</w:t>
      </w:r>
    </w:p>
    <w:p w14:paraId="183C905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sz w:val="21"/>
          <w:szCs w:val="21"/>
        </w:rPr>
      </w:pPr>
      <w:r>
        <w:rPr>
          <w:rFonts w:hint="eastAsia"/>
          <w:sz w:val="21"/>
          <w:szCs w:val="21"/>
        </w:rPr>
        <w:t>本财务报表业经公司董事会于</w:t>
      </w:r>
      <w:r>
        <w:rPr>
          <w:rFonts w:ascii="Arial" w:hAnsi="Arial" w:cs="Arial"/>
          <w:sz w:val="21"/>
          <w:szCs w:val="21"/>
        </w:rPr>
        <w:t>2026</w:t>
      </w:r>
      <w:r>
        <w:rPr>
          <w:rFonts w:hint="eastAsia"/>
          <w:sz w:val="21"/>
          <w:szCs w:val="21"/>
        </w:rPr>
        <w:t>年</w:t>
      </w:r>
      <w:r>
        <w:rPr>
          <w:rFonts w:ascii="Arial" w:hAnsi="Arial" w:cs="Arial"/>
          <w:sz w:val="21"/>
          <w:szCs w:val="21"/>
        </w:rPr>
        <w:t>4</w:t>
      </w:r>
      <w:r>
        <w:rPr>
          <w:rFonts w:hint="eastAsia"/>
          <w:sz w:val="21"/>
          <w:szCs w:val="21"/>
        </w:rPr>
        <w:t>月</w:t>
      </w:r>
      <w:r>
        <w:rPr>
          <w:rFonts w:ascii="Arial" w:hAnsi="Arial" w:cs="Arial"/>
          <w:sz w:val="21"/>
          <w:szCs w:val="21"/>
        </w:rPr>
        <w:t>28</w:t>
      </w:r>
      <w:r>
        <w:rPr>
          <w:rFonts w:hint="eastAsia"/>
          <w:sz w:val="21"/>
          <w:szCs w:val="21"/>
        </w:rPr>
        <w:t>日批准报出。</w:t>
      </w:r>
    </w:p>
    <w:p w14:paraId="44CA43C8">
      <w:pPr>
        <w:pStyle w:val="2"/>
        <w:spacing w:before="300" w:after="300" w:line="320" w:lineRule="exact"/>
        <w:rPr>
          <w:rFonts w:ascii="宋体" w:hAnsi="宋体" w:eastAsia="宋体" w:cs="宋体"/>
          <w:b/>
          <w:bCs/>
          <w:sz w:val="24"/>
          <w:szCs w:val="24"/>
        </w:rPr>
      </w:pPr>
      <w:bookmarkStart w:id="170" w:name="_Toc989056"/>
      <w:r>
        <w:rPr>
          <w:rFonts w:ascii="宋体" w:hAnsi="宋体" w:eastAsia="宋体" w:cs="宋体"/>
          <w:b/>
          <w:bCs/>
          <w:sz w:val="24"/>
          <w:szCs w:val="24"/>
        </w:rPr>
        <w:t>四、财务报表的编制基础</w:t>
      </w:r>
      <w:bookmarkEnd w:id="170"/>
    </w:p>
    <w:p w14:paraId="59D9E756">
      <w:pPr>
        <w:pStyle w:val="3"/>
        <w:spacing w:line="280" w:lineRule="exact"/>
        <w:jc w:val="left"/>
        <w:rPr>
          <w:rFonts w:ascii="宋体" w:hAnsi="宋体" w:cs="宋体"/>
          <w:b/>
          <w:bCs/>
        </w:rPr>
      </w:pPr>
      <w:bookmarkStart w:id="171" w:name="_Toc989057"/>
      <w:r>
        <w:rPr>
          <w:rFonts w:ascii="宋体" w:hAnsi="宋体" w:cs="宋体"/>
          <w:b/>
          <w:bCs/>
        </w:rPr>
        <w:t>1、编制基础</w:t>
      </w:r>
      <w:bookmarkEnd w:id="171"/>
    </w:p>
    <w:p w14:paraId="3A49AA4A">
      <w:pPr>
        <w:pStyle w:val="9"/>
        <w:rPr>
          <w:sz w:val="18"/>
          <w:szCs w:val="18"/>
        </w:rPr>
      </w:pPr>
      <w:r>
        <w:rPr>
          <w:rFonts w:hint="eastAsia"/>
          <w:sz w:val="18"/>
          <w:szCs w:val="18"/>
        </w:rPr>
        <w:t>本公司根据实际发生的交易和事项，按照财政部颁布的《企业会计准则——基本准则》和具体企业会计准则、企业会计准则应用指南、企业会计准则解释及其他相关规定（以下合称“企业会计准则”）进行确认和计量，在此基础上，结合中国证券监督管理委员会《公开发行证券的公司信息披露编报规则第15号——财务报告的一般规定》（2023年修订）的规定，编制财务报表。</w:t>
      </w:r>
    </w:p>
    <w:p w14:paraId="3611E353">
      <w:pPr>
        <w:pStyle w:val="3"/>
        <w:spacing w:line="280" w:lineRule="exact"/>
        <w:jc w:val="left"/>
        <w:rPr>
          <w:rFonts w:ascii="宋体" w:hAnsi="宋体" w:cs="宋体"/>
          <w:b/>
          <w:bCs/>
        </w:rPr>
      </w:pPr>
      <w:bookmarkStart w:id="172" w:name="_Toc989058"/>
      <w:r>
        <w:rPr>
          <w:rFonts w:ascii="宋体" w:hAnsi="宋体" w:cs="宋体"/>
          <w:b/>
          <w:bCs/>
        </w:rPr>
        <w:t>2、持续经营</w:t>
      </w:r>
      <w:bookmarkEnd w:id="172"/>
    </w:p>
    <w:p w14:paraId="6DBEC5CD">
      <w:pPr>
        <w:pStyle w:val="9"/>
        <w:rPr>
          <w:sz w:val="18"/>
          <w:szCs w:val="18"/>
        </w:rPr>
      </w:pPr>
      <w:r>
        <w:rPr>
          <w:rFonts w:hint="eastAsia"/>
          <w:sz w:val="18"/>
          <w:szCs w:val="18"/>
        </w:rPr>
        <w:t>本公司对报告期末起</w:t>
      </w:r>
      <w:r>
        <w:rPr>
          <w:sz w:val="18"/>
          <w:szCs w:val="18"/>
        </w:rPr>
        <w:t>12</w:t>
      </w:r>
      <w:r>
        <w:rPr>
          <w:rFonts w:hint="eastAsia"/>
          <w:sz w:val="18"/>
          <w:szCs w:val="18"/>
        </w:rPr>
        <w:t>个月的持续经营能力进行了评价，未发现对持续经营能力产生重大怀疑的事项或情况。因此，本财务报表系在持续经营假设的基础上编制。</w:t>
      </w:r>
    </w:p>
    <w:p w14:paraId="7ED1B327">
      <w:pPr>
        <w:pStyle w:val="2"/>
        <w:spacing w:before="300" w:after="300" w:line="560" w:lineRule="exact"/>
        <w:rPr>
          <w:rFonts w:ascii="宋体" w:hAnsi="宋体" w:eastAsia="宋体" w:cs="宋体"/>
          <w:b/>
          <w:bCs/>
          <w:sz w:val="24"/>
          <w:szCs w:val="24"/>
        </w:rPr>
      </w:pPr>
      <w:bookmarkStart w:id="173" w:name="_Toc989059"/>
      <w:r>
        <w:rPr>
          <w:rFonts w:ascii="宋体" w:hAnsi="宋体" w:eastAsia="宋体" w:cs="宋体"/>
          <w:b/>
          <w:bCs/>
          <w:sz w:val="24"/>
          <w:szCs w:val="24"/>
        </w:rPr>
        <w:t>五、重要会计政策及会计估计</w:t>
      </w:r>
      <w:bookmarkEnd w:id="173"/>
    </w:p>
    <w:p w14:paraId="04A8CF36">
      <w:pPr>
        <w:spacing w:before="100" w:after="100" w:line="240" w:lineRule="exact"/>
        <w:rPr>
          <w:rFonts w:ascii="宋体" w:hAnsi="宋体" w:eastAsia="宋体" w:cs="宋体"/>
          <w:sz w:val="18"/>
          <w:szCs w:val="18"/>
        </w:rPr>
      </w:pPr>
      <w:r>
        <w:rPr>
          <w:rFonts w:ascii="宋体" w:hAnsi="宋体" w:eastAsia="宋体" w:cs="宋体"/>
          <w:sz w:val="18"/>
          <w:szCs w:val="18"/>
        </w:rPr>
        <w:t>具体会计政策和会计估计提示：</w:t>
      </w:r>
    </w:p>
    <w:p w14:paraId="3D77F806">
      <w:pPr>
        <w:pStyle w:val="3"/>
        <w:spacing w:line="280" w:lineRule="exact"/>
        <w:jc w:val="left"/>
        <w:rPr>
          <w:rFonts w:ascii="宋体" w:hAnsi="宋体" w:cs="宋体"/>
          <w:b/>
          <w:bCs/>
        </w:rPr>
      </w:pPr>
      <w:bookmarkStart w:id="174" w:name="_Toc989060"/>
      <w:r>
        <w:rPr>
          <w:rFonts w:ascii="宋体" w:hAnsi="宋体" w:cs="宋体"/>
          <w:b/>
          <w:bCs/>
        </w:rPr>
        <w:t>1、遵循企业会计准则的声明</w:t>
      </w:r>
      <w:bookmarkEnd w:id="174"/>
    </w:p>
    <w:p w14:paraId="7EB6629E">
      <w:pPr>
        <w:pStyle w:val="9"/>
        <w:spacing w:before="0" w:beforeAutospacing="0" w:after="0" w:afterAutospacing="0" w:line="360" w:lineRule="auto"/>
        <w:jc w:val="both"/>
        <w:rPr>
          <w:sz w:val="18"/>
          <w:szCs w:val="18"/>
        </w:rPr>
      </w:pPr>
      <w:r>
        <w:rPr>
          <w:rFonts w:hint="eastAsia"/>
          <w:sz w:val="18"/>
          <w:szCs w:val="18"/>
        </w:rPr>
        <w:t>本公司所编制的财务报表符合企业会计准则的要求，真实、完整地反映了报告期公司的财务状况、经营成果、现金流量等有关信息。</w:t>
      </w:r>
    </w:p>
    <w:p w14:paraId="5745D5C7">
      <w:pPr>
        <w:pStyle w:val="3"/>
        <w:spacing w:line="280" w:lineRule="exact"/>
        <w:jc w:val="left"/>
        <w:rPr>
          <w:rFonts w:ascii="宋体" w:hAnsi="宋体" w:cs="宋体"/>
          <w:b/>
          <w:bCs/>
        </w:rPr>
      </w:pPr>
      <w:bookmarkStart w:id="175" w:name="_Toc989061"/>
      <w:r>
        <w:rPr>
          <w:rFonts w:ascii="宋体" w:hAnsi="宋体" w:cs="宋体"/>
          <w:b/>
          <w:bCs/>
        </w:rPr>
        <w:t>2、会计期间</w:t>
      </w:r>
      <w:bookmarkEnd w:id="175"/>
    </w:p>
    <w:p w14:paraId="730AA401">
      <w:pPr>
        <w:pStyle w:val="9"/>
        <w:spacing w:before="0" w:beforeAutospacing="0" w:after="0" w:afterAutospacing="0" w:line="360" w:lineRule="auto"/>
        <w:jc w:val="both"/>
        <w:rPr>
          <w:sz w:val="18"/>
          <w:szCs w:val="18"/>
        </w:rPr>
      </w:pPr>
      <w:r>
        <w:rPr>
          <w:rFonts w:hint="eastAsia"/>
          <w:sz w:val="18"/>
          <w:szCs w:val="18"/>
        </w:rPr>
        <w:t>自公历</w:t>
      </w:r>
      <w:r>
        <w:rPr>
          <w:sz w:val="18"/>
          <w:szCs w:val="18"/>
        </w:rPr>
        <w:t>1</w:t>
      </w:r>
      <w:r>
        <w:rPr>
          <w:rFonts w:hint="eastAsia"/>
          <w:sz w:val="18"/>
          <w:szCs w:val="18"/>
        </w:rPr>
        <w:t>月</w:t>
      </w:r>
      <w:r>
        <w:rPr>
          <w:sz w:val="18"/>
          <w:szCs w:val="18"/>
        </w:rPr>
        <w:t>1</w:t>
      </w:r>
      <w:r>
        <w:rPr>
          <w:rFonts w:hint="eastAsia"/>
          <w:sz w:val="18"/>
          <w:szCs w:val="18"/>
        </w:rPr>
        <w:t>日至</w:t>
      </w:r>
      <w:r>
        <w:rPr>
          <w:sz w:val="18"/>
          <w:szCs w:val="18"/>
        </w:rPr>
        <w:t>12</w:t>
      </w:r>
      <w:r>
        <w:rPr>
          <w:rFonts w:hint="eastAsia"/>
          <w:sz w:val="18"/>
          <w:szCs w:val="18"/>
        </w:rPr>
        <w:t>月</w:t>
      </w:r>
      <w:r>
        <w:rPr>
          <w:sz w:val="18"/>
          <w:szCs w:val="18"/>
        </w:rPr>
        <w:t>31</w:t>
      </w:r>
      <w:r>
        <w:rPr>
          <w:rFonts w:hint="eastAsia"/>
          <w:sz w:val="18"/>
          <w:szCs w:val="18"/>
        </w:rPr>
        <w:t>日止为一个会计年度。</w:t>
      </w:r>
    </w:p>
    <w:p w14:paraId="5E0EC8CF">
      <w:pPr>
        <w:pStyle w:val="3"/>
        <w:spacing w:line="280" w:lineRule="exact"/>
        <w:jc w:val="left"/>
        <w:rPr>
          <w:rFonts w:ascii="宋体" w:hAnsi="宋体" w:cs="宋体"/>
          <w:b/>
          <w:bCs/>
        </w:rPr>
      </w:pPr>
      <w:bookmarkStart w:id="176" w:name="_Toc989062"/>
      <w:r>
        <w:rPr>
          <w:rFonts w:ascii="宋体" w:hAnsi="宋体" w:cs="宋体"/>
          <w:b/>
          <w:bCs/>
        </w:rPr>
        <w:t>3、营业周期</w:t>
      </w:r>
      <w:bookmarkEnd w:id="176"/>
    </w:p>
    <w:p w14:paraId="61498655">
      <w:pPr>
        <w:pStyle w:val="9"/>
        <w:rPr>
          <w:sz w:val="18"/>
          <w:szCs w:val="18"/>
        </w:rPr>
      </w:pPr>
      <w:r>
        <w:rPr>
          <w:rFonts w:hint="eastAsia"/>
          <w:sz w:val="18"/>
          <w:szCs w:val="18"/>
        </w:rPr>
        <w:t>营业周期是指企业从购买用于加工的资产起至实现现金或现金等价物的期间。本公司以12个月作为一个营业周期，并以其作为资产和负债的流动性划分标准。</w:t>
      </w:r>
    </w:p>
    <w:p w14:paraId="1DC406F6">
      <w:pPr>
        <w:pStyle w:val="3"/>
        <w:spacing w:line="280" w:lineRule="exact"/>
        <w:jc w:val="left"/>
        <w:rPr>
          <w:rFonts w:ascii="宋体" w:hAnsi="宋体" w:cs="宋体"/>
          <w:b/>
          <w:bCs/>
        </w:rPr>
      </w:pPr>
      <w:bookmarkStart w:id="177" w:name="_Toc989063"/>
      <w:r>
        <w:rPr>
          <w:rFonts w:ascii="宋体" w:hAnsi="宋体" w:cs="宋体"/>
          <w:b/>
          <w:bCs/>
        </w:rPr>
        <w:t>4、记账本位币</w:t>
      </w:r>
      <w:bookmarkEnd w:id="177"/>
    </w:p>
    <w:p w14:paraId="14355646">
      <w:pPr>
        <w:pStyle w:val="9"/>
        <w:spacing w:before="0" w:beforeAutospacing="0" w:after="0" w:afterAutospacing="0" w:line="360" w:lineRule="auto"/>
        <w:jc w:val="both"/>
        <w:rPr>
          <w:sz w:val="18"/>
          <w:szCs w:val="18"/>
        </w:rPr>
      </w:pPr>
      <w:r>
        <w:rPr>
          <w:rFonts w:hint="eastAsia"/>
          <w:sz w:val="18"/>
          <w:szCs w:val="18"/>
        </w:rPr>
        <w:t>采用人民币为记账本位币。境外子公司以其经营所处的主要经济环境中的货币为记账本位币，编制财务报表时折算为人民币。</w:t>
      </w:r>
    </w:p>
    <w:p w14:paraId="22F7397E">
      <w:pPr>
        <w:pStyle w:val="3"/>
        <w:spacing w:line="280" w:lineRule="exact"/>
        <w:jc w:val="left"/>
        <w:rPr>
          <w:rFonts w:ascii="宋体" w:hAnsi="宋体" w:cs="宋体"/>
          <w:b/>
          <w:bCs/>
        </w:rPr>
      </w:pPr>
      <w:bookmarkStart w:id="178" w:name="_Toc989064"/>
      <w:r>
        <w:rPr>
          <w:rFonts w:ascii="宋体" w:hAnsi="宋体" w:cs="宋体"/>
          <w:b/>
          <w:bCs/>
        </w:rPr>
        <w:t>5、重要性标准确定方法和选择依据</w:t>
      </w:r>
      <w:bookmarkEnd w:id="178"/>
    </w:p>
    <w:p w14:paraId="08179A39">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14:paraId="0A8CF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5D70503">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3AB764F">
            <w:pPr>
              <w:spacing w:before="40" w:after="40" w:line="240" w:lineRule="exact"/>
              <w:jc w:val="center"/>
              <w:rPr>
                <w:rFonts w:ascii="宋体" w:hAnsi="宋体" w:eastAsia="宋体" w:cs="宋体"/>
                <w:sz w:val="18"/>
                <w:szCs w:val="18"/>
              </w:rPr>
            </w:pPr>
            <w:r>
              <w:rPr>
                <w:rFonts w:ascii="宋体" w:hAnsi="宋体" w:eastAsia="宋体" w:cs="宋体"/>
                <w:sz w:val="18"/>
                <w:szCs w:val="18"/>
              </w:rPr>
              <w:t>重要性标准</w:t>
            </w:r>
          </w:p>
        </w:tc>
      </w:tr>
      <w:tr w14:paraId="50934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78B0C7B">
            <w:pPr>
              <w:spacing w:line="240" w:lineRule="exact"/>
              <w:rPr>
                <w:rFonts w:ascii="宋体" w:hAnsi="宋体" w:eastAsia="宋体" w:cs="宋体"/>
                <w:sz w:val="18"/>
                <w:szCs w:val="18"/>
              </w:rPr>
            </w:pPr>
            <w:r>
              <w:rPr>
                <w:rFonts w:ascii="宋体" w:hAnsi="宋体" w:eastAsia="宋体" w:cs="宋体"/>
                <w:sz w:val="18"/>
                <w:szCs w:val="18"/>
              </w:rPr>
              <w:t>重要的单项计提坏账准备的应收款项</w:t>
            </w:r>
          </w:p>
        </w:tc>
        <w:tc>
          <w:tcPr>
            <w:tcW w:w="4820" w:type="dxa"/>
            <w:tcBorders>
              <w:top w:val="single" w:color="auto" w:sz="2" w:space="0"/>
              <w:left w:val="single" w:color="auto" w:sz="2" w:space="0"/>
              <w:bottom w:val="single" w:color="auto" w:sz="2" w:space="0"/>
              <w:right w:val="single" w:color="auto" w:sz="2" w:space="0"/>
            </w:tcBorders>
            <w:vAlign w:val="center"/>
          </w:tcPr>
          <w:p w14:paraId="7DA0C558">
            <w:pPr>
              <w:spacing w:line="240" w:lineRule="exact"/>
              <w:rPr>
                <w:rFonts w:ascii="宋体" w:hAnsi="宋体" w:eastAsia="宋体" w:cs="宋体"/>
                <w:sz w:val="18"/>
                <w:szCs w:val="18"/>
              </w:rPr>
            </w:pPr>
            <w:r>
              <w:rPr>
                <w:rFonts w:ascii="宋体" w:hAnsi="宋体" w:eastAsia="宋体" w:cs="宋体"/>
                <w:sz w:val="18"/>
                <w:szCs w:val="18"/>
              </w:rPr>
              <w:t>金额≥100万元</w:t>
            </w:r>
          </w:p>
        </w:tc>
      </w:tr>
      <w:tr w14:paraId="0C707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ABA2B26">
            <w:pPr>
              <w:spacing w:line="240" w:lineRule="exact"/>
              <w:rPr>
                <w:rFonts w:ascii="宋体" w:hAnsi="宋体" w:eastAsia="宋体" w:cs="宋体"/>
                <w:sz w:val="18"/>
                <w:szCs w:val="18"/>
              </w:rPr>
            </w:pPr>
            <w:r>
              <w:rPr>
                <w:rFonts w:ascii="宋体" w:hAnsi="宋体" w:eastAsia="宋体" w:cs="宋体"/>
                <w:sz w:val="18"/>
                <w:szCs w:val="18"/>
              </w:rPr>
              <w:t>本期重要的应收款项核销</w:t>
            </w:r>
          </w:p>
        </w:tc>
        <w:tc>
          <w:tcPr>
            <w:tcW w:w="4820" w:type="dxa"/>
            <w:tcBorders>
              <w:top w:val="single" w:color="auto" w:sz="2" w:space="0"/>
              <w:left w:val="single" w:color="auto" w:sz="2" w:space="0"/>
              <w:bottom w:val="single" w:color="auto" w:sz="2" w:space="0"/>
              <w:right w:val="single" w:color="auto" w:sz="2" w:space="0"/>
            </w:tcBorders>
            <w:vAlign w:val="center"/>
          </w:tcPr>
          <w:p w14:paraId="2E5707A2">
            <w:pPr>
              <w:spacing w:line="240" w:lineRule="exact"/>
              <w:rPr>
                <w:rFonts w:ascii="宋体" w:hAnsi="宋体" w:eastAsia="宋体" w:cs="宋体"/>
                <w:sz w:val="18"/>
                <w:szCs w:val="18"/>
              </w:rPr>
            </w:pPr>
            <w:r>
              <w:rPr>
                <w:rFonts w:ascii="宋体" w:hAnsi="宋体" w:eastAsia="宋体" w:cs="宋体"/>
                <w:sz w:val="18"/>
                <w:szCs w:val="18"/>
              </w:rPr>
              <w:t>金额≥100万元</w:t>
            </w:r>
          </w:p>
        </w:tc>
      </w:tr>
      <w:tr w14:paraId="27B31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8B54E1E">
            <w:pPr>
              <w:spacing w:line="240" w:lineRule="exact"/>
              <w:rPr>
                <w:rFonts w:ascii="宋体" w:hAnsi="宋体" w:eastAsia="宋体" w:cs="宋体"/>
                <w:sz w:val="18"/>
                <w:szCs w:val="18"/>
              </w:rPr>
            </w:pPr>
            <w:r>
              <w:rPr>
                <w:rFonts w:ascii="宋体" w:hAnsi="宋体" w:eastAsia="宋体" w:cs="宋体"/>
                <w:sz w:val="18"/>
                <w:szCs w:val="18"/>
              </w:rPr>
              <w:t>本期坏账准备收回或转回金额重要的应收账款</w:t>
            </w:r>
          </w:p>
        </w:tc>
        <w:tc>
          <w:tcPr>
            <w:tcW w:w="4820" w:type="dxa"/>
            <w:tcBorders>
              <w:top w:val="single" w:color="auto" w:sz="2" w:space="0"/>
              <w:left w:val="single" w:color="auto" w:sz="2" w:space="0"/>
              <w:bottom w:val="single" w:color="auto" w:sz="2" w:space="0"/>
              <w:right w:val="single" w:color="auto" w:sz="2" w:space="0"/>
            </w:tcBorders>
            <w:vAlign w:val="center"/>
          </w:tcPr>
          <w:p w14:paraId="0FB0249A">
            <w:pPr>
              <w:spacing w:line="240" w:lineRule="exact"/>
              <w:rPr>
                <w:rFonts w:ascii="宋体" w:hAnsi="宋体" w:eastAsia="宋体" w:cs="宋体"/>
                <w:sz w:val="18"/>
                <w:szCs w:val="18"/>
              </w:rPr>
            </w:pPr>
            <w:r>
              <w:rPr>
                <w:rFonts w:ascii="宋体" w:hAnsi="宋体" w:eastAsia="宋体" w:cs="宋体"/>
                <w:sz w:val="18"/>
                <w:szCs w:val="18"/>
              </w:rPr>
              <w:t>金额≥100万元</w:t>
            </w:r>
          </w:p>
        </w:tc>
      </w:tr>
      <w:tr w14:paraId="77151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304A8E6">
            <w:pPr>
              <w:spacing w:line="240" w:lineRule="exact"/>
              <w:rPr>
                <w:rFonts w:ascii="宋体" w:hAnsi="宋体" w:eastAsia="宋体" w:cs="宋体"/>
                <w:sz w:val="18"/>
                <w:szCs w:val="18"/>
              </w:rPr>
            </w:pPr>
            <w:r>
              <w:rPr>
                <w:rFonts w:ascii="宋体" w:hAnsi="宋体" w:eastAsia="宋体" w:cs="宋体"/>
                <w:sz w:val="18"/>
                <w:szCs w:val="18"/>
              </w:rPr>
              <w:t>账龄超过一年的重要应付款项</w:t>
            </w:r>
          </w:p>
        </w:tc>
        <w:tc>
          <w:tcPr>
            <w:tcW w:w="4820" w:type="dxa"/>
            <w:tcBorders>
              <w:top w:val="single" w:color="auto" w:sz="2" w:space="0"/>
              <w:left w:val="single" w:color="auto" w:sz="2" w:space="0"/>
              <w:bottom w:val="single" w:color="auto" w:sz="2" w:space="0"/>
              <w:right w:val="single" w:color="auto" w:sz="2" w:space="0"/>
            </w:tcBorders>
            <w:vAlign w:val="center"/>
          </w:tcPr>
          <w:p w14:paraId="3937CABE">
            <w:pPr>
              <w:spacing w:line="240" w:lineRule="exact"/>
              <w:rPr>
                <w:rFonts w:ascii="宋体" w:hAnsi="宋体" w:eastAsia="宋体" w:cs="宋体"/>
                <w:sz w:val="18"/>
                <w:szCs w:val="18"/>
              </w:rPr>
            </w:pPr>
            <w:r>
              <w:rPr>
                <w:rFonts w:ascii="宋体" w:hAnsi="宋体" w:eastAsia="宋体" w:cs="宋体"/>
                <w:sz w:val="18"/>
                <w:szCs w:val="18"/>
              </w:rPr>
              <w:t>金额≥100万元</w:t>
            </w:r>
          </w:p>
        </w:tc>
      </w:tr>
      <w:tr w14:paraId="052A8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8B8A4B2">
            <w:pPr>
              <w:spacing w:line="240" w:lineRule="exact"/>
              <w:rPr>
                <w:rFonts w:ascii="宋体" w:hAnsi="宋体" w:eastAsia="宋体" w:cs="宋体"/>
                <w:sz w:val="18"/>
                <w:szCs w:val="18"/>
              </w:rPr>
            </w:pPr>
            <w:r>
              <w:rPr>
                <w:rFonts w:ascii="宋体" w:hAnsi="宋体" w:eastAsia="宋体" w:cs="宋体"/>
                <w:sz w:val="18"/>
                <w:szCs w:val="18"/>
              </w:rPr>
              <w:t>重要的在建工程</w:t>
            </w:r>
          </w:p>
        </w:tc>
        <w:tc>
          <w:tcPr>
            <w:tcW w:w="4820" w:type="dxa"/>
            <w:tcBorders>
              <w:top w:val="single" w:color="auto" w:sz="2" w:space="0"/>
              <w:left w:val="single" w:color="auto" w:sz="2" w:space="0"/>
              <w:bottom w:val="single" w:color="auto" w:sz="2" w:space="0"/>
              <w:right w:val="single" w:color="auto" w:sz="2" w:space="0"/>
            </w:tcBorders>
            <w:vAlign w:val="center"/>
          </w:tcPr>
          <w:p w14:paraId="6701FD53">
            <w:pPr>
              <w:spacing w:line="240" w:lineRule="exact"/>
              <w:rPr>
                <w:rFonts w:ascii="宋体" w:hAnsi="宋体" w:eastAsia="宋体" w:cs="宋体"/>
                <w:sz w:val="18"/>
                <w:szCs w:val="18"/>
              </w:rPr>
            </w:pPr>
            <w:r>
              <w:rPr>
                <w:rFonts w:ascii="宋体" w:hAnsi="宋体" w:eastAsia="宋体" w:cs="宋体"/>
                <w:sz w:val="18"/>
                <w:szCs w:val="18"/>
              </w:rPr>
              <w:t>期末或期初余额≥1,000万元</w:t>
            </w:r>
          </w:p>
        </w:tc>
      </w:tr>
      <w:tr w14:paraId="48C1C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6415EE1">
            <w:pPr>
              <w:spacing w:line="240" w:lineRule="exact"/>
              <w:rPr>
                <w:rFonts w:ascii="宋体" w:hAnsi="宋体" w:eastAsia="宋体" w:cs="宋体"/>
                <w:sz w:val="18"/>
                <w:szCs w:val="18"/>
              </w:rPr>
            </w:pPr>
            <w:r>
              <w:rPr>
                <w:rFonts w:ascii="宋体" w:hAnsi="宋体" w:eastAsia="宋体" w:cs="宋体"/>
                <w:sz w:val="18"/>
                <w:szCs w:val="18"/>
              </w:rPr>
              <w:t>重要的非全资子公司</w:t>
            </w:r>
          </w:p>
        </w:tc>
        <w:tc>
          <w:tcPr>
            <w:tcW w:w="4820" w:type="dxa"/>
            <w:tcBorders>
              <w:top w:val="single" w:color="auto" w:sz="2" w:space="0"/>
              <w:left w:val="single" w:color="auto" w:sz="2" w:space="0"/>
              <w:bottom w:val="single" w:color="auto" w:sz="2" w:space="0"/>
              <w:right w:val="single" w:color="auto" w:sz="2" w:space="0"/>
            </w:tcBorders>
            <w:vAlign w:val="center"/>
          </w:tcPr>
          <w:p w14:paraId="20392FDA">
            <w:pPr>
              <w:spacing w:line="240" w:lineRule="exact"/>
              <w:rPr>
                <w:rFonts w:ascii="宋体" w:hAnsi="宋体" w:eastAsia="宋体" w:cs="宋体"/>
                <w:sz w:val="18"/>
                <w:szCs w:val="18"/>
              </w:rPr>
            </w:pPr>
            <w:r>
              <w:rPr>
                <w:rFonts w:ascii="宋体" w:hAnsi="宋体" w:eastAsia="宋体" w:cs="宋体"/>
                <w:sz w:val="18"/>
                <w:szCs w:val="18"/>
              </w:rPr>
              <w:t>少数股东权益≥1,000万元或≤-1,000万元</w:t>
            </w:r>
          </w:p>
        </w:tc>
      </w:tr>
    </w:tbl>
    <w:p w14:paraId="5A707DF5">
      <w:pPr>
        <w:pStyle w:val="3"/>
        <w:spacing w:line="280" w:lineRule="exact"/>
        <w:jc w:val="left"/>
        <w:rPr>
          <w:rFonts w:ascii="宋体" w:hAnsi="宋体" w:cs="宋体"/>
          <w:b/>
          <w:bCs/>
        </w:rPr>
      </w:pPr>
      <w:bookmarkStart w:id="179" w:name="_Toc989065"/>
      <w:r>
        <w:rPr>
          <w:rFonts w:ascii="宋体" w:hAnsi="宋体" w:cs="宋体"/>
          <w:b/>
          <w:bCs/>
        </w:rPr>
        <w:t>6、同一控制下和非同一控制下企业合并的会计处理方法</w:t>
      </w:r>
      <w:bookmarkEnd w:id="179"/>
    </w:p>
    <w:p w14:paraId="4DBDA3DB">
      <w:pPr>
        <w:widowControl/>
        <w:numPr>
          <w:ilvl w:val="0"/>
          <w:numId w:val="17"/>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Style w:val="12"/>
          <w:rFonts w:hint="eastAsia"/>
          <w:sz w:val="18"/>
          <w:szCs w:val="18"/>
        </w:rPr>
        <w:t>分步实现企业合并过程中的各项交易的条款、条件以及经济影响符合以下一种或多种情况，将多次交易事项作为一揽子交易进行会计处理</w:t>
      </w:r>
    </w:p>
    <w:p w14:paraId="6BED6066">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1</w:t>
      </w:r>
      <w:r>
        <w:rPr>
          <w:rFonts w:hint="eastAsia"/>
          <w:sz w:val="21"/>
          <w:szCs w:val="21"/>
        </w:rPr>
        <w:t>）</w:t>
      </w:r>
      <w:r>
        <w:rPr>
          <w:rFonts w:ascii="Arial" w:hAnsi="Arial" w:cs="Arial"/>
          <w:sz w:val="21"/>
          <w:szCs w:val="21"/>
        </w:rPr>
        <w:t xml:space="preserve">     </w:t>
      </w:r>
      <w:r>
        <w:rPr>
          <w:rFonts w:hint="eastAsia"/>
          <w:sz w:val="21"/>
          <w:szCs w:val="21"/>
        </w:rPr>
        <w:t>这些交易是同时或者在考虑了彼此影响的情况下订立的；</w:t>
      </w:r>
    </w:p>
    <w:p w14:paraId="7BB79DD3">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2</w:t>
      </w:r>
      <w:r>
        <w:rPr>
          <w:rFonts w:hint="eastAsia"/>
          <w:sz w:val="21"/>
          <w:szCs w:val="21"/>
        </w:rPr>
        <w:t>）</w:t>
      </w:r>
      <w:r>
        <w:rPr>
          <w:rFonts w:ascii="Arial" w:hAnsi="Arial" w:cs="Arial"/>
          <w:sz w:val="21"/>
          <w:szCs w:val="21"/>
        </w:rPr>
        <w:t xml:space="preserve">     </w:t>
      </w:r>
      <w:r>
        <w:rPr>
          <w:rFonts w:hint="eastAsia"/>
          <w:sz w:val="21"/>
          <w:szCs w:val="21"/>
        </w:rPr>
        <w:t>这些交易整体才能达成一项完整的商业结果；</w:t>
      </w:r>
    </w:p>
    <w:p w14:paraId="30EF8E66">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3</w:t>
      </w:r>
      <w:r>
        <w:rPr>
          <w:rFonts w:hint="eastAsia"/>
          <w:sz w:val="21"/>
          <w:szCs w:val="21"/>
        </w:rPr>
        <w:t>）</w:t>
      </w:r>
      <w:r>
        <w:rPr>
          <w:rFonts w:ascii="Arial" w:hAnsi="Arial" w:cs="Arial"/>
          <w:sz w:val="21"/>
          <w:szCs w:val="21"/>
        </w:rPr>
        <w:t xml:space="preserve">     </w:t>
      </w:r>
      <w:r>
        <w:rPr>
          <w:rFonts w:hint="eastAsia"/>
          <w:sz w:val="21"/>
          <w:szCs w:val="21"/>
        </w:rPr>
        <w:t>一项交易的发生取决于其他至少一项交易的发生；</w:t>
      </w:r>
    </w:p>
    <w:p w14:paraId="3C84A961">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4</w:t>
      </w:r>
      <w:r>
        <w:rPr>
          <w:rFonts w:hint="eastAsia"/>
          <w:sz w:val="21"/>
          <w:szCs w:val="21"/>
        </w:rPr>
        <w:t>）</w:t>
      </w:r>
      <w:r>
        <w:rPr>
          <w:rFonts w:ascii="Arial" w:hAnsi="Arial" w:cs="Arial"/>
          <w:sz w:val="21"/>
          <w:szCs w:val="21"/>
        </w:rPr>
        <w:t xml:space="preserve">     </w:t>
      </w:r>
      <w:r>
        <w:rPr>
          <w:rFonts w:hint="eastAsia"/>
          <w:sz w:val="21"/>
          <w:szCs w:val="21"/>
        </w:rPr>
        <w:t>一项交易单独看是不经济的，但是和其他交易一并考虑时是经济的。</w:t>
      </w:r>
    </w:p>
    <w:p w14:paraId="16B521E4">
      <w:pPr>
        <w:widowControl/>
        <w:numPr>
          <w:ilvl w:val="0"/>
          <w:numId w:val="18"/>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Style w:val="12"/>
          <w:rFonts w:hint="eastAsia"/>
          <w:sz w:val="18"/>
          <w:szCs w:val="18"/>
        </w:rPr>
        <w:t>同一控制下的企业合并</w:t>
      </w:r>
    </w:p>
    <w:p w14:paraId="63F9B6AC">
      <w:pPr>
        <w:pStyle w:val="9"/>
        <w:spacing w:before="0" w:beforeAutospacing="0" w:after="0" w:afterAutospacing="0" w:line="360" w:lineRule="auto"/>
        <w:ind w:firstLine="420"/>
        <w:jc w:val="both"/>
        <w:rPr>
          <w:sz w:val="21"/>
          <w:szCs w:val="21"/>
        </w:rPr>
      </w:pPr>
      <w:r>
        <w:rPr>
          <w:rFonts w:hint="eastAsia"/>
          <w:sz w:val="21"/>
          <w:szCs w:val="21"/>
        </w:rPr>
        <w:t>参与合并的企业在合并前后均受同一方或相同的多方最终控制，且该控制并非暂时性的，为同一控制下的企业合并。</w:t>
      </w:r>
    </w:p>
    <w:p w14:paraId="485D5C86">
      <w:pPr>
        <w:pStyle w:val="9"/>
        <w:spacing w:before="0" w:beforeAutospacing="0" w:after="0" w:afterAutospacing="0" w:line="360" w:lineRule="auto"/>
        <w:ind w:firstLine="420"/>
        <w:jc w:val="both"/>
        <w:rPr>
          <w:sz w:val="21"/>
          <w:szCs w:val="21"/>
        </w:rPr>
      </w:pPr>
      <w:r>
        <w:rPr>
          <w:rFonts w:hint="eastAsia"/>
          <w:sz w:val="21"/>
          <w:szCs w:val="21"/>
        </w:rPr>
        <w:t>本公司在企业合并中取得的资产和负债，按照合并日在被合并方资产、负债（包括最终控制方收购被合并方而形成的商誉）在最终控制方合并财务报表中的账面价值计量。在合并中取得的净资产账面价值与支付的合并对价账面价值（或发行股份面值总额）的差额，调整资本公积中的股本溢价，资本公积中的股本溢价不足冲减的，调整留存收益。</w:t>
      </w:r>
    </w:p>
    <w:p w14:paraId="29FD1CF0">
      <w:pPr>
        <w:pStyle w:val="9"/>
        <w:spacing w:before="0" w:beforeAutospacing="0" w:after="0" w:afterAutospacing="0" w:line="360" w:lineRule="auto"/>
        <w:ind w:firstLine="420"/>
        <w:jc w:val="both"/>
        <w:rPr>
          <w:sz w:val="21"/>
          <w:szCs w:val="21"/>
        </w:rPr>
      </w:pPr>
      <w:r>
        <w:rPr>
          <w:rFonts w:hint="eastAsia"/>
          <w:sz w:val="21"/>
          <w:szCs w:val="21"/>
        </w:rPr>
        <w:t>如果存在或有对价并需要确认预计负债或资产，该预计负债或资产金额与后续或有对价结算金额的差额，调整资本公积（资本溢价或股本溢价），资本公积不足的，调整留存收益。</w:t>
      </w:r>
    </w:p>
    <w:p w14:paraId="56A5683F">
      <w:pPr>
        <w:pStyle w:val="9"/>
        <w:spacing w:before="0" w:beforeAutospacing="0" w:after="0" w:afterAutospacing="0" w:line="360" w:lineRule="auto"/>
        <w:ind w:firstLine="420"/>
        <w:jc w:val="both"/>
        <w:rPr>
          <w:sz w:val="21"/>
          <w:szCs w:val="21"/>
        </w:rPr>
      </w:pPr>
      <w:r>
        <w:rPr>
          <w:rFonts w:hint="eastAsia"/>
          <w:sz w:val="21"/>
          <w:szCs w:val="21"/>
        </w:rPr>
        <w:t>对于通过多次交易最终实现企业合并的，属于一揽子交易的，将各项交易作为一项取得控制权的交易进行会计处理；不属于一揽子交易的，在取得控制权日，长期股权投资初始投资成本，与达到合并前的长期股权投资账面价值加上合并日进一步取得股份新支付对价的账面价值之和的差额，调整资本公积；资本公积不足冲减的，调整留存收益。对于合并日之前持有的股权投资，因采用权益法核算或金融工具确认和计量准则核算而确认的其他综合收益，暂不进行会计处理，直至处置该项投资时采用与被投资单位直接处置相关资产或负债相同的基础进行会计处理；因采用权益法核算而确认的被投资单位净资产中除净损益、其他综合收益和利润分配以外的所有者权益其他变动，暂不进行会计处理，直至处置该项投资时转入当期损益。</w:t>
      </w:r>
    </w:p>
    <w:p w14:paraId="5CB08CE2">
      <w:pPr>
        <w:widowControl/>
        <w:numPr>
          <w:ilvl w:val="0"/>
          <w:numId w:val="19"/>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Style w:val="12"/>
          <w:rFonts w:hint="eastAsia"/>
          <w:sz w:val="18"/>
          <w:szCs w:val="18"/>
        </w:rPr>
        <w:t>非同一控制下的企业合并</w:t>
      </w:r>
    </w:p>
    <w:p w14:paraId="51930B91">
      <w:pPr>
        <w:pStyle w:val="9"/>
        <w:spacing w:before="0" w:beforeAutospacing="0" w:after="0" w:afterAutospacing="0" w:line="360" w:lineRule="auto"/>
        <w:ind w:firstLine="420"/>
        <w:jc w:val="both"/>
        <w:rPr>
          <w:sz w:val="21"/>
          <w:szCs w:val="21"/>
        </w:rPr>
      </w:pPr>
      <w:r>
        <w:rPr>
          <w:rFonts w:hint="eastAsia"/>
          <w:sz w:val="21"/>
          <w:szCs w:val="21"/>
        </w:rPr>
        <w:t>参与合并的企业在合并前后不受同一方或相同的多方最终控制，为非同一控制下的企业合并。</w:t>
      </w:r>
    </w:p>
    <w:p w14:paraId="33769DCA">
      <w:pPr>
        <w:pStyle w:val="9"/>
        <w:spacing w:before="0" w:beforeAutospacing="0" w:after="0" w:afterAutospacing="0" w:line="360" w:lineRule="auto"/>
        <w:ind w:firstLine="420"/>
        <w:jc w:val="both"/>
        <w:rPr>
          <w:sz w:val="21"/>
          <w:szCs w:val="21"/>
        </w:rPr>
      </w:pPr>
      <w:r>
        <w:rPr>
          <w:rFonts w:hint="eastAsia"/>
          <w:sz w:val="21"/>
          <w:szCs w:val="21"/>
        </w:rPr>
        <w:t>本公司在购买日对作为企业合并对价付出的资产、发生或承担的负债按照公允价值计量，公允价值与其账面价值的差额，计入当期损益。</w:t>
      </w:r>
    </w:p>
    <w:p w14:paraId="18EEC968">
      <w:pPr>
        <w:pStyle w:val="9"/>
        <w:spacing w:before="0" w:beforeAutospacing="0" w:after="0" w:afterAutospacing="0" w:line="360" w:lineRule="auto"/>
        <w:ind w:firstLine="420"/>
        <w:jc w:val="both"/>
        <w:rPr>
          <w:sz w:val="21"/>
          <w:szCs w:val="21"/>
        </w:rPr>
      </w:pPr>
      <w:r>
        <w:rPr>
          <w:rFonts w:hint="eastAsia"/>
          <w:sz w:val="21"/>
          <w:szCs w:val="21"/>
        </w:rPr>
        <w:t>本公司对合并成本大于合并中取得的被购买方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计入当期损益。</w:t>
      </w:r>
    </w:p>
    <w:p w14:paraId="06AE3E64">
      <w:pPr>
        <w:pStyle w:val="9"/>
        <w:spacing w:before="0" w:beforeAutospacing="0" w:after="0" w:afterAutospacing="0" w:line="360" w:lineRule="auto"/>
        <w:ind w:firstLine="420"/>
        <w:jc w:val="both"/>
        <w:rPr>
          <w:sz w:val="21"/>
          <w:szCs w:val="21"/>
        </w:rPr>
      </w:pPr>
      <w:bookmarkStart w:id="180" w:name="_Hlk188436590"/>
      <w:bookmarkEnd w:id="180"/>
      <w:r>
        <w:rPr>
          <w:rFonts w:hint="eastAsia"/>
          <w:sz w:val="21"/>
          <w:szCs w:val="21"/>
        </w:rPr>
        <w:t>通过多次交换交易分步实现的非同一控制下企业合并，属于一揽子交易的，将各项交易作为一项取得控制权的交易进行会计处理；不属于一揽子交易的，合并日之前持有的股权投资采用权益法核算的，以购买日之前所持被购买方的股权投资的账面价值与购买日新增投资成本之和，作为该项投资的初始投资成本；购买日之前持有的股权投资因采用权益法核算而确认的其他综合收益，在处置该项投资时采用与被投资单位直接处置相关资产或负债相同的基础进行会计处理。合并日之前持有的股权投资采用金融工具确认和计量准则核算的，以该股权投资在合并日的公允价值加上新增投资成本之和，作为改按成本法核算的初始投资成本。原持有股权的公允价值与账面价值之间的差额以及原计入其他综合收益的累计公允价值变动在改按成本法核算时采用与处置原持有的股权投资相同的基础进行会计处理。原持有的股权投资指定为以公允价值计量且其变动计入其他综合收益的非交易性权益工具投资的，其公允价值与账面价值之间的差额以及原计入其他综合收益的累计公允价值变动直接转入留存收益。</w:t>
      </w:r>
    </w:p>
    <w:p w14:paraId="7836DF9E">
      <w:pPr>
        <w:widowControl/>
        <w:numPr>
          <w:ilvl w:val="0"/>
          <w:numId w:val="20"/>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Style w:val="12"/>
          <w:rFonts w:hint="eastAsia"/>
          <w:sz w:val="18"/>
          <w:szCs w:val="18"/>
        </w:rPr>
        <w:t>为合并发生的相关费用</w:t>
      </w:r>
    </w:p>
    <w:p w14:paraId="17FABC0E">
      <w:pPr>
        <w:pStyle w:val="9"/>
        <w:spacing w:before="0" w:beforeAutospacing="0" w:after="0" w:afterAutospacing="0" w:line="360" w:lineRule="auto"/>
        <w:ind w:firstLine="420"/>
        <w:jc w:val="both"/>
        <w:rPr>
          <w:sz w:val="21"/>
          <w:szCs w:val="21"/>
        </w:rPr>
      </w:pPr>
      <w:r>
        <w:rPr>
          <w:rFonts w:hint="eastAsia"/>
          <w:sz w:val="21"/>
          <w:szCs w:val="21"/>
        </w:rPr>
        <w:t>为企业合并发生的审计、法律服务、评估咨询等中介费用以及其他直接相关费用，于发生时计入当期损益；为企业合并而发行权益性证券的交易费用，可直接归属于权益性交易的从权益中扣减。</w:t>
      </w:r>
    </w:p>
    <w:p w14:paraId="3531C571">
      <w:pPr>
        <w:pStyle w:val="3"/>
        <w:spacing w:line="280" w:lineRule="exact"/>
        <w:jc w:val="left"/>
        <w:rPr>
          <w:rFonts w:ascii="宋体" w:hAnsi="宋体" w:cs="宋体"/>
          <w:b/>
          <w:bCs/>
        </w:rPr>
      </w:pPr>
      <w:bookmarkStart w:id="181" w:name="_Toc989066"/>
      <w:r>
        <w:rPr>
          <w:rFonts w:ascii="宋体" w:hAnsi="宋体" w:cs="宋体"/>
          <w:b/>
          <w:bCs/>
        </w:rPr>
        <w:t>7、控制的判断标准和合并财务报表的编制方法</w:t>
      </w:r>
      <w:bookmarkEnd w:id="181"/>
    </w:p>
    <w:p w14:paraId="6473167E">
      <w:pPr>
        <w:widowControl/>
        <w:numPr>
          <w:ilvl w:val="0"/>
          <w:numId w:val="21"/>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Style w:val="12"/>
          <w:rFonts w:hint="eastAsia"/>
          <w:sz w:val="18"/>
          <w:szCs w:val="18"/>
        </w:rPr>
        <w:t>控制的判断标准</w:t>
      </w:r>
    </w:p>
    <w:p w14:paraId="2B4BDC4A">
      <w:pPr>
        <w:pStyle w:val="9"/>
        <w:spacing w:before="0" w:beforeAutospacing="0" w:after="0" w:afterAutospacing="0" w:line="360" w:lineRule="auto"/>
        <w:ind w:firstLine="420"/>
        <w:jc w:val="both"/>
        <w:rPr>
          <w:sz w:val="21"/>
          <w:szCs w:val="21"/>
        </w:rPr>
      </w:pPr>
      <w:r>
        <w:rPr>
          <w:rFonts w:hint="eastAsia"/>
          <w:sz w:val="21"/>
          <w:szCs w:val="21"/>
        </w:rPr>
        <w:t>控制，是指投资方拥有对被投资方的权力</w:t>
      </w:r>
      <w:r>
        <w:rPr>
          <w:rFonts w:ascii="Arial" w:hAnsi="Arial" w:cs="Arial"/>
          <w:sz w:val="21"/>
          <w:szCs w:val="21"/>
        </w:rPr>
        <w:t>,</w:t>
      </w:r>
      <w:r>
        <w:rPr>
          <w:rFonts w:hint="eastAsia"/>
          <w:sz w:val="21"/>
          <w:szCs w:val="21"/>
        </w:rPr>
        <w:t>通过参与被投资方的相关活动而享有可变回报，并且有能力运用对被投资方的权力影响其回报金额。</w:t>
      </w:r>
    </w:p>
    <w:p w14:paraId="52CA6DE9">
      <w:pPr>
        <w:pStyle w:val="9"/>
        <w:spacing w:before="0" w:beforeAutospacing="0" w:after="0" w:afterAutospacing="0" w:line="360" w:lineRule="auto"/>
        <w:ind w:firstLine="420"/>
        <w:jc w:val="both"/>
        <w:rPr>
          <w:sz w:val="21"/>
          <w:szCs w:val="21"/>
        </w:rPr>
      </w:pPr>
      <w:r>
        <w:rPr>
          <w:rFonts w:hint="eastAsia"/>
          <w:sz w:val="21"/>
          <w:szCs w:val="21"/>
        </w:rPr>
        <w:t>本公司在综合考虑所有相关事实和情况的基础上对是否控制被投资方进行判断。一旦相关事实和情况的变化导致对控制定义所涉及的相关要素发生变化的，本公司会进行重新评估。相关事实和情况主要包括：</w:t>
      </w:r>
    </w:p>
    <w:p w14:paraId="7FDF334D">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1</w:t>
      </w:r>
      <w:r>
        <w:rPr>
          <w:rFonts w:hint="eastAsia"/>
          <w:sz w:val="21"/>
          <w:szCs w:val="21"/>
        </w:rPr>
        <w:t>）被投资方的设立目的。</w:t>
      </w:r>
    </w:p>
    <w:p w14:paraId="6F3AB07E">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2</w:t>
      </w:r>
      <w:r>
        <w:rPr>
          <w:rFonts w:hint="eastAsia"/>
          <w:sz w:val="21"/>
          <w:szCs w:val="21"/>
        </w:rPr>
        <w:t>）被投资方的相关活动以及如何对相关活动作出决策。</w:t>
      </w:r>
    </w:p>
    <w:p w14:paraId="2FB6F558">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3</w:t>
      </w:r>
      <w:r>
        <w:rPr>
          <w:rFonts w:hint="eastAsia"/>
          <w:sz w:val="21"/>
          <w:szCs w:val="21"/>
        </w:rPr>
        <w:t>）投资方享有的权利是否使其目前有能力主导被投资方的相关活动。</w:t>
      </w:r>
    </w:p>
    <w:p w14:paraId="56D1C1BB">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4</w:t>
      </w:r>
      <w:r>
        <w:rPr>
          <w:rFonts w:hint="eastAsia"/>
          <w:sz w:val="21"/>
          <w:szCs w:val="21"/>
        </w:rPr>
        <w:t>）投资方是否通过参与被投资方的相关活动而享有可变回报。</w:t>
      </w:r>
    </w:p>
    <w:p w14:paraId="41B98C33">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5</w:t>
      </w:r>
      <w:r>
        <w:rPr>
          <w:rFonts w:hint="eastAsia"/>
          <w:sz w:val="21"/>
          <w:szCs w:val="21"/>
        </w:rPr>
        <w:t>）投资方是否有能力运用对被投资方的权力影响其回报金额。</w:t>
      </w:r>
    </w:p>
    <w:p w14:paraId="331A74AD">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6</w:t>
      </w:r>
      <w:r>
        <w:rPr>
          <w:rFonts w:hint="eastAsia"/>
          <w:sz w:val="21"/>
          <w:szCs w:val="21"/>
        </w:rPr>
        <w:t>）投资方与其他方的关系。</w:t>
      </w:r>
    </w:p>
    <w:p w14:paraId="5197C2BE">
      <w:pPr>
        <w:widowControl/>
        <w:numPr>
          <w:ilvl w:val="0"/>
          <w:numId w:val="22"/>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Style w:val="12"/>
          <w:rFonts w:hint="eastAsia"/>
          <w:sz w:val="18"/>
          <w:szCs w:val="18"/>
        </w:rPr>
        <w:t>合并范围</w:t>
      </w:r>
    </w:p>
    <w:p w14:paraId="69416C8D">
      <w:pPr>
        <w:pStyle w:val="9"/>
        <w:spacing w:before="0" w:beforeAutospacing="0" w:after="0" w:afterAutospacing="0" w:line="360" w:lineRule="auto"/>
        <w:ind w:firstLine="420"/>
        <w:jc w:val="both"/>
        <w:rPr>
          <w:sz w:val="21"/>
          <w:szCs w:val="21"/>
        </w:rPr>
      </w:pPr>
      <w:r>
        <w:rPr>
          <w:rFonts w:hint="eastAsia"/>
          <w:sz w:val="21"/>
          <w:szCs w:val="21"/>
        </w:rPr>
        <w:t>本公司合并财务报表的合并范围以控制为基础确定，所有子公司（包括本公司所控制的单独主体）均纳入合并财务报表。</w:t>
      </w:r>
    </w:p>
    <w:p w14:paraId="70D5387F">
      <w:pPr>
        <w:widowControl/>
        <w:numPr>
          <w:ilvl w:val="0"/>
          <w:numId w:val="23"/>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Style w:val="12"/>
          <w:rFonts w:hint="eastAsia"/>
          <w:sz w:val="18"/>
          <w:szCs w:val="18"/>
        </w:rPr>
        <w:t>合并程序</w:t>
      </w:r>
    </w:p>
    <w:p w14:paraId="7D245B05">
      <w:pPr>
        <w:pStyle w:val="9"/>
        <w:spacing w:before="0" w:beforeAutospacing="0" w:after="0" w:afterAutospacing="0" w:line="360" w:lineRule="auto"/>
        <w:ind w:firstLine="420"/>
        <w:jc w:val="both"/>
        <w:rPr>
          <w:sz w:val="21"/>
          <w:szCs w:val="21"/>
        </w:rPr>
      </w:pPr>
      <w:r>
        <w:rPr>
          <w:rFonts w:hint="eastAsia"/>
          <w:sz w:val="21"/>
          <w:szCs w:val="21"/>
        </w:rPr>
        <w:t>本公司以自身和各子公司的财务报表为基础，根据其他有关资料，编制合并财务报表。本公司编制合并财务报表，将整个企业集团视为一个会计主体，依据相关企业会计准则的确认、计量和列报要求，按照统一的会计政策，反映本企业集团整体财务状况、经营成果和现金流量。</w:t>
      </w:r>
    </w:p>
    <w:p w14:paraId="3F7EF69B">
      <w:pPr>
        <w:pStyle w:val="9"/>
        <w:spacing w:before="0" w:beforeAutospacing="0" w:after="0" w:afterAutospacing="0" w:line="360" w:lineRule="auto"/>
        <w:ind w:firstLine="420"/>
        <w:jc w:val="both"/>
        <w:rPr>
          <w:sz w:val="21"/>
          <w:szCs w:val="21"/>
        </w:rPr>
      </w:pPr>
      <w:r>
        <w:rPr>
          <w:rFonts w:hint="eastAsia"/>
          <w:sz w:val="21"/>
          <w:szCs w:val="21"/>
        </w:rPr>
        <w:t>所有纳入合并财务报表合并范围的子公司所采用的会计政策、会计期间与本公司一致，如子公司采用的会计政策、会计期间与本公司不一致的，在编制合并财务报表时，按本公司的会计政策、会计期间进行必要的调整。</w:t>
      </w:r>
    </w:p>
    <w:p w14:paraId="3BB98ECE">
      <w:pPr>
        <w:pStyle w:val="9"/>
        <w:spacing w:before="0" w:beforeAutospacing="0" w:after="0" w:afterAutospacing="0" w:line="360" w:lineRule="auto"/>
        <w:ind w:firstLine="420"/>
        <w:jc w:val="both"/>
        <w:rPr>
          <w:sz w:val="21"/>
          <w:szCs w:val="21"/>
        </w:rPr>
      </w:pPr>
      <w:r>
        <w:rPr>
          <w:rFonts w:hint="eastAsia"/>
          <w:sz w:val="21"/>
          <w:szCs w:val="21"/>
        </w:rPr>
        <w:t>合并财务报表时抵销本公司与各子公司、各子公司相互之间发生的内部交易对合并资产负债表、合并利润表、合并现金流量表、合并股东权益变动表的影响。如果站在企业集团合并财务报表角度与以本公司或子公司为会计主体对同一交易的认定不同时，从企业集团的角度对该交易予以调整。</w:t>
      </w:r>
    </w:p>
    <w:p w14:paraId="3D634638">
      <w:pPr>
        <w:pStyle w:val="9"/>
        <w:spacing w:before="0" w:beforeAutospacing="0" w:after="0" w:afterAutospacing="0" w:line="360" w:lineRule="auto"/>
        <w:ind w:firstLine="420"/>
        <w:jc w:val="both"/>
        <w:rPr>
          <w:sz w:val="21"/>
          <w:szCs w:val="21"/>
        </w:rPr>
      </w:pPr>
      <w:r>
        <w:rPr>
          <w:rFonts w:hint="eastAsia"/>
          <w:sz w:val="21"/>
          <w:szCs w:val="21"/>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14:paraId="543AE439">
      <w:pPr>
        <w:pStyle w:val="9"/>
        <w:spacing w:before="0" w:beforeAutospacing="0" w:after="0" w:afterAutospacing="0" w:line="360" w:lineRule="auto"/>
        <w:ind w:firstLine="420"/>
        <w:jc w:val="both"/>
        <w:rPr>
          <w:sz w:val="21"/>
          <w:szCs w:val="21"/>
        </w:rPr>
      </w:pPr>
      <w:r>
        <w:rPr>
          <w:rFonts w:hint="eastAsia"/>
          <w:sz w:val="21"/>
          <w:szCs w:val="21"/>
        </w:rPr>
        <w:t>对于同一控制下企业合并取得的子公司，以其资产、负债（包括最终控制方收购该子公司而形成的商誉）在最终控制方财务报表中的账面价值为基础对其财务报表进行调整。</w:t>
      </w:r>
    </w:p>
    <w:p w14:paraId="7A3408BB">
      <w:pPr>
        <w:pStyle w:val="9"/>
        <w:spacing w:before="0" w:beforeAutospacing="0" w:after="0" w:afterAutospacing="0" w:line="360" w:lineRule="auto"/>
        <w:ind w:firstLine="420"/>
        <w:jc w:val="both"/>
        <w:rPr>
          <w:sz w:val="21"/>
          <w:szCs w:val="21"/>
        </w:rPr>
      </w:pPr>
      <w:r>
        <w:rPr>
          <w:rFonts w:hint="eastAsia"/>
          <w:sz w:val="21"/>
          <w:szCs w:val="21"/>
        </w:rPr>
        <w:t>对于非同一控制下企业合并取得的子公司，以购买日可辨认净资产公允价值为基础对其财务报表进行调整</w:t>
      </w:r>
    </w:p>
    <w:p w14:paraId="415026A9">
      <w:pPr>
        <w:widowControl/>
        <w:numPr>
          <w:ilvl w:val="0"/>
          <w:numId w:val="24"/>
        </w:numPr>
        <w:spacing w:before="100" w:beforeAutospacing="1" w:after="100" w:afterAutospacing="1"/>
        <w:rPr>
          <w:sz w:val="18"/>
          <w:szCs w:val="18"/>
        </w:rPr>
      </w:pPr>
      <w:r>
        <w:rPr>
          <w:rFonts w:hint="eastAsia"/>
          <w:sz w:val="18"/>
          <w:szCs w:val="18"/>
        </w:rPr>
        <w:t>增加子公司或业务</w:t>
      </w:r>
    </w:p>
    <w:p w14:paraId="2689BF55">
      <w:pPr>
        <w:pStyle w:val="9"/>
        <w:spacing w:before="0" w:beforeAutospacing="0" w:after="0" w:afterAutospacing="0" w:line="360" w:lineRule="auto"/>
        <w:ind w:firstLine="420"/>
        <w:jc w:val="both"/>
        <w:rPr>
          <w:sz w:val="21"/>
          <w:szCs w:val="21"/>
        </w:rPr>
      </w:pPr>
      <w:r>
        <w:rPr>
          <w:rFonts w:hint="eastAsia"/>
          <w:sz w:val="21"/>
          <w:szCs w:val="21"/>
        </w:rPr>
        <w:t>在报告期内，若因同一控制下企业合并增加子公司或业务的，则调整合并资产负债表的期初数；将子公司或业务合并当期期初至报告期末的收入、费用、利润纳入合并利润表；将子公司或业务合并当期期初至报告期末的现金流量纳入合并现金流量表，同时对比较报表的相关项目进行调整，视同合并后的报告主体自最终控制方开始控制时点起一直存在。</w:t>
      </w:r>
    </w:p>
    <w:p w14:paraId="2DF6AC0D">
      <w:pPr>
        <w:pStyle w:val="9"/>
        <w:spacing w:before="0" w:beforeAutospacing="0" w:after="0" w:afterAutospacing="0" w:line="360" w:lineRule="auto"/>
        <w:ind w:firstLine="420"/>
        <w:jc w:val="both"/>
        <w:rPr>
          <w:sz w:val="21"/>
          <w:szCs w:val="21"/>
        </w:rPr>
      </w:pPr>
      <w:r>
        <w:rPr>
          <w:rFonts w:hint="eastAsia"/>
          <w:sz w:val="21"/>
          <w:szCs w:val="21"/>
        </w:rPr>
        <w:t>因追加投资等原因能够对同一控制下的被投资方实施控制的，视同参与合并的各方在最终控制方开始控制时即以目前的状态存在进行调整。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14:paraId="4EA864A2">
      <w:pPr>
        <w:pStyle w:val="9"/>
        <w:spacing w:before="0" w:beforeAutospacing="0" w:after="0" w:afterAutospacing="0" w:line="360" w:lineRule="auto"/>
        <w:ind w:firstLine="420"/>
        <w:jc w:val="both"/>
        <w:rPr>
          <w:sz w:val="21"/>
          <w:szCs w:val="21"/>
        </w:rPr>
      </w:pPr>
      <w:r>
        <w:rPr>
          <w:rFonts w:hint="eastAsia"/>
          <w:sz w:val="21"/>
          <w:szCs w:val="21"/>
        </w:rPr>
        <w:t>在报告期内，若因非同一控制下企业合并增加子公司或业务的，则不调整合并资产负债表期初数；将该子公司或业务自购买日至报告期末的收入、费用、利润纳入合并利润表；该子公司或业务自购买日至报告期末的现金流量纳入合并现金流量表。</w:t>
      </w:r>
    </w:p>
    <w:p w14:paraId="754A2A73">
      <w:pPr>
        <w:pStyle w:val="9"/>
        <w:spacing w:before="0" w:beforeAutospacing="0" w:after="0" w:afterAutospacing="0" w:line="360" w:lineRule="auto"/>
        <w:ind w:firstLine="420"/>
        <w:jc w:val="both"/>
        <w:rPr>
          <w:sz w:val="21"/>
          <w:szCs w:val="21"/>
        </w:rPr>
      </w:pPr>
      <w:r>
        <w:rPr>
          <w:rFonts w:hint="eastAsia"/>
          <w:sz w:val="21"/>
          <w:szCs w:val="21"/>
        </w:rPr>
        <w:t>因追加投资等原因能够对非同一控制下的被投资方实施控制的，对于购买日之前持有的被购买方的股权，本公司按照该股权在购买日的公允价值进行重新计量，公允价值与其账面价值的差额计入当期投资收益。购买日之前持有的被购买方的股权涉及权益法核算下的其他综合收益以及除净损益、其他综合收益和利润分配之外的其他所有者权益变动的，与其相关的其他综合收益、其他所有者权益变动转为购买日所属当期投资收益，由于被投资方重新计量设定受益计划净负债或净资产变动而产生的其他综合收益除外。</w:t>
      </w:r>
    </w:p>
    <w:p w14:paraId="70889F6D">
      <w:pPr>
        <w:widowControl/>
        <w:numPr>
          <w:ilvl w:val="0"/>
          <w:numId w:val="25"/>
        </w:numPr>
        <w:spacing w:before="100" w:beforeAutospacing="1" w:after="100" w:afterAutospacing="1"/>
        <w:rPr>
          <w:sz w:val="18"/>
          <w:szCs w:val="18"/>
        </w:rPr>
      </w:pPr>
      <w:r>
        <w:rPr>
          <w:rFonts w:hint="eastAsia"/>
          <w:sz w:val="18"/>
          <w:szCs w:val="18"/>
        </w:rPr>
        <w:t>处置子公司或业务</w:t>
      </w:r>
    </w:p>
    <w:p w14:paraId="1EB004DC">
      <w:pPr>
        <w:pStyle w:val="9"/>
        <w:spacing w:before="0" w:beforeAutospacing="0" w:after="0" w:afterAutospacing="0" w:line="360" w:lineRule="auto"/>
        <w:ind w:firstLine="420"/>
        <w:jc w:val="both"/>
        <w:rPr>
          <w:sz w:val="21"/>
          <w:szCs w:val="21"/>
        </w:rPr>
      </w:pPr>
      <w:r>
        <w:rPr>
          <w:rFonts w:ascii="Arial" w:hAnsi="Arial" w:cs="Arial"/>
          <w:sz w:val="21"/>
          <w:szCs w:val="21"/>
        </w:rPr>
        <w:t>1</w:t>
      </w:r>
      <w:r>
        <w:rPr>
          <w:rFonts w:hint="eastAsia"/>
          <w:sz w:val="21"/>
          <w:szCs w:val="21"/>
        </w:rPr>
        <w:t>）一般处理方法</w:t>
      </w:r>
    </w:p>
    <w:p w14:paraId="5420C311">
      <w:pPr>
        <w:pStyle w:val="9"/>
        <w:spacing w:before="0" w:beforeAutospacing="0" w:after="0" w:afterAutospacing="0" w:line="360" w:lineRule="auto"/>
        <w:ind w:firstLine="420"/>
        <w:jc w:val="both"/>
        <w:rPr>
          <w:sz w:val="21"/>
          <w:szCs w:val="21"/>
        </w:rPr>
      </w:pPr>
      <w:r>
        <w:rPr>
          <w:rFonts w:hint="eastAsia"/>
          <w:sz w:val="21"/>
          <w:szCs w:val="21"/>
        </w:rPr>
        <w:t>在报告期内，本公司处置子公司或业务，则该子公司或业务期初至处置日的收入、费用、利润纳入合并利润表；该子公司或业务期初至处置日的现金流量纳入合并现金流量表。</w:t>
      </w:r>
    </w:p>
    <w:p w14:paraId="790CAF54">
      <w:pPr>
        <w:pStyle w:val="9"/>
        <w:spacing w:before="0" w:beforeAutospacing="0" w:after="0" w:afterAutospacing="0" w:line="360" w:lineRule="auto"/>
        <w:ind w:firstLine="420"/>
        <w:jc w:val="both"/>
        <w:rPr>
          <w:sz w:val="21"/>
          <w:szCs w:val="21"/>
        </w:rPr>
      </w:pPr>
      <w:r>
        <w:rPr>
          <w:rFonts w:hint="eastAsia"/>
          <w:sz w:val="21"/>
          <w:szCs w:val="21"/>
        </w:rPr>
        <w:t>因处置部分股权投资或其他原因丧失了对被投资方控制权时，对于处置后的剩余股权投资，本公司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w:t>
      </w:r>
      <w:bookmarkStart w:id="182" w:name="_Hlk188436752"/>
      <w:bookmarkEnd w:id="182"/>
      <w:r>
        <w:rPr>
          <w:rFonts w:hint="eastAsia"/>
          <w:sz w:val="21"/>
          <w:szCs w:val="21"/>
        </w:rPr>
        <w:t>与原有子公司的股权投资相关的其他综合收益在丧失控制权时采用与原有子公司直接处置相关资产或负债相同的基础进行会计处理，与原有子公司相关的涉及权益法核算下的其他所有者权益变动在丧失控制权时转入当期损益。</w:t>
      </w:r>
    </w:p>
    <w:p w14:paraId="0F4C0DA0">
      <w:pPr>
        <w:pStyle w:val="9"/>
        <w:spacing w:before="0" w:beforeAutospacing="0" w:after="0" w:afterAutospacing="0" w:line="360" w:lineRule="auto"/>
        <w:ind w:firstLine="420"/>
        <w:jc w:val="both"/>
        <w:rPr>
          <w:sz w:val="21"/>
          <w:szCs w:val="21"/>
        </w:rPr>
      </w:pPr>
      <w:r>
        <w:rPr>
          <w:rFonts w:ascii="Arial" w:hAnsi="Arial" w:cs="Arial"/>
          <w:sz w:val="21"/>
          <w:szCs w:val="21"/>
        </w:rPr>
        <w:t>2</w:t>
      </w:r>
      <w:r>
        <w:rPr>
          <w:rFonts w:hint="eastAsia"/>
          <w:sz w:val="21"/>
          <w:szCs w:val="21"/>
        </w:rPr>
        <w:t>）分步处置子公司</w:t>
      </w:r>
    </w:p>
    <w:p w14:paraId="32BA6489">
      <w:pPr>
        <w:pStyle w:val="9"/>
        <w:spacing w:before="0" w:beforeAutospacing="0" w:after="0" w:afterAutospacing="0" w:line="360" w:lineRule="auto"/>
        <w:ind w:firstLine="420"/>
        <w:jc w:val="both"/>
        <w:rPr>
          <w:sz w:val="21"/>
          <w:szCs w:val="21"/>
        </w:rPr>
      </w:pPr>
      <w:r>
        <w:rPr>
          <w:rFonts w:hint="eastAsia"/>
          <w:sz w:val="21"/>
          <w:szCs w:val="21"/>
        </w:rPr>
        <w:t>通过多次交易分步处置对子公司股权投资直至丧失控制权的，处置对子公司股权投资的各项交易的条款、条件以及经济影响符合以下一种或多种情况，通常表明应将多次交易事项作为一揽子交易进行会计处理：</w:t>
      </w:r>
    </w:p>
    <w:p w14:paraId="0D0CEED6">
      <w:pPr>
        <w:pStyle w:val="9"/>
        <w:spacing w:before="0" w:beforeAutospacing="0" w:after="0" w:afterAutospacing="0" w:line="360" w:lineRule="auto"/>
        <w:ind w:firstLine="420"/>
        <w:jc w:val="both"/>
        <w:rPr>
          <w:sz w:val="21"/>
          <w:szCs w:val="21"/>
        </w:rPr>
      </w:pPr>
      <w:r>
        <w:rPr>
          <w:rFonts w:ascii="Arial" w:hAnsi="Arial" w:cs="Arial"/>
          <w:sz w:val="21"/>
          <w:szCs w:val="21"/>
        </w:rPr>
        <w:t>A.</w:t>
      </w:r>
      <w:r>
        <w:rPr>
          <w:rFonts w:hint="eastAsia"/>
          <w:sz w:val="21"/>
          <w:szCs w:val="21"/>
        </w:rPr>
        <w:t>这些交易是同时或者在考虑了彼此影响的情况下订立的；</w:t>
      </w:r>
    </w:p>
    <w:p w14:paraId="32F38DA3">
      <w:pPr>
        <w:pStyle w:val="9"/>
        <w:spacing w:before="0" w:beforeAutospacing="0" w:after="0" w:afterAutospacing="0" w:line="360" w:lineRule="auto"/>
        <w:ind w:firstLine="420"/>
        <w:jc w:val="both"/>
        <w:rPr>
          <w:sz w:val="21"/>
          <w:szCs w:val="21"/>
        </w:rPr>
      </w:pPr>
      <w:r>
        <w:rPr>
          <w:rFonts w:ascii="Arial" w:hAnsi="Arial" w:cs="Arial"/>
          <w:sz w:val="21"/>
          <w:szCs w:val="21"/>
        </w:rPr>
        <w:t>B.</w:t>
      </w:r>
      <w:r>
        <w:rPr>
          <w:rFonts w:hint="eastAsia"/>
          <w:sz w:val="21"/>
          <w:szCs w:val="21"/>
        </w:rPr>
        <w:t>这些交易整体才能达成一项完整的商业结果；</w:t>
      </w:r>
    </w:p>
    <w:p w14:paraId="593D8EE2">
      <w:pPr>
        <w:pStyle w:val="9"/>
        <w:spacing w:before="0" w:beforeAutospacing="0" w:after="0" w:afterAutospacing="0" w:line="360" w:lineRule="auto"/>
        <w:ind w:firstLine="420"/>
        <w:jc w:val="both"/>
        <w:rPr>
          <w:sz w:val="21"/>
          <w:szCs w:val="21"/>
        </w:rPr>
      </w:pPr>
      <w:r>
        <w:rPr>
          <w:rFonts w:ascii="Arial" w:hAnsi="Arial" w:cs="Arial"/>
          <w:sz w:val="21"/>
          <w:szCs w:val="21"/>
        </w:rPr>
        <w:t>C.</w:t>
      </w:r>
      <w:r>
        <w:rPr>
          <w:rFonts w:hint="eastAsia"/>
          <w:sz w:val="21"/>
          <w:szCs w:val="21"/>
        </w:rPr>
        <w:t>一项交易的发生取决于其他至少一项交易的发生；</w:t>
      </w:r>
    </w:p>
    <w:p w14:paraId="2D284DAF">
      <w:pPr>
        <w:pStyle w:val="9"/>
        <w:spacing w:before="0" w:beforeAutospacing="0" w:after="0" w:afterAutospacing="0" w:line="360" w:lineRule="auto"/>
        <w:ind w:firstLine="420"/>
        <w:jc w:val="both"/>
        <w:rPr>
          <w:sz w:val="21"/>
          <w:szCs w:val="21"/>
        </w:rPr>
      </w:pPr>
      <w:r>
        <w:rPr>
          <w:rFonts w:ascii="Arial" w:hAnsi="Arial" w:cs="Arial"/>
          <w:sz w:val="21"/>
          <w:szCs w:val="21"/>
        </w:rPr>
        <w:t>D.</w:t>
      </w:r>
      <w:r>
        <w:rPr>
          <w:rFonts w:hint="eastAsia"/>
          <w:sz w:val="21"/>
          <w:szCs w:val="21"/>
        </w:rPr>
        <w:t>一项交易单独看是不经济的，但是和其他交易一并考虑时是经济的。</w:t>
      </w:r>
    </w:p>
    <w:p w14:paraId="181F27D6">
      <w:pPr>
        <w:pStyle w:val="9"/>
        <w:spacing w:before="0" w:beforeAutospacing="0" w:after="0" w:afterAutospacing="0" w:line="360" w:lineRule="auto"/>
        <w:ind w:firstLine="420"/>
        <w:jc w:val="both"/>
        <w:rPr>
          <w:sz w:val="21"/>
          <w:szCs w:val="21"/>
        </w:rPr>
      </w:pPr>
      <w:r>
        <w:rPr>
          <w:rFonts w:hint="eastAsia"/>
          <w:sz w:val="21"/>
          <w:szCs w:val="21"/>
        </w:rPr>
        <w:t>处置对子公司股权投资直至丧失控制权的各项交易属于一揽子交易的，本公司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14:paraId="70947BCE">
      <w:pPr>
        <w:pStyle w:val="9"/>
        <w:spacing w:before="0" w:beforeAutospacing="0" w:after="0" w:afterAutospacing="0" w:line="360" w:lineRule="auto"/>
        <w:ind w:firstLine="420"/>
        <w:jc w:val="both"/>
        <w:rPr>
          <w:sz w:val="21"/>
          <w:szCs w:val="21"/>
        </w:rPr>
      </w:pPr>
      <w:r>
        <w:rPr>
          <w:rFonts w:hint="eastAsia"/>
          <w:sz w:val="21"/>
          <w:szCs w:val="21"/>
        </w:rPr>
        <w:t>处置对子公司股权投资直至丧失控制权的各项交易不属于一揽子交易的，在丧失控制权之前，按不丧失控制权的情况下部分处置对子公司的股权投资的相关政策进行会计处理；在丧失控制权时，按处置子公司一般处理方法进行会计处理。</w:t>
      </w:r>
    </w:p>
    <w:p w14:paraId="229CD269">
      <w:pPr>
        <w:widowControl/>
        <w:numPr>
          <w:ilvl w:val="0"/>
          <w:numId w:val="26"/>
        </w:numPr>
        <w:spacing w:before="100" w:beforeAutospacing="1" w:after="100" w:afterAutospacing="1"/>
        <w:rPr>
          <w:sz w:val="18"/>
          <w:szCs w:val="18"/>
        </w:rPr>
      </w:pPr>
      <w:r>
        <w:rPr>
          <w:rFonts w:hint="eastAsia"/>
          <w:sz w:val="18"/>
          <w:szCs w:val="18"/>
        </w:rPr>
        <w:t>购买子公司少数股权</w:t>
      </w:r>
    </w:p>
    <w:p w14:paraId="5779FAE3">
      <w:pPr>
        <w:pStyle w:val="9"/>
        <w:spacing w:before="0" w:beforeAutospacing="0" w:after="0" w:afterAutospacing="0" w:line="360" w:lineRule="auto"/>
        <w:ind w:firstLine="420"/>
        <w:jc w:val="both"/>
        <w:rPr>
          <w:sz w:val="21"/>
          <w:szCs w:val="21"/>
        </w:rPr>
      </w:pPr>
      <w:r>
        <w:rPr>
          <w:rFonts w:hint="eastAsia"/>
          <w:sz w:val="21"/>
          <w:szCs w:val="21"/>
        </w:rPr>
        <w:t>本公司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14:paraId="4ADF0CA8">
      <w:pPr>
        <w:widowControl/>
        <w:numPr>
          <w:ilvl w:val="0"/>
          <w:numId w:val="27"/>
        </w:numPr>
        <w:spacing w:before="100" w:beforeAutospacing="1" w:after="100" w:afterAutospacing="1"/>
        <w:rPr>
          <w:sz w:val="18"/>
          <w:szCs w:val="18"/>
        </w:rPr>
      </w:pPr>
      <w:r>
        <w:rPr>
          <w:rFonts w:hint="eastAsia"/>
          <w:sz w:val="18"/>
          <w:szCs w:val="18"/>
        </w:rPr>
        <w:t>不丧失控制权的情况下部分处置对子公司的股权投资</w:t>
      </w:r>
    </w:p>
    <w:p w14:paraId="4EF6F130">
      <w:pPr>
        <w:pStyle w:val="9"/>
        <w:spacing w:before="0" w:beforeAutospacing="0" w:after="0" w:afterAutospacing="0" w:line="360" w:lineRule="auto"/>
        <w:ind w:firstLine="420"/>
        <w:jc w:val="both"/>
        <w:rPr>
          <w:sz w:val="21"/>
          <w:szCs w:val="21"/>
        </w:rPr>
      </w:pPr>
      <w:r>
        <w:rPr>
          <w:rFonts w:hint="eastAsia"/>
          <w:sz w:val="21"/>
          <w:szCs w:val="21"/>
        </w:rPr>
        <w:t>在不丧失控制权的情况下因部分处置对子公司的长期股权投资而取得的处置价款与处置长期股权投资相对应享有子公司自购买日或合并日开始持续计算的净资产份额之间的差额，调整合并资产负债表中的资本公积中的股本溢价，资本公积中的股本溢价不足冲减的，调整留存收益。</w:t>
      </w:r>
    </w:p>
    <w:p w14:paraId="72A5C3E9">
      <w:pPr>
        <w:pStyle w:val="3"/>
        <w:spacing w:line="280" w:lineRule="exact"/>
        <w:jc w:val="left"/>
        <w:rPr>
          <w:rFonts w:ascii="宋体" w:hAnsi="宋体" w:cs="宋体"/>
          <w:b/>
          <w:bCs/>
        </w:rPr>
      </w:pPr>
      <w:bookmarkStart w:id="183" w:name="_Toc989067"/>
      <w:r>
        <w:rPr>
          <w:rFonts w:ascii="宋体" w:hAnsi="宋体" w:cs="宋体"/>
          <w:b/>
          <w:bCs/>
        </w:rPr>
        <w:t>8、合营安排分类及共同经营会计处理方法</w:t>
      </w:r>
      <w:bookmarkEnd w:id="183"/>
    </w:p>
    <w:p w14:paraId="6B6476BA">
      <w:pPr>
        <w:widowControl/>
        <w:numPr>
          <w:ilvl w:val="0"/>
          <w:numId w:val="28"/>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Style w:val="12"/>
          <w:rFonts w:hint="eastAsia"/>
          <w:sz w:val="18"/>
          <w:szCs w:val="18"/>
        </w:rPr>
        <w:t>合营安排的分类</w:t>
      </w:r>
    </w:p>
    <w:p w14:paraId="4F694BF8">
      <w:pPr>
        <w:pStyle w:val="9"/>
        <w:spacing w:before="0" w:beforeAutospacing="0" w:after="0" w:afterAutospacing="0" w:line="360" w:lineRule="auto"/>
        <w:ind w:firstLine="420"/>
        <w:jc w:val="both"/>
        <w:rPr>
          <w:sz w:val="21"/>
          <w:szCs w:val="21"/>
        </w:rPr>
      </w:pPr>
      <w:r>
        <w:rPr>
          <w:rFonts w:hint="eastAsia"/>
          <w:sz w:val="21"/>
          <w:szCs w:val="21"/>
        </w:rPr>
        <w:t>本公司根据合营安排的结构、法律形式以及合营安排中约定的条款、其他相关事实和情况等因素，将合营安排分为共同经营和合营企业。共同经营，是指合营方享有该安排相关资产且承担该安排相关负债的合营安排。合营企业是指合营方仅对该安排的净资产享有权利的合营安排。</w:t>
      </w:r>
    </w:p>
    <w:p w14:paraId="3A17FBAC">
      <w:pPr>
        <w:widowControl/>
        <w:numPr>
          <w:ilvl w:val="0"/>
          <w:numId w:val="29"/>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Style w:val="12"/>
          <w:rFonts w:hint="eastAsia"/>
          <w:sz w:val="18"/>
          <w:szCs w:val="18"/>
        </w:rPr>
        <w:t>共同经营会计处理方法</w:t>
      </w:r>
    </w:p>
    <w:p w14:paraId="05309382">
      <w:pPr>
        <w:pStyle w:val="9"/>
        <w:spacing w:before="0" w:beforeAutospacing="0" w:after="0" w:afterAutospacing="0" w:line="360" w:lineRule="auto"/>
        <w:ind w:firstLine="420"/>
        <w:jc w:val="both"/>
        <w:rPr>
          <w:sz w:val="21"/>
          <w:szCs w:val="21"/>
        </w:rPr>
      </w:pPr>
      <w:r>
        <w:rPr>
          <w:rFonts w:hint="eastAsia"/>
          <w:sz w:val="21"/>
          <w:szCs w:val="21"/>
        </w:rPr>
        <w:t>本公司确认共同经营中利益份额中与本公司相关的下列项目，并按照相关企业会计准则的规定进行会计处理：</w:t>
      </w:r>
    </w:p>
    <w:p w14:paraId="0B9CB0AD">
      <w:pPr>
        <w:widowControl/>
        <w:numPr>
          <w:ilvl w:val="1"/>
          <w:numId w:val="30"/>
        </w:numPr>
        <w:spacing w:before="100" w:beforeAutospacing="1" w:after="100" w:afterAutospacing="1"/>
        <w:rPr>
          <w:sz w:val="18"/>
          <w:szCs w:val="18"/>
        </w:rPr>
      </w:pPr>
      <w:r>
        <w:rPr>
          <w:rFonts w:hint="eastAsia"/>
          <w:sz w:val="18"/>
          <w:szCs w:val="18"/>
        </w:rPr>
        <w:t>确认单独所持有的资产，以及按其份额确认共同持有的资产；</w:t>
      </w:r>
    </w:p>
    <w:p w14:paraId="7423BB7E">
      <w:pPr>
        <w:widowControl/>
        <w:numPr>
          <w:ilvl w:val="1"/>
          <w:numId w:val="30"/>
        </w:numPr>
        <w:spacing w:before="100" w:beforeAutospacing="1" w:after="100" w:afterAutospacing="1"/>
        <w:rPr>
          <w:sz w:val="18"/>
          <w:szCs w:val="18"/>
        </w:rPr>
      </w:pPr>
      <w:r>
        <w:rPr>
          <w:rFonts w:hint="eastAsia"/>
          <w:sz w:val="18"/>
          <w:szCs w:val="18"/>
        </w:rPr>
        <w:t>确认单独所承担的负债，以及按其份额确认共同承担的负债；</w:t>
      </w:r>
    </w:p>
    <w:p w14:paraId="2B8D9C2C">
      <w:pPr>
        <w:widowControl/>
        <w:numPr>
          <w:ilvl w:val="1"/>
          <w:numId w:val="30"/>
        </w:numPr>
        <w:spacing w:before="100" w:beforeAutospacing="1" w:after="100" w:afterAutospacing="1"/>
        <w:rPr>
          <w:sz w:val="18"/>
          <w:szCs w:val="18"/>
        </w:rPr>
      </w:pPr>
      <w:r>
        <w:rPr>
          <w:rFonts w:hint="eastAsia"/>
          <w:sz w:val="18"/>
          <w:szCs w:val="18"/>
        </w:rPr>
        <w:t>确认出售其享有的共同经营产出份额所产生的收入；</w:t>
      </w:r>
    </w:p>
    <w:p w14:paraId="6F907D91">
      <w:pPr>
        <w:widowControl/>
        <w:numPr>
          <w:ilvl w:val="1"/>
          <w:numId w:val="30"/>
        </w:numPr>
        <w:spacing w:before="100" w:beforeAutospacing="1" w:after="100" w:afterAutospacing="1"/>
        <w:rPr>
          <w:sz w:val="18"/>
          <w:szCs w:val="18"/>
        </w:rPr>
      </w:pPr>
      <w:r>
        <w:rPr>
          <w:rFonts w:hint="eastAsia"/>
          <w:sz w:val="18"/>
          <w:szCs w:val="18"/>
        </w:rPr>
        <w:t>按其份额确认共同经营因出售产出所产生的收入；</w:t>
      </w:r>
    </w:p>
    <w:p w14:paraId="573949BF">
      <w:pPr>
        <w:widowControl/>
        <w:numPr>
          <w:ilvl w:val="1"/>
          <w:numId w:val="30"/>
        </w:numPr>
        <w:spacing w:before="100" w:beforeAutospacing="1" w:after="100" w:afterAutospacing="1"/>
        <w:rPr>
          <w:sz w:val="18"/>
          <w:szCs w:val="18"/>
        </w:rPr>
      </w:pPr>
      <w:r>
        <w:rPr>
          <w:rFonts w:hint="eastAsia"/>
          <w:sz w:val="18"/>
          <w:szCs w:val="18"/>
        </w:rPr>
        <w:t>确认单独所发生的费用，以及按其份额确认共同经营发生的费用。</w:t>
      </w:r>
    </w:p>
    <w:p w14:paraId="258715A0">
      <w:pPr>
        <w:pStyle w:val="9"/>
        <w:spacing w:before="0" w:beforeAutospacing="0" w:after="0" w:afterAutospacing="0" w:line="360" w:lineRule="auto"/>
        <w:ind w:firstLine="420"/>
        <w:jc w:val="both"/>
        <w:rPr>
          <w:sz w:val="21"/>
          <w:szCs w:val="21"/>
        </w:rPr>
      </w:pPr>
      <w:r>
        <w:rPr>
          <w:rFonts w:hint="eastAsia"/>
          <w:sz w:val="21"/>
          <w:szCs w:val="21"/>
        </w:rPr>
        <w:t>本公司向共同经营投出或出售资产等（该资产构成业务的除外），在该资产等由共同经营出售给第三方之前，仅确认因该交易产生的损益中归属于共同经营其他参与方的部分。投出或出售的资产发生资产减值损失的，本公司全额确认该损失。</w:t>
      </w:r>
    </w:p>
    <w:p w14:paraId="3B1CC7DE">
      <w:pPr>
        <w:pStyle w:val="9"/>
        <w:spacing w:before="0" w:beforeAutospacing="0" w:after="0" w:afterAutospacing="0" w:line="360" w:lineRule="auto"/>
        <w:ind w:firstLine="420"/>
        <w:jc w:val="both"/>
        <w:rPr>
          <w:sz w:val="21"/>
          <w:szCs w:val="21"/>
        </w:rPr>
      </w:pPr>
      <w:r>
        <w:rPr>
          <w:rFonts w:hint="eastAsia"/>
          <w:sz w:val="21"/>
          <w:szCs w:val="21"/>
        </w:rPr>
        <w:t>本公司自共同经营购买资产等（该资产构成业务的除外），在将该资产等出售给第三方之前，仅确认因该交易产生的损益中归属于共同经营其他参与方的部分。购入的资产发生资产减值损失的，本公司按承担的份额确认该部分损失</w:t>
      </w:r>
    </w:p>
    <w:p w14:paraId="789F1B90">
      <w:pPr>
        <w:pStyle w:val="3"/>
        <w:spacing w:line="280" w:lineRule="exact"/>
        <w:jc w:val="left"/>
        <w:rPr>
          <w:rFonts w:ascii="宋体" w:hAnsi="宋体" w:cs="宋体"/>
          <w:b/>
          <w:bCs/>
        </w:rPr>
      </w:pPr>
      <w:bookmarkStart w:id="184" w:name="_Toc989068"/>
      <w:r>
        <w:rPr>
          <w:rFonts w:ascii="宋体" w:hAnsi="宋体" w:cs="宋体"/>
          <w:b/>
          <w:bCs/>
        </w:rPr>
        <w:t>9、现金及现金等价物的确定标准</w:t>
      </w:r>
      <w:bookmarkEnd w:id="184"/>
    </w:p>
    <w:p w14:paraId="427D15DC">
      <w:pPr>
        <w:pStyle w:val="9"/>
        <w:spacing w:before="0" w:beforeAutospacing="0" w:after="0" w:afterAutospacing="0" w:line="360" w:lineRule="auto"/>
        <w:ind w:firstLine="420"/>
        <w:jc w:val="both"/>
        <w:rPr>
          <w:sz w:val="21"/>
          <w:szCs w:val="21"/>
        </w:rPr>
      </w:pPr>
      <w:r>
        <w:rPr>
          <w:rFonts w:hint="eastAsia"/>
          <w:sz w:val="21"/>
          <w:szCs w:val="21"/>
        </w:rPr>
        <w:t>在编制现金流量表时，本公司将库存现金以及可以随时用于支付的存款确认为现金，将同时具备期限短（一般从购买日起三个月内到期）、流动性强、易于转换为已知金额的现金、价值变动风险很小四个条件的投资，确定为现金等价物。</w:t>
      </w:r>
    </w:p>
    <w:p w14:paraId="4E95FF42">
      <w:pPr>
        <w:pStyle w:val="3"/>
        <w:spacing w:line="280" w:lineRule="exact"/>
        <w:jc w:val="left"/>
        <w:rPr>
          <w:rFonts w:ascii="宋体" w:hAnsi="宋体" w:cs="宋体"/>
          <w:b/>
          <w:bCs/>
        </w:rPr>
      </w:pPr>
      <w:bookmarkStart w:id="185" w:name="_Toc989069"/>
      <w:r>
        <w:rPr>
          <w:rFonts w:ascii="宋体" w:hAnsi="宋体" w:cs="宋体"/>
          <w:b/>
          <w:bCs/>
        </w:rPr>
        <w:t>10、外币业务和外币报表折算</w:t>
      </w:r>
      <w:bookmarkEnd w:id="185"/>
    </w:p>
    <w:p w14:paraId="508CD1E5">
      <w:pPr>
        <w:widowControl/>
        <w:numPr>
          <w:ilvl w:val="0"/>
          <w:numId w:val="31"/>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外币业务</w:t>
      </w:r>
    </w:p>
    <w:p w14:paraId="7BAC6382">
      <w:pPr>
        <w:pStyle w:val="9"/>
        <w:spacing w:before="0" w:beforeAutospacing="0" w:after="0" w:afterAutospacing="0" w:line="360" w:lineRule="auto"/>
        <w:ind w:firstLine="420"/>
        <w:jc w:val="both"/>
        <w:rPr>
          <w:sz w:val="21"/>
          <w:szCs w:val="21"/>
        </w:rPr>
      </w:pPr>
      <w:r>
        <w:rPr>
          <w:rFonts w:hint="eastAsia"/>
          <w:sz w:val="21"/>
          <w:szCs w:val="21"/>
        </w:rPr>
        <w:t>外币业务交易在初始确认时，采用交易发生日的即期汇率作为折算汇率折合成人民币记账。</w:t>
      </w:r>
    </w:p>
    <w:p w14:paraId="502B5526">
      <w:pPr>
        <w:pStyle w:val="9"/>
        <w:spacing w:before="0" w:beforeAutospacing="0" w:after="0" w:afterAutospacing="0" w:line="360" w:lineRule="auto"/>
        <w:ind w:firstLine="420"/>
        <w:jc w:val="both"/>
        <w:rPr>
          <w:sz w:val="21"/>
          <w:szCs w:val="21"/>
        </w:rPr>
      </w:pPr>
      <w:r>
        <w:rPr>
          <w:rFonts w:hint="eastAsia"/>
          <w:sz w:val="21"/>
          <w:szCs w:val="21"/>
        </w:rPr>
        <w:t>资产负债表日，外币货币性项目按资产负债表日即期汇率折算，由此产生的汇兑差额，除属于与购建符合资本化条件的资产相关的外币专门借款产生的汇兑差额按照借款费用资本化的原则处理外，均计入当期损益。以历史成本计量的外币非货币性项目，仍采用交易发生日的即期汇率折算，不改变其记账本位币金额。</w:t>
      </w:r>
    </w:p>
    <w:p w14:paraId="11B97A98">
      <w:pPr>
        <w:pStyle w:val="9"/>
        <w:spacing w:before="0" w:beforeAutospacing="0" w:after="0" w:afterAutospacing="0" w:line="360" w:lineRule="auto"/>
        <w:ind w:firstLine="420"/>
        <w:jc w:val="both"/>
        <w:rPr>
          <w:sz w:val="21"/>
          <w:szCs w:val="21"/>
        </w:rPr>
      </w:pPr>
      <w:r>
        <w:rPr>
          <w:rFonts w:hint="eastAsia"/>
          <w:sz w:val="21"/>
          <w:szCs w:val="21"/>
        </w:rPr>
        <w:t>以公允价值计量的外币非货币性项目，采用公允价值确定日的即期汇率折算，折算后的记账本位币金额与原记账本位币金额的差额，作为公允价值变动</w:t>
      </w:r>
      <w:r>
        <w:rPr>
          <w:rFonts w:ascii="Arial" w:hAnsi="Arial" w:cs="Arial"/>
          <w:sz w:val="21"/>
          <w:szCs w:val="21"/>
        </w:rPr>
        <w:t>(</w:t>
      </w:r>
      <w:r>
        <w:rPr>
          <w:rFonts w:hint="eastAsia"/>
          <w:sz w:val="21"/>
          <w:szCs w:val="21"/>
        </w:rPr>
        <w:t>含汇率变动</w:t>
      </w:r>
      <w:r>
        <w:rPr>
          <w:rFonts w:ascii="Arial" w:hAnsi="Arial" w:cs="Arial"/>
          <w:sz w:val="21"/>
          <w:szCs w:val="21"/>
        </w:rPr>
        <w:t>)</w:t>
      </w:r>
      <w:r>
        <w:rPr>
          <w:rFonts w:hint="eastAsia"/>
          <w:sz w:val="21"/>
          <w:szCs w:val="21"/>
        </w:rPr>
        <w:t>处理，计入当期损益或确认为其他综合收益。</w:t>
      </w:r>
    </w:p>
    <w:p w14:paraId="454D1166">
      <w:pPr>
        <w:widowControl/>
        <w:numPr>
          <w:ilvl w:val="0"/>
          <w:numId w:val="32"/>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外币财务报表的折算</w:t>
      </w:r>
    </w:p>
    <w:p w14:paraId="247C6D73">
      <w:pPr>
        <w:pStyle w:val="9"/>
        <w:spacing w:before="0" w:beforeAutospacing="0" w:after="0" w:afterAutospacing="0" w:line="360" w:lineRule="auto"/>
        <w:ind w:firstLine="420"/>
        <w:jc w:val="both"/>
        <w:rPr>
          <w:sz w:val="21"/>
          <w:szCs w:val="21"/>
        </w:rPr>
      </w:pPr>
      <w:r>
        <w:rPr>
          <w:rFonts w:hint="eastAsia"/>
          <w:sz w:val="21"/>
          <w:szCs w:val="21"/>
        </w:rPr>
        <w:t>资产负债表中的资产和负债项目，采用资产负债表日的即期汇率折算；所有者权益项目除</w:t>
      </w:r>
      <w:r>
        <w:rPr>
          <w:rFonts w:ascii="Arial" w:hAnsi="Arial" w:cs="Arial"/>
          <w:sz w:val="21"/>
          <w:szCs w:val="21"/>
        </w:rPr>
        <w:t>“</w:t>
      </w:r>
      <w:r>
        <w:rPr>
          <w:rFonts w:hint="eastAsia"/>
          <w:sz w:val="21"/>
          <w:szCs w:val="21"/>
        </w:rPr>
        <w:t>未分配利润</w:t>
      </w:r>
      <w:r>
        <w:rPr>
          <w:rFonts w:ascii="Arial" w:hAnsi="Arial" w:cs="Arial"/>
          <w:sz w:val="21"/>
          <w:szCs w:val="21"/>
        </w:rPr>
        <w:t>”</w:t>
      </w:r>
      <w:r>
        <w:rPr>
          <w:rFonts w:hint="eastAsia"/>
          <w:sz w:val="21"/>
          <w:szCs w:val="21"/>
        </w:rPr>
        <w:t>项目外，其他项目采用发生时的即期汇率折算。利润表中的收入和费用项目，采用当期平均汇率折算。按照上述折算产生的外币财务报表折算差额计入其他综合收益。</w:t>
      </w:r>
    </w:p>
    <w:p w14:paraId="2F5A9002">
      <w:pPr>
        <w:pStyle w:val="9"/>
        <w:spacing w:before="0" w:beforeAutospacing="0" w:after="0" w:afterAutospacing="0" w:line="360" w:lineRule="auto"/>
        <w:ind w:firstLine="420"/>
        <w:jc w:val="both"/>
        <w:rPr>
          <w:sz w:val="21"/>
          <w:szCs w:val="21"/>
        </w:rPr>
      </w:pPr>
      <w:r>
        <w:rPr>
          <w:rFonts w:hint="eastAsia"/>
          <w:sz w:val="21"/>
          <w:szCs w:val="21"/>
        </w:rPr>
        <w:t>处置境外经营时，将资产负债表中其他综合收益项目中列示的、与该境外经营相关的外币财务报表折算差额，自其他综合收益项目转入处置当期损益；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14:paraId="66658989">
      <w:pPr>
        <w:pStyle w:val="3"/>
        <w:spacing w:line="280" w:lineRule="exact"/>
        <w:jc w:val="left"/>
        <w:rPr>
          <w:rFonts w:ascii="宋体" w:hAnsi="宋体" w:cs="宋体"/>
          <w:b/>
          <w:bCs/>
        </w:rPr>
      </w:pPr>
      <w:bookmarkStart w:id="186" w:name="_Toc989070"/>
      <w:r>
        <w:rPr>
          <w:rFonts w:ascii="宋体" w:hAnsi="宋体" w:cs="宋体"/>
          <w:b/>
          <w:bCs/>
        </w:rPr>
        <w:t>11、金融工具</w:t>
      </w:r>
      <w:bookmarkEnd w:id="186"/>
    </w:p>
    <w:p w14:paraId="028AC079">
      <w:pPr>
        <w:pStyle w:val="9"/>
        <w:spacing w:before="0" w:beforeAutospacing="0" w:after="0" w:afterAutospacing="0" w:line="360" w:lineRule="auto"/>
        <w:ind w:firstLine="420"/>
        <w:jc w:val="both"/>
        <w:rPr>
          <w:sz w:val="21"/>
          <w:szCs w:val="21"/>
        </w:rPr>
      </w:pPr>
      <w:r>
        <w:rPr>
          <w:rFonts w:hint="eastAsia"/>
          <w:sz w:val="21"/>
          <w:szCs w:val="21"/>
        </w:rPr>
        <w:t>本公司在成为金融工具合同的一方时确认一项金融资产或金融负债。</w:t>
      </w:r>
    </w:p>
    <w:p w14:paraId="15D6394B">
      <w:pPr>
        <w:pStyle w:val="9"/>
        <w:spacing w:before="0" w:beforeAutospacing="0" w:after="0" w:afterAutospacing="0" w:line="360" w:lineRule="auto"/>
        <w:ind w:firstLine="420"/>
        <w:jc w:val="both"/>
        <w:rPr>
          <w:sz w:val="21"/>
          <w:szCs w:val="21"/>
        </w:rPr>
      </w:pPr>
      <w:r>
        <w:rPr>
          <w:rFonts w:hint="eastAsia"/>
          <w:sz w:val="21"/>
          <w:szCs w:val="21"/>
        </w:rPr>
        <w:t>实际利率法是指计算金融资产或金融负债的摊余成本以及将利息收入或利息费用分摊计入各会计期间的方法。</w:t>
      </w:r>
    </w:p>
    <w:p w14:paraId="0335733E">
      <w:pPr>
        <w:pStyle w:val="9"/>
        <w:spacing w:before="0" w:beforeAutospacing="0" w:after="0" w:afterAutospacing="0" w:line="360" w:lineRule="auto"/>
        <w:ind w:firstLine="420"/>
        <w:jc w:val="both"/>
        <w:rPr>
          <w:sz w:val="21"/>
          <w:szCs w:val="21"/>
        </w:rPr>
      </w:pPr>
      <w:r>
        <w:rPr>
          <w:rFonts w:hint="eastAsia"/>
          <w:sz w:val="21"/>
          <w:szCs w:val="21"/>
        </w:rPr>
        <w:t>实际利率，是指将金融资产或金融负债在预计存续期的估计未来现金流量，折现为该金融资产账面余额或该金融负债摊余成本所使用的利率。在确定实际利率时，在考虑金融资产或金融负债所有合同条款</w:t>
      </w:r>
      <w:r>
        <w:rPr>
          <w:rFonts w:ascii="Arial" w:hAnsi="Arial" w:cs="Arial"/>
          <w:sz w:val="21"/>
          <w:szCs w:val="21"/>
        </w:rPr>
        <w:t>(</w:t>
      </w:r>
      <w:r>
        <w:rPr>
          <w:rFonts w:hint="eastAsia"/>
          <w:sz w:val="21"/>
          <w:szCs w:val="21"/>
        </w:rPr>
        <w:t>如提前还款、展期、看涨期权或其他类似期权等</w:t>
      </w:r>
      <w:r>
        <w:rPr>
          <w:rFonts w:ascii="Arial" w:hAnsi="Arial" w:cs="Arial"/>
          <w:sz w:val="21"/>
          <w:szCs w:val="21"/>
        </w:rPr>
        <w:t>)</w:t>
      </w:r>
      <w:r>
        <w:rPr>
          <w:rFonts w:hint="eastAsia"/>
          <w:sz w:val="21"/>
          <w:szCs w:val="21"/>
        </w:rPr>
        <w:t>的基础上估计预期现金流量，但不考虑预期信用损失。</w:t>
      </w:r>
    </w:p>
    <w:p w14:paraId="0F0BFBD3">
      <w:pPr>
        <w:pStyle w:val="9"/>
        <w:spacing w:before="0" w:beforeAutospacing="0" w:after="0" w:afterAutospacing="0" w:line="360" w:lineRule="auto"/>
        <w:ind w:firstLine="420"/>
        <w:jc w:val="both"/>
        <w:rPr>
          <w:sz w:val="21"/>
          <w:szCs w:val="21"/>
        </w:rPr>
      </w:pPr>
      <w:r>
        <w:rPr>
          <w:rFonts w:hint="eastAsia"/>
          <w:sz w:val="21"/>
          <w:szCs w:val="21"/>
        </w:rPr>
        <w:t>金融资产或金融负债的摊余成本是以该金融资产或金融负债的初始确认金额扣除已偿还的本金，加上或减去采用实际利率法将该初始确认金额与到期日金额之间的差额进行摊销形成的累计摊销额，再扣除累计计提的损失准备</w:t>
      </w:r>
      <w:r>
        <w:rPr>
          <w:rFonts w:ascii="Arial" w:hAnsi="Arial" w:cs="Arial"/>
          <w:sz w:val="21"/>
          <w:szCs w:val="21"/>
        </w:rPr>
        <w:t>(</w:t>
      </w:r>
      <w:r>
        <w:rPr>
          <w:rFonts w:hint="eastAsia"/>
          <w:sz w:val="21"/>
          <w:szCs w:val="21"/>
        </w:rPr>
        <w:t>仅适用于金融资产</w:t>
      </w:r>
      <w:r>
        <w:rPr>
          <w:rFonts w:ascii="Arial" w:hAnsi="Arial" w:cs="Arial"/>
          <w:sz w:val="21"/>
          <w:szCs w:val="21"/>
        </w:rPr>
        <w:t>)</w:t>
      </w:r>
      <w:r>
        <w:rPr>
          <w:rFonts w:hint="eastAsia"/>
          <w:sz w:val="21"/>
          <w:szCs w:val="21"/>
        </w:rPr>
        <w:t>。</w:t>
      </w:r>
    </w:p>
    <w:p w14:paraId="79DD2F6A">
      <w:pPr>
        <w:widowControl/>
        <w:numPr>
          <w:ilvl w:val="0"/>
          <w:numId w:val="33"/>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金融资产的分类、确认和计量</w:t>
      </w:r>
    </w:p>
    <w:p w14:paraId="7A7F687F">
      <w:pPr>
        <w:pStyle w:val="9"/>
        <w:spacing w:before="0" w:beforeAutospacing="0" w:after="0" w:afterAutospacing="0" w:line="360" w:lineRule="auto"/>
        <w:ind w:firstLine="420"/>
        <w:jc w:val="both"/>
        <w:rPr>
          <w:sz w:val="21"/>
          <w:szCs w:val="21"/>
        </w:rPr>
      </w:pPr>
      <w:r>
        <w:rPr>
          <w:rFonts w:hint="eastAsia"/>
          <w:sz w:val="21"/>
          <w:szCs w:val="21"/>
        </w:rPr>
        <w:t>本公司根据所管理金融资产的业务模式和金融资产的合同现金流量特征，将金融资产划分为以下三类：</w:t>
      </w:r>
    </w:p>
    <w:p w14:paraId="3A80F6BE">
      <w:pPr>
        <w:widowControl/>
        <w:numPr>
          <w:ilvl w:val="1"/>
          <w:numId w:val="34"/>
        </w:numPr>
        <w:spacing w:before="100" w:beforeAutospacing="1" w:after="100" w:afterAutospacing="1"/>
        <w:rPr>
          <w:sz w:val="18"/>
          <w:szCs w:val="18"/>
        </w:rPr>
      </w:pPr>
      <w:r>
        <w:rPr>
          <w:rFonts w:hint="eastAsia"/>
          <w:sz w:val="18"/>
          <w:szCs w:val="18"/>
        </w:rPr>
        <w:t>以摊余成本计量的金融资产。</w:t>
      </w:r>
    </w:p>
    <w:p w14:paraId="6C6338E3">
      <w:pPr>
        <w:widowControl/>
        <w:numPr>
          <w:ilvl w:val="1"/>
          <w:numId w:val="34"/>
        </w:numPr>
        <w:spacing w:before="100" w:beforeAutospacing="1" w:after="100" w:afterAutospacing="1"/>
        <w:rPr>
          <w:sz w:val="18"/>
          <w:szCs w:val="18"/>
        </w:rPr>
      </w:pPr>
      <w:r>
        <w:rPr>
          <w:rFonts w:hint="eastAsia"/>
          <w:sz w:val="18"/>
          <w:szCs w:val="18"/>
        </w:rPr>
        <w:t>以公允价值计量且其变动计入其他综合收益的金融资产。</w:t>
      </w:r>
    </w:p>
    <w:p w14:paraId="06E8E919">
      <w:pPr>
        <w:widowControl/>
        <w:numPr>
          <w:ilvl w:val="1"/>
          <w:numId w:val="34"/>
        </w:numPr>
        <w:spacing w:before="100" w:beforeAutospacing="1" w:after="100" w:afterAutospacing="1"/>
        <w:rPr>
          <w:sz w:val="18"/>
          <w:szCs w:val="18"/>
        </w:rPr>
      </w:pPr>
      <w:r>
        <w:rPr>
          <w:rFonts w:hint="eastAsia"/>
          <w:sz w:val="18"/>
          <w:szCs w:val="18"/>
        </w:rPr>
        <w:t>以公允价值计量且其变动计入当期损益的金融资产。</w:t>
      </w:r>
    </w:p>
    <w:p w14:paraId="56C9843F">
      <w:pPr>
        <w:pStyle w:val="9"/>
        <w:spacing w:before="0" w:beforeAutospacing="0" w:after="0" w:afterAutospacing="0" w:line="360" w:lineRule="auto"/>
        <w:ind w:firstLine="420"/>
        <w:jc w:val="both"/>
        <w:rPr>
          <w:sz w:val="21"/>
          <w:szCs w:val="21"/>
        </w:rPr>
      </w:pPr>
      <w:r>
        <w:rPr>
          <w:rFonts w:hint="eastAsia"/>
          <w:sz w:val="21"/>
          <w:szCs w:val="21"/>
        </w:rPr>
        <w:t>金融资产在初始确认时以公允价值计量，但是因销售商品或提供服务等产生的应收账款或应收票据未包含重大融资成分或不考虑不超过一年的融资成分的，按照交易价格进行初始计量。</w:t>
      </w:r>
    </w:p>
    <w:p w14:paraId="640C2292">
      <w:pPr>
        <w:pStyle w:val="9"/>
        <w:spacing w:before="0" w:beforeAutospacing="0" w:after="0" w:afterAutospacing="0" w:line="360" w:lineRule="auto"/>
        <w:ind w:firstLine="420"/>
        <w:jc w:val="both"/>
        <w:rPr>
          <w:sz w:val="21"/>
          <w:szCs w:val="21"/>
        </w:rPr>
      </w:pPr>
      <w:r>
        <w:rPr>
          <w:rFonts w:hint="eastAsia"/>
          <w:sz w:val="21"/>
          <w:szCs w:val="21"/>
        </w:rPr>
        <w:t>对于以公允价值计量且其变动计入当期损益的金融资产，相关交易费用直接计入当期损益，其他类别的金融资产相关交易费用计入其初始确认金额。</w:t>
      </w:r>
    </w:p>
    <w:p w14:paraId="7AB8C76A">
      <w:pPr>
        <w:pStyle w:val="9"/>
        <w:spacing w:before="0" w:beforeAutospacing="0" w:after="0" w:afterAutospacing="0" w:line="360" w:lineRule="auto"/>
        <w:ind w:firstLine="420"/>
        <w:jc w:val="both"/>
        <w:rPr>
          <w:sz w:val="21"/>
          <w:szCs w:val="21"/>
        </w:rPr>
      </w:pPr>
      <w:r>
        <w:rPr>
          <w:rFonts w:hint="eastAsia"/>
          <w:sz w:val="21"/>
          <w:szCs w:val="21"/>
        </w:rPr>
        <w:t>金融资产的后续计量取决于其分类，当且仅当本公司改变管理金融资产的业务模式时，才对所有受影响的相关金融资产进行重分类。</w:t>
      </w:r>
    </w:p>
    <w:p w14:paraId="55FD42D0">
      <w:pPr>
        <w:widowControl/>
        <w:numPr>
          <w:ilvl w:val="0"/>
          <w:numId w:val="35"/>
        </w:numPr>
        <w:spacing w:before="100" w:beforeAutospacing="1" w:after="100" w:afterAutospacing="1"/>
        <w:rPr>
          <w:sz w:val="18"/>
          <w:szCs w:val="18"/>
        </w:rPr>
      </w:pPr>
      <w:r>
        <w:rPr>
          <w:rFonts w:hint="eastAsia"/>
          <w:sz w:val="18"/>
          <w:szCs w:val="18"/>
        </w:rPr>
        <w:t>分类为以摊余成本计量的金融资产</w:t>
      </w:r>
    </w:p>
    <w:p w14:paraId="70AFA188">
      <w:pPr>
        <w:pStyle w:val="9"/>
        <w:spacing w:before="0" w:beforeAutospacing="0" w:after="0" w:afterAutospacing="0" w:line="360" w:lineRule="auto"/>
        <w:ind w:firstLine="420"/>
        <w:jc w:val="both"/>
        <w:rPr>
          <w:sz w:val="21"/>
          <w:szCs w:val="21"/>
        </w:rPr>
      </w:pPr>
      <w:r>
        <w:rPr>
          <w:rFonts w:hint="eastAsia"/>
          <w:sz w:val="21"/>
          <w:szCs w:val="21"/>
        </w:rPr>
        <w:t>金融资产的合同条款规定在特定日期产生的现金流量仅为对本金和以未偿付本金金额为基础的利息的支付，且管理该金融资产的业务模式是以收取合同现金流量为目标，则本公司将该金融资产分类为以摊余成本计量的金融资产。本公司分类为以摊余成本计量的金融资产包括货币资金、应收票据、应收账款、其他应收款、债权投资、长期应收款等。</w:t>
      </w:r>
    </w:p>
    <w:p w14:paraId="4E7715A0">
      <w:pPr>
        <w:pStyle w:val="9"/>
        <w:spacing w:before="0" w:beforeAutospacing="0" w:after="0" w:afterAutospacing="0" w:line="360" w:lineRule="auto"/>
        <w:ind w:firstLine="420"/>
        <w:jc w:val="both"/>
        <w:rPr>
          <w:sz w:val="21"/>
          <w:szCs w:val="21"/>
        </w:rPr>
      </w:pPr>
      <w:r>
        <w:rPr>
          <w:rFonts w:hint="eastAsia"/>
          <w:sz w:val="21"/>
          <w:szCs w:val="21"/>
        </w:rPr>
        <w:t>本公司对此类金融资产采用实际利率法确认利息收入，按摊余成本进行后续计量，其发生减值时或终止确认、修改产生的利得或损失，计入当期损益。除下列情况外，本公司根据金融资产账面余额乘以实际利率计算确定利息收入：</w:t>
      </w:r>
    </w:p>
    <w:p w14:paraId="0517175D">
      <w:pPr>
        <w:pStyle w:val="9"/>
        <w:spacing w:before="0" w:beforeAutospacing="0" w:after="0" w:afterAutospacing="0" w:line="360" w:lineRule="auto"/>
        <w:ind w:firstLine="420"/>
        <w:jc w:val="both"/>
        <w:rPr>
          <w:sz w:val="21"/>
          <w:szCs w:val="21"/>
        </w:rPr>
      </w:pPr>
      <w:r>
        <w:rPr>
          <w:rFonts w:ascii="Arial" w:hAnsi="Arial" w:cs="Arial"/>
          <w:sz w:val="21"/>
          <w:szCs w:val="21"/>
        </w:rPr>
        <w:t>1</w:t>
      </w:r>
      <w:r>
        <w:rPr>
          <w:rFonts w:hint="eastAsia"/>
          <w:sz w:val="21"/>
          <w:szCs w:val="21"/>
        </w:rPr>
        <w:t>）对于购入或源生的已发生信用减值的金融资产，本公司自初始确认起，按照该金融资产的摊余成本和经信用调整的实际利率计算确定其利息收入。</w:t>
      </w:r>
    </w:p>
    <w:p w14:paraId="1581F37F">
      <w:pPr>
        <w:pStyle w:val="9"/>
        <w:spacing w:before="0" w:beforeAutospacing="0" w:after="0" w:afterAutospacing="0" w:line="360" w:lineRule="auto"/>
        <w:ind w:firstLine="420"/>
        <w:jc w:val="both"/>
        <w:rPr>
          <w:sz w:val="21"/>
          <w:szCs w:val="21"/>
        </w:rPr>
      </w:pPr>
      <w:r>
        <w:rPr>
          <w:rFonts w:ascii="Arial" w:hAnsi="Arial" w:cs="Arial"/>
          <w:sz w:val="21"/>
          <w:szCs w:val="21"/>
        </w:rPr>
        <w:t>2</w:t>
      </w:r>
      <w:r>
        <w:rPr>
          <w:rFonts w:hint="eastAsia"/>
          <w:sz w:val="21"/>
          <w:szCs w:val="21"/>
        </w:rPr>
        <w:t>）</w:t>
      </w:r>
      <w:r>
        <w:rPr>
          <w:rFonts w:ascii="Arial" w:hAnsi="Arial" w:cs="Arial"/>
          <w:sz w:val="21"/>
          <w:szCs w:val="21"/>
        </w:rPr>
        <w:t xml:space="preserve"> </w:t>
      </w:r>
      <w:r>
        <w:rPr>
          <w:rFonts w:hint="eastAsia"/>
          <w:sz w:val="21"/>
          <w:szCs w:val="21"/>
        </w:rPr>
        <w:t>对于购入或源生的未发生信用减值、但在后续期间成为已发生信用减值的金融资产，本公司在后续期间，按照该金融资产的摊余成本和实际利率计算确定其利息收入。若该金融工具在后续期间因其信用风险有所改善而不再存在信用减值，本公司转按实际利率乘以该金融资产账面余额来计算确定利息收入。</w:t>
      </w:r>
    </w:p>
    <w:p w14:paraId="2CA130FB">
      <w:pPr>
        <w:widowControl/>
        <w:numPr>
          <w:ilvl w:val="0"/>
          <w:numId w:val="36"/>
        </w:numPr>
        <w:spacing w:before="100" w:beforeAutospacing="1" w:after="100" w:afterAutospacing="1"/>
        <w:rPr>
          <w:sz w:val="18"/>
          <w:szCs w:val="18"/>
        </w:rPr>
      </w:pPr>
      <w:r>
        <w:rPr>
          <w:rFonts w:hint="eastAsia"/>
          <w:sz w:val="18"/>
          <w:szCs w:val="18"/>
        </w:rPr>
        <w:t>分类为以公允价值计量且其变动计入其他综合收益的金融资产</w:t>
      </w:r>
    </w:p>
    <w:p w14:paraId="1215D59D">
      <w:pPr>
        <w:pStyle w:val="9"/>
        <w:spacing w:before="0" w:beforeAutospacing="0" w:after="0" w:afterAutospacing="0" w:line="360" w:lineRule="auto"/>
        <w:ind w:firstLine="420"/>
        <w:jc w:val="both"/>
        <w:rPr>
          <w:sz w:val="21"/>
          <w:szCs w:val="21"/>
        </w:rPr>
      </w:pPr>
      <w:r>
        <w:rPr>
          <w:rFonts w:hint="eastAsia"/>
          <w:sz w:val="21"/>
          <w:szCs w:val="21"/>
        </w:rPr>
        <w:t>金融资产的合同条款规定在特定日期产生的现金流量仅为对本金和以未偿付本金金额为基础的利息的支付，且管理该金融资产的业务模式既以收取合同现金流量为目标又以出售该金融资产为目标，则本公司将该金融资产分类为以公允价值计量且其变动计入其他综合收益的金融资产。</w:t>
      </w:r>
    </w:p>
    <w:p w14:paraId="7DEEE965">
      <w:pPr>
        <w:pStyle w:val="9"/>
        <w:spacing w:before="0" w:beforeAutospacing="0" w:after="0" w:afterAutospacing="0" w:line="360" w:lineRule="auto"/>
        <w:ind w:firstLine="420"/>
        <w:jc w:val="both"/>
        <w:rPr>
          <w:sz w:val="21"/>
          <w:szCs w:val="21"/>
        </w:rPr>
      </w:pPr>
      <w:r>
        <w:rPr>
          <w:rFonts w:hint="eastAsia"/>
          <w:sz w:val="21"/>
          <w:szCs w:val="21"/>
        </w:rPr>
        <w:t>本公司对此类金融资产采用实际利率法确认利息收入。除利息收入、减值损失及汇兑差额确认为当期损益外，其余公允价值变动计入其他综合收益。当该金融资产终止确认时，之前计入其他综合收益的累计利得或损失从其他综合收益中转出，计入当期损益。</w:t>
      </w:r>
    </w:p>
    <w:p w14:paraId="07776613">
      <w:pPr>
        <w:pStyle w:val="9"/>
        <w:spacing w:before="0" w:beforeAutospacing="0" w:after="0" w:afterAutospacing="0" w:line="360" w:lineRule="auto"/>
        <w:ind w:firstLine="420"/>
        <w:jc w:val="both"/>
        <w:rPr>
          <w:sz w:val="21"/>
          <w:szCs w:val="21"/>
        </w:rPr>
      </w:pPr>
      <w:r>
        <w:rPr>
          <w:rFonts w:hint="eastAsia"/>
          <w:sz w:val="21"/>
          <w:szCs w:val="21"/>
        </w:rPr>
        <w:t>以公允价值计量且变动计入其他综合收益的应收票据及应收账款列报为应收款项融资，其他此类金融资产列报为其他债权投资，其中：自资产负债表日起一年内到期的其他债权投资列报为一年内到期的非流动资产，原到期日在一年以内的其他债权投资列报为其他流动资产。</w:t>
      </w:r>
    </w:p>
    <w:p w14:paraId="09AF1918">
      <w:pPr>
        <w:widowControl/>
        <w:numPr>
          <w:ilvl w:val="0"/>
          <w:numId w:val="37"/>
        </w:numPr>
        <w:spacing w:before="100" w:beforeAutospacing="1" w:after="100" w:afterAutospacing="1"/>
        <w:rPr>
          <w:sz w:val="18"/>
          <w:szCs w:val="18"/>
        </w:rPr>
      </w:pPr>
      <w:r>
        <w:rPr>
          <w:rFonts w:hint="eastAsia"/>
          <w:sz w:val="18"/>
          <w:szCs w:val="18"/>
        </w:rPr>
        <w:t>指定为以公允价值计量且其变动计入其他综合收益的金融资产</w:t>
      </w:r>
    </w:p>
    <w:p w14:paraId="1CB52A94">
      <w:pPr>
        <w:pStyle w:val="9"/>
        <w:spacing w:before="0" w:beforeAutospacing="0" w:after="0" w:afterAutospacing="0" w:line="360" w:lineRule="auto"/>
        <w:ind w:firstLine="420"/>
        <w:jc w:val="both"/>
        <w:rPr>
          <w:sz w:val="21"/>
          <w:szCs w:val="21"/>
        </w:rPr>
      </w:pPr>
      <w:r>
        <w:rPr>
          <w:rFonts w:hint="eastAsia"/>
          <w:sz w:val="21"/>
          <w:szCs w:val="21"/>
        </w:rPr>
        <w:t>在初始确认时，本公司可以单项金融资产为基础不可撤销地将非交易性权益工具投资指定为以公允价值计量且其变动计入其他综合收益的金融资产。</w:t>
      </w:r>
    </w:p>
    <w:p w14:paraId="365C7606">
      <w:pPr>
        <w:pStyle w:val="9"/>
        <w:spacing w:before="0" w:beforeAutospacing="0" w:after="0" w:afterAutospacing="0" w:line="360" w:lineRule="auto"/>
        <w:ind w:firstLine="420"/>
        <w:jc w:val="both"/>
        <w:rPr>
          <w:sz w:val="21"/>
          <w:szCs w:val="21"/>
        </w:rPr>
      </w:pPr>
      <w:r>
        <w:rPr>
          <w:rFonts w:hint="eastAsia"/>
          <w:sz w:val="21"/>
          <w:szCs w:val="21"/>
        </w:rPr>
        <w:t>此类金融资产的公允价值变动计入其他综合收益，不需计提减值准备。该金融资产终止确认时，之前计入其他综合收益的累计利得或损失从其他综合收益中转出，计入留存收益。本公司持有该权益工具投资期间，在本公司收取股利的权利已经确立，与股利相关的经济利益很可能流入本公司，且股利的金额能够可靠计量时，确认股利收入并计入当期损益。本公司对此类金融资产在其他权益工具投资项目下列报。</w:t>
      </w:r>
    </w:p>
    <w:p w14:paraId="41471351">
      <w:pPr>
        <w:pStyle w:val="9"/>
        <w:spacing w:before="0" w:beforeAutospacing="0" w:after="0" w:afterAutospacing="0" w:line="360" w:lineRule="auto"/>
        <w:ind w:firstLine="420"/>
        <w:jc w:val="both"/>
        <w:rPr>
          <w:sz w:val="21"/>
          <w:szCs w:val="21"/>
        </w:rPr>
      </w:pPr>
      <w:r>
        <w:rPr>
          <w:rFonts w:hint="eastAsia"/>
          <w:sz w:val="21"/>
          <w:szCs w:val="21"/>
        </w:rPr>
        <w:t>权益工具投资满足下列条件之一的，属于以公允价值计量且其变动计入当期损益的金融资产：取得该金融资产的目的主要是为了近期出售；初始确认时属于集中管理的可辨认金融资产工具组合的一部分，且有客观证据表明近期实际存在短期获利模式；属于衍生工具（符合财务担保合同定义的以及被指定为有效套期工具的衍生工具除外）。</w:t>
      </w:r>
    </w:p>
    <w:p w14:paraId="1BDA8B8F">
      <w:pPr>
        <w:widowControl/>
        <w:numPr>
          <w:ilvl w:val="0"/>
          <w:numId w:val="38"/>
        </w:numPr>
        <w:spacing w:before="100" w:beforeAutospacing="1" w:after="100" w:afterAutospacing="1"/>
        <w:rPr>
          <w:sz w:val="18"/>
          <w:szCs w:val="18"/>
        </w:rPr>
      </w:pPr>
      <w:r>
        <w:rPr>
          <w:rFonts w:hint="eastAsia"/>
          <w:sz w:val="18"/>
          <w:szCs w:val="18"/>
        </w:rPr>
        <w:t>分类为以公允价值计量且其变动计入当期损益的金融资产</w:t>
      </w:r>
    </w:p>
    <w:p w14:paraId="74097AF9">
      <w:pPr>
        <w:pStyle w:val="9"/>
        <w:spacing w:before="0" w:beforeAutospacing="0" w:after="0" w:afterAutospacing="0" w:line="360" w:lineRule="auto"/>
        <w:ind w:firstLine="420"/>
        <w:jc w:val="both"/>
        <w:rPr>
          <w:sz w:val="21"/>
          <w:szCs w:val="21"/>
        </w:rPr>
      </w:pPr>
      <w:r>
        <w:rPr>
          <w:rFonts w:hint="eastAsia"/>
          <w:sz w:val="21"/>
          <w:szCs w:val="21"/>
        </w:rPr>
        <w:t>权益工具投资满足下列条件之一的，属于以公允价值计量且其变动计入当期损益的金融资产：取得该金融资产的目的主要是为了近期出售；初始确认时属于集中管理的可辨认金融资产工具组合的一部分，且有客观证据表明近期实际存在短期获利模式；属于衍生工具（符合财务担保合同定义的以及被指定为有效套期工具的衍生工具除外）。</w:t>
      </w:r>
    </w:p>
    <w:p w14:paraId="27A7BABD">
      <w:pPr>
        <w:pStyle w:val="9"/>
        <w:spacing w:before="0" w:beforeAutospacing="0" w:after="0" w:afterAutospacing="0" w:line="360" w:lineRule="auto"/>
        <w:ind w:firstLine="420"/>
        <w:jc w:val="both"/>
        <w:rPr>
          <w:sz w:val="21"/>
          <w:szCs w:val="21"/>
        </w:rPr>
      </w:pPr>
      <w:r>
        <w:rPr>
          <w:rFonts w:hint="eastAsia"/>
          <w:sz w:val="21"/>
          <w:szCs w:val="21"/>
        </w:rPr>
        <w:t>不符合分类为以摊余成本计量或以公允价值计量且其变动计入其他综合收益的金融资产条件、亦不指定为以公允价值计量且其变动计入其他综合收益的金融资产均分类为以公允价值计量且其变动计入当期损益的金融资产。</w:t>
      </w:r>
    </w:p>
    <w:p w14:paraId="7DC2D5B2">
      <w:pPr>
        <w:pStyle w:val="9"/>
        <w:spacing w:before="0" w:beforeAutospacing="0" w:after="0" w:afterAutospacing="0" w:line="360" w:lineRule="auto"/>
        <w:ind w:firstLine="420"/>
        <w:jc w:val="both"/>
        <w:rPr>
          <w:sz w:val="21"/>
          <w:szCs w:val="21"/>
        </w:rPr>
      </w:pPr>
      <w:r>
        <w:rPr>
          <w:rFonts w:hint="eastAsia"/>
          <w:sz w:val="21"/>
          <w:szCs w:val="21"/>
        </w:rPr>
        <w:t>本公司对此类金融资产采用公允价值进行后续计量，将公允价值变动形成的利得或损失以及与此类金融资产相关的股利和利息收入计入当期损益。</w:t>
      </w:r>
    </w:p>
    <w:p w14:paraId="777D9488">
      <w:pPr>
        <w:pStyle w:val="9"/>
        <w:spacing w:before="0" w:beforeAutospacing="0" w:after="0" w:afterAutospacing="0" w:line="360" w:lineRule="auto"/>
        <w:ind w:firstLine="420"/>
        <w:jc w:val="both"/>
        <w:rPr>
          <w:sz w:val="21"/>
          <w:szCs w:val="21"/>
        </w:rPr>
      </w:pPr>
      <w:r>
        <w:rPr>
          <w:rFonts w:hint="eastAsia"/>
          <w:sz w:val="21"/>
          <w:szCs w:val="21"/>
        </w:rPr>
        <w:t>本公司对此类金融资产根据其流动性在交易性金融资产、其他非流动金融资产项目列报。</w:t>
      </w:r>
    </w:p>
    <w:p w14:paraId="7F647DD4">
      <w:pPr>
        <w:widowControl/>
        <w:numPr>
          <w:ilvl w:val="0"/>
          <w:numId w:val="39"/>
        </w:numPr>
        <w:spacing w:before="100" w:beforeAutospacing="1" w:after="100" w:afterAutospacing="1"/>
        <w:rPr>
          <w:sz w:val="18"/>
          <w:szCs w:val="18"/>
        </w:rPr>
      </w:pPr>
      <w:r>
        <w:rPr>
          <w:rFonts w:hint="eastAsia"/>
          <w:sz w:val="18"/>
          <w:szCs w:val="18"/>
        </w:rPr>
        <w:t>指定为以公允价值计量且其变动计入当期损益的金融资产</w:t>
      </w:r>
    </w:p>
    <w:p w14:paraId="6F804A92">
      <w:pPr>
        <w:pStyle w:val="9"/>
        <w:spacing w:before="0" w:beforeAutospacing="0" w:after="0" w:afterAutospacing="0" w:line="360" w:lineRule="auto"/>
        <w:ind w:firstLine="420"/>
        <w:jc w:val="both"/>
        <w:rPr>
          <w:sz w:val="21"/>
          <w:szCs w:val="21"/>
        </w:rPr>
      </w:pPr>
      <w:r>
        <w:rPr>
          <w:rFonts w:hint="eastAsia"/>
          <w:sz w:val="21"/>
          <w:szCs w:val="21"/>
        </w:rPr>
        <w:t>在初始确认时，本公司为了消除或显著减少会计错配，可以单项金融资产为基础不可撤销地将金融资产指定为以公允价值计量且其变动计入当期损益的金融资产。</w:t>
      </w:r>
    </w:p>
    <w:p w14:paraId="4CB24A11">
      <w:pPr>
        <w:pStyle w:val="9"/>
        <w:spacing w:before="0" w:beforeAutospacing="0" w:after="0" w:afterAutospacing="0" w:line="360" w:lineRule="auto"/>
        <w:ind w:firstLine="420"/>
        <w:jc w:val="both"/>
        <w:rPr>
          <w:sz w:val="21"/>
          <w:szCs w:val="21"/>
        </w:rPr>
      </w:pPr>
      <w:r>
        <w:rPr>
          <w:rFonts w:hint="eastAsia"/>
          <w:sz w:val="21"/>
          <w:szCs w:val="21"/>
        </w:rPr>
        <w:t>混合合同包含一项或多项嵌入衍生工具，且其主合同不属于以上金融资产的，本公司可以将其整体指定为以公允价值计量且其变动计入当期损益的金融工具。但下列情况除外：</w:t>
      </w:r>
      <w:r>
        <w:rPr>
          <w:rFonts w:ascii="Arial" w:hAnsi="Arial" w:cs="Arial"/>
          <w:sz w:val="21"/>
          <w:szCs w:val="21"/>
        </w:rPr>
        <w:t xml:space="preserve"> </w:t>
      </w:r>
    </w:p>
    <w:p w14:paraId="330EBC20">
      <w:pPr>
        <w:widowControl/>
        <w:numPr>
          <w:ilvl w:val="0"/>
          <w:numId w:val="40"/>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嵌入衍生工具不会对混合合同的现金流量产生重大改变。</w:t>
      </w:r>
    </w:p>
    <w:p w14:paraId="4D8AD4EE">
      <w:pPr>
        <w:widowControl/>
        <w:numPr>
          <w:ilvl w:val="0"/>
          <w:numId w:val="40"/>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在初次确定类似的混合合同是否需要分拆时，几乎不需分析就能明确其包含的嵌入衍生工具不应分拆。如嵌入贷款的提前还款权，允许持有人以接近摊余成本的金额提前偿还贷款，该提前还款权不需要分拆。</w:t>
      </w:r>
    </w:p>
    <w:p w14:paraId="7E27A0F2">
      <w:pPr>
        <w:pStyle w:val="9"/>
        <w:spacing w:before="0" w:beforeAutospacing="0" w:after="0" w:afterAutospacing="0" w:line="360" w:lineRule="auto"/>
        <w:ind w:firstLine="420"/>
        <w:jc w:val="both"/>
        <w:rPr>
          <w:sz w:val="21"/>
          <w:szCs w:val="21"/>
        </w:rPr>
      </w:pPr>
      <w:r>
        <w:rPr>
          <w:rFonts w:hint="eastAsia"/>
          <w:sz w:val="21"/>
          <w:szCs w:val="21"/>
        </w:rPr>
        <w:t>本公司对此类金融资产采用公允价值进行后续计量，将公允价值变动形成的利得或损失以及与此类金融资产相关的股利和利息收入计入当期损益。</w:t>
      </w:r>
    </w:p>
    <w:p w14:paraId="05F0A4E9">
      <w:pPr>
        <w:pStyle w:val="9"/>
        <w:spacing w:before="0" w:beforeAutospacing="0" w:after="0" w:afterAutospacing="0" w:line="360" w:lineRule="auto"/>
        <w:ind w:firstLine="420"/>
        <w:jc w:val="both"/>
        <w:rPr>
          <w:sz w:val="21"/>
          <w:szCs w:val="21"/>
        </w:rPr>
      </w:pPr>
      <w:r>
        <w:rPr>
          <w:rFonts w:hint="eastAsia"/>
          <w:sz w:val="21"/>
          <w:szCs w:val="21"/>
        </w:rPr>
        <w:t>本公司对此类金融资产根据其流动性在交易性金融资产、其他非流动金融资产项目列报。</w:t>
      </w:r>
    </w:p>
    <w:p w14:paraId="7893E8F3">
      <w:pPr>
        <w:widowControl/>
        <w:numPr>
          <w:ilvl w:val="0"/>
          <w:numId w:val="41"/>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金融负债的分类、确认和计量</w:t>
      </w:r>
    </w:p>
    <w:p w14:paraId="5C4E1FF0">
      <w:pPr>
        <w:pStyle w:val="9"/>
        <w:spacing w:before="0" w:beforeAutospacing="0" w:after="0" w:afterAutospacing="0" w:line="360" w:lineRule="auto"/>
        <w:ind w:firstLine="420"/>
        <w:jc w:val="both"/>
        <w:rPr>
          <w:sz w:val="21"/>
          <w:szCs w:val="21"/>
        </w:rPr>
      </w:pPr>
      <w:r>
        <w:rPr>
          <w:rFonts w:hint="eastAsia"/>
          <w:sz w:val="21"/>
          <w:szCs w:val="21"/>
        </w:rPr>
        <w:t>本公司根据所发行金融工具的合同条款及其所反映的经济实质而非仅以法律形式，结合金融负债和权益工具的定义，在初始确认时将该金融工具或其组成部分分类为金融负债或权益工具。金融负债在初始确认时分类为：以公允价值计量且其变动计入当期损益的金融负债、其他金融负债、被指定为有效套期工具的衍生工具。</w:t>
      </w:r>
    </w:p>
    <w:p w14:paraId="0D6910B5">
      <w:pPr>
        <w:pStyle w:val="9"/>
        <w:spacing w:before="0" w:beforeAutospacing="0" w:after="0" w:afterAutospacing="0" w:line="360" w:lineRule="auto"/>
        <w:ind w:firstLine="420"/>
        <w:jc w:val="both"/>
        <w:rPr>
          <w:sz w:val="21"/>
          <w:szCs w:val="21"/>
        </w:rPr>
      </w:pPr>
      <w:r>
        <w:rPr>
          <w:rFonts w:hint="eastAsia"/>
          <w:sz w:val="21"/>
          <w:szCs w:val="21"/>
        </w:rPr>
        <w:t>金融负债在初始确认时以公允价值计量。对于以公允价值计量且其变动计入当期损益的金融负债，相关的交易费用直接计入当期损益；对于其他类别的金融负债，相关交易费用计入初始确认金额。</w:t>
      </w:r>
    </w:p>
    <w:p w14:paraId="5C1054D3">
      <w:pPr>
        <w:pStyle w:val="9"/>
        <w:spacing w:before="0" w:beforeAutospacing="0" w:after="0" w:afterAutospacing="0" w:line="360" w:lineRule="auto"/>
        <w:ind w:firstLine="420"/>
        <w:jc w:val="both"/>
        <w:rPr>
          <w:sz w:val="21"/>
          <w:szCs w:val="21"/>
        </w:rPr>
      </w:pPr>
      <w:r>
        <w:rPr>
          <w:rFonts w:hint="eastAsia"/>
          <w:sz w:val="21"/>
          <w:szCs w:val="21"/>
        </w:rPr>
        <w:t>金融负债的后续计量取决于其分类：</w:t>
      </w:r>
    </w:p>
    <w:p w14:paraId="5E8F6701">
      <w:pPr>
        <w:widowControl/>
        <w:numPr>
          <w:ilvl w:val="0"/>
          <w:numId w:val="42"/>
        </w:numPr>
        <w:spacing w:before="100" w:beforeAutospacing="1" w:after="100" w:afterAutospacing="1"/>
        <w:rPr>
          <w:sz w:val="18"/>
          <w:szCs w:val="18"/>
        </w:rPr>
      </w:pPr>
      <w:r>
        <w:rPr>
          <w:rFonts w:hint="eastAsia"/>
          <w:sz w:val="18"/>
          <w:szCs w:val="18"/>
        </w:rPr>
        <w:t>以公允价值计量且其变动计入当期损益的金融负债</w:t>
      </w:r>
    </w:p>
    <w:p w14:paraId="4E9C471A">
      <w:pPr>
        <w:pStyle w:val="9"/>
        <w:spacing w:before="0" w:beforeAutospacing="0" w:after="0" w:afterAutospacing="0" w:line="360" w:lineRule="auto"/>
        <w:ind w:firstLine="420"/>
        <w:jc w:val="both"/>
        <w:rPr>
          <w:sz w:val="21"/>
          <w:szCs w:val="21"/>
        </w:rPr>
      </w:pPr>
      <w:r>
        <w:rPr>
          <w:rFonts w:hint="eastAsia"/>
          <w:sz w:val="21"/>
          <w:szCs w:val="21"/>
        </w:rPr>
        <w:t>此类金融负债包括交易性金融负债（含属于金融负债的衍生工具）和初始确认时指定为以公允价值计量且其变动计入当期损益的金融负债。</w:t>
      </w:r>
    </w:p>
    <w:p w14:paraId="5732FB54">
      <w:pPr>
        <w:pStyle w:val="9"/>
        <w:spacing w:before="0" w:beforeAutospacing="0" w:after="0" w:afterAutospacing="0" w:line="360" w:lineRule="auto"/>
        <w:ind w:firstLine="420"/>
        <w:jc w:val="both"/>
        <w:rPr>
          <w:sz w:val="21"/>
          <w:szCs w:val="21"/>
        </w:rPr>
      </w:pPr>
      <w:r>
        <w:rPr>
          <w:rFonts w:hint="eastAsia"/>
          <w:sz w:val="21"/>
          <w:szCs w:val="21"/>
        </w:rPr>
        <w:t>满足下列条件之一的，属于交易性金融负债：承担相关金融负债的目的主要是为了在近期内出售或回购；属于集中管理的可辨认金融工具组合的一部分，且有客观证据表明企业近期采用短期获利方式模式；属于衍生工具，但是，被指定且为有效套期工具的衍生工具、符合财务担保合同的衍生工具除外。交易性金融负债（含属于金融负债的衍生工具），按照公允价值进行后续计量，除与套期会计有关外，所有公允价值变动均计入当期损益。</w:t>
      </w:r>
    </w:p>
    <w:p w14:paraId="3A8C41DB">
      <w:pPr>
        <w:pStyle w:val="9"/>
        <w:spacing w:before="0" w:beforeAutospacing="0" w:after="0" w:afterAutospacing="0" w:line="360" w:lineRule="auto"/>
        <w:ind w:firstLine="420"/>
        <w:jc w:val="both"/>
        <w:rPr>
          <w:sz w:val="21"/>
          <w:szCs w:val="21"/>
        </w:rPr>
      </w:pPr>
      <w:r>
        <w:rPr>
          <w:rFonts w:hint="eastAsia"/>
          <w:sz w:val="21"/>
          <w:szCs w:val="21"/>
        </w:rPr>
        <w:t>在初始确认时，为了提供更相关的会计信息，本公司将满足下列条件之一的金融负债不可撤销地指定为以公允价值计量且其变动计入当期损益的金融负债：</w:t>
      </w:r>
    </w:p>
    <w:p w14:paraId="55AB3A6E">
      <w:pPr>
        <w:widowControl/>
        <w:numPr>
          <w:ilvl w:val="0"/>
          <w:numId w:val="43"/>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能够消除或显著减少会计错配。</w:t>
      </w:r>
    </w:p>
    <w:p w14:paraId="56142BAB">
      <w:pPr>
        <w:widowControl/>
        <w:numPr>
          <w:ilvl w:val="0"/>
          <w:numId w:val="43"/>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根据正式书面文件载明的企业风险管理或投资策略，以公允价值为基础对金融负债组合或金融资产和金融负债组合进行管理和业绩评价，并在企业内部以此为基础向关键管理人员报告。</w:t>
      </w:r>
    </w:p>
    <w:p w14:paraId="44C8CA4C">
      <w:pPr>
        <w:pStyle w:val="9"/>
        <w:spacing w:before="0" w:beforeAutospacing="0" w:after="0" w:afterAutospacing="0" w:line="360" w:lineRule="auto"/>
        <w:ind w:firstLine="420"/>
        <w:jc w:val="both"/>
        <w:rPr>
          <w:sz w:val="21"/>
          <w:szCs w:val="21"/>
        </w:rPr>
      </w:pPr>
      <w:r>
        <w:rPr>
          <w:rFonts w:hint="eastAsia"/>
          <w:sz w:val="21"/>
          <w:szCs w:val="21"/>
        </w:rPr>
        <w:t>本公司对此类金融负债采用公允价值进行后续计量，除由本公司自身信用风险变动引起的公允价值变动计入其他综合收益之外，其他公允价值变动计入当期损益。除非由本公司自身信用风险变动引起的公允价值变动计入其他综合收益会造成或扩大损益中的会计错配，本公司将所有公允价值变动（包括自身信用风险变动的影响金额）计入当期损益。</w:t>
      </w:r>
    </w:p>
    <w:p w14:paraId="47B7A388">
      <w:pPr>
        <w:widowControl/>
        <w:numPr>
          <w:ilvl w:val="0"/>
          <w:numId w:val="44"/>
        </w:numPr>
        <w:spacing w:before="100" w:beforeAutospacing="1" w:after="100" w:afterAutospacing="1"/>
        <w:rPr>
          <w:sz w:val="18"/>
          <w:szCs w:val="18"/>
        </w:rPr>
      </w:pPr>
      <w:r>
        <w:rPr>
          <w:rFonts w:hint="eastAsia"/>
          <w:sz w:val="18"/>
          <w:szCs w:val="18"/>
        </w:rPr>
        <w:t>其他金融负债</w:t>
      </w:r>
    </w:p>
    <w:p w14:paraId="6B4FBC10">
      <w:pPr>
        <w:pStyle w:val="9"/>
        <w:spacing w:before="0" w:beforeAutospacing="0" w:after="0" w:afterAutospacing="0" w:line="360" w:lineRule="auto"/>
        <w:ind w:firstLine="420"/>
        <w:jc w:val="both"/>
        <w:rPr>
          <w:sz w:val="21"/>
          <w:szCs w:val="21"/>
        </w:rPr>
      </w:pPr>
      <w:r>
        <w:rPr>
          <w:rFonts w:hint="eastAsia"/>
          <w:sz w:val="21"/>
          <w:szCs w:val="21"/>
        </w:rPr>
        <w:t>除下列各项外，本公司将金融负债分类为以摊余成本计量的金融负债，对此类金融负债采用实际利率法，按照摊余成本进行后续计量，终止确认或摊销产生的利得或损失计入当期损益：</w:t>
      </w:r>
    </w:p>
    <w:p w14:paraId="610E3FE5">
      <w:pPr>
        <w:widowControl/>
        <w:numPr>
          <w:ilvl w:val="0"/>
          <w:numId w:val="45"/>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以公允价值计量且其变动计入当期损益的金融负债。</w:t>
      </w:r>
    </w:p>
    <w:p w14:paraId="54A60220">
      <w:pPr>
        <w:widowControl/>
        <w:numPr>
          <w:ilvl w:val="0"/>
          <w:numId w:val="45"/>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金融资产转移不符合终止确认条件或继续涉入被转移金融资产所形成的金融负债。</w:t>
      </w:r>
    </w:p>
    <w:p w14:paraId="00095C6D">
      <w:pPr>
        <w:widowControl/>
        <w:numPr>
          <w:ilvl w:val="0"/>
          <w:numId w:val="45"/>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不属于本条前两类情形的财务担保合同，以及不属于本条第</w:t>
      </w:r>
      <w:r>
        <w:rPr>
          <w:rFonts w:ascii="Arial" w:hAnsi="Arial" w:cs="Arial"/>
          <w:sz w:val="18"/>
          <w:szCs w:val="18"/>
        </w:rPr>
        <w:t>1</w:t>
      </w:r>
      <w:r>
        <w:rPr>
          <w:rFonts w:hint="eastAsia"/>
          <w:sz w:val="18"/>
          <w:szCs w:val="18"/>
        </w:rPr>
        <w:t>）类情形的以低于市场利率贷款的贷款承诺。</w:t>
      </w:r>
    </w:p>
    <w:p w14:paraId="16880BB2">
      <w:pPr>
        <w:pStyle w:val="9"/>
        <w:spacing w:before="0" w:beforeAutospacing="0" w:after="0" w:afterAutospacing="0" w:line="360" w:lineRule="auto"/>
        <w:ind w:firstLine="420"/>
        <w:jc w:val="both"/>
        <w:rPr>
          <w:sz w:val="21"/>
          <w:szCs w:val="21"/>
        </w:rPr>
      </w:pPr>
      <w:r>
        <w:rPr>
          <w:rFonts w:hint="eastAsia"/>
          <w:sz w:val="21"/>
          <w:szCs w:val="21"/>
        </w:rPr>
        <w:t>财务担保合同是指当特定债务人到期不能按照最初或修改后的债务工具条款偿付债务时，要求发行方向蒙受损失的合同持有人赔付特定金额的合同。不属于指定为以公允价值计量且其变动计入当期损益的金融负债的财务担保合同，在初始确认后按照损失准备金额以及初始确认金额扣除担保期内的累计摊销额后的余额孰高进行计量。</w:t>
      </w:r>
    </w:p>
    <w:p w14:paraId="78D0B3EF">
      <w:pPr>
        <w:widowControl/>
        <w:numPr>
          <w:ilvl w:val="0"/>
          <w:numId w:val="46"/>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金融资产和金融负债的终止确认</w:t>
      </w:r>
    </w:p>
    <w:p w14:paraId="6E6D647E">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1</w:t>
      </w:r>
      <w:r>
        <w:rPr>
          <w:rFonts w:hint="eastAsia"/>
          <w:sz w:val="21"/>
          <w:szCs w:val="21"/>
        </w:rPr>
        <w:t>）金融资产满足下列条件之一的，终止确认金融资产，即从其账户和资产负债表内予以转销：</w:t>
      </w:r>
    </w:p>
    <w:p w14:paraId="1CB50876">
      <w:pPr>
        <w:widowControl/>
        <w:numPr>
          <w:ilvl w:val="0"/>
          <w:numId w:val="47"/>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收取该金融资产现金流量的合同权利终止。</w:t>
      </w:r>
    </w:p>
    <w:p w14:paraId="116AC9B6">
      <w:pPr>
        <w:widowControl/>
        <w:numPr>
          <w:ilvl w:val="0"/>
          <w:numId w:val="47"/>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该金融资产已转移，且该转移满足金融资产终止确认的规定。</w:t>
      </w:r>
    </w:p>
    <w:p w14:paraId="3015EB0A">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2</w:t>
      </w:r>
      <w:r>
        <w:rPr>
          <w:rFonts w:hint="eastAsia"/>
          <w:sz w:val="21"/>
          <w:szCs w:val="21"/>
        </w:rPr>
        <w:t>）金融负债终止确认条件</w:t>
      </w:r>
    </w:p>
    <w:p w14:paraId="029F10D9">
      <w:pPr>
        <w:pStyle w:val="9"/>
        <w:spacing w:before="0" w:beforeAutospacing="0" w:after="0" w:afterAutospacing="0" w:line="360" w:lineRule="auto"/>
        <w:ind w:firstLine="420"/>
        <w:jc w:val="both"/>
        <w:rPr>
          <w:sz w:val="21"/>
          <w:szCs w:val="21"/>
        </w:rPr>
      </w:pPr>
      <w:r>
        <w:rPr>
          <w:rFonts w:hint="eastAsia"/>
          <w:sz w:val="21"/>
          <w:szCs w:val="21"/>
        </w:rPr>
        <w:t>金融负债（或其一部分）的现时义务已经解除的，则终止确认该金融负债（或该部分金融负债）。</w:t>
      </w:r>
    </w:p>
    <w:p w14:paraId="64840012">
      <w:pPr>
        <w:pStyle w:val="9"/>
        <w:spacing w:before="0" w:beforeAutospacing="0" w:after="0" w:afterAutospacing="0" w:line="360" w:lineRule="auto"/>
        <w:ind w:firstLine="420"/>
        <w:jc w:val="both"/>
        <w:rPr>
          <w:sz w:val="21"/>
          <w:szCs w:val="21"/>
        </w:rPr>
      </w:pPr>
      <w:r>
        <w:rPr>
          <w:rFonts w:hint="eastAsia"/>
          <w:sz w:val="21"/>
          <w:szCs w:val="21"/>
        </w:rPr>
        <w:t>本公司与借出方之间签订协议，以承担新金融负债方式替换原金融负债，且新金融负债与原金融负债的合同条款实质上不同的，或对原金融负债（或其一部分）的合同条款做出实质性修改的，则终止确认原金融负债，同时确认一项新金融负债，账面价值与支付的对价（包括转出的非现金资产或承担的负债）之间的差额，计入当期损益。</w:t>
      </w:r>
    </w:p>
    <w:p w14:paraId="6B131832">
      <w:pPr>
        <w:pStyle w:val="9"/>
        <w:spacing w:before="0" w:beforeAutospacing="0" w:after="0" w:afterAutospacing="0" w:line="360" w:lineRule="auto"/>
        <w:ind w:firstLine="420"/>
        <w:jc w:val="both"/>
        <w:rPr>
          <w:sz w:val="21"/>
          <w:szCs w:val="21"/>
        </w:rPr>
      </w:pPr>
      <w:r>
        <w:rPr>
          <w:rFonts w:hint="eastAsia"/>
          <w:sz w:val="21"/>
          <w:szCs w:val="21"/>
        </w:rPr>
        <w:t>本公司回购金融负债一部分的，按照继续确认部分和终止确认部分在回购日各自的公允价值占整体公允价值的比例，对该金融负债整体的账面价值进行分配。分配给终止确认部分的账面价值与支付的对价（包括转出的非现金资产或承担的负债）之间的差额，计入当期损益。</w:t>
      </w:r>
    </w:p>
    <w:p w14:paraId="36E3BAF5">
      <w:pPr>
        <w:widowControl/>
        <w:numPr>
          <w:ilvl w:val="0"/>
          <w:numId w:val="48"/>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金融资产转移的确认依据和计量方法</w:t>
      </w:r>
    </w:p>
    <w:p w14:paraId="04EF640C">
      <w:pPr>
        <w:pStyle w:val="9"/>
        <w:spacing w:before="0" w:beforeAutospacing="0" w:after="0" w:afterAutospacing="0" w:line="360" w:lineRule="auto"/>
        <w:ind w:firstLine="420"/>
        <w:jc w:val="both"/>
        <w:rPr>
          <w:sz w:val="21"/>
          <w:szCs w:val="21"/>
        </w:rPr>
      </w:pPr>
      <w:r>
        <w:rPr>
          <w:rFonts w:hint="eastAsia"/>
          <w:sz w:val="21"/>
          <w:szCs w:val="21"/>
        </w:rPr>
        <w:t>本公司在发生金融资产转移时，评估其保留金融资产所有权上的风险和报酬的程度，并分别下列情形处理：</w:t>
      </w:r>
    </w:p>
    <w:p w14:paraId="457219F5">
      <w:pPr>
        <w:widowControl/>
        <w:numPr>
          <w:ilvl w:val="1"/>
          <w:numId w:val="49"/>
        </w:numPr>
        <w:spacing w:before="100" w:beforeAutospacing="1" w:after="100" w:afterAutospacing="1"/>
        <w:rPr>
          <w:sz w:val="18"/>
          <w:szCs w:val="18"/>
        </w:rPr>
      </w:pPr>
      <w:r>
        <w:rPr>
          <w:rFonts w:hint="eastAsia"/>
          <w:sz w:val="18"/>
          <w:szCs w:val="18"/>
        </w:rPr>
        <w:t>转移了金融资产所有权上几乎所有风险和报酬的，则终止确认该金融资产，并将转移中产生或保留的权利和义务单独确认为资产或负债。</w:t>
      </w:r>
    </w:p>
    <w:p w14:paraId="435CC70F">
      <w:pPr>
        <w:widowControl/>
        <w:numPr>
          <w:ilvl w:val="1"/>
          <w:numId w:val="49"/>
        </w:numPr>
        <w:spacing w:before="100" w:beforeAutospacing="1" w:after="100" w:afterAutospacing="1"/>
        <w:rPr>
          <w:sz w:val="18"/>
          <w:szCs w:val="18"/>
        </w:rPr>
      </w:pPr>
      <w:r>
        <w:rPr>
          <w:rFonts w:hint="eastAsia"/>
          <w:sz w:val="18"/>
          <w:szCs w:val="18"/>
        </w:rPr>
        <w:t>保留了金融资产所有权上几乎所有风险和报酬的，则继续确认该金融资产。</w:t>
      </w:r>
    </w:p>
    <w:p w14:paraId="458DCDE9">
      <w:pPr>
        <w:widowControl/>
        <w:numPr>
          <w:ilvl w:val="1"/>
          <w:numId w:val="49"/>
        </w:numPr>
        <w:spacing w:before="100" w:beforeAutospacing="1" w:after="100" w:afterAutospacing="1"/>
        <w:rPr>
          <w:sz w:val="18"/>
          <w:szCs w:val="18"/>
        </w:rPr>
      </w:pPr>
      <w:r>
        <w:rPr>
          <w:rFonts w:hint="eastAsia"/>
          <w:sz w:val="18"/>
          <w:szCs w:val="18"/>
        </w:rPr>
        <w:t>既没有转移也没有保留金融资产所有权上几乎所有风险和报酬的（即除本条（</w:t>
      </w:r>
      <w:r>
        <w:rPr>
          <w:rFonts w:ascii="Arial" w:hAnsi="Arial" w:cs="Arial"/>
          <w:sz w:val="18"/>
          <w:szCs w:val="18"/>
        </w:rPr>
        <w:t>1</w:t>
      </w:r>
      <w:r>
        <w:rPr>
          <w:rFonts w:hint="eastAsia"/>
          <w:sz w:val="18"/>
          <w:szCs w:val="18"/>
        </w:rPr>
        <w:t>）、（</w:t>
      </w:r>
      <w:r>
        <w:rPr>
          <w:rFonts w:ascii="Arial" w:hAnsi="Arial" w:cs="Arial"/>
          <w:sz w:val="18"/>
          <w:szCs w:val="18"/>
        </w:rPr>
        <w:t>2</w:t>
      </w:r>
      <w:r>
        <w:rPr>
          <w:rFonts w:hint="eastAsia"/>
          <w:sz w:val="18"/>
          <w:szCs w:val="18"/>
        </w:rPr>
        <w:t>）之外的其他情形），则根据其是否保留了对金融资产的控制，分别下列情形处理：</w:t>
      </w:r>
    </w:p>
    <w:p w14:paraId="1F4C8380">
      <w:pPr>
        <w:widowControl/>
        <w:numPr>
          <w:ilvl w:val="0"/>
          <w:numId w:val="50"/>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未保留对该金融资产控制的，则终止确认该金融资产，并将转移中产生或保留的权利和义务单独确认为资产或负债。</w:t>
      </w:r>
    </w:p>
    <w:p w14:paraId="6335A649">
      <w:pPr>
        <w:widowControl/>
        <w:numPr>
          <w:ilvl w:val="0"/>
          <w:numId w:val="50"/>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保留了对该金融资产控制的，则按照其继续涉入被转移金融资产的程度继续确认有关金融资产，并相应确认相关负债。继续涉入被转移金融资产的程度，是指本公司承担的被转移金融资产价值变动风险或报酬的程度。</w:t>
      </w:r>
    </w:p>
    <w:p w14:paraId="2757CFE9">
      <w:pPr>
        <w:pStyle w:val="9"/>
        <w:spacing w:before="0" w:beforeAutospacing="0" w:after="0" w:afterAutospacing="0" w:line="360" w:lineRule="auto"/>
        <w:ind w:firstLine="420"/>
        <w:jc w:val="both"/>
        <w:rPr>
          <w:sz w:val="21"/>
          <w:szCs w:val="21"/>
        </w:rPr>
      </w:pPr>
      <w:r>
        <w:rPr>
          <w:rFonts w:hint="eastAsia"/>
          <w:sz w:val="21"/>
          <w:szCs w:val="21"/>
        </w:rPr>
        <w:t>在判断金融资产转移是否满足上述金融资产终止确认条件时，采用实质重于形式的原则。本公司将金融资产转移区分为金融资产整体转移和部分转移。</w:t>
      </w:r>
    </w:p>
    <w:p w14:paraId="058DD9C7">
      <w:pPr>
        <w:widowControl/>
        <w:numPr>
          <w:ilvl w:val="0"/>
          <w:numId w:val="51"/>
        </w:numPr>
        <w:spacing w:before="100" w:beforeAutospacing="1" w:after="100" w:afterAutospacing="1"/>
        <w:rPr>
          <w:sz w:val="18"/>
          <w:szCs w:val="18"/>
        </w:rPr>
      </w:pPr>
      <w:r>
        <w:rPr>
          <w:rFonts w:hint="eastAsia"/>
          <w:sz w:val="18"/>
          <w:szCs w:val="18"/>
        </w:rPr>
        <w:t>金融资产整体转移满足终止确认条件的，将下列两项金额的差额计入当期损益：</w:t>
      </w:r>
    </w:p>
    <w:p w14:paraId="2A8AC1F8">
      <w:pPr>
        <w:widowControl/>
        <w:numPr>
          <w:ilvl w:val="0"/>
          <w:numId w:val="52"/>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被转移金融资产在终止确认日的账面价值。</w:t>
      </w:r>
    </w:p>
    <w:p w14:paraId="0FEE2F22">
      <w:pPr>
        <w:widowControl/>
        <w:numPr>
          <w:ilvl w:val="0"/>
          <w:numId w:val="52"/>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因转移金融资产而收到的对价，与原直接计入其他综合收益的公允价值变动累计额中对应终止确认部分的金额（涉及转移的金融资产为以公允价值计量且其变动计入其他综合收益的金融资产）之和。</w:t>
      </w:r>
    </w:p>
    <w:p w14:paraId="587F09DF">
      <w:pPr>
        <w:widowControl/>
        <w:numPr>
          <w:ilvl w:val="0"/>
          <w:numId w:val="53"/>
        </w:numPr>
        <w:spacing w:before="100" w:beforeAutospacing="1" w:after="100" w:afterAutospacing="1"/>
        <w:rPr>
          <w:sz w:val="18"/>
          <w:szCs w:val="18"/>
        </w:rPr>
      </w:pPr>
      <w:r>
        <w:rPr>
          <w:rFonts w:hint="eastAsia"/>
          <w:sz w:val="18"/>
          <w:szCs w:val="18"/>
        </w:rPr>
        <w:t>金融资产部分转移且该被转移部分整体满足终止确认条件的，将转移前金融资产整体的账面价值，在终止确认部分和继续确认部分（在此种情形下，所保留的服务资产应当视同继续确认金融资产的一部分）之间，按照转移日各自的相对公允价值进行分摊，并将下列两项金额的差额计入当期损益：</w:t>
      </w:r>
    </w:p>
    <w:p w14:paraId="401A6B93">
      <w:pPr>
        <w:widowControl/>
        <w:numPr>
          <w:ilvl w:val="0"/>
          <w:numId w:val="54"/>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终止确认部分在终止确认日的账面价值。</w:t>
      </w:r>
    </w:p>
    <w:p w14:paraId="6005B846">
      <w:pPr>
        <w:widowControl/>
        <w:numPr>
          <w:ilvl w:val="0"/>
          <w:numId w:val="54"/>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终止确认部分收到的对价，与原计入其他综合收益的公允价值变动累计额中对应终止确认部分的金额（涉及转移的金融资产为以公允价值计量且其变动计入其他综合收益的金融资产）之和。</w:t>
      </w:r>
    </w:p>
    <w:p w14:paraId="42E108D7">
      <w:pPr>
        <w:pStyle w:val="9"/>
        <w:spacing w:before="0" w:beforeAutospacing="0" w:after="0" w:afterAutospacing="0" w:line="360" w:lineRule="auto"/>
        <w:ind w:firstLine="420"/>
        <w:jc w:val="both"/>
        <w:rPr>
          <w:sz w:val="21"/>
          <w:szCs w:val="21"/>
        </w:rPr>
      </w:pPr>
      <w:r>
        <w:rPr>
          <w:rFonts w:hint="eastAsia"/>
          <w:sz w:val="21"/>
          <w:szCs w:val="21"/>
        </w:rPr>
        <w:t>金融资产转移不满足终止确认条件的，继续确认该金融资产，所收到的对价确认为一项金融负债。</w:t>
      </w:r>
    </w:p>
    <w:p w14:paraId="14985920">
      <w:pPr>
        <w:widowControl/>
        <w:numPr>
          <w:ilvl w:val="0"/>
          <w:numId w:val="55"/>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金融资产和金融负债公允价值的确定方法</w:t>
      </w:r>
    </w:p>
    <w:p w14:paraId="70FB0562">
      <w:pPr>
        <w:pStyle w:val="9"/>
        <w:spacing w:before="0" w:beforeAutospacing="0" w:after="0" w:afterAutospacing="0" w:line="360" w:lineRule="auto"/>
        <w:ind w:firstLine="420"/>
        <w:jc w:val="both"/>
        <w:rPr>
          <w:sz w:val="21"/>
          <w:szCs w:val="21"/>
        </w:rPr>
      </w:pPr>
      <w:r>
        <w:rPr>
          <w:rFonts w:hint="eastAsia"/>
          <w:sz w:val="21"/>
          <w:szCs w:val="21"/>
        </w:rPr>
        <w:t>存在活跃市场的金融资产或金融负债，以活跃市场的报价确定其公允价值，除非该项金融资产存在针对资产本身的限售期。对于针对资产本身的限售的金融资产，按照活跃市场的报价扣除市场参与者因承担指定期间内无法在公开市场上出售该金融资产的风险而要求获得的补偿金额后确定。活跃市场的报价包括易于且可定期从交易所、交易商、经纪人、行业集团、定价机构或监管机构等获得相关资产或负债的报价，且能代表在公平交易基础上实际并经常发生的市场交易。</w:t>
      </w:r>
    </w:p>
    <w:p w14:paraId="4638789E">
      <w:pPr>
        <w:pStyle w:val="9"/>
        <w:spacing w:before="0" w:beforeAutospacing="0" w:after="0" w:afterAutospacing="0" w:line="360" w:lineRule="auto"/>
        <w:ind w:firstLine="420"/>
        <w:jc w:val="both"/>
        <w:rPr>
          <w:sz w:val="21"/>
          <w:szCs w:val="21"/>
        </w:rPr>
      </w:pPr>
      <w:r>
        <w:rPr>
          <w:rFonts w:hint="eastAsia"/>
          <w:sz w:val="21"/>
          <w:szCs w:val="21"/>
        </w:rPr>
        <w:t>初始取得或衍生的金融资产或承担的金融负债，以市场交易价格作为确定其公允价值的基础。</w:t>
      </w:r>
    </w:p>
    <w:p w14:paraId="39629DC7">
      <w:pPr>
        <w:pStyle w:val="9"/>
        <w:spacing w:before="0" w:beforeAutospacing="0" w:after="0" w:afterAutospacing="0" w:line="360" w:lineRule="auto"/>
        <w:ind w:firstLine="420"/>
        <w:jc w:val="both"/>
        <w:rPr>
          <w:sz w:val="21"/>
          <w:szCs w:val="21"/>
        </w:rPr>
      </w:pPr>
      <w:r>
        <w:rPr>
          <w:rFonts w:hint="eastAsia"/>
          <w:sz w:val="21"/>
          <w:szCs w:val="21"/>
        </w:rPr>
        <w:t>不存在活跃市场的金融资产或金融负债，采用估值技术确定其公允价值。在估值时，本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观察输入值。</w:t>
      </w:r>
    </w:p>
    <w:p w14:paraId="4E3A80F2">
      <w:pPr>
        <w:widowControl/>
        <w:numPr>
          <w:ilvl w:val="0"/>
          <w:numId w:val="56"/>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金融工具减值</w:t>
      </w:r>
    </w:p>
    <w:p w14:paraId="60F3D673">
      <w:pPr>
        <w:pStyle w:val="9"/>
        <w:spacing w:before="0" w:beforeAutospacing="0" w:after="0" w:afterAutospacing="0" w:line="360" w:lineRule="auto"/>
        <w:ind w:firstLine="420"/>
        <w:jc w:val="both"/>
        <w:rPr>
          <w:sz w:val="21"/>
          <w:szCs w:val="21"/>
        </w:rPr>
      </w:pPr>
      <w:r>
        <w:rPr>
          <w:rFonts w:hint="eastAsia"/>
          <w:sz w:val="21"/>
          <w:szCs w:val="21"/>
        </w:rPr>
        <w:t>本公司对以摊余成本计量的金融资产、分类为以公允价值计量且其变动计入其他综合收益的金融资产、租赁应收款、合同资产、不属于以公允价值计量且其变动计入当期损益的金融负债的贷款承诺、不属于以公允价值计量且其变动计入当期损益的金融负债以及因金融资产转移不符合终止确认条件或继续涉入被转移金融资产所形成金融负债的财务担保合同以预期信用损失为基础进行减值会计处理并确认损失准备。</w:t>
      </w:r>
    </w:p>
    <w:p w14:paraId="1E21EEB3">
      <w:pPr>
        <w:pStyle w:val="9"/>
        <w:spacing w:before="0" w:beforeAutospacing="0" w:after="0" w:afterAutospacing="0" w:line="360" w:lineRule="auto"/>
        <w:ind w:firstLine="420"/>
        <w:jc w:val="both"/>
        <w:rPr>
          <w:sz w:val="21"/>
          <w:szCs w:val="21"/>
        </w:rPr>
      </w:pPr>
      <w:r>
        <w:rPr>
          <w:rFonts w:hint="eastAsia"/>
          <w:sz w:val="21"/>
          <w:szCs w:val="21"/>
        </w:rPr>
        <w:t>预期信用损失，是指以发生违约的风险为权重的金融工具信用损失的加权平均值。信用损失，是指本公司按照原实际利率折现的、根据合同应收的所有合同现金流量与预期收取的所有现金流量之间的差额，即全部现金短缺的现值。其中，对于本公司购买或源生的已发生信用减值的金融资产，应按照该金融资产经信用调整的实际利率折现。</w:t>
      </w:r>
    </w:p>
    <w:p w14:paraId="421501F2">
      <w:pPr>
        <w:pStyle w:val="9"/>
        <w:spacing w:before="0" w:beforeAutospacing="0" w:after="0" w:afterAutospacing="0" w:line="360" w:lineRule="auto"/>
        <w:ind w:firstLine="420"/>
        <w:jc w:val="both"/>
        <w:rPr>
          <w:sz w:val="21"/>
          <w:szCs w:val="21"/>
        </w:rPr>
      </w:pPr>
      <w:r>
        <w:rPr>
          <w:rFonts w:hint="eastAsia"/>
          <w:sz w:val="21"/>
          <w:szCs w:val="21"/>
        </w:rPr>
        <w:t>对于购买或源生的已发生信用减值的金融资产，在资产负债表日仅将自初始确认后整个存续期内预期信用损失的累计变动确认为损失准备。在每个资产负债表日，将整个存续期内预期信用损失的变动金额作为减值损失或利得计入当期损益。即使该资产负债表日确定的整个存续期内预期信用损失小于初始确认时估计现金流量所反映的预期信用损失的金额，也将预期信用损失的有利变动确认为减值利得。</w:t>
      </w:r>
    </w:p>
    <w:p w14:paraId="3BDA6FFB">
      <w:pPr>
        <w:pStyle w:val="9"/>
        <w:spacing w:before="0" w:beforeAutospacing="0" w:after="0" w:afterAutospacing="0" w:line="360" w:lineRule="auto"/>
        <w:ind w:firstLine="420"/>
        <w:jc w:val="both"/>
        <w:rPr>
          <w:sz w:val="21"/>
          <w:szCs w:val="21"/>
        </w:rPr>
      </w:pPr>
      <w:r>
        <w:rPr>
          <w:rFonts w:hint="eastAsia"/>
          <w:sz w:val="21"/>
          <w:szCs w:val="21"/>
        </w:rPr>
        <w:t>除上述采用简化计量方法和购买或源生的已发生信用减值以外的其他金融资产，本公司在每个资产负债表日评估相关金融工具的信用风险自初始确认后是否已显著增加，并按照下列情形分别计量其损失准备、确认预期信用损失及其变动：</w:t>
      </w:r>
    </w:p>
    <w:p w14:paraId="7778D24C">
      <w:pPr>
        <w:widowControl/>
        <w:numPr>
          <w:ilvl w:val="1"/>
          <w:numId w:val="57"/>
        </w:numPr>
        <w:spacing w:before="100" w:beforeAutospacing="1" w:after="100" w:afterAutospacing="1"/>
        <w:rPr>
          <w:sz w:val="18"/>
          <w:szCs w:val="18"/>
        </w:rPr>
      </w:pPr>
      <w:r>
        <w:rPr>
          <w:rFonts w:hint="eastAsia"/>
          <w:sz w:val="18"/>
          <w:szCs w:val="18"/>
        </w:rPr>
        <w:t>如果该金融工具的信用风险自初始确认后并未显著增加，处于第一阶段，则按照相当于该金融工具未来</w:t>
      </w:r>
      <w:r>
        <w:rPr>
          <w:rFonts w:ascii="Arial" w:hAnsi="Arial" w:cs="Arial"/>
          <w:sz w:val="18"/>
          <w:szCs w:val="18"/>
        </w:rPr>
        <w:t>12</w:t>
      </w:r>
      <w:r>
        <w:rPr>
          <w:rFonts w:hint="eastAsia"/>
          <w:sz w:val="18"/>
          <w:szCs w:val="18"/>
        </w:rPr>
        <w:t>个月内预期信用损失的金额计量其损失准备，并按照账面余额和实际利率计算利息收入。</w:t>
      </w:r>
    </w:p>
    <w:p w14:paraId="637E57EE">
      <w:pPr>
        <w:widowControl/>
        <w:numPr>
          <w:ilvl w:val="1"/>
          <w:numId w:val="57"/>
        </w:numPr>
        <w:spacing w:before="100" w:beforeAutospacing="1" w:after="100" w:afterAutospacing="1"/>
        <w:rPr>
          <w:sz w:val="18"/>
          <w:szCs w:val="18"/>
        </w:rPr>
      </w:pPr>
      <w:r>
        <w:rPr>
          <w:rFonts w:hint="eastAsia"/>
          <w:sz w:val="18"/>
          <w:szCs w:val="18"/>
        </w:rPr>
        <w:t>如果该金融工具的信用风险自初始确认后已显著增加但尚未发生信用减值的，处于第二阶段，则按照相当于该金融工具整个存续期内预期信用损失的金额计量其损失准备，并按照账面余额和实际利率计算利息收入。</w:t>
      </w:r>
    </w:p>
    <w:p w14:paraId="64C54346">
      <w:pPr>
        <w:widowControl/>
        <w:numPr>
          <w:ilvl w:val="1"/>
          <w:numId w:val="57"/>
        </w:numPr>
        <w:spacing w:before="100" w:beforeAutospacing="1" w:after="100" w:afterAutospacing="1"/>
        <w:rPr>
          <w:sz w:val="18"/>
          <w:szCs w:val="18"/>
        </w:rPr>
      </w:pPr>
      <w:r>
        <w:rPr>
          <w:rFonts w:hint="eastAsia"/>
          <w:sz w:val="18"/>
          <w:szCs w:val="18"/>
        </w:rPr>
        <w:t>如果该金融工具自初始确认后已经发生信用减值的，处于第三阶段，本公司按照相当于该金融工具整个存续期内预期信用损失的金额计量其损失准备，并按照摊余成本和实际利率计算利息收入。</w:t>
      </w:r>
    </w:p>
    <w:p w14:paraId="6A15C3F9">
      <w:pPr>
        <w:pStyle w:val="9"/>
        <w:spacing w:before="0" w:beforeAutospacing="0" w:after="0" w:afterAutospacing="0" w:line="360" w:lineRule="auto"/>
        <w:ind w:firstLine="420"/>
        <w:jc w:val="both"/>
        <w:rPr>
          <w:sz w:val="21"/>
          <w:szCs w:val="21"/>
        </w:rPr>
      </w:pPr>
      <w:r>
        <w:rPr>
          <w:rFonts w:hint="eastAsia"/>
          <w:sz w:val="21"/>
          <w:szCs w:val="21"/>
        </w:rPr>
        <w:t>金融工具信用损失准备的增加或转回金额，作为减值损失或利得计入当期损益。除分类为以公允价值计量且其变动计入其他综合收益的金融资产外，信用损失准备抵减金融资产的账面余额。对于分类为以公允价值计量且其变动计入其他综合收益的金融资产，本公司在其他综合收益中确认其信用损失准备，不减少该金融资产在资产负债表中列示的账面价值。</w:t>
      </w:r>
    </w:p>
    <w:p w14:paraId="73639F18">
      <w:pPr>
        <w:pStyle w:val="9"/>
        <w:spacing w:before="0" w:beforeAutospacing="0" w:after="0" w:afterAutospacing="0" w:line="360" w:lineRule="auto"/>
        <w:ind w:firstLine="420"/>
        <w:jc w:val="both"/>
        <w:rPr>
          <w:sz w:val="21"/>
          <w:szCs w:val="21"/>
        </w:rPr>
      </w:pPr>
      <w:r>
        <w:rPr>
          <w:rFonts w:hint="eastAsia"/>
          <w:sz w:val="21"/>
          <w:szCs w:val="21"/>
        </w:rPr>
        <w:t>本公司在前一会计期间已经按照相当于金融工具整个存续期内预期信用损失的金额计量了损失准备，但在当期资产负债表日，该金融工具已不再属于自初始确认后信用风险显著增加的情形的，本公司在当期资产负债表日按照相当于未来</w:t>
      </w:r>
      <w:r>
        <w:rPr>
          <w:rFonts w:ascii="Arial" w:hAnsi="Arial" w:cs="Arial"/>
          <w:sz w:val="21"/>
          <w:szCs w:val="21"/>
        </w:rPr>
        <w:t>12</w:t>
      </w:r>
      <w:r>
        <w:rPr>
          <w:rFonts w:hint="eastAsia"/>
          <w:sz w:val="21"/>
          <w:szCs w:val="21"/>
        </w:rPr>
        <w:t>个月内预期信用损失的金额计量该金融工具的损失准备，由此形成的损失准备的转回金额作为减值利得计入当期损益。</w:t>
      </w:r>
    </w:p>
    <w:p w14:paraId="3C22A0F1">
      <w:pPr>
        <w:widowControl/>
        <w:numPr>
          <w:ilvl w:val="0"/>
          <w:numId w:val="58"/>
        </w:numPr>
        <w:spacing w:before="100" w:beforeAutospacing="1" w:after="100" w:afterAutospacing="1"/>
        <w:rPr>
          <w:sz w:val="18"/>
          <w:szCs w:val="18"/>
        </w:rPr>
      </w:pPr>
      <w:r>
        <w:rPr>
          <w:rFonts w:hint="eastAsia"/>
          <w:sz w:val="18"/>
          <w:szCs w:val="18"/>
        </w:rPr>
        <w:t>信用风险显著增加</w:t>
      </w:r>
    </w:p>
    <w:p w14:paraId="5C25E2D2">
      <w:pPr>
        <w:pStyle w:val="9"/>
        <w:spacing w:before="0" w:beforeAutospacing="0" w:after="0" w:afterAutospacing="0" w:line="360" w:lineRule="auto"/>
        <w:ind w:firstLine="420"/>
        <w:jc w:val="both"/>
        <w:rPr>
          <w:sz w:val="21"/>
          <w:szCs w:val="21"/>
        </w:rPr>
      </w:pPr>
      <w:r>
        <w:rPr>
          <w:rFonts w:hint="eastAsia"/>
          <w:sz w:val="21"/>
          <w:szCs w:val="21"/>
        </w:rPr>
        <w:t>本公司利用可获得的合理且有依据的前瞻性信息，通过比较金融工具在资产负债表日发生违约的风险与在初始确认日发生违约的风险，以确定金融工具的信用风险自初始确认后是否已显著增加。对于财务担保合同，本公司在应用金融工具减值规定时，将本公司成为做出不可撤销承诺的一方之日作为初始确认日。</w:t>
      </w:r>
    </w:p>
    <w:p w14:paraId="1A7EF22E">
      <w:pPr>
        <w:pStyle w:val="9"/>
        <w:spacing w:before="0" w:beforeAutospacing="0" w:after="0" w:afterAutospacing="0" w:line="360" w:lineRule="auto"/>
        <w:ind w:firstLine="420"/>
        <w:jc w:val="both"/>
        <w:rPr>
          <w:sz w:val="21"/>
          <w:szCs w:val="21"/>
        </w:rPr>
      </w:pPr>
      <w:r>
        <w:rPr>
          <w:rFonts w:hint="eastAsia"/>
          <w:sz w:val="21"/>
          <w:szCs w:val="21"/>
        </w:rPr>
        <w:t>本公司在评估信用风险是否显著增加时会考虑如下因素：</w:t>
      </w:r>
    </w:p>
    <w:p w14:paraId="3D06FD5C">
      <w:pPr>
        <w:widowControl/>
        <w:numPr>
          <w:ilvl w:val="0"/>
          <w:numId w:val="59"/>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债务人经营成果实际或预期是否发生显著变化；</w:t>
      </w:r>
    </w:p>
    <w:p w14:paraId="07A1BE71">
      <w:pPr>
        <w:widowControl/>
        <w:numPr>
          <w:ilvl w:val="0"/>
          <w:numId w:val="59"/>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债务人所处的监管、经济或技术环境是否发生显著不利变化；</w:t>
      </w:r>
    </w:p>
    <w:p w14:paraId="5C096798">
      <w:pPr>
        <w:widowControl/>
        <w:numPr>
          <w:ilvl w:val="0"/>
          <w:numId w:val="59"/>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作为债务抵押的担保物价值或第三方提供的担保或信用增级质量是否发生显著变化，这些变化预期将降低债务人按合同规定期限还款的经济动机或者影响违约概率；</w:t>
      </w:r>
    </w:p>
    <w:p w14:paraId="4C9AA57E">
      <w:pPr>
        <w:widowControl/>
        <w:numPr>
          <w:ilvl w:val="0"/>
          <w:numId w:val="59"/>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债务人预期表现和还款行为是否发生显著变化；</w:t>
      </w:r>
    </w:p>
    <w:p w14:paraId="6F23A45C">
      <w:pPr>
        <w:widowControl/>
        <w:numPr>
          <w:ilvl w:val="0"/>
          <w:numId w:val="59"/>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本公司对金融工具信用管理方法是否发生变化等。</w:t>
      </w:r>
    </w:p>
    <w:p w14:paraId="7E25AA08">
      <w:pPr>
        <w:pStyle w:val="9"/>
        <w:spacing w:before="0" w:beforeAutospacing="0" w:after="0" w:afterAutospacing="0" w:line="360" w:lineRule="auto"/>
        <w:ind w:firstLine="420"/>
        <w:jc w:val="both"/>
        <w:rPr>
          <w:sz w:val="21"/>
          <w:szCs w:val="21"/>
        </w:rPr>
      </w:pPr>
      <w:r>
        <w:rPr>
          <w:rFonts w:hint="eastAsia"/>
          <w:sz w:val="21"/>
          <w:szCs w:val="21"/>
        </w:rPr>
        <w:t>于资产负债表日，若本公司判断金融工具只具有较低的信用风险，则本公司假定该金融工具的信用风险自初始确认后并未显著增加。如果金融工具的违约风险较低，借款人在短期内履行其合同现金流量义务的能力很强，并且即使较长时期内经济形势和经营环境存在不利变化，但未必一定降低借款人履行其合同现金流量义务的能力，则该金融工具被视为具有较低的信用风险。</w:t>
      </w:r>
    </w:p>
    <w:p w14:paraId="70A79B06">
      <w:pPr>
        <w:widowControl/>
        <w:numPr>
          <w:ilvl w:val="0"/>
          <w:numId w:val="60"/>
        </w:numPr>
        <w:spacing w:before="100" w:beforeAutospacing="1" w:after="100" w:afterAutospacing="1"/>
        <w:rPr>
          <w:sz w:val="18"/>
          <w:szCs w:val="18"/>
        </w:rPr>
      </w:pPr>
      <w:r>
        <w:rPr>
          <w:rFonts w:hint="eastAsia"/>
          <w:sz w:val="18"/>
          <w:szCs w:val="18"/>
        </w:rPr>
        <w:t>已发生信用减值的金融资产</w:t>
      </w:r>
    </w:p>
    <w:p w14:paraId="3B9DF492">
      <w:pPr>
        <w:pStyle w:val="9"/>
        <w:spacing w:before="0" w:beforeAutospacing="0" w:after="0" w:afterAutospacing="0" w:line="360" w:lineRule="auto"/>
        <w:ind w:firstLine="420"/>
        <w:jc w:val="both"/>
        <w:rPr>
          <w:sz w:val="21"/>
          <w:szCs w:val="21"/>
        </w:rPr>
      </w:pPr>
      <w:r>
        <w:rPr>
          <w:rFonts w:hint="eastAsia"/>
          <w:sz w:val="21"/>
          <w:szCs w:val="21"/>
        </w:rPr>
        <w:t>当对金融资产预期未来现金流量具有不利影响的一项或多项事件发生时，该金融资产成为已发生信用减值的金融资产。金融资产已发生信用减值的证据包括下列可观察信息：</w:t>
      </w:r>
    </w:p>
    <w:p w14:paraId="27ED5434">
      <w:pPr>
        <w:widowControl/>
        <w:numPr>
          <w:ilvl w:val="0"/>
          <w:numId w:val="61"/>
        </w:numPr>
        <w:spacing w:before="100" w:beforeAutospacing="1" w:after="100" w:afterAutospacing="1"/>
        <w:rPr>
          <w:sz w:val="18"/>
          <w:szCs w:val="18"/>
        </w:rPr>
      </w:pPr>
    </w:p>
    <w:p w14:paraId="2205FD3D">
      <w:pPr>
        <w:widowControl/>
        <w:numPr>
          <w:ilvl w:val="1"/>
          <w:numId w:val="61"/>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发行方或债务人发生重大财务困难；</w:t>
      </w:r>
    </w:p>
    <w:p w14:paraId="262AE160">
      <w:pPr>
        <w:widowControl/>
        <w:numPr>
          <w:ilvl w:val="1"/>
          <w:numId w:val="61"/>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债务人违反合同，如偿付利息或本金违约或逾期等；</w:t>
      </w:r>
    </w:p>
    <w:p w14:paraId="1EC139F1">
      <w:pPr>
        <w:widowControl/>
        <w:numPr>
          <w:ilvl w:val="1"/>
          <w:numId w:val="61"/>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债权人出于与债务人财务困难有关的经济或合同考虑，给予债务人在任何其他情况下都不会做出的让步；</w:t>
      </w:r>
    </w:p>
    <w:p w14:paraId="6606F591">
      <w:pPr>
        <w:widowControl/>
        <w:numPr>
          <w:ilvl w:val="1"/>
          <w:numId w:val="61"/>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债务人很可能破产或进行其他财务重组；</w:t>
      </w:r>
    </w:p>
    <w:p w14:paraId="6FD39757">
      <w:pPr>
        <w:widowControl/>
        <w:numPr>
          <w:ilvl w:val="1"/>
          <w:numId w:val="61"/>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发行方或债务人财务困难导致该金融资产的活跃市场消失；</w:t>
      </w:r>
    </w:p>
    <w:p w14:paraId="2E97A120">
      <w:pPr>
        <w:widowControl/>
        <w:numPr>
          <w:ilvl w:val="1"/>
          <w:numId w:val="61"/>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以大幅折扣购买或源生一项金融资产，该折扣反映了发生信用损失的事实。</w:t>
      </w:r>
    </w:p>
    <w:p w14:paraId="287E5FB1">
      <w:pPr>
        <w:pStyle w:val="9"/>
        <w:spacing w:before="0" w:beforeAutospacing="0" w:after="0" w:afterAutospacing="0" w:line="360" w:lineRule="auto"/>
        <w:ind w:firstLine="420"/>
        <w:jc w:val="both"/>
        <w:rPr>
          <w:sz w:val="21"/>
          <w:szCs w:val="21"/>
        </w:rPr>
      </w:pPr>
      <w:r>
        <w:rPr>
          <w:rFonts w:hint="eastAsia"/>
          <w:sz w:val="21"/>
          <w:szCs w:val="21"/>
        </w:rPr>
        <w:t>金融资产发生信用减值，有可能是多个事件的共同作用所致，未必是可单独识别的事件所致。</w:t>
      </w:r>
    </w:p>
    <w:p w14:paraId="5F274F91">
      <w:pPr>
        <w:widowControl/>
        <w:numPr>
          <w:ilvl w:val="0"/>
          <w:numId w:val="62"/>
        </w:numPr>
        <w:spacing w:before="100" w:beforeAutospacing="1" w:after="100" w:afterAutospacing="1"/>
        <w:rPr>
          <w:sz w:val="18"/>
          <w:szCs w:val="18"/>
        </w:rPr>
      </w:pPr>
      <w:r>
        <w:rPr>
          <w:rFonts w:hint="eastAsia"/>
          <w:sz w:val="18"/>
          <w:szCs w:val="18"/>
        </w:rPr>
        <w:t>预期信用损失的确定</w:t>
      </w:r>
    </w:p>
    <w:p w14:paraId="7AEBD38A">
      <w:pPr>
        <w:pStyle w:val="9"/>
        <w:spacing w:before="0" w:beforeAutospacing="0" w:after="0" w:afterAutospacing="0" w:line="360" w:lineRule="auto"/>
        <w:ind w:firstLine="420"/>
        <w:jc w:val="both"/>
        <w:rPr>
          <w:sz w:val="21"/>
          <w:szCs w:val="21"/>
        </w:rPr>
      </w:pPr>
      <w:r>
        <w:rPr>
          <w:rFonts w:hint="eastAsia"/>
          <w:sz w:val="21"/>
          <w:szCs w:val="21"/>
        </w:rPr>
        <w:t>本公司基于单项和组合评估金融工具的预期信用损失，在评估预期信用损失时，考虑有关过去事项、当前状况以及未来经济状况预测的合理且有依据的信息。</w:t>
      </w:r>
    </w:p>
    <w:p w14:paraId="328455C0">
      <w:pPr>
        <w:pStyle w:val="9"/>
        <w:spacing w:before="0" w:beforeAutospacing="0" w:after="0" w:afterAutospacing="0" w:line="360" w:lineRule="auto"/>
        <w:ind w:firstLine="420"/>
        <w:jc w:val="both"/>
        <w:rPr>
          <w:sz w:val="21"/>
          <w:szCs w:val="21"/>
        </w:rPr>
      </w:pPr>
      <w:r>
        <w:rPr>
          <w:rFonts w:hint="eastAsia"/>
          <w:sz w:val="21"/>
          <w:szCs w:val="21"/>
        </w:rPr>
        <w:t>本公司以共同信用风险特征为依据，将金融工具分为不同组合。本公司采用的共同信用风险特征包括：金融工具类型、信用风险评级、账龄组合、逾期账龄组合、合同结算周期、债务人所处行业等。相关金融工具的单项评估标准和组合信用风险特征详见相关金融工具的会计政策。</w:t>
      </w:r>
    </w:p>
    <w:p w14:paraId="3B4F0CEB">
      <w:pPr>
        <w:pStyle w:val="9"/>
        <w:spacing w:before="0" w:beforeAutospacing="0" w:after="0" w:afterAutospacing="0" w:line="360" w:lineRule="auto"/>
        <w:ind w:firstLine="420"/>
        <w:jc w:val="both"/>
        <w:rPr>
          <w:sz w:val="21"/>
          <w:szCs w:val="21"/>
        </w:rPr>
      </w:pPr>
      <w:r>
        <w:rPr>
          <w:rFonts w:hint="eastAsia"/>
          <w:sz w:val="21"/>
          <w:szCs w:val="21"/>
        </w:rPr>
        <w:t>本公司按照下列方法确定相关金融工具的预期信用损失：</w:t>
      </w:r>
    </w:p>
    <w:p w14:paraId="2E7BD899">
      <w:pPr>
        <w:pStyle w:val="9"/>
        <w:spacing w:before="0" w:beforeAutospacing="0" w:after="0" w:afterAutospacing="0" w:line="360" w:lineRule="auto"/>
        <w:ind w:firstLine="420"/>
        <w:jc w:val="both"/>
        <w:rPr>
          <w:sz w:val="21"/>
          <w:szCs w:val="21"/>
        </w:rPr>
      </w:pPr>
      <w:r>
        <w:rPr>
          <w:rFonts w:ascii="Arial" w:hAnsi="Arial" w:cs="Arial"/>
          <w:sz w:val="21"/>
          <w:szCs w:val="21"/>
        </w:rPr>
        <w:t>1</w:t>
      </w:r>
      <w:r>
        <w:rPr>
          <w:rFonts w:hint="eastAsia"/>
          <w:sz w:val="21"/>
          <w:szCs w:val="21"/>
        </w:rPr>
        <w:t>）对于金融资产，信用损失为本公司应收取的合同现金流量与预期收取的现金流量之间差额的现值。</w:t>
      </w:r>
    </w:p>
    <w:p w14:paraId="60A6FA44">
      <w:pPr>
        <w:pStyle w:val="9"/>
        <w:spacing w:before="0" w:beforeAutospacing="0" w:after="0" w:afterAutospacing="0" w:line="360" w:lineRule="auto"/>
        <w:ind w:firstLine="420"/>
        <w:jc w:val="both"/>
        <w:rPr>
          <w:sz w:val="21"/>
          <w:szCs w:val="21"/>
        </w:rPr>
      </w:pPr>
      <w:r>
        <w:rPr>
          <w:rFonts w:ascii="Arial" w:hAnsi="Arial" w:cs="Arial"/>
          <w:sz w:val="21"/>
          <w:szCs w:val="21"/>
        </w:rPr>
        <w:t>2</w:t>
      </w:r>
      <w:r>
        <w:rPr>
          <w:rFonts w:hint="eastAsia"/>
          <w:sz w:val="21"/>
          <w:szCs w:val="21"/>
        </w:rPr>
        <w:t>）对于租赁应收款项，信用损失为本公司应收取的合同现金流量与预期收取的现金流量之间差额的现值。</w:t>
      </w:r>
    </w:p>
    <w:p w14:paraId="2E2C9FCD">
      <w:pPr>
        <w:pStyle w:val="9"/>
        <w:spacing w:before="0" w:beforeAutospacing="0" w:after="0" w:afterAutospacing="0" w:line="360" w:lineRule="auto"/>
        <w:ind w:firstLine="420"/>
        <w:jc w:val="both"/>
        <w:rPr>
          <w:sz w:val="21"/>
          <w:szCs w:val="21"/>
        </w:rPr>
      </w:pPr>
      <w:r>
        <w:rPr>
          <w:rFonts w:ascii="Arial" w:hAnsi="Arial" w:cs="Arial"/>
          <w:sz w:val="21"/>
          <w:szCs w:val="21"/>
        </w:rPr>
        <w:t>3</w:t>
      </w:r>
      <w:r>
        <w:rPr>
          <w:rFonts w:hint="eastAsia"/>
          <w:sz w:val="21"/>
          <w:szCs w:val="21"/>
        </w:rPr>
        <w:t>）对于财务担保合同，信用损失为本公司就该合同持有人发生的信用损失向其做出赔付的预计付款额，减去本公司预期向该合同持有人、债务人或任何其他方收取的金额之间差额的现值。</w:t>
      </w:r>
    </w:p>
    <w:p w14:paraId="3CBF8311">
      <w:pPr>
        <w:pStyle w:val="9"/>
        <w:spacing w:before="0" w:beforeAutospacing="0" w:after="0" w:afterAutospacing="0" w:line="360" w:lineRule="auto"/>
        <w:ind w:firstLine="420"/>
        <w:jc w:val="both"/>
        <w:rPr>
          <w:sz w:val="21"/>
          <w:szCs w:val="21"/>
        </w:rPr>
      </w:pPr>
      <w:r>
        <w:rPr>
          <w:rFonts w:ascii="Arial" w:hAnsi="Arial" w:cs="Arial"/>
          <w:sz w:val="21"/>
          <w:szCs w:val="21"/>
        </w:rPr>
        <w:t>4</w:t>
      </w:r>
      <w:r>
        <w:rPr>
          <w:rFonts w:hint="eastAsia"/>
          <w:sz w:val="21"/>
          <w:szCs w:val="21"/>
        </w:rPr>
        <w:t>）对于资产负债表日已发生信用减值但并非购买或源生已发生信用减值的金融资产，信用损失为该金融资产账面余额与按原实际利率折现的估计未来现金流量的现值之间的差额。</w:t>
      </w:r>
    </w:p>
    <w:p w14:paraId="54F3F1A7">
      <w:pPr>
        <w:pStyle w:val="9"/>
        <w:spacing w:before="0" w:beforeAutospacing="0" w:after="0" w:afterAutospacing="0" w:line="360" w:lineRule="auto"/>
        <w:ind w:firstLine="420"/>
        <w:jc w:val="both"/>
        <w:rPr>
          <w:sz w:val="21"/>
          <w:szCs w:val="21"/>
        </w:rPr>
      </w:pPr>
      <w:r>
        <w:rPr>
          <w:rFonts w:hint="eastAsia"/>
          <w:sz w:val="21"/>
          <w:szCs w:val="21"/>
        </w:rPr>
        <w:t>本公司计量金融工具预期信用损失的方法反映的因素包括：通过评价一系列可能的结果而确定的无偏概率加权平均金额；货币时间价值；在资产负债表日无须付出不必要的额外成本或努力即可获得的有关过去事项、当前状况以及未来经济状况预测的合理且有依据的信息。</w:t>
      </w:r>
    </w:p>
    <w:p w14:paraId="1FE9781A">
      <w:pPr>
        <w:widowControl/>
        <w:numPr>
          <w:ilvl w:val="0"/>
          <w:numId w:val="63"/>
        </w:numPr>
        <w:spacing w:before="100" w:beforeAutospacing="1" w:after="100" w:afterAutospacing="1"/>
        <w:rPr>
          <w:sz w:val="18"/>
          <w:szCs w:val="18"/>
        </w:rPr>
      </w:pPr>
      <w:r>
        <w:rPr>
          <w:rFonts w:hint="eastAsia"/>
          <w:sz w:val="18"/>
          <w:szCs w:val="18"/>
        </w:rPr>
        <w:t>减记金融资产</w:t>
      </w:r>
    </w:p>
    <w:p w14:paraId="0546F0D2">
      <w:pPr>
        <w:pStyle w:val="9"/>
        <w:spacing w:before="0" w:beforeAutospacing="0" w:after="0" w:afterAutospacing="0" w:line="360" w:lineRule="auto"/>
        <w:ind w:firstLine="420"/>
        <w:jc w:val="both"/>
        <w:rPr>
          <w:sz w:val="21"/>
          <w:szCs w:val="21"/>
        </w:rPr>
      </w:pPr>
      <w:r>
        <w:rPr>
          <w:rFonts w:hint="eastAsia"/>
          <w:sz w:val="21"/>
          <w:szCs w:val="21"/>
        </w:rPr>
        <w:t>当本公司不再合理预期金融资产合同现金流量能够全部或部分收回的，直接减记该金融资产的账面余额。这种减记构成相关金融资产的终止确认。</w:t>
      </w:r>
    </w:p>
    <w:p w14:paraId="0C23D359">
      <w:pPr>
        <w:widowControl/>
        <w:numPr>
          <w:ilvl w:val="0"/>
          <w:numId w:val="64"/>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金融资产及金融负债的抵销</w:t>
      </w:r>
    </w:p>
    <w:p w14:paraId="1D12CD0E">
      <w:pPr>
        <w:pStyle w:val="9"/>
        <w:spacing w:before="0" w:beforeAutospacing="0" w:after="0" w:afterAutospacing="0" w:line="360" w:lineRule="auto"/>
        <w:ind w:firstLine="420"/>
        <w:jc w:val="both"/>
        <w:rPr>
          <w:sz w:val="21"/>
          <w:szCs w:val="21"/>
        </w:rPr>
      </w:pPr>
      <w:r>
        <w:rPr>
          <w:rFonts w:hint="eastAsia"/>
          <w:sz w:val="21"/>
          <w:szCs w:val="21"/>
        </w:rPr>
        <w:t>金融资产和金融负债在资产负债表内分别列示，没有相互抵销。但是，同时满足下列条件的，以相互抵销后的净额在资产负债表内列示：</w:t>
      </w:r>
    </w:p>
    <w:p w14:paraId="4D86B5F6">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1</w:t>
      </w:r>
      <w:r>
        <w:rPr>
          <w:rFonts w:hint="eastAsia"/>
          <w:sz w:val="21"/>
          <w:szCs w:val="21"/>
        </w:rPr>
        <w:t>）本公司具有抵销已确认金额的法定权利，且该种法定权利是当前可执行的；</w:t>
      </w:r>
    </w:p>
    <w:p w14:paraId="02614819">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2</w:t>
      </w:r>
      <w:r>
        <w:rPr>
          <w:rFonts w:hint="eastAsia"/>
          <w:sz w:val="21"/>
          <w:szCs w:val="21"/>
        </w:rPr>
        <w:t>）本公司计划以净额结算，或同时变现该金融资产和清偿该金融负债。</w:t>
      </w:r>
    </w:p>
    <w:p w14:paraId="535B1547">
      <w:pPr>
        <w:pStyle w:val="3"/>
        <w:spacing w:line="280" w:lineRule="exact"/>
        <w:jc w:val="left"/>
        <w:rPr>
          <w:rFonts w:ascii="宋体" w:hAnsi="宋体" w:cs="宋体"/>
          <w:b/>
          <w:bCs/>
        </w:rPr>
      </w:pPr>
      <w:bookmarkStart w:id="187" w:name="_Toc989071"/>
      <w:r>
        <w:rPr>
          <w:rFonts w:ascii="宋体" w:hAnsi="宋体" w:cs="宋体"/>
          <w:b/>
          <w:bCs/>
        </w:rPr>
        <w:t>12、应收票据</w:t>
      </w:r>
      <w:bookmarkEnd w:id="187"/>
    </w:p>
    <w:p w14:paraId="71B523F1">
      <w:pPr>
        <w:pStyle w:val="9"/>
        <w:spacing w:before="0" w:beforeAutospacing="0" w:after="0" w:afterAutospacing="0" w:line="360" w:lineRule="auto"/>
        <w:ind w:firstLine="420"/>
        <w:jc w:val="both"/>
        <w:rPr>
          <w:sz w:val="21"/>
          <w:szCs w:val="21"/>
        </w:rPr>
      </w:pPr>
      <w:r>
        <w:rPr>
          <w:rFonts w:hint="eastAsia"/>
          <w:sz w:val="21"/>
          <w:szCs w:val="21"/>
        </w:rPr>
        <w:t>本公司对应收票据的预期信用损失的确定方法及会计处理方法详见11</w:t>
      </w:r>
      <w:r>
        <w:rPr>
          <w:rFonts w:ascii="Arial" w:hAnsi="Arial" w:cs="Arial"/>
          <w:sz w:val="21"/>
          <w:szCs w:val="21"/>
        </w:rPr>
        <w:t>.</w:t>
      </w:r>
      <w:r>
        <w:rPr>
          <w:rFonts w:hint="eastAsia"/>
          <w:sz w:val="21"/>
          <w:szCs w:val="21"/>
        </w:rPr>
        <w:t>金融工具减值。</w:t>
      </w:r>
    </w:p>
    <w:p w14:paraId="6CA69BD9">
      <w:pPr>
        <w:pStyle w:val="9"/>
        <w:spacing w:before="0" w:beforeAutospacing="0" w:after="0" w:afterAutospacing="0" w:line="360" w:lineRule="auto"/>
        <w:ind w:firstLine="420"/>
        <w:jc w:val="both"/>
        <w:rPr>
          <w:sz w:val="21"/>
          <w:szCs w:val="21"/>
        </w:rPr>
      </w:pPr>
      <w:r>
        <w:rPr>
          <w:rFonts w:hint="eastAsia"/>
          <w:sz w:val="21"/>
          <w:szCs w:val="21"/>
        </w:rPr>
        <w:t>对信用风险与组合信用风险显著不同的应收票据，本公司按单项计提预期信用损失。本公司对单项金额重大且在初始确认后已经发生信用减值的应收票据单独确定其信用损失。</w:t>
      </w:r>
    </w:p>
    <w:p w14:paraId="5060BC0F">
      <w:pPr>
        <w:pStyle w:val="9"/>
        <w:spacing w:before="0" w:beforeAutospacing="0" w:after="0" w:afterAutospacing="0" w:line="360" w:lineRule="auto"/>
        <w:ind w:firstLine="420"/>
        <w:jc w:val="both"/>
        <w:rPr>
          <w:sz w:val="21"/>
          <w:szCs w:val="21"/>
        </w:rPr>
      </w:pPr>
      <w:r>
        <w:rPr>
          <w:rFonts w:hint="eastAsia"/>
          <w:sz w:val="21"/>
          <w:szCs w:val="21"/>
        </w:rPr>
        <w:t>当在单项工具层面无法以合理成本评估预期信用损失的充分证据时，本公司参考历史信用损失经验，结合当前状况以及对未来经济状况的判断，依据信用风险特征将</w:t>
      </w:r>
      <w:r>
        <w:rPr>
          <w:rFonts w:ascii="Arial" w:hAnsi="Arial" w:cs="Arial"/>
          <w:sz w:val="21"/>
          <w:szCs w:val="21"/>
        </w:rPr>
        <w:t xml:space="preserve">    </w:t>
      </w:r>
      <w:r>
        <w:rPr>
          <w:rFonts w:hint="eastAsia"/>
          <w:sz w:val="21"/>
          <w:szCs w:val="21"/>
        </w:rPr>
        <w:t>应收票据划分为若干组合，在组合基础上计算预期信用损失。确定组合的依据如下：</w:t>
      </w:r>
    </w:p>
    <w:tbl>
      <w:tblPr>
        <w:tblStyle w:val="10"/>
        <w:tblW w:w="4850" w:type="pct"/>
        <w:tblInd w:w="0" w:type="dxa"/>
        <w:tblLayout w:type="autofit"/>
        <w:tblCellMar>
          <w:top w:w="0" w:type="dxa"/>
          <w:left w:w="0" w:type="dxa"/>
          <w:bottom w:w="0" w:type="dxa"/>
          <w:right w:w="0" w:type="dxa"/>
        </w:tblCellMar>
      </w:tblPr>
      <w:tblGrid>
        <w:gridCol w:w="1242"/>
        <w:gridCol w:w="3261"/>
        <w:gridCol w:w="5054"/>
      </w:tblGrid>
      <w:tr w14:paraId="4C79E2B4">
        <w:tblPrEx>
          <w:tblCellMar>
            <w:top w:w="0" w:type="dxa"/>
            <w:left w:w="0" w:type="dxa"/>
            <w:bottom w:w="0" w:type="dxa"/>
            <w:right w:w="0" w:type="dxa"/>
          </w:tblCellMar>
        </w:tblPrEx>
        <w:trPr>
          <w:trHeight w:val="340" w:hRule="atLeast"/>
        </w:trPr>
        <w:tc>
          <w:tcPr>
            <w:tcW w:w="12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4556AF">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组合名称</w:t>
            </w:r>
          </w:p>
        </w:tc>
        <w:tc>
          <w:tcPr>
            <w:tcW w:w="32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FE5F076">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确定组合的依据</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68593D3">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计提方法</w:t>
            </w:r>
          </w:p>
        </w:tc>
      </w:tr>
      <w:tr w14:paraId="653618C5">
        <w:tblPrEx>
          <w:tblCellMar>
            <w:top w:w="0" w:type="dxa"/>
            <w:left w:w="0" w:type="dxa"/>
            <w:bottom w:w="0" w:type="dxa"/>
            <w:right w:w="0" w:type="dxa"/>
          </w:tblCellMar>
        </w:tblPrEx>
        <w:trPr>
          <w:trHeight w:val="238" w:hRule="atLeast"/>
        </w:trPr>
        <w:tc>
          <w:tcPr>
            <w:tcW w:w="12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7455A0">
            <w:pPr>
              <w:pStyle w:val="9"/>
              <w:spacing w:before="0" w:beforeAutospacing="0" w:after="0" w:afterAutospacing="0"/>
              <w:jc w:val="both"/>
              <w:rPr>
                <w:rFonts w:ascii="Times New Roman" w:hAnsi="Times New Roman" w:cs="Times New Roman"/>
                <w:sz w:val="21"/>
                <w:szCs w:val="21"/>
              </w:rPr>
            </w:pPr>
            <w:r>
              <w:rPr>
                <w:rFonts w:hint="eastAsia" w:cs="Times New Roman"/>
                <w:sz w:val="18"/>
                <w:szCs w:val="18"/>
              </w:rPr>
              <w:t>银行承兑汇票组合</w:t>
            </w:r>
          </w:p>
        </w:tc>
        <w:tc>
          <w:tcPr>
            <w:tcW w:w="32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9F023F9">
            <w:pPr>
              <w:pStyle w:val="9"/>
              <w:spacing w:before="0" w:beforeAutospacing="0" w:after="0" w:afterAutospacing="0"/>
              <w:jc w:val="both"/>
              <w:rPr>
                <w:rFonts w:ascii="Times New Roman" w:hAnsi="Times New Roman" w:cs="Times New Roman"/>
                <w:sz w:val="21"/>
                <w:szCs w:val="21"/>
              </w:rPr>
            </w:pPr>
            <w:r>
              <w:rPr>
                <w:rFonts w:hint="eastAsia" w:cs="Times New Roman"/>
                <w:sz w:val="18"/>
                <w:szCs w:val="18"/>
              </w:rPr>
              <w:t>出票人具有较高的信用评级，历史上未发生票据违约，信用损失风险极低，在短期内履行其支付合同现金流量义务的能力很强</w:t>
            </w:r>
          </w:p>
        </w:tc>
        <w:tc>
          <w:tcPr>
            <w:tcW w:w="5054" w:type="dxa"/>
            <w:tcBorders>
              <w:top w:val="nil"/>
              <w:left w:val="nil"/>
              <w:bottom w:val="single" w:color="auto" w:sz="8" w:space="0"/>
              <w:right w:val="single" w:color="auto" w:sz="8" w:space="0"/>
            </w:tcBorders>
            <w:tcMar>
              <w:top w:w="0" w:type="dxa"/>
              <w:left w:w="108" w:type="dxa"/>
              <w:bottom w:w="0" w:type="dxa"/>
              <w:right w:w="108" w:type="dxa"/>
            </w:tcMar>
            <w:vAlign w:val="center"/>
          </w:tcPr>
          <w:p w14:paraId="2FF1C677">
            <w:pPr>
              <w:pStyle w:val="9"/>
              <w:spacing w:before="0" w:beforeAutospacing="0" w:after="0" w:afterAutospacing="0"/>
              <w:jc w:val="both"/>
              <w:rPr>
                <w:rFonts w:ascii="Times New Roman" w:hAnsi="Times New Roman" w:cs="Times New Roman"/>
                <w:sz w:val="21"/>
                <w:szCs w:val="21"/>
              </w:rPr>
            </w:pPr>
            <w:r>
              <w:rPr>
                <w:rFonts w:hint="eastAsia" w:cs="Times New Roman"/>
                <w:sz w:val="21"/>
                <w:szCs w:val="21"/>
              </w:rPr>
              <w:t>参考历史信用损失经验，结合当前状况以及对未来经济状况的预测，通过违约风险敞口和整个存续期预期信用损失率，计算预期信用损失</w:t>
            </w:r>
          </w:p>
        </w:tc>
      </w:tr>
      <w:tr w14:paraId="18549086">
        <w:tblPrEx>
          <w:tblCellMar>
            <w:top w:w="0" w:type="dxa"/>
            <w:left w:w="0" w:type="dxa"/>
            <w:bottom w:w="0" w:type="dxa"/>
            <w:right w:w="0" w:type="dxa"/>
          </w:tblCellMar>
        </w:tblPrEx>
        <w:trPr>
          <w:trHeight w:val="340" w:hRule="atLeast"/>
        </w:trPr>
        <w:tc>
          <w:tcPr>
            <w:tcW w:w="12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4BC3E5">
            <w:pPr>
              <w:pStyle w:val="9"/>
              <w:spacing w:before="0" w:beforeAutospacing="0" w:after="0" w:afterAutospacing="0"/>
              <w:jc w:val="both"/>
              <w:rPr>
                <w:rFonts w:ascii="Times New Roman" w:hAnsi="Times New Roman" w:cs="Times New Roman"/>
                <w:sz w:val="21"/>
                <w:szCs w:val="21"/>
              </w:rPr>
            </w:pPr>
            <w:r>
              <w:rPr>
                <w:rFonts w:hint="eastAsia" w:cs="Times New Roman"/>
                <w:sz w:val="18"/>
                <w:szCs w:val="18"/>
              </w:rPr>
              <w:t>商业承兑汇票组合</w:t>
            </w:r>
          </w:p>
        </w:tc>
        <w:tc>
          <w:tcPr>
            <w:tcW w:w="32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06C0FCA">
            <w:pPr>
              <w:pStyle w:val="9"/>
              <w:spacing w:before="0" w:beforeAutospacing="0" w:after="0" w:afterAutospacing="0"/>
              <w:jc w:val="both"/>
              <w:rPr>
                <w:rFonts w:ascii="Times New Roman" w:hAnsi="Times New Roman" w:cs="Times New Roman"/>
                <w:sz w:val="21"/>
                <w:szCs w:val="21"/>
              </w:rPr>
            </w:pPr>
            <w:r>
              <w:rPr>
                <w:rFonts w:hint="eastAsia" w:cs="Times New Roman"/>
                <w:sz w:val="18"/>
                <w:szCs w:val="18"/>
              </w:rPr>
              <w:t>在以前年度实际损失率、对未来回收应收票据风险的判断及信用风险特征分析</w:t>
            </w:r>
          </w:p>
        </w:tc>
        <w:tc>
          <w:tcPr>
            <w:tcW w:w="50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AD0EA4C">
            <w:pPr>
              <w:pStyle w:val="9"/>
              <w:spacing w:before="0" w:beforeAutospacing="0" w:after="0" w:afterAutospacing="0"/>
              <w:jc w:val="both"/>
              <w:rPr>
                <w:rFonts w:ascii="Times New Roman" w:hAnsi="Times New Roman" w:cs="Times New Roman"/>
                <w:sz w:val="21"/>
                <w:szCs w:val="21"/>
              </w:rPr>
            </w:pPr>
            <w:r>
              <w:rPr>
                <w:rFonts w:hint="eastAsia" w:cs="Times New Roman"/>
                <w:sz w:val="21"/>
                <w:szCs w:val="21"/>
              </w:rPr>
              <w:t>本公司利用账龄来评估该类组合的预期信用损失。该类组合具有相同的风险特征，账龄信息能反映这类组合与应收款项到期时的偿付能力。于资产负债表日，本公司参考历史信用损失经验，结合当前状况以及对未来经济状况的预测，编制应收票据账龄与预期信用损失率对照表，计算预期信用损失。</w:t>
            </w:r>
          </w:p>
        </w:tc>
      </w:tr>
    </w:tbl>
    <w:p w14:paraId="3E4C470A">
      <w:pPr>
        <w:pStyle w:val="9"/>
        <w:spacing w:before="0" w:beforeAutospacing="0" w:after="0" w:afterAutospacing="0" w:line="360" w:lineRule="auto"/>
        <w:ind w:firstLine="420"/>
        <w:jc w:val="both"/>
        <w:rPr>
          <w:sz w:val="21"/>
          <w:szCs w:val="21"/>
        </w:rPr>
      </w:pPr>
      <w:bookmarkStart w:id="188" w:name="_Hlk216687977"/>
      <w:bookmarkEnd w:id="188"/>
      <w:r>
        <w:rPr>
          <w:rFonts w:hint="eastAsia"/>
          <w:sz w:val="21"/>
          <w:szCs w:val="21"/>
        </w:rPr>
        <w:t>账龄组合的账龄与预期信用损失率对照表如下：</w:t>
      </w:r>
    </w:p>
    <w:tbl>
      <w:tblPr>
        <w:tblStyle w:val="10"/>
        <w:tblW w:w="4850" w:type="pct"/>
        <w:tblInd w:w="0" w:type="dxa"/>
        <w:tblLayout w:type="autofit"/>
        <w:tblCellMar>
          <w:top w:w="0" w:type="dxa"/>
          <w:left w:w="0" w:type="dxa"/>
          <w:bottom w:w="0" w:type="dxa"/>
          <w:right w:w="0" w:type="dxa"/>
        </w:tblCellMar>
      </w:tblPr>
      <w:tblGrid>
        <w:gridCol w:w="4778"/>
        <w:gridCol w:w="4779"/>
      </w:tblGrid>
      <w:tr w14:paraId="2201B5F7">
        <w:tblPrEx>
          <w:tblCellMar>
            <w:top w:w="0" w:type="dxa"/>
            <w:left w:w="0" w:type="dxa"/>
            <w:bottom w:w="0" w:type="dxa"/>
            <w:right w:w="0" w:type="dxa"/>
          </w:tblCellMar>
        </w:tblPrEx>
        <w:trPr>
          <w:trHeight w:val="340" w:hRule="atLeast"/>
        </w:trPr>
        <w:tc>
          <w:tcPr>
            <w:tcW w:w="41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F9D15D">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账龄</w:t>
            </w:r>
          </w:p>
        </w:tc>
        <w:tc>
          <w:tcPr>
            <w:tcW w:w="415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73828E">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应收票据预期信用损失率（</w:t>
            </w:r>
            <w:r>
              <w:rPr>
                <w:rFonts w:ascii="Arial" w:hAnsi="Arial" w:cs="Arial"/>
                <w:sz w:val="18"/>
                <w:szCs w:val="18"/>
              </w:rPr>
              <w:t>%</w:t>
            </w:r>
            <w:r>
              <w:rPr>
                <w:rFonts w:hint="eastAsia" w:cs="Times New Roman"/>
                <w:sz w:val="18"/>
                <w:szCs w:val="18"/>
              </w:rPr>
              <w:t>）</w:t>
            </w:r>
          </w:p>
        </w:tc>
      </w:tr>
      <w:tr w14:paraId="18D70C06">
        <w:tblPrEx>
          <w:tblCellMar>
            <w:top w:w="0" w:type="dxa"/>
            <w:left w:w="0" w:type="dxa"/>
            <w:bottom w:w="0" w:type="dxa"/>
            <w:right w:w="0" w:type="dxa"/>
          </w:tblCellMar>
        </w:tblPrEx>
        <w:trPr>
          <w:trHeight w:val="340" w:hRule="atLeast"/>
        </w:trPr>
        <w:tc>
          <w:tcPr>
            <w:tcW w:w="415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CBEEF5">
            <w:pPr>
              <w:pStyle w:val="9"/>
              <w:spacing w:before="0" w:beforeAutospacing="0" w:after="0" w:afterAutospacing="0"/>
              <w:rPr>
                <w:rFonts w:ascii="Times New Roman" w:hAnsi="Times New Roman" w:cs="Times New Roman"/>
                <w:sz w:val="21"/>
                <w:szCs w:val="21"/>
              </w:rPr>
            </w:pPr>
            <w:r>
              <w:rPr>
                <w:rFonts w:ascii="Arial" w:hAnsi="Arial" w:cs="Arial"/>
                <w:sz w:val="18"/>
                <w:szCs w:val="18"/>
              </w:rPr>
              <w:t>1</w:t>
            </w:r>
            <w:r>
              <w:rPr>
                <w:rFonts w:hint="eastAsia" w:cs="Times New Roman"/>
                <w:sz w:val="18"/>
                <w:szCs w:val="18"/>
              </w:rPr>
              <w:t>年以内</w:t>
            </w:r>
          </w:p>
        </w:tc>
        <w:tc>
          <w:tcPr>
            <w:tcW w:w="4156" w:type="dxa"/>
            <w:tcBorders>
              <w:top w:val="nil"/>
              <w:left w:val="nil"/>
              <w:bottom w:val="single" w:color="auto" w:sz="8" w:space="0"/>
              <w:right w:val="single" w:color="auto" w:sz="8" w:space="0"/>
            </w:tcBorders>
            <w:tcMar>
              <w:top w:w="0" w:type="dxa"/>
              <w:left w:w="108" w:type="dxa"/>
              <w:bottom w:w="0" w:type="dxa"/>
              <w:right w:w="108" w:type="dxa"/>
            </w:tcMar>
            <w:vAlign w:val="bottom"/>
          </w:tcPr>
          <w:p w14:paraId="4F75FC2F">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5.00</w:t>
            </w:r>
          </w:p>
        </w:tc>
      </w:tr>
      <w:tr w14:paraId="1ED96C72">
        <w:tblPrEx>
          <w:tblCellMar>
            <w:top w:w="0" w:type="dxa"/>
            <w:left w:w="0" w:type="dxa"/>
            <w:bottom w:w="0" w:type="dxa"/>
            <w:right w:w="0" w:type="dxa"/>
          </w:tblCellMar>
        </w:tblPrEx>
        <w:trPr>
          <w:trHeight w:val="340" w:hRule="atLeast"/>
        </w:trPr>
        <w:tc>
          <w:tcPr>
            <w:tcW w:w="415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42750F">
            <w:pPr>
              <w:pStyle w:val="9"/>
              <w:spacing w:before="0" w:beforeAutospacing="0" w:after="0" w:afterAutospacing="0"/>
              <w:rPr>
                <w:rFonts w:ascii="Times New Roman" w:hAnsi="Times New Roman" w:cs="Times New Roman"/>
                <w:sz w:val="21"/>
                <w:szCs w:val="21"/>
              </w:rPr>
            </w:pPr>
            <w:r>
              <w:rPr>
                <w:rFonts w:ascii="Arial" w:hAnsi="Arial" w:cs="Arial"/>
                <w:sz w:val="18"/>
                <w:szCs w:val="18"/>
              </w:rPr>
              <w:t>1</w:t>
            </w:r>
            <w:r>
              <w:rPr>
                <w:rFonts w:hint="eastAsia" w:cs="Times New Roman"/>
                <w:sz w:val="18"/>
                <w:szCs w:val="18"/>
              </w:rPr>
              <w:t>－</w:t>
            </w:r>
            <w:r>
              <w:rPr>
                <w:rFonts w:ascii="Arial" w:hAnsi="Arial" w:cs="Arial"/>
                <w:sz w:val="18"/>
                <w:szCs w:val="18"/>
              </w:rPr>
              <w:t>2</w:t>
            </w:r>
            <w:r>
              <w:rPr>
                <w:rFonts w:hint="eastAsia" w:cs="Times New Roman"/>
                <w:sz w:val="18"/>
                <w:szCs w:val="18"/>
              </w:rPr>
              <w:t>年</w:t>
            </w:r>
          </w:p>
        </w:tc>
        <w:tc>
          <w:tcPr>
            <w:tcW w:w="4156" w:type="dxa"/>
            <w:tcBorders>
              <w:top w:val="nil"/>
              <w:left w:val="nil"/>
              <w:bottom w:val="single" w:color="auto" w:sz="8" w:space="0"/>
              <w:right w:val="single" w:color="auto" w:sz="8" w:space="0"/>
            </w:tcBorders>
            <w:tcMar>
              <w:top w:w="0" w:type="dxa"/>
              <w:left w:w="108" w:type="dxa"/>
              <w:bottom w:w="0" w:type="dxa"/>
              <w:right w:w="108" w:type="dxa"/>
            </w:tcMar>
            <w:vAlign w:val="bottom"/>
          </w:tcPr>
          <w:p w14:paraId="6844F4FA">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10.00</w:t>
            </w:r>
          </w:p>
        </w:tc>
      </w:tr>
      <w:tr w14:paraId="660FCBA4">
        <w:tblPrEx>
          <w:tblCellMar>
            <w:top w:w="0" w:type="dxa"/>
            <w:left w:w="0" w:type="dxa"/>
            <w:bottom w:w="0" w:type="dxa"/>
            <w:right w:w="0" w:type="dxa"/>
          </w:tblCellMar>
        </w:tblPrEx>
        <w:trPr>
          <w:trHeight w:val="340" w:hRule="atLeast"/>
        </w:trPr>
        <w:tc>
          <w:tcPr>
            <w:tcW w:w="415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A74FEF">
            <w:pPr>
              <w:pStyle w:val="9"/>
              <w:spacing w:before="0" w:beforeAutospacing="0" w:after="0" w:afterAutospacing="0"/>
              <w:rPr>
                <w:rFonts w:ascii="Times New Roman" w:hAnsi="Times New Roman" w:cs="Times New Roman"/>
                <w:sz w:val="21"/>
                <w:szCs w:val="21"/>
              </w:rPr>
            </w:pPr>
            <w:r>
              <w:rPr>
                <w:rFonts w:ascii="Arial" w:hAnsi="Arial" w:cs="Arial"/>
                <w:sz w:val="18"/>
                <w:szCs w:val="18"/>
              </w:rPr>
              <w:t>2</w:t>
            </w:r>
            <w:r>
              <w:rPr>
                <w:rFonts w:hint="eastAsia" w:cs="Times New Roman"/>
                <w:sz w:val="18"/>
                <w:szCs w:val="18"/>
              </w:rPr>
              <w:t>－</w:t>
            </w:r>
            <w:r>
              <w:rPr>
                <w:rFonts w:ascii="Arial" w:hAnsi="Arial" w:cs="Arial"/>
                <w:sz w:val="18"/>
                <w:szCs w:val="18"/>
              </w:rPr>
              <w:t>3</w:t>
            </w:r>
            <w:r>
              <w:rPr>
                <w:rFonts w:hint="eastAsia" w:cs="Times New Roman"/>
                <w:sz w:val="18"/>
                <w:szCs w:val="18"/>
              </w:rPr>
              <w:t>年</w:t>
            </w:r>
          </w:p>
        </w:tc>
        <w:tc>
          <w:tcPr>
            <w:tcW w:w="4156" w:type="dxa"/>
            <w:tcBorders>
              <w:top w:val="nil"/>
              <w:left w:val="nil"/>
              <w:bottom w:val="single" w:color="auto" w:sz="8" w:space="0"/>
              <w:right w:val="single" w:color="auto" w:sz="8" w:space="0"/>
            </w:tcBorders>
            <w:tcMar>
              <w:top w:w="0" w:type="dxa"/>
              <w:left w:w="108" w:type="dxa"/>
              <w:bottom w:w="0" w:type="dxa"/>
              <w:right w:w="108" w:type="dxa"/>
            </w:tcMar>
            <w:vAlign w:val="bottom"/>
          </w:tcPr>
          <w:p w14:paraId="53ECF87A">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20.00</w:t>
            </w:r>
          </w:p>
        </w:tc>
      </w:tr>
      <w:tr w14:paraId="5EAF0B23">
        <w:tblPrEx>
          <w:tblCellMar>
            <w:top w:w="0" w:type="dxa"/>
            <w:left w:w="0" w:type="dxa"/>
            <w:bottom w:w="0" w:type="dxa"/>
            <w:right w:w="0" w:type="dxa"/>
          </w:tblCellMar>
        </w:tblPrEx>
        <w:trPr>
          <w:trHeight w:val="340" w:hRule="atLeast"/>
        </w:trPr>
        <w:tc>
          <w:tcPr>
            <w:tcW w:w="415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B1255D">
            <w:pPr>
              <w:pStyle w:val="9"/>
              <w:spacing w:before="0" w:beforeAutospacing="0" w:after="0" w:afterAutospacing="0"/>
              <w:rPr>
                <w:rFonts w:ascii="Times New Roman" w:hAnsi="Times New Roman" w:cs="Times New Roman"/>
                <w:sz w:val="21"/>
                <w:szCs w:val="21"/>
              </w:rPr>
            </w:pPr>
            <w:r>
              <w:rPr>
                <w:rFonts w:ascii="Arial" w:hAnsi="Arial" w:cs="Arial"/>
                <w:sz w:val="18"/>
                <w:szCs w:val="18"/>
              </w:rPr>
              <w:t>3</w:t>
            </w:r>
            <w:r>
              <w:rPr>
                <w:rFonts w:hint="eastAsia" w:cs="Times New Roman"/>
                <w:sz w:val="18"/>
                <w:szCs w:val="18"/>
              </w:rPr>
              <w:t>－</w:t>
            </w:r>
            <w:r>
              <w:rPr>
                <w:rFonts w:ascii="Arial" w:hAnsi="Arial" w:cs="Arial"/>
                <w:sz w:val="18"/>
                <w:szCs w:val="18"/>
              </w:rPr>
              <w:t>4</w:t>
            </w:r>
            <w:r>
              <w:rPr>
                <w:rFonts w:hint="eastAsia" w:cs="Times New Roman"/>
                <w:sz w:val="18"/>
                <w:szCs w:val="18"/>
              </w:rPr>
              <w:t>年</w:t>
            </w:r>
          </w:p>
        </w:tc>
        <w:tc>
          <w:tcPr>
            <w:tcW w:w="4156" w:type="dxa"/>
            <w:tcBorders>
              <w:top w:val="nil"/>
              <w:left w:val="nil"/>
              <w:bottom w:val="single" w:color="auto" w:sz="8" w:space="0"/>
              <w:right w:val="single" w:color="auto" w:sz="8" w:space="0"/>
            </w:tcBorders>
            <w:tcMar>
              <w:top w:w="0" w:type="dxa"/>
              <w:left w:w="108" w:type="dxa"/>
              <w:bottom w:w="0" w:type="dxa"/>
              <w:right w:w="108" w:type="dxa"/>
            </w:tcMar>
            <w:vAlign w:val="bottom"/>
          </w:tcPr>
          <w:p w14:paraId="0CEDB060">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50.00</w:t>
            </w:r>
          </w:p>
        </w:tc>
      </w:tr>
      <w:tr w14:paraId="2ED5B4E0">
        <w:tblPrEx>
          <w:tblCellMar>
            <w:top w:w="0" w:type="dxa"/>
            <w:left w:w="0" w:type="dxa"/>
            <w:bottom w:w="0" w:type="dxa"/>
            <w:right w:w="0" w:type="dxa"/>
          </w:tblCellMar>
        </w:tblPrEx>
        <w:trPr>
          <w:trHeight w:val="340" w:hRule="atLeast"/>
        </w:trPr>
        <w:tc>
          <w:tcPr>
            <w:tcW w:w="415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99D6D1">
            <w:pPr>
              <w:pStyle w:val="9"/>
              <w:spacing w:before="0" w:beforeAutospacing="0" w:after="0" w:afterAutospacing="0"/>
              <w:rPr>
                <w:rFonts w:ascii="Times New Roman" w:hAnsi="Times New Roman" w:cs="Times New Roman"/>
                <w:sz w:val="21"/>
                <w:szCs w:val="21"/>
              </w:rPr>
            </w:pPr>
            <w:r>
              <w:rPr>
                <w:rFonts w:ascii="Arial" w:hAnsi="Arial" w:cs="Arial"/>
                <w:sz w:val="18"/>
                <w:szCs w:val="18"/>
              </w:rPr>
              <w:t>4</w:t>
            </w:r>
            <w:r>
              <w:rPr>
                <w:rFonts w:hint="eastAsia" w:cs="Times New Roman"/>
                <w:sz w:val="18"/>
                <w:szCs w:val="18"/>
              </w:rPr>
              <w:t>－</w:t>
            </w:r>
            <w:r>
              <w:rPr>
                <w:rFonts w:ascii="Arial" w:hAnsi="Arial" w:cs="Arial"/>
                <w:sz w:val="18"/>
                <w:szCs w:val="18"/>
              </w:rPr>
              <w:t>5</w:t>
            </w:r>
            <w:r>
              <w:rPr>
                <w:rFonts w:hint="eastAsia" w:cs="Times New Roman"/>
                <w:sz w:val="18"/>
                <w:szCs w:val="18"/>
              </w:rPr>
              <w:t>年</w:t>
            </w:r>
          </w:p>
        </w:tc>
        <w:tc>
          <w:tcPr>
            <w:tcW w:w="4156" w:type="dxa"/>
            <w:tcBorders>
              <w:top w:val="nil"/>
              <w:left w:val="nil"/>
              <w:bottom w:val="single" w:color="auto" w:sz="8" w:space="0"/>
              <w:right w:val="single" w:color="auto" w:sz="8" w:space="0"/>
            </w:tcBorders>
            <w:tcMar>
              <w:top w:w="0" w:type="dxa"/>
              <w:left w:w="108" w:type="dxa"/>
              <w:bottom w:w="0" w:type="dxa"/>
              <w:right w:w="108" w:type="dxa"/>
            </w:tcMar>
            <w:vAlign w:val="bottom"/>
          </w:tcPr>
          <w:p w14:paraId="107DBFA2">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80.00</w:t>
            </w:r>
          </w:p>
        </w:tc>
      </w:tr>
      <w:tr w14:paraId="53425847">
        <w:tblPrEx>
          <w:tblCellMar>
            <w:top w:w="0" w:type="dxa"/>
            <w:left w:w="0" w:type="dxa"/>
            <w:bottom w:w="0" w:type="dxa"/>
            <w:right w:w="0" w:type="dxa"/>
          </w:tblCellMar>
        </w:tblPrEx>
        <w:trPr>
          <w:trHeight w:val="340" w:hRule="atLeast"/>
        </w:trPr>
        <w:tc>
          <w:tcPr>
            <w:tcW w:w="415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4F2C9C">
            <w:pPr>
              <w:pStyle w:val="9"/>
              <w:spacing w:before="0" w:beforeAutospacing="0" w:after="0" w:afterAutospacing="0"/>
              <w:rPr>
                <w:rFonts w:ascii="Times New Roman" w:hAnsi="Times New Roman" w:cs="Times New Roman"/>
                <w:sz w:val="21"/>
                <w:szCs w:val="21"/>
              </w:rPr>
            </w:pPr>
            <w:r>
              <w:rPr>
                <w:rFonts w:ascii="Arial" w:hAnsi="Arial" w:cs="Arial"/>
                <w:sz w:val="18"/>
                <w:szCs w:val="18"/>
              </w:rPr>
              <w:t>5</w:t>
            </w:r>
            <w:r>
              <w:rPr>
                <w:rFonts w:hint="eastAsia" w:cs="Times New Roman"/>
                <w:sz w:val="18"/>
                <w:szCs w:val="18"/>
              </w:rPr>
              <w:t>年以上</w:t>
            </w:r>
          </w:p>
        </w:tc>
        <w:tc>
          <w:tcPr>
            <w:tcW w:w="4156" w:type="dxa"/>
            <w:tcBorders>
              <w:top w:val="nil"/>
              <w:left w:val="nil"/>
              <w:bottom w:val="single" w:color="auto" w:sz="8" w:space="0"/>
              <w:right w:val="single" w:color="auto" w:sz="8" w:space="0"/>
            </w:tcBorders>
            <w:tcMar>
              <w:top w:w="0" w:type="dxa"/>
              <w:left w:w="108" w:type="dxa"/>
              <w:bottom w:w="0" w:type="dxa"/>
              <w:right w:w="108" w:type="dxa"/>
            </w:tcMar>
            <w:vAlign w:val="bottom"/>
          </w:tcPr>
          <w:p w14:paraId="5FAADD86">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100.00</w:t>
            </w:r>
          </w:p>
        </w:tc>
      </w:tr>
    </w:tbl>
    <w:p w14:paraId="35A3CDE7">
      <w:pPr>
        <w:pStyle w:val="9"/>
        <w:spacing w:before="0" w:beforeAutospacing="0" w:after="0" w:afterAutospacing="0" w:line="360" w:lineRule="auto"/>
        <w:ind w:firstLine="420"/>
        <w:jc w:val="both"/>
        <w:rPr>
          <w:sz w:val="21"/>
          <w:szCs w:val="21"/>
        </w:rPr>
      </w:pPr>
      <w:r>
        <w:rPr>
          <w:rFonts w:hint="eastAsia"/>
          <w:sz w:val="21"/>
          <w:szCs w:val="21"/>
        </w:rPr>
        <w:t>应收票据账龄按自款项实际发生的月份起算。</w:t>
      </w:r>
    </w:p>
    <w:p w14:paraId="6C100E5C">
      <w:pPr>
        <w:pStyle w:val="3"/>
        <w:spacing w:line="280" w:lineRule="exact"/>
        <w:jc w:val="left"/>
        <w:rPr>
          <w:rFonts w:ascii="宋体" w:hAnsi="宋体" w:cs="宋体"/>
          <w:b/>
          <w:bCs/>
        </w:rPr>
      </w:pPr>
      <w:bookmarkStart w:id="189" w:name="_Toc989072"/>
      <w:r>
        <w:rPr>
          <w:rFonts w:ascii="宋体" w:hAnsi="宋体" w:cs="宋体"/>
          <w:b/>
          <w:bCs/>
        </w:rPr>
        <w:t>13、应收账款</w:t>
      </w:r>
      <w:bookmarkEnd w:id="189"/>
    </w:p>
    <w:p w14:paraId="2C9D4786">
      <w:pPr>
        <w:pStyle w:val="9"/>
        <w:spacing w:before="0" w:beforeAutospacing="0" w:after="0" w:afterAutospacing="0" w:line="360" w:lineRule="auto"/>
        <w:ind w:firstLine="420"/>
        <w:jc w:val="both"/>
        <w:rPr>
          <w:sz w:val="21"/>
          <w:szCs w:val="21"/>
        </w:rPr>
      </w:pPr>
      <w:r>
        <w:rPr>
          <w:rFonts w:hint="eastAsia"/>
          <w:sz w:val="21"/>
          <w:szCs w:val="21"/>
        </w:rPr>
        <w:t>本公司对应收账款的预期信用损失的确定方法及会计处理方法详见11</w:t>
      </w:r>
      <w:r>
        <w:rPr>
          <w:rFonts w:ascii="Arial" w:hAnsi="Arial" w:cs="Arial"/>
          <w:sz w:val="21"/>
          <w:szCs w:val="21"/>
        </w:rPr>
        <w:t>.</w:t>
      </w:r>
      <w:r>
        <w:rPr>
          <w:rFonts w:hint="eastAsia"/>
          <w:sz w:val="21"/>
          <w:szCs w:val="21"/>
        </w:rPr>
        <w:t>金融工具减值。</w:t>
      </w:r>
    </w:p>
    <w:p w14:paraId="48A3416D">
      <w:pPr>
        <w:pStyle w:val="9"/>
        <w:spacing w:before="0" w:beforeAutospacing="0" w:after="0" w:afterAutospacing="0" w:line="360" w:lineRule="auto"/>
        <w:ind w:firstLine="420"/>
        <w:jc w:val="both"/>
        <w:rPr>
          <w:sz w:val="21"/>
          <w:szCs w:val="21"/>
        </w:rPr>
      </w:pPr>
      <w:r>
        <w:rPr>
          <w:rFonts w:hint="eastAsia"/>
          <w:sz w:val="21"/>
          <w:szCs w:val="21"/>
        </w:rPr>
        <w:t>对信用风险与组合信用风险显著不同的应收账款，本公司按单项计提预期信用损失。本公司对单项金额重大且在初始确认后已经发生信用减值的应收账款单独确定其信用损失。</w:t>
      </w:r>
    </w:p>
    <w:p w14:paraId="5EBE03CF">
      <w:pPr>
        <w:pStyle w:val="9"/>
        <w:spacing w:before="0" w:beforeAutospacing="0" w:after="0" w:afterAutospacing="0" w:line="360" w:lineRule="auto"/>
        <w:ind w:firstLine="420"/>
        <w:jc w:val="both"/>
        <w:rPr>
          <w:sz w:val="21"/>
          <w:szCs w:val="21"/>
        </w:rPr>
      </w:pPr>
      <w:r>
        <w:rPr>
          <w:rFonts w:hint="eastAsia"/>
          <w:sz w:val="21"/>
          <w:szCs w:val="21"/>
        </w:rPr>
        <w:t>当在单项工具层面无法以合理成本评估预期信用损失的充分证据时，本公司参考历史信用损失经验，结合当前状况以及对未来经济状况的判断，依据信用风险特征将应收账款划分为若干组合，在组合基础上计算预期信用损失。确定组合的依据如下：</w:t>
      </w:r>
    </w:p>
    <w:tbl>
      <w:tblPr>
        <w:tblStyle w:val="10"/>
        <w:tblW w:w="5000" w:type="pct"/>
        <w:tblCaption w:val="D:\大华\华孚\2024年度\TB|0-合并TB-华孚时尚股份有限公司-2024年度.xlsx|W附注模板|_jds6|0|desc|||0|1"/>
        <w:tblInd w:w="0" w:type="dxa"/>
        <w:tblLayout w:type="autofit"/>
        <w:tblCellMar>
          <w:top w:w="0" w:type="dxa"/>
          <w:left w:w="0" w:type="dxa"/>
          <w:bottom w:w="0" w:type="dxa"/>
          <w:right w:w="0" w:type="dxa"/>
        </w:tblCellMar>
      </w:tblPr>
      <w:tblGrid>
        <w:gridCol w:w="1153"/>
        <w:gridCol w:w="3161"/>
        <w:gridCol w:w="5539"/>
      </w:tblGrid>
      <w:tr w14:paraId="6D1A3474">
        <w:tblPrEx>
          <w:tblCellMar>
            <w:top w:w="0" w:type="dxa"/>
            <w:left w:w="0" w:type="dxa"/>
            <w:bottom w:w="0" w:type="dxa"/>
            <w:right w:w="0" w:type="dxa"/>
          </w:tblCellMar>
        </w:tblPrEx>
        <w:trPr>
          <w:trHeight w:val="340" w:hRule="atLeast"/>
        </w:trPr>
        <w:tc>
          <w:tcPr>
            <w:tcW w:w="9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03BE3C">
            <w:pPr>
              <w:pStyle w:val="9"/>
              <w:spacing w:before="0" w:beforeAutospacing="0" w:after="0" w:afterAutospacing="0"/>
              <w:jc w:val="both"/>
              <w:rPr>
                <w:rFonts w:ascii="Times New Roman" w:hAnsi="Times New Roman" w:cs="Times New Roman"/>
                <w:sz w:val="21"/>
                <w:szCs w:val="21"/>
              </w:rPr>
            </w:pPr>
            <w:r>
              <w:rPr>
                <w:rFonts w:hint="eastAsia" w:cs="Times New Roman"/>
                <w:sz w:val="18"/>
                <w:szCs w:val="18"/>
              </w:rPr>
              <w:t>预期信用风险组合</w:t>
            </w:r>
          </w:p>
        </w:tc>
        <w:tc>
          <w:tcPr>
            <w:tcW w:w="27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68DB2A0">
            <w:pPr>
              <w:pStyle w:val="9"/>
              <w:spacing w:before="0" w:beforeAutospacing="0" w:after="0" w:afterAutospacing="0"/>
              <w:jc w:val="both"/>
              <w:rPr>
                <w:rFonts w:ascii="Times New Roman" w:hAnsi="Times New Roman" w:cs="Times New Roman"/>
                <w:sz w:val="21"/>
                <w:szCs w:val="21"/>
              </w:rPr>
            </w:pPr>
            <w:r>
              <w:rPr>
                <w:rFonts w:hint="eastAsia" w:cs="Times New Roman"/>
                <w:sz w:val="18"/>
                <w:szCs w:val="18"/>
              </w:rPr>
              <w:t>本组合以应收账款的账龄作为信用风险特征</w:t>
            </w:r>
          </w:p>
        </w:tc>
        <w:tc>
          <w:tcPr>
            <w:tcW w:w="47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BA3A24">
            <w:pPr>
              <w:pStyle w:val="9"/>
              <w:spacing w:before="0" w:beforeAutospacing="0" w:after="0" w:afterAutospacing="0"/>
              <w:jc w:val="both"/>
              <w:rPr>
                <w:rFonts w:ascii="Times New Roman" w:hAnsi="Times New Roman" w:cs="Times New Roman"/>
                <w:sz w:val="21"/>
                <w:szCs w:val="21"/>
              </w:rPr>
            </w:pPr>
            <w:r>
              <w:rPr>
                <w:rFonts w:hint="eastAsia" w:cs="Times New Roman"/>
                <w:sz w:val="21"/>
                <w:szCs w:val="21"/>
              </w:rPr>
              <w:t>本公司利用账龄来评估该类组合的预期信用损失。该类组合具有相同的风险特征，账龄信息能反映这类组合与应收款项到期时的偿付能力。于资产负债表日，本公司参考历史信用损失经验，结合当前状况以及对未来经济状况的预测，编制应收账款账龄与预期信用损失率对照表，计算预期信用损失。</w:t>
            </w:r>
          </w:p>
        </w:tc>
      </w:tr>
      <w:tr w14:paraId="6CB32A4E">
        <w:tblPrEx>
          <w:tblCellMar>
            <w:top w:w="0" w:type="dxa"/>
            <w:left w:w="0" w:type="dxa"/>
            <w:bottom w:w="0" w:type="dxa"/>
            <w:right w:w="0" w:type="dxa"/>
          </w:tblCellMar>
        </w:tblPrEx>
        <w:trPr>
          <w:trHeight w:val="340" w:hRule="atLeast"/>
        </w:trPr>
        <w:tc>
          <w:tcPr>
            <w:tcW w:w="9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BE7F836">
            <w:pPr>
              <w:pStyle w:val="9"/>
              <w:spacing w:before="0" w:beforeAutospacing="0" w:after="0" w:afterAutospacing="0"/>
              <w:jc w:val="both"/>
              <w:rPr>
                <w:rFonts w:ascii="Times New Roman" w:hAnsi="Times New Roman" w:cs="Times New Roman"/>
                <w:sz w:val="21"/>
                <w:szCs w:val="21"/>
              </w:rPr>
            </w:pPr>
            <w:r>
              <w:rPr>
                <w:rFonts w:hint="eastAsia" w:cs="Times New Roman"/>
                <w:sz w:val="18"/>
                <w:szCs w:val="18"/>
              </w:rPr>
              <w:t>预期信用风险组合</w:t>
            </w:r>
          </w:p>
        </w:tc>
        <w:tc>
          <w:tcPr>
            <w:tcW w:w="2736" w:type="dxa"/>
            <w:tcBorders>
              <w:top w:val="nil"/>
              <w:left w:val="nil"/>
              <w:bottom w:val="single" w:color="auto" w:sz="8" w:space="0"/>
              <w:right w:val="single" w:color="auto" w:sz="8" w:space="0"/>
            </w:tcBorders>
            <w:tcMar>
              <w:top w:w="0" w:type="dxa"/>
              <w:left w:w="108" w:type="dxa"/>
              <w:bottom w:w="0" w:type="dxa"/>
              <w:right w:w="108" w:type="dxa"/>
            </w:tcMar>
            <w:vAlign w:val="center"/>
          </w:tcPr>
          <w:p w14:paraId="5D06BA03">
            <w:pPr>
              <w:pStyle w:val="9"/>
              <w:spacing w:before="0" w:beforeAutospacing="0" w:after="0" w:afterAutospacing="0"/>
              <w:jc w:val="both"/>
              <w:rPr>
                <w:rFonts w:ascii="Times New Roman" w:hAnsi="Times New Roman" w:cs="Times New Roman"/>
                <w:sz w:val="21"/>
                <w:szCs w:val="21"/>
              </w:rPr>
            </w:pPr>
            <w:r>
              <w:rPr>
                <w:rFonts w:hint="eastAsia" w:cs="Times New Roman"/>
                <w:sz w:val="18"/>
                <w:szCs w:val="18"/>
              </w:rPr>
              <w:t>本组合以应收账款的账龄作为信用风险特征</w:t>
            </w:r>
          </w:p>
        </w:tc>
        <w:tc>
          <w:tcPr>
            <w:tcW w:w="47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90CF3A3">
            <w:pPr>
              <w:pStyle w:val="9"/>
              <w:spacing w:before="0" w:beforeAutospacing="0" w:after="0" w:afterAutospacing="0"/>
              <w:jc w:val="both"/>
              <w:rPr>
                <w:rFonts w:ascii="Times New Roman" w:hAnsi="Times New Roman" w:cs="Times New Roman"/>
                <w:sz w:val="21"/>
                <w:szCs w:val="21"/>
              </w:rPr>
            </w:pPr>
            <w:r>
              <w:rPr>
                <w:rFonts w:hint="eastAsia" w:cs="Times New Roman"/>
                <w:sz w:val="21"/>
                <w:szCs w:val="21"/>
              </w:rPr>
              <w:t>本公司利用账龄来评估该类组合的预期信用损失。该类组合具有相同的风险特征，账龄信息能反映这类组合与应收款项到期时的偿付能力。于资产负债表日，本公司参考历史信用损失经验，结合当前状况以及对未来经济状况的预测，编制应收账款账龄与预期信用损失率对照表，计算预期信用损失。</w:t>
            </w:r>
          </w:p>
        </w:tc>
      </w:tr>
      <w:tr w14:paraId="4FF7DCB0">
        <w:tblPrEx>
          <w:tblCellMar>
            <w:top w:w="0" w:type="dxa"/>
            <w:left w:w="0" w:type="dxa"/>
            <w:bottom w:w="0" w:type="dxa"/>
            <w:right w:w="0" w:type="dxa"/>
          </w:tblCellMar>
        </w:tblPrEx>
        <w:trPr>
          <w:trHeight w:val="340" w:hRule="atLeast"/>
        </w:trPr>
        <w:tc>
          <w:tcPr>
            <w:tcW w:w="99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2B4EE9">
            <w:pPr>
              <w:pStyle w:val="9"/>
              <w:spacing w:before="0" w:beforeAutospacing="0" w:after="0" w:afterAutospacing="0"/>
              <w:jc w:val="both"/>
              <w:rPr>
                <w:rFonts w:ascii="Times New Roman" w:hAnsi="Times New Roman" w:cs="Times New Roman"/>
                <w:sz w:val="21"/>
                <w:szCs w:val="21"/>
              </w:rPr>
            </w:pPr>
            <w:r>
              <w:rPr>
                <w:rFonts w:hint="eastAsia" w:cs="Times New Roman"/>
                <w:sz w:val="18"/>
                <w:szCs w:val="18"/>
              </w:rPr>
              <w:t>性质组合</w:t>
            </w:r>
          </w:p>
        </w:tc>
        <w:tc>
          <w:tcPr>
            <w:tcW w:w="2736" w:type="dxa"/>
            <w:tcBorders>
              <w:top w:val="nil"/>
              <w:left w:val="nil"/>
              <w:bottom w:val="single" w:color="auto" w:sz="8" w:space="0"/>
              <w:right w:val="single" w:color="auto" w:sz="8" w:space="0"/>
            </w:tcBorders>
            <w:tcMar>
              <w:top w:w="0" w:type="dxa"/>
              <w:left w:w="108" w:type="dxa"/>
              <w:bottom w:w="0" w:type="dxa"/>
              <w:right w:w="108" w:type="dxa"/>
            </w:tcMar>
            <w:vAlign w:val="center"/>
          </w:tcPr>
          <w:p w14:paraId="76B448BD">
            <w:pPr>
              <w:pStyle w:val="9"/>
              <w:spacing w:before="0" w:beforeAutospacing="0" w:after="0" w:afterAutospacing="0"/>
              <w:jc w:val="both"/>
              <w:rPr>
                <w:rFonts w:ascii="Times New Roman" w:hAnsi="Times New Roman" w:cs="Times New Roman"/>
                <w:sz w:val="21"/>
                <w:szCs w:val="21"/>
              </w:rPr>
            </w:pPr>
            <w:r>
              <w:rPr>
                <w:rFonts w:hint="eastAsia" w:cs="Times New Roman"/>
                <w:sz w:val="18"/>
                <w:szCs w:val="18"/>
              </w:rPr>
              <w:t>根据业务性质，认定无信用风险，主要包括合并范围内关联方的款项、信用证结算的销售货款</w:t>
            </w:r>
          </w:p>
        </w:tc>
        <w:tc>
          <w:tcPr>
            <w:tcW w:w="47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2914C48">
            <w:pPr>
              <w:pStyle w:val="9"/>
              <w:spacing w:before="0" w:beforeAutospacing="0" w:after="0" w:afterAutospacing="0"/>
              <w:jc w:val="both"/>
              <w:rPr>
                <w:rFonts w:ascii="Times New Roman" w:hAnsi="Times New Roman" w:cs="Times New Roman"/>
                <w:sz w:val="21"/>
                <w:szCs w:val="21"/>
              </w:rPr>
            </w:pPr>
            <w:r>
              <w:rPr>
                <w:rFonts w:hint="eastAsia" w:cs="Times New Roman"/>
                <w:sz w:val="21"/>
                <w:szCs w:val="21"/>
              </w:rPr>
              <w:t>参考历史信用损失经验，结合当前状况以及对未来经济状况的预测，通过违约风险敞口和整个存续期预期信用损失率，计算预期信用损失</w:t>
            </w:r>
          </w:p>
        </w:tc>
      </w:tr>
    </w:tbl>
    <w:p w14:paraId="54DDDA20">
      <w:pPr>
        <w:pStyle w:val="9"/>
        <w:spacing w:before="0" w:beforeAutospacing="0" w:after="0" w:afterAutospacing="0" w:line="360" w:lineRule="auto"/>
        <w:ind w:firstLine="420"/>
        <w:jc w:val="both"/>
        <w:rPr>
          <w:sz w:val="21"/>
          <w:szCs w:val="21"/>
        </w:rPr>
      </w:pPr>
      <w:r>
        <w:rPr>
          <w:rFonts w:hint="eastAsia"/>
          <w:sz w:val="21"/>
          <w:szCs w:val="21"/>
        </w:rPr>
        <w:t>账龄组合的账龄与预期信用损失率对照表如下：</w:t>
      </w:r>
    </w:p>
    <w:tbl>
      <w:tblPr>
        <w:tblStyle w:val="10"/>
        <w:tblW w:w="9889" w:type="dxa"/>
        <w:tblInd w:w="0" w:type="dxa"/>
        <w:tblLayout w:type="autofit"/>
        <w:tblCellMar>
          <w:top w:w="0" w:type="dxa"/>
          <w:left w:w="0" w:type="dxa"/>
          <w:bottom w:w="0" w:type="dxa"/>
          <w:right w:w="0" w:type="dxa"/>
        </w:tblCellMar>
      </w:tblPr>
      <w:tblGrid>
        <w:gridCol w:w="4361"/>
        <w:gridCol w:w="5528"/>
      </w:tblGrid>
      <w:tr w14:paraId="4B89C71F">
        <w:tblPrEx>
          <w:tblCellMar>
            <w:top w:w="0" w:type="dxa"/>
            <w:left w:w="0" w:type="dxa"/>
            <w:bottom w:w="0" w:type="dxa"/>
            <w:right w:w="0" w:type="dxa"/>
          </w:tblCellMar>
        </w:tblPrEx>
        <w:trPr>
          <w:trHeight w:val="340" w:hRule="atLeast"/>
        </w:trPr>
        <w:tc>
          <w:tcPr>
            <w:tcW w:w="43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160C46">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账龄</w:t>
            </w:r>
          </w:p>
        </w:tc>
        <w:tc>
          <w:tcPr>
            <w:tcW w:w="552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A06209">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应收账款预期信用损失率（</w:t>
            </w:r>
            <w:r>
              <w:rPr>
                <w:rFonts w:ascii="Arial" w:hAnsi="Arial" w:cs="Arial"/>
                <w:sz w:val="18"/>
                <w:szCs w:val="18"/>
              </w:rPr>
              <w:t>%</w:t>
            </w:r>
            <w:r>
              <w:rPr>
                <w:rFonts w:hint="eastAsia" w:cs="Times New Roman"/>
                <w:sz w:val="18"/>
                <w:szCs w:val="18"/>
              </w:rPr>
              <w:t>）</w:t>
            </w:r>
          </w:p>
        </w:tc>
      </w:tr>
      <w:tr w14:paraId="13994F5D">
        <w:tblPrEx>
          <w:tblCellMar>
            <w:top w:w="0" w:type="dxa"/>
            <w:left w:w="0" w:type="dxa"/>
            <w:bottom w:w="0" w:type="dxa"/>
            <w:right w:w="0" w:type="dxa"/>
          </w:tblCellMar>
        </w:tblPrEx>
        <w:trPr>
          <w:trHeight w:val="340" w:hRule="atLeast"/>
        </w:trPr>
        <w:tc>
          <w:tcPr>
            <w:tcW w:w="4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4E26CD9">
            <w:pPr>
              <w:pStyle w:val="9"/>
              <w:spacing w:before="0" w:beforeAutospacing="0" w:after="0" w:afterAutospacing="0"/>
              <w:rPr>
                <w:rFonts w:ascii="Times New Roman" w:hAnsi="Times New Roman" w:cs="Times New Roman"/>
                <w:sz w:val="21"/>
                <w:szCs w:val="21"/>
              </w:rPr>
            </w:pPr>
            <w:r>
              <w:rPr>
                <w:rFonts w:ascii="Arial" w:hAnsi="Arial" w:cs="Arial"/>
                <w:sz w:val="18"/>
                <w:szCs w:val="18"/>
              </w:rPr>
              <w:t>1</w:t>
            </w:r>
            <w:r>
              <w:rPr>
                <w:rFonts w:hint="eastAsia" w:cs="Times New Roman"/>
                <w:sz w:val="18"/>
                <w:szCs w:val="18"/>
              </w:rPr>
              <w:t>年以内</w:t>
            </w:r>
          </w:p>
        </w:tc>
        <w:tc>
          <w:tcPr>
            <w:tcW w:w="5528" w:type="dxa"/>
            <w:tcBorders>
              <w:top w:val="nil"/>
              <w:left w:val="nil"/>
              <w:bottom w:val="single" w:color="auto" w:sz="8" w:space="0"/>
              <w:right w:val="single" w:color="auto" w:sz="8" w:space="0"/>
            </w:tcBorders>
            <w:tcMar>
              <w:top w:w="0" w:type="dxa"/>
              <w:left w:w="108" w:type="dxa"/>
              <w:bottom w:w="0" w:type="dxa"/>
              <w:right w:w="108" w:type="dxa"/>
            </w:tcMar>
            <w:vAlign w:val="bottom"/>
          </w:tcPr>
          <w:p w14:paraId="2805B2FC">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5.00</w:t>
            </w:r>
          </w:p>
        </w:tc>
      </w:tr>
      <w:tr w14:paraId="753E6957">
        <w:tblPrEx>
          <w:tblCellMar>
            <w:top w:w="0" w:type="dxa"/>
            <w:left w:w="0" w:type="dxa"/>
            <w:bottom w:w="0" w:type="dxa"/>
            <w:right w:w="0" w:type="dxa"/>
          </w:tblCellMar>
        </w:tblPrEx>
        <w:trPr>
          <w:trHeight w:val="340" w:hRule="atLeast"/>
        </w:trPr>
        <w:tc>
          <w:tcPr>
            <w:tcW w:w="4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795E45">
            <w:pPr>
              <w:pStyle w:val="9"/>
              <w:spacing w:before="0" w:beforeAutospacing="0" w:after="0" w:afterAutospacing="0"/>
              <w:rPr>
                <w:rFonts w:ascii="Times New Roman" w:hAnsi="Times New Roman" w:cs="Times New Roman"/>
                <w:sz w:val="21"/>
                <w:szCs w:val="21"/>
              </w:rPr>
            </w:pPr>
            <w:r>
              <w:rPr>
                <w:rFonts w:ascii="Arial" w:hAnsi="Arial" w:cs="Arial"/>
                <w:sz w:val="18"/>
                <w:szCs w:val="18"/>
              </w:rPr>
              <w:t>1</w:t>
            </w:r>
            <w:r>
              <w:rPr>
                <w:rFonts w:hint="eastAsia" w:cs="Times New Roman"/>
                <w:sz w:val="18"/>
                <w:szCs w:val="18"/>
              </w:rPr>
              <w:t>－</w:t>
            </w:r>
            <w:r>
              <w:rPr>
                <w:rFonts w:ascii="Arial" w:hAnsi="Arial" w:cs="Arial"/>
                <w:sz w:val="18"/>
                <w:szCs w:val="18"/>
              </w:rPr>
              <w:t>2</w:t>
            </w:r>
            <w:r>
              <w:rPr>
                <w:rFonts w:hint="eastAsia" w:cs="Times New Roman"/>
                <w:sz w:val="18"/>
                <w:szCs w:val="18"/>
              </w:rPr>
              <w:t>年</w:t>
            </w:r>
          </w:p>
        </w:tc>
        <w:tc>
          <w:tcPr>
            <w:tcW w:w="5528" w:type="dxa"/>
            <w:tcBorders>
              <w:top w:val="nil"/>
              <w:left w:val="nil"/>
              <w:bottom w:val="single" w:color="auto" w:sz="8" w:space="0"/>
              <w:right w:val="single" w:color="auto" w:sz="8" w:space="0"/>
            </w:tcBorders>
            <w:tcMar>
              <w:top w:w="0" w:type="dxa"/>
              <w:left w:w="108" w:type="dxa"/>
              <w:bottom w:w="0" w:type="dxa"/>
              <w:right w:w="108" w:type="dxa"/>
            </w:tcMar>
            <w:vAlign w:val="bottom"/>
          </w:tcPr>
          <w:p w14:paraId="01DE9378">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10.00</w:t>
            </w:r>
          </w:p>
        </w:tc>
      </w:tr>
      <w:tr w14:paraId="30961468">
        <w:tblPrEx>
          <w:tblCellMar>
            <w:top w:w="0" w:type="dxa"/>
            <w:left w:w="0" w:type="dxa"/>
            <w:bottom w:w="0" w:type="dxa"/>
            <w:right w:w="0" w:type="dxa"/>
          </w:tblCellMar>
        </w:tblPrEx>
        <w:trPr>
          <w:trHeight w:val="340" w:hRule="atLeast"/>
        </w:trPr>
        <w:tc>
          <w:tcPr>
            <w:tcW w:w="4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E5C977">
            <w:pPr>
              <w:pStyle w:val="9"/>
              <w:spacing w:before="0" w:beforeAutospacing="0" w:after="0" w:afterAutospacing="0"/>
              <w:rPr>
                <w:rFonts w:ascii="Times New Roman" w:hAnsi="Times New Roman" w:cs="Times New Roman"/>
                <w:sz w:val="21"/>
                <w:szCs w:val="21"/>
              </w:rPr>
            </w:pPr>
            <w:r>
              <w:rPr>
                <w:rFonts w:ascii="Arial" w:hAnsi="Arial" w:cs="Arial"/>
                <w:sz w:val="18"/>
                <w:szCs w:val="18"/>
              </w:rPr>
              <w:t>2</w:t>
            </w:r>
            <w:r>
              <w:rPr>
                <w:rFonts w:hint="eastAsia" w:cs="Times New Roman"/>
                <w:sz w:val="18"/>
                <w:szCs w:val="18"/>
              </w:rPr>
              <w:t>－</w:t>
            </w:r>
            <w:r>
              <w:rPr>
                <w:rFonts w:ascii="Arial" w:hAnsi="Arial" w:cs="Arial"/>
                <w:sz w:val="18"/>
                <w:szCs w:val="18"/>
              </w:rPr>
              <w:t>3</w:t>
            </w:r>
            <w:r>
              <w:rPr>
                <w:rFonts w:hint="eastAsia" w:cs="Times New Roman"/>
                <w:sz w:val="18"/>
                <w:szCs w:val="18"/>
              </w:rPr>
              <w:t>年</w:t>
            </w:r>
          </w:p>
        </w:tc>
        <w:tc>
          <w:tcPr>
            <w:tcW w:w="5528" w:type="dxa"/>
            <w:tcBorders>
              <w:top w:val="nil"/>
              <w:left w:val="nil"/>
              <w:bottom w:val="single" w:color="auto" w:sz="8" w:space="0"/>
              <w:right w:val="single" w:color="auto" w:sz="8" w:space="0"/>
            </w:tcBorders>
            <w:tcMar>
              <w:top w:w="0" w:type="dxa"/>
              <w:left w:w="108" w:type="dxa"/>
              <w:bottom w:w="0" w:type="dxa"/>
              <w:right w:w="108" w:type="dxa"/>
            </w:tcMar>
            <w:vAlign w:val="bottom"/>
          </w:tcPr>
          <w:p w14:paraId="4FDEFEE1">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20.00</w:t>
            </w:r>
          </w:p>
        </w:tc>
      </w:tr>
      <w:tr w14:paraId="3A867C07">
        <w:tblPrEx>
          <w:tblCellMar>
            <w:top w:w="0" w:type="dxa"/>
            <w:left w:w="0" w:type="dxa"/>
            <w:bottom w:w="0" w:type="dxa"/>
            <w:right w:w="0" w:type="dxa"/>
          </w:tblCellMar>
        </w:tblPrEx>
        <w:trPr>
          <w:trHeight w:val="340" w:hRule="atLeast"/>
        </w:trPr>
        <w:tc>
          <w:tcPr>
            <w:tcW w:w="4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65545B">
            <w:pPr>
              <w:pStyle w:val="9"/>
              <w:spacing w:before="0" w:beforeAutospacing="0" w:after="0" w:afterAutospacing="0"/>
              <w:rPr>
                <w:rFonts w:ascii="Times New Roman" w:hAnsi="Times New Roman" w:cs="Times New Roman"/>
                <w:sz w:val="21"/>
                <w:szCs w:val="21"/>
              </w:rPr>
            </w:pPr>
            <w:r>
              <w:rPr>
                <w:rFonts w:ascii="Arial" w:hAnsi="Arial" w:cs="Arial"/>
                <w:sz w:val="18"/>
                <w:szCs w:val="18"/>
              </w:rPr>
              <w:t>3</w:t>
            </w:r>
            <w:r>
              <w:rPr>
                <w:rFonts w:hint="eastAsia" w:cs="Times New Roman"/>
                <w:sz w:val="18"/>
                <w:szCs w:val="18"/>
              </w:rPr>
              <w:t>－</w:t>
            </w:r>
            <w:r>
              <w:rPr>
                <w:rFonts w:ascii="Arial" w:hAnsi="Arial" w:cs="Arial"/>
                <w:sz w:val="18"/>
                <w:szCs w:val="18"/>
              </w:rPr>
              <w:t>4</w:t>
            </w:r>
            <w:r>
              <w:rPr>
                <w:rFonts w:hint="eastAsia" w:cs="Times New Roman"/>
                <w:sz w:val="18"/>
                <w:szCs w:val="18"/>
              </w:rPr>
              <w:t>年</w:t>
            </w:r>
          </w:p>
        </w:tc>
        <w:tc>
          <w:tcPr>
            <w:tcW w:w="5528" w:type="dxa"/>
            <w:tcBorders>
              <w:top w:val="nil"/>
              <w:left w:val="nil"/>
              <w:bottom w:val="single" w:color="auto" w:sz="8" w:space="0"/>
              <w:right w:val="single" w:color="auto" w:sz="8" w:space="0"/>
            </w:tcBorders>
            <w:tcMar>
              <w:top w:w="0" w:type="dxa"/>
              <w:left w:w="108" w:type="dxa"/>
              <w:bottom w:w="0" w:type="dxa"/>
              <w:right w:w="108" w:type="dxa"/>
            </w:tcMar>
            <w:vAlign w:val="bottom"/>
          </w:tcPr>
          <w:p w14:paraId="3B51FDCB">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50.00</w:t>
            </w:r>
          </w:p>
        </w:tc>
      </w:tr>
      <w:tr w14:paraId="2F99BDB3">
        <w:tblPrEx>
          <w:tblCellMar>
            <w:top w:w="0" w:type="dxa"/>
            <w:left w:w="0" w:type="dxa"/>
            <w:bottom w:w="0" w:type="dxa"/>
            <w:right w:w="0" w:type="dxa"/>
          </w:tblCellMar>
        </w:tblPrEx>
        <w:trPr>
          <w:trHeight w:val="340" w:hRule="atLeast"/>
        </w:trPr>
        <w:tc>
          <w:tcPr>
            <w:tcW w:w="4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4BCC97">
            <w:pPr>
              <w:pStyle w:val="9"/>
              <w:spacing w:before="0" w:beforeAutospacing="0" w:after="0" w:afterAutospacing="0"/>
              <w:rPr>
                <w:rFonts w:ascii="Times New Roman" w:hAnsi="Times New Roman" w:cs="Times New Roman"/>
                <w:sz w:val="21"/>
                <w:szCs w:val="21"/>
              </w:rPr>
            </w:pPr>
            <w:r>
              <w:rPr>
                <w:rFonts w:ascii="Arial" w:hAnsi="Arial" w:cs="Arial"/>
                <w:sz w:val="18"/>
                <w:szCs w:val="18"/>
              </w:rPr>
              <w:t>4</w:t>
            </w:r>
            <w:r>
              <w:rPr>
                <w:rFonts w:hint="eastAsia" w:cs="Times New Roman"/>
                <w:sz w:val="18"/>
                <w:szCs w:val="18"/>
              </w:rPr>
              <w:t>－</w:t>
            </w:r>
            <w:r>
              <w:rPr>
                <w:rFonts w:ascii="Arial" w:hAnsi="Arial" w:cs="Arial"/>
                <w:sz w:val="18"/>
                <w:szCs w:val="18"/>
              </w:rPr>
              <w:t>5</w:t>
            </w:r>
            <w:r>
              <w:rPr>
                <w:rFonts w:hint="eastAsia" w:cs="Times New Roman"/>
                <w:sz w:val="18"/>
                <w:szCs w:val="18"/>
              </w:rPr>
              <w:t>年</w:t>
            </w:r>
          </w:p>
        </w:tc>
        <w:tc>
          <w:tcPr>
            <w:tcW w:w="5528" w:type="dxa"/>
            <w:tcBorders>
              <w:top w:val="nil"/>
              <w:left w:val="nil"/>
              <w:bottom w:val="single" w:color="auto" w:sz="8" w:space="0"/>
              <w:right w:val="single" w:color="auto" w:sz="8" w:space="0"/>
            </w:tcBorders>
            <w:tcMar>
              <w:top w:w="0" w:type="dxa"/>
              <w:left w:w="108" w:type="dxa"/>
              <w:bottom w:w="0" w:type="dxa"/>
              <w:right w:w="108" w:type="dxa"/>
            </w:tcMar>
            <w:vAlign w:val="bottom"/>
          </w:tcPr>
          <w:p w14:paraId="08CE1E6E">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80.00</w:t>
            </w:r>
          </w:p>
        </w:tc>
      </w:tr>
      <w:tr w14:paraId="5BF43FD0">
        <w:tblPrEx>
          <w:tblCellMar>
            <w:top w:w="0" w:type="dxa"/>
            <w:left w:w="0" w:type="dxa"/>
            <w:bottom w:w="0" w:type="dxa"/>
            <w:right w:w="0" w:type="dxa"/>
          </w:tblCellMar>
        </w:tblPrEx>
        <w:trPr>
          <w:trHeight w:val="340" w:hRule="atLeast"/>
        </w:trPr>
        <w:tc>
          <w:tcPr>
            <w:tcW w:w="43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9B6C33">
            <w:pPr>
              <w:pStyle w:val="9"/>
              <w:spacing w:before="0" w:beforeAutospacing="0" w:after="0" w:afterAutospacing="0"/>
              <w:rPr>
                <w:rFonts w:ascii="Times New Roman" w:hAnsi="Times New Roman" w:cs="Times New Roman"/>
                <w:sz w:val="21"/>
                <w:szCs w:val="21"/>
              </w:rPr>
            </w:pPr>
            <w:r>
              <w:rPr>
                <w:rFonts w:ascii="Arial" w:hAnsi="Arial" w:cs="Arial"/>
                <w:sz w:val="18"/>
                <w:szCs w:val="18"/>
              </w:rPr>
              <w:t>5</w:t>
            </w:r>
            <w:r>
              <w:rPr>
                <w:rFonts w:hint="eastAsia" w:cs="Times New Roman"/>
                <w:sz w:val="18"/>
                <w:szCs w:val="18"/>
              </w:rPr>
              <w:t>年以上</w:t>
            </w:r>
          </w:p>
        </w:tc>
        <w:tc>
          <w:tcPr>
            <w:tcW w:w="5528" w:type="dxa"/>
            <w:tcBorders>
              <w:top w:val="nil"/>
              <w:left w:val="nil"/>
              <w:bottom w:val="single" w:color="auto" w:sz="8" w:space="0"/>
              <w:right w:val="single" w:color="auto" w:sz="8" w:space="0"/>
            </w:tcBorders>
            <w:tcMar>
              <w:top w:w="0" w:type="dxa"/>
              <w:left w:w="108" w:type="dxa"/>
              <w:bottom w:w="0" w:type="dxa"/>
              <w:right w:w="108" w:type="dxa"/>
            </w:tcMar>
            <w:vAlign w:val="bottom"/>
          </w:tcPr>
          <w:p w14:paraId="392075D6">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100.00</w:t>
            </w:r>
          </w:p>
        </w:tc>
      </w:tr>
    </w:tbl>
    <w:p w14:paraId="0EE0817A">
      <w:pPr>
        <w:pStyle w:val="9"/>
        <w:spacing w:before="0" w:beforeAutospacing="0" w:after="0" w:afterAutospacing="0" w:line="360" w:lineRule="auto"/>
        <w:ind w:firstLine="420"/>
        <w:jc w:val="both"/>
        <w:rPr>
          <w:sz w:val="21"/>
          <w:szCs w:val="21"/>
        </w:rPr>
      </w:pPr>
      <w:r>
        <w:rPr>
          <w:rFonts w:hint="eastAsia"/>
          <w:sz w:val="21"/>
          <w:szCs w:val="21"/>
        </w:rPr>
        <w:t>应收账款账龄按自款项实际发生的月份起算。</w:t>
      </w:r>
    </w:p>
    <w:p w14:paraId="2E48E56F">
      <w:pPr>
        <w:pStyle w:val="3"/>
        <w:spacing w:line="280" w:lineRule="exact"/>
        <w:jc w:val="left"/>
        <w:rPr>
          <w:rFonts w:ascii="宋体" w:hAnsi="宋体" w:cs="宋体"/>
          <w:b/>
          <w:bCs/>
        </w:rPr>
      </w:pPr>
      <w:bookmarkStart w:id="190" w:name="_Toc989073"/>
      <w:r>
        <w:rPr>
          <w:rFonts w:ascii="宋体" w:hAnsi="宋体" w:cs="宋体"/>
          <w:b/>
          <w:bCs/>
        </w:rPr>
        <w:t>14、应收款项融资</w:t>
      </w:r>
      <w:bookmarkEnd w:id="190"/>
    </w:p>
    <w:p w14:paraId="2AC8C50B">
      <w:pPr>
        <w:pStyle w:val="9"/>
        <w:spacing w:before="0" w:beforeAutospacing="0" w:after="0" w:afterAutospacing="0" w:line="360" w:lineRule="auto"/>
        <w:ind w:firstLine="420"/>
        <w:jc w:val="both"/>
        <w:rPr>
          <w:sz w:val="21"/>
          <w:szCs w:val="21"/>
        </w:rPr>
      </w:pPr>
      <w:r>
        <w:rPr>
          <w:rFonts w:hint="eastAsia"/>
          <w:sz w:val="21"/>
          <w:szCs w:val="21"/>
        </w:rPr>
        <w:t>分类为以公允价值计量且其变动计入其他综合收益的【应收票据和应收账款】，自初始确认日起到期期限在一年内（含一年）的，列示为应收款项融资；自初始确认日起到期期限在一年以上的，列示为其他债权投资。其相关会计政策详见11。</w:t>
      </w:r>
    </w:p>
    <w:p w14:paraId="5BF72BCC">
      <w:pPr>
        <w:pStyle w:val="9"/>
        <w:spacing w:before="0" w:beforeAutospacing="0" w:after="0" w:afterAutospacing="0" w:line="360" w:lineRule="auto"/>
        <w:ind w:firstLine="420"/>
        <w:jc w:val="both"/>
        <w:rPr>
          <w:sz w:val="21"/>
          <w:szCs w:val="21"/>
        </w:rPr>
      </w:pPr>
      <w:r>
        <w:rPr>
          <w:rFonts w:hint="eastAsia"/>
          <w:sz w:val="21"/>
          <w:szCs w:val="21"/>
        </w:rPr>
        <w:t>本公司对应收款项融资的预期信用损失的确定方法及会计处理方法详见11</w:t>
      </w:r>
      <w:r>
        <w:rPr>
          <w:rFonts w:ascii="Arial" w:hAnsi="Arial" w:cs="Arial"/>
          <w:sz w:val="21"/>
          <w:szCs w:val="21"/>
        </w:rPr>
        <w:t>.</w:t>
      </w:r>
      <w:r>
        <w:rPr>
          <w:rFonts w:hint="eastAsia"/>
          <w:sz w:val="21"/>
          <w:szCs w:val="21"/>
        </w:rPr>
        <w:t>金融工具减值。</w:t>
      </w:r>
    </w:p>
    <w:p w14:paraId="4FFB260A">
      <w:pPr>
        <w:pStyle w:val="9"/>
        <w:spacing w:before="0" w:beforeAutospacing="0" w:after="0" w:afterAutospacing="0" w:line="360" w:lineRule="auto"/>
        <w:ind w:firstLine="420"/>
        <w:jc w:val="both"/>
        <w:rPr>
          <w:sz w:val="21"/>
          <w:szCs w:val="21"/>
        </w:rPr>
      </w:pPr>
      <w:bookmarkStart w:id="191" w:name="_Hlk216689234"/>
      <w:bookmarkEnd w:id="191"/>
      <w:r>
        <w:rPr>
          <w:rFonts w:hint="eastAsia"/>
          <w:sz w:val="21"/>
          <w:szCs w:val="21"/>
        </w:rPr>
        <w:t>对信用风险与组合信用风险显著不同的应收款项融资，本公司按单项计提预期信用损失。本公司对单项金额重大且在初始确认后已经发生信用减值的应收款项融资单独确定其信用损失。</w:t>
      </w:r>
    </w:p>
    <w:p w14:paraId="5DCFB76F">
      <w:pPr>
        <w:pStyle w:val="9"/>
        <w:spacing w:before="0" w:beforeAutospacing="0" w:after="0" w:afterAutospacing="0" w:line="360" w:lineRule="auto"/>
        <w:ind w:firstLine="420"/>
        <w:jc w:val="both"/>
        <w:rPr>
          <w:sz w:val="21"/>
          <w:szCs w:val="21"/>
        </w:rPr>
      </w:pPr>
      <w:r>
        <w:rPr>
          <w:rFonts w:hint="eastAsia"/>
          <w:sz w:val="21"/>
          <w:szCs w:val="21"/>
        </w:rPr>
        <w:t>当在单项工具层面无法以合理成本评估预期信用损失的充分证据时，本公司参考历史信用损失经验，结合当前状况以及对未来经济状况的判断，依据信用风险特征将应收账款划分为若干组合，在组合基础上计算预期信用损失。确定组合的依据如下：</w:t>
      </w:r>
    </w:p>
    <w:p w14:paraId="5A9ED5AD">
      <w:pPr>
        <w:pStyle w:val="3"/>
        <w:spacing w:line="280" w:lineRule="exact"/>
        <w:jc w:val="left"/>
        <w:rPr>
          <w:rFonts w:ascii="宋体" w:hAnsi="宋体" w:cs="宋体"/>
          <w:b/>
          <w:bCs/>
        </w:rPr>
      </w:pPr>
      <w:bookmarkStart w:id="192" w:name="_Toc989074"/>
      <w:r>
        <w:rPr>
          <w:rFonts w:ascii="宋体" w:hAnsi="宋体" w:cs="宋体"/>
          <w:b/>
          <w:bCs/>
        </w:rPr>
        <w:t>15、其他应收款</w:t>
      </w:r>
      <w:bookmarkEnd w:id="192"/>
    </w:p>
    <w:p w14:paraId="1C14CD8B">
      <w:pPr>
        <w:pStyle w:val="9"/>
        <w:spacing w:before="0" w:beforeAutospacing="0" w:after="0" w:afterAutospacing="0" w:line="360" w:lineRule="auto"/>
        <w:ind w:firstLine="420"/>
        <w:jc w:val="both"/>
        <w:rPr>
          <w:sz w:val="21"/>
          <w:szCs w:val="21"/>
        </w:rPr>
      </w:pPr>
      <w:r>
        <w:rPr>
          <w:rFonts w:hint="eastAsia"/>
          <w:sz w:val="21"/>
          <w:szCs w:val="21"/>
        </w:rPr>
        <w:t>本公司对其他应收款的预期信用损失的确定方法及会计处理方法详见11</w:t>
      </w:r>
      <w:r>
        <w:rPr>
          <w:rFonts w:ascii="Arial" w:hAnsi="Arial" w:cs="Arial"/>
          <w:sz w:val="21"/>
          <w:szCs w:val="21"/>
        </w:rPr>
        <w:t>.</w:t>
      </w:r>
      <w:r>
        <w:rPr>
          <w:rFonts w:hint="eastAsia"/>
          <w:sz w:val="21"/>
          <w:szCs w:val="21"/>
        </w:rPr>
        <w:t>金融工具减值。</w:t>
      </w:r>
    </w:p>
    <w:p w14:paraId="482BCAC3">
      <w:pPr>
        <w:pStyle w:val="9"/>
        <w:spacing w:before="0" w:beforeAutospacing="0" w:after="0" w:afterAutospacing="0" w:line="360" w:lineRule="auto"/>
        <w:ind w:firstLine="420"/>
        <w:jc w:val="both"/>
        <w:rPr>
          <w:sz w:val="21"/>
          <w:szCs w:val="21"/>
        </w:rPr>
      </w:pPr>
      <w:r>
        <w:rPr>
          <w:rFonts w:hint="eastAsia"/>
          <w:sz w:val="21"/>
          <w:szCs w:val="21"/>
        </w:rPr>
        <w:t>对信用风险与组合信用风险显著不同的其他应收款，本公司按单项计提预期信用损失。本公司对单项金额重大且在初始确认后已经发生信用减值的其他应收款单独确定其信用损失。</w:t>
      </w:r>
    </w:p>
    <w:p w14:paraId="3B1893B5">
      <w:pPr>
        <w:pStyle w:val="9"/>
        <w:spacing w:before="0" w:beforeAutospacing="0" w:after="0" w:afterAutospacing="0" w:line="360" w:lineRule="auto"/>
        <w:ind w:firstLine="420"/>
        <w:jc w:val="both"/>
        <w:rPr>
          <w:sz w:val="21"/>
          <w:szCs w:val="21"/>
        </w:rPr>
      </w:pPr>
      <w:r>
        <w:rPr>
          <w:rFonts w:hint="eastAsia"/>
          <w:sz w:val="21"/>
          <w:szCs w:val="21"/>
        </w:rPr>
        <w:t>当在单项工具层面无法以合理成本评估预期信用损失的充分证据时，本公司参考历史信用损失经验，结合当前状况以及对未来经济状况的判断，依据信用风险特征将其他应收款划分为若干组合，在组合基础上计算预期信用损失。确定组合的依据如下：</w:t>
      </w:r>
    </w:p>
    <w:tbl>
      <w:tblPr>
        <w:tblStyle w:val="10"/>
        <w:tblW w:w="4850" w:type="pct"/>
        <w:tblCaption w:val="D:\大华\华孚\2024年度\TB|0-合并TB-华孚时尚股份有限公司-2024年度.xlsx|W附注模板|_jds8|0|desc|||0|1"/>
        <w:tblInd w:w="0" w:type="dxa"/>
        <w:tblLayout w:type="autofit"/>
        <w:tblCellMar>
          <w:top w:w="0" w:type="dxa"/>
          <w:left w:w="0" w:type="dxa"/>
          <w:bottom w:w="0" w:type="dxa"/>
          <w:right w:w="0" w:type="dxa"/>
        </w:tblCellMar>
      </w:tblPr>
      <w:tblGrid>
        <w:gridCol w:w="1379"/>
        <w:gridCol w:w="2528"/>
        <w:gridCol w:w="5650"/>
      </w:tblGrid>
      <w:tr w14:paraId="7FEAE90F">
        <w:tblPrEx>
          <w:tblCellMar>
            <w:top w:w="0" w:type="dxa"/>
            <w:left w:w="0" w:type="dxa"/>
            <w:bottom w:w="0" w:type="dxa"/>
            <w:right w:w="0" w:type="dxa"/>
          </w:tblCellMar>
        </w:tblPrEx>
        <w:trPr>
          <w:trHeight w:val="340" w:hRule="atLeast"/>
        </w:trPr>
        <w:tc>
          <w:tcPr>
            <w:tcW w:w="11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20633E">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组合名称</w:t>
            </w:r>
          </w:p>
        </w:tc>
        <w:tc>
          <w:tcPr>
            <w:tcW w:w="219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86B786F">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确定组合的依据</w:t>
            </w:r>
          </w:p>
        </w:tc>
        <w:tc>
          <w:tcPr>
            <w:tcW w:w="49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ED67333">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计提方法</w:t>
            </w:r>
          </w:p>
        </w:tc>
      </w:tr>
      <w:tr w14:paraId="04CFC71C">
        <w:tblPrEx>
          <w:tblCellMar>
            <w:top w:w="0" w:type="dxa"/>
            <w:left w:w="0" w:type="dxa"/>
            <w:bottom w:w="0" w:type="dxa"/>
            <w:right w:w="0" w:type="dxa"/>
          </w:tblCellMar>
        </w:tblPrEx>
        <w:trPr>
          <w:trHeight w:val="340" w:hRule="atLeast"/>
        </w:trPr>
        <w:tc>
          <w:tcPr>
            <w:tcW w:w="11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4EE650">
            <w:pPr>
              <w:pStyle w:val="9"/>
              <w:spacing w:before="0" w:beforeAutospacing="0" w:after="0" w:afterAutospacing="0"/>
              <w:jc w:val="both"/>
              <w:rPr>
                <w:rFonts w:ascii="Times New Roman" w:hAnsi="Times New Roman" w:cs="Times New Roman"/>
                <w:sz w:val="21"/>
                <w:szCs w:val="21"/>
              </w:rPr>
            </w:pPr>
            <w:r>
              <w:rPr>
                <w:rFonts w:hint="eastAsia" w:cs="Times New Roman"/>
                <w:sz w:val="18"/>
                <w:szCs w:val="18"/>
              </w:rPr>
              <w:t>预期信用风险组合</w:t>
            </w:r>
          </w:p>
        </w:tc>
        <w:tc>
          <w:tcPr>
            <w:tcW w:w="2198" w:type="dxa"/>
            <w:tcBorders>
              <w:top w:val="nil"/>
              <w:left w:val="nil"/>
              <w:bottom w:val="single" w:color="auto" w:sz="8" w:space="0"/>
              <w:right w:val="single" w:color="auto" w:sz="8" w:space="0"/>
            </w:tcBorders>
            <w:tcMar>
              <w:top w:w="0" w:type="dxa"/>
              <w:left w:w="108" w:type="dxa"/>
              <w:bottom w:w="0" w:type="dxa"/>
              <w:right w:w="108" w:type="dxa"/>
            </w:tcMar>
            <w:vAlign w:val="center"/>
          </w:tcPr>
          <w:p w14:paraId="6D8E265C">
            <w:pPr>
              <w:pStyle w:val="9"/>
              <w:spacing w:before="0" w:beforeAutospacing="0" w:after="0" w:afterAutospacing="0"/>
              <w:textAlignment w:val="center"/>
              <w:rPr>
                <w:rFonts w:ascii="Times New Roman" w:hAnsi="Times New Roman" w:cs="Times New Roman"/>
                <w:sz w:val="21"/>
                <w:szCs w:val="21"/>
              </w:rPr>
            </w:pPr>
            <w:r>
              <w:rPr>
                <w:rFonts w:hint="eastAsia" w:cs="Times New Roman"/>
                <w:sz w:val="18"/>
                <w:szCs w:val="18"/>
              </w:rPr>
              <w:t>本组合以其他应收款的账龄作为信用风险特征</w:t>
            </w:r>
          </w:p>
        </w:tc>
        <w:tc>
          <w:tcPr>
            <w:tcW w:w="49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CBA13C5">
            <w:pPr>
              <w:pStyle w:val="9"/>
              <w:spacing w:before="0" w:beforeAutospacing="0" w:after="0" w:afterAutospacing="0"/>
              <w:jc w:val="both"/>
              <w:rPr>
                <w:rFonts w:ascii="Times New Roman" w:hAnsi="Times New Roman" w:cs="Times New Roman"/>
                <w:sz w:val="21"/>
                <w:szCs w:val="21"/>
              </w:rPr>
            </w:pPr>
            <w:r>
              <w:rPr>
                <w:rFonts w:hint="eastAsia" w:cs="Times New Roman"/>
                <w:sz w:val="18"/>
                <w:szCs w:val="18"/>
              </w:rPr>
              <w:t>本公司利用账龄来评估该类组合的预期信用损失。该类组合具有相同的风险特征，账龄信息能反映这类组合与应收款项到期时的偿付能力。于资产负债表日，本公司参考历史信用损失经验，结合当前状况以及对未来经济状况的预测，编制其他应收款账龄与预期信用损失率对照表，计算预期信用损失。</w:t>
            </w:r>
          </w:p>
        </w:tc>
      </w:tr>
      <w:tr w14:paraId="52B0F6EA">
        <w:tblPrEx>
          <w:tblCellMar>
            <w:top w:w="0" w:type="dxa"/>
            <w:left w:w="0" w:type="dxa"/>
            <w:bottom w:w="0" w:type="dxa"/>
            <w:right w:w="0" w:type="dxa"/>
          </w:tblCellMar>
        </w:tblPrEx>
        <w:trPr>
          <w:trHeight w:val="340" w:hRule="atLeast"/>
        </w:trPr>
        <w:tc>
          <w:tcPr>
            <w:tcW w:w="11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21E1DF">
            <w:pPr>
              <w:pStyle w:val="9"/>
              <w:spacing w:before="0" w:beforeAutospacing="0" w:after="0" w:afterAutospacing="0"/>
              <w:textAlignment w:val="center"/>
              <w:rPr>
                <w:rFonts w:ascii="Times New Roman" w:hAnsi="Times New Roman" w:cs="Times New Roman"/>
                <w:sz w:val="21"/>
                <w:szCs w:val="21"/>
              </w:rPr>
            </w:pPr>
            <w:r>
              <w:rPr>
                <w:rFonts w:hint="eastAsia" w:cs="Times New Roman"/>
                <w:sz w:val="18"/>
                <w:szCs w:val="18"/>
              </w:rPr>
              <w:t>应收财政款组合</w:t>
            </w:r>
          </w:p>
        </w:tc>
        <w:tc>
          <w:tcPr>
            <w:tcW w:w="2198" w:type="dxa"/>
            <w:tcBorders>
              <w:top w:val="nil"/>
              <w:left w:val="nil"/>
              <w:bottom w:val="single" w:color="auto" w:sz="8" w:space="0"/>
              <w:right w:val="single" w:color="auto" w:sz="8" w:space="0"/>
            </w:tcBorders>
            <w:tcMar>
              <w:top w:w="0" w:type="dxa"/>
              <w:left w:w="108" w:type="dxa"/>
              <w:bottom w:w="0" w:type="dxa"/>
              <w:right w:w="108" w:type="dxa"/>
            </w:tcMar>
            <w:vAlign w:val="center"/>
          </w:tcPr>
          <w:p w14:paraId="4673F643">
            <w:pPr>
              <w:pStyle w:val="9"/>
              <w:spacing w:before="0" w:beforeAutospacing="0" w:after="0" w:afterAutospacing="0"/>
              <w:textAlignment w:val="center"/>
              <w:rPr>
                <w:rFonts w:ascii="Times New Roman" w:hAnsi="Times New Roman" w:cs="Times New Roman"/>
                <w:sz w:val="21"/>
                <w:szCs w:val="21"/>
              </w:rPr>
            </w:pPr>
            <w:r>
              <w:rPr>
                <w:rFonts w:hint="eastAsia" w:cs="Times New Roman"/>
                <w:sz w:val="18"/>
                <w:szCs w:val="18"/>
              </w:rPr>
              <w:t>根据业务性质，主要包括政府补助</w:t>
            </w:r>
          </w:p>
        </w:tc>
        <w:tc>
          <w:tcPr>
            <w:tcW w:w="49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53ED638">
            <w:pPr>
              <w:pStyle w:val="9"/>
              <w:spacing w:before="0" w:beforeAutospacing="0" w:after="0" w:afterAutospacing="0"/>
              <w:jc w:val="both"/>
              <w:rPr>
                <w:rFonts w:ascii="Times New Roman" w:hAnsi="Times New Roman" w:cs="Times New Roman"/>
                <w:sz w:val="21"/>
                <w:szCs w:val="21"/>
              </w:rPr>
            </w:pPr>
            <w:r>
              <w:rPr>
                <w:rFonts w:hint="eastAsia" w:cs="Times New Roman"/>
                <w:sz w:val="18"/>
                <w:szCs w:val="18"/>
              </w:rPr>
              <w:t>参考历史信用损失经验，结合当前状况以及对未来经济状况的预测，通过违约风险敞口和整个存续期预期信用损失率，计算预期信用损失</w:t>
            </w:r>
          </w:p>
        </w:tc>
      </w:tr>
      <w:tr w14:paraId="2108A899">
        <w:tblPrEx>
          <w:tblCellMar>
            <w:top w:w="0" w:type="dxa"/>
            <w:left w:w="0" w:type="dxa"/>
            <w:bottom w:w="0" w:type="dxa"/>
            <w:right w:w="0" w:type="dxa"/>
          </w:tblCellMar>
        </w:tblPrEx>
        <w:trPr>
          <w:trHeight w:val="340" w:hRule="atLeast"/>
        </w:trPr>
        <w:tc>
          <w:tcPr>
            <w:tcW w:w="119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FE9F9E">
            <w:pPr>
              <w:pStyle w:val="9"/>
              <w:spacing w:before="0" w:beforeAutospacing="0" w:after="0" w:afterAutospacing="0"/>
              <w:textAlignment w:val="center"/>
              <w:rPr>
                <w:rFonts w:ascii="Times New Roman" w:hAnsi="Times New Roman" w:cs="Times New Roman"/>
                <w:sz w:val="21"/>
                <w:szCs w:val="21"/>
              </w:rPr>
            </w:pPr>
            <w:r>
              <w:rPr>
                <w:rFonts w:hint="eastAsia" w:cs="Times New Roman"/>
                <w:sz w:val="18"/>
                <w:szCs w:val="18"/>
              </w:rPr>
              <w:t>性质组合</w:t>
            </w:r>
          </w:p>
        </w:tc>
        <w:tc>
          <w:tcPr>
            <w:tcW w:w="2198" w:type="dxa"/>
            <w:tcBorders>
              <w:top w:val="nil"/>
              <w:left w:val="nil"/>
              <w:bottom w:val="single" w:color="auto" w:sz="8" w:space="0"/>
              <w:right w:val="single" w:color="auto" w:sz="8" w:space="0"/>
            </w:tcBorders>
            <w:tcMar>
              <w:top w:w="0" w:type="dxa"/>
              <w:left w:w="108" w:type="dxa"/>
              <w:bottom w:w="0" w:type="dxa"/>
              <w:right w:w="108" w:type="dxa"/>
            </w:tcMar>
            <w:vAlign w:val="center"/>
          </w:tcPr>
          <w:p w14:paraId="59E0BC71">
            <w:pPr>
              <w:pStyle w:val="9"/>
              <w:spacing w:before="0" w:beforeAutospacing="0" w:after="0" w:afterAutospacing="0"/>
              <w:textAlignment w:val="center"/>
              <w:rPr>
                <w:rFonts w:ascii="Times New Roman" w:hAnsi="Times New Roman" w:cs="Times New Roman"/>
                <w:sz w:val="21"/>
                <w:szCs w:val="21"/>
              </w:rPr>
            </w:pPr>
            <w:r>
              <w:rPr>
                <w:rFonts w:hint="eastAsia" w:cs="Times New Roman"/>
                <w:sz w:val="18"/>
                <w:szCs w:val="18"/>
              </w:rPr>
              <w:t>根据业务性质，主要包括合并范围内关联方的款项、出口退税款、股权转让款等</w:t>
            </w:r>
          </w:p>
        </w:tc>
        <w:tc>
          <w:tcPr>
            <w:tcW w:w="49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862B869">
            <w:pPr>
              <w:pStyle w:val="9"/>
              <w:spacing w:before="0" w:beforeAutospacing="0" w:after="0" w:afterAutospacing="0"/>
              <w:jc w:val="both"/>
              <w:rPr>
                <w:rFonts w:ascii="Times New Roman" w:hAnsi="Times New Roman" w:cs="Times New Roman"/>
                <w:sz w:val="21"/>
                <w:szCs w:val="21"/>
              </w:rPr>
            </w:pPr>
            <w:r>
              <w:rPr>
                <w:rFonts w:hint="eastAsia" w:cs="Times New Roman"/>
                <w:sz w:val="18"/>
                <w:szCs w:val="18"/>
              </w:rPr>
              <w:t>参考历史信用损失经验，不计提坏准备</w:t>
            </w:r>
          </w:p>
        </w:tc>
      </w:tr>
    </w:tbl>
    <w:p w14:paraId="1748634F">
      <w:pPr>
        <w:pStyle w:val="9"/>
        <w:spacing w:before="0" w:beforeAutospacing="0" w:after="0" w:afterAutospacing="0" w:line="360" w:lineRule="auto"/>
        <w:ind w:firstLine="420"/>
        <w:jc w:val="both"/>
        <w:rPr>
          <w:sz w:val="21"/>
          <w:szCs w:val="21"/>
        </w:rPr>
      </w:pPr>
      <w:r>
        <w:rPr>
          <w:rFonts w:hint="eastAsia"/>
          <w:sz w:val="21"/>
          <w:szCs w:val="21"/>
        </w:rPr>
        <w:t>账龄组合的账龄与预期信用损失率对照表如下：</w:t>
      </w:r>
    </w:p>
    <w:tbl>
      <w:tblPr>
        <w:tblStyle w:val="10"/>
        <w:tblW w:w="9606" w:type="dxa"/>
        <w:tblInd w:w="0" w:type="dxa"/>
        <w:tblLayout w:type="autofit"/>
        <w:tblCellMar>
          <w:top w:w="0" w:type="dxa"/>
          <w:left w:w="0" w:type="dxa"/>
          <w:bottom w:w="0" w:type="dxa"/>
          <w:right w:w="0" w:type="dxa"/>
        </w:tblCellMar>
      </w:tblPr>
      <w:tblGrid>
        <w:gridCol w:w="4803"/>
        <w:gridCol w:w="4803"/>
      </w:tblGrid>
      <w:tr w14:paraId="564A32D4">
        <w:trPr>
          <w:trHeight w:val="340" w:hRule="atLeast"/>
        </w:trPr>
        <w:tc>
          <w:tcPr>
            <w:tcW w:w="480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C9997">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账龄</w:t>
            </w:r>
          </w:p>
        </w:tc>
        <w:tc>
          <w:tcPr>
            <w:tcW w:w="48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9F8A293">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其他应收款预期信用损失率（</w:t>
            </w:r>
            <w:r>
              <w:rPr>
                <w:rFonts w:ascii="Arial" w:hAnsi="Arial" w:cs="Arial"/>
                <w:sz w:val="18"/>
                <w:szCs w:val="18"/>
              </w:rPr>
              <w:t>%</w:t>
            </w:r>
            <w:r>
              <w:rPr>
                <w:rFonts w:hint="eastAsia" w:cs="Times New Roman"/>
                <w:sz w:val="18"/>
                <w:szCs w:val="18"/>
              </w:rPr>
              <w:t>）</w:t>
            </w:r>
          </w:p>
        </w:tc>
      </w:tr>
      <w:tr w14:paraId="3AAC564A">
        <w:tblPrEx>
          <w:tblCellMar>
            <w:top w:w="0" w:type="dxa"/>
            <w:left w:w="0" w:type="dxa"/>
            <w:bottom w:w="0" w:type="dxa"/>
            <w:right w:w="0" w:type="dxa"/>
          </w:tblCellMar>
        </w:tblPrEx>
        <w:trPr>
          <w:trHeight w:val="340" w:hRule="atLeast"/>
        </w:trPr>
        <w:tc>
          <w:tcPr>
            <w:tcW w:w="48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DE35DE">
            <w:pPr>
              <w:pStyle w:val="9"/>
              <w:spacing w:before="0" w:beforeAutospacing="0" w:after="0" w:afterAutospacing="0"/>
              <w:rPr>
                <w:rFonts w:ascii="Times New Roman" w:hAnsi="Times New Roman" w:cs="Times New Roman"/>
                <w:sz w:val="21"/>
                <w:szCs w:val="21"/>
              </w:rPr>
            </w:pPr>
            <w:r>
              <w:rPr>
                <w:rFonts w:ascii="Arial" w:hAnsi="Arial" w:cs="Arial"/>
                <w:sz w:val="18"/>
                <w:szCs w:val="18"/>
              </w:rPr>
              <w:t>1</w:t>
            </w:r>
            <w:r>
              <w:rPr>
                <w:rFonts w:hint="eastAsia" w:cs="Times New Roman"/>
                <w:sz w:val="18"/>
                <w:szCs w:val="18"/>
              </w:rPr>
              <w:t>年以内</w:t>
            </w:r>
          </w:p>
        </w:tc>
        <w:tc>
          <w:tcPr>
            <w:tcW w:w="4803" w:type="dxa"/>
            <w:tcBorders>
              <w:top w:val="nil"/>
              <w:left w:val="nil"/>
              <w:bottom w:val="single" w:color="auto" w:sz="8" w:space="0"/>
              <w:right w:val="single" w:color="auto" w:sz="8" w:space="0"/>
            </w:tcBorders>
            <w:tcMar>
              <w:top w:w="0" w:type="dxa"/>
              <w:left w:w="108" w:type="dxa"/>
              <w:bottom w:w="0" w:type="dxa"/>
              <w:right w:w="108" w:type="dxa"/>
            </w:tcMar>
            <w:vAlign w:val="bottom"/>
          </w:tcPr>
          <w:p w14:paraId="2C5A9F65">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5.00</w:t>
            </w:r>
          </w:p>
        </w:tc>
      </w:tr>
      <w:tr w14:paraId="5B4233C2">
        <w:tblPrEx>
          <w:tblCellMar>
            <w:top w:w="0" w:type="dxa"/>
            <w:left w:w="0" w:type="dxa"/>
            <w:bottom w:w="0" w:type="dxa"/>
            <w:right w:w="0" w:type="dxa"/>
          </w:tblCellMar>
        </w:tblPrEx>
        <w:trPr>
          <w:trHeight w:val="340" w:hRule="atLeast"/>
        </w:trPr>
        <w:tc>
          <w:tcPr>
            <w:tcW w:w="48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E1A7BC">
            <w:pPr>
              <w:pStyle w:val="9"/>
              <w:spacing w:before="0" w:beforeAutospacing="0" w:after="0" w:afterAutospacing="0"/>
              <w:rPr>
                <w:rFonts w:ascii="Times New Roman" w:hAnsi="Times New Roman" w:cs="Times New Roman"/>
                <w:sz w:val="21"/>
                <w:szCs w:val="21"/>
              </w:rPr>
            </w:pPr>
            <w:r>
              <w:rPr>
                <w:rFonts w:ascii="Arial" w:hAnsi="Arial" w:cs="Arial"/>
                <w:sz w:val="18"/>
                <w:szCs w:val="18"/>
              </w:rPr>
              <w:t>1</w:t>
            </w:r>
            <w:r>
              <w:rPr>
                <w:rFonts w:hint="eastAsia" w:cs="Times New Roman"/>
                <w:sz w:val="18"/>
                <w:szCs w:val="18"/>
              </w:rPr>
              <w:t>－</w:t>
            </w:r>
            <w:r>
              <w:rPr>
                <w:rFonts w:ascii="Arial" w:hAnsi="Arial" w:cs="Arial"/>
                <w:sz w:val="18"/>
                <w:szCs w:val="18"/>
              </w:rPr>
              <w:t>2</w:t>
            </w:r>
            <w:r>
              <w:rPr>
                <w:rFonts w:hint="eastAsia" w:cs="Times New Roman"/>
                <w:sz w:val="18"/>
                <w:szCs w:val="18"/>
              </w:rPr>
              <w:t>年</w:t>
            </w:r>
          </w:p>
        </w:tc>
        <w:tc>
          <w:tcPr>
            <w:tcW w:w="4803" w:type="dxa"/>
            <w:tcBorders>
              <w:top w:val="nil"/>
              <w:left w:val="nil"/>
              <w:bottom w:val="single" w:color="auto" w:sz="8" w:space="0"/>
              <w:right w:val="single" w:color="auto" w:sz="8" w:space="0"/>
            </w:tcBorders>
            <w:tcMar>
              <w:top w:w="0" w:type="dxa"/>
              <w:left w:w="108" w:type="dxa"/>
              <w:bottom w:w="0" w:type="dxa"/>
              <w:right w:w="108" w:type="dxa"/>
            </w:tcMar>
            <w:vAlign w:val="bottom"/>
          </w:tcPr>
          <w:p w14:paraId="2892CEE6">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10.00</w:t>
            </w:r>
          </w:p>
        </w:tc>
      </w:tr>
      <w:tr w14:paraId="597F0CF5">
        <w:tblPrEx>
          <w:tblCellMar>
            <w:top w:w="0" w:type="dxa"/>
            <w:left w:w="0" w:type="dxa"/>
            <w:bottom w:w="0" w:type="dxa"/>
            <w:right w:w="0" w:type="dxa"/>
          </w:tblCellMar>
        </w:tblPrEx>
        <w:trPr>
          <w:trHeight w:val="340" w:hRule="atLeast"/>
        </w:trPr>
        <w:tc>
          <w:tcPr>
            <w:tcW w:w="48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135025">
            <w:pPr>
              <w:pStyle w:val="9"/>
              <w:spacing w:before="0" w:beforeAutospacing="0" w:after="0" w:afterAutospacing="0"/>
              <w:rPr>
                <w:rFonts w:ascii="Times New Roman" w:hAnsi="Times New Roman" w:cs="Times New Roman"/>
                <w:sz w:val="21"/>
                <w:szCs w:val="21"/>
              </w:rPr>
            </w:pPr>
            <w:r>
              <w:rPr>
                <w:rFonts w:ascii="Arial" w:hAnsi="Arial" w:cs="Arial"/>
                <w:sz w:val="18"/>
                <w:szCs w:val="18"/>
              </w:rPr>
              <w:t>2</w:t>
            </w:r>
            <w:r>
              <w:rPr>
                <w:rFonts w:hint="eastAsia" w:cs="Times New Roman"/>
                <w:sz w:val="18"/>
                <w:szCs w:val="18"/>
              </w:rPr>
              <w:t>－</w:t>
            </w:r>
            <w:r>
              <w:rPr>
                <w:rFonts w:ascii="Arial" w:hAnsi="Arial" w:cs="Arial"/>
                <w:sz w:val="18"/>
                <w:szCs w:val="18"/>
              </w:rPr>
              <w:t>3</w:t>
            </w:r>
            <w:r>
              <w:rPr>
                <w:rFonts w:hint="eastAsia" w:cs="Times New Roman"/>
                <w:sz w:val="18"/>
                <w:szCs w:val="18"/>
              </w:rPr>
              <w:t>年</w:t>
            </w:r>
          </w:p>
        </w:tc>
        <w:tc>
          <w:tcPr>
            <w:tcW w:w="4803" w:type="dxa"/>
            <w:tcBorders>
              <w:top w:val="nil"/>
              <w:left w:val="nil"/>
              <w:bottom w:val="single" w:color="auto" w:sz="8" w:space="0"/>
              <w:right w:val="single" w:color="auto" w:sz="8" w:space="0"/>
            </w:tcBorders>
            <w:tcMar>
              <w:top w:w="0" w:type="dxa"/>
              <w:left w:w="108" w:type="dxa"/>
              <w:bottom w:w="0" w:type="dxa"/>
              <w:right w:w="108" w:type="dxa"/>
            </w:tcMar>
            <w:vAlign w:val="bottom"/>
          </w:tcPr>
          <w:p w14:paraId="35332FD3">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20.00</w:t>
            </w:r>
          </w:p>
        </w:tc>
      </w:tr>
      <w:tr w14:paraId="7B87B72B">
        <w:tblPrEx>
          <w:tblCellMar>
            <w:top w:w="0" w:type="dxa"/>
            <w:left w:w="0" w:type="dxa"/>
            <w:bottom w:w="0" w:type="dxa"/>
            <w:right w:w="0" w:type="dxa"/>
          </w:tblCellMar>
        </w:tblPrEx>
        <w:trPr>
          <w:trHeight w:val="340" w:hRule="atLeast"/>
        </w:trPr>
        <w:tc>
          <w:tcPr>
            <w:tcW w:w="48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16E719">
            <w:pPr>
              <w:pStyle w:val="9"/>
              <w:spacing w:before="0" w:beforeAutospacing="0" w:after="0" w:afterAutospacing="0"/>
              <w:rPr>
                <w:rFonts w:ascii="Times New Roman" w:hAnsi="Times New Roman" w:cs="Times New Roman"/>
                <w:sz w:val="21"/>
                <w:szCs w:val="21"/>
              </w:rPr>
            </w:pPr>
            <w:r>
              <w:rPr>
                <w:rFonts w:ascii="Arial" w:hAnsi="Arial" w:cs="Arial"/>
                <w:sz w:val="18"/>
                <w:szCs w:val="18"/>
              </w:rPr>
              <w:t>3</w:t>
            </w:r>
            <w:r>
              <w:rPr>
                <w:rFonts w:hint="eastAsia" w:cs="Times New Roman"/>
                <w:sz w:val="18"/>
                <w:szCs w:val="18"/>
              </w:rPr>
              <w:t>－</w:t>
            </w:r>
            <w:r>
              <w:rPr>
                <w:rFonts w:ascii="Arial" w:hAnsi="Arial" w:cs="Arial"/>
                <w:sz w:val="18"/>
                <w:szCs w:val="18"/>
              </w:rPr>
              <w:t>4</w:t>
            </w:r>
            <w:r>
              <w:rPr>
                <w:rFonts w:hint="eastAsia" w:cs="Times New Roman"/>
                <w:sz w:val="18"/>
                <w:szCs w:val="18"/>
              </w:rPr>
              <w:t>年</w:t>
            </w:r>
          </w:p>
        </w:tc>
        <w:tc>
          <w:tcPr>
            <w:tcW w:w="4803" w:type="dxa"/>
            <w:tcBorders>
              <w:top w:val="nil"/>
              <w:left w:val="nil"/>
              <w:bottom w:val="single" w:color="auto" w:sz="8" w:space="0"/>
              <w:right w:val="single" w:color="auto" w:sz="8" w:space="0"/>
            </w:tcBorders>
            <w:tcMar>
              <w:top w:w="0" w:type="dxa"/>
              <w:left w:w="108" w:type="dxa"/>
              <w:bottom w:w="0" w:type="dxa"/>
              <w:right w:w="108" w:type="dxa"/>
            </w:tcMar>
            <w:vAlign w:val="bottom"/>
          </w:tcPr>
          <w:p w14:paraId="09694FD2">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50.00</w:t>
            </w:r>
          </w:p>
        </w:tc>
      </w:tr>
      <w:tr w14:paraId="41E3579E">
        <w:tblPrEx>
          <w:tblCellMar>
            <w:top w:w="0" w:type="dxa"/>
            <w:left w:w="0" w:type="dxa"/>
            <w:bottom w:w="0" w:type="dxa"/>
            <w:right w:w="0" w:type="dxa"/>
          </w:tblCellMar>
        </w:tblPrEx>
        <w:trPr>
          <w:trHeight w:val="340" w:hRule="atLeast"/>
        </w:trPr>
        <w:tc>
          <w:tcPr>
            <w:tcW w:w="48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219676">
            <w:pPr>
              <w:pStyle w:val="9"/>
              <w:spacing w:before="0" w:beforeAutospacing="0" w:after="0" w:afterAutospacing="0"/>
              <w:rPr>
                <w:rFonts w:ascii="Times New Roman" w:hAnsi="Times New Roman" w:cs="Times New Roman"/>
                <w:sz w:val="21"/>
                <w:szCs w:val="21"/>
              </w:rPr>
            </w:pPr>
            <w:r>
              <w:rPr>
                <w:rFonts w:ascii="Arial" w:hAnsi="Arial" w:cs="Arial"/>
                <w:sz w:val="18"/>
                <w:szCs w:val="18"/>
              </w:rPr>
              <w:t>4</w:t>
            </w:r>
            <w:r>
              <w:rPr>
                <w:rFonts w:hint="eastAsia" w:cs="Times New Roman"/>
                <w:sz w:val="18"/>
                <w:szCs w:val="18"/>
              </w:rPr>
              <w:t>－</w:t>
            </w:r>
            <w:r>
              <w:rPr>
                <w:rFonts w:ascii="Arial" w:hAnsi="Arial" w:cs="Arial"/>
                <w:sz w:val="18"/>
                <w:szCs w:val="18"/>
              </w:rPr>
              <w:t>5</w:t>
            </w:r>
            <w:r>
              <w:rPr>
                <w:rFonts w:hint="eastAsia" w:cs="Times New Roman"/>
                <w:sz w:val="18"/>
                <w:szCs w:val="18"/>
              </w:rPr>
              <w:t>年</w:t>
            </w:r>
          </w:p>
        </w:tc>
        <w:tc>
          <w:tcPr>
            <w:tcW w:w="4803" w:type="dxa"/>
            <w:tcBorders>
              <w:top w:val="nil"/>
              <w:left w:val="nil"/>
              <w:bottom w:val="single" w:color="auto" w:sz="8" w:space="0"/>
              <w:right w:val="single" w:color="auto" w:sz="8" w:space="0"/>
            </w:tcBorders>
            <w:tcMar>
              <w:top w:w="0" w:type="dxa"/>
              <w:left w:w="108" w:type="dxa"/>
              <w:bottom w:w="0" w:type="dxa"/>
              <w:right w:w="108" w:type="dxa"/>
            </w:tcMar>
            <w:vAlign w:val="bottom"/>
          </w:tcPr>
          <w:p w14:paraId="715AA073">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80.00</w:t>
            </w:r>
          </w:p>
        </w:tc>
      </w:tr>
      <w:tr w14:paraId="4C270FF4">
        <w:tblPrEx>
          <w:tblCellMar>
            <w:top w:w="0" w:type="dxa"/>
            <w:left w:w="0" w:type="dxa"/>
            <w:bottom w:w="0" w:type="dxa"/>
            <w:right w:w="0" w:type="dxa"/>
          </w:tblCellMar>
        </w:tblPrEx>
        <w:trPr>
          <w:trHeight w:val="340" w:hRule="atLeast"/>
        </w:trPr>
        <w:tc>
          <w:tcPr>
            <w:tcW w:w="480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11B387">
            <w:pPr>
              <w:pStyle w:val="9"/>
              <w:spacing w:before="0" w:beforeAutospacing="0" w:after="0" w:afterAutospacing="0"/>
              <w:rPr>
                <w:rFonts w:ascii="Times New Roman" w:hAnsi="Times New Roman" w:cs="Times New Roman"/>
                <w:sz w:val="21"/>
                <w:szCs w:val="21"/>
              </w:rPr>
            </w:pPr>
            <w:r>
              <w:rPr>
                <w:rFonts w:ascii="Arial" w:hAnsi="Arial" w:cs="Arial"/>
                <w:sz w:val="18"/>
                <w:szCs w:val="18"/>
              </w:rPr>
              <w:t>5</w:t>
            </w:r>
            <w:r>
              <w:rPr>
                <w:rFonts w:hint="eastAsia" w:cs="Times New Roman"/>
                <w:sz w:val="18"/>
                <w:szCs w:val="18"/>
              </w:rPr>
              <w:t>年以上</w:t>
            </w:r>
          </w:p>
        </w:tc>
        <w:tc>
          <w:tcPr>
            <w:tcW w:w="4803" w:type="dxa"/>
            <w:tcBorders>
              <w:top w:val="nil"/>
              <w:left w:val="nil"/>
              <w:bottom w:val="single" w:color="auto" w:sz="8" w:space="0"/>
              <w:right w:val="single" w:color="auto" w:sz="8" w:space="0"/>
            </w:tcBorders>
            <w:tcMar>
              <w:top w:w="0" w:type="dxa"/>
              <w:left w:w="108" w:type="dxa"/>
              <w:bottom w:w="0" w:type="dxa"/>
              <w:right w:w="108" w:type="dxa"/>
            </w:tcMar>
            <w:vAlign w:val="bottom"/>
          </w:tcPr>
          <w:p w14:paraId="6DF1706C">
            <w:pPr>
              <w:pStyle w:val="9"/>
              <w:spacing w:before="0" w:beforeAutospacing="0" w:after="0" w:afterAutospacing="0"/>
              <w:jc w:val="center"/>
              <w:textAlignment w:val="bottom"/>
              <w:rPr>
                <w:rFonts w:ascii="Times New Roman" w:hAnsi="Times New Roman" w:cs="Times New Roman"/>
                <w:sz w:val="21"/>
                <w:szCs w:val="21"/>
              </w:rPr>
            </w:pPr>
            <w:r>
              <w:rPr>
                <w:rFonts w:hint="eastAsia" w:cs="Times New Roman"/>
                <w:sz w:val="20"/>
                <w:szCs w:val="20"/>
              </w:rPr>
              <w:t>100.00</w:t>
            </w:r>
          </w:p>
        </w:tc>
      </w:tr>
    </w:tbl>
    <w:p w14:paraId="0EDD0251">
      <w:pPr>
        <w:pStyle w:val="9"/>
        <w:spacing w:before="0" w:beforeAutospacing="0" w:after="0" w:afterAutospacing="0" w:line="360" w:lineRule="auto"/>
        <w:ind w:firstLine="420"/>
        <w:jc w:val="both"/>
        <w:rPr>
          <w:sz w:val="21"/>
          <w:szCs w:val="21"/>
        </w:rPr>
      </w:pPr>
      <w:r>
        <w:rPr>
          <w:rFonts w:hint="eastAsia"/>
          <w:sz w:val="21"/>
          <w:szCs w:val="21"/>
        </w:rPr>
        <w:t>其他应收款账龄按自款项实际发生的月份起算。</w:t>
      </w:r>
    </w:p>
    <w:p w14:paraId="6425BACA">
      <w:pPr>
        <w:pStyle w:val="3"/>
        <w:spacing w:line="280" w:lineRule="exact"/>
        <w:jc w:val="left"/>
        <w:rPr>
          <w:rFonts w:ascii="宋体" w:hAnsi="宋体" w:cs="宋体"/>
          <w:b/>
          <w:bCs/>
        </w:rPr>
      </w:pPr>
      <w:bookmarkStart w:id="193" w:name="_Toc989075"/>
      <w:r>
        <w:rPr>
          <w:rFonts w:ascii="宋体" w:hAnsi="宋体" w:cs="宋体"/>
          <w:b/>
          <w:bCs/>
        </w:rPr>
        <w:t>16、合同资产</w:t>
      </w:r>
      <w:bookmarkEnd w:id="193"/>
    </w:p>
    <w:p w14:paraId="57D66FC1">
      <w:pPr>
        <w:pStyle w:val="9"/>
        <w:spacing w:before="0" w:beforeAutospacing="0" w:after="0" w:afterAutospacing="0" w:line="360" w:lineRule="auto"/>
        <w:ind w:firstLine="420"/>
        <w:jc w:val="both"/>
        <w:rPr>
          <w:sz w:val="21"/>
          <w:szCs w:val="21"/>
        </w:rPr>
      </w:pPr>
      <w:r>
        <w:rPr>
          <w:rFonts w:hint="eastAsia"/>
          <w:sz w:val="21"/>
          <w:szCs w:val="21"/>
        </w:rPr>
        <w:t>本公司已向客户转让商品而有权收取对价的权利，且该权利取决于时间流逝之外的其他因素的，确认为合同资产。本公司拥有的无条件</w:t>
      </w:r>
      <w:r>
        <w:rPr>
          <w:rFonts w:ascii="Arial" w:hAnsi="Arial" w:cs="Arial"/>
          <w:sz w:val="21"/>
          <w:szCs w:val="21"/>
        </w:rPr>
        <w:t>(</w:t>
      </w:r>
      <w:r>
        <w:rPr>
          <w:rFonts w:hint="eastAsia"/>
          <w:sz w:val="21"/>
          <w:szCs w:val="21"/>
        </w:rPr>
        <w:t>即，仅取决于时间流逝</w:t>
      </w:r>
      <w:r>
        <w:rPr>
          <w:rFonts w:ascii="Arial" w:hAnsi="Arial" w:cs="Arial"/>
          <w:sz w:val="21"/>
          <w:szCs w:val="21"/>
        </w:rPr>
        <w:t>)</w:t>
      </w:r>
      <w:r>
        <w:rPr>
          <w:rFonts w:hint="eastAsia"/>
          <w:sz w:val="21"/>
          <w:szCs w:val="21"/>
        </w:rPr>
        <w:t>向客户收取对价的权利作为应收款项单独列示。</w:t>
      </w:r>
    </w:p>
    <w:p w14:paraId="0BBC3188">
      <w:pPr>
        <w:pStyle w:val="9"/>
        <w:spacing w:before="0" w:beforeAutospacing="0" w:after="0" w:afterAutospacing="0" w:line="360" w:lineRule="auto"/>
        <w:ind w:firstLine="420"/>
        <w:jc w:val="both"/>
        <w:rPr>
          <w:sz w:val="21"/>
          <w:szCs w:val="21"/>
        </w:rPr>
      </w:pPr>
      <w:r>
        <w:rPr>
          <w:rFonts w:hint="eastAsia"/>
          <w:sz w:val="21"/>
          <w:szCs w:val="21"/>
        </w:rPr>
        <w:t>本公司对合同资产的预期信用损失的确定方法及会计处理方法详见11</w:t>
      </w:r>
      <w:r>
        <w:rPr>
          <w:rFonts w:ascii="Arial" w:hAnsi="Arial" w:cs="Arial"/>
          <w:sz w:val="21"/>
          <w:szCs w:val="21"/>
        </w:rPr>
        <w:t>.</w:t>
      </w:r>
      <w:r>
        <w:rPr>
          <w:rFonts w:hint="eastAsia"/>
          <w:sz w:val="21"/>
          <w:szCs w:val="21"/>
        </w:rPr>
        <w:t>金融工具减值。</w:t>
      </w:r>
    </w:p>
    <w:p w14:paraId="78906A00">
      <w:pPr>
        <w:pStyle w:val="9"/>
        <w:spacing w:before="0" w:beforeAutospacing="0" w:after="0" w:afterAutospacing="0" w:line="360" w:lineRule="auto"/>
        <w:ind w:firstLine="420"/>
        <w:jc w:val="both"/>
        <w:rPr>
          <w:sz w:val="21"/>
          <w:szCs w:val="21"/>
        </w:rPr>
      </w:pPr>
      <w:r>
        <w:rPr>
          <w:rFonts w:hint="eastAsia"/>
          <w:sz w:val="21"/>
          <w:szCs w:val="21"/>
        </w:rPr>
        <w:t>对信用风险与组合信用风险显著不同的合同资产，本公司按单项计提预期信用损失。本公司对单项金额重大且在初始确认后已经发生信用减值；在单项工具层面能以合理成本评估预期信用损失的充分证据的合同资产单独确定其信用损失。</w:t>
      </w:r>
    </w:p>
    <w:p w14:paraId="51EBDFDA">
      <w:pPr>
        <w:pStyle w:val="9"/>
        <w:spacing w:before="0" w:beforeAutospacing="0" w:after="0" w:afterAutospacing="0" w:line="360" w:lineRule="auto"/>
        <w:ind w:firstLine="420"/>
        <w:jc w:val="both"/>
        <w:rPr>
          <w:sz w:val="21"/>
          <w:szCs w:val="21"/>
        </w:rPr>
      </w:pPr>
      <w:bookmarkStart w:id="194" w:name="_Hlk216700339"/>
      <w:bookmarkEnd w:id="194"/>
      <w:r>
        <w:rPr>
          <w:rFonts w:hint="eastAsia"/>
          <w:sz w:val="21"/>
          <w:szCs w:val="21"/>
        </w:rPr>
        <w:t>当在单项工具层面无法以合理成本评估预期信用损失的充分证据时，本公司参考历史信用损失经验，结合当前状况以及对未来经济状况的判断，依据信用风险特征将合同资产划分为若干组合，在组合基础上计算预期信用损失。</w:t>
      </w:r>
    </w:p>
    <w:p w14:paraId="0CC4DCF2">
      <w:pPr>
        <w:rPr>
          <w:sz w:val="18"/>
          <w:szCs w:val="18"/>
        </w:rPr>
      </w:pPr>
    </w:p>
    <w:p w14:paraId="72348D2C">
      <w:pPr>
        <w:pStyle w:val="3"/>
        <w:spacing w:line="280" w:lineRule="exact"/>
        <w:jc w:val="left"/>
        <w:rPr>
          <w:rFonts w:ascii="宋体" w:hAnsi="宋体" w:cs="宋体"/>
          <w:b/>
          <w:bCs/>
        </w:rPr>
      </w:pPr>
      <w:bookmarkStart w:id="195" w:name="_Toc989076"/>
      <w:r>
        <w:rPr>
          <w:rFonts w:ascii="宋体" w:hAnsi="宋体" w:cs="宋体"/>
          <w:b/>
          <w:bCs/>
        </w:rPr>
        <w:t>17、存货</w:t>
      </w:r>
      <w:bookmarkEnd w:id="195"/>
    </w:p>
    <w:p w14:paraId="340FB741">
      <w:pPr>
        <w:widowControl/>
        <w:numPr>
          <w:ilvl w:val="2"/>
          <w:numId w:val="65"/>
        </w:numPr>
        <w:tabs>
          <w:tab w:val="left" w:pos="426"/>
          <w:tab w:val="clear" w:pos="2160"/>
        </w:tabs>
        <w:spacing w:before="100" w:beforeAutospacing="1" w:after="100" w:afterAutospacing="1"/>
        <w:ind w:left="426"/>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存货的确认条件</w:t>
      </w:r>
    </w:p>
    <w:p w14:paraId="1AF626B6">
      <w:pPr>
        <w:pStyle w:val="9"/>
        <w:spacing w:before="0" w:beforeAutospacing="0" w:after="0" w:afterAutospacing="0" w:line="360" w:lineRule="auto"/>
        <w:ind w:firstLine="424"/>
        <w:rPr>
          <w:rFonts w:ascii="Times New Roman" w:hAnsi="Times New Roman" w:cs="Times New Roman"/>
          <w:sz w:val="21"/>
          <w:szCs w:val="21"/>
        </w:rPr>
      </w:pPr>
      <w:bookmarkStart w:id="196" w:name="_Hlk216689652"/>
      <w:bookmarkEnd w:id="196"/>
      <w:r>
        <w:rPr>
          <w:rFonts w:hint="eastAsia" w:cs="Times New Roman"/>
          <w:sz w:val="21"/>
          <w:szCs w:val="21"/>
        </w:rPr>
        <w:t>在满足存货定义的基础上，持有的存货同时满足下列条件的，才能予以确认：</w:t>
      </w:r>
    </w:p>
    <w:p w14:paraId="546DC55C">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1</w:t>
      </w:r>
      <w:r>
        <w:rPr>
          <w:rFonts w:hint="eastAsia"/>
          <w:sz w:val="21"/>
          <w:szCs w:val="21"/>
        </w:rPr>
        <w:t>）与该存货有关的经济利益很可能流入企业；；</w:t>
      </w:r>
    </w:p>
    <w:p w14:paraId="44BD7EBE">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2</w:t>
      </w:r>
      <w:r>
        <w:rPr>
          <w:rFonts w:hint="eastAsia"/>
          <w:sz w:val="21"/>
          <w:szCs w:val="21"/>
        </w:rPr>
        <w:t>）该存货的成本能够可靠地计量。</w:t>
      </w:r>
    </w:p>
    <w:p w14:paraId="05A6C3C7">
      <w:pPr>
        <w:widowControl/>
        <w:numPr>
          <w:ilvl w:val="2"/>
          <w:numId w:val="65"/>
        </w:numPr>
        <w:tabs>
          <w:tab w:val="left" w:pos="426"/>
          <w:tab w:val="clear" w:pos="2160"/>
        </w:tabs>
        <w:spacing w:before="100" w:beforeAutospacing="1" w:after="100" w:afterAutospacing="1"/>
        <w:ind w:left="426"/>
        <w:rPr>
          <w:sz w:val="18"/>
          <w:szCs w:val="18"/>
        </w:rPr>
      </w:pPr>
      <w:r>
        <w:rPr>
          <w:rFonts w:hint="eastAsia"/>
          <w:sz w:val="18"/>
          <w:szCs w:val="18"/>
        </w:rPr>
        <w:t>．</w:t>
      </w:r>
      <w:r>
        <w:rPr>
          <w:sz w:val="18"/>
          <w:szCs w:val="18"/>
        </w:rPr>
        <w:t xml:space="preserve">  </w:t>
      </w:r>
      <w:r>
        <w:rPr>
          <w:rFonts w:hint="eastAsia"/>
          <w:sz w:val="18"/>
          <w:szCs w:val="18"/>
        </w:rPr>
        <w:t>存货类别、发出计价方法、盘存制度、低值易耗品和包装物的摊销方法</w:t>
      </w:r>
    </w:p>
    <w:p w14:paraId="673C84DF">
      <w:pPr>
        <w:widowControl/>
        <w:numPr>
          <w:ilvl w:val="0"/>
          <w:numId w:val="66"/>
        </w:numPr>
        <w:spacing w:before="100" w:beforeAutospacing="1" w:after="100" w:afterAutospacing="1"/>
        <w:rPr>
          <w:sz w:val="18"/>
          <w:szCs w:val="18"/>
        </w:rPr>
      </w:pPr>
      <w:r>
        <w:rPr>
          <w:rFonts w:hint="eastAsia"/>
          <w:sz w:val="18"/>
          <w:szCs w:val="18"/>
        </w:rPr>
        <w:t>存货类别</w:t>
      </w:r>
    </w:p>
    <w:p w14:paraId="0BC72931">
      <w:pPr>
        <w:pStyle w:val="9"/>
        <w:spacing w:before="0" w:beforeAutospacing="0" w:after="0" w:afterAutospacing="0" w:line="360" w:lineRule="auto"/>
        <w:ind w:firstLine="420"/>
        <w:jc w:val="both"/>
        <w:rPr>
          <w:sz w:val="21"/>
          <w:szCs w:val="21"/>
        </w:rPr>
      </w:pPr>
      <w:r>
        <w:rPr>
          <w:rFonts w:hint="eastAsia"/>
          <w:sz w:val="21"/>
          <w:szCs w:val="21"/>
        </w:rPr>
        <w:t>存货是指本公司在日常活动中持有以备出售的产成品或商品、处在生产过程中的在产品、在生产过程或提供劳务过程中耗用的材料和物料等。主要包括</w:t>
      </w:r>
      <w:bookmarkStart w:id="197" w:name="_Hlk216689786"/>
      <w:bookmarkEnd w:id="197"/>
      <w:r>
        <w:rPr>
          <w:rFonts w:hint="eastAsia"/>
          <w:sz w:val="21"/>
          <w:szCs w:val="21"/>
        </w:rPr>
        <w:t>原材料、周转材料、委托加工材料、在产品、自制半成品、产成品（库存商品）、发出商品等。</w:t>
      </w:r>
    </w:p>
    <w:p w14:paraId="46CB71B2">
      <w:pPr>
        <w:widowControl/>
        <w:numPr>
          <w:ilvl w:val="0"/>
          <w:numId w:val="67"/>
        </w:numPr>
        <w:spacing w:before="100" w:beforeAutospacing="1" w:after="100" w:afterAutospacing="1"/>
        <w:rPr>
          <w:sz w:val="18"/>
          <w:szCs w:val="18"/>
        </w:rPr>
      </w:pPr>
      <w:r>
        <w:rPr>
          <w:rFonts w:hint="eastAsia"/>
          <w:sz w:val="18"/>
          <w:szCs w:val="18"/>
        </w:rPr>
        <w:t>存货发出计价方法</w:t>
      </w:r>
    </w:p>
    <w:p w14:paraId="73A5C6C0">
      <w:pPr>
        <w:pStyle w:val="9"/>
        <w:spacing w:before="0" w:beforeAutospacing="0" w:after="0" w:afterAutospacing="0" w:line="360" w:lineRule="auto"/>
        <w:ind w:firstLine="420"/>
        <w:jc w:val="both"/>
        <w:rPr>
          <w:sz w:val="21"/>
          <w:szCs w:val="21"/>
        </w:rPr>
      </w:pPr>
      <w:r>
        <w:rPr>
          <w:rFonts w:hint="eastAsia"/>
          <w:sz w:val="21"/>
          <w:szCs w:val="21"/>
        </w:rPr>
        <w:t>存货在取得时，按成本进行初始计量，包括采购成本、加工成本和其他成本。</w:t>
      </w:r>
    </w:p>
    <w:p w14:paraId="738CF566">
      <w:pPr>
        <w:pStyle w:val="9"/>
        <w:spacing w:before="0" w:beforeAutospacing="0" w:after="0" w:afterAutospacing="0" w:line="360" w:lineRule="auto"/>
        <w:ind w:firstLine="420"/>
        <w:jc w:val="both"/>
        <w:rPr>
          <w:sz w:val="21"/>
          <w:szCs w:val="21"/>
        </w:rPr>
      </w:pPr>
      <w:r>
        <w:rPr>
          <w:rFonts w:hint="eastAsia"/>
          <w:sz w:val="21"/>
          <w:szCs w:val="21"/>
        </w:rPr>
        <w:t>存货发出时按移动加权平均法计价。</w:t>
      </w:r>
    </w:p>
    <w:p w14:paraId="579B7084">
      <w:pPr>
        <w:widowControl/>
        <w:numPr>
          <w:ilvl w:val="0"/>
          <w:numId w:val="68"/>
        </w:numPr>
        <w:spacing w:before="100" w:beforeAutospacing="1" w:after="100" w:afterAutospacing="1"/>
        <w:rPr>
          <w:sz w:val="18"/>
          <w:szCs w:val="18"/>
        </w:rPr>
      </w:pPr>
      <w:r>
        <w:rPr>
          <w:rFonts w:hint="eastAsia"/>
          <w:sz w:val="18"/>
          <w:szCs w:val="18"/>
        </w:rPr>
        <w:t>存货的盘存制度</w:t>
      </w:r>
    </w:p>
    <w:p w14:paraId="6C2F34D6">
      <w:pPr>
        <w:pStyle w:val="9"/>
        <w:spacing w:before="0" w:beforeAutospacing="0" w:after="0" w:afterAutospacing="0" w:line="360" w:lineRule="auto"/>
        <w:ind w:firstLine="420"/>
        <w:jc w:val="both"/>
        <w:rPr>
          <w:sz w:val="21"/>
          <w:szCs w:val="21"/>
        </w:rPr>
      </w:pPr>
      <w:r>
        <w:rPr>
          <w:rFonts w:hint="eastAsia"/>
          <w:sz w:val="21"/>
          <w:szCs w:val="21"/>
        </w:rPr>
        <w:t>存货盘存制度为永续盘存制。</w:t>
      </w:r>
    </w:p>
    <w:p w14:paraId="17ECD3AD">
      <w:pPr>
        <w:widowControl/>
        <w:numPr>
          <w:ilvl w:val="0"/>
          <w:numId w:val="69"/>
        </w:numPr>
        <w:spacing w:before="100" w:beforeAutospacing="1" w:after="100" w:afterAutospacing="1"/>
        <w:rPr>
          <w:sz w:val="18"/>
          <w:szCs w:val="18"/>
        </w:rPr>
      </w:pPr>
      <w:r>
        <w:rPr>
          <w:rFonts w:hint="eastAsia"/>
          <w:sz w:val="18"/>
          <w:szCs w:val="18"/>
        </w:rPr>
        <w:t>低值易耗品和包装物的摊销方法</w:t>
      </w:r>
    </w:p>
    <w:p w14:paraId="02EC6D81">
      <w:pPr>
        <w:pStyle w:val="9"/>
        <w:spacing w:before="0" w:beforeAutospacing="0" w:after="0" w:afterAutospacing="0" w:line="360" w:lineRule="auto"/>
        <w:ind w:left="420"/>
        <w:jc w:val="both"/>
        <w:rPr>
          <w:sz w:val="21"/>
          <w:szCs w:val="21"/>
        </w:rPr>
      </w:pPr>
      <w:r>
        <w:rPr>
          <w:rFonts w:ascii="Arial" w:hAnsi="Arial" w:cs="Arial"/>
          <w:sz w:val="21"/>
          <w:szCs w:val="21"/>
        </w:rPr>
        <w:t>1</w:t>
      </w:r>
      <w:r>
        <w:rPr>
          <w:rFonts w:hint="eastAsia"/>
          <w:sz w:val="21"/>
          <w:szCs w:val="21"/>
        </w:rPr>
        <w:t>）低值易耗品采用一次转销法进行摊销；</w:t>
      </w:r>
    </w:p>
    <w:p w14:paraId="56D363D0">
      <w:pPr>
        <w:pStyle w:val="9"/>
        <w:spacing w:before="0" w:beforeAutospacing="0" w:after="0" w:afterAutospacing="0" w:line="360" w:lineRule="auto"/>
        <w:ind w:left="420"/>
        <w:jc w:val="both"/>
        <w:rPr>
          <w:sz w:val="21"/>
          <w:szCs w:val="21"/>
        </w:rPr>
      </w:pPr>
      <w:r>
        <w:rPr>
          <w:rFonts w:ascii="Arial" w:hAnsi="Arial" w:cs="Arial"/>
          <w:sz w:val="21"/>
          <w:szCs w:val="21"/>
        </w:rPr>
        <w:t>2</w:t>
      </w:r>
      <w:r>
        <w:rPr>
          <w:rFonts w:hint="eastAsia"/>
          <w:sz w:val="21"/>
          <w:szCs w:val="21"/>
        </w:rPr>
        <w:t>）包装物采用一次转销法进行摊销。</w:t>
      </w:r>
    </w:p>
    <w:p w14:paraId="655E2EDA">
      <w:pPr>
        <w:pStyle w:val="9"/>
        <w:spacing w:before="0" w:beforeAutospacing="0" w:after="0" w:afterAutospacing="0" w:line="360" w:lineRule="auto"/>
        <w:ind w:left="420"/>
        <w:jc w:val="both"/>
        <w:rPr>
          <w:sz w:val="21"/>
          <w:szCs w:val="21"/>
        </w:rPr>
      </w:pPr>
      <w:r>
        <w:rPr>
          <w:rFonts w:ascii="Arial" w:hAnsi="Arial" w:cs="Arial"/>
          <w:sz w:val="21"/>
          <w:szCs w:val="21"/>
        </w:rPr>
        <w:t>3</w:t>
      </w:r>
      <w:r>
        <w:rPr>
          <w:rFonts w:hint="eastAsia"/>
          <w:sz w:val="21"/>
          <w:szCs w:val="21"/>
        </w:rPr>
        <w:t>）其他周转材料采用一次转销法进行摊销。</w:t>
      </w:r>
    </w:p>
    <w:p w14:paraId="52BF5D38">
      <w:pPr>
        <w:widowControl/>
        <w:numPr>
          <w:ilvl w:val="2"/>
          <w:numId w:val="65"/>
        </w:numPr>
        <w:tabs>
          <w:tab w:val="left" w:pos="426"/>
          <w:tab w:val="clear" w:pos="2160"/>
        </w:tabs>
        <w:spacing w:before="100" w:beforeAutospacing="1" w:after="100" w:afterAutospacing="1"/>
        <w:ind w:left="426"/>
        <w:rPr>
          <w:sz w:val="18"/>
          <w:szCs w:val="18"/>
        </w:rPr>
      </w:pPr>
      <w:r>
        <w:rPr>
          <w:rFonts w:hint="eastAsia"/>
          <w:sz w:val="18"/>
          <w:szCs w:val="18"/>
        </w:rPr>
        <w:t>．</w:t>
      </w:r>
      <w:r>
        <w:rPr>
          <w:sz w:val="18"/>
          <w:szCs w:val="18"/>
        </w:rPr>
        <w:t xml:space="preserve">  </w:t>
      </w:r>
      <w:r>
        <w:rPr>
          <w:rFonts w:hint="eastAsia"/>
          <w:sz w:val="18"/>
          <w:szCs w:val="18"/>
        </w:rPr>
        <w:t>存货跌价准备的确认标准和计提方法</w:t>
      </w:r>
    </w:p>
    <w:p w14:paraId="28B5675A">
      <w:pPr>
        <w:pStyle w:val="9"/>
        <w:spacing w:before="0" w:beforeAutospacing="0" w:after="0" w:afterAutospacing="0" w:line="360" w:lineRule="auto"/>
        <w:ind w:firstLine="420"/>
        <w:jc w:val="both"/>
        <w:rPr>
          <w:sz w:val="21"/>
          <w:szCs w:val="21"/>
        </w:rPr>
      </w:pPr>
      <w:r>
        <w:rPr>
          <w:rFonts w:hint="eastAsia"/>
          <w:sz w:val="21"/>
          <w:szCs w:val="21"/>
        </w:rPr>
        <w:t>期末对存货进行全面清查后，按存货的成本与可变现净值孰低提取或调整存货跌价准备。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14:paraId="6F2BFB2B">
      <w:pPr>
        <w:pStyle w:val="9"/>
        <w:spacing w:before="0" w:beforeAutospacing="0" w:after="0" w:afterAutospacing="0" w:line="360" w:lineRule="auto"/>
        <w:ind w:firstLine="420"/>
        <w:jc w:val="both"/>
        <w:rPr>
          <w:sz w:val="21"/>
          <w:szCs w:val="21"/>
        </w:rPr>
      </w:pPr>
      <w:r>
        <w:rPr>
          <w:rFonts w:hint="eastAsia"/>
          <w:sz w:val="21"/>
          <w:szCs w:val="21"/>
        </w:rPr>
        <w:t>期末按照单个存货项目计提存货跌价准备；但对于数量繁多、单价较低的存货，按照存货类别计提存货跌价准备；与在同一地区生产和销售的产品系列相关、具有相同或类似最终用途或目的，且难以与其他项目分开计量的存货，则合并计提存货跌价准备。</w:t>
      </w:r>
    </w:p>
    <w:p w14:paraId="4BF32652">
      <w:pPr>
        <w:pStyle w:val="9"/>
        <w:spacing w:before="0" w:beforeAutospacing="0" w:after="0" w:afterAutospacing="0" w:line="360" w:lineRule="auto"/>
        <w:ind w:firstLine="420"/>
        <w:jc w:val="both"/>
        <w:rPr>
          <w:sz w:val="21"/>
          <w:szCs w:val="21"/>
        </w:rPr>
      </w:pPr>
      <w:r>
        <w:rPr>
          <w:rFonts w:hint="eastAsia"/>
          <w:sz w:val="21"/>
          <w:szCs w:val="21"/>
        </w:rPr>
        <w:t>以前减记存货价值的影响因素已经消失的，减记的金额予以恢复，并在原已计提的存货跌价准备金额内转回，转回的金额计入当期损益。</w:t>
      </w:r>
    </w:p>
    <w:p w14:paraId="45F1A246">
      <w:pPr>
        <w:pStyle w:val="3"/>
        <w:spacing w:line="280" w:lineRule="exact"/>
        <w:jc w:val="left"/>
        <w:rPr>
          <w:rFonts w:ascii="宋体" w:hAnsi="宋体" w:cs="宋体"/>
          <w:b/>
          <w:bCs/>
        </w:rPr>
      </w:pPr>
      <w:bookmarkStart w:id="198" w:name="_Toc989077"/>
      <w:r>
        <w:rPr>
          <w:rFonts w:ascii="宋体" w:hAnsi="宋体" w:cs="宋体"/>
          <w:b/>
          <w:bCs/>
        </w:rPr>
        <w:t>18、持有待售资产</w:t>
      </w:r>
      <w:bookmarkEnd w:id="198"/>
    </w:p>
    <w:p w14:paraId="6F1DD4D6">
      <w:pPr>
        <w:widowControl/>
        <w:numPr>
          <w:ilvl w:val="0"/>
          <w:numId w:val="70"/>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划分为持有待售确认标准</w:t>
      </w:r>
    </w:p>
    <w:p w14:paraId="42AB1981">
      <w:pPr>
        <w:pStyle w:val="9"/>
        <w:spacing w:before="0" w:beforeAutospacing="0" w:after="0" w:afterAutospacing="0" w:line="360" w:lineRule="auto"/>
        <w:ind w:firstLine="420"/>
        <w:jc w:val="both"/>
        <w:rPr>
          <w:sz w:val="21"/>
          <w:szCs w:val="21"/>
        </w:rPr>
      </w:pPr>
      <w:r>
        <w:rPr>
          <w:rFonts w:hint="eastAsia"/>
          <w:sz w:val="21"/>
          <w:szCs w:val="21"/>
        </w:rPr>
        <w:t>本公司将同时满足下列条件的非流动资产或处置组确认为持有待售组成部分：</w:t>
      </w:r>
    </w:p>
    <w:p w14:paraId="151E542D">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1</w:t>
      </w:r>
      <w:r>
        <w:rPr>
          <w:rFonts w:hint="eastAsia"/>
          <w:sz w:val="21"/>
          <w:szCs w:val="21"/>
        </w:rPr>
        <w:t>）根据类似交易中出售此类资产或处置组的惯例，在当前状况下即可立即出售；</w:t>
      </w:r>
    </w:p>
    <w:p w14:paraId="0AE5AEF8">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2</w:t>
      </w:r>
      <w:r>
        <w:rPr>
          <w:rFonts w:hint="eastAsia"/>
          <w:sz w:val="21"/>
          <w:szCs w:val="21"/>
        </w:rPr>
        <w:t>）出售极可能发生，即本公司已经就一项出售计划作出决议，并已获得监管部门批准【如适用】，且获得确定的购买承诺，预计出售将在一年内完成。</w:t>
      </w:r>
    </w:p>
    <w:p w14:paraId="0A95D5D4">
      <w:pPr>
        <w:pStyle w:val="9"/>
        <w:spacing w:before="0" w:beforeAutospacing="0" w:after="0" w:afterAutospacing="0" w:line="360" w:lineRule="auto"/>
        <w:ind w:firstLine="420"/>
        <w:jc w:val="both"/>
        <w:rPr>
          <w:sz w:val="21"/>
          <w:szCs w:val="21"/>
        </w:rPr>
      </w:pPr>
      <w:r>
        <w:rPr>
          <w:rFonts w:hint="eastAsia"/>
          <w:sz w:val="21"/>
          <w:szCs w:val="21"/>
        </w:rPr>
        <w:t>确定的购买承诺，是指本公司与其他方签订的具有法律约束力的购买协议，该协议包含交易价格、时间和足够严厉的违约惩罚等重要条款，使协议出现重大调整或者撤销的可能性极小。</w:t>
      </w:r>
    </w:p>
    <w:p w14:paraId="3077A8DE">
      <w:pPr>
        <w:widowControl/>
        <w:numPr>
          <w:ilvl w:val="0"/>
          <w:numId w:val="71"/>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持有待售核算方法</w:t>
      </w:r>
    </w:p>
    <w:p w14:paraId="056F0F85">
      <w:pPr>
        <w:pStyle w:val="9"/>
        <w:spacing w:before="0" w:beforeAutospacing="0" w:after="0" w:afterAutospacing="0" w:line="360" w:lineRule="auto"/>
        <w:ind w:firstLine="420"/>
        <w:jc w:val="both"/>
        <w:rPr>
          <w:sz w:val="21"/>
          <w:szCs w:val="21"/>
        </w:rPr>
      </w:pPr>
      <w:r>
        <w:rPr>
          <w:rFonts w:hint="eastAsia"/>
          <w:sz w:val="21"/>
          <w:szCs w:val="21"/>
        </w:rPr>
        <w:t>本公司对于持有待售的非流动资产或处置组不计提折旧或摊销，其账面价值高于公允价值减去出售费用后的净额的，将账面价值减记至公允价值减去出售费用后的净额，减记的金额确认为资产减值损失，计入当期损益，同时计提持有待售资产减值准备。</w:t>
      </w:r>
    </w:p>
    <w:p w14:paraId="7FCD42E5">
      <w:pPr>
        <w:pStyle w:val="9"/>
        <w:spacing w:before="0" w:beforeAutospacing="0" w:after="0" w:afterAutospacing="0" w:line="360" w:lineRule="auto"/>
        <w:ind w:firstLine="420"/>
        <w:jc w:val="both"/>
        <w:rPr>
          <w:sz w:val="21"/>
          <w:szCs w:val="21"/>
        </w:rPr>
      </w:pPr>
      <w:r>
        <w:rPr>
          <w:rFonts w:hint="eastAsia"/>
          <w:sz w:val="21"/>
          <w:szCs w:val="21"/>
        </w:rPr>
        <w:t>对于取得日划分为持有待售类别的非流动资产或处置组，在初始计量时比较假定其不划分为持有待售类别情况下的初始计量金额和公允价值减去出售费用后的净额，以两者孰低计量。</w:t>
      </w:r>
    </w:p>
    <w:p w14:paraId="44A4B12E">
      <w:pPr>
        <w:pStyle w:val="9"/>
        <w:spacing w:before="0" w:beforeAutospacing="0" w:after="0" w:afterAutospacing="0" w:line="360" w:lineRule="auto"/>
        <w:ind w:firstLine="420"/>
        <w:jc w:val="both"/>
        <w:rPr>
          <w:sz w:val="21"/>
          <w:szCs w:val="21"/>
        </w:rPr>
      </w:pPr>
      <w:r>
        <w:rPr>
          <w:rFonts w:hint="eastAsia"/>
          <w:sz w:val="21"/>
          <w:szCs w:val="21"/>
        </w:rPr>
        <w:t>上述原则适用于所有非流动资产，但不包括采用公允价值模式进行后续计量的投资性房地产、采用公允价值减去出售费用后的净额计量的生物资产、职工薪酬形成的资产、递延所得税资产、由金融工具相关会计准则规范的金融资产、由保险合同相关会计准则规范的保险合同所产生的权利。</w:t>
      </w:r>
    </w:p>
    <w:p w14:paraId="4B6DFD4B">
      <w:pPr>
        <w:pStyle w:val="3"/>
        <w:spacing w:line="280" w:lineRule="exact"/>
        <w:jc w:val="left"/>
        <w:rPr>
          <w:rFonts w:ascii="宋体" w:hAnsi="宋体" w:cs="宋体"/>
          <w:b/>
          <w:bCs/>
        </w:rPr>
      </w:pPr>
      <w:bookmarkStart w:id="199" w:name="_Toc989078"/>
      <w:r>
        <w:rPr>
          <w:rFonts w:ascii="宋体" w:hAnsi="宋体" w:cs="宋体"/>
          <w:b/>
          <w:bCs/>
        </w:rPr>
        <w:t>19、债权投资</w:t>
      </w:r>
      <w:bookmarkEnd w:id="199"/>
    </w:p>
    <w:p w14:paraId="5F467312">
      <w:pPr>
        <w:pStyle w:val="9"/>
        <w:spacing w:before="0" w:beforeAutospacing="0" w:after="0" w:afterAutospacing="0" w:line="360" w:lineRule="auto"/>
        <w:ind w:firstLine="420"/>
        <w:jc w:val="both"/>
        <w:rPr>
          <w:sz w:val="21"/>
          <w:szCs w:val="21"/>
        </w:rPr>
      </w:pPr>
      <w:r>
        <w:rPr>
          <w:rFonts w:hint="eastAsia"/>
          <w:sz w:val="21"/>
          <w:szCs w:val="21"/>
        </w:rPr>
        <w:t>本公司对债权投资的预期信用损失的确定方法及会计处理方法详见11</w:t>
      </w:r>
      <w:r>
        <w:rPr>
          <w:rFonts w:ascii="Arial" w:hAnsi="Arial" w:cs="Arial"/>
          <w:sz w:val="21"/>
          <w:szCs w:val="21"/>
        </w:rPr>
        <w:t>.</w:t>
      </w:r>
      <w:r>
        <w:rPr>
          <w:rFonts w:hint="eastAsia"/>
          <w:sz w:val="21"/>
          <w:szCs w:val="21"/>
        </w:rPr>
        <w:t>金融工具减值。</w:t>
      </w:r>
    </w:p>
    <w:p w14:paraId="6389E320">
      <w:pPr>
        <w:pStyle w:val="3"/>
        <w:spacing w:line="280" w:lineRule="exact"/>
        <w:jc w:val="left"/>
        <w:rPr>
          <w:rFonts w:ascii="宋体" w:hAnsi="宋体" w:cs="宋体"/>
          <w:b/>
          <w:bCs/>
        </w:rPr>
      </w:pPr>
      <w:bookmarkStart w:id="200" w:name="_Toc989079"/>
      <w:r>
        <w:rPr>
          <w:rFonts w:ascii="宋体" w:hAnsi="宋体" w:cs="宋体"/>
          <w:b/>
          <w:bCs/>
        </w:rPr>
        <w:t>20、其他债权投资</w:t>
      </w:r>
      <w:bookmarkEnd w:id="200"/>
    </w:p>
    <w:p w14:paraId="36DC2B2F">
      <w:pPr>
        <w:pStyle w:val="9"/>
        <w:spacing w:before="0" w:beforeAutospacing="0" w:after="0" w:afterAutospacing="0" w:line="360" w:lineRule="auto"/>
        <w:ind w:firstLine="420"/>
        <w:jc w:val="both"/>
        <w:rPr>
          <w:sz w:val="21"/>
          <w:szCs w:val="21"/>
        </w:rPr>
      </w:pPr>
      <w:r>
        <w:rPr>
          <w:rFonts w:hint="eastAsia"/>
          <w:sz w:val="21"/>
          <w:szCs w:val="21"/>
        </w:rPr>
        <w:t>本公司对其他债权投资的预期信用损失的确定方法及会计处理方法详见11</w:t>
      </w:r>
      <w:r>
        <w:rPr>
          <w:rFonts w:ascii="Arial" w:hAnsi="Arial" w:cs="Arial"/>
          <w:sz w:val="21"/>
          <w:szCs w:val="21"/>
        </w:rPr>
        <w:t>.</w:t>
      </w:r>
      <w:r>
        <w:rPr>
          <w:rFonts w:hint="eastAsia"/>
          <w:sz w:val="21"/>
          <w:szCs w:val="21"/>
        </w:rPr>
        <w:t>金融工具减值。</w:t>
      </w:r>
    </w:p>
    <w:p w14:paraId="2AAAAA2A">
      <w:pPr>
        <w:pStyle w:val="3"/>
        <w:spacing w:line="280" w:lineRule="exact"/>
        <w:jc w:val="left"/>
        <w:rPr>
          <w:rFonts w:ascii="宋体" w:hAnsi="宋体" w:cs="宋体"/>
          <w:b/>
          <w:bCs/>
        </w:rPr>
      </w:pPr>
      <w:bookmarkStart w:id="201" w:name="_Toc989080"/>
      <w:r>
        <w:rPr>
          <w:rFonts w:ascii="宋体" w:hAnsi="宋体" w:cs="宋体"/>
          <w:b/>
          <w:bCs/>
        </w:rPr>
        <w:t>21、长期应收款</w:t>
      </w:r>
      <w:bookmarkEnd w:id="201"/>
    </w:p>
    <w:p w14:paraId="695CD8B1">
      <w:pPr>
        <w:pStyle w:val="9"/>
        <w:spacing w:before="0" w:beforeAutospacing="0" w:after="0" w:afterAutospacing="0" w:line="360" w:lineRule="auto"/>
        <w:ind w:firstLine="420"/>
        <w:jc w:val="both"/>
        <w:rPr>
          <w:sz w:val="21"/>
          <w:szCs w:val="21"/>
        </w:rPr>
      </w:pPr>
      <w:r>
        <w:rPr>
          <w:rFonts w:hint="eastAsia"/>
          <w:sz w:val="21"/>
          <w:szCs w:val="21"/>
        </w:rPr>
        <w:t>本公司对长期应收款的预期信用损失的确定方法及会计处理方法详见11</w:t>
      </w:r>
      <w:r>
        <w:rPr>
          <w:rFonts w:ascii="Arial" w:hAnsi="Arial" w:cs="Arial"/>
          <w:sz w:val="21"/>
          <w:szCs w:val="21"/>
        </w:rPr>
        <w:t>.</w:t>
      </w:r>
      <w:r>
        <w:rPr>
          <w:rFonts w:hint="eastAsia"/>
          <w:sz w:val="21"/>
          <w:szCs w:val="21"/>
        </w:rPr>
        <w:t>金融工具减值。</w:t>
      </w:r>
    </w:p>
    <w:p w14:paraId="04BF5651">
      <w:pPr>
        <w:pStyle w:val="9"/>
        <w:spacing w:before="0" w:beforeAutospacing="0" w:after="0" w:afterAutospacing="0" w:line="360" w:lineRule="auto"/>
        <w:ind w:firstLine="420"/>
        <w:jc w:val="both"/>
        <w:rPr>
          <w:sz w:val="21"/>
          <w:szCs w:val="21"/>
        </w:rPr>
      </w:pPr>
      <w:r>
        <w:rPr>
          <w:rFonts w:hint="eastAsia"/>
          <w:sz w:val="21"/>
          <w:szCs w:val="21"/>
        </w:rPr>
        <w:t>本公司对单项金额重大且在初始确认后已经发生信用减值的长期应收款单独确定其信用损失。</w:t>
      </w:r>
    </w:p>
    <w:p w14:paraId="5D95A90C">
      <w:pPr>
        <w:pStyle w:val="9"/>
        <w:spacing w:before="0" w:beforeAutospacing="0" w:after="0" w:afterAutospacing="0" w:line="360" w:lineRule="auto"/>
        <w:ind w:firstLine="420"/>
        <w:jc w:val="both"/>
        <w:rPr>
          <w:sz w:val="21"/>
          <w:szCs w:val="21"/>
        </w:rPr>
      </w:pPr>
      <w:r>
        <w:rPr>
          <w:rFonts w:hint="eastAsia"/>
          <w:sz w:val="21"/>
          <w:szCs w:val="21"/>
        </w:rPr>
        <w:t>当在单项工具层面无法以合理成本评估预期信用损失的充分证据时，本公司参考历史信用损失经验，结合当前状况以及对未来经济状况的判断，依据信用风险特征将长期应收款划分为若干组合，在组合基础上计算预期信用损失。确定组合的依据如下：</w:t>
      </w:r>
    </w:p>
    <w:tbl>
      <w:tblPr>
        <w:tblStyle w:val="10"/>
        <w:tblW w:w="4850" w:type="pct"/>
        <w:tblInd w:w="0" w:type="dxa"/>
        <w:tblLayout w:type="autofit"/>
        <w:tblCellMar>
          <w:top w:w="0" w:type="dxa"/>
          <w:left w:w="0" w:type="dxa"/>
          <w:bottom w:w="0" w:type="dxa"/>
          <w:right w:w="0" w:type="dxa"/>
        </w:tblCellMar>
      </w:tblPr>
      <w:tblGrid>
        <w:gridCol w:w="1506"/>
        <w:gridCol w:w="4015"/>
        <w:gridCol w:w="4036"/>
      </w:tblGrid>
      <w:tr w14:paraId="3849B427">
        <w:tblPrEx>
          <w:tblCellMar>
            <w:top w:w="0" w:type="dxa"/>
            <w:left w:w="0" w:type="dxa"/>
            <w:bottom w:w="0" w:type="dxa"/>
            <w:right w:w="0" w:type="dxa"/>
          </w:tblCellMar>
        </w:tblPrEx>
        <w:trPr>
          <w:trHeight w:val="340" w:hRule="atLeast"/>
        </w:trPr>
        <w:tc>
          <w:tcPr>
            <w:tcW w:w="13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69802C">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组合名称</w:t>
            </w:r>
          </w:p>
        </w:tc>
        <w:tc>
          <w:tcPr>
            <w:tcW w:w="349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801BEB">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确定组合的依据</w:t>
            </w:r>
          </w:p>
        </w:tc>
        <w:tc>
          <w:tcPr>
            <w:tcW w:w="35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38F9100">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计提方法</w:t>
            </w:r>
          </w:p>
        </w:tc>
      </w:tr>
      <w:tr w14:paraId="5A76C262">
        <w:tblPrEx>
          <w:tblCellMar>
            <w:top w:w="0" w:type="dxa"/>
            <w:left w:w="0" w:type="dxa"/>
            <w:bottom w:w="0" w:type="dxa"/>
            <w:right w:w="0" w:type="dxa"/>
          </w:tblCellMar>
        </w:tblPrEx>
        <w:trPr>
          <w:trHeight w:val="340" w:hRule="atLeast"/>
        </w:trPr>
        <w:tc>
          <w:tcPr>
            <w:tcW w:w="13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47B7AF">
            <w:pPr>
              <w:pStyle w:val="9"/>
              <w:spacing w:before="0" w:beforeAutospacing="0" w:after="0" w:afterAutospacing="0"/>
              <w:textAlignment w:val="center"/>
              <w:rPr>
                <w:rFonts w:ascii="Times New Roman" w:hAnsi="Times New Roman" w:cs="Times New Roman"/>
                <w:sz w:val="21"/>
                <w:szCs w:val="21"/>
              </w:rPr>
            </w:pPr>
            <w:r>
              <w:rPr>
                <w:rFonts w:hint="eastAsia" w:cs="Times New Roman"/>
                <w:sz w:val="22"/>
                <w:szCs w:val="22"/>
              </w:rPr>
              <w:t>风险组合</w:t>
            </w:r>
          </w:p>
        </w:tc>
        <w:tc>
          <w:tcPr>
            <w:tcW w:w="3491" w:type="dxa"/>
            <w:tcBorders>
              <w:top w:val="nil"/>
              <w:left w:val="nil"/>
              <w:bottom w:val="single" w:color="auto" w:sz="8" w:space="0"/>
              <w:right w:val="single" w:color="auto" w:sz="8" w:space="0"/>
            </w:tcBorders>
            <w:tcMar>
              <w:top w:w="0" w:type="dxa"/>
              <w:left w:w="108" w:type="dxa"/>
              <w:bottom w:w="0" w:type="dxa"/>
              <w:right w:w="108" w:type="dxa"/>
            </w:tcMar>
            <w:vAlign w:val="center"/>
          </w:tcPr>
          <w:p w14:paraId="7BA7F8C6">
            <w:pPr>
              <w:pStyle w:val="9"/>
              <w:spacing w:before="0" w:beforeAutospacing="0" w:after="0" w:afterAutospacing="0"/>
              <w:textAlignment w:val="center"/>
              <w:rPr>
                <w:rFonts w:ascii="Times New Roman" w:hAnsi="Times New Roman" w:cs="Times New Roman"/>
                <w:sz w:val="21"/>
                <w:szCs w:val="21"/>
              </w:rPr>
            </w:pPr>
            <w:r>
              <w:rPr>
                <w:rFonts w:hint="eastAsia" w:cs="Times New Roman"/>
                <w:sz w:val="22"/>
                <w:szCs w:val="22"/>
              </w:rPr>
              <w:t>本组合以长期应收款的账龄作为信用风险特征</w:t>
            </w:r>
          </w:p>
        </w:tc>
        <w:tc>
          <w:tcPr>
            <w:tcW w:w="3509" w:type="dxa"/>
            <w:tcBorders>
              <w:top w:val="nil"/>
              <w:left w:val="nil"/>
              <w:bottom w:val="single" w:color="auto" w:sz="8" w:space="0"/>
              <w:right w:val="single" w:color="auto" w:sz="8" w:space="0"/>
            </w:tcBorders>
            <w:tcMar>
              <w:top w:w="0" w:type="dxa"/>
              <w:left w:w="108" w:type="dxa"/>
              <w:bottom w:w="0" w:type="dxa"/>
              <w:right w:w="108" w:type="dxa"/>
            </w:tcMar>
            <w:vAlign w:val="center"/>
          </w:tcPr>
          <w:p w14:paraId="75C7E26E">
            <w:pPr>
              <w:pStyle w:val="9"/>
              <w:spacing w:before="0" w:beforeAutospacing="0" w:after="0" w:afterAutospacing="0"/>
              <w:textAlignment w:val="center"/>
              <w:rPr>
                <w:rFonts w:ascii="Times New Roman" w:hAnsi="Times New Roman" w:cs="Times New Roman"/>
                <w:sz w:val="21"/>
                <w:szCs w:val="21"/>
              </w:rPr>
            </w:pPr>
            <w:r>
              <w:rPr>
                <w:rFonts w:hint="eastAsia" w:cs="Times New Roman"/>
                <w:sz w:val="22"/>
                <w:szCs w:val="22"/>
              </w:rPr>
              <w:t>参考历史信用损失经验，结合当前状况以及对未来经济状况的预期计量坏账准备</w:t>
            </w:r>
          </w:p>
        </w:tc>
      </w:tr>
      <w:tr w14:paraId="5B88C00F">
        <w:tblPrEx>
          <w:tblCellMar>
            <w:top w:w="0" w:type="dxa"/>
            <w:left w:w="0" w:type="dxa"/>
            <w:bottom w:w="0" w:type="dxa"/>
            <w:right w:w="0" w:type="dxa"/>
          </w:tblCellMar>
        </w:tblPrEx>
        <w:trPr>
          <w:trHeight w:val="340" w:hRule="atLeast"/>
        </w:trPr>
        <w:tc>
          <w:tcPr>
            <w:tcW w:w="13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7DA00A">
            <w:pPr>
              <w:pStyle w:val="9"/>
              <w:spacing w:before="0" w:beforeAutospacing="0" w:after="0" w:afterAutospacing="0"/>
              <w:textAlignment w:val="center"/>
              <w:rPr>
                <w:rFonts w:ascii="Times New Roman" w:hAnsi="Times New Roman" w:cs="Times New Roman"/>
                <w:sz w:val="21"/>
                <w:szCs w:val="21"/>
              </w:rPr>
            </w:pPr>
            <w:r>
              <w:rPr>
                <w:rFonts w:hint="eastAsia" w:cs="Times New Roman"/>
                <w:sz w:val="22"/>
                <w:szCs w:val="22"/>
              </w:rPr>
              <w:t>性质组合</w:t>
            </w:r>
          </w:p>
        </w:tc>
        <w:tc>
          <w:tcPr>
            <w:tcW w:w="3491" w:type="dxa"/>
            <w:tcBorders>
              <w:top w:val="nil"/>
              <w:left w:val="nil"/>
              <w:bottom w:val="single" w:color="auto" w:sz="8" w:space="0"/>
              <w:right w:val="single" w:color="auto" w:sz="8" w:space="0"/>
            </w:tcBorders>
            <w:tcMar>
              <w:top w:w="0" w:type="dxa"/>
              <w:left w:w="108" w:type="dxa"/>
              <w:bottom w:w="0" w:type="dxa"/>
              <w:right w:w="108" w:type="dxa"/>
            </w:tcMar>
            <w:vAlign w:val="center"/>
          </w:tcPr>
          <w:p w14:paraId="465EB64D">
            <w:pPr>
              <w:pStyle w:val="9"/>
              <w:spacing w:before="0" w:beforeAutospacing="0" w:after="0" w:afterAutospacing="0"/>
              <w:textAlignment w:val="center"/>
              <w:rPr>
                <w:rFonts w:ascii="Times New Roman" w:hAnsi="Times New Roman" w:cs="Times New Roman"/>
                <w:sz w:val="21"/>
                <w:szCs w:val="21"/>
              </w:rPr>
            </w:pPr>
            <w:r>
              <w:rPr>
                <w:rFonts w:hint="eastAsia" w:cs="Times New Roman"/>
                <w:sz w:val="22"/>
                <w:szCs w:val="22"/>
              </w:rPr>
              <w:t>根据业务性质，主要包括合并范围内关联方的款项、出口退税款</w:t>
            </w:r>
          </w:p>
        </w:tc>
        <w:tc>
          <w:tcPr>
            <w:tcW w:w="3509" w:type="dxa"/>
            <w:tcBorders>
              <w:top w:val="nil"/>
              <w:left w:val="nil"/>
              <w:bottom w:val="single" w:color="auto" w:sz="8" w:space="0"/>
              <w:right w:val="single" w:color="auto" w:sz="8" w:space="0"/>
            </w:tcBorders>
            <w:tcMar>
              <w:top w:w="0" w:type="dxa"/>
              <w:left w:w="108" w:type="dxa"/>
              <w:bottom w:w="0" w:type="dxa"/>
              <w:right w:w="108" w:type="dxa"/>
            </w:tcMar>
            <w:vAlign w:val="center"/>
          </w:tcPr>
          <w:p w14:paraId="0715675C">
            <w:pPr>
              <w:pStyle w:val="9"/>
              <w:spacing w:before="0" w:beforeAutospacing="0" w:after="0" w:afterAutospacing="0"/>
              <w:textAlignment w:val="center"/>
              <w:rPr>
                <w:rFonts w:ascii="Times New Roman" w:hAnsi="Times New Roman" w:cs="Times New Roman"/>
                <w:sz w:val="21"/>
                <w:szCs w:val="21"/>
              </w:rPr>
            </w:pPr>
            <w:r>
              <w:rPr>
                <w:rFonts w:hint="eastAsia" w:cs="Times New Roman"/>
                <w:sz w:val="22"/>
                <w:szCs w:val="22"/>
              </w:rPr>
              <w:t>参考历史信用损失经验，结合当前状况以及对未来经济状况的预期计量坏账准备</w:t>
            </w:r>
          </w:p>
        </w:tc>
      </w:tr>
    </w:tbl>
    <w:p w14:paraId="7AC8E009">
      <w:pPr>
        <w:pStyle w:val="3"/>
        <w:spacing w:line="280" w:lineRule="exact"/>
        <w:jc w:val="left"/>
        <w:rPr>
          <w:rFonts w:ascii="宋体" w:hAnsi="宋体" w:cs="宋体"/>
          <w:b/>
          <w:bCs/>
        </w:rPr>
      </w:pPr>
      <w:bookmarkStart w:id="202" w:name="_Toc989081"/>
      <w:r>
        <w:rPr>
          <w:rFonts w:ascii="宋体" w:hAnsi="宋体" w:cs="宋体"/>
          <w:b/>
          <w:bCs/>
        </w:rPr>
        <w:t>22、长期股权投资</w:t>
      </w:r>
      <w:bookmarkEnd w:id="202"/>
    </w:p>
    <w:p w14:paraId="55CCA0F4">
      <w:pPr>
        <w:widowControl/>
        <w:numPr>
          <w:ilvl w:val="0"/>
          <w:numId w:val="72"/>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初始投资成本的确定</w:t>
      </w:r>
    </w:p>
    <w:p w14:paraId="2169D7E9">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1</w:t>
      </w:r>
      <w:r>
        <w:rPr>
          <w:rFonts w:hint="eastAsia"/>
          <w:sz w:val="21"/>
          <w:szCs w:val="21"/>
        </w:rPr>
        <w:t>）企业合并形成的长期股权投资，具体会计政策详见6.同一控制下和非同一控制下企业合并的会计处理方法。</w:t>
      </w:r>
    </w:p>
    <w:p w14:paraId="7492B82C">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2</w:t>
      </w:r>
      <w:r>
        <w:rPr>
          <w:rFonts w:hint="eastAsia"/>
          <w:sz w:val="21"/>
          <w:szCs w:val="21"/>
        </w:rPr>
        <w:t>）其他方式取得的长期股权投资</w:t>
      </w:r>
    </w:p>
    <w:p w14:paraId="7AE37A31">
      <w:pPr>
        <w:pStyle w:val="9"/>
        <w:spacing w:before="0" w:beforeAutospacing="0" w:after="0" w:afterAutospacing="0" w:line="360" w:lineRule="auto"/>
        <w:ind w:firstLine="420"/>
        <w:jc w:val="both"/>
        <w:rPr>
          <w:sz w:val="21"/>
          <w:szCs w:val="21"/>
        </w:rPr>
      </w:pPr>
      <w:r>
        <w:rPr>
          <w:rFonts w:hint="eastAsia"/>
          <w:sz w:val="21"/>
          <w:szCs w:val="21"/>
        </w:rPr>
        <w:t>以支付现金方式取得的长期股权投资，按照实际支付的购买价款作为初始投资成本。初始投资成本包括与取得长期股权投资直接相关的费用、税金及其他必要支出。</w:t>
      </w:r>
    </w:p>
    <w:p w14:paraId="12FB4FA5">
      <w:pPr>
        <w:pStyle w:val="9"/>
        <w:spacing w:before="0" w:beforeAutospacing="0" w:after="0" w:afterAutospacing="0" w:line="360" w:lineRule="auto"/>
        <w:ind w:firstLine="420"/>
        <w:jc w:val="both"/>
        <w:rPr>
          <w:sz w:val="21"/>
          <w:szCs w:val="21"/>
        </w:rPr>
      </w:pPr>
      <w:r>
        <w:rPr>
          <w:rFonts w:hint="eastAsia"/>
          <w:sz w:val="21"/>
          <w:szCs w:val="21"/>
        </w:rPr>
        <w:t>以发行权益性证券取得的长期股权投资，按照发行权益性证券的公允价值作为初始投资成本；发行或取得自身权益工具时发生的交易费用，可直接归属于权益性交易的从权益中扣减。</w:t>
      </w:r>
    </w:p>
    <w:p w14:paraId="6496BDA8">
      <w:pPr>
        <w:pStyle w:val="9"/>
        <w:spacing w:before="0" w:beforeAutospacing="0" w:after="0" w:afterAutospacing="0" w:line="360" w:lineRule="auto"/>
        <w:ind w:firstLine="420"/>
        <w:jc w:val="both"/>
        <w:rPr>
          <w:sz w:val="21"/>
          <w:szCs w:val="21"/>
        </w:rPr>
      </w:pPr>
      <w:r>
        <w:rPr>
          <w:rFonts w:hint="eastAsia"/>
          <w:sz w:val="21"/>
          <w:szCs w:val="21"/>
        </w:rPr>
        <w:t>在非货币性资产交换具备商业实质和换入资产或换出资产的公允价值能够可靠计量的前提下，非货币性资产交换换入的长期股权投资以换出资产的公允价值为基础确定其初始投资成本，除非有确凿证据表明换入资产的公允价值更加可靠；不满足上述前提的非货币性资产交换，以换出资产的账面价值和应支付的相关税费作为换入长期股权投资的初始投资成本。</w:t>
      </w:r>
    </w:p>
    <w:p w14:paraId="009085B0">
      <w:pPr>
        <w:pStyle w:val="9"/>
        <w:spacing w:before="0" w:beforeAutospacing="0" w:after="0" w:afterAutospacing="0" w:line="360" w:lineRule="auto"/>
        <w:ind w:firstLine="420"/>
        <w:jc w:val="both"/>
        <w:rPr>
          <w:sz w:val="21"/>
          <w:szCs w:val="21"/>
        </w:rPr>
      </w:pPr>
      <w:r>
        <w:rPr>
          <w:rFonts w:hint="eastAsia"/>
          <w:sz w:val="21"/>
          <w:szCs w:val="21"/>
        </w:rPr>
        <w:t>通过债务重组取得的长期股权投资，其初始投资成本按照公允价值为基础确定。</w:t>
      </w:r>
    </w:p>
    <w:p w14:paraId="1C776126">
      <w:pPr>
        <w:widowControl/>
        <w:numPr>
          <w:ilvl w:val="0"/>
          <w:numId w:val="73"/>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后续计量及损益确认</w:t>
      </w:r>
    </w:p>
    <w:p w14:paraId="69726CD1">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1</w:t>
      </w:r>
      <w:r>
        <w:rPr>
          <w:rFonts w:hint="eastAsia"/>
          <w:sz w:val="21"/>
          <w:szCs w:val="21"/>
        </w:rPr>
        <w:t>）成本法</w:t>
      </w:r>
    </w:p>
    <w:p w14:paraId="1BBBAA95">
      <w:pPr>
        <w:pStyle w:val="9"/>
        <w:spacing w:before="0" w:beforeAutospacing="0" w:after="0" w:afterAutospacing="0" w:line="360" w:lineRule="auto"/>
        <w:ind w:firstLine="420"/>
        <w:jc w:val="both"/>
        <w:rPr>
          <w:sz w:val="21"/>
          <w:szCs w:val="21"/>
        </w:rPr>
      </w:pPr>
      <w:r>
        <w:rPr>
          <w:rFonts w:hint="eastAsia"/>
          <w:sz w:val="21"/>
          <w:szCs w:val="21"/>
        </w:rPr>
        <w:t>本公司能够对被投资单位实施控制的长期股权投资采用成本法核算，并按照初始投资成本计价，追加或收回投资调整长期股权投资的成本。</w:t>
      </w:r>
    </w:p>
    <w:p w14:paraId="720D17E0">
      <w:pPr>
        <w:pStyle w:val="9"/>
        <w:spacing w:before="0" w:beforeAutospacing="0" w:after="0" w:afterAutospacing="0" w:line="360" w:lineRule="auto"/>
        <w:ind w:firstLine="420"/>
        <w:jc w:val="both"/>
        <w:rPr>
          <w:sz w:val="21"/>
          <w:szCs w:val="21"/>
        </w:rPr>
      </w:pPr>
      <w:r>
        <w:rPr>
          <w:rFonts w:hint="eastAsia"/>
          <w:sz w:val="21"/>
          <w:szCs w:val="21"/>
        </w:rPr>
        <w:t>除取得投资时实际支付的价款或对价中包含的已宣告但尚未发放的现金股利或利润外，本公司按照享有被投资单位宣告分派的现金股利或利润确认为当期投资收益。</w:t>
      </w:r>
    </w:p>
    <w:p w14:paraId="342B72C4">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2</w:t>
      </w:r>
      <w:r>
        <w:rPr>
          <w:rFonts w:hint="eastAsia"/>
          <w:sz w:val="21"/>
          <w:szCs w:val="21"/>
        </w:rPr>
        <w:t>）权益法</w:t>
      </w:r>
    </w:p>
    <w:p w14:paraId="49701800">
      <w:pPr>
        <w:pStyle w:val="9"/>
        <w:spacing w:before="0" w:beforeAutospacing="0" w:after="0" w:afterAutospacing="0" w:line="360" w:lineRule="auto"/>
        <w:ind w:firstLine="420"/>
        <w:jc w:val="both"/>
        <w:rPr>
          <w:sz w:val="21"/>
          <w:szCs w:val="21"/>
        </w:rPr>
      </w:pPr>
      <w:r>
        <w:rPr>
          <w:rFonts w:hint="eastAsia"/>
          <w:sz w:val="21"/>
          <w:szCs w:val="21"/>
        </w:rPr>
        <w:t>本公司对联营企业和合营企业的长期股权投资采用权益法核算；对于其中一部分通过风险投资机构、共同基金、信托公司或包括投连险基金在内的类似主体间接持有的联营企业的权益性投资，采用公允价值计量且其变动计入损益。</w:t>
      </w:r>
    </w:p>
    <w:p w14:paraId="699D9DEA">
      <w:pPr>
        <w:pStyle w:val="9"/>
        <w:spacing w:before="0" w:beforeAutospacing="0" w:after="0" w:afterAutospacing="0" w:line="360" w:lineRule="auto"/>
        <w:ind w:firstLine="420"/>
        <w:jc w:val="both"/>
        <w:rPr>
          <w:sz w:val="21"/>
          <w:szCs w:val="21"/>
        </w:rPr>
      </w:pPr>
      <w:r>
        <w:rPr>
          <w:rFonts w:hint="eastAsia"/>
          <w:sz w:val="21"/>
          <w:szCs w:val="21"/>
        </w:rPr>
        <w:t>长期股权投资的初始投资成本大于投资时应享有被投资单位可辨认净资产公允价值份额的差额，不调整长期股权投资的初始投资成本；初始投资成本小于投资时应享有被投资单位可辨认净资产公允价值份额的差额，计入当期损益。</w:t>
      </w:r>
    </w:p>
    <w:p w14:paraId="29B180F2">
      <w:pPr>
        <w:pStyle w:val="9"/>
        <w:spacing w:before="0" w:beforeAutospacing="0" w:after="0" w:afterAutospacing="0" w:line="360" w:lineRule="auto"/>
        <w:ind w:firstLine="420"/>
        <w:jc w:val="both"/>
        <w:rPr>
          <w:sz w:val="21"/>
          <w:szCs w:val="21"/>
        </w:rPr>
      </w:pPr>
      <w:r>
        <w:rPr>
          <w:rFonts w:hint="eastAsia"/>
          <w:sz w:val="21"/>
          <w:szCs w:val="21"/>
        </w:rPr>
        <w:t>本公司取得长期股权投资后，按照应享有或应分担的被投资单位实现的净损益和其他综合收益的份额，分别确认投资收益和其他综合收益，同时调整长期股权投资的账面价值；并按照被投资单位宣告分派的利润或现金股利计算应享有的部分，相应减少长期股权投资的账面价值；对于被投资单位除净损益、其他综合收益和利润分配以外所有者权益的其他变动，调整长期股权投资的账面价值并计入所有者权益。</w:t>
      </w:r>
    </w:p>
    <w:p w14:paraId="7B278320">
      <w:pPr>
        <w:pStyle w:val="9"/>
        <w:spacing w:before="0" w:beforeAutospacing="0" w:after="0" w:afterAutospacing="0" w:line="360" w:lineRule="auto"/>
        <w:ind w:firstLine="420"/>
        <w:jc w:val="both"/>
        <w:rPr>
          <w:sz w:val="21"/>
          <w:szCs w:val="21"/>
        </w:rPr>
      </w:pPr>
      <w:r>
        <w:rPr>
          <w:rFonts w:hint="eastAsia"/>
          <w:sz w:val="21"/>
          <w:szCs w:val="21"/>
        </w:rPr>
        <w:t>本公司在确认应享有被投资单位净损益的份额时，以取得投资时被投资单位各项可辨认资产等的公允价值为基础，对被投资单位的净利润进行调整后确认。本公司与联营企业、合营企业之间发生的未实现内部交易损益按照应享有的比例计算归属于本公司的部分予以抵销，在此基础上确认投资损益。</w:t>
      </w:r>
    </w:p>
    <w:p w14:paraId="7B8646F3">
      <w:pPr>
        <w:pStyle w:val="9"/>
        <w:spacing w:before="0" w:beforeAutospacing="0" w:after="0" w:afterAutospacing="0" w:line="360" w:lineRule="auto"/>
        <w:ind w:firstLine="420"/>
        <w:jc w:val="both"/>
        <w:rPr>
          <w:sz w:val="21"/>
          <w:szCs w:val="21"/>
        </w:rPr>
      </w:pPr>
      <w:r>
        <w:rPr>
          <w:rFonts w:hint="eastAsia"/>
          <w:sz w:val="21"/>
          <w:szCs w:val="21"/>
        </w:rPr>
        <w:t>本公司确认应分担被投资单位发生的亏损时，按照以下顺序进行处理：首先，冲减长期股权投资的账面价值。其次，长期股权投资的账面价值不足以冲减的，以其他实质上构成对被投资单位净投资的长期权益账面价值为限继续确认投资损失，冲减长期应收项目等的账面价值。最后，经过上述处理，按照投资合同或协议约定企业仍承担额外义务的，按预计承担的义务确认预计负债，计入当期投资损失。</w:t>
      </w:r>
    </w:p>
    <w:p w14:paraId="05E53F59">
      <w:pPr>
        <w:pStyle w:val="9"/>
        <w:spacing w:before="0" w:beforeAutospacing="0" w:after="0" w:afterAutospacing="0" w:line="360" w:lineRule="auto"/>
        <w:ind w:firstLine="420"/>
        <w:jc w:val="both"/>
        <w:rPr>
          <w:sz w:val="21"/>
          <w:szCs w:val="21"/>
        </w:rPr>
      </w:pPr>
      <w:r>
        <w:rPr>
          <w:rFonts w:hint="eastAsia"/>
          <w:sz w:val="21"/>
          <w:szCs w:val="21"/>
        </w:rPr>
        <w:t>被投资单位以后期间实现盈利的，公司在扣除未确认的亏损分担额后，按与上述相反的顺序处理，减记已确认预计负债的账面余额、恢复其他实质上构成对被投资单位净投资的长期权益及长期股权投资的账面价值后，恢复确认投资收益。</w:t>
      </w:r>
    </w:p>
    <w:p w14:paraId="199AC452">
      <w:pPr>
        <w:widowControl/>
        <w:numPr>
          <w:ilvl w:val="0"/>
          <w:numId w:val="74"/>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长期股权投资核算方法的转换</w:t>
      </w:r>
    </w:p>
    <w:p w14:paraId="7D7C475D">
      <w:pPr>
        <w:widowControl/>
        <w:numPr>
          <w:ilvl w:val="0"/>
          <w:numId w:val="75"/>
        </w:numPr>
        <w:spacing w:before="100" w:beforeAutospacing="1" w:after="100" w:afterAutospacing="1"/>
        <w:rPr>
          <w:sz w:val="18"/>
          <w:szCs w:val="18"/>
        </w:rPr>
      </w:pPr>
      <w:r>
        <w:rPr>
          <w:rFonts w:hint="eastAsia"/>
          <w:sz w:val="18"/>
          <w:szCs w:val="18"/>
        </w:rPr>
        <w:t>公允价值计量转权益法核算</w:t>
      </w:r>
    </w:p>
    <w:p w14:paraId="47D62B0D">
      <w:pPr>
        <w:pStyle w:val="9"/>
        <w:spacing w:before="0" w:beforeAutospacing="0" w:after="0" w:afterAutospacing="0" w:line="360" w:lineRule="auto"/>
        <w:ind w:firstLine="420"/>
        <w:jc w:val="both"/>
        <w:rPr>
          <w:sz w:val="21"/>
          <w:szCs w:val="21"/>
        </w:rPr>
      </w:pPr>
      <w:bookmarkStart w:id="203" w:name="OLE_LINK25"/>
      <w:bookmarkEnd w:id="203"/>
      <w:r>
        <w:rPr>
          <w:rFonts w:hint="eastAsia"/>
          <w:sz w:val="21"/>
          <w:szCs w:val="21"/>
        </w:rPr>
        <w:t>本公司原持有的对被投资单位不具有控制、共同控制或重大影响的按金融工具确认和计量准则进行会计处理的权益性投资，因追加投资等原因能够对被投资单位施加重大影响或实施共同控制但不构成控制的，按照《企业会计准则第</w:t>
      </w:r>
      <w:r>
        <w:rPr>
          <w:rFonts w:ascii="Arial" w:hAnsi="Arial" w:cs="Arial"/>
          <w:sz w:val="21"/>
          <w:szCs w:val="21"/>
        </w:rPr>
        <w:t>22</w:t>
      </w:r>
      <w:r>
        <w:rPr>
          <w:rFonts w:hint="eastAsia"/>
          <w:sz w:val="21"/>
          <w:szCs w:val="21"/>
        </w:rPr>
        <w:t>号——金融工具确认和计量》确定的原持有的股权投资的公允价值加上为取得新增投资而应支付对价的公允价值，作为改按权益法核算的初始投资成本。原持有的股权投资指定为以公允价值计量且其变动计入其他综合收益的非交易性权益工具投资的，其公允价值与账面价值之间的差额以及原计入其他综合收益的累计公允价值变动直接转入留存收益。</w:t>
      </w:r>
    </w:p>
    <w:p w14:paraId="72D43C78">
      <w:pPr>
        <w:pStyle w:val="9"/>
        <w:spacing w:before="0" w:beforeAutospacing="0" w:after="0" w:afterAutospacing="0" w:line="360" w:lineRule="auto"/>
        <w:ind w:firstLine="420"/>
        <w:jc w:val="both"/>
        <w:rPr>
          <w:sz w:val="21"/>
          <w:szCs w:val="21"/>
        </w:rPr>
      </w:pPr>
      <w:bookmarkStart w:id="204" w:name="OLE_LINK26"/>
      <w:bookmarkEnd w:id="204"/>
      <w:r>
        <w:rPr>
          <w:rFonts w:hint="eastAsia"/>
          <w:sz w:val="21"/>
          <w:szCs w:val="21"/>
        </w:rPr>
        <w:t>按权益法核算的初始投资成本小于按照追加投资后全新的持股比例计算确定的应享有被投资单位在追加投资日可辨认净资产公允价值份额之间的差额，调整长期股权投资的账面价值，并计入当期营业外收入。</w:t>
      </w:r>
    </w:p>
    <w:p w14:paraId="4387062A">
      <w:pPr>
        <w:widowControl/>
        <w:numPr>
          <w:ilvl w:val="0"/>
          <w:numId w:val="76"/>
        </w:numPr>
        <w:spacing w:before="100" w:beforeAutospacing="1" w:after="100" w:afterAutospacing="1"/>
        <w:rPr>
          <w:sz w:val="18"/>
          <w:szCs w:val="18"/>
        </w:rPr>
      </w:pPr>
      <w:r>
        <w:rPr>
          <w:rFonts w:hint="eastAsia"/>
          <w:sz w:val="18"/>
          <w:szCs w:val="18"/>
        </w:rPr>
        <w:t>公允价值计量或权益法核算转成本法核算</w:t>
      </w:r>
    </w:p>
    <w:p w14:paraId="3DFD56DF">
      <w:pPr>
        <w:pStyle w:val="9"/>
        <w:spacing w:before="0" w:beforeAutospacing="0" w:after="0" w:afterAutospacing="0" w:line="360" w:lineRule="auto"/>
        <w:ind w:firstLine="420"/>
        <w:jc w:val="both"/>
        <w:rPr>
          <w:sz w:val="21"/>
          <w:szCs w:val="21"/>
        </w:rPr>
      </w:pPr>
      <w:r>
        <w:rPr>
          <w:rFonts w:hint="eastAsia"/>
          <w:sz w:val="21"/>
          <w:szCs w:val="21"/>
        </w:rPr>
        <w:t>本公司原持有的对被投资单位不具有控制、共同控制或重大影响的按金融工具确认和计量准则进行会计处理的权益性投资，或原持有对联营企业、合营企业的长期股权投资，因追加投资等原因能够对非同一控制下的被投资单位实施控制的，在编制个别财务报表时，按照原持有的股权投资账面价值加上新增投资成本之和，作为改按成本法核算的初始投资成本。</w:t>
      </w:r>
    </w:p>
    <w:p w14:paraId="6D327BC9">
      <w:pPr>
        <w:pStyle w:val="9"/>
        <w:spacing w:before="0" w:beforeAutospacing="0" w:after="0" w:afterAutospacing="0" w:line="360" w:lineRule="auto"/>
        <w:ind w:firstLine="420"/>
        <w:jc w:val="both"/>
        <w:rPr>
          <w:sz w:val="21"/>
          <w:szCs w:val="21"/>
        </w:rPr>
      </w:pPr>
      <w:r>
        <w:rPr>
          <w:rFonts w:hint="eastAsia"/>
          <w:sz w:val="21"/>
          <w:szCs w:val="21"/>
        </w:rPr>
        <w:t>购买日之前持有的股权投资因采用权益法核算而确认的其他综合收益，在处置该项投资时采用与被投资单位直接处置相关资产或负债相同的基础进行会计处理。</w:t>
      </w:r>
    </w:p>
    <w:p w14:paraId="12D47DE5">
      <w:pPr>
        <w:pStyle w:val="9"/>
        <w:spacing w:before="0" w:beforeAutospacing="0" w:after="0" w:afterAutospacing="0" w:line="360" w:lineRule="auto"/>
        <w:ind w:firstLine="420"/>
        <w:jc w:val="both"/>
        <w:rPr>
          <w:sz w:val="21"/>
          <w:szCs w:val="21"/>
        </w:rPr>
      </w:pPr>
      <w:r>
        <w:rPr>
          <w:rFonts w:hint="eastAsia"/>
          <w:sz w:val="21"/>
          <w:szCs w:val="21"/>
        </w:rPr>
        <w:t>购买日之前持有的股权投资按照《企业会计准则第</w:t>
      </w:r>
      <w:r>
        <w:rPr>
          <w:rFonts w:ascii="Arial" w:hAnsi="Arial" w:cs="Arial"/>
          <w:sz w:val="21"/>
          <w:szCs w:val="21"/>
        </w:rPr>
        <w:t>22</w:t>
      </w:r>
      <w:r>
        <w:rPr>
          <w:rFonts w:hint="eastAsia"/>
          <w:sz w:val="21"/>
          <w:szCs w:val="21"/>
        </w:rPr>
        <w:t>号——金融工具确认和计量》的有关规定进行会计处理的，原计入其他综合收益的累计公允价值变动在改按成本法核算时转入当期损益。</w:t>
      </w:r>
    </w:p>
    <w:p w14:paraId="1AB8A742">
      <w:pPr>
        <w:widowControl/>
        <w:numPr>
          <w:ilvl w:val="0"/>
          <w:numId w:val="77"/>
        </w:numPr>
        <w:spacing w:before="100" w:beforeAutospacing="1" w:after="100" w:afterAutospacing="1"/>
        <w:rPr>
          <w:sz w:val="18"/>
          <w:szCs w:val="18"/>
        </w:rPr>
      </w:pPr>
      <w:r>
        <w:rPr>
          <w:rFonts w:hint="eastAsia"/>
          <w:sz w:val="18"/>
          <w:szCs w:val="18"/>
        </w:rPr>
        <w:t>权益法核算转公允价值计量</w:t>
      </w:r>
    </w:p>
    <w:p w14:paraId="700DAA76">
      <w:pPr>
        <w:pStyle w:val="9"/>
        <w:spacing w:before="0" w:beforeAutospacing="0" w:after="0" w:afterAutospacing="0" w:line="360" w:lineRule="auto"/>
        <w:ind w:firstLine="420"/>
        <w:jc w:val="both"/>
        <w:rPr>
          <w:sz w:val="21"/>
          <w:szCs w:val="21"/>
        </w:rPr>
      </w:pPr>
      <w:bookmarkStart w:id="205" w:name="OLE_LINK27"/>
      <w:bookmarkEnd w:id="205"/>
      <w:r>
        <w:rPr>
          <w:rFonts w:hint="eastAsia"/>
          <w:sz w:val="21"/>
          <w:szCs w:val="21"/>
        </w:rPr>
        <w:t>本公司因处置部分股权投资等原因丧失了对被投资单位的共同控制或重大影响的，处置后的剩余股权改按《企业会计准则第</w:t>
      </w:r>
      <w:r>
        <w:rPr>
          <w:rFonts w:ascii="Arial" w:hAnsi="Arial" w:cs="Arial"/>
          <w:sz w:val="21"/>
          <w:szCs w:val="21"/>
        </w:rPr>
        <w:t>22</w:t>
      </w:r>
      <w:r>
        <w:rPr>
          <w:rFonts w:hint="eastAsia"/>
          <w:sz w:val="21"/>
          <w:szCs w:val="21"/>
        </w:rPr>
        <w:t>号——金融工具确认和计量》核算，其在丧失共同控制或重大影响之日的公允价值与账面价值之间的差额计入当期损益。</w:t>
      </w:r>
    </w:p>
    <w:p w14:paraId="66630E2C">
      <w:pPr>
        <w:pStyle w:val="9"/>
        <w:spacing w:before="0" w:beforeAutospacing="0" w:after="0" w:afterAutospacing="0" w:line="360" w:lineRule="auto"/>
        <w:ind w:firstLine="420"/>
        <w:jc w:val="both"/>
        <w:rPr>
          <w:sz w:val="21"/>
          <w:szCs w:val="21"/>
        </w:rPr>
      </w:pPr>
      <w:r>
        <w:rPr>
          <w:rFonts w:hint="eastAsia"/>
          <w:sz w:val="21"/>
          <w:szCs w:val="21"/>
        </w:rPr>
        <w:t>剩余股权投资如果满足指定为以公允价值计量且其变动计入其他综合收益的金融资产的条件，本公司选择将其指定为以公允价值计量且其变动计入其他综合收益的金融资产。</w:t>
      </w:r>
    </w:p>
    <w:p w14:paraId="42B6338A">
      <w:pPr>
        <w:pStyle w:val="9"/>
        <w:spacing w:before="0" w:beforeAutospacing="0" w:after="0" w:afterAutospacing="0" w:line="360" w:lineRule="auto"/>
        <w:ind w:firstLine="420"/>
        <w:jc w:val="both"/>
        <w:rPr>
          <w:sz w:val="21"/>
          <w:szCs w:val="21"/>
        </w:rPr>
      </w:pPr>
      <w:r>
        <w:rPr>
          <w:rFonts w:hint="eastAsia"/>
          <w:sz w:val="21"/>
          <w:szCs w:val="21"/>
        </w:rPr>
        <w:t>原股权投资因采用权益法核算而确认的其他综合收益，在终止采用权益法核算时采用与被投资单位直接处置相关资产或负债相同的基础进行会计处理。</w:t>
      </w:r>
    </w:p>
    <w:p w14:paraId="34E93491">
      <w:pPr>
        <w:widowControl/>
        <w:numPr>
          <w:ilvl w:val="0"/>
          <w:numId w:val="78"/>
        </w:numPr>
        <w:spacing w:before="100" w:beforeAutospacing="1" w:after="100" w:afterAutospacing="1"/>
        <w:rPr>
          <w:sz w:val="18"/>
          <w:szCs w:val="18"/>
        </w:rPr>
      </w:pPr>
      <w:r>
        <w:rPr>
          <w:rFonts w:hint="eastAsia"/>
          <w:sz w:val="18"/>
          <w:szCs w:val="18"/>
        </w:rPr>
        <w:t>成本法转权益法</w:t>
      </w:r>
    </w:p>
    <w:p w14:paraId="66C46FEC">
      <w:pPr>
        <w:pStyle w:val="9"/>
        <w:spacing w:before="0" w:beforeAutospacing="0" w:after="0" w:afterAutospacing="0" w:line="360" w:lineRule="auto"/>
        <w:ind w:firstLine="420"/>
        <w:jc w:val="both"/>
        <w:rPr>
          <w:sz w:val="21"/>
          <w:szCs w:val="21"/>
        </w:rPr>
      </w:pPr>
      <w:r>
        <w:rPr>
          <w:rFonts w:hint="eastAsia"/>
          <w:sz w:val="21"/>
          <w:szCs w:val="21"/>
        </w:rPr>
        <w:t>本公司因处置部分权益性投资等原因丧失了对被投资单位的控制的，在编制个别财务报表时，处置后的剩余股权能够对被投资单位实施共同控制或施加重大影响的，改按权益法核算，并对该剩余股权视同自取得时即采用权益法核算进行调整。</w:t>
      </w:r>
    </w:p>
    <w:p w14:paraId="554FB234">
      <w:pPr>
        <w:widowControl/>
        <w:numPr>
          <w:ilvl w:val="0"/>
          <w:numId w:val="79"/>
        </w:numPr>
        <w:spacing w:before="100" w:beforeAutospacing="1" w:after="100" w:afterAutospacing="1"/>
        <w:rPr>
          <w:sz w:val="18"/>
          <w:szCs w:val="18"/>
        </w:rPr>
      </w:pPr>
      <w:r>
        <w:rPr>
          <w:rFonts w:hint="eastAsia"/>
          <w:sz w:val="18"/>
          <w:szCs w:val="18"/>
        </w:rPr>
        <w:t>成本法转公允价值计量</w:t>
      </w:r>
    </w:p>
    <w:p w14:paraId="0647FD59">
      <w:pPr>
        <w:pStyle w:val="9"/>
        <w:spacing w:before="0" w:beforeAutospacing="0" w:after="0" w:afterAutospacing="0" w:line="360" w:lineRule="auto"/>
        <w:ind w:firstLine="420"/>
        <w:jc w:val="both"/>
        <w:rPr>
          <w:sz w:val="21"/>
          <w:szCs w:val="21"/>
        </w:rPr>
      </w:pPr>
      <w:r>
        <w:rPr>
          <w:rFonts w:hint="eastAsia"/>
          <w:sz w:val="21"/>
          <w:szCs w:val="21"/>
        </w:rPr>
        <w:t>本公司因处置部分权益性投资等原因丧失了对被投资单位的控制的，在编制个别财务报表时，处置后的剩余股权不能对被投资单位实施共同控制或施加重大影响的，改按《企业会计准则第</w:t>
      </w:r>
      <w:r>
        <w:rPr>
          <w:rFonts w:ascii="Arial" w:hAnsi="Arial" w:cs="Arial"/>
          <w:sz w:val="21"/>
          <w:szCs w:val="21"/>
        </w:rPr>
        <w:t>22</w:t>
      </w:r>
      <w:r>
        <w:rPr>
          <w:rFonts w:hint="eastAsia"/>
          <w:sz w:val="21"/>
          <w:szCs w:val="21"/>
        </w:rPr>
        <w:t>号——金融工具确认和计量》的有关规定进行会计处理，其在丧失控制之日的公允价值与账面价值间的差额计入当期损益。</w:t>
      </w:r>
    </w:p>
    <w:p w14:paraId="266FFFF1">
      <w:pPr>
        <w:widowControl/>
        <w:numPr>
          <w:ilvl w:val="0"/>
          <w:numId w:val="80"/>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长期股权投资的处置</w:t>
      </w:r>
    </w:p>
    <w:p w14:paraId="522B18F5">
      <w:pPr>
        <w:pStyle w:val="9"/>
        <w:spacing w:before="0" w:beforeAutospacing="0" w:after="0" w:afterAutospacing="0" w:line="360" w:lineRule="auto"/>
        <w:ind w:firstLine="420"/>
        <w:jc w:val="both"/>
        <w:rPr>
          <w:sz w:val="21"/>
          <w:szCs w:val="21"/>
        </w:rPr>
      </w:pPr>
      <w:r>
        <w:rPr>
          <w:rFonts w:hint="eastAsia"/>
          <w:sz w:val="21"/>
          <w:szCs w:val="21"/>
        </w:rPr>
        <w:t>处置长期股权投资，其账面价值与实际取得价款之间的差额，应当计入当期损益。采用权益法核算的长期股权投资，在处置该项投资时，采用与被投资单位直接处置相关资产或负债相同的基础，按相应比例对原计入其他综合收益的部分进行会计处理。</w:t>
      </w:r>
    </w:p>
    <w:p w14:paraId="122654FC">
      <w:pPr>
        <w:pStyle w:val="9"/>
        <w:spacing w:before="0" w:beforeAutospacing="0" w:after="0" w:afterAutospacing="0" w:line="360" w:lineRule="auto"/>
        <w:ind w:firstLine="420"/>
        <w:jc w:val="both"/>
        <w:rPr>
          <w:sz w:val="21"/>
          <w:szCs w:val="21"/>
        </w:rPr>
      </w:pPr>
      <w:r>
        <w:rPr>
          <w:rFonts w:hint="eastAsia"/>
          <w:sz w:val="21"/>
          <w:szCs w:val="21"/>
        </w:rPr>
        <w:t>处置对子公司股权投资的各项交易的条款、条件以及经济影响符合以下一种或多种情况，将多次交易事项作为一揽子交易进行会计处理：</w:t>
      </w:r>
    </w:p>
    <w:p w14:paraId="78071C12">
      <w:pPr>
        <w:widowControl/>
        <w:numPr>
          <w:ilvl w:val="0"/>
          <w:numId w:val="81"/>
        </w:numPr>
        <w:spacing w:before="100" w:beforeAutospacing="1" w:after="100" w:afterAutospacing="1"/>
        <w:rPr>
          <w:sz w:val="18"/>
          <w:szCs w:val="18"/>
        </w:rPr>
      </w:pPr>
      <w:r>
        <w:rPr>
          <w:rFonts w:hint="eastAsia"/>
          <w:sz w:val="18"/>
          <w:szCs w:val="18"/>
        </w:rPr>
        <w:t>这些交易是同时或者在考虑了彼此影响的情况下订立的；</w:t>
      </w:r>
    </w:p>
    <w:p w14:paraId="119AAD4A">
      <w:pPr>
        <w:widowControl/>
        <w:numPr>
          <w:ilvl w:val="0"/>
          <w:numId w:val="81"/>
        </w:numPr>
        <w:spacing w:before="100" w:beforeAutospacing="1" w:after="100" w:afterAutospacing="1"/>
        <w:rPr>
          <w:sz w:val="18"/>
          <w:szCs w:val="18"/>
        </w:rPr>
      </w:pPr>
      <w:r>
        <w:rPr>
          <w:rFonts w:hint="eastAsia"/>
          <w:sz w:val="18"/>
          <w:szCs w:val="18"/>
        </w:rPr>
        <w:t>这些交易整体才能达成一项完整的商业结果；</w:t>
      </w:r>
    </w:p>
    <w:p w14:paraId="47A759F8">
      <w:pPr>
        <w:widowControl/>
        <w:numPr>
          <w:ilvl w:val="0"/>
          <w:numId w:val="81"/>
        </w:numPr>
        <w:spacing w:before="100" w:beforeAutospacing="1" w:after="100" w:afterAutospacing="1"/>
        <w:rPr>
          <w:sz w:val="18"/>
          <w:szCs w:val="18"/>
        </w:rPr>
      </w:pPr>
      <w:r>
        <w:rPr>
          <w:rFonts w:hint="eastAsia"/>
          <w:sz w:val="18"/>
          <w:szCs w:val="18"/>
        </w:rPr>
        <w:t>一项交易的发生取决于其他至少一项交易的发生；</w:t>
      </w:r>
    </w:p>
    <w:p w14:paraId="3BF2AC3D">
      <w:pPr>
        <w:widowControl/>
        <w:numPr>
          <w:ilvl w:val="0"/>
          <w:numId w:val="81"/>
        </w:numPr>
        <w:spacing w:before="100" w:beforeAutospacing="1" w:after="100" w:afterAutospacing="1"/>
        <w:rPr>
          <w:sz w:val="18"/>
          <w:szCs w:val="18"/>
        </w:rPr>
      </w:pPr>
      <w:r>
        <w:rPr>
          <w:rFonts w:hint="eastAsia"/>
          <w:sz w:val="18"/>
          <w:szCs w:val="18"/>
        </w:rPr>
        <w:t>一项交易单独看是不经济的，但是和其他交易一并考虑时是经济的。</w:t>
      </w:r>
    </w:p>
    <w:p w14:paraId="1609E38F">
      <w:pPr>
        <w:pStyle w:val="9"/>
        <w:spacing w:before="0" w:beforeAutospacing="0" w:after="0" w:afterAutospacing="0" w:line="360" w:lineRule="auto"/>
        <w:ind w:firstLine="420"/>
        <w:jc w:val="both"/>
        <w:rPr>
          <w:sz w:val="21"/>
          <w:szCs w:val="21"/>
        </w:rPr>
      </w:pPr>
      <w:r>
        <w:rPr>
          <w:rFonts w:hint="eastAsia"/>
          <w:sz w:val="21"/>
          <w:szCs w:val="21"/>
        </w:rPr>
        <w:t>因处置部分股权投资或其他原因丧失了对原有子公司控制权的，不属于一揽子交易的，区分个别财务报表和合并财务报表进行相关会计处理：</w:t>
      </w:r>
    </w:p>
    <w:p w14:paraId="2D01DAD9">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1</w:t>
      </w:r>
      <w:r>
        <w:rPr>
          <w:rFonts w:hint="eastAsia"/>
          <w:sz w:val="21"/>
          <w:szCs w:val="21"/>
        </w:rPr>
        <w:t>）在个别财务报表中，对于处置的股权，其账面价值与实际取得价款之间的差额计入当期损益。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w:t>
      </w:r>
      <w:r>
        <w:rPr>
          <w:rFonts w:ascii="Arial" w:hAnsi="Arial" w:cs="Arial"/>
          <w:sz w:val="21"/>
          <w:szCs w:val="21"/>
        </w:rPr>
        <w:t>22</w:t>
      </w:r>
      <w:r>
        <w:rPr>
          <w:rFonts w:hint="eastAsia"/>
          <w:sz w:val="21"/>
          <w:szCs w:val="21"/>
        </w:rPr>
        <w:t>号——金融工具确认和计量》的有关规定进行会计处理，其在丧失控制之日的公允价值与账面价值间的差额计入当期损益。</w:t>
      </w:r>
    </w:p>
    <w:p w14:paraId="07AF5782">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2</w:t>
      </w:r>
      <w:r>
        <w:rPr>
          <w:rFonts w:hint="eastAsia"/>
          <w:sz w:val="21"/>
          <w:szCs w:val="21"/>
        </w:rPr>
        <w:t>）在合并财务报表中，对于在丧失对子公司控制权以前的各项交易，处置价款与处置长期股权投资相应对享有子公司自购买日或合并日开始持续计算的净资产份额之间的差额，调整资本公积（股本溢价），资本公积不足冲减的，依次冲减盈余公积、未分配利润；在丧失对子公司控制权时，对于剩余股权，按照其在丧失控制权日的公允价值进行重新计量。处置股权取得的对价与剩余股权公允价值之和，减去按原持股比例计算应享有原有子公司自购买日开始持续计算的净资产的份额与商誉之和的差额，计入丧失控制权当期的投资收益。与原有子公司的股权投资相关的其他综合收益在丧失控制权时采用与原有子公司直接处置相关资产或负债相同的基础进行会计处理，与原有子公司相关的涉及权益法核算下的其他所有者权益变动在丧失控制权时转入当期损益。</w:t>
      </w:r>
    </w:p>
    <w:p w14:paraId="5C2D66E6">
      <w:pPr>
        <w:pStyle w:val="9"/>
        <w:spacing w:before="0" w:beforeAutospacing="0" w:after="0" w:afterAutospacing="0" w:line="360" w:lineRule="auto"/>
        <w:ind w:firstLine="420"/>
        <w:jc w:val="both"/>
        <w:rPr>
          <w:sz w:val="21"/>
          <w:szCs w:val="21"/>
        </w:rPr>
      </w:pPr>
      <w:r>
        <w:rPr>
          <w:rFonts w:hint="eastAsia"/>
          <w:sz w:val="21"/>
          <w:szCs w:val="21"/>
        </w:rPr>
        <w:t>处置对子公司股权投资直至丧失控制权的各项交易属于一揽子交易的，将各项交易作为一项处置子公司股权投资并丧失控制权的交易进行会计处理，区分个别财务报表和合并财务报表进行相关会计处理：</w:t>
      </w:r>
    </w:p>
    <w:p w14:paraId="0199913D">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1</w:t>
      </w:r>
      <w:r>
        <w:rPr>
          <w:rFonts w:hint="eastAsia"/>
          <w:sz w:val="21"/>
          <w:szCs w:val="21"/>
        </w:rPr>
        <w:t>）在个别财务报表中，在丧失控制权之前每一次处置价款与处置的股权对应的长期股权投资账面价值之间的差额，确认为其他综合收益，在丧失控制权时一并转入丧失控制权当期的损益。</w:t>
      </w:r>
    </w:p>
    <w:p w14:paraId="426243D9">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2</w:t>
      </w:r>
      <w:r>
        <w:rPr>
          <w:rFonts w:hint="eastAsia"/>
          <w:sz w:val="21"/>
          <w:szCs w:val="21"/>
        </w:rPr>
        <w:t>）在合并财务报表中，在丧失控制权之前每一次处置价款与处置投资对应的享有该子公司净资产份额的差额，确认为其他综合收益，在丧失控制权时一并转入丧失控制权当期的损益。</w:t>
      </w:r>
    </w:p>
    <w:p w14:paraId="7505DECB">
      <w:pPr>
        <w:widowControl/>
        <w:numPr>
          <w:ilvl w:val="0"/>
          <w:numId w:val="82"/>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共同控制、重大影响的判断标准</w:t>
      </w:r>
    </w:p>
    <w:p w14:paraId="64AEEC26">
      <w:pPr>
        <w:pStyle w:val="9"/>
        <w:spacing w:before="0" w:beforeAutospacing="0" w:after="0" w:afterAutospacing="0" w:line="360" w:lineRule="auto"/>
        <w:ind w:firstLine="420"/>
        <w:jc w:val="both"/>
        <w:rPr>
          <w:sz w:val="21"/>
          <w:szCs w:val="21"/>
        </w:rPr>
      </w:pPr>
      <w:r>
        <w:rPr>
          <w:rFonts w:hint="eastAsia"/>
          <w:sz w:val="21"/>
          <w:szCs w:val="21"/>
        </w:rPr>
        <w:t>如果本公司按照相关约定与其他参与方集体控制某项安排，并且对该安排回报具有重大影响的活动决策，需要经过分享控制权的参与方一致同意时才存在，则视为本公司与其他参与方共同控制某项安排，该安排即属于合营安排。</w:t>
      </w:r>
    </w:p>
    <w:p w14:paraId="00372768">
      <w:pPr>
        <w:pStyle w:val="9"/>
        <w:spacing w:before="0" w:beforeAutospacing="0" w:after="0" w:afterAutospacing="0" w:line="360" w:lineRule="auto"/>
        <w:ind w:firstLine="420"/>
        <w:jc w:val="both"/>
        <w:rPr>
          <w:sz w:val="21"/>
          <w:szCs w:val="21"/>
        </w:rPr>
      </w:pPr>
      <w:r>
        <w:rPr>
          <w:rFonts w:hint="eastAsia"/>
          <w:sz w:val="21"/>
          <w:szCs w:val="21"/>
        </w:rPr>
        <w:t>合营安排通过单独主体达成的，根据相关约定判断本公司对该单独主体的净资产享有权利时，将该单独主体作为合营企业，采用权益法核算。若根据相关约定判断本公司并非对该单独主体的净资产享有权利时，该单独主体作为共同经营，本公司确认与共同经营利益份额相关的项目，并按照相关企业会计准则的规定进行会计处理。</w:t>
      </w:r>
    </w:p>
    <w:p w14:paraId="31DA8064">
      <w:pPr>
        <w:pStyle w:val="9"/>
        <w:spacing w:before="0" w:beforeAutospacing="0" w:after="0" w:afterAutospacing="0" w:line="360" w:lineRule="auto"/>
        <w:ind w:firstLine="420"/>
        <w:jc w:val="both"/>
        <w:rPr>
          <w:sz w:val="21"/>
          <w:szCs w:val="21"/>
        </w:rPr>
      </w:pPr>
      <w:r>
        <w:rPr>
          <w:rFonts w:hint="eastAsia"/>
          <w:sz w:val="21"/>
          <w:szCs w:val="21"/>
        </w:rPr>
        <w:t>重大影响，是指投资方对被投资单位的财务和经营政策有参与决策的权力，但并不能够控制或者与其他方一起共同控制这些政策的制定。本公司通过以下一种或多种情形，并综合考虑所有事实和情况后，判断对被投资单位具有重大影响：（</w:t>
      </w:r>
      <w:r>
        <w:rPr>
          <w:rFonts w:ascii="Arial" w:hAnsi="Arial" w:cs="Arial"/>
          <w:sz w:val="21"/>
          <w:szCs w:val="21"/>
        </w:rPr>
        <w:t>1</w:t>
      </w:r>
      <w:r>
        <w:rPr>
          <w:rFonts w:hint="eastAsia"/>
          <w:sz w:val="21"/>
          <w:szCs w:val="21"/>
        </w:rPr>
        <w:t>）在被投资单位的董事会或类似权力机构中派有代表；（</w:t>
      </w:r>
      <w:r>
        <w:rPr>
          <w:rFonts w:ascii="Arial" w:hAnsi="Arial" w:cs="Arial"/>
          <w:sz w:val="21"/>
          <w:szCs w:val="21"/>
        </w:rPr>
        <w:t>2</w:t>
      </w:r>
      <w:r>
        <w:rPr>
          <w:rFonts w:hint="eastAsia"/>
          <w:sz w:val="21"/>
          <w:szCs w:val="21"/>
        </w:rPr>
        <w:t>）参与被投资单位财务和经营政策制定过程；（</w:t>
      </w:r>
      <w:r>
        <w:rPr>
          <w:rFonts w:ascii="Arial" w:hAnsi="Arial" w:cs="Arial"/>
          <w:sz w:val="21"/>
          <w:szCs w:val="21"/>
        </w:rPr>
        <w:t>3</w:t>
      </w:r>
      <w:r>
        <w:rPr>
          <w:rFonts w:hint="eastAsia"/>
          <w:sz w:val="21"/>
          <w:szCs w:val="21"/>
        </w:rPr>
        <w:t>）与被投资单位之间发生重要交易；（</w:t>
      </w:r>
      <w:r>
        <w:rPr>
          <w:rFonts w:ascii="Arial" w:hAnsi="Arial" w:cs="Arial"/>
          <w:sz w:val="21"/>
          <w:szCs w:val="21"/>
        </w:rPr>
        <w:t>4</w:t>
      </w:r>
      <w:r>
        <w:rPr>
          <w:rFonts w:hint="eastAsia"/>
          <w:sz w:val="21"/>
          <w:szCs w:val="21"/>
        </w:rPr>
        <w:t>）向被投资单位派出管理人员；（</w:t>
      </w:r>
      <w:r>
        <w:rPr>
          <w:rFonts w:ascii="Arial" w:hAnsi="Arial" w:cs="Arial"/>
          <w:sz w:val="21"/>
          <w:szCs w:val="21"/>
        </w:rPr>
        <w:t>5</w:t>
      </w:r>
      <w:r>
        <w:rPr>
          <w:rFonts w:hint="eastAsia"/>
          <w:sz w:val="21"/>
          <w:szCs w:val="21"/>
        </w:rPr>
        <w:t>）向被投资单位提供关键技术资料。</w:t>
      </w:r>
    </w:p>
    <w:p w14:paraId="2740C348">
      <w:pPr>
        <w:pStyle w:val="3"/>
        <w:spacing w:line="280" w:lineRule="exact"/>
        <w:jc w:val="left"/>
        <w:rPr>
          <w:rFonts w:ascii="宋体" w:hAnsi="宋体" w:cs="宋体"/>
          <w:b/>
          <w:bCs/>
        </w:rPr>
      </w:pPr>
      <w:bookmarkStart w:id="206" w:name="_Toc989082"/>
      <w:r>
        <w:rPr>
          <w:rFonts w:ascii="宋体" w:hAnsi="宋体" w:cs="宋体"/>
          <w:b/>
          <w:bCs/>
        </w:rPr>
        <w:t>23、投资性房地产</w:t>
      </w:r>
      <w:bookmarkEnd w:id="206"/>
    </w:p>
    <w:p w14:paraId="38712140">
      <w:pPr>
        <w:spacing w:before="100" w:after="100" w:line="240" w:lineRule="exact"/>
        <w:rPr>
          <w:rFonts w:ascii="宋体" w:hAnsi="宋体" w:eastAsia="宋体" w:cs="宋体"/>
          <w:sz w:val="18"/>
          <w:szCs w:val="18"/>
        </w:rPr>
      </w:pPr>
      <w:r>
        <w:rPr>
          <w:rFonts w:ascii="宋体" w:hAnsi="宋体" w:eastAsia="宋体" w:cs="宋体"/>
          <w:sz w:val="18"/>
          <w:szCs w:val="18"/>
        </w:rPr>
        <w:t>投资性房地产计量模式</w:t>
      </w:r>
    </w:p>
    <w:p w14:paraId="0D9A3ECB">
      <w:pPr>
        <w:spacing w:before="100" w:after="100" w:line="240" w:lineRule="exact"/>
        <w:rPr>
          <w:rFonts w:ascii="宋体" w:hAnsi="宋体" w:eastAsia="宋体" w:cs="宋体"/>
          <w:sz w:val="18"/>
          <w:szCs w:val="18"/>
        </w:rPr>
      </w:pPr>
      <w:r>
        <w:rPr>
          <w:rFonts w:ascii="宋体" w:hAnsi="宋体" w:eastAsia="宋体" w:cs="宋体"/>
          <w:sz w:val="18"/>
          <w:szCs w:val="18"/>
        </w:rPr>
        <w:t>成本法计量</w:t>
      </w:r>
    </w:p>
    <w:p w14:paraId="698FE1F3">
      <w:pPr>
        <w:spacing w:before="100" w:after="100" w:line="240" w:lineRule="exact"/>
        <w:rPr>
          <w:rFonts w:ascii="宋体" w:hAnsi="宋体" w:eastAsia="宋体" w:cs="宋体"/>
          <w:sz w:val="18"/>
          <w:szCs w:val="18"/>
        </w:rPr>
      </w:pPr>
      <w:r>
        <w:rPr>
          <w:rFonts w:ascii="宋体" w:hAnsi="宋体" w:eastAsia="宋体" w:cs="宋体"/>
          <w:sz w:val="18"/>
          <w:szCs w:val="18"/>
        </w:rPr>
        <w:t>折旧或摊销方法</w:t>
      </w:r>
    </w:p>
    <w:p w14:paraId="3F4B99D7">
      <w:pPr>
        <w:pStyle w:val="9"/>
        <w:spacing w:before="0" w:beforeAutospacing="0" w:after="0" w:afterAutospacing="0" w:line="360" w:lineRule="auto"/>
        <w:ind w:firstLine="420"/>
        <w:jc w:val="both"/>
        <w:rPr>
          <w:sz w:val="21"/>
          <w:szCs w:val="21"/>
        </w:rPr>
      </w:pPr>
      <w:r>
        <w:rPr>
          <w:rFonts w:hint="eastAsia"/>
          <w:sz w:val="21"/>
          <w:szCs w:val="21"/>
        </w:rPr>
        <w:t>投资性房地产是指为赚取租金或资本增值，或两者兼有而持有的房地产，包括已出租的土地使用权、持有并准备增值后转让的土地使用权、已出租的建筑物。此外，对于本公司持有以备经营出租的空置建筑物，若董事会作出书面决议，明确表示将其用于经营出租且持有意图短期内不再发生变化的，也作为投资性房地产列报。</w:t>
      </w:r>
    </w:p>
    <w:p w14:paraId="4360EBE6">
      <w:pPr>
        <w:pStyle w:val="9"/>
        <w:spacing w:before="0" w:beforeAutospacing="0" w:after="0" w:afterAutospacing="0" w:line="360" w:lineRule="auto"/>
        <w:ind w:firstLine="420"/>
        <w:jc w:val="both"/>
        <w:rPr>
          <w:sz w:val="21"/>
          <w:szCs w:val="21"/>
        </w:rPr>
      </w:pPr>
      <w:r>
        <w:rPr>
          <w:rFonts w:hint="eastAsia"/>
          <w:sz w:val="21"/>
          <w:szCs w:val="21"/>
        </w:rPr>
        <w:t>本公司的投资性房地产按其成本作为入账价值，外购投资性房地产的成本包括购买价款、相关税费和可直接归属于该资产的其他支出；自行建造投资性房地产的成本，由建造该项资产达到预定可使用状态前所发生的必要支出构成。</w:t>
      </w:r>
    </w:p>
    <w:p w14:paraId="5CC8182E">
      <w:pPr>
        <w:pStyle w:val="9"/>
        <w:spacing w:before="0" w:beforeAutospacing="0" w:after="0" w:afterAutospacing="0" w:line="360" w:lineRule="auto"/>
        <w:ind w:firstLine="420"/>
        <w:jc w:val="both"/>
        <w:rPr>
          <w:sz w:val="21"/>
          <w:szCs w:val="21"/>
        </w:rPr>
      </w:pPr>
      <w:r>
        <w:rPr>
          <w:rFonts w:hint="eastAsia"/>
          <w:sz w:val="21"/>
          <w:szCs w:val="21"/>
        </w:rPr>
        <w:t>本公司对投资性房地产采用成本模式进行后续计量，按其预计使用寿命及净残值率对建筑物和土地使用权计提折旧或摊销。投资性房地产的预计使用寿命、净残值率及年折旧（摊销）率列示如下：</w:t>
      </w:r>
    </w:p>
    <w:tbl>
      <w:tblPr>
        <w:tblStyle w:val="10"/>
        <w:tblW w:w="8802" w:type="dxa"/>
        <w:jc w:val="center"/>
        <w:tblLayout w:type="autofit"/>
        <w:tblCellMar>
          <w:top w:w="0" w:type="dxa"/>
          <w:left w:w="0" w:type="dxa"/>
          <w:bottom w:w="0" w:type="dxa"/>
          <w:right w:w="0" w:type="dxa"/>
        </w:tblCellMar>
      </w:tblPr>
      <w:tblGrid>
        <w:gridCol w:w="2200"/>
        <w:gridCol w:w="2201"/>
        <w:gridCol w:w="2200"/>
        <w:gridCol w:w="2201"/>
      </w:tblGrid>
      <w:tr w14:paraId="26066AB8">
        <w:tblPrEx>
          <w:tblCellMar>
            <w:top w:w="0" w:type="dxa"/>
            <w:left w:w="0" w:type="dxa"/>
            <w:bottom w:w="0" w:type="dxa"/>
            <w:right w:w="0" w:type="dxa"/>
          </w:tblCellMar>
        </w:tblPrEx>
        <w:trPr>
          <w:trHeight w:val="340" w:hRule="atLeast"/>
          <w:tblHeader/>
          <w:jc w:val="center"/>
        </w:trPr>
        <w:tc>
          <w:tcPr>
            <w:tcW w:w="22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A384DB">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类别</w:t>
            </w:r>
          </w:p>
        </w:tc>
        <w:tc>
          <w:tcPr>
            <w:tcW w:w="22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F2A30A">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预计使用寿命（年）</w:t>
            </w:r>
          </w:p>
        </w:tc>
        <w:tc>
          <w:tcPr>
            <w:tcW w:w="22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BEFA14">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预计净残值率（</w:t>
            </w:r>
            <w:r>
              <w:rPr>
                <w:rFonts w:ascii="Arial" w:hAnsi="Arial" w:cs="Arial"/>
                <w:sz w:val="18"/>
                <w:szCs w:val="18"/>
              </w:rPr>
              <w:t>%</w:t>
            </w:r>
            <w:r>
              <w:rPr>
                <w:rFonts w:hint="eastAsia" w:cs="Times New Roman"/>
                <w:sz w:val="18"/>
                <w:szCs w:val="18"/>
              </w:rPr>
              <w:t>）</w:t>
            </w:r>
          </w:p>
        </w:tc>
        <w:tc>
          <w:tcPr>
            <w:tcW w:w="220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F215081">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年折旧（摊销）率（</w:t>
            </w:r>
            <w:r>
              <w:rPr>
                <w:rFonts w:ascii="Arial" w:hAnsi="Arial" w:cs="Arial"/>
                <w:sz w:val="18"/>
                <w:szCs w:val="18"/>
              </w:rPr>
              <w:t>%</w:t>
            </w:r>
            <w:r>
              <w:rPr>
                <w:rFonts w:hint="eastAsia" w:cs="Times New Roman"/>
                <w:sz w:val="18"/>
                <w:szCs w:val="18"/>
              </w:rPr>
              <w:t>）</w:t>
            </w:r>
          </w:p>
        </w:tc>
      </w:tr>
      <w:tr w14:paraId="75A46A79">
        <w:tblPrEx>
          <w:tblCellMar>
            <w:top w:w="0" w:type="dxa"/>
            <w:left w:w="0" w:type="dxa"/>
            <w:bottom w:w="0" w:type="dxa"/>
            <w:right w:w="0" w:type="dxa"/>
          </w:tblCellMar>
        </w:tblPrEx>
        <w:trPr>
          <w:trHeight w:val="340" w:hRule="atLeast"/>
          <w:jc w:val="center"/>
        </w:trPr>
        <w:tc>
          <w:tcPr>
            <w:tcW w:w="2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425E60">
            <w:pPr>
              <w:pStyle w:val="9"/>
              <w:spacing w:before="0" w:beforeAutospacing="0" w:after="0" w:afterAutospacing="0"/>
              <w:rPr>
                <w:rFonts w:ascii="Times New Roman" w:hAnsi="Times New Roman" w:cs="Times New Roman"/>
                <w:sz w:val="21"/>
                <w:szCs w:val="21"/>
              </w:rPr>
            </w:pPr>
            <w:r>
              <w:rPr>
                <w:rFonts w:hint="eastAsia" w:cs="Times New Roman"/>
                <w:sz w:val="18"/>
                <w:szCs w:val="18"/>
              </w:rPr>
              <w:t>房屋建筑物</w:t>
            </w:r>
          </w:p>
        </w:tc>
        <w:tc>
          <w:tcPr>
            <w:tcW w:w="2201" w:type="dxa"/>
            <w:tcBorders>
              <w:top w:val="nil"/>
              <w:left w:val="nil"/>
              <w:bottom w:val="single" w:color="auto" w:sz="8" w:space="0"/>
              <w:right w:val="single" w:color="auto" w:sz="8" w:space="0"/>
            </w:tcBorders>
            <w:tcMar>
              <w:top w:w="0" w:type="dxa"/>
              <w:left w:w="108" w:type="dxa"/>
              <w:bottom w:w="0" w:type="dxa"/>
              <w:right w:w="108" w:type="dxa"/>
            </w:tcMar>
            <w:vAlign w:val="center"/>
          </w:tcPr>
          <w:p w14:paraId="027F8B1A">
            <w:pPr>
              <w:pStyle w:val="9"/>
              <w:spacing w:before="0" w:beforeAutospacing="0" w:after="0" w:afterAutospacing="0"/>
              <w:jc w:val="center"/>
              <w:rPr>
                <w:rFonts w:ascii="Times New Roman" w:hAnsi="Times New Roman" w:cs="Times New Roman"/>
                <w:sz w:val="21"/>
                <w:szCs w:val="21"/>
              </w:rPr>
            </w:pPr>
            <w:r>
              <w:rPr>
                <w:rFonts w:ascii="Arial" w:hAnsi="Arial" w:cs="Arial"/>
                <w:sz w:val="18"/>
                <w:szCs w:val="18"/>
              </w:rPr>
              <w:t>25.00</w:t>
            </w:r>
          </w:p>
        </w:tc>
        <w:tc>
          <w:tcPr>
            <w:tcW w:w="2200" w:type="dxa"/>
            <w:tcBorders>
              <w:top w:val="nil"/>
              <w:left w:val="nil"/>
              <w:bottom w:val="single" w:color="auto" w:sz="8" w:space="0"/>
              <w:right w:val="single" w:color="auto" w:sz="8" w:space="0"/>
            </w:tcBorders>
            <w:tcMar>
              <w:top w:w="0" w:type="dxa"/>
              <w:left w:w="108" w:type="dxa"/>
              <w:bottom w:w="0" w:type="dxa"/>
              <w:right w:w="108" w:type="dxa"/>
            </w:tcMar>
            <w:vAlign w:val="center"/>
          </w:tcPr>
          <w:p w14:paraId="71DC179E">
            <w:pPr>
              <w:pStyle w:val="9"/>
              <w:spacing w:before="0" w:beforeAutospacing="0" w:after="0" w:afterAutospacing="0"/>
              <w:jc w:val="center"/>
              <w:rPr>
                <w:rFonts w:ascii="Times New Roman" w:hAnsi="Times New Roman" w:cs="Times New Roman"/>
                <w:sz w:val="21"/>
                <w:szCs w:val="21"/>
              </w:rPr>
            </w:pPr>
            <w:r>
              <w:rPr>
                <w:rFonts w:ascii="Arial" w:hAnsi="Arial" w:cs="Arial"/>
                <w:sz w:val="18"/>
                <w:szCs w:val="18"/>
              </w:rPr>
              <w:t>10.00</w:t>
            </w:r>
          </w:p>
        </w:tc>
        <w:tc>
          <w:tcPr>
            <w:tcW w:w="2201" w:type="dxa"/>
            <w:tcBorders>
              <w:top w:val="nil"/>
              <w:left w:val="nil"/>
              <w:bottom w:val="single" w:color="auto" w:sz="8" w:space="0"/>
              <w:right w:val="single" w:color="auto" w:sz="8" w:space="0"/>
            </w:tcBorders>
            <w:tcMar>
              <w:top w:w="0" w:type="dxa"/>
              <w:left w:w="108" w:type="dxa"/>
              <w:bottom w:w="0" w:type="dxa"/>
              <w:right w:w="108" w:type="dxa"/>
            </w:tcMar>
            <w:vAlign w:val="center"/>
          </w:tcPr>
          <w:p w14:paraId="244C9CD2">
            <w:pPr>
              <w:pStyle w:val="9"/>
              <w:spacing w:before="0" w:beforeAutospacing="0" w:after="0" w:afterAutospacing="0"/>
              <w:jc w:val="center"/>
              <w:rPr>
                <w:rFonts w:ascii="Times New Roman" w:hAnsi="Times New Roman" w:cs="Times New Roman"/>
                <w:sz w:val="21"/>
                <w:szCs w:val="21"/>
              </w:rPr>
            </w:pPr>
            <w:r>
              <w:rPr>
                <w:rFonts w:ascii="Arial" w:hAnsi="Arial" w:cs="Arial"/>
                <w:sz w:val="18"/>
                <w:szCs w:val="18"/>
              </w:rPr>
              <w:t>3.60</w:t>
            </w:r>
          </w:p>
        </w:tc>
      </w:tr>
    </w:tbl>
    <w:p w14:paraId="4A4B2199">
      <w:pPr>
        <w:pStyle w:val="9"/>
        <w:spacing w:before="0" w:beforeAutospacing="0" w:after="0" w:afterAutospacing="0" w:line="460" w:lineRule="atLeast"/>
        <w:ind w:firstLine="420"/>
        <w:rPr>
          <w:rFonts w:ascii="Times New Roman" w:hAnsi="Times New Roman" w:cs="Times New Roman"/>
          <w:sz w:val="21"/>
          <w:szCs w:val="21"/>
        </w:rPr>
      </w:pPr>
      <w:r>
        <w:rPr>
          <w:rFonts w:hint="eastAsia" w:cs="Times New Roman"/>
          <w:sz w:val="21"/>
          <w:szCs w:val="21"/>
        </w:rPr>
        <w:t>投资性房地产的减值测试方法和减值准备计提方法详见30.长期资产减值。</w:t>
      </w:r>
    </w:p>
    <w:p w14:paraId="37FCCC6C">
      <w:pPr>
        <w:pStyle w:val="9"/>
        <w:spacing w:before="120" w:beforeAutospacing="0" w:after="0" w:afterAutospacing="0" w:line="360" w:lineRule="auto"/>
        <w:ind w:firstLine="420"/>
        <w:jc w:val="both"/>
        <w:rPr>
          <w:sz w:val="21"/>
          <w:szCs w:val="21"/>
        </w:rPr>
      </w:pPr>
      <w:r>
        <w:rPr>
          <w:rFonts w:hint="eastAsia"/>
          <w:sz w:val="21"/>
          <w:szCs w:val="21"/>
        </w:rPr>
        <w:t>投资性房地产的用途改变为自用时，自改变之日起，本公司将该投资性房地产转换为固定资产或无形资产。自用房地产的用途改变为赚取租金或资本增值时，自改变之日起，本公司将固定资产或无形资产转换为投资性房地产。发生转换时，以转换前的账面价值作为转换后的入账价值。</w:t>
      </w:r>
    </w:p>
    <w:p w14:paraId="1A4027CC">
      <w:pPr>
        <w:pStyle w:val="9"/>
        <w:spacing w:before="0" w:beforeAutospacing="0" w:after="0" w:afterAutospacing="0" w:line="360" w:lineRule="auto"/>
        <w:ind w:firstLine="420"/>
        <w:jc w:val="both"/>
        <w:rPr>
          <w:sz w:val="21"/>
          <w:szCs w:val="21"/>
        </w:rPr>
      </w:pPr>
      <w:r>
        <w:rPr>
          <w:rFonts w:hint="eastAsia"/>
          <w:sz w:val="21"/>
          <w:szCs w:val="21"/>
        </w:rPr>
        <w:t>当投资性房地产被处置，或者永久退出使用且预计不能从其处置中取得经济利益时，终止确认该项投资性房地产。投资性房地产出售、转让、报废或毁损的处置收入扣除其账面价值和相关税费后的金额计入当期损益。</w:t>
      </w:r>
    </w:p>
    <w:p w14:paraId="2354FB8D">
      <w:pPr>
        <w:pStyle w:val="9"/>
        <w:spacing w:before="0" w:beforeAutospacing="0" w:after="0" w:afterAutospacing="0" w:line="360" w:lineRule="auto"/>
        <w:ind w:firstLine="420"/>
        <w:jc w:val="both"/>
        <w:rPr>
          <w:sz w:val="21"/>
          <w:szCs w:val="21"/>
        </w:rPr>
      </w:pPr>
      <w:r>
        <w:rPr>
          <w:rFonts w:hint="eastAsia"/>
          <w:sz w:val="21"/>
          <w:szCs w:val="21"/>
        </w:rPr>
        <w:t>投资性房地产是指为赚取租金或资本增值，或两者兼有而持有的房地产。包括已出租的土地使用权、持有并准备增值后转让的土地使用权、已出租的建筑物等。此外，对于本公司持有以备经营出租的空置建筑物，若董事会作出书面决议，明确表示将其用于经营出租且持有意图短期内不再发生变化的，也作为投资性房地产列报。</w:t>
      </w:r>
    </w:p>
    <w:p w14:paraId="411F9346">
      <w:pPr>
        <w:pStyle w:val="9"/>
        <w:spacing w:before="0" w:beforeAutospacing="0" w:after="0" w:afterAutospacing="0" w:line="360" w:lineRule="auto"/>
        <w:ind w:firstLine="420"/>
        <w:jc w:val="both"/>
        <w:rPr>
          <w:sz w:val="21"/>
          <w:szCs w:val="21"/>
        </w:rPr>
      </w:pPr>
      <w:r>
        <w:rPr>
          <w:rFonts w:hint="eastAsia"/>
          <w:sz w:val="21"/>
          <w:szCs w:val="21"/>
        </w:rPr>
        <w:t>本公司的投资性房地产按其成本作为入账价值，外购投资性房地产的成本包括购买价款、相关税费和可直接归属于该资产的其他支出；自行建造投资性房地产的成本，由建造该项资产达到预定可使用状态前所发生的必要支出构成。</w:t>
      </w:r>
    </w:p>
    <w:p w14:paraId="708E8D4C">
      <w:pPr>
        <w:pStyle w:val="9"/>
        <w:spacing w:before="0" w:beforeAutospacing="0" w:after="0" w:afterAutospacing="0" w:line="360" w:lineRule="auto"/>
        <w:ind w:firstLine="420"/>
        <w:jc w:val="both"/>
        <w:rPr>
          <w:sz w:val="21"/>
          <w:szCs w:val="21"/>
        </w:rPr>
      </w:pPr>
      <w:r>
        <w:rPr>
          <w:rFonts w:hint="eastAsia"/>
          <w:sz w:val="21"/>
          <w:szCs w:val="21"/>
        </w:rPr>
        <w:t>当投资性房地产被处置，或者永久退出使用且预计不能从其处置中取得经济利益时，终止确认该项投资性房地产。投资性房地产出售、转让、报废或毁损的处置收入扣除其账面价值和相关税费后的金额计入当期损益。</w:t>
      </w:r>
    </w:p>
    <w:p w14:paraId="51626148">
      <w:pPr>
        <w:pStyle w:val="3"/>
        <w:spacing w:line="280" w:lineRule="exact"/>
        <w:jc w:val="left"/>
        <w:rPr>
          <w:rFonts w:ascii="宋体" w:hAnsi="宋体" w:cs="宋体"/>
          <w:b/>
          <w:bCs/>
        </w:rPr>
      </w:pPr>
      <w:bookmarkStart w:id="207" w:name="_Toc989083"/>
      <w:r>
        <w:rPr>
          <w:rFonts w:ascii="宋体" w:hAnsi="宋体" w:cs="宋体"/>
          <w:b/>
          <w:bCs/>
        </w:rPr>
        <w:t>24、固定资产</w:t>
      </w:r>
      <w:bookmarkEnd w:id="207"/>
    </w:p>
    <w:p w14:paraId="23E26BBE">
      <w:pPr>
        <w:keepNext/>
        <w:keepLines/>
        <w:spacing w:before="300" w:after="300" w:line="280" w:lineRule="exact"/>
        <w:outlineLvl w:val="3"/>
        <w:rPr>
          <w:rFonts w:ascii="宋体" w:hAnsi="宋体" w:eastAsia="宋体" w:cs="宋体"/>
          <w:b/>
          <w:bCs/>
          <w:szCs w:val="21"/>
        </w:rPr>
      </w:pPr>
      <w:bookmarkStart w:id="208" w:name="_Toc989084"/>
      <w:r>
        <w:rPr>
          <w:rFonts w:ascii="宋体" w:hAnsi="宋体" w:eastAsia="宋体" w:cs="宋体"/>
          <w:b/>
          <w:bCs/>
          <w:szCs w:val="21"/>
        </w:rPr>
        <w:t>（1） 确认条件</w:t>
      </w:r>
      <w:bookmarkEnd w:id="208"/>
    </w:p>
    <w:p w14:paraId="1475934F">
      <w:pPr>
        <w:pStyle w:val="9"/>
        <w:spacing w:line="560" w:lineRule="atLeast"/>
        <w:ind w:firstLine="408"/>
        <w:rPr>
          <w:sz w:val="18"/>
          <w:szCs w:val="18"/>
        </w:rPr>
      </w:pPr>
      <w:r>
        <w:rPr>
          <w:rFonts w:hint="eastAsia"/>
          <w:sz w:val="18"/>
          <w:szCs w:val="18"/>
        </w:rPr>
        <w:t>固定资产指为生产商品、提供劳务、出租或经营管理而持有，并且使用寿命超过一个会计年度的有形资产。固定资产在同时满足下列条件时予以确认：</w:t>
      </w:r>
    </w:p>
    <w:p w14:paraId="65FA3B86">
      <w:pPr>
        <w:pStyle w:val="9"/>
        <w:spacing w:line="560" w:lineRule="atLeast"/>
        <w:ind w:firstLine="408"/>
        <w:rPr>
          <w:sz w:val="18"/>
          <w:szCs w:val="18"/>
        </w:rPr>
      </w:pPr>
      <w:r>
        <w:rPr>
          <w:rFonts w:hint="eastAsia"/>
          <w:sz w:val="18"/>
          <w:szCs w:val="18"/>
        </w:rPr>
        <w:t>（1）与该固定资产有关的经济利益很可能流入企业；</w:t>
      </w:r>
    </w:p>
    <w:p w14:paraId="070FAED8">
      <w:pPr>
        <w:pStyle w:val="9"/>
        <w:spacing w:line="560" w:lineRule="atLeast"/>
        <w:ind w:firstLine="408"/>
        <w:rPr>
          <w:sz w:val="18"/>
          <w:szCs w:val="18"/>
        </w:rPr>
      </w:pPr>
      <w:r>
        <w:rPr>
          <w:rFonts w:hint="eastAsia"/>
          <w:sz w:val="18"/>
          <w:szCs w:val="18"/>
        </w:rPr>
        <w:t>（2）该固定资产的成本能够可靠地计量。</w:t>
      </w:r>
    </w:p>
    <w:p w14:paraId="0AB53612">
      <w:pPr>
        <w:pStyle w:val="9"/>
        <w:spacing w:line="560" w:lineRule="atLeast"/>
        <w:ind w:firstLine="408"/>
        <w:rPr>
          <w:sz w:val="18"/>
          <w:szCs w:val="18"/>
        </w:rPr>
      </w:pPr>
      <w:r>
        <w:rPr>
          <w:rFonts w:hint="eastAsia"/>
          <w:sz w:val="18"/>
          <w:szCs w:val="18"/>
        </w:rPr>
        <w:t>同时，与固定资产有关的后续支出，符合固定资产确认条件的，计入固定资产成本；不符合固定资产确认条件的，在发生时按照受益对象计入当期损益或计入相关资产的成本。</w:t>
      </w:r>
    </w:p>
    <w:p w14:paraId="2D483023">
      <w:pPr>
        <w:pStyle w:val="9"/>
        <w:spacing w:line="560" w:lineRule="atLeast"/>
        <w:ind w:firstLine="408"/>
        <w:rPr>
          <w:sz w:val="18"/>
          <w:szCs w:val="18"/>
        </w:rPr>
      </w:pPr>
      <w:r>
        <w:rPr>
          <w:rFonts w:hint="eastAsia"/>
          <w:sz w:val="18"/>
          <w:szCs w:val="18"/>
        </w:rPr>
        <w:t>2． 固定资产初始计量</w:t>
      </w:r>
    </w:p>
    <w:p w14:paraId="4D8F2245">
      <w:pPr>
        <w:pStyle w:val="9"/>
        <w:spacing w:line="560" w:lineRule="atLeast"/>
        <w:ind w:firstLine="408"/>
        <w:rPr>
          <w:sz w:val="18"/>
          <w:szCs w:val="18"/>
        </w:rPr>
      </w:pPr>
      <w:r>
        <w:rPr>
          <w:rFonts w:hint="eastAsia"/>
          <w:sz w:val="18"/>
          <w:szCs w:val="18"/>
        </w:rPr>
        <w:t>本公司固定资产按成本进行初始计量。</w:t>
      </w:r>
    </w:p>
    <w:p w14:paraId="683D86A3">
      <w:pPr>
        <w:pStyle w:val="9"/>
        <w:spacing w:line="560" w:lineRule="atLeast"/>
        <w:ind w:firstLine="408"/>
        <w:rPr>
          <w:sz w:val="18"/>
          <w:szCs w:val="18"/>
        </w:rPr>
      </w:pPr>
      <w:r>
        <w:rPr>
          <w:rFonts w:hint="eastAsia"/>
          <w:sz w:val="18"/>
          <w:szCs w:val="18"/>
        </w:rPr>
        <w:t>（1） 外购的固定资产的成本包括买价、进口关税等相关税费，以及为使固定资产达到预定可使用状态前所发生的可直接归属于该资产的其他支出。</w:t>
      </w:r>
    </w:p>
    <w:p w14:paraId="49C16361">
      <w:pPr>
        <w:pStyle w:val="9"/>
        <w:spacing w:line="560" w:lineRule="atLeast"/>
        <w:ind w:firstLine="408"/>
        <w:rPr>
          <w:sz w:val="18"/>
          <w:szCs w:val="18"/>
        </w:rPr>
      </w:pPr>
      <w:r>
        <w:rPr>
          <w:rFonts w:hint="eastAsia"/>
          <w:sz w:val="18"/>
          <w:szCs w:val="18"/>
        </w:rPr>
        <w:t>（2） 自行建造固定资产的成本，由建造该项资产达到预定可使用状态前所发生的必要支出构成。测试固定资产可否正常运转而发生的支出属于固定资产达到预定可使用状态前的必要支出，计入该固定资产成本。本公司将固定资产达到预定可使用状态前产出的产品或副产品对外销售(以下简称试运行销售)的，按照《企业会计准则第14号——收入》（2017年修订）、《企业会计准则第1号——存货》等规定，对试运行销售相关的收入和成本分别进行会计处理，计入当期损益。</w:t>
      </w:r>
    </w:p>
    <w:p w14:paraId="02A787A1">
      <w:pPr>
        <w:pStyle w:val="9"/>
        <w:spacing w:line="560" w:lineRule="atLeast"/>
        <w:ind w:firstLine="408"/>
        <w:rPr>
          <w:sz w:val="18"/>
          <w:szCs w:val="18"/>
        </w:rPr>
      </w:pPr>
      <w:r>
        <w:rPr>
          <w:rFonts w:hint="eastAsia"/>
          <w:sz w:val="18"/>
          <w:szCs w:val="18"/>
        </w:rPr>
        <w:t>（3） 投资者投入的固定资产，按投资合同或协议约定的价值加上应支付的相关税费作为入账价值，但合同或协议约定价值不公允的按公允价值入账。在投资合同或协议约定价值不公允的情况下，按照该项固定资产的公允价值作为入账价值，固定资产的公允价值与投资合同或协议约定的价值之间的差额计入资本公积。</w:t>
      </w:r>
    </w:p>
    <w:p w14:paraId="64AF8493">
      <w:pPr>
        <w:pStyle w:val="9"/>
        <w:spacing w:line="560" w:lineRule="atLeast"/>
        <w:ind w:firstLine="408"/>
        <w:rPr>
          <w:sz w:val="18"/>
          <w:szCs w:val="18"/>
        </w:rPr>
      </w:pPr>
      <w:r>
        <w:rPr>
          <w:rFonts w:hint="eastAsia"/>
          <w:sz w:val="18"/>
          <w:szCs w:val="18"/>
        </w:rPr>
        <w:t>（4） 购买固定资产的价款超过正常信用条件延期支付，实质上具有融资性质的，固定资产的成本以购买价款的现值为基础确定。实际支付的价款与购买价款的现值之间的差额，除应予资本化的以外，在信用期间内计入当期损益。</w:t>
      </w:r>
    </w:p>
    <w:p w14:paraId="33740744">
      <w:pPr>
        <w:pStyle w:val="9"/>
        <w:spacing w:line="560" w:lineRule="atLeast"/>
        <w:ind w:firstLine="408"/>
        <w:rPr>
          <w:sz w:val="18"/>
          <w:szCs w:val="18"/>
        </w:rPr>
      </w:pPr>
      <w:r>
        <w:rPr>
          <w:rFonts w:hint="eastAsia"/>
          <w:sz w:val="18"/>
          <w:szCs w:val="18"/>
        </w:rPr>
        <w:t>3． 固定资产后续计量及处置</w:t>
      </w:r>
    </w:p>
    <w:p w14:paraId="2C3F53EB">
      <w:pPr>
        <w:pStyle w:val="9"/>
        <w:spacing w:line="560" w:lineRule="atLeast"/>
        <w:ind w:firstLine="408"/>
        <w:rPr>
          <w:sz w:val="18"/>
          <w:szCs w:val="18"/>
        </w:rPr>
      </w:pPr>
      <w:r>
        <w:rPr>
          <w:rFonts w:hint="eastAsia"/>
          <w:sz w:val="18"/>
          <w:szCs w:val="18"/>
        </w:rPr>
        <w:t>（1） 固定资产折旧</w:t>
      </w:r>
    </w:p>
    <w:p w14:paraId="77AEDDD4">
      <w:pPr>
        <w:pStyle w:val="9"/>
        <w:spacing w:line="560" w:lineRule="atLeast"/>
        <w:ind w:firstLine="408"/>
        <w:rPr>
          <w:sz w:val="18"/>
          <w:szCs w:val="18"/>
        </w:rPr>
      </w:pPr>
      <w:r>
        <w:rPr>
          <w:rFonts w:hint="eastAsia"/>
          <w:sz w:val="18"/>
          <w:szCs w:val="18"/>
        </w:rPr>
        <w:t>固定资产折旧按其入账价值减去预计净残值后在预计使用寿命内计提。对计提了减值准备的固定资产，则在未来期间按扣除减值准备后的账面价值及依据尚可使用年限确定折旧额；已提足折旧仍继续使用的固定资产不计提折旧。</w:t>
      </w:r>
    </w:p>
    <w:p w14:paraId="5E7F6D28">
      <w:pPr>
        <w:pStyle w:val="9"/>
        <w:spacing w:line="560" w:lineRule="atLeast"/>
        <w:ind w:firstLine="408"/>
        <w:rPr>
          <w:sz w:val="18"/>
          <w:szCs w:val="18"/>
        </w:rPr>
      </w:pPr>
      <w:r>
        <w:rPr>
          <w:rFonts w:hint="eastAsia"/>
          <w:sz w:val="18"/>
          <w:szCs w:val="18"/>
        </w:rPr>
        <w:t>本公司根据固定资产的性质和使用情况，确定固定资产的使用寿命和预计净残值。并在年度终了，对固定资产的使用寿命、预计净残值和折旧方法进行复核，如与原先估计数存在差异的，进行相应的调整。</w:t>
      </w:r>
    </w:p>
    <w:p w14:paraId="261BC7E5">
      <w:pPr>
        <w:keepNext/>
        <w:keepLines/>
        <w:spacing w:before="300" w:after="300" w:line="280" w:lineRule="exact"/>
        <w:outlineLvl w:val="3"/>
        <w:rPr>
          <w:rFonts w:ascii="宋体" w:hAnsi="宋体" w:eastAsia="宋体" w:cs="宋体"/>
          <w:b/>
          <w:bCs/>
          <w:szCs w:val="21"/>
        </w:rPr>
      </w:pPr>
      <w:bookmarkStart w:id="209" w:name="_Toc989085"/>
      <w:r>
        <w:rPr>
          <w:rFonts w:ascii="宋体" w:hAnsi="宋体" w:eastAsia="宋体" w:cs="宋体"/>
          <w:b/>
          <w:bCs/>
          <w:szCs w:val="21"/>
        </w:rPr>
        <w:t>（2） 折旧方法</w:t>
      </w:r>
      <w:bookmarkEnd w:id="209"/>
    </w:p>
    <w:p w14:paraId="742E1D81">
      <w:pPr>
        <w:spacing w:line="0" w:lineRule="atLeast"/>
      </w:pP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38AE0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E2A89AC">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6086171">
            <w:pPr>
              <w:spacing w:before="40" w:after="40" w:line="240" w:lineRule="exact"/>
              <w:jc w:val="center"/>
              <w:rPr>
                <w:rFonts w:ascii="宋体" w:hAnsi="宋体" w:eastAsia="宋体" w:cs="宋体"/>
                <w:sz w:val="18"/>
                <w:szCs w:val="18"/>
              </w:rPr>
            </w:pPr>
            <w:r>
              <w:rPr>
                <w:rFonts w:ascii="宋体" w:hAnsi="宋体" w:eastAsia="宋体" w:cs="宋体"/>
                <w:sz w:val="18"/>
                <w:szCs w:val="18"/>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E6D51E6">
            <w:pPr>
              <w:spacing w:before="40" w:after="40" w:line="240" w:lineRule="exact"/>
              <w:jc w:val="center"/>
              <w:rPr>
                <w:rFonts w:ascii="宋体" w:hAnsi="宋体" w:eastAsia="宋体" w:cs="宋体"/>
                <w:sz w:val="18"/>
                <w:szCs w:val="18"/>
              </w:rPr>
            </w:pPr>
            <w:r>
              <w:rPr>
                <w:rFonts w:ascii="宋体" w:hAnsi="宋体" w:eastAsia="宋体" w:cs="宋体"/>
                <w:sz w:val="18"/>
                <w:szCs w:val="18"/>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D8D6057">
            <w:pPr>
              <w:spacing w:before="40" w:after="40" w:line="240" w:lineRule="exact"/>
              <w:jc w:val="center"/>
              <w:rPr>
                <w:rFonts w:ascii="宋体" w:hAnsi="宋体" w:eastAsia="宋体" w:cs="宋体"/>
                <w:sz w:val="18"/>
                <w:szCs w:val="18"/>
              </w:rPr>
            </w:pPr>
            <w:r>
              <w:rPr>
                <w:rFonts w:ascii="宋体" w:hAnsi="宋体" w:eastAsia="宋体" w:cs="宋体"/>
                <w:sz w:val="18"/>
                <w:szCs w:val="18"/>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C22238F">
            <w:pPr>
              <w:spacing w:before="40" w:after="40" w:line="240" w:lineRule="exact"/>
              <w:jc w:val="center"/>
              <w:rPr>
                <w:rFonts w:ascii="宋体" w:hAnsi="宋体" w:eastAsia="宋体" w:cs="宋体"/>
                <w:sz w:val="18"/>
                <w:szCs w:val="18"/>
              </w:rPr>
            </w:pPr>
            <w:r>
              <w:rPr>
                <w:rFonts w:ascii="宋体" w:hAnsi="宋体" w:eastAsia="宋体" w:cs="宋体"/>
                <w:sz w:val="18"/>
                <w:szCs w:val="18"/>
              </w:rPr>
              <w:t>年折旧率</w:t>
            </w:r>
          </w:p>
        </w:tc>
      </w:tr>
      <w:tr w14:paraId="7C87E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106305EE">
            <w:pPr>
              <w:spacing w:line="240" w:lineRule="exact"/>
              <w:rPr>
                <w:rFonts w:ascii="宋体" w:hAnsi="宋体" w:eastAsia="宋体" w:cs="宋体"/>
                <w:sz w:val="18"/>
                <w:szCs w:val="18"/>
              </w:rPr>
            </w:pPr>
            <w:r>
              <w:rPr>
                <w:rFonts w:ascii="宋体" w:hAnsi="宋体" w:eastAsia="宋体" w:cs="宋体"/>
                <w:sz w:val="18"/>
                <w:szCs w:val="18"/>
              </w:rPr>
              <w:t>房屋及建筑物</w:t>
            </w:r>
          </w:p>
        </w:tc>
        <w:tc>
          <w:tcPr>
            <w:tcW w:w="1928" w:type="dxa"/>
            <w:tcBorders>
              <w:top w:val="single" w:color="auto" w:sz="2" w:space="0"/>
              <w:left w:val="single" w:color="auto" w:sz="2" w:space="0"/>
              <w:bottom w:val="single" w:color="auto" w:sz="2" w:space="0"/>
              <w:right w:val="single" w:color="auto" w:sz="2" w:space="0"/>
            </w:tcBorders>
            <w:vAlign w:val="center"/>
          </w:tcPr>
          <w:p w14:paraId="43A02233">
            <w:pPr>
              <w:spacing w:line="240" w:lineRule="exac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14:paraId="128CD396">
            <w:pPr>
              <w:spacing w:line="240" w:lineRule="exact"/>
              <w:rPr>
                <w:rFonts w:ascii="宋体" w:hAnsi="宋体" w:eastAsia="宋体" w:cs="宋体"/>
                <w:sz w:val="18"/>
                <w:szCs w:val="18"/>
              </w:rPr>
            </w:pPr>
            <w:r>
              <w:rPr>
                <w:rFonts w:ascii="宋体" w:hAnsi="宋体" w:eastAsia="宋体" w:cs="宋体"/>
                <w:sz w:val="18"/>
                <w:szCs w:val="18"/>
              </w:rPr>
              <w:t>25.00</w:t>
            </w:r>
          </w:p>
        </w:tc>
        <w:tc>
          <w:tcPr>
            <w:tcW w:w="1928" w:type="dxa"/>
            <w:tcBorders>
              <w:top w:val="single" w:color="auto" w:sz="2" w:space="0"/>
              <w:left w:val="single" w:color="auto" w:sz="2" w:space="0"/>
              <w:bottom w:val="single" w:color="auto" w:sz="2" w:space="0"/>
              <w:right w:val="single" w:color="auto" w:sz="2" w:space="0"/>
            </w:tcBorders>
            <w:vAlign w:val="center"/>
          </w:tcPr>
          <w:p w14:paraId="6AA6BCED">
            <w:pPr>
              <w:spacing w:line="240" w:lineRule="exact"/>
              <w:rPr>
                <w:rFonts w:ascii="宋体" w:hAnsi="宋体" w:eastAsia="宋体" w:cs="宋体"/>
                <w:sz w:val="18"/>
                <w:szCs w:val="18"/>
              </w:rPr>
            </w:pPr>
            <w:r>
              <w:rPr>
                <w:rFonts w:ascii="宋体" w:hAnsi="宋体" w:eastAsia="宋体" w:cs="宋体"/>
                <w:sz w:val="18"/>
                <w:szCs w:val="18"/>
              </w:rPr>
              <w:t>10.00</w:t>
            </w:r>
          </w:p>
        </w:tc>
        <w:tc>
          <w:tcPr>
            <w:tcW w:w="1928" w:type="dxa"/>
            <w:tcBorders>
              <w:top w:val="single" w:color="auto" w:sz="2" w:space="0"/>
              <w:left w:val="single" w:color="auto" w:sz="2" w:space="0"/>
              <w:bottom w:val="single" w:color="auto" w:sz="2" w:space="0"/>
              <w:right w:val="single" w:color="auto" w:sz="2" w:space="0"/>
            </w:tcBorders>
            <w:vAlign w:val="center"/>
          </w:tcPr>
          <w:p w14:paraId="50766245">
            <w:pPr>
              <w:spacing w:line="240" w:lineRule="exact"/>
              <w:rPr>
                <w:rFonts w:ascii="宋体" w:hAnsi="宋体" w:eastAsia="宋体" w:cs="宋体"/>
                <w:sz w:val="18"/>
                <w:szCs w:val="18"/>
              </w:rPr>
            </w:pPr>
            <w:r>
              <w:rPr>
                <w:rFonts w:ascii="宋体" w:hAnsi="宋体" w:eastAsia="宋体" w:cs="宋体"/>
                <w:sz w:val="18"/>
                <w:szCs w:val="18"/>
              </w:rPr>
              <w:t>3.60</w:t>
            </w:r>
          </w:p>
        </w:tc>
      </w:tr>
      <w:tr w14:paraId="45CC5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1BE9E163">
            <w:pPr>
              <w:spacing w:line="240" w:lineRule="exact"/>
              <w:rPr>
                <w:rFonts w:ascii="宋体" w:hAnsi="宋体" w:eastAsia="宋体" w:cs="宋体"/>
                <w:sz w:val="18"/>
                <w:szCs w:val="18"/>
              </w:rPr>
            </w:pPr>
            <w:r>
              <w:rPr>
                <w:rFonts w:ascii="宋体" w:hAnsi="宋体" w:eastAsia="宋体" w:cs="宋体"/>
                <w:sz w:val="18"/>
                <w:szCs w:val="18"/>
              </w:rPr>
              <w:t>机器设备</w:t>
            </w:r>
          </w:p>
        </w:tc>
        <w:tc>
          <w:tcPr>
            <w:tcW w:w="1928" w:type="dxa"/>
            <w:tcBorders>
              <w:top w:val="single" w:color="auto" w:sz="2" w:space="0"/>
              <w:left w:val="single" w:color="auto" w:sz="2" w:space="0"/>
              <w:bottom w:val="single" w:color="auto" w:sz="2" w:space="0"/>
              <w:right w:val="single" w:color="auto" w:sz="2" w:space="0"/>
            </w:tcBorders>
            <w:vAlign w:val="center"/>
          </w:tcPr>
          <w:p w14:paraId="064A2FD5">
            <w:pPr>
              <w:spacing w:line="240" w:lineRule="exac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14:paraId="20197240">
            <w:pPr>
              <w:spacing w:line="240" w:lineRule="exact"/>
              <w:rPr>
                <w:rFonts w:ascii="宋体" w:hAnsi="宋体" w:eastAsia="宋体" w:cs="宋体"/>
                <w:sz w:val="18"/>
                <w:szCs w:val="18"/>
              </w:rPr>
            </w:pPr>
            <w:r>
              <w:rPr>
                <w:rFonts w:ascii="宋体" w:hAnsi="宋体" w:eastAsia="宋体" w:cs="宋体"/>
                <w:sz w:val="18"/>
                <w:szCs w:val="18"/>
              </w:rPr>
              <w:t>10.00</w:t>
            </w:r>
          </w:p>
        </w:tc>
        <w:tc>
          <w:tcPr>
            <w:tcW w:w="1928" w:type="dxa"/>
            <w:tcBorders>
              <w:top w:val="single" w:color="auto" w:sz="2" w:space="0"/>
              <w:left w:val="single" w:color="auto" w:sz="2" w:space="0"/>
              <w:bottom w:val="single" w:color="auto" w:sz="2" w:space="0"/>
              <w:right w:val="single" w:color="auto" w:sz="2" w:space="0"/>
            </w:tcBorders>
            <w:vAlign w:val="center"/>
          </w:tcPr>
          <w:p w14:paraId="222CB531">
            <w:pPr>
              <w:spacing w:line="240" w:lineRule="exact"/>
              <w:rPr>
                <w:rFonts w:ascii="宋体" w:hAnsi="宋体" w:eastAsia="宋体" w:cs="宋体"/>
                <w:sz w:val="18"/>
                <w:szCs w:val="18"/>
              </w:rPr>
            </w:pPr>
            <w:r>
              <w:rPr>
                <w:rFonts w:ascii="宋体" w:hAnsi="宋体" w:eastAsia="宋体" w:cs="宋体"/>
                <w:sz w:val="18"/>
                <w:szCs w:val="18"/>
              </w:rPr>
              <w:t>10.00</w:t>
            </w:r>
          </w:p>
        </w:tc>
        <w:tc>
          <w:tcPr>
            <w:tcW w:w="1928" w:type="dxa"/>
            <w:tcBorders>
              <w:top w:val="single" w:color="auto" w:sz="2" w:space="0"/>
              <w:left w:val="single" w:color="auto" w:sz="2" w:space="0"/>
              <w:bottom w:val="single" w:color="auto" w:sz="2" w:space="0"/>
              <w:right w:val="single" w:color="auto" w:sz="2" w:space="0"/>
            </w:tcBorders>
            <w:vAlign w:val="center"/>
          </w:tcPr>
          <w:p w14:paraId="3FC94109">
            <w:pPr>
              <w:spacing w:line="240" w:lineRule="exact"/>
              <w:rPr>
                <w:rFonts w:ascii="宋体" w:hAnsi="宋体" w:eastAsia="宋体" w:cs="宋体"/>
                <w:sz w:val="18"/>
                <w:szCs w:val="18"/>
              </w:rPr>
            </w:pPr>
            <w:r>
              <w:rPr>
                <w:rFonts w:ascii="宋体" w:hAnsi="宋体" w:eastAsia="宋体" w:cs="宋体"/>
                <w:sz w:val="18"/>
                <w:szCs w:val="18"/>
              </w:rPr>
              <w:t>9.00</w:t>
            </w:r>
          </w:p>
        </w:tc>
      </w:tr>
      <w:tr w14:paraId="00742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C533903">
            <w:pPr>
              <w:spacing w:line="240" w:lineRule="exact"/>
              <w:rPr>
                <w:rFonts w:ascii="宋体" w:hAnsi="宋体" w:eastAsia="宋体" w:cs="宋体"/>
                <w:sz w:val="18"/>
                <w:szCs w:val="18"/>
              </w:rPr>
            </w:pPr>
            <w:r>
              <w:rPr>
                <w:rFonts w:ascii="宋体" w:hAnsi="宋体" w:eastAsia="宋体" w:cs="宋体"/>
                <w:sz w:val="18"/>
                <w:szCs w:val="18"/>
              </w:rPr>
              <w:t>运输设备</w:t>
            </w:r>
          </w:p>
        </w:tc>
        <w:tc>
          <w:tcPr>
            <w:tcW w:w="1928" w:type="dxa"/>
            <w:tcBorders>
              <w:top w:val="single" w:color="auto" w:sz="2" w:space="0"/>
              <w:left w:val="single" w:color="auto" w:sz="2" w:space="0"/>
              <w:bottom w:val="single" w:color="auto" w:sz="2" w:space="0"/>
              <w:right w:val="single" w:color="auto" w:sz="2" w:space="0"/>
            </w:tcBorders>
            <w:vAlign w:val="center"/>
          </w:tcPr>
          <w:p w14:paraId="43E0D0BF">
            <w:pPr>
              <w:spacing w:line="240" w:lineRule="exac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14:paraId="3A8A1BAC">
            <w:pPr>
              <w:spacing w:line="240" w:lineRule="exac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14:paraId="17C265F0">
            <w:pPr>
              <w:spacing w:line="240" w:lineRule="exact"/>
              <w:rPr>
                <w:rFonts w:ascii="宋体" w:hAnsi="宋体" w:eastAsia="宋体" w:cs="宋体"/>
                <w:sz w:val="18"/>
                <w:szCs w:val="18"/>
              </w:rPr>
            </w:pPr>
            <w:r>
              <w:rPr>
                <w:rFonts w:ascii="宋体" w:hAnsi="宋体" w:eastAsia="宋体" w:cs="宋体"/>
                <w:sz w:val="18"/>
                <w:szCs w:val="18"/>
              </w:rPr>
              <w:t>10.00</w:t>
            </w:r>
          </w:p>
        </w:tc>
        <w:tc>
          <w:tcPr>
            <w:tcW w:w="1928" w:type="dxa"/>
            <w:tcBorders>
              <w:top w:val="single" w:color="auto" w:sz="2" w:space="0"/>
              <w:left w:val="single" w:color="auto" w:sz="2" w:space="0"/>
              <w:bottom w:val="single" w:color="auto" w:sz="2" w:space="0"/>
              <w:right w:val="single" w:color="auto" w:sz="2" w:space="0"/>
            </w:tcBorders>
            <w:vAlign w:val="center"/>
          </w:tcPr>
          <w:p w14:paraId="6A44305B">
            <w:pPr>
              <w:spacing w:line="240" w:lineRule="exact"/>
              <w:rPr>
                <w:rFonts w:ascii="宋体" w:hAnsi="宋体" w:eastAsia="宋体" w:cs="宋体"/>
                <w:sz w:val="18"/>
                <w:szCs w:val="18"/>
              </w:rPr>
            </w:pPr>
            <w:r>
              <w:rPr>
                <w:rFonts w:ascii="宋体" w:hAnsi="宋体" w:eastAsia="宋体" w:cs="宋体"/>
                <w:sz w:val="18"/>
                <w:szCs w:val="18"/>
              </w:rPr>
              <w:t>18.00</w:t>
            </w:r>
          </w:p>
        </w:tc>
      </w:tr>
      <w:tr w14:paraId="42445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51F4F14">
            <w:pPr>
              <w:spacing w:line="240" w:lineRule="exact"/>
              <w:rPr>
                <w:rFonts w:ascii="宋体" w:hAnsi="宋体" w:eastAsia="宋体" w:cs="宋体"/>
                <w:sz w:val="18"/>
                <w:szCs w:val="18"/>
              </w:rPr>
            </w:pPr>
            <w:r>
              <w:rPr>
                <w:rFonts w:ascii="宋体" w:hAnsi="宋体" w:eastAsia="宋体" w:cs="宋体"/>
                <w:sz w:val="18"/>
                <w:szCs w:val="18"/>
              </w:rPr>
              <w:t>电子及其他设备</w:t>
            </w:r>
          </w:p>
        </w:tc>
        <w:tc>
          <w:tcPr>
            <w:tcW w:w="1928" w:type="dxa"/>
            <w:tcBorders>
              <w:top w:val="single" w:color="auto" w:sz="2" w:space="0"/>
              <w:left w:val="single" w:color="auto" w:sz="2" w:space="0"/>
              <w:bottom w:val="single" w:color="auto" w:sz="2" w:space="0"/>
              <w:right w:val="single" w:color="auto" w:sz="2" w:space="0"/>
            </w:tcBorders>
            <w:vAlign w:val="center"/>
          </w:tcPr>
          <w:p w14:paraId="1D6AA1A9">
            <w:pPr>
              <w:spacing w:line="240" w:lineRule="exac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14:paraId="44A03DD1">
            <w:pPr>
              <w:spacing w:line="240" w:lineRule="exac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14:paraId="761E89E1">
            <w:pPr>
              <w:spacing w:line="240" w:lineRule="exact"/>
              <w:rPr>
                <w:rFonts w:ascii="宋体" w:hAnsi="宋体" w:eastAsia="宋体" w:cs="宋体"/>
                <w:sz w:val="18"/>
                <w:szCs w:val="18"/>
              </w:rPr>
            </w:pPr>
            <w:r>
              <w:rPr>
                <w:rFonts w:ascii="宋体" w:hAnsi="宋体" w:eastAsia="宋体" w:cs="宋体"/>
                <w:sz w:val="18"/>
                <w:szCs w:val="18"/>
              </w:rPr>
              <w:t>10.00</w:t>
            </w:r>
          </w:p>
        </w:tc>
        <w:tc>
          <w:tcPr>
            <w:tcW w:w="1928" w:type="dxa"/>
            <w:tcBorders>
              <w:top w:val="single" w:color="auto" w:sz="2" w:space="0"/>
              <w:left w:val="single" w:color="auto" w:sz="2" w:space="0"/>
              <w:bottom w:val="single" w:color="auto" w:sz="2" w:space="0"/>
              <w:right w:val="single" w:color="auto" w:sz="2" w:space="0"/>
            </w:tcBorders>
            <w:vAlign w:val="center"/>
          </w:tcPr>
          <w:p w14:paraId="72136041">
            <w:pPr>
              <w:spacing w:line="240" w:lineRule="exact"/>
              <w:rPr>
                <w:rFonts w:ascii="宋体" w:hAnsi="宋体" w:eastAsia="宋体" w:cs="宋体"/>
                <w:sz w:val="18"/>
                <w:szCs w:val="18"/>
              </w:rPr>
            </w:pPr>
            <w:r>
              <w:rPr>
                <w:rFonts w:ascii="宋体" w:hAnsi="宋体" w:eastAsia="宋体" w:cs="宋体"/>
                <w:sz w:val="18"/>
                <w:szCs w:val="18"/>
              </w:rPr>
              <w:t>18.00</w:t>
            </w:r>
          </w:p>
        </w:tc>
      </w:tr>
    </w:tbl>
    <w:p w14:paraId="13F7979D">
      <w:pPr>
        <w:widowControl/>
        <w:numPr>
          <w:ilvl w:val="0"/>
          <w:numId w:val="83"/>
        </w:numPr>
        <w:spacing w:before="100" w:beforeAutospacing="1" w:after="100" w:afterAutospacing="1"/>
        <w:rPr>
          <w:sz w:val="18"/>
          <w:szCs w:val="18"/>
        </w:rPr>
      </w:pPr>
      <w:r>
        <w:rPr>
          <w:rFonts w:hint="eastAsia"/>
          <w:sz w:val="18"/>
          <w:szCs w:val="18"/>
        </w:rPr>
        <w:t>固定资产的后续支出</w:t>
      </w:r>
    </w:p>
    <w:p w14:paraId="3249635D">
      <w:pPr>
        <w:pStyle w:val="9"/>
        <w:spacing w:before="0" w:beforeAutospacing="0" w:after="0" w:afterAutospacing="0" w:line="360" w:lineRule="auto"/>
        <w:ind w:firstLine="420"/>
        <w:jc w:val="both"/>
        <w:rPr>
          <w:rFonts w:ascii="Times New Roman" w:hAnsi="Times New Roman" w:cs="Times New Roman"/>
          <w:sz w:val="21"/>
          <w:szCs w:val="21"/>
        </w:rPr>
      </w:pPr>
      <w:bookmarkStart w:id="210" w:name="OLE_LINK31"/>
      <w:bookmarkEnd w:id="210"/>
      <w:r>
        <w:rPr>
          <w:rFonts w:hint="eastAsia" w:cs="Times New Roman"/>
          <w:sz w:val="21"/>
          <w:szCs w:val="21"/>
        </w:rPr>
        <w:t>与固定资产有关的后续支出，符合固定资产确认条件的，计入固定资产成本；不符合固定资产确认条件的，</w:t>
      </w:r>
      <w:bookmarkStart w:id="211" w:name="_Hlk186878244"/>
      <w:bookmarkEnd w:id="211"/>
      <w:bookmarkStart w:id="212" w:name="_Hlk188451073"/>
      <w:bookmarkEnd w:id="212"/>
      <w:r>
        <w:rPr>
          <w:rFonts w:hint="eastAsia" w:cs="Times New Roman"/>
          <w:sz w:val="21"/>
          <w:szCs w:val="21"/>
        </w:rPr>
        <w:t>根据不同情况分别在发生时按照受益对象计入当期损益或计入相关资产的成本。</w:t>
      </w:r>
    </w:p>
    <w:p w14:paraId="0366C3EE">
      <w:pPr>
        <w:widowControl/>
        <w:numPr>
          <w:ilvl w:val="0"/>
          <w:numId w:val="84"/>
        </w:numPr>
        <w:spacing w:before="100" w:beforeAutospacing="1" w:after="100" w:afterAutospacing="1"/>
        <w:rPr>
          <w:rFonts w:ascii="宋体" w:hAnsi="宋体" w:cs="宋体"/>
          <w:sz w:val="18"/>
          <w:szCs w:val="18"/>
        </w:rPr>
      </w:pPr>
      <w:r>
        <w:rPr>
          <w:rFonts w:hint="eastAsia"/>
          <w:sz w:val="18"/>
          <w:szCs w:val="18"/>
        </w:rPr>
        <w:t>固定资产的减值</w:t>
      </w:r>
    </w:p>
    <w:p w14:paraId="43409C4D">
      <w:pPr>
        <w:pStyle w:val="9"/>
        <w:spacing w:before="0" w:beforeAutospacing="0" w:after="0" w:afterAutospacing="0" w:line="360" w:lineRule="auto"/>
        <w:ind w:left="420"/>
        <w:jc w:val="both"/>
        <w:rPr>
          <w:rFonts w:ascii="Times New Roman" w:hAnsi="Times New Roman" w:cs="Times New Roman"/>
          <w:sz w:val="21"/>
          <w:szCs w:val="21"/>
        </w:rPr>
      </w:pPr>
      <w:r>
        <w:rPr>
          <w:rFonts w:hint="eastAsia" w:cs="Times New Roman"/>
          <w:sz w:val="21"/>
          <w:szCs w:val="21"/>
        </w:rPr>
        <w:t>固定资产的减值测试方法和减值准备计提方法详见30.长期资产减值。</w:t>
      </w:r>
    </w:p>
    <w:p w14:paraId="3BA1167B">
      <w:pPr>
        <w:widowControl/>
        <w:numPr>
          <w:ilvl w:val="0"/>
          <w:numId w:val="85"/>
        </w:numPr>
        <w:spacing w:before="100" w:beforeAutospacing="1" w:after="100" w:afterAutospacing="1"/>
        <w:rPr>
          <w:rFonts w:ascii="宋体" w:hAnsi="宋体" w:cs="宋体"/>
          <w:sz w:val="18"/>
          <w:szCs w:val="18"/>
        </w:rPr>
      </w:pPr>
      <w:r>
        <w:rPr>
          <w:rFonts w:hint="eastAsia"/>
          <w:sz w:val="18"/>
          <w:szCs w:val="18"/>
        </w:rPr>
        <w:t>固定资产处置</w:t>
      </w:r>
    </w:p>
    <w:p w14:paraId="479AC2D0">
      <w:pPr>
        <w:pStyle w:val="9"/>
        <w:spacing w:before="0" w:beforeAutospacing="0" w:after="0" w:afterAutospacing="0" w:line="360" w:lineRule="auto"/>
        <w:ind w:firstLine="420"/>
        <w:jc w:val="both"/>
        <w:rPr>
          <w:sz w:val="21"/>
          <w:szCs w:val="21"/>
        </w:rPr>
      </w:pPr>
      <w:bookmarkStart w:id="213" w:name="OLE_LINK32"/>
      <w:bookmarkEnd w:id="213"/>
      <w:r>
        <w:rPr>
          <w:rFonts w:hint="eastAsia"/>
          <w:sz w:val="21"/>
          <w:szCs w:val="21"/>
        </w:rPr>
        <w:t>当固定资产被处置、或者预期通过使用或处置不能产生经济利益时，终止确认该固定资产。固定资产出售、转让、报废或毁损的处置收入扣除其账面价值和相关税费后的金额计入当期损益。</w:t>
      </w:r>
    </w:p>
    <w:p w14:paraId="4EA7CC6F">
      <w:pPr>
        <w:pStyle w:val="3"/>
        <w:spacing w:line="280" w:lineRule="exact"/>
        <w:jc w:val="left"/>
        <w:rPr>
          <w:rFonts w:ascii="宋体" w:hAnsi="宋体" w:cs="宋体"/>
          <w:b/>
          <w:bCs/>
        </w:rPr>
      </w:pPr>
      <w:bookmarkStart w:id="214" w:name="_Toc989086"/>
      <w:r>
        <w:rPr>
          <w:rFonts w:ascii="宋体" w:hAnsi="宋体" w:cs="宋体"/>
          <w:b/>
          <w:bCs/>
        </w:rPr>
        <w:t>25、在建工程</w:t>
      </w:r>
      <w:bookmarkEnd w:id="214"/>
    </w:p>
    <w:p w14:paraId="61A26B06">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本公司自行建造的在建工程按实际成本计价，实际成本由建造该项资产达到预定可使用状态前所发生的必要支出构成，包括工程用物资成本、人工成本、交纳的相关税费、应予资本化的借款费用以及应分摊的间接费用等。</w:t>
      </w:r>
    </w:p>
    <w:p w14:paraId="4470B0F7">
      <w:pPr>
        <w:pStyle w:val="9"/>
        <w:spacing w:before="0" w:beforeAutospacing="0" w:after="0" w:afterAutospacing="0" w:line="360" w:lineRule="auto"/>
        <w:ind w:firstLine="420"/>
        <w:jc w:val="both"/>
        <w:rPr>
          <w:sz w:val="21"/>
          <w:szCs w:val="21"/>
        </w:rPr>
      </w:pPr>
      <w:r>
        <w:rPr>
          <w:rFonts w:hint="eastAsia"/>
          <w:sz w:val="21"/>
          <w:szCs w:val="21"/>
        </w:rPr>
        <w:t>在建工程项目按建造该项资产达到预定可使用状态前所发生的全部支出，作为固定资产的入账价值。所建造的在建工程已达到预定可使用状态，但尚未办理竣工决算的，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14:paraId="41B9BABA">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在建工程的减值测试方法和减值准备计提方法详见30.长期资产减值。</w:t>
      </w:r>
    </w:p>
    <w:p w14:paraId="23782A31">
      <w:pPr>
        <w:pStyle w:val="3"/>
        <w:spacing w:line="280" w:lineRule="exact"/>
        <w:jc w:val="left"/>
        <w:rPr>
          <w:rFonts w:ascii="宋体" w:hAnsi="宋体" w:cs="宋体"/>
          <w:b/>
          <w:bCs/>
        </w:rPr>
      </w:pPr>
      <w:bookmarkStart w:id="215" w:name="_Toc989087"/>
      <w:r>
        <w:rPr>
          <w:rFonts w:ascii="宋体" w:hAnsi="宋体" w:cs="宋体"/>
          <w:b/>
          <w:bCs/>
        </w:rPr>
        <w:t>26、借款费用</w:t>
      </w:r>
      <w:bookmarkEnd w:id="215"/>
    </w:p>
    <w:p w14:paraId="7C4369B1">
      <w:pPr>
        <w:widowControl/>
        <w:numPr>
          <w:ilvl w:val="2"/>
          <w:numId w:val="86"/>
        </w:numPr>
        <w:tabs>
          <w:tab w:val="left" w:pos="1985"/>
          <w:tab w:val="clear" w:pos="2160"/>
        </w:tabs>
        <w:spacing w:before="100" w:beforeAutospacing="1" w:after="100" w:afterAutospacing="1"/>
        <w:ind w:left="426"/>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借款费用资本化的确认原则</w:t>
      </w:r>
    </w:p>
    <w:p w14:paraId="37F1C9A3">
      <w:pPr>
        <w:pStyle w:val="9"/>
        <w:spacing w:before="0" w:beforeAutospacing="0" w:after="0" w:afterAutospacing="0" w:line="360" w:lineRule="auto"/>
        <w:ind w:firstLine="420"/>
        <w:jc w:val="both"/>
        <w:rPr>
          <w:sz w:val="21"/>
          <w:szCs w:val="21"/>
        </w:rPr>
      </w:pPr>
      <w:r>
        <w:rPr>
          <w:rFonts w:hint="eastAsia"/>
          <w:sz w:val="21"/>
          <w:szCs w:val="21"/>
        </w:rPr>
        <w:t>本公司发生的借款费用，可直接归属于符合资本化条件的资产的购建或者生产的，予以资本化，计入相关资产成本；其他借款费用，在发生时根据其发生额确认为费用，计入当期损益。</w:t>
      </w:r>
    </w:p>
    <w:p w14:paraId="6661CC57">
      <w:pPr>
        <w:pStyle w:val="9"/>
        <w:spacing w:before="0" w:beforeAutospacing="0" w:after="0" w:afterAutospacing="0" w:line="360" w:lineRule="auto"/>
        <w:ind w:firstLine="420"/>
        <w:jc w:val="both"/>
        <w:rPr>
          <w:sz w:val="21"/>
          <w:szCs w:val="21"/>
        </w:rPr>
      </w:pPr>
      <w:r>
        <w:rPr>
          <w:rFonts w:hint="eastAsia"/>
          <w:sz w:val="21"/>
          <w:szCs w:val="21"/>
        </w:rPr>
        <w:t>符合资本化条件的资产，是指需要经过相当长时间的购建或者生产活动才能达到预定可使用或者可销售状态的固定资产、投资性房地产和存货等资产。</w:t>
      </w:r>
    </w:p>
    <w:p w14:paraId="65B2E9F4">
      <w:pPr>
        <w:pStyle w:val="9"/>
        <w:spacing w:before="0" w:beforeAutospacing="0" w:after="0" w:afterAutospacing="0" w:line="360" w:lineRule="auto"/>
        <w:ind w:firstLine="420"/>
        <w:jc w:val="both"/>
        <w:rPr>
          <w:sz w:val="21"/>
          <w:szCs w:val="21"/>
        </w:rPr>
      </w:pPr>
      <w:r>
        <w:rPr>
          <w:rFonts w:hint="eastAsia"/>
          <w:sz w:val="21"/>
          <w:szCs w:val="21"/>
        </w:rPr>
        <w:t>借款费用同时满足下列条件时开始资本化：</w:t>
      </w:r>
    </w:p>
    <w:p w14:paraId="4A1E90A4">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1</w:t>
      </w:r>
      <w:r>
        <w:rPr>
          <w:rFonts w:hint="eastAsia"/>
          <w:sz w:val="21"/>
          <w:szCs w:val="21"/>
        </w:rPr>
        <w:t>）资产支出已经发生，资产支出包括为购建或者生产符合资本化条件的资产而以支付现金、转移非现金资产或者承担带息债务形式发生的支出；</w:t>
      </w:r>
    </w:p>
    <w:p w14:paraId="59C9926B">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2</w:t>
      </w:r>
      <w:r>
        <w:rPr>
          <w:rFonts w:hint="eastAsia"/>
          <w:sz w:val="21"/>
          <w:szCs w:val="21"/>
        </w:rPr>
        <w:t>）借款费用已经发生；</w:t>
      </w:r>
    </w:p>
    <w:p w14:paraId="2682EFCD">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3</w:t>
      </w:r>
      <w:r>
        <w:rPr>
          <w:rFonts w:hint="eastAsia"/>
          <w:sz w:val="21"/>
          <w:szCs w:val="21"/>
        </w:rPr>
        <w:t>）为使资产达到预定可使用或者可销售状态所必要的购建或者生产活动已经开始。</w:t>
      </w:r>
    </w:p>
    <w:p w14:paraId="21C54AED">
      <w:pPr>
        <w:widowControl/>
        <w:numPr>
          <w:ilvl w:val="2"/>
          <w:numId w:val="86"/>
        </w:numPr>
        <w:tabs>
          <w:tab w:val="left" w:pos="1985"/>
          <w:tab w:val="clear" w:pos="2160"/>
        </w:tabs>
        <w:spacing w:before="100" w:beforeAutospacing="1" w:after="100" w:afterAutospacing="1"/>
        <w:ind w:left="426"/>
        <w:rPr>
          <w:sz w:val="18"/>
          <w:szCs w:val="18"/>
        </w:rPr>
      </w:pPr>
      <w:r>
        <w:rPr>
          <w:rFonts w:hint="eastAsia"/>
          <w:sz w:val="18"/>
          <w:szCs w:val="18"/>
        </w:rPr>
        <w:t>．</w:t>
      </w:r>
      <w:r>
        <w:rPr>
          <w:sz w:val="18"/>
          <w:szCs w:val="18"/>
        </w:rPr>
        <w:t xml:space="preserve"> </w:t>
      </w:r>
      <w:r>
        <w:rPr>
          <w:rFonts w:hint="eastAsia"/>
          <w:sz w:val="18"/>
          <w:szCs w:val="18"/>
        </w:rPr>
        <w:t>借款费用资本化期间</w:t>
      </w:r>
    </w:p>
    <w:p w14:paraId="0F16D85B">
      <w:pPr>
        <w:pStyle w:val="9"/>
        <w:spacing w:before="0" w:beforeAutospacing="0" w:after="0" w:afterAutospacing="0" w:line="360" w:lineRule="auto"/>
        <w:ind w:firstLine="420"/>
        <w:jc w:val="both"/>
        <w:rPr>
          <w:sz w:val="21"/>
          <w:szCs w:val="21"/>
        </w:rPr>
      </w:pPr>
      <w:r>
        <w:rPr>
          <w:rFonts w:hint="eastAsia"/>
          <w:sz w:val="21"/>
          <w:szCs w:val="21"/>
        </w:rPr>
        <w:t>资本化期间，指从借款费用开始资本化时点到停止资本化时点的期间，借款费用暂停资本化的期间不包括在内。</w:t>
      </w:r>
    </w:p>
    <w:p w14:paraId="271BE5CA">
      <w:pPr>
        <w:pStyle w:val="9"/>
        <w:spacing w:before="0" w:beforeAutospacing="0" w:after="0" w:afterAutospacing="0" w:line="360" w:lineRule="auto"/>
        <w:ind w:firstLine="420"/>
        <w:jc w:val="both"/>
        <w:rPr>
          <w:sz w:val="21"/>
          <w:szCs w:val="21"/>
        </w:rPr>
      </w:pPr>
      <w:r>
        <w:rPr>
          <w:rFonts w:hint="eastAsia"/>
          <w:sz w:val="21"/>
          <w:szCs w:val="21"/>
        </w:rPr>
        <w:t>当购建或者生产符合资本化条件的资产达到预定可使用或者可销售状态时，借款费用停止资本化。</w:t>
      </w:r>
    </w:p>
    <w:p w14:paraId="137EDC31">
      <w:pPr>
        <w:pStyle w:val="9"/>
        <w:spacing w:before="0" w:beforeAutospacing="0" w:after="0" w:afterAutospacing="0" w:line="360" w:lineRule="auto"/>
        <w:ind w:firstLine="420"/>
        <w:jc w:val="both"/>
        <w:rPr>
          <w:sz w:val="21"/>
          <w:szCs w:val="21"/>
        </w:rPr>
      </w:pPr>
      <w:r>
        <w:rPr>
          <w:rFonts w:hint="eastAsia"/>
          <w:sz w:val="21"/>
          <w:szCs w:val="21"/>
        </w:rPr>
        <w:t>当购建或者生产符合资本化条件的资产中部分项目分别完工且可单独使用时，该部分资产借款费用停止资本化。</w:t>
      </w:r>
    </w:p>
    <w:p w14:paraId="5FFE9BAC">
      <w:pPr>
        <w:pStyle w:val="9"/>
        <w:spacing w:before="0" w:beforeAutospacing="0" w:after="0" w:afterAutospacing="0" w:line="360" w:lineRule="auto"/>
        <w:ind w:firstLine="420"/>
        <w:jc w:val="both"/>
        <w:rPr>
          <w:sz w:val="21"/>
          <w:szCs w:val="21"/>
        </w:rPr>
      </w:pPr>
      <w:r>
        <w:rPr>
          <w:rFonts w:hint="eastAsia"/>
          <w:sz w:val="21"/>
          <w:szCs w:val="21"/>
        </w:rPr>
        <w:t>购建或者生产的资产的各部分分别完工，但必须等到整体完工后才可使用或可对外销售的，在该资产整体完工时停止借款费用资本化。</w:t>
      </w:r>
    </w:p>
    <w:p w14:paraId="290A4BEC">
      <w:pPr>
        <w:widowControl/>
        <w:numPr>
          <w:ilvl w:val="2"/>
          <w:numId w:val="86"/>
        </w:numPr>
        <w:tabs>
          <w:tab w:val="left" w:pos="1985"/>
          <w:tab w:val="clear" w:pos="2160"/>
        </w:tabs>
        <w:spacing w:before="100" w:beforeAutospacing="1" w:after="100" w:afterAutospacing="1"/>
        <w:ind w:left="426"/>
        <w:rPr>
          <w:sz w:val="18"/>
          <w:szCs w:val="18"/>
        </w:rPr>
      </w:pPr>
      <w:r>
        <w:rPr>
          <w:rFonts w:hint="eastAsia"/>
          <w:sz w:val="18"/>
          <w:szCs w:val="18"/>
        </w:rPr>
        <w:t>．</w:t>
      </w:r>
      <w:r>
        <w:rPr>
          <w:sz w:val="18"/>
          <w:szCs w:val="18"/>
        </w:rPr>
        <w:t xml:space="preserve"> </w:t>
      </w:r>
      <w:r>
        <w:rPr>
          <w:rFonts w:hint="eastAsia"/>
          <w:sz w:val="18"/>
          <w:szCs w:val="18"/>
        </w:rPr>
        <w:t>暂停资本化期间</w:t>
      </w:r>
    </w:p>
    <w:p w14:paraId="0D433D28">
      <w:pPr>
        <w:pStyle w:val="9"/>
        <w:spacing w:before="0" w:beforeAutospacing="0" w:after="0" w:afterAutospacing="0" w:line="360" w:lineRule="auto"/>
        <w:ind w:firstLine="420"/>
        <w:jc w:val="both"/>
        <w:rPr>
          <w:sz w:val="21"/>
          <w:szCs w:val="21"/>
        </w:rPr>
      </w:pPr>
      <w:r>
        <w:rPr>
          <w:rFonts w:hint="eastAsia"/>
          <w:sz w:val="21"/>
          <w:szCs w:val="21"/>
        </w:rPr>
        <w:t>符合资本化条件的资产在购建或生产过程中发生的非正常中断、且中断时间连续超过</w:t>
      </w:r>
      <w:r>
        <w:rPr>
          <w:rFonts w:ascii="Arial" w:hAnsi="Arial" w:cs="Arial"/>
          <w:sz w:val="21"/>
          <w:szCs w:val="21"/>
        </w:rPr>
        <w:t>3</w:t>
      </w:r>
      <w:r>
        <w:rPr>
          <w:rFonts w:hint="eastAsia"/>
          <w:sz w:val="21"/>
          <w:szCs w:val="21"/>
        </w:rPr>
        <w:t>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14:paraId="3B698DCB">
      <w:pPr>
        <w:widowControl/>
        <w:numPr>
          <w:ilvl w:val="2"/>
          <w:numId w:val="86"/>
        </w:numPr>
        <w:tabs>
          <w:tab w:val="left" w:pos="1985"/>
          <w:tab w:val="clear" w:pos="2160"/>
        </w:tabs>
        <w:spacing w:before="100" w:beforeAutospacing="1" w:after="100" w:afterAutospacing="1"/>
        <w:ind w:left="426"/>
        <w:rPr>
          <w:sz w:val="18"/>
          <w:szCs w:val="18"/>
        </w:rPr>
      </w:pPr>
      <w:r>
        <w:rPr>
          <w:rFonts w:hint="eastAsia"/>
          <w:sz w:val="18"/>
          <w:szCs w:val="18"/>
        </w:rPr>
        <w:t>．</w:t>
      </w:r>
      <w:r>
        <w:rPr>
          <w:sz w:val="18"/>
          <w:szCs w:val="18"/>
        </w:rPr>
        <w:t xml:space="preserve"> </w:t>
      </w:r>
      <w:r>
        <w:rPr>
          <w:rFonts w:hint="eastAsia"/>
          <w:sz w:val="18"/>
          <w:szCs w:val="18"/>
        </w:rPr>
        <w:t>借款费用资本化金额的计算方法</w:t>
      </w:r>
    </w:p>
    <w:p w14:paraId="40A72E5D">
      <w:pPr>
        <w:pStyle w:val="9"/>
        <w:spacing w:before="0" w:beforeAutospacing="0" w:after="0" w:afterAutospacing="0" w:line="360" w:lineRule="auto"/>
        <w:ind w:firstLine="420"/>
        <w:jc w:val="both"/>
        <w:rPr>
          <w:sz w:val="21"/>
          <w:szCs w:val="21"/>
        </w:rPr>
      </w:pPr>
      <w:r>
        <w:rPr>
          <w:rFonts w:hint="eastAsia"/>
          <w:sz w:val="21"/>
          <w:szCs w:val="21"/>
        </w:rPr>
        <w:t>专门借款的利息费用（扣除尚未动用的借款资金存入银行取得的利息收入或者进行暂时性投资取得的投资收益）及其辅助费用在所购建或者生产的符合资本化条件的资产达到预定可使用或者可销售状态前，予以资本化。</w:t>
      </w:r>
    </w:p>
    <w:p w14:paraId="74BA2A21">
      <w:pPr>
        <w:pStyle w:val="9"/>
        <w:spacing w:before="0" w:beforeAutospacing="0" w:after="0" w:afterAutospacing="0" w:line="360" w:lineRule="auto"/>
        <w:ind w:firstLine="420"/>
        <w:jc w:val="both"/>
        <w:rPr>
          <w:sz w:val="21"/>
          <w:szCs w:val="21"/>
        </w:rPr>
      </w:pPr>
      <w:r>
        <w:rPr>
          <w:rFonts w:hint="eastAsia"/>
          <w:sz w:val="21"/>
          <w:szCs w:val="21"/>
        </w:rPr>
        <w:t>根据累计资产支出超过专门借款部分的资产支出加权平均数乘以所占用一般借款的资本化率，计算确定一般借款应予资本化的利息金额。资本化率根据一般借款加权平均利率计算确定。</w:t>
      </w:r>
    </w:p>
    <w:p w14:paraId="6DE9CE99">
      <w:pPr>
        <w:pStyle w:val="9"/>
        <w:spacing w:before="0" w:beforeAutospacing="0" w:after="0" w:afterAutospacing="0" w:line="360" w:lineRule="auto"/>
        <w:ind w:firstLine="420"/>
        <w:jc w:val="both"/>
        <w:rPr>
          <w:sz w:val="21"/>
          <w:szCs w:val="21"/>
        </w:rPr>
      </w:pPr>
      <w:r>
        <w:rPr>
          <w:rFonts w:hint="eastAsia"/>
          <w:sz w:val="21"/>
          <w:szCs w:val="21"/>
        </w:rPr>
        <w:t>借款存在折价或者溢价的，按照实际利率法确定每一会计期间应摊销的折价或者溢价金额，调整每期利息金额。</w:t>
      </w:r>
    </w:p>
    <w:p w14:paraId="2F947596">
      <w:pPr>
        <w:pStyle w:val="3"/>
        <w:spacing w:line="280" w:lineRule="exact"/>
        <w:jc w:val="left"/>
        <w:rPr>
          <w:rFonts w:ascii="宋体" w:hAnsi="宋体" w:cs="宋体"/>
          <w:b/>
          <w:bCs/>
        </w:rPr>
      </w:pPr>
      <w:bookmarkStart w:id="216" w:name="_Toc989088"/>
      <w:r>
        <w:rPr>
          <w:rFonts w:ascii="宋体" w:hAnsi="宋体" w:cs="宋体"/>
          <w:b/>
          <w:bCs/>
        </w:rPr>
        <w:t>27、生物资产</w:t>
      </w:r>
      <w:bookmarkEnd w:id="216"/>
    </w:p>
    <w:p w14:paraId="10022E67">
      <w:pPr>
        <w:pStyle w:val="3"/>
        <w:spacing w:line="280" w:lineRule="exact"/>
        <w:jc w:val="left"/>
        <w:rPr>
          <w:rFonts w:ascii="宋体" w:hAnsi="宋体" w:cs="宋体"/>
          <w:b/>
          <w:bCs/>
        </w:rPr>
      </w:pPr>
      <w:bookmarkStart w:id="217" w:name="_Toc989089"/>
      <w:r>
        <w:rPr>
          <w:rFonts w:ascii="宋体" w:hAnsi="宋体" w:cs="宋体"/>
          <w:b/>
          <w:bCs/>
        </w:rPr>
        <w:t>28、油气资产</w:t>
      </w:r>
      <w:bookmarkEnd w:id="217"/>
    </w:p>
    <w:p w14:paraId="49544D18">
      <w:pPr>
        <w:pStyle w:val="3"/>
        <w:spacing w:line="280" w:lineRule="exact"/>
        <w:jc w:val="left"/>
        <w:rPr>
          <w:rFonts w:ascii="宋体" w:hAnsi="宋体" w:cs="宋体"/>
          <w:b/>
          <w:bCs/>
        </w:rPr>
      </w:pPr>
      <w:bookmarkStart w:id="218" w:name="_Toc989090"/>
      <w:r>
        <w:rPr>
          <w:rFonts w:ascii="宋体" w:hAnsi="宋体" w:cs="宋体"/>
          <w:b/>
          <w:bCs/>
        </w:rPr>
        <w:t>29、无形资产</w:t>
      </w:r>
      <w:bookmarkEnd w:id="218"/>
    </w:p>
    <w:p w14:paraId="0683051F">
      <w:pPr>
        <w:keepNext/>
        <w:keepLines/>
        <w:spacing w:before="300" w:after="300" w:line="280" w:lineRule="exact"/>
        <w:outlineLvl w:val="3"/>
        <w:rPr>
          <w:rFonts w:ascii="宋体" w:hAnsi="宋体" w:eastAsia="宋体" w:cs="宋体"/>
          <w:b/>
          <w:bCs/>
          <w:szCs w:val="21"/>
        </w:rPr>
      </w:pPr>
      <w:bookmarkStart w:id="219" w:name="_Toc989091"/>
      <w:r>
        <w:rPr>
          <w:rFonts w:ascii="宋体" w:hAnsi="宋体" w:eastAsia="宋体" w:cs="宋体"/>
          <w:b/>
          <w:bCs/>
          <w:szCs w:val="21"/>
        </w:rPr>
        <w:t>（1） 使用寿命及其确定依据、估计情况、摊销方法或复核程序</w:t>
      </w:r>
      <w:bookmarkEnd w:id="219"/>
    </w:p>
    <w:p w14:paraId="4FF2E417">
      <w:pPr>
        <w:pStyle w:val="9"/>
        <w:spacing w:before="0" w:beforeAutospacing="0" w:after="0" w:afterAutospacing="0" w:line="360" w:lineRule="auto"/>
        <w:ind w:firstLine="420"/>
        <w:jc w:val="both"/>
        <w:rPr>
          <w:sz w:val="21"/>
          <w:szCs w:val="21"/>
        </w:rPr>
      </w:pPr>
      <w:r>
        <w:rPr>
          <w:rFonts w:hint="eastAsia"/>
          <w:sz w:val="21"/>
          <w:szCs w:val="21"/>
        </w:rPr>
        <w:t>本公司在取得无形资产时分析判断其使用寿命，划分为使用寿命有限和使用寿命不确定的无形资产。</w:t>
      </w:r>
    </w:p>
    <w:p w14:paraId="3EB9313F">
      <w:pPr>
        <w:widowControl/>
        <w:numPr>
          <w:ilvl w:val="0"/>
          <w:numId w:val="87"/>
        </w:numPr>
        <w:spacing w:before="100" w:beforeAutospacing="1" w:after="100" w:afterAutospacing="1"/>
        <w:rPr>
          <w:sz w:val="18"/>
          <w:szCs w:val="18"/>
        </w:rPr>
      </w:pPr>
      <w:r>
        <w:rPr>
          <w:rFonts w:hint="eastAsia"/>
          <w:sz w:val="18"/>
          <w:szCs w:val="18"/>
        </w:rPr>
        <w:t>使用寿命有限的无形资产</w:t>
      </w:r>
    </w:p>
    <w:p w14:paraId="09436BCC">
      <w:pPr>
        <w:pStyle w:val="9"/>
        <w:spacing w:before="0" w:beforeAutospacing="0" w:after="0" w:afterAutospacing="0" w:line="360" w:lineRule="auto"/>
        <w:ind w:firstLine="420"/>
        <w:jc w:val="both"/>
        <w:rPr>
          <w:sz w:val="21"/>
          <w:szCs w:val="21"/>
        </w:rPr>
      </w:pPr>
      <w:r>
        <w:rPr>
          <w:rFonts w:hint="eastAsia"/>
          <w:sz w:val="21"/>
          <w:szCs w:val="21"/>
        </w:rPr>
        <w:t>对于使用寿命有限的无形资产，在为企业带来经济利益的期限内按直线法摊销。使用寿命有限的无形资产预计寿命及依据如下：</w:t>
      </w:r>
    </w:p>
    <w:tbl>
      <w:tblPr>
        <w:tblStyle w:val="10"/>
        <w:tblW w:w="9366" w:type="dxa"/>
        <w:tblInd w:w="0" w:type="dxa"/>
        <w:tblLayout w:type="autofit"/>
        <w:tblCellMar>
          <w:top w:w="0" w:type="dxa"/>
          <w:left w:w="0" w:type="dxa"/>
          <w:bottom w:w="0" w:type="dxa"/>
          <w:right w:w="0" w:type="dxa"/>
        </w:tblCellMar>
      </w:tblPr>
      <w:tblGrid>
        <w:gridCol w:w="3122"/>
        <w:gridCol w:w="3122"/>
        <w:gridCol w:w="3122"/>
      </w:tblGrid>
      <w:tr w14:paraId="6F0C6CC8">
        <w:tblPrEx>
          <w:tblCellMar>
            <w:top w:w="0" w:type="dxa"/>
            <w:left w:w="0" w:type="dxa"/>
            <w:bottom w:w="0" w:type="dxa"/>
            <w:right w:w="0" w:type="dxa"/>
          </w:tblCellMar>
        </w:tblPrEx>
        <w:trPr>
          <w:trHeight w:val="344" w:hRule="atLeast"/>
          <w:tblHeader/>
        </w:trPr>
        <w:tc>
          <w:tcPr>
            <w:tcW w:w="3122" w:type="dxa"/>
            <w:tcBorders>
              <w:top w:val="single" w:color="auto" w:sz="8" w:space="0"/>
              <w:left w:val="single" w:color="auto" w:sz="8" w:space="0"/>
              <w:bottom w:val="single" w:color="auto" w:sz="8" w:space="0"/>
              <w:right w:val="single" w:color="auto" w:sz="8" w:space="0"/>
            </w:tcBorders>
            <w:tcMar>
              <w:top w:w="0" w:type="dxa"/>
              <w:left w:w="0" w:type="dxa"/>
              <w:bottom w:w="0" w:type="dxa"/>
              <w:right w:w="108" w:type="dxa"/>
            </w:tcMar>
            <w:vAlign w:val="center"/>
          </w:tcPr>
          <w:p w14:paraId="74C9915F">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项目</w:t>
            </w:r>
          </w:p>
        </w:tc>
        <w:tc>
          <w:tcPr>
            <w:tcW w:w="3122" w:type="dxa"/>
            <w:tcBorders>
              <w:top w:val="single" w:color="auto" w:sz="8" w:space="0"/>
              <w:left w:val="nil"/>
              <w:bottom w:val="single" w:color="auto" w:sz="8" w:space="0"/>
              <w:right w:val="single" w:color="auto" w:sz="8" w:space="0"/>
            </w:tcBorders>
            <w:tcMar>
              <w:top w:w="0" w:type="dxa"/>
              <w:left w:w="0" w:type="dxa"/>
              <w:bottom w:w="0" w:type="dxa"/>
              <w:right w:w="108" w:type="dxa"/>
            </w:tcMar>
            <w:vAlign w:val="center"/>
          </w:tcPr>
          <w:p w14:paraId="5CDC2D1A">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预计使用寿命</w:t>
            </w:r>
          </w:p>
        </w:tc>
        <w:tc>
          <w:tcPr>
            <w:tcW w:w="3122" w:type="dxa"/>
            <w:tcBorders>
              <w:top w:val="single" w:color="auto" w:sz="8" w:space="0"/>
              <w:left w:val="nil"/>
              <w:bottom w:val="single" w:color="auto" w:sz="8" w:space="0"/>
              <w:right w:val="single" w:color="auto" w:sz="8" w:space="0"/>
            </w:tcBorders>
            <w:tcMar>
              <w:top w:w="0" w:type="dxa"/>
              <w:left w:w="0" w:type="dxa"/>
              <w:bottom w:w="0" w:type="dxa"/>
              <w:right w:w="108" w:type="dxa"/>
            </w:tcMar>
            <w:vAlign w:val="center"/>
          </w:tcPr>
          <w:p w14:paraId="436167B2">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依据</w:t>
            </w:r>
          </w:p>
        </w:tc>
      </w:tr>
      <w:tr w14:paraId="1FF610F1">
        <w:tblPrEx>
          <w:tblCellMar>
            <w:top w:w="0" w:type="dxa"/>
            <w:left w:w="0" w:type="dxa"/>
            <w:bottom w:w="0" w:type="dxa"/>
            <w:right w:w="0" w:type="dxa"/>
          </w:tblCellMar>
        </w:tblPrEx>
        <w:trPr>
          <w:trHeight w:val="344" w:hRule="atLeast"/>
        </w:trPr>
        <w:tc>
          <w:tcPr>
            <w:tcW w:w="3122" w:type="dxa"/>
            <w:tcBorders>
              <w:top w:val="nil"/>
              <w:left w:val="single" w:color="auto" w:sz="8" w:space="0"/>
              <w:bottom w:val="single" w:color="auto" w:sz="8" w:space="0"/>
              <w:right w:val="single" w:color="auto" w:sz="8" w:space="0"/>
            </w:tcBorders>
            <w:tcMar>
              <w:top w:w="0" w:type="dxa"/>
              <w:left w:w="0" w:type="dxa"/>
              <w:bottom w:w="0" w:type="dxa"/>
              <w:right w:w="108" w:type="dxa"/>
            </w:tcMar>
            <w:vAlign w:val="center"/>
          </w:tcPr>
          <w:p w14:paraId="390251B8">
            <w:pPr>
              <w:pStyle w:val="9"/>
              <w:spacing w:before="0" w:beforeAutospacing="0" w:after="0" w:afterAutospacing="0"/>
              <w:jc w:val="center"/>
              <w:rPr>
                <w:rFonts w:ascii="Times New Roman" w:hAnsi="Times New Roman" w:cs="Times New Roman"/>
                <w:sz w:val="21"/>
                <w:szCs w:val="21"/>
              </w:rPr>
            </w:pPr>
            <w:r>
              <w:rPr>
                <w:rFonts w:hint="eastAsia" w:cs="Times New Roman"/>
                <w:sz w:val="21"/>
                <w:szCs w:val="21"/>
              </w:rPr>
              <w:t>软件</w:t>
            </w:r>
          </w:p>
        </w:tc>
        <w:tc>
          <w:tcPr>
            <w:tcW w:w="3122" w:type="dxa"/>
            <w:tcBorders>
              <w:top w:val="nil"/>
              <w:left w:val="nil"/>
              <w:bottom w:val="single" w:color="auto" w:sz="8" w:space="0"/>
              <w:right w:val="single" w:color="auto" w:sz="8" w:space="0"/>
            </w:tcBorders>
            <w:tcMar>
              <w:top w:w="0" w:type="dxa"/>
              <w:left w:w="0" w:type="dxa"/>
              <w:bottom w:w="0" w:type="dxa"/>
              <w:right w:w="108" w:type="dxa"/>
            </w:tcMar>
            <w:vAlign w:val="center"/>
          </w:tcPr>
          <w:p w14:paraId="15D067AC">
            <w:pPr>
              <w:pStyle w:val="9"/>
              <w:spacing w:before="0" w:beforeAutospacing="0" w:after="0" w:afterAutospacing="0"/>
              <w:jc w:val="center"/>
              <w:rPr>
                <w:rFonts w:ascii="Times New Roman" w:hAnsi="Times New Roman" w:cs="Times New Roman"/>
                <w:sz w:val="21"/>
                <w:szCs w:val="21"/>
              </w:rPr>
            </w:pPr>
            <w:r>
              <w:rPr>
                <w:rFonts w:ascii="Arial Narrow" w:hAnsi="Arial Narrow" w:cs="Times New Roman"/>
                <w:sz w:val="21"/>
                <w:szCs w:val="21"/>
              </w:rPr>
              <w:t>5-10</w:t>
            </w:r>
            <w:r>
              <w:rPr>
                <w:rFonts w:hint="eastAsia" w:cs="Times New Roman"/>
                <w:sz w:val="21"/>
                <w:szCs w:val="21"/>
              </w:rPr>
              <w:t>年</w:t>
            </w:r>
          </w:p>
        </w:tc>
        <w:tc>
          <w:tcPr>
            <w:tcW w:w="3122" w:type="dxa"/>
            <w:tcBorders>
              <w:top w:val="nil"/>
              <w:left w:val="nil"/>
              <w:bottom w:val="single" w:color="auto" w:sz="8" w:space="0"/>
              <w:right w:val="single" w:color="auto" w:sz="8" w:space="0"/>
            </w:tcBorders>
            <w:tcMar>
              <w:top w:w="0" w:type="dxa"/>
              <w:left w:w="0" w:type="dxa"/>
              <w:bottom w:w="0" w:type="dxa"/>
              <w:right w:w="108" w:type="dxa"/>
            </w:tcMar>
            <w:vAlign w:val="center"/>
          </w:tcPr>
          <w:p w14:paraId="703FEEA4">
            <w:pPr>
              <w:pStyle w:val="9"/>
              <w:spacing w:before="0" w:beforeAutospacing="0" w:after="0" w:afterAutospacing="0"/>
              <w:rPr>
                <w:rFonts w:ascii="Times New Roman" w:hAnsi="Times New Roman" w:cs="Times New Roman"/>
                <w:sz w:val="21"/>
                <w:szCs w:val="21"/>
              </w:rPr>
            </w:pPr>
            <w:r>
              <w:rPr>
                <w:rFonts w:hint="eastAsia" w:cs="Times New Roman"/>
                <w:sz w:val="21"/>
                <w:szCs w:val="21"/>
              </w:rPr>
              <w:t>软件预计使用年限</w:t>
            </w:r>
          </w:p>
        </w:tc>
      </w:tr>
      <w:tr w14:paraId="04D7CD39">
        <w:tblPrEx>
          <w:tblCellMar>
            <w:top w:w="0" w:type="dxa"/>
            <w:left w:w="0" w:type="dxa"/>
            <w:bottom w:w="0" w:type="dxa"/>
            <w:right w:w="0" w:type="dxa"/>
          </w:tblCellMar>
        </w:tblPrEx>
        <w:trPr>
          <w:trHeight w:val="344" w:hRule="atLeast"/>
        </w:trPr>
        <w:tc>
          <w:tcPr>
            <w:tcW w:w="3122" w:type="dxa"/>
            <w:tcBorders>
              <w:top w:val="nil"/>
              <w:left w:val="single" w:color="auto" w:sz="8" w:space="0"/>
              <w:bottom w:val="single" w:color="auto" w:sz="8" w:space="0"/>
              <w:right w:val="single" w:color="auto" w:sz="8" w:space="0"/>
            </w:tcBorders>
            <w:tcMar>
              <w:top w:w="0" w:type="dxa"/>
              <w:left w:w="0" w:type="dxa"/>
              <w:bottom w:w="0" w:type="dxa"/>
              <w:right w:w="108" w:type="dxa"/>
            </w:tcMar>
            <w:vAlign w:val="center"/>
          </w:tcPr>
          <w:p w14:paraId="0321BFA1">
            <w:pPr>
              <w:pStyle w:val="9"/>
              <w:spacing w:before="0" w:beforeAutospacing="0" w:after="0" w:afterAutospacing="0"/>
              <w:jc w:val="center"/>
              <w:rPr>
                <w:rFonts w:ascii="Times New Roman" w:hAnsi="Times New Roman" w:cs="Times New Roman"/>
                <w:sz w:val="21"/>
                <w:szCs w:val="21"/>
              </w:rPr>
            </w:pPr>
            <w:r>
              <w:rPr>
                <w:rFonts w:hint="eastAsia" w:cs="Times New Roman"/>
                <w:sz w:val="21"/>
                <w:szCs w:val="21"/>
              </w:rPr>
              <w:t>土地使用权</w:t>
            </w:r>
          </w:p>
        </w:tc>
        <w:tc>
          <w:tcPr>
            <w:tcW w:w="3122" w:type="dxa"/>
            <w:tcBorders>
              <w:top w:val="nil"/>
              <w:left w:val="nil"/>
              <w:bottom w:val="single" w:color="auto" w:sz="8" w:space="0"/>
              <w:right w:val="single" w:color="auto" w:sz="8" w:space="0"/>
            </w:tcBorders>
            <w:tcMar>
              <w:top w:w="0" w:type="dxa"/>
              <w:left w:w="0" w:type="dxa"/>
              <w:bottom w:w="0" w:type="dxa"/>
              <w:right w:w="108" w:type="dxa"/>
            </w:tcMar>
            <w:vAlign w:val="center"/>
          </w:tcPr>
          <w:p w14:paraId="5D54A964">
            <w:pPr>
              <w:pStyle w:val="9"/>
              <w:spacing w:before="0" w:beforeAutospacing="0" w:after="0" w:afterAutospacing="0"/>
              <w:jc w:val="center"/>
              <w:rPr>
                <w:rFonts w:ascii="Times New Roman" w:hAnsi="Times New Roman" w:cs="Times New Roman"/>
                <w:sz w:val="21"/>
                <w:szCs w:val="21"/>
              </w:rPr>
            </w:pPr>
            <w:r>
              <w:rPr>
                <w:rFonts w:ascii="Arial Narrow" w:hAnsi="Arial Narrow" w:cs="Times New Roman"/>
                <w:sz w:val="21"/>
                <w:szCs w:val="21"/>
              </w:rPr>
              <w:t>40-50</w:t>
            </w:r>
            <w:r>
              <w:rPr>
                <w:rFonts w:hint="eastAsia" w:cs="Times New Roman"/>
                <w:sz w:val="21"/>
                <w:szCs w:val="21"/>
              </w:rPr>
              <w:t>年</w:t>
            </w:r>
          </w:p>
        </w:tc>
        <w:tc>
          <w:tcPr>
            <w:tcW w:w="3122" w:type="dxa"/>
            <w:tcBorders>
              <w:top w:val="nil"/>
              <w:left w:val="nil"/>
              <w:bottom w:val="single" w:color="auto" w:sz="8" w:space="0"/>
              <w:right w:val="single" w:color="auto" w:sz="8" w:space="0"/>
            </w:tcBorders>
            <w:tcMar>
              <w:top w:w="0" w:type="dxa"/>
              <w:left w:w="0" w:type="dxa"/>
              <w:bottom w:w="0" w:type="dxa"/>
              <w:right w:w="108" w:type="dxa"/>
            </w:tcMar>
            <w:vAlign w:val="center"/>
          </w:tcPr>
          <w:p w14:paraId="31E6D137">
            <w:pPr>
              <w:pStyle w:val="9"/>
              <w:spacing w:before="0" w:beforeAutospacing="0" w:after="0" w:afterAutospacing="0"/>
              <w:rPr>
                <w:rFonts w:ascii="Times New Roman" w:hAnsi="Times New Roman" w:cs="Times New Roman"/>
                <w:sz w:val="21"/>
                <w:szCs w:val="21"/>
              </w:rPr>
            </w:pPr>
            <w:r>
              <w:rPr>
                <w:rFonts w:hint="eastAsia" w:cs="Times New Roman"/>
                <w:sz w:val="21"/>
                <w:szCs w:val="21"/>
              </w:rPr>
              <w:t>土地使用权证规定年限</w:t>
            </w:r>
          </w:p>
        </w:tc>
      </w:tr>
      <w:tr w14:paraId="7E07C04E">
        <w:tblPrEx>
          <w:tblCellMar>
            <w:top w:w="0" w:type="dxa"/>
            <w:left w:w="0" w:type="dxa"/>
            <w:bottom w:w="0" w:type="dxa"/>
            <w:right w:w="0" w:type="dxa"/>
          </w:tblCellMar>
        </w:tblPrEx>
        <w:trPr>
          <w:trHeight w:val="344" w:hRule="atLeast"/>
        </w:trPr>
        <w:tc>
          <w:tcPr>
            <w:tcW w:w="3122" w:type="dxa"/>
            <w:tcBorders>
              <w:top w:val="nil"/>
              <w:left w:val="single" w:color="auto" w:sz="8" w:space="0"/>
              <w:bottom w:val="single" w:color="auto" w:sz="8" w:space="0"/>
              <w:right w:val="single" w:color="auto" w:sz="8" w:space="0"/>
            </w:tcBorders>
            <w:tcMar>
              <w:top w:w="0" w:type="dxa"/>
              <w:left w:w="0" w:type="dxa"/>
              <w:bottom w:w="0" w:type="dxa"/>
              <w:right w:w="108" w:type="dxa"/>
            </w:tcMar>
            <w:vAlign w:val="center"/>
          </w:tcPr>
          <w:p w14:paraId="46AB7426">
            <w:pPr>
              <w:pStyle w:val="9"/>
              <w:spacing w:before="0" w:beforeAutospacing="0" w:after="0" w:afterAutospacing="0"/>
              <w:jc w:val="center"/>
              <w:rPr>
                <w:rFonts w:ascii="Times New Roman" w:hAnsi="Times New Roman" w:cs="Times New Roman"/>
                <w:sz w:val="21"/>
                <w:szCs w:val="21"/>
              </w:rPr>
            </w:pPr>
            <w:r>
              <w:rPr>
                <w:rFonts w:hint="eastAsia" w:cs="Times New Roman"/>
                <w:sz w:val="21"/>
                <w:szCs w:val="21"/>
              </w:rPr>
              <w:t>专利权</w:t>
            </w:r>
          </w:p>
        </w:tc>
        <w:tc>
          <w:tcPr>
            <w:tcW w:w="3122" w:type="dxa"/>
            <w:tcBorders>
              <w:top w:val="nil"/>
              <w:left w:val="nil"/>
              <w:bottom w:val="single" w:color="auto" w:sz="8" w:space="0"/>
              <w:right w:val="single" w:color="auto" w:sz="8" w:space="0"/>
            </w:tcBorders>
            <w:tcMar>
              <w:top w:w="0" w:type="dxa"/>
              <w:left w:w="0" w:type="dxa"/>
              <w:bottom w:w="0" w:type="dxa"/>
              <w:right w:w="108" w:type="dxa"/>
            </w:tcMar>
            <w:vAlign w:val="center"/>
          </w:tcPr>
          <w:p w14:paraId="0609CD9E">
            <w:pPr>
              <w:pStyle w:val="9"/>
              <w:spacing w:before="0" w:beforeAutospacing="0" w:after="0" w:afterAutospacing="0"/>
              <w:jc w:val="center"/>
              <w:rPr>
                <w:rFonts w:ascii="Times New Roman" w:hAnsi="Times New Roman" w:cs="Times New Roman"/>
                <w:sz w:val="21"/>
                <w:szCs w:val="21"/>
              </w:rPr>
            </w:pPr>
            <w:r>
              <w:rPr>
                <w:rFonts w:hint="eastAsia" w:cs="Times New Roman"/>
                <w:sz w:val="21"/>
                <w:szCs w:val="21"/>
              </w:rPr>
              <w:t>在实际授权使用期间内摊销</w:t>
            </w:r>
          </w:p>
        </w:tc>
        <w:tc>
          <w:tcPr>
            <w:tcW w:w="3122" w:type="dxa"/>
            <w:tcBorders>
              <w:top w:val="nil"/>
              <w:left w:val="nil"/>
              <w:bottom w:val="single" w:color="auto" w:sz="8" w:space="0"/>
              <w:right w:val="single" w:color="auto" w:sz="8" w:space="0"/>
            </w:tcBorders>
            <w:tcMar>
              <w:top w:w="0" w:type="dxa"/>
              <w:left w:w="0" w:type="dxa"/>
              <w:bottom w:w="0" w:type="dxa"/>
              <w:right w:w="108" w:type="dxa"/>
            </w:tcMar>
            <w:vAlign w:val="center"/>
          </w:tcPr>
          <w:p w14:paraId="4F5273B5">
            <w:pPr>
              <w:pStyle w:val="9"/>
              <w:spacing w:before="0" w:beforeAutospacing="0" w:after="0" w:afterAutospacing="0"/>
              <w:rPr>
                <w:rFonts w:ascii="Times New Roman" w:hAnsi="Times New Roman" w:cs="Times New Roman"/>
                <w:sz w:val="21"/>
                <w:szCs w:val="21"/>
              </w:rPr>
            </w:pPr>
            <w:r>
              <w:rPr>
                <w:rFonts w:hint="eastAsia" w:cs="Times New Roman"/>
                <w:sz w:val="21"/>
                <w:szCs w:val="21"/>
              </w:rPr>
              <w:t>授权使用期限</w:t>
            </w:r>
          </w:p>
        </w:tc>
      </w:tr>
      <w:tr w14:paraId="072DC394">
        <w:tblPrEx>
          <w:tblCellMar>
            <w:top w:w="0" w:type="dxa"/>
            <w:left w:w="0" w:type="dxa"/>
            <w:bottom w:w="0" w:type="dxa"/>
            <w:right w:w="0" w:type="dxa"/>
          </w:tblCellMar>
        </w:tblPrEx>
        <w:trPr>
          <w:trHeight w:val="344" w:hRule="atLeast"/>
        </w:trPr>
        <w:tc>
          <w:tcPr>
            <w:tcW w:w="3122" w:type="dxa"/>
            <w:tcBorders>
              <w:top w:val="nil"/>
              <w:left w:val="single" w:color="auto" w:sz="8" w:space="0"/>
              <w:bottom w:val="single" w:color="auto" w:sz="8" w:space="0"/>
              <w:right w:val="single" w:color="auto" w:sz="8" w:space="0"/>
            </w:tcBorders>
            <w:tcMar>
              <w:top w:w="0" w:type="dxa"/>
              <w:left w:w="0" w:type="dxa"/>
              <w:bottom w:w="0" w:type="dxa"/>
              <w:right w:w="108" w:type="dxa"/>
            </w:tcMar>
            <w:vAlign w:val="center"/>
          </w:tcPr>
          <w:p w14:paraId="23687EBB">
            <w:pPr>
              <w:pStyle w:val="9"/>
              <w:spacing w:before="0" w:beforeAutospacing="0" w:after="0" w:afterAutospacing="0"/>
              <w:jc w:val="center"/>
              <w:rPr>
                <w:rFonts w:ascii="Times New Roman" w:hAnsi="Times New Roman" w:cs="Times New Roman"/>
                <w:sz w:val="21"/>
                <w:szCs w:val="21"/>
              </w:rPr>
            </w:pPr>
            <w:r>
              <w:rPr>
                <w:rFonts w:hint="eastAsia" w:cs="Times New Roman"/>
                <w:sz w:val="21"/>
                <w:szCs w:val="21"/>
              </w:rPr>
              <w:t>商标使用权</w:t>
            </w:r>
          </w:p>
        </w:tc>
        <w:tc>
          <w:tcPr>
            <w:tcW w:w="3122" w:type="dxa"/>
            <w:tcBorders>
              <w:top w:val="nil"/>
              <w:left w:val="nil"/>
              <w:bottom w:val="single" w:color="auto" w:sz="8" w:space="0"/>
              <w:right w:val="single" w:color="auto" w:sz="8" w:space="0"/>
            </w:tcBorders>
            <w:tcMar>
              <w:top w:w="0" w:type="dxa"/>
              <w:left w:w="0" w:type="dxa"/>
              <w:bottom w:w="0" w:type="dxa"/>
              <w:right w:w="108" w:type="dxa"/>
            </w:tcMar>
            <w:vAlign w:val="center"/>
          </w:tcPr>
          <w:p w14:paraId="444DF619">
            <w:pPr>
              <w:pStyle w:val="9"/>
              <w:spacing w:before="0" w:beforeAutospacing="0" w:after="0" w:afterAutospacing="0"/>
              <w:jc w:val="center"/>
              <w:rPr>
                <w:rFonts w:ascii="Times New Roman" w:hAnsi="Times New Roman" w:cs="Times New Roman"/>
                <w:sz w:val="21"/>
                <w:szCs w:val="21"/>
              </w:rPr>
            </w:pPr>
            <w:r>
              <w:rPr>
                <w:rFonts w:hint="eastAsia" w:cs="Times New Roman"/>
                <w:sz w:val="21"/>
                <w:szCs w:val="21"/>
              </w:rPr>
              <w:t>在实际授权使用期间内摊销</w:t>
            </w:r>
          </w:p>
        </w:tc>
        <w:tc>
          <w:tcPr>
            <w:tcW w:w="3122" w:type="dxa"/>
            <w:tcBorders>
              <w:top w:val="nil"/>
              <w:left w:val="nil"/>
              <w:bottom w:val="single" w:color="auto" w:sz="8" w:space="0"/>
              <w:right w:val="single" w:color="auto" w:sz="8" w:space="0"/>
            </w:tcBorders>
            <w:tcMar>
              <w:top w:w="0" w:type="dxa"/>
              <w:left w:w="0" w:type="dxa"/>
              <w:bottom w:w="0" w:type="dxa"/>
              <w:right w:w="108" w:type="dxa"/>
            </w:tcMar>
            <w:vAlign w:val="center"/>
          </w:tcPr>
          <w:p w14:paraId="4D9FC95B">
            <w:pPr>
              <w:pStyle w:val="9"/>
              <w:spacing w:before="0" w:beforeAutospacing="0" w:after="0" w:afterAutospacing="0"/>
              <w:rPr>
                <w:rFonts w:ascii="Times New Roman" w:hAnsi="Times New Roman" w:cs="Times New Roman"/>
                <w:sz w:val="21"/>
                <w:szCs w:val="21"/>
              </w:rPr>
            </w:pPr>
            <w:r>
              <w:rPr>
                <w:rFonts w:hint="eastAsia" w:cs="Times New Roman"/>
                <w:sz w:val="21"/>
                <w:szCs w:val="21"/>
              </w:rPr>
              <w:t>授权使用期限</w:t>
            </w:r>
          </w:p>
        </w:tc>
      </w:tr>
      <w:tr w14:paraId="21F1D142">
        <w:tblPrEx>
          <w:tblCellMar>
            <w:top w:w="0" w:type="dxa"/>
            <w:left w:w="0" w:type="dxa"/>
            <w:bottom w:w="0" w:type="dxa"/>
            <w:right w:w="0" w:type="dxa"/>
          </w:tblCellMar>
        </w:tblPrEx>
        <w:trPr>
          <w:trHeight w:val="344" w:hRule="atLeast"/>
        </w:trPr>
        <w:tc>
          <w:tcPr>
            <w:tcW w:w="3122" w:type="dxa"/>
            <w:tcBorders>
              <w:top w:val="nil"/>
              <w:left w:val="single" w:color="auto" w:sz="8" w:space="0"/>
              <w:bottom w:val="single" w:color="auto" w:sz="8" w:space="0"/>
              <w:right w:val="single" w:color="auto" w:sz="8" w:space="0"/>
            </w:tcBorders>
            <w:tcMar>
              <w:top w:w="0" w:type="dxa"/>
              <w:left w:w="0" w:type="dxa"/>
              <w:bottom w:w="0" w:type="dxa"/>
              <w:right w:w="108" w:type="dxa"/>
            </w:tcMar>
            <w:vAlign w:val="center"/>
          </w:tcPr>
          <w:p w14:paraId="5B1CEC1F">
            <w:pPr>
              <w:pStyle w:val="9"/>
              <w:spacing w:before="0" w:beforeAutospacing="0" w:after="0" w:afterAutospacing="0"/>
              <w:jc w:val="center"/>
              <w:rPr>
                <w:rFonts w:ascii="Times New Roman" w:hAnsi="Times New Roman" w:cs="Times New Roman"/>
                <w:sz w:val="21"/>
                <w:szCs w:val="21"/>
              </w:rPr>
            </w:pPr>
            <w:r>
              <w:rPr>
                <w:rFonts w:hint="eastAsia" w:cs="Times New Roman"/>
                <w:sz w:val="21"/>
                <w:szCs w:val="21"/>
              </w:rPr>
              <w:t>品种使用权</w:t>
            </w:r>
          </w:p>
        </w:tc>
        <w:tc>
          <w:tcPr>
            <w:tcW w:w="3122" w:type="dxa"/>
            <w:tcBorders>
              <w:top w:val="nil"/>
              <w:left w:val="nil"/>
              <w:bottom w:val="single" w:color="auto" w:sz="8" w:space="0"/>
              <w:right w:val="single" w:color="auto" w:sz="8" w:space="0"/>
            </w:tcBorders>
            <w:tcMar>
              <w:top w:w="0" w:type="dxa"/>
              <w:left w:w="0" w:type="dxa"/>
              <w:bottom w:w="0" w:type="dxa"/>
              <w:right w:w="108" w:type="dxa"/>
            </w:tcMar>
            <w:vAlign w:val="center"/>
          </w:tcPr>
          <w:p w14:paraId="70646EC0">
            <w:pPr>
              <w:pStyle w:val="9"/>
              <w:spacing w:before="0" w:beforeAutospacing="0" w:after="0" w:afterAutospacing="0"/>
              <w:jc w:val="center"/>
              <w:rPr>
                <w:rFonts w:ascii="Times New Roman" w:hAnsi="Times New Roman" w:cs="Times New Roman"/>
                <w:sz w:val="21"/>
                <w:szCs w:val="21"/>
              </w:rPr>
            </w:pPr>
            <w:r>
              <w:rPr>
                <w:rFonts w:ascii="Arial Narrow" w:hAnsi="Arial Narrow" w:cs="Times New Roman"/>
                <w:sz w:val="21"/>
                <w:szCs w:val="21"/>
              </w:rPr>
              <w:t>5</w:t>
            </w:r>
            <w:r>
              <w:rPr>
                <w:rFonts w:hint="eastAsia" w:cs="Times New Roman"/>
                <w:sz w:val="21"/>
                <w:szCs w:val="21"/>
              </w:rPr>
              <w:t>年</w:t>
            </w:r>
          </w:p>
        </w:tc>
        <w:tc>
          <w:tcPr>
            <w:tcW w:w="3122" w:type="dxa"/>
            <w:tcBorders>
              <w:top w:val="nil"/>
              <w:left w:val="nil"/>
              <w:bottom w:val="single" w:color="auto" w:sz="8" w:space="0"/>
              <w:right w:val="single" w:color="auto" w:sz="8" w:space="0"/>
            </w:tcBorders>
            <w:tcMar>
              <w:top w:w="0" w:type="dxa"/>
              <w:left w:w="0" w:type="dxa"/>
              <w:bottom w:w="0" w:type="dxa"/>
              <w:right w:w="108" w:type="dxa"/>
            </w:tcMar>
            <w:vAlign w:val="center"/>
          </w:tcPr>
          <w:p w14:paraId="76BDFAF4">
            <w:pPr>
              <w:pStyle w:val="9"/>
              <w:spacing w:before="0" w:beforeAutospacing="0" w:after="0" w:afterAutospacing="0"/>
              <w:rPr>
                <w:rFonts w:ascii="Times New Roman" w:hAnsi="Times New Roman" w:cs="Times New Roman"/>
                <w:sz w:val="21"/>
                <w:szCs w:val="21"/>
              </w:rPr>
            </w:pPr>
            <w:r>
              <w:rPr>
                <w:rFonts w:hint="eastAsia" w:cs="Times New Roman"/>
                <w:sz w:val="21"/>
                <w:szCs w:val="21"/>
              </w:rPr>
              <w:t>预计品种市场活跃年限</w:t>
            </w:r>
          </w:p>
        </w:tc>
      </w:tr>
    </w:tbl>
    <w:p w14:paraId="1AE7E7CC">
      <w:pPr>
        <w:pStyle w:val="9"/>
        <w:spacing w:before="0" w:beforeAutospacing="0" w:after="0" w:afterAutospacing="0" w:line="360" w:lineRule="auto"/>
        <w:ind w:firstLine="420"/>
        <w:jc w:val="both"/>
        <w:rPr>
          <w:sz w:val="21"/>
          <w:szCs w:val="21"/>
        </w:rPr>
      </w:pPr>
      <w:r>
        <w:rPr>
          <w:rFonts w:hint="eastAsia"/>
          <w:sz w:val="21"/>
          <w:szCs w:val="21"/>
        </w:rPr>
        <w:t>期末，对使用寿命有限的无形资产的使用寿命和摊销方法进行复核，必要时进行调整。</w:t>
      </w:r>
    </w:p>
    <w:p w14:paraId="686A6711">
      <w:pPr>
        <w:widowControl/>
        <w:numPr>
          <w:ilvl w:val="0"/>
          <w:numId w:val="88"/>
        </w:numPr>
        <w:spacing w:before="100" w:beforeAutospacing="1" w:after="100" w:afterAutospacing="1"/>
        <w:rPr>
          <w:sz w:val="18"/>
          <w:szCs w:val="18"/>
        </w:rPr>
      </w:pPr>
      <w:r>
        <w:rPr>
          <w:rFonts w:hint="eastAsia"/>
          <w:sz w:val="18"/>
          <w:szCs w:val="18"/>
        </w:rPr>
        <w:t>使用寿命不确定的无形资产</w:t>
      </w:r>
    </w:p>
    <w:p w14:paraId="73E71C10">
      <w:pPr>
        <w:pStyle w:val="9"/>
        <w:spacing w:before="0" w:beforeAutospacing="0" w:after="0" w:afterAutospacing="0" w:line="360" w:lineRule="auto"/>
        <w:ind w:firstLine="420"/>
        <w:jc w:val="both"/>
        <w:rPr>
          <w:sz w:val="21"/>
          <w:szCs w:val="21"/>
        </w:rPr>
      </w:pPr>
      <w:r>
        <w:rPr>
          <w:rFonts w:hint="eastAsia"/>
          <w:sz w:val="21"/>
          <w:szCs w:val="21"/>
        </w:rPr>
        <w:t>无法预见无形资产为企业带来经济利益期限的，视为使用寿命不确定的无形资产。</w:t>
      </w:r>
    </w:p>
    <w:p w14:paraId="27DE0B5C">
      <w:pPr>
        <w:pStyle w:val="9"/>
        <w:spacing w:before="0" w:beforeAutospacing="0" w:after="0" w:afterAutospacing="0" w:line="360" w:lineRule="auto"/>
        <w:ind w:firstLine="420"/>
        <w:rPr>
          <w:sz w:val="21"/>
          <w:szCs w:val="21"/>
        </w:rPr>
      </w:pPr>
      <w:r>
        <w:rPr>
          <w:rFonts w:hint="eastAsia"/>
          <w:sz w:val="21"/>
          <w:szCs w:val="21"/>
        </w:rPr>
        <w:t>本公司无使用寿命不确定的无形资产。</w:t>
      </w:r>
    </w:p>
    <w:p w14:paraId="182DFE33">
      <w:pPr>
        <w:pStyle w:val="9"/>
        <w:rPr>
          <w:sz w:val="18"/>
          <w:szCs w:val="18"/>
        </w:rPr>
      </w:pPr>
      <w:r>
        <w:rPr>
          <w:rFonts w:hint="eastAsia"/>
          <w:sz w:val="21"/>
          <w:szCs w:val="21"/>
        </w:rPr>
        <w:t>无形资产的减值测试方法和减值准备计提方法详见30.长期资产减值。</w:t>
      </w:r>
    </w:p>
    <w:p w14:paraId="3611CACF">
      <w:pPr>
        <w:keepNext/>
        <w:keepLines/>
        <w:spacing w:before="300" w:after="300" w:line="280" w:lineRule="exact"/>
        <w:outlineLvl w:val="3"/>
        <w:rPr>
          <w:rFonts w:ascii="宋体" w:hAnsi="宋体" w:eastAsia="宋体" w:cs="宋体"/>
          <w:b/>
          <w:bCs/>
          <w:szCs w:val="21"/>
        </w:rPr>
      </w:pPr>
      <w:bookmarkStart w:id="220" w:name="_Toc989092"/>
      <w:r>
        <w:rPr>
          <w:rFonts w:ascii="宋体" w:hAnsi="宋体" w:eastAsia="宋体" w:cs="宋体"/>
          <w:b/>
          <w:bCs/>
          <w:szCs w:val="21"/>
        </w:rPr>
        <w:t>（2） 研发支出的归集范围及相关会计处理方法</w:t>
      </w:r>
      <w:bookmarkEnd w:id="220"/>
    </w:p>
    <w:p w14:paraId="0ECA2B5D">
      <w:pPr>
        <w:widowControl/>
        <w:numPr>
          <w:ilvl w:val="3"/>
          <w:numId w:val="89"/>
        </w:numPr>
        <w:tabs>
          <w:tab w:val="left" w:pos="2268"/>
          <w:tab w:val="clear" w:pos="2880"/>
        </w:tabs>
        <w:spacing w:before="100" w:beforeAutospacing="1" w:after="100" w:afterAutospacing="1"/>
        <w:ind w:left="426"/>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划分公司内部研究开发项目的研究阶段和开发阶段具体标准</w:t>
      </w:r>
    </w:p>
    <w:p w14:paraId="611F1280">
      <w:pPr>
        <w:pStyle w:val="9"/>
        <w:spacing w:before="0" w:beforeAutospacing="0" w:after="0" w:afterAutospacing="0" w:line="360" w:lineRule="auto"/>
        <w:ind w:firstLine="420"/>
        <w:jc w:val="both"/>
        <w:rPr>
          <w:sz w:val="21"/>
          <w:szCs w:val="21"/>
        </w:rPr>
      </w:pPr>
      <w:r>
        <w:rPr>
          <w:rFonts w:hint="eastAsia"/>
          <w:sz w:val="21"/>
          <w:szCs w:val="21"/>
        </w:rPr>
        <w:t>研究阶段：为获取并理解新的科学或技术知识等而进行的独创性的有计划调查、研究活动的阶段。</w:t>
      </w:r>
    </w:p>
    <w:p w14:paraId="21080EBB">
      <w:pPr>
        <w:pStyle w:val="9"/>
        <w:spacing w:before="0" w:beforeAutospacing="0" w:after="0" w:afterAutospacing="0" w:line="360" w:lineRule="auto"/>
        <w:ind w:firstLine="420"/>
        <w:jc w:val="both"/>
        <w:rPr>
          <w:sz w:val="21"/>
          <w:szCs w:val="21"/>
        </w:rPr>
      </w:pPr>
      <w:r>
        <w:rPr>
          <w:rFonts w:hint="eastAsia"/>
          <w:sz w:val="21"/>
          <w:szCs w:val="21"/>
        </w:rPr>
        <w:t>开发阶段：在进行商业性生产或使用前，将研究成果或其他知识应用于某项计划或设计，以生产出新的或具有实质性改进的材料、装置、产品等活动的阶段。</w:t>
      </w:r>
    </w:p>
    <w:p w14:paraId="230E4480">
      <w:pPr>
        <w:pStyle w:val="9"/>
        <w:spacing w:before="0" w:beforeAutospacing="0" w:after="0" w:afterAutospacing="0" w:line="360" w:lineRule="auto"/>
        <w:ind w:firstLine="420"/>
        <w:jc w:val="both"/>
        <w:rPr>
          <w:sz w:val="21"/>
          <w:szCs w:val="21"/>
        </w:rPr>
      </w:pPr>
      <w:r>
        <w:rPr>
          <w:rFonts w:hint="eastAsia"/>
          <w:sz w:val="21"/>
          <w:szCs w:val="21"/>
        </w:rPr>
        <w:t>内部研究开发项目研究阶段的支出，在发生时计入当期损益。</w:t>
      </w:r>
    </w:p>
    <w:p w14:paraId="12BE3128">
      <w:pPr>
        <w:widowControl/>
        <w:numPr>
          <w:ilvl w:val="3"/>
          <w:numId w:val="89"/>
        </w:numPr>
        <w:tabs>
          <w:tab w:val="left" w:pos="2268"/>
          <w:tab w:val="clear" w:pos="2880"/>
        </w:tabs>
        <w:spacing w:before="100" w:beforeAutospacing="1" w:after="100" w:afterAutospacing="1"/>
        <w:ind w:left="426"/>
        <w:rPr>
          <w:sz w:val="18"/>
          <w:szCs w:val="18"/>
        </w:rPr>
      </w:pPr>
      <w:r>
        <w:rPr>
          <w:rFonts w:hint="eastAsia"/>
          <w:sz w:val="18"/>
          <w:szCs w:val="18"/>
        </w:rPr>
        <w:t>．</w:t>
      </w:r>
      <w:r>
        <w:rPr>
          <w:sz w:val="18"/>
          <w:szCs w:val="18"/>
        </w:rPr>
        <w:t xml:space="preserve">  </w:t>
      </w:r>
      <w:r>
        <w:rPr>
          <w:rFonts w:hint="eastAsia"/>
          <w:sz w:val="18"/>
          <w:szCs w:val="18"/>
        </w:rPr>
        <w:t>开发阶段支出符合资本化的具体标准</w:t>
      </w:r>
    </w:p>
    <w:p w14:paraId="2BB17DAA">
      <w:pPr>
        <w:pStyle w:val="9"/>
        <w:spacing w:before="0" w:beforeAutospacing="0" w:after="0" w:afterAutospacing="0" w:line="360" w:lineRule="auto"/>
        <w:ind w:firstLine="420"/>
        <w:jc w:val="both"/>
        <w:rPr>
          <w:sz w:val="21"/>
          <w:szCs w:val="21"/>
        </w:rPr>
      </w:pPr>
      <w:r>
        <w:rPr>
          <w:rFonts w:hint="eastAsia"/>
          <w:sz w:val="21"/>
          <w:szCs w:val="21"/>
        </w:rPr>
        <w:t>内部研究开发项目开发阶段的支出、内部数据资源研究开发项目的支出，同时满足下列条件时确认为无形资产：</w:t>
      </w:r>
    </w:p>
    <w:p w14:paraId="28F1FB6B">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1</w:t>
      </w:r>
      <w:r>
        <w:rPr>
          <w:rFonts w:hint="eastAsia"/>
          <w:sz w:val="21"/>
          <w:szCs w:val="21"/>
        </w:rPr>
        <w:t>）完成该无形资产以使其能够使用或出售在技术上具有可行性；</w:t>
      </w:r>
    </w:p>
    <w:p w14:paraId="13358830">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2</w:t>
      </w:r>
      <w:r>
        <w:rPr>
          <w:rFonts w:hint="eastAsia"/>
          <w:sz w:val="21"/>
          <w:szCs w:val="21"/>
        </w:rPr>
        <w:t>）具有完成该无形资产并使用或出售的意图；</w:t>
      </w:r>
    </w:p>
    <w:p w14:paraId="6CAADBA3">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3</w:t>
      </w:r>
      <w:r>
        <w:rPr>
          <w:rFonts w:hint="eastAsia"/>
          <w:sz w:val="21"/>
          <w:szCs w:val="21"/>
        </w:rPr>
        <w:t>）无形资产产生经济利益的方式，包括能够证明运用该无形资产生产的产品存在市场或无形资产自身存在市场，无形资产将在内部使用的，能够证明其有用性；</w:t>
      </w:r>
    </w:p>
    <w:p w14:paraId="659FFDA3">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4</w:t>
      </w:r>
      <w:r>
        <w:rPr>
          <w:rFonts w:hint="eastAsia"/>
          <w:sz w:val="21"/>
          <w:szCs w:val="21"/>
        </w:rPr>
        <w:t>）有足够的技术、财务资源和其他资源支持，以完成该无形资产的开发，并有能力使用或出售该无形资产；</w:t>
      </w:r>
    </w:p>
    <w:p w14:paraId="1CBED329">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5</w:t>
      </w:r>
      <w:r>
        <w:rPr>
          <w:rFonts w:hint="eastAsia"/>
          <w:sz w:val="21"/>
          <w:szCs w:val="21"/>
        </w:rPr>
        <w:t>）归属于该无形资产开发阶段的支出能够可靠地计量。</w:t>
      </w:r>
    </w:p>
    <w:p w14:paraId="1EB485D1">
      <w:pPr>
        <w:pStyle w:val="9"/>
        <w:spacing w:before="0" w:beforeAutospacing="0" w:after="0" w:afterAutospacing="0" w:line="360" w:lineRule="auto"/>
        <w:ind w:firstLine="420"/>
        <w:jc w:val="both"/>
        <w:rPr>
          <w:sz w:val="21"/>
          <w:szCs w:val="21"/>
        </w:rPr>
      </w:pPr>
      <w:r>
        <w:rPr>
          <w:rFonts w:hint="eastAsia"/>
          <w:sz w:val="21"/>
          <w:szCs w:val="21"/>
        </w:rPr>
        <w:t>不满足上述条件的开发阶段的支出，于发生时计入当期损益。无法区分研究阶段支出和开发阶段支出的，将发生的研发支出全部计入当期损益。内部开发活动形成的无形资产的成本仅包括满足资本化条件的时点至无形资产达到预定用途前发生的支出总额，对于同一项无形资产在开发过程中达到资本化条件之前已经费用化计入损益的支出不再进行调整。</w:t>
      </w:r>
    </w:p>
    <w:p w14:paraId="51DCAE6C">
      <w:pPr>
        <w:pStyle w:val="3"/>
        <w:spacing w:line="280" w:lineRule="exact"/>
        <w:jc w:val="left"/>
        <w:rPr>
          <w:rFonts w:ascii="宋体" w:hAnsi="宋体" w:cs="宋体"/>
          <w:b/>
          <w:bCs/>
        </w:rPr>
      </w:pPr>
      <w:bookmarkStart w:id="221" w:name="_Toc989093"/>
      <w:r>
        <w:rPr>
          <w:rFonts w:ascii="宋体" w:hAnsi="宋体" w:cs="宋体"/>
          <w:b/>
          <w:bCs/>
        </w:rPr>
        <w:t>30、长期资产减值</w:t>
      </w:r>
      <w:bookmarkEnd w:id="221"/>
    </w:p>
    <w:p w14:paraId="19B901E3">
      <w:pPr>
        <w:pStyle w:val="9"/>
        <w:spacing w:before="0" w:beforeAutospacing="0" w:after="0" w:afterAutospacing="0" w:line="360" w:lineRule="auto"/>
        <w:ind w:firstLine="420"/>
        <w:jc w:val="both"/>
        <w:rPr>
          <w:sz w:val="21"/>
          <w:szCs w:val="21"/>
        </w:rPr>
      </w:pPr>
      <w:r>
        <w:rPr>
          <w:rFonts w:hint="eastAsia"/>
          <w:sz w:val="21"/>
          <w:szCs w:val="21"/>
        </w:rPr>
        <w:t>本公司在每一个资产负债表日检查长期股权投资、采用成本法计量的投资性房地产、固定资产、、在建工程、使用寿命确定的无形资产是否存在可能发生减值的迹象。如果长期资产存在减值迹象，则以单项资产为基础估计其可收回金额；难以对单项资产的可收回金额进行估计的，以该资产所属的资产组为基础确定资产组的可收回金额。</w:t>
      </w:r>
    </w:p>
    <w:p w14:paraId="023E0327">
      <w:pPr>
        <w:pStyle w:val="9"/>
        <w:spacing w:before="0" w:beforeAutospacing="0" w:after="0" w:afterAutospacing="0" w:line="360" w:lineRule="auto"/>
        <w:ind w:firstLine="420"/>
        <w:jc w:val="both"/>
        <w:rPr>
          <w:sz w:val="21"/>
          <w:szCs w:val="21"/>
        </w:rPr>
      </w:pPr>
      <w:r>
        <w:rPr>
          <w:rFonts w:hint="eastAsia"/>
          <w:sz w:val="21"/>
          <w:szCs w:val="21"/>
        </w:rPr>
        <w:t>资产可收回金额的估计，根据其公允价值减去处置费用后的净额与资产预计未来现金流量的现值两者之间较高者确定。</w:t>
      </w:r>
    </w:p>
    <w:p w14:paraId="4B558CDE">
      <w:pPr>
        <w:pStyle w:val="9"/>
        <w:spacing w:before="0" w:beforeAutospacing="0" w:after="0" w:afterAutospacing="0" w:line="360" w:lineRule="auto"/>
        <w:ind w:firstLine="420"/>
        <w:jc w:val="both"/>
        <w:rPr>
          <w:sz w:val="21"/>
          <w:szCs w:val="21"/>
        </w:rPr>
      </w:pPr>
      <w:r>
        <w:rPr>
          <w:rFonts w:hint="eastAsia"/>
          <w:sz w:val="21"/>
          <w:szCs w:val="21"/>
        </w:rPr>
        <w:t>可收回金额的计量结果表明，长期资产的可收回金额低于其账面价值的，将长期资产的账面价值减记至可收回金额，减记的金额确认为资产减值损失，计入当期损益，同时计提相应的资产减值准备。资产减值损失一经确认，在以后会计期间不得转回。</w:t>
      </w:r>
    </w:p>
    <w:p w14:paraId="6A12C2F8">
      <w:pPr>
        <w:pStyle w:val="9"/>
        <w:spacing w:before="0" w:beforeAutospacing="0" w:after="0" w:afterAutospacing="0" w:line="360" w:lineRule="auto"/>
        <w:ind w:firstLine="420"/>
        <w:jc w:val="both"/>
        <w:rPr>
          <w:sz w:val="21"/>
          <w:szCs w:val="21"/>
        </w:rPr>
      </w:pPr>
      <w:r>
        <w:rPr>
          <w:rFonts w:hint="eastAsia"/>
          <w:sz w:val="21"/>
          <w:szCs w:val="21"/>
        </w:rPr>
        <w:t>资产减值损失确认后，减值资产的折旧或者摊销费用在未来期间作相应调整，以使该资产在剩余使用寿命内，系统地分摊调整后的资产账面价值（扣除预计净残值）。</w:t>
      </w:r>
    </w:p>
    <w:p w14:paraId="4AF99B0C">
      <w:pPr>
        <w:pStyle w:val="9"/>
        <w:spacing w:before="0" w:beforeAutospacing="0" w:after="0" w:afterAutospacing="0" w:line="360" w:lineRule="auto"/>
        <w:ind w:firstLine="420"/>
        <w:jc w:val="both"/>
        <w:rPr>
          <w:sz w:val="21"/>
          <w:szCs w:val="21"/>
        </w:rPr>
      </w:pPr>
      <w:r>
        <w:rPr>
          <w:rFonts w:hint="eastAsia"/>
          <w:sz w:val="21"/>
          <w:szCs w:val="21"/>
        </w:rPr>
        <w:t>因企业合并所形成的商誉和使用寿命不确定的无形资产，无论是否存在减值迹象，每年都进行减值测试。</w:t>
      </w:r>
    </w:p>
    <w:p w14:paraId="47A7BB04">
      <w:pPr>
        <w:pStyle w:val="9"/>
        <w:spacing w:before="0" w:beforeAutospacing="0" w:after="0" w:afterAutospacing="0" w:line="360" w:lineRule="auto"/>
        <w:ind w:firstLine="420"/>
        <w:jc w:val="both"/>
        <w:rPr>
          <w:sz w:val="21"/>
          <w:szCs w:val="21"/>
        </w:rPr>
      </w:pPr>
      <w:r>
        <w:rPr>
          <w:rFonts w:hint="eastAsia"/>
          <w:sz w:val="21"/>
          <w:szCs w:val="21"/>
        </w:rPr>
        <w:t>在对商誉进行减值测试时，将商誉的账面价值分摊至预期从企业合并的协同效应中受益的资产组或资产组组合。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确认商誉的减值损失。</w:t>
      </w:r>
    </w:p>
    <w:p w14:paraId="20DA4DB6">
      <w:pPr>
        <w:pStyle w:val="3"/>
        <w:spacing w:line="280" w:lineRule="exact"/>
        <w:jc w:val="left"/>
        <w:rPr>
          <w:rFonts w:ascii="宋体" w:hAnsi="宋体" w:cs="宋体"/>
          <w:b/>
          <w:bCs/>
        </w:rPr>
      </w:pPr>
      <w:bookmarkStart w:id="222" w:name="_Toc989094"/>
      <w:r>
        <w:rPr>
          <w:rFonts w:ascii="宋体" w:hAnsi="宋体" w:cs="宋体"/>
          <w:b/>
          <w:bCs/>
        </w:rPr>
        <w:t>31、长期待摊费用</w:t>
      </w:r>
      <w:bookmarkEnd w:id="222"/>
    </w:p>
    <w:p w14:paraId="1DDC6DFA">
      <w:pPr>
        <w:widowControl/>
        <w:numPr>
          <w:ilvl w:val="2"/>
          <w:numId w:val="90"/>
        </w:numPr>
        <w:tabs>
          <w:tab w:val="left" w:pos="1985"/>
          <w:tab w:val="clear" w:pos="2160"/>
        </w:tabs>
        <w:spacing w:before="100" w:beforeAutospacing="1" w:after="100" w:afterAutospacing="1"/>
        <w:ind w:left="426"/>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摊销方法</w:t>
      </w:r>
    </w:p>
    <w:p w14:paraId="414DA923">
      <w:pPr>
        <w:pStyle w:val="9"/>
        <w:spacing w:before="0" w:beforeAutospacing="0" w:after="0" w:afterAutospacing="0" w:line="360" w:lineRule="auto"/>
        <w:ind w:firstLine="420"/>
        <w:jc w:val="both"/>
        <w:rPr>
          <w:sz w:val="21"/>
          <w:szCs w:val="21"/>
        </w:rPr>
      </w:pPr>
      <w:r>
        <w:rPr>
          <w:rFonts w:hint="eastAsia"/>
          <w:sz w:val="21"/>
          <w:szCs w:val="21"/>
        </w:rPr>
        <w:t>长期待摊费用，是指本公司已经发生但应由本期和以后各期负担的分摊期限在</w:t>
      </w:r>
      <w:r>
        <w:rPr>
          <w:rFonts w:ascii="Arial" w:hAnsi="Arial" w:cs="Arial"/>
          <w:sz w:val="21"/>
          <w:szCs w:val="21"/>
        </w:rPr>
        <w:t>1</w:t>
      </w:r>
      <w:r>
        <w:rPr>
          <w:rFonts w:hint="eastAsia"/>
          <w:sz w:val="21"/>
          <w:szCs w:val="21"/>
        </w:rPr>
        <w:t>年以上的各项费用。长期待摊费用在受益期内按直线法分期摊销。</w:t>
      </w:r>
    </w:p>
    <w:p w14:paraId="4F79465B">
      <w:pPr>
        <w:widowControl/>
        <w:numPr>
          <w:ilvl w:val="2"/>
          <w:numId w:val="90"/>
        </w:numPr>
        <w:tabs>
          <w:tab w:val="left" w:pos="1985"/>
          <w:tab w:val="clear" w:pos="2160"/>
        </w:tabs>
        <w:spacing w:before="100" w:beforeAutospacing="1" w:after="100" w:afterAutospacing="1"/>
        <w:ind w:left="426"/>
        <w:rPr>
          <w:sz w:val="18"/>
          <w:szCs w:val="18"/>
        </w:rPr>
      </w:pPr>
      <w:r>
        <w:rPr>
          <w:rFonts w:hint="eastAsia"/>
          <w:sz w:val="18"/>
          <w:szCs w:val="18"/>
        </w:rPr>
        <w:t>．</w:t>
      </w:r>
      <w:r>
        <w:rPr>
          <w:sz w:val="18"/>
          <w:szCs w:val="18"/>
        </w:rPr>
        <w:t xml:space="preserve"> </w:t>
      </w:r>
      <w:r>
        <w:rPr>
          <w:rFonts w:hint="eastAsia"/>
          <w:sz w:val="18"/>
          <w:szCs w:val="18"/>
        </w:rPr>
        <w:t>摊销年限</w:t>
      </w:r>
    </w:p>
    <w:tbl>
      <w:tblPr>
        <w:tblStyle w:val="10"/>
        <w:tblW w:w="8535" w:type="dxa"/>
        <w:jc w:val="center"/>
        <w:tblLayout w:type="autofit"/>
        <w:tblCellMar>
          <w:top w:w="0" w:type="dxa"/>
          <w:left w:w="0" w:type="dxa"/>
          <w:bottom w:w="0" w:type="dxa"/>
          <w:right w:w="0" w:type="dxa"/>
        </w:tblCellMar>
      </w:tblPr>
      <w:tblGrid>
        <w:gridCol w:w="2844"/>
        <w:gridCol w:w="2845"/>
        <w:gridCol w:w="2846"/>
      </w:tblGrid>
      <w:tr w14:paraId="51648987">
        <w:tblPrEx>
          <w:tblCellMar>
            <w:top w:w="0" w:type="dxa"/>
            <w:left w:w="0" w:type="dxa"/>
            <w:bottom w:w="0" w:type="dxa"/>
            <w:right w:w="0" w:type="dxa"/>
          </w:tblCellMar>
        </w:tblPrEx>
        <w:trPr>
          <w:trHeight w:val="340" w:hRule="atLeast"/>
          <w:tblHeader/>
          <w:jc w:val="center"/>
        </w:trPr>
        <w:tc>
          <w:tcPr>
            <w:tcW w:w="2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83E21E">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类别</w:t>
            </w:r>
          </w:p>
        </w:tc>
        <w:tc>
          <w:tcPr>
            <w:tcW w:w="28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BC2D90">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摊销年限</w:t>
            </w:r>
          </w:p>
        </w:tc>
        <w:tc>
          <w:tcPr>
            <w:tcW w:w="28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65A390">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备注</w:t>
            </w:r>
          </w:p>
        </w:tc>
      </w:tr>
      <w:tr w14:paraId="2EA4FF5B">
        <w:tblPrEx>
          <w:tblCellMar>
            <w:top w:w="0" w:type="dxa"/>
            <w:left w:w="0" w:type="dxa"/>
            <w:bottom w:w="0" w:type="dxa"/>
            <w:right w:w="0" w:type="dxa"/>
          </w:tblCellMar>
        </w:tblPrEx>
        <w:trPr>
          <w:trHeight w:val="340" w:hRule="atLeast"/>
          <w:jc w:val="center"/>
        </w:trPr>
        <w:tc>
          <w:tcPr>
            <w:tcW w:w="28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791BF1">
            <w:pPr>
              <w:pStyle w:val="9"/>
              <w:spacing w:before="0" w:beforeAutospacing="0" w:after="0" w:afterAutospacing="0"/>
              <w:jc w:val="center"/>
              <w:rPr>
                <w:rFonts w:ascii="Times New Roman" w:hAnsi="Times New Roman" w:cs="Times New Roman"/>
                <w:sz w:val="21"/>
                <w:szCs w:val="21"/>
              </w:rPr>
            </w:pPr>
            <w:r>
              <w:rPr>
                <w:rFonts w:hint="eastAsia" w:cs="Times New Roman"/>
                <w:sz w:val="21"/>
                <w:szCs w:val="21"/>
              </w:rPr>
              <w:t>装修费</w:t>
            </w:r>
          </w:p>
        </w:tc>
        <w:tc>
          <w:tcPr>
            <w:tcW w:w="2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54F34678">
            <w:pPr>
              <w:pStyle w:val="9"/>
              <w:spacing w:before="0" w:beforeAutospacing="0" w:after="0" w:afterAutospacing="0"/>
              <w:jc w:val="center"/>
              <w:rPr>
                <w:rFonts w:ascii="Times New Roman" w:hAnsi="Times New Roman" w:cs="Times New Roman"/>
                <w:sz w:val="21"/>
                <w:szCs w:val="21"/>
              </w:rPr>
            </w:pPr>
            <w:r>
              <w:rPr>
                <w:rFonts w:ascii="Arial Narrow" w:hAnsi="Arial Narrow" w:cs="Times New Roman"/>
                <w:sz w:val="21"/>
                <w:szCs w:val="21"/>
              </w:rPr>
              <w:t>3-5</w:t>
            </w:r>
            <w:r>
              <w:rPr>
                <w:rFonts w:hint="eastAsia" w:cs="Times New Roman"/>
                <w:sz w:val="21"/>
                <w:szCs w:val="21"/>
              </w:rPr>
              <w:t>年</w:t>
            </w:r>
          </w:p>
        </w:tc>
        <w:tc>
          <w:tcPr>
            <w:tcW w:w="2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54A4762C">
            <w:pPr>
              <w:pStyle w:val="9"/>
              <w:spacing w:before="0" w:beforeAutospacing="0" w:after="0" w:afterAutospacing="0"/>
              <w:jc w:val="center"/>
              <w:rPr>
                <w:rFonts w:ascii="Times New Roman" w:hAnsi="Times New Roman" w:cs="Times New Roman"/>
                <w:sz w:val="21"/>
                <w:szCs w:val="21"/>
              </w:rPr>
            </w:pPr>
            <w:r>
              <w:rPr>
                <w:rFonts w:ascii="Arial" w:hAnsi="Arial" w:cs="Arial"/>
                <w:sz w:val="18"/>
                <w:szCs w:val="18"/>
              </w:rPr>
              <w:t> </w:t>
            </w:r>
          </w:p>
        </w:tc>
      </w:tr>
      <w:tr w14:paraId="525420D2">
        <w:tblPrEx>
          <w:tblCellMar>
            <w:top w:w="0" w:type="dxa"/>
            <w:left w:w="0" w:type="dxa"/>
            <w:bottom w:w="0" w:type="dxa"/>
            <w:right w:w="0" w:type="dxa"/>
          </w:tblCellMar>
        </w:tblPrEx>
        <w:trPr>
          <w:trHeight w:val="340" w:hRule="atLeast"/>
          <w:jc w:val="center"/>
        </w:trPr>
        <w:tc>
          <w:tcPr>
            <w:tcW w:w="28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41E7F5">
            <w:pPr>
              <w:pStyle w:val="9"/>
              <w:spacing w:before="0" w:beforeAutospacing="0" w:after="0" w:afterAutospacing="0"/>
              <w:jc w:val="center"/>
              <w:rPr>
                <w:rFonts w:ascii="Times New Roman" w:hAnsi="Times New Roman" w:cs="Times New Roman"/>
                <w:sz w:val="21"/>
                <w:szCs w:val="21"/>
              </w:rPr>
            </w:pPr>
            <w:r>
              <w:rPr>
                <w:rFonts w:hint="eastAsia" w:cs="Times New Roman"/>
                <w:sz w:val="21"/>
                <w:szCs w:val="21"/>
              </w:rPr>
              <w:t>机物料</w:t>
            </w:r>
          </w:p>
        </w:tc>
        <w:tc>
          <w:tcPr>
            <w:tcW w:w="2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227C929A">
            <w:pPr>
              <w:pStyle w:val="9"/>
              <w:spacing w:before="0" w:beforeAutospacing="0" w:after="0" w:afterAutospacing="0"/>
              <w:jc w:val="center"/>
              <w:rPr>
                <w:rFonts w:ascii="Times New Roman" w:hAnsi="Times New Roman" w:cs="Times New Roman"/>
                <w:sz w:val="21"/>
                <w:szCs w:val="21"/>
              </w:rPr>
            </w:pPr>
            <w:r>
              <w:rPr>
                <w:rFonts w:ascii="Arial Narrow" w:hAnsi="Arial Narrow" w:cs="Times New Roman"/>
                <w:sz w:val="21"/>
                <w:szCs w:val="21"/>
              </w:rPr>
              <w:t>3-5</w:t>
            </w:r>
            <w:r>
              <w:rPr>
                <w:rFonts w:hint="eastAsia" w:cs="Times New Roman"/>
                <w:sz w:val="21"/>
                <w:szCs w:val="21"/>
              </w:rPr>
              <w:t>年</w:t>
            </w:r>
          </w:p>
        </w:tc>
        <w:tc>
          <w:tcPr>
            <w:tcW w:w="2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1CAC515F">
            <w:pPr>
              <w:pStyle w:val="9"/>
              <w:spacing w:before="0" w:beforeAutospacing="0" w:after="0" w:afterAutospacing="0"/>
              <w:jc w:val="center"/>
              <w:rPr>
                <w:rFonts w:ascii="Times New Roman" w:hAnsi="Times New Roman" w:cs="Times New Roman"/>
                <w:sz w:val="21"/>
                <w:szCs w:val="21"/>
              </w:rPr>
            </w:pPr>
            <w:r>
              <w:rPr>
                <w:rFonts w:ascii="Arial" w:hAnsi="Arial" w:cs="Arial"/>
                <w:sz w:val="18"/>
                <w:szCs w:val="18"/>
              </w:rPr>
              <w:t> </w:t>
            </w:r>
          </w:p>
        </w:tc>
      </w:tr>
      <w:tr w14:paraId="5E4FD6F1">
        <w:tblPrEx>
          <w:tblCellMar>
            <w:top w:w="0" w:type="dxa"/>
            <w:left w:w="0" w:type="dxa"/>
            <w:bottom w:w="0" w:type="dxa"/>
            <w:right w:w="0" w:type="dxa"/>
          </w:tblCellMar>
        </w:tblPrEx>
        <w:trPr>
          <w:trHeight w:val="340" w:hRule="atLeast"/>
          <w:jc w:val="center"/>
        </w:trPr>
        <w:tc>
          <w:tcPr>
            <w:tcW w:w="28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AF1A0C">
            <w:pPr>
              <w:pStyle w:val="9"/>
              <w:spacing w:before="0" w:beforeAutospacing="0" w:after="0" w:afterAutospacing="0"/>
              <w:jc w:val="center"/>
              <w:rPr>
                <w:rFonts w:ascii="Times New Roman" w:hAnsi="Times New Roman" w:cs="Times New Roman"/>
                <w:sz w:val="21"/>
                <w:szCs w:val="21"/>
              </w:rPr>
            </w:pPr>
            <w:r>
              <w:rPr>
                <w:rFonts w:hint="eastAsia" w:cs="Times New Roman"/>
                <w:sz w:val="21"/>
                <w:szCs w:val="21"/>
              </w:rPr>
              <w:t>租赁费</w:t>
            </w:r>
          </w:p>
        </w:tc>
        <w:tc>
          <w:tcPr>
            <w:tcW w:w="2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548032CF">
            <w:pPr>
              <w:pStyle w:val="9"/>
              <w:spacing w:before="0" w:beforeAutospacing="0" w:after="0" w:afterAutospacing="0"/>
              <w:jc w:val="center"/>
              <w:rPr>
                <w:rFonts w:ascii="Times New Roman" w:hAnsi="Times New Roman" w:cs="Times New Roman"/>
                <w:sz w:val="21"/>
                <w:szCs w:val="21"/>
              </w:rPr>
            </w:pPr>
            <w:r>
              <w:rPr>
                <w:rFonts w:ascii="Arial Narrow" w:hAnsi="Arial Narrow" w:cs="Times New Roman"/>
                <w:sz w:val="21"/>
                <w:szCs w:val="21"/>
              </w:rPr>
              <w:t>5</w:t>
            </w:r>
            <w:r>
              <w:rPr>
                <w:rFonts w:hint="eastAsia" w:cs="Times New Roman"/>
                <w:sz w:val="21"/>
                <w:szCs w:val="21"/>
              </w:rPr>
              <w:t>年</w:t>
            </w:r>
          </w:p>
        </w:tc>
        <w:tc>
          <w:tcPr>
            <w:tcW w:w="2843" w:type="dxa"/>
            <w:tcBorders>
              <w:top w:val="nil"/>
              <w:left w:val="nil"/>
              <w:bottom w:val="single" w:color="auto" w:sz="8" w:space="0"/>
              <w:right w:val="single" w:color="auto" w:sz="8" w:space="0"/>
            </w:tcBorders>
            <w:tcMar>
              <w:top w:w="0" w:type="dxa"/>
              <w:left w:w="108" w:type="dxa"/>
              <w:bottom w:w="0" w:type="dxa"/>
              <w:right w:w="108" w:type="dxa"/>
            </w:tcMar>
          </w:tcPr>
          <w:p w14:paraId="3AB356F0">
            <w:pPr>
              <w:pStyle w:val="9"/>
              <w:spacing w:before="0" w:beforeAutospacing="0" w:after="0" w:afterAutospacing="0"/>
              <w:jc w:val="center"/>
              <w:rPr>
                <w:rFonts w:ascii="Times New Roman" w:hAnsi="Times New Roman" w:cs="Times New Roman"/>
                <w:sz w:val="21"/>
                <w:szCs w:val="21"/>
              </w:rPr>
            </w:pPr>
            <w:r>
              <w:rPr>
                <w:rFonts w:ascii="Arial" w:hAnsi="Arial" w:cs="Arial"/>
                <w:sz w:val="18"/>
                <w:szCs w:val="18"/>
              </w:rPr>
              <w:t> </w:t>
            </w:r>
          </w:p>
        </w:tc>
      </w:tr>
      <w:tr w14:paraId="536AB3B8">
        <w:tblPrEx>
          <w:tblCellMar>
            <w:top w:w="0" w:type="dxa"/>
            <w:left w:w="0" w:type="dxa"/>
            <w:bottom w:w="0" w:type="dxa"/>
            <w:right w:w="0" w:type="dxa"/>
          </w:tblCellMar>
        </w:tblPrEx>
        <w:trPr>
          <w:trHeight w:val="340" w:hRule="atLeast"/>
          <w:jc w:val="center"/>
        </w:trPr>
        <w:tc>
          <w:tcPr>
            <w:tcW w:w="28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69832A">
            <w:pPr>
              <w:pStyle w:val="9"/>
              <w:spacing w:before="0" w:beforeAutospacing="0" w:after="0" w:afterAutospacing="0"/>
              <w:jc w:val="center"/>
              <w:rPr>
                <w:rFonts w:ascii="Times New Roman" w:hAnsi="Times New Roman" w:cs="Times New Roman"/>
                <w:sz w:val="21"/>
                <w:szCs w:val="21"/>
              </w:rPr>
            </w:pPr>
            <w:r>
              <w:rPr>
                <w:rFonts w:hint="eastAsia" w:cs="Times New Roman"/>
                <w:sz w:val="21"/>
                <w:szCs w:val="21"/>
              </w:rPr>
              <w:t>其他</w:t>
            </w:r>
          </w:p>
        </w:tc>
        <w:tc>
          <w:tcPr>
            <w:tcW w:w="2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5E1294A1">
            <w:pPr>
              <w:pStyle w:val="9"/>
              <w:spacing w:before="0" w:beforeAutospacing="0" w:after="0" w:afterAutospacing="0"/>
              <w:jc w:val="center"/>
              <w:rPr>
                <w:rFonts w:ascii="Times New Roman" w:hAnsi="Times New Roman" w:cs="Times New Roman"/>
                <w:sz w:val="21"/>
                <w:szCs w:val="21"/>
              </w:rPr>
            </w:pPr>
            <w:r>
              <w:rPr>
                <w:rFonts w:ascii="Arial Narrow" w:hAnsi="Arial Narrow" w:cs="Times New Roman"/>
                <w:sz w:val="21"/>
                <w:szCs w:val="21"/>
              </w:rPr>
              <w:t>2-5</w:t>
            </w:r>
            <w:r>
              <w:rPr>
                <w:rFonts w:hint="eastAsia" w:cs="Times New Roman"/>
                <w:sz w:val="21"/>
                <w:szCs w:val="21"/>
              </w:rPr>
              <w:t>年</w:t>
            </w:r>
          </w:p>
        </w:tc>
        <w:tc>
          <w:tcPr>
            <w:tcW w:w="2843" w:type="dxa"/>
            <w:tcBorders>
              <w:top w:val="nil"/>
              <w:left w:val="nil"/>
              <w:bottom w:val="single" w:color="auto" w:sz="8" w:space="0"/>
              <w:right w:val="single" w:color="auto" w:sz="8" w:space="0"/>
            </w:tcBorders>
            <w:tcMar>
              <w:top w:w="0" w:type="dxa"/>
              <w:left w:w="108" w:type="dxa"/>
              <w:bottom w:w="0" w:type="dxa"/>
              <w:right w:w="108" w:type="dxa"/>
            </w:tcMar>
          </w:tcPr>
          <w:p w14:paraId="1663C523">
            <w:pPr>
              <w:pStyle w:val="9"/>
              <w:spacing w:before="0" w:beforeAutospacing="0" w:after="0" w:afterAutospacing="0"/>
              <w:jc w:val="center"/>
              <w:rPr>
                <w:rFonts w:ascii="Times New Roman" w:hAnsi="Times New Roman" w:cs="Times New Roman"/>
                <w:sz w:val="21"/>
                <w:szCs w:val="21"/>
              </w:rPr>
            </w:pPr>
            <w:r>
              <w:rPr>
                <w:rFonts w:ascii="Arial" w:hAnsi="Arial" w:cs="Arial"/>
                <w:sz w:val="18"/>
                <w:szCs w:val="18"/>
              </w:rPr>
              <w:t> </w:t>
            </w:r>
          </w:p>
        </w:tc>
      </w:tr>
    </w:tbl>
    <w:p w14:paraId="3D956C2F">
      <w:pPr>
        <w:pStyle w:val="3"/>
        <w:spacing w:line="280" w:lineRule="exact"/>
        <w:jc w:val="left"/>
        <w:rPr>
          <w:rFonts w:ascii="宋体" w:hAnsi="宋体" w:cs="宋体"/>
          <w:b/>
          <w:bCs/>
        </w:rPr>
      </w:pPr>
      <w:bookmarkStart w:id="223" w:name="_Toc989095"/>
      <w:r>
        <w:rPr>
          <w:rFonts w:ascii="宋体" w:hAnsi="宋体" w:cs="宋体"/>
          <w:b/>
          <w:bCs/>
        </w:rPr>
        <w:t>32、合同负债</w:t>
      </w:r>
      <w:bookmarkEnd w:id="223"/>
    </w:p>
    <w:p w14:paraId="39AF6273">
      <w:pPr>
        <w:pStyle w:val="9"/>
        <w:spacing w:before="0" w:beforeAutospacing="0" w:after="0" w:afterAutospacing="0" w:line="360" w:lineRule="auto"/>
        <w:ind w:firstLine="420"/>
        <w:jc w:val="both"/>
        <w:rPr>
          <w:sz w:val="21"/>
          <w:szCs w:val="21"/>
        </w:rPr>
      </w:pPr>
      <w:r>
        <w:rPr>
          <w:rFonts w:hint="eastAsia"/>
          <w:sz w:val="21"/>
          <w:szCs w:val="21"/>
        </w:rPr>
        <w:t>本公司将已收或应收客户对价而应向客户转让商品的义务部分确认为合同负债。</w:t>
      </w:r>
    </w:p>
    <w:p w14:paraId="79EDD2A7">
      <w:pPr>
        <w:pStyle w:val="3"/>
        <w:spacing w:line="280" w:lineRule="exact"/>
        <w:jc w:val="left"/>
        <w:rPr>
          <w:rFonts w:ascii="宋体" w:hAnsi="宋体" w:cs="宋体"/>
          <w:b/>
          <w:bCs/>
        </w:rPr>
      </w:pPr>
      <w:bookmarkStart w:id="224" w:name="_Toc989096"/>
      <w:r>
        <w:rPr>
          <w:rFonts w:ascii="宋体" w:hAnsi="宋体" w:cs="宋体"/>
          <w:b/>
          <w:bCs/>
        </w:rPr>
        <w:t>33、职工薪酬</w:t>
      </w:r>
      <w:bookmarkEnd w:id="224"/>
    </w:p>
    <w:p w14:paraId="1D7030E6">
      <w:pPr>
        <w:keepNext/>
        <w:keepLines/>
        <w:spacing w:before="300" w:after="300" w:line="280" w:lineRule="exact"/>
        <w:outlineLvl w:val="3"/>
        <w:rPr>
          <w:rFonts w:ascii="宋体" w:hAnsi="宋体" w:eastAsia="宋体" w:cs="宋体"/>
          <w:b/>
          <w:bCs/>
          <w:szCs w:val="21"/>
        </w:rPr>
      </w:pPr>
      <w:bookmarkStart w:id="225" w:name="_Toc989097"/>
      <w:r>
        <w:rPr>
          <w:rFonts w:ascii="宋体" w:hAnsi="宋体" w:eastAsia="宋体" w:cs="宋体"/>
          <w:b/>
          <w:bCs/>
          <w:szCs w:val="21"/>
        </w:rPr>
        <w:t>（1） 短期薪酬的会计处理方法</w:t>
      </w:r>
      <w:bookmarkEnd w:id="225"/>
    </w:p>
    <w:p w14:paraId="284BDE21">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短期薪酬是指本公司在职工提供相关服务的年度报告期间结束后十二个月内需要全部予以支付的职工薪酬，离职后福利和辞退福利除外。本公司在职工提供服务的会计期间，将应付的短期薪酬确认为负债，并根据职工提供服务的受益对象计入相关资产成本和费用。</w:t>
      </w:r>
    </w:p>
    <w:p w14:paraId="1D64F446">
      <w:pPr>
        <w:keepNext/>
        <w:keepLines/>
        <w:spacing w:before="300" w:after="300" w:line="280" w:lineRule="exact"/>
        <w:outlineLvl w:val="3"/>
        <w:rPr>
          <w:rFonts w:ascii="宋体" w:hAnsi="宋体" w:eastAsia="宋体" w:cs="宋体"/>
          <w:b/>
          <w:bCs/>
          <w:szCs w:val="21"/>
        </w:rPr>
      </w:pPr>
      <w:bookmarkStart w:id="226" w:name="_Toc989098"/>
      <w:r>
        <w:rPr>
          <w:rFonts w:ascii="宋体" w:hAnsi="宋体" w:eastAsia="宋体" w:cs="宋体"/>
          <w:b/>
          <w:bCs/>
          <w:szCs w:val="21"/>
        </w:rPr>
        <w:t>（2） 离职后福利的会计处理方法</w:t>
      </w:r>
      <w:bookmarkEnd w:id="226"/>
    </w:p>
    <w:p w14:paraId="1A8AC1B1">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离职后福利是指本公司为获得职工提供的服务而在职工退休或与企业解除劳动关系后，提供的各种形式的报酬和福利，短期薪酬和辞退福利除外。</w:t>
      </w:r>
    </w:p>
    <w:p w14:paraId="4B54F2C4">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本公司的离职后福利计划分类为设定提存计划和设定受益计划。</w:t>
      </w:r>
    </w:p>
    <w:p w14:paraId="3D5668C4">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离职后福利设定提存计划主要为参加由各地劳动及社会保障机构组织实施的社会基本养老保险、失业保险等；在职工为本公司提供服务的会计期间，将根据设定提存计划计算的应缴存金额确认为负债，并计入当期损益或相关资产成本。</w:t>
      </w:r>
    </w:p>
    <w:p w14:paraId="01CAACED">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本公司按照国家规定的标准定期缴付上述款项后，不再有其他的支付义务。</w:t>
      </w:r>
    </w:p>
    <w:p w14:paraId="4475EC90">
      <w:pPr>
        <w:keepNext/>
        <w:keepLines/>
        <w:spacing w:before="300" w:after="300" w:line="280" w:lineRule="exact"/>
        <w:outlineLvl w:val="3"/>
        <w:rPr>
          <w:rFonts w:ascii="宋体" w:hAnsi="宋体" w:eastAsia="宋体" w:cs="宋体"/>
          <w:b/>
          <w:bCs/>
          <w:szCs w:val="21"/>
        </w:rPr>
      </w:pPr>
      <w:bookmarkStart w:id="227" w:name="_Toc989099"/>
      <w:r>
        <w:rPr>
          <w:rFonts w:ascii="宋体" w:hAnsi="宋体" w:eastAsia="宋体" w:cs="宋体"/>
          <w:b/>
          <w:bCs/>
          <w:szCs w:val="21"/>
        </w:rPr>
        <w:t>（3） 辞退福利的会计处理方法</w:t>
      </w:r>
      <w:bookmarkEnd w:id="227"/>
    </w:p>
    <w:p w14:paraId="6331CF73">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辞退福利是指本公司在职工劳动合同到期之前解除与职工的劳动关系，或者为鼓励职工自愿接受裁减而给予职工的补偿，在本公司不能单方面撤回解除劳动关系计划或裁减建议时和确认与涉及支付辞退福利的重组相关的成本费用时两者孰早日，确认因解除与职工的劳动关系给予补偿而产生的负债，同时计入当期损益。</w:t>
      </w:r>
    </w:p>
    <w:p w14:paraId="0B1FF98A">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本公司向接受内部退休安排的职工提供内退福利。内退福利是指，向未达到国家规定的退休年龄、经本公司管理层批准自愿退出工作岗位的职工支付的工资及为其缴纳的社会保险费等。本公司自内部退休安排开始之日起至职工达到正常退休年龄止，向内退职工支付内部退养福利。对于内退福利，本公司比照辞退福利进行会计处理，在符合辞退福利相关确认条件时，将自职工停止提供服务日至正常退休日期间拟支付的内退职工工资和缴纳的社会保险费等，确认为负债，一次性计入当期损益。内退福利的精算假设变化及福利标准调整引起的差异于发生时计入当期损益。</w:t>
      </w:r>
    </w:p>
    <w:p w14:paraId="666021B6">
      <w:pPr>
        <w:keepNext/>
        <w:keepLines/>
        <w:spacing w:before="300" w:after="300" w:line="280" w:lineRule="exact"/>
        <w:outlineLvl w:val="3"/>
        <w:rPr>
          <w:rFonts w:ascii="宋体" w:hAnsi="宋体" w:eastAsia="宋体" w:cs="宋体"/>
          <w:b/>
          <w:bCs/>
          <w:szCs w:val="21"/>
        </w:rPr>
      </w:pPr>
      <w:bookmarkStart w:id="228" w:name="_Toc989100"/>
      <w:r>
        <w:rPr>
          <w:rFonts w:ascii="宋体" w:hAnsi="宋体" w:eastAsia="宋体" w:cs="宋体"/>
          <w:b/>
          <w:bCs/>
          <w:szCs w:val="21"/>
        </w:rPr>
        <w:t>（4） 其他长期职工福利的会计处理方法</w:t>
      </w:r>
      <w:bookmarkEnd w:id="228"/>
    </w:p>
    <w:p w14:paraId="001B5F5B">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其他长期职工福利是指除短期薪酬、离职后福利、辞退福利之外的其他所有职工福利。</w:t>
      </w:r>
    </w:p>
    <w:p w14:paraId="27C07289">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对符合设定提存计划条件的其他长期职工福利，在职工为本公司提供服务的会计期间，将应缴存金额确认为负债，并计入当期损益或相关资产成本；除上述情形外的其他长期职工福利，在资产负债表日使用预期累计福利单位法进行精算，将设定受益计划产生的福利义务归属于职工提供服务的期间，并计入当期损益或相关资产成本。</w:t>
      </w:r>
    </w:p>
    <w:p w14:paraId="73E3ACE0">
      <w:pPr>
        <w:pStyle w:val="3"/>
        <w:spacing w:line="280" w:lineRule="exact"/>
        <w:jc w:val="left"/>
        <w:rPr>
          <w:rFonts w:ascii="宋体" w:hAnsi="宋体" w:cs="宋体"/>
          <w:b/>
          <w:bCs/>
        </w:rPr>
      </w:pPr>
      <w:bookmarkStart w:id="229" w:name="_Toc989101"/>
      <w:r>
        <w:rPr>
          <w:rFonts w:ascii="宋体" w:hAnsi="宋体" w:cs="宋体"/>
          <w:b/>
          <w:bCs/>
        </w:rPr>
        <w:t>34、预计负债</w:t>
      </w:r>
      <w:bookmarkEnd w:id="229"/>
    </w:p>
    <w:p w14:paraId="6125887C">
      <w:pPr>
        <w:widowControl/>
        <w:numPr>
          <w:ilvl w:val="0"/>
          <w:numId w:val="91"/>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预计负债的确认标准</w:t>
      </w:r>
    </w:p>
    <w:p w14:paraId="524ED143">
      <w:pPr>
        <w:pStyle w:val="9"/>
        <w:spacing w:before="0" w:beforeAutospacing="0" w:after="0" w:afterAutospacing="0" w:line="360" w:lineRule="auto"/>
        <w:ind w:firstLine="420"/>
        <w:jc w:val="both"/>
        <w:rPr>
          <w:sz w:val="21"/>
          <w:szCs w:val="21"/>
        </w:rPr>
      </w:pPr>
      <w:r>
        <w:rPr>
          <w:rFonts w:hint="eastAsia"/>
          <w:sz w:val="21"/>
          <w:szCs w:val="21"/>
        </w:rPr>
        <w:t>当与产品质量保证或有事项相关的义务是本公司承担的现时义务，且履行该义务很可能导致经济利益流出，以及该义务的金额能够可靠地计量，则确认为预计负债。</w:t>
      </w:r>
    </w:p>
    <w:p w14:paraId="2950689A">
      <w:pPr>
        <w:widowControl/>
        <w:numPr>
          <w:ilvl w:val="0"/>
          <w:numId w:val="92"/>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预计负债的计量方法</w:t>
      </w:r>
    </w:p>
    <w:p w14:paraId="01C727B4">
      <w:pPr>
        <w:pStyle w:val="9"/>
        <w:spacing w:before="0" w:beforeAutospacing="0" w:after="0" w:afterAutospacing="0" w:line="360" w:lineRule="auto"/>
        <w:ind w:firstLine="420"/>
        <w:jc w:val="both"/>
        <w:rPr>
          <w:sz w:val="21"/>
          <w:szCs w:val="21"/>
        </w:rPr>
      </w:pPr>
      <w:r>
        <w:rPr>
          <w:rFonts w:hint="eastAsia"/>
          <w:sz w:val="21"/>
          <w:szCs w:val="21"/>
        </w:rPr>
        <w:t>本公司预计负债按履行相关现时义务所需的支出的最佳估计数进行初始计量。</w:t>
      </w:r>
    </w:p>
    <w:p w14:paraId="2E23B712">
      <w:pPr>
        <w:pStyle w:val="9"/>
        <w:spacing w:before="0" w:beforeAutospacing="0" w:after="0" w:afterAutospacing="0" w:line="360" w:lineRule="auto"/>
        <w:ind w:firstLine="420"/>
        <w:jc w:val="both"/>
        <w:rPr>
          <w:sz w:val="21"/>
          <w:szCs w:val="21"/>
        </w:rPr>
      </w:pPr>
      <w:r>
        <w:rPr>
          <w:rFonts w:hint="eastAsia"/>
          <w:sz w:val="21"/>
          <w:szCs w:val="21"/>
        </w:rPr>
        <w:t>本公司在确定最佳估计数时，综合考虑与或有事项有关的风险、不确定性和货币时间价值等因素。对于货币时间价值影响重大的，通过对相关未来现金流出进行折现后确定最佳估计数。</w:t>
      </w:r>
    </w:p>
    <w:p w14:paraId="62D6068E">
      <w:pPr>
        <w:pStyle w:val="9"/>
        <w:spacing w:before="0" w:beforeAutospacing="0" w:after="0" w:afterAutospacing="0" w:line="360" w:lineRule="auto"/>
        <w:ind w:firstLine="420"/>
        <w:jc w:val="both"/>
        <w:rPr>
          <w:sz w:val="21"/>
          <w:szCs w:val="21"/>
        </w:rPr>
      </w:pPr>
      <w:r>
        <w:rPr>
          <w:rFonts w:hint="eastAsia"/>
          <w:sz w:val="21"/>
          <w:szCs w:val="21"/>
        </w:rPr>
        <w:t>最佳估计数分别以下情况处理：</w:t>
      </w:r>
    </w:p>
    <w:p w14:paraId="7A57E523">
      <w:pPr>
        <w:pStyle w:val="9"/>
        <w:spacing w:before="0" w:beforeAutospacing="0" w:after="0" w:afterAutospacing="0" w:line="360" w:lineRule="auto"/>
        <w:ind w:firstLine="420"/>
        <w:jc w:val="both"/>
        <w:rPr>
          <w:sz w:val="21"/>
          <w:szCs w:val="21"/>
        </w:rPr>
      </w:pPr>
      <w:r>
        <w:rPr>
          <w:rFonts w:hint="eastAsia"/>
          <w:sz w:val="21"/>
          <w:szCs w:val="21"/>
        </w:rPr>
        <w:t>所需支出存在一个连续范围（或区间），且该范围内各种结果发生的可能性相同的，则最佳估计数按照该范围的中间值即上下限金额的平均数确定。</w:t>
      </w:r>
    </w:p>
    <w:p w14:paraId="5480E6DC">
      <w:pPr>
        <w:pStyle w:val="9"/>
        <w:spacing w:before="0" w:beforeAutospacing="0" w:after="0" w:afterAutospacing="0" w:line="360" w:lineRule="auto"/>
        <w:ind w:firstLine="420"/>
        <w:jc w:val="both"/>
        <w:rPr>
          <w:sz w:val="21"/>
          <w:szCs w:val="21"/>
        </w:rPr>
      </w:pPr>
      <w:r>
        <w:rPr>
          <w:rFonts w:hint="eastAsia"/>
          <w:sz w:val="21"/>
          <w:szCs w:val="21"/>
        </w:rPr>
        <w:t>所需支出不存在一个连续范围（或区间），或虽然存在一个连续范围但该范围内各种结果发生的可能性不相同的，如或有事项涉及单个项目的，则最佳估计数按照最可能发生金额确定；如或有事项涉及多个项目的，则最佳估计数按各种可能结果及相关概率计算确定。</w:t>
      </w:r>
    </w:p>
    <w:p w14:paraId="5B91AD83">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本公司清偿预计负债所需支出全部或部分预期由第三方补偿的，补偿金额在基本确定能够收到时，作为资产单独确认，确认的补偿金额不超过预计负债的账面价值。</w:t>
      </w:r>
    </w:p>
    <w:p w14:paraId="219C265F">
      <w:pPr>
        <w:pStyle w:val="3"/>
        <w:spacing w:line="280" w:lineRule="exact"/>
        <w:jc w:val="left"/>
        <w:rPr>
          <w:rFonts w:ascii="宋体" w:hAnsi="宋体" w:cs="宋体"/>
          <w:b/>
          <w:bCs/>
        </w:rPr>
      </w:pPr>
      <w:bookmarkStart w:id="230" w:name="_Toc989102"/>
      <w:r>
        <w:rPr>
          <w:rFonts w:ascii="宋体" w:hAnsi="宋体" w:cs="宋体"/>
          <w:b/>
          <w:bCs/>
        </w:rPr>
        <w:t>35、股份支付</w:t>
      </w:r>
      <w:bookmarkEnd w:id="230"/>
    </w:p>
    <w:p w14:paraId="204CAA07">
      <w:pPr>
        <w:widowControl/>
        <w:numPr>
          <w:ilvl w:val="0"/>
          <w:numId w:val="93"/>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股份支付的种类</w:t>
      </w:r>
    </w:p>
    <w:p w14:paraId="2DD30BB9">
      <w:pPr>
        <w:pStyle w:val="9"/>
        <w:spacing w:before="0" w:beforeAutospacing="0" w:after="0" w:afterAutospacing="0" w:line="360" w:lineRule="auto"/>
        <w:ind w:firstLine="420"/>
        <w:jc w:val="both"/>
        <w:rPr>
          <w:sz w:val="21"/>
          <w:szCs w:val="21"/>
        </w:rPr>
      </w:pPr>
      <w:r>
        <w:rPr>
          <w:rFonts w:hint="eastAsia"/>
          <w:sz w:val="21"/>
          <w:szCs w:val="21"/>
        </w:rPr>
        <w:t>本公司的股份支付分为以权益结算的股份支付和以现金结算的股份支付。</w:t>
      </w:r>
    </w:p>
    <w:p w14:paraId="22E1631F">
      <w:pPr>
        <w:widowControl/>
        <w:numPr>
          <w:ilvl w:val="0"/>
          <w:numId w:val="94"/>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权益工具公允价值的确定方法</w:t>
      </w:r>
    </w:p>
    <w:p w14:paraId="2963BFF8">
      <w:pPr>
        <w:pStyle w:val="9"/>
        <w:spacing w:before="0" w:beforeAutospacing="0" w:after="0" w:afterAutospacing="0" w:line="360" w:lineRule="auto"/>
        <w:ind w:firstLine="420"/>
        <w:jc w:val="both"/>
        <w:rPr>
          <w:sz w:val="21"/>
          <w:szCs w:val="21"/>
        </w:rPr>
      </w:pPr>
      <w:bookmarkStart w:id="231" w:name="OLE_LINK44"/>
      <w:bookmarkEnd w:id="231"/>
      <w:r>
        <w:rPr>
          <w:rFonts w:hint="eastAsia"/>
          <w:sz w:val="21"/>
          <w:szCs w:val="21"/>
        </w:rPr>
        <w:t>对于授予的存在活跃市场的期权等权益工具，按照活跃市场中的报价确定其公允价值。对于授予的不存在活跃市场的期权等权益工具，采用期权定价模型等确定其公允价值，选用的期权定价模型考虑以下因素：（</w:t>
      </w:r>
      <w:r>
        <w:rPr>
          <w:rFonts w:ascii="Arial" w:hAnsi="Arial" w:cs="Arial"/>
          <w:sz w:val="21"/>
          <w:szCs w:val="21"/>
        </w:rPr>
        <w:t>1</w:t>
      </w:r>
      <w:r>
        <w:rPr>
          <w:rFonts w:hint="eastAsia"/>
          <w:sz w:val="21"/>
          <w:szCs w:val="21"/>
        </w:rPr>
        <w:t>）期权的行权价格；（</w:t>
      </w:r>
      <w:r>
        <w:rPr>
          <w:rFonts w:ascii="Arial" w:hAnsi="Arial" w:cs="Arial"/>
          <w:sz w:val="21"/>
          <w:szCs w:val="21"/>
        </w:rPr>
        <w:t>2</w:t>
      </w:r>
      <w:r>
        <w:rPr>
          <w:rFonts w:hint="eastAsia"/>
          <w:sz w:val="21"/>
          <w:szCs w:val="21"/>
        </w:rPr>
        <w:t>）期权的有效期；（</w:t>
      </w:r>
      <w:r>
        <w:rPr>
          <w:rFonts w:ascii="Arial" w:hAnsi="Arial" w:cs="Arial"/>
          <w:sz w:val="21"/>
          <w:szCs w:val="21"/>
        </w:rPr>
        <w:t>3</w:t>
      </w:r>
      <w:r>
        <w:rPr>
          <w:rFonts w:hint="eastAsia"/>
          <w:sz w:val="21"/>
          <w:szCs w:val="21"/>
        </w:rPr>
        <w:t>）标的股份的现行价格；（</w:t>
      </w:r>
      <w:r>
        <w:rPr>
          <w:rFonts w:ascii="Arial" w:hAnsi="Arial" w:cs="Arial"/>
          <w:sz w:val="21"/>
          <w:szCs w:val="21"/>
        </w:rPr>
        <w:t>4</w:t>
      </w:r>
      <w:r>
        <w:rPr>
          <w:rFonts w:hint="eastAsia"/>
          <w:sz w:val="21"/>
          <w:szCs w:val="21"/>
        </w:rPr>
        <w:t>）股价预计波动率；（</w:t>
      </w:r>
      <w:r>
        <w:rPr>
          <w:rFonts w:ascii="Arial" w:hAnsi="Arial" w:cs="Arial"/>
          <w:sz w:val="21"/>
          <w:szCs w:val="21"/>
        </w:rPr>
        <w:t>5</w:t>
      </w:r>
      <w:r>
        <w:rPr>
          <w:rFonts w:hint="eastAsia"/>
          <w:sz w:val="21"/>
          <w:szCs w:val="21"/>
        </w:rPr>
        <w:t>）股份的预计股利；（</w:t>
      </w:r>
      <w:r>
        <w:rPr>
          <w:rFonts w:ascii="Arial" w:hAnsi="Arial" w:cs="Arial"/>
          <w:sz w:val="21"/>
          <w:szCs w:val="21"/>
        </w:rPr>
        <w:t>6</w:t>
      </w:r>
      <w:r>
        <w:rPr>
          <w:rFonts w:hint="eastAsia"/>
          <w:sz w:val="21"/>
          <w:szCs w:val="21"/>
        </w:rPr>
        <w:t>）期权有效期内的无风险利率。</w:t>
      </w:r>
    </w:p>
    <w:p w14:paraId="60976FBC">
      <w:pPr>
        <w:pStyle w:val="9"/>
        <w:spacing w:before="0" w:beforeAutospacing="0" w:after="0" w:afterAutospacing="0" w:line="360" w:lineRule="auto"/>
        <w:ind w:firstLine="420"/>
        <w:jc w:val="both"/>
        <w:rPr>
          <w:sz w:val="21"/>
          <w:szCs w:val="21"/>
        </w:rPr>
      </w:pPr>
      <w:r>
        <w:rPr>
          <w:rFonts w:hint="eastAsia"/>
          <w:sz w:val="21"/>
          <w:szCs w:val="21"/>
        </w:rPr>
        <w:t>在确定权益工具授予日的公允价值时，考虑股份支付协议规定的可行权条件中的市场条件和非可行权条件的影响。股份支付存在非可行权条件的，只要职工或其他方满足了所有可行权条件中的非市场条件（如服务期限等），即确认已得到服务相对应的成本费用。</w:t>
      </w:r>
    </w:p>
    <w:p w14:paraId="18E2F58E">
      <w:pPr>
        <w:widowControl/>
        <w:numPr>
          <w:ilvl w:val="0"/>
          <w:numId w:val="95"/>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确定可行权权益工具最佳估计的依据</w:t>
      </w:r>
    </w:p>
    <w:p w14:paraId="52EB0772">
      <w:pPr>
        <w:pStyle w:val="9"/>
        <w:spacing w:before="0" w:beforeAutospacing="0" w:after="0" w:afterAutospacing="0" w:line="360" w:lineRule="auto"/>
        <w:ind w:firstLine="420"/>
        <w:jc w:val="both"/>
        <w:rPr>
          <w:sz w:val="21"/>
          <w:szCs w:val="21"/>
        </w:rPr>
      </w:pPr>
      <w:r>
        <w:rPr>
          <w:rFonts w:hint="eastAsia"/>
          <w:sz w:val="21"/>
          <w:szCs w:val="21"/>
        </w:rPr>
        <w:t>等待期内每个资产负债表日，根据最新取得的可行权职工人数变动等后续信息作出最佳估计，修正预计可行权的权益工具数量。在可行权日，最终预计可行权权益工具的数量与实际可行权数量一致。</w:t>
      </w:r>
    </w:p>
    <w:p w14:paraId="4598173B">
      <w:pPr>
        <w:widowControl/>
        <w:numPr>
          <w:ilvl w:val="0"/>
          <w:numId w:val="96"/>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会计处理方法</w:t>
      </w:r>
    </w:p>
    <w:p w14:paraId="4258D2AF">
      <w:pPr>
        <w:pStyle w:val="9"/>
        <w:spacing w:before="0" w:beforeAutospacing="0" w:after="0" w:afterAutospacing="0" w:line="360" w:lineRule="auto"/>
        <w:ind w:firstLine="420"/>
        <w:jc w:val="both"/>
        <w:rPr>
          <w:sz w:val="21"/>
          <w:szCs w:val="21"/>
        </w:rPr>
      </w:pPr>
      <w:bookmarkStart w:id="232" w:name="_Hlk216707932"/>
      <w:bookmarkEnd w:id="232"/>
      <w:r>
        <w:rPr>
          <w:rFonts w:hint="eastAsia"/>
          <w:sz w:val="21"/>
          <w:szCs w:val="21"/>
        </w:rPr>
        <w:t>（</w:t>
      </w:r>
      <w:r>
        <w:rPr>
          <w:rFonts w:ascii="Arial" w:hAnsi="Arial" w:cs="Arial"/>
          <w:sz w:val="21"/>
          <w:szCs w:val="21"/>
        </w:rPr>
        <w:t>1</w:t>
      </w:r>
      <w:r>
        <w:rPr>
          <w:rFonts w:hint="eastAsia"/>
          <w:sz w:val="21"/>
          <w:szCs w:val="21"/>
        </w:rPr>
        <w:t>）</w:t>
      </w:r>
      <w:r>
        <w:rPr>
          <w:rFonts w:ascii="Arial" w:hAnsi="Arial" w:cs="Arial"/>
          <w:sz w:val="21"/>
          <w:szCs w:val="21"/>
        </w:rPr>
        <w:t xml:space="preserve">     </w:t>
      </w:r>
      <w:r>
        <w:rPr>
          <w:rFonts w:hint="eastAsia"/>
          <w:sz w:val="21"/>
          <w:szCs w:val="21"/>
        </w:rPr>
        <w:t>权益结算和现金结算股份支付的会计处理</w:t>
      </w:r>
    </w:p>
    <w:p w14:paraId="5FF5B53D">
      <w:pPr>
        <w:pStyle w:val="9"/>
        <w:spacing w:before="0" w:beforeAutospacing="0" w:after="0" w:afterAutospacing="0" w:line="360" w:lineRule="auto"/>
        <w:ind w:firstLine="420"/>
        <w:jc w:val="both"/>
        <w:rPr>
          <w:sz w:val="21"/>
          <w:szCs w:val="21"/>
        </w:rPr>
      </w:pPr>
      <w:r>
        <w:rPr>
          <w:rFonts w:hint="eastAsia"/>
          <w:sz w:val="21"/>
          <w:szCs w:val="21"/>
        </w:rPr>
        <w:t>以权益结算的股份支付，按授予职工权益工具的公允价值计量。授予后立即可行权的，在授予日按照权益工具的公允价值计入相关成本或费用，相应增加资本公积。以权益结算的股份支付换取其他方服务的，如果其他方服务的公允价值能够可靠计量，按照其他方服务在取得日的公允价值，计入相关成本费用，相应增加资本公积</w:t>
      </w:r>
      <w:r>
        <w:rPr>
          <w:rFonts w:ascii="Arial" w:hAnsi="Arial" w:cs="Arial"/>
          <w:sz w:val="21"/>
          <w:szCs w:val="21"/>
        </w:rPr>
        <w:t>;</w:t>
      </w:r>
      <w:r>
        <w:rPr>
          <w:rFonts w:hint="eastAsia"/>
          <w:sz w:val="21"/>
          <w:szCs w:val="21"/>
        </w:rPr>
        <w:t>如果其他方服务的公允价值不能可靠计量但权益工具公允价值能够可靠计量，按照权益工具在服务取得日的公允价值，计入相关成本费用，相应增加资本公积。在完成等待期内的服务或达到规定业绩条件才可行权的，在等待期内的每个资产负债表日，以对可行权权益工具数量的最佳估计为基础，按照权益工具授予日的公允价值，将当期取得的服务计入相关成本或费用和资本公积。在可行权日之后不再对已确认的相关成本或费用和所有者权益总额进行调整。以权益结算的股份支付换取其他方服务的，如果其他方服务的公允价值能够可靠计量，按照其他方服务在取得日的公允价值，计入相关成本费用，相应增加资本公积</w:t>
      </w:r>
      <w:r>
        <w:rPr>
          <w:rFonts w:ascii="Arial" w:hAnsi="Arial" w:cs="Arial"/>
          <w:sz w:val="21"/>
          <w:szCs w:val="21"/>
        </w:rPr>
        <w:t>;</w:t>
      </w:r>
      <w:r>
        <w:rPr>
          <w:rFonts w:hint="eastAsia"/>
          <w:sz w:val="21"/>
          <w:szCs w:val="21"/>
        </w:rPr>
        <w:t>如果其他方服务的公允价值不能可靠计量但权益工具公允价值能够可靠计量，按照权益工具在服务取得日的公允价值，计入相关成本费用，相应增加资本公积。</w:t>
      </w:r>
    </w:p>
    <w:p w14:paraId="4B7A95A3">
      <w:pPr>
        <w:pStyle w:val="9"/>
        <w:spacing w:before="0" w:beforeAutospacing="0" w:after="0" w:afterAutospacing="0" w:line="360" w:lineRule="auto"/>
        <w:ind w:firstLine="420"/>
        <w:jc w:val="both"/>
        <w:rPr>
          <w:sz w:val="21"/>
          <w:szCs w:val="21"/>
        </w:rPr>
      </w:pPr>
      <w:r>
        <w:rPr>
          <w:rFonts w:hint="eastAsia"/>
          <w:sz w:val="21"/>
          <w:szCs w:val="21"/>
        </w:rPr>
        <w:t>以现金结算的股份支付，按照本公司承担的以股份或其他权益工具为基础计算确定的负债的公允价值计量。授予后立即可行权的，在授予日以本公司承担负债的公允价值计入相关成本或费用，相应增加负债。在完成等待期内的服务或达到规定业绩条件以后才可行权的以现金结算的股份支付，在等待期内的每个资产负债表日，以对可行权情况的最佳估计为基础，按照本公司承担负债的公允价值金额，将当期取得的服务计入成本或费用和相应的负债。在相关负债结算前的每个资产负债表日以及结算日，对负债的公允价值重新计量，其变动计入当期损益。</w:t>
      </w:r>
    </w:p>
    <w:p w14:paraId="3FEB3FEB">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2</w:t>
      </w:r>
      <w:r>
        <w:rPr>
          <w:rFonts w:hint="eastAsia"/>
          <w:sz w:val="21"/>
          <w:szCs w:val="21"/>
        </w:rPr>
        <w:t>）股份支付条款和条件修改的会计处理</w:t>
      </w:r>
    </w:p>
    <w:p w14:paraId="0EA7BF0B">
      <w:pPr>
        <w:pStyle w:val="9"/>
        <w:spacing w:before="0" w:beforeAutospacing="0" w:after="0" w:afterAutospacing="0" w:line="360" w:lineRule="auto"/>
        <w:ind w:firstLine="420"/>
        <w:jc w:val="both"/>
        <w:rPr>
          <w:sz w:val="21"/>
          <w:szCs w:val="21"/>
        </w:rPr>
      </w:pPr>
      <w:r>
        <w:rPr>
          <w:rFonts w:hint="eastAsia"/>
          <w:sz w:val="21"/>
          <w:szCs w:val="21"/>
        </w:rPr>
        <w:t>对于不利修改，本公司视同该变更从未发生，仍继续对取得的服务进行会计处理。</w:t>
      </w:r>
    </w:p>
    <w:p w14:paraId="7E5EAF9F">
      <w:pPr>
        <w:pStyle w:val="9"/>
        <w:spacing w:before="0" w:beforeAutospacing="0" w:after="0" w:afterAutospacing="0" w:line="360" w:lineRule="auto"/>
        <w:ind w:firstLine="420"/>
        <w:jc w:val="both"/>
        <w:rPr>
          <w:sz w:val="21"/>
          <w:szCs w:val="21"/>
        </w:rPr>
      </w:pPr>
      <w:r>
        <w:rPr>
          <w:rFonts w:hint="eastAsia"/>
          <w:sz w:val="21"/>
          <w:szCs w:val="21"/>
        </w:rPr>
        <w:t>对于有利修改，本公司按照如下规定进行处理：如果修改增加了所授予的权益工具的公允价值，企业应按照权益工具公允价值的增加相应地确认取得服务的增加。如果修改发生在等待期内，在确认修改日至修改后的可行权日之间取得服务的公允价值时，应当既包括在剩余原等待期内以原权益工具授予日公允价值为基础确定的服务金额，也包括权益工具公允价值的增加。如果修改发生在可行权日之后，应当立即确认权益工具公允价值的增加。如果股份支付协议要求职工只有先完成更长期间的服务才能取得修改后的权益工具，则企业应在整个等待期内确认权益工具公允价值的增加。</w:t>
      </w:r>
    </w:p>
    <w:p w14:paraId="1909E170">
      <w:pPr>
        <w:pStyle w:val="9"/>
        <w:spacing w:before="0" w:beforeAutospacing="0" w:after="0" w:afterAutospacing="0" w:line="360" w:lineRule="auto"/>
        <w:ind w:firstLine="420"/>
        <w:jc w:val="both"/>
        <w:rPr>
          <w:sz w:val="21"/>
          <w:szCs w:val="21"/>
        </w:rPr>
      </w:pPr>
      <w:r>
        <w:rPr>
          <w:rFonts w:hint="eastAsia"/>
          <w:sz w:val="21"/>
          <w:szCs w:val="21"/>
        </w:rPr>
        <w:t>如果修改增加了所授予的权益工具的数量，企业将增加的权益工具的公允价值相应地确认为取得服务的增加。如果修改发生在等待期内，在确认修改日至增加的权益工具可行权日之间取得服务的公允价值时，应当既包括在剩余原等待期内以原权益工具授予日公允价值为基础确定的服务金额，也包括权益工具公允价值的增加。</w:t>
      </w:r>
    </w:p>
    <w:p w14:paraId="0A628205">
      <w:pPr>
        <w:pStyle w:val="9"/>
        <w:spacing w:before="0" w:beforeAutospacing="0" w:after="0" w:afterAutospacing="0" w:line="360" w:lineRule="auto"/>
        <w:ind w:firstLine="420"/>
        <w:jc w:val="both"/>
        <w:rPr>
          <w:sz w:val="21"/>
          <w:szCs w:val="21"/>
        </w:rPr>
      </w:pPr>
      <w:r>
        <w:rPr>
          <w:rFonts w:hint="eastAsia"/>
          <w:sz w:val="21"/>
          <w:szCs w:val="21"/>
        </w:rPr>
        <w:t>如果企业按照有利于职工的方式修改可行权条件，如缩短等待期、变更或取消业绩条件（而非市场条件），企业在处理可行权条件时，应当考虑修改后的可行权条件。</w:t>
      </w:r>
    </w:p>
    <w:p w14:paraId="7CA31C7E">
      <w:pPr>
        <w:pStyle w:val="9"/>
        <w:spacing w:before="0" w:beforeAutospacing="0" w:after="0" w:afterAutospacing="0" w:line="360" w:lineRule="auto"/>
        <w:ind w:firstLine="420"/>
        <w:jc w:val="both"/>
        <w:rPr>
          <w:sz w:val="21"/>
          <w:szCs w:val="21"/>
        </w:rPr>
      </w:pPr>
      <w:r>
        <w:rPr>
          <w:rFonts w:hint="eastAsia"/>
          <w:sz w:val="21"/>
          <w:szCs w:val="21"/>
        </w:rPr>
        <w:t>本公司修改以现金结算的股份支付协议中的条款和条件，使其成为以权益结算的股份支付的，在修改日</w:t>
      </w:r>
      <w:r>
        <w:rPr>
          <w:rFonts w:ascii="Arial" w:hAnsi="Arial" w:cs="Arial"/>
          <w:sz w:val="21"/>
          <w:szCs w:val="21"/>
        </w:rPr>
        <w:t>(</w:t>
      </w:r>
      <w:r>
        <w:rPr>
          <w:rFonts w:hint="eastAsia"/>
          <w:sz w:val="21"/>
          <w:szCs w:val="21"/>
        </w:rPr>
        <w:t>无论发生在等待期内还是等待期结束后</w:t>
      </w:r>
      <w:r>
        <w:rPr>
          <w:rFonts w:ascii="Arial" w:hAnsi="Arial" w:cs="Arial"/>
          <w:sz w:val="21"/>
          <w:szCs w:val="21"/>
        </w:rPr>
        <w:t>)</w:t>
      </w:r>
      <w:r>
        <w:rPr>
          <w:rFonts w:hint="eastAsia"/>
          <w:sz w:val="21"/>
          <w:szCs w:val="21"/>
        </w:rPr>
        <w:t>，本公司按照所授予权益工具当日的公允价值计量以权益结算的股份支付，将已取得的服务计入资本公积，同时终止确认以现金结算的股份支付在修改日已确认的负债，两者之间的差额计入当期损益。如果由于修改延长或缩短了等待期，本公司按照修改后的等待期进行会计处理。</w:t>
      </w:r>
    </w:p>
    <w:p w14:paraId="58CADC78">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3</w:t>
      </w:r>
      <w:r>
        <w:rPr>
          <w:rFonts w:hint="eastAsia"/>
          <w:sz w:val="21"/>
          <w:szCs w:val="21"/>
        </w:rPr>
        <w:t>）股份支付取消的会计处理</w:t>
      </w:r>
    </w:p>
    <w:p w14:paraId="7194954E">
      <w:pPr>
        <w:pStyle w:val="9"/>
        <w:spacing w:before="0" w:beforeAutospacing="0" w:after="0" w:afterAutospacing="0" w:line="360" w:lineRule="auto"/>
        <w:ind w:firstLine="420"/>
        <w:jc w:val="both"/>
        <w:rPr>
          <w:sz w:val="21"/>
          <w:szCs w:val="21"/>
        </w:rPr>
      </w:pPr>
      <w:r>
        <w:rPr>
          <w:rFonts w:hint="eastAsia"/>
          <w:sz w:val="21"/>
          <w:szCs w:val="21"/>
        </w:rPr>
        <w:t>若在等待期内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14:paraId="0552494D">
      <w:pPr>
        <w:pStyle w:val="9"/>
        <w:spacing w:before="0" w:beforeAutospacing="0" w:after="0" w:afterAutospacing="0" w:line="360" w:lineRule="auto"/>
        <w:ind w:firstLine="420"/>
        <w:rPr>
          <w:sz w:val="21"/>
          <w:szCs w:val="21"/>
        </w:rPr>
      </w:pPr>
      <w:r>
        <w:rPr>
          <w:rFonts w:hint="eastAsia"/>
          <w:sz w:val="21"/>
          <w:szCs w:val="21"/>
        </w:rPr>
        <w:t>职工自愿退出股权激励计划的，本公司作为加速行权处理，将剩余等待期内应确认的金额立即计入当期损益，同时确认资本公积。</w:t>
      </w:r>
    </w:p>
    <w:p w14:paraId="47CDDEC2">
      <w:pPr>
        <w:pStyle w:val="3"/>
        <w:spacing w:line="280" w:lineRule="exact"/>
        <w:jc w:val="left"/>
        <w:rPr>
          <w:rFonts w:ascii="宋体" w:hAnsi="宋体" w:cs="宋体"/>
          <w:b/>
          <w:bCs/>
        </w:rPr>
      </w:pPr>
      <w:bookmarkStart w:id="233" w:name="_Toc989103"/>
      <w:r>
        <w:rPr>
          <w:rFonts w:ascii="宋体" w:hAnsi="宋体" w:cs="宋体"/>
          <w:b/>
          <w:bCs/>
        </w:rPr>
        <w:t>36、优先股、永续债等其他金融工具</w:t>
      </w:r>
      <w:bookmarkEnd w:id="233"/>
    </w:p>
    <w:p w14:paraId="6716EF20">
      <w:pPr>
        <w:pStyle w:val="3"/>
        <w:spacing w:line="280" w:lineRule="exact"/>
        <w:jc w:val="left"/>
        <w:rPr>
          <w:rFonts w:ascii="宋体" w:hAnsi="宋体" w:cs="宋体"/>
          <w:b/>
          <w:bCs/>
        </w:rPr>
      </w:pPr>
      <w:bookmarkStart w:id="234" w:name="_Toc989104"/>
      <w:r>
        <w:rPr>
          <w:rFonts w:ascii="宋体" w:hAnsi="宋体" w:cs="宋体"/>
          <w:b/>
          <w:bCs/>
        </w:rPr>
        <w:t>37、收入</w:t>
      </w:r>
      <w:bookmarkEnd w:id="234"/>
    </w:p>
    <w:p w14:paraId="0D758310">
      <w:pPr>
        <w:spacing w:before="100" w:after="100" w:line="240" w:lineRule="exact"/>
        <w:rPr>
          <w:rFonts w:ascii="宋体" w:hAnsi="宋体" w:eastAsia="宋体" w:cs="宋体"/>
          <w:sz w:val="18"/>
          <w:szCs w:val="18"/>
        </w:rPr>
      </w:pPr>
      <w:r>
        <w:rPr>
          <w:rFonts w:ascii="宋体" w:hAnsi="宋体" w:eastAsia="宋体" w:cs="宋体"/>
          <w:sz w:val="18"/>
          <w:szCs w:val="18"/>
        </w:rPr>
        <w:t>按照业务类型披露收入确认和计量所采用的会计政策</w:t>
      </w:r>
    </w:p>
    <w:p w14:paraId="0E3D5878">
      <w:pPr>
        <w:widowControl/>
        <w:numPr>
          <w:ilvl w:val="0"/>
          <w:numId w:val="97"/>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收入确认的一般原则</w:t>
      </w:r>
    </w:p>
    <w:p w14:paraId="6E95116E">
      <w:pPr>
        <w:pStyle w:val="9"/>
        <w:spacing w:before="0" w:beforeAutospacing="0" w:after="0" w:afterAutospacing="0" w:line="360" w:lineRule="auto"/>
        <w:ind w:firstLine="420"/>
        <w:jc w:val="both"/>
        <w:rPr>
          <w:sz w:val="21"/>
          <w:szCs w:val="21"/>
        </w:rPr>
      </w:pPr>
      <w:r>
        <w:rPr>
          <w:rFonts w:hint="eastAsia"/>
          <w:sz w:val="21"/>
          <w:szCs w:val="21"/>
        </w:rPr>
        <w:t>本公司在履行了合同中的履约义务，即在客户取得相关商品或服务控制权时，按照分摊至该项履约义务的交易价格确认收入。履约义务，是指合同中本公司向客户转让可明确区分商品或服务的承诺。取得相关商品控制权，是指能够主导该商品的使用并从中获得几乎全部的经济利益。</w:t>
      </w:r>
    </w:p>
    <w:p w14:paraId="76D77D66">
      <w:pPr>
        <w:pStyle w:val="9"/>
        <w:spacing w:before="0" w:beforeAutospacing="0" w:after="0" w:afterAutospacing="0" w:line="360" w:lineRule="auto"/>
        <w:ind w:firstLine="420"/>
        <w:jc w:val="both"/>
        <w:rPr>
          <w:sz w:val="21"/>
          <w:szCs w:val="21"/>
        </w:rPr>
      </w:pPr>
      <w:r>
        <w:rPr>
          <w:rFonts w:hint="eastAsia"/>
          <w:sz w:val="21"/>
          <w:szCs w:val="21"/>
        </w:rPr>
        <w:t>本公司在合同开始日即对合同进行评估，识别该合同所包含的各单项履约义务，并确定各单项履约义务是在某一时段内履行，还是某一时点履行。满足下列条件之一的，属于在某一时间段内履行的履约义务，本公司按照履约进度，在一段时间内确认收入：</w:t>
      </w:r>
      <w:r>
        <w:rPr>
          <w:rFonts w:ascii="Arial" w:hAnsi="Arial" w:cs="Arial"/>
          <w:sz w:val="21"/>
          <w:szCs w:val="21"/>
        </w:rPr>
        <w:t>(1)</w:t>
      </w:r>
      <w:r>
        <w:rPr>
          <w:rFonts w:hint="eastAsia"/>
          <w:sz w:val="21"/>
          <w:szCs w:val="21"/>
        </w:rPr>
        <w:t>客户在本公司履约的同时即取得并消耗本公司履约所带来的经济利益；</w:t>
      </w:r>
      <w:r>
        <w:rPr>
          <w:rFonts w:ascii="Arial" w:hAnsi="Arial" w:cs="Arial"/>
          <w:sz w:val="21"/>
          <w:szCs w:val="21"/>
        </w:rPr>
        <w:t>(2)</w:t>
      </w:r>
      <w:r>
        <w:rPr>
          <w:rFonts w:hint="eastAsia"/>
          <w:sz w:val="21"/>
          <w:szCs w:val="21"/>
        </w:rPr>
        <w:t>客户能够控制本公司履约过程中在建的商品；</w:t>
      </w:r>
      <w:r>
        <w:rPr>
          <w:rFonts w:ascii="Arial" w:hAnsi="Arial" w:cs="Arial"/>
          <w:sz w:val="21"/>
          <w:szCs w:val="21"/>
        </w:rPr>
        <w:t>(3)</w:t>
      </w:r>
      <w:r>
        <w:rPr>
          <w:rFonts w:hint="eastAsia"/>
          <w:sz w:val="21"/>
          <w:szCs w:val="21"/>
        </w:rPr>
        <w:t>本公司履约过程中所产出的商品具有不可替代用途，且本公司在整个合同期间内有权就累计至今已完成的履约部分收取款项。否则，本公司在客户取得相关商品或服务控制权的时点确认收入。</w:t>
      </w:r>
    </w:p>
    <w:p w14:paraId="54580637">
      <w:pPr>
        <w:pStyle w:val="9"/>
        <w:spacing w:before="0" w:beforeAutospacing="0" w:after="0" w:afterAutospacing="0" w:line="360" w:lineRule="auto"/>
        <w:ind w:firstLine="420"/>
        <w:jc w:val="both"/>
        <w:rPr>
          <w:sz w:val="21"/>
          <w:szCs w:val="21"/>
        </w:rPr>
      </w:pPr>
      <w:r>
        <w:rPr>
          <w:rFonts w:hint="eastAsia"/>
          <w:sz w:val="21"/>
          <w:szCs w:val="21"/>
        </w:rPr>
        <w:t>对于在某一时段内履行的履约义务，本公司根据商品和劳务的性质，采用投入法确定恰当的履约进度。产出法是根据已转移给客户的商品对于客户的价值确定履约进度。当履约进度不能合理确定时，已经发生的成本预计能够得到补偿的，本公司按照已经发生的成本金额确认收入，直到履约进度能够合理确定为止。</w:t>
      </w:r>
    </w:p>
    <w:p w14:paraId="1FF5F85A">
      <w:pPr>
        <w:widowControl/>
        <w:numPr>
          <w:ilvl w:val="0"/>
          <w:numId w:val="98"/>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收入确认的具体方法</w:t>
      </w:r>
    </w:p>
    <w:p w14:paraId="0D9B1666">
      <w:pPr>
        <w:pStyle w:val="9"/>
        <w:spacing w:before="0" w:beforeAutospacing="0" w:after="0" w:afterAutospacing="0" w:line="360" w:lineRule="auto"/>
        <w:ind w:left="422"/>
        <w:jc w:val="both"/>
        <w:rPr>
          <w:b/>
          <w:bCs/>
          <w:sz w:val="21"/>
          <w:szCs w:val="21"/>
        </w:rPr>
      </w:pPr>
      <w:r>
        <w:rPr>
          <w:rFonts w:hint="eastAsia"/>
          <w:b/>
          <w:bCs/>
          <w:sz w:val="21"/>
          <w:szCs w:val="21"/>
        </w:rPr>
        <w:t>（</w:t>
      </w:r>
      <w:r>
        <w:rPr>
          <w:rFonts w:ascii="Times New Roman" w:hAnsi="Times New Roman" w:cs="Times New Roman"/>
          <w:b/>
          <w:bCs/>
          <w:sz w:val="21"/>
          <w:szCs w:val="21"/>
        </w:rPr>
        <w:t>1</w:t>
      </w:r>
      <w:r>
        <w:rPr>
          <w:rFonts w:hint="eastAsia"/>
          <w:b/>
          <w:bCs/>
          <w:sz w:val="21"/>
          <w:szCs w:val="21"/>
        </w:rPr>
        <w:t>）销售商品收入</w:t>
      </w:r>
    </w:p>
    <w:p w14:paraId="3F4AA626">
      <w:pPr>
        <w:pStyle w:val="9"/>
        <w:spacing w:before="0" w:beforeAutospacing="0" w:after="0" w:afterAutospacing="0" w:line="360" w:lineRule="auto"/>
        <w:ind w:firstLine="420"/>
        <w:jc w:val="both"/>
        <w:rPr>
          <w:sz w:val="21"/>
          <w:szCs w:val="21"/>
        </w:rPr>
      </w:pPr>
      <w:r>
        <w:rPr>
          <w:rFonts w:hint="eastAsia"/>
          <w:sz w:val="21"/>
          <w:szCs w:val="21"/>
        </w:rPr>
        <w:t>公司的产品销售属于在某一时点履行的履约义务，内销收入在公司将产品运送至合同约定交货地点并由客户确认接受、已收取价款或取得收款权利且相关的经济利益很可能流入时确认。外销收入在公司已根据合同约定将产品报关，取得提单，已收取货款或取得了收款权利且相关的经济利益很可能流入时确认。线上销售收入在客户确认签收时确认对应的收入实现。</w:t>
      </w:r>
    </w:p>
    <w:p w14:paraId="46BB161E">
      <w:pPr>
        <w:pStyle w:val="9"/>
        <w:spacing w:before="0" w:beforeAutospacing="0" w:after="0" w:afterAutospacing="0" w:line="360" w:lineRule="auto"/>
        <w:ind w:firstLine="422"/>
        <w:jc w:val="both"/>
        <w:rPr>
          <w:sz w:val="21"/>
          <w:szCs w:val="21"/>
        </w:rPr>
      </w:pPr>
      <w:r>
        <w:rPr>
          <w:rStyle w:val="12"/>
          <w:rFonts w:hint="eastAsia"/>
          <w:sz w:val="21"/>
          <w:szCs w:val="21"/>
        </w:rPr>
        <w:t>（</w:t>
      </w:r>
      <w:r>
        <w:rPr>
          <w:rStyle w:val="12"/>
          <w:rFonts w:ascii="Times New Roman" w:hAnsi="Times New Roman" w:cs="Times New Roman"/>
          <w:sz w:val="21"/>
          <w:szCs w:val="21"/>
        </w:rPr>
        <w:t>2</w:t>
      </w:r>
      <w:r>
        <w:rPr>
          <w:rStyle w:val="12"/>
          <w:rFonts w:hint="eastAsia"/>
          <w:sz w:val="21"/>
          <w:szCs w:val="21"/>
        </w:rPr>
        <w:t>）出租收入</w:t>
      </w:r>
    </w:p>
    <w:p w14:paraId="2C0387C0">
      <w:pPr>
        <w:pStyle w:val="9"/>
        <w:spacing w:before="0" w:beforeAutospacing="0" w:after="0" w:afterAutospacing="0" w:line="360" w:lineRule="auto"/>
        <w:ind w:firstLine="420"/>
        <w:jc w:val="both"/>
        <w:rPr>
          <w:sz w:val="21"/>
          <w:szCs w:val="21"/>
        </w:rPr>
      </w:pPr>
      <w:r>
        <w:rPr>
          <w:rFonts w:hint="eastAsia"/>
          <w:sz w:val="21"/>
          <w:szCs w:val="21"/>
        </w:rPr>
        <w:t>按与承租方签定的合同或协议规定的承租方付租期间和金额，按直线法分摊确认设备出租收入的实现。</w:t>
      </w:r>
    </w:p>
    <w:p w14:paraId="1AC3FA50">
      <w:pPr>
        <w:widowControl/>
        <w:numPr>
          <w:ilvl w:val="0"/>
          <w:numId w:val="99"/>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特定交易的收入处理原则</w:t>
      </w:r>
      <w:r>
        <w:rPr>
          <w:rFonts w:ascii="Arial" w:hAnsi="Arial" w:cs="Arial"/>
          <w:sz w:val="18"/>
          <w:szCs w:val="18"/>
        </w:rPr>
        <w:t xml:space="preserve"> </w:t>
      </w:r>
    </w:p>
    <w:p w14:paraId="25D23A7E">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1</w:t>
      </w:r>
      <w:r>
        <w:rPr>
          <w:rFonts w:hint="eastAsia"/>
          <w:sz w:val="21"/>
          <w:szCs w:val="21"/>
        </w:rPr>
        <w:t>）附有销售退回条款的合同</w:t>
      </w:r>
    </w:p>
    <w:p w14:paraId="61A0A184">
      <w:pPr>
        <w:pStyle w:val="9"/>
        <w:spacing w:before="0" w:beforeAutospacing="0" w:after="0" w:afterAutospacing="0" w:line="360" w:lineRule="auto"/>
        <w:ind w:firstLine="420"/>
        <w:jc w:val="both"/>
        <w:rPr>
          <w:sz w:val="21"/>
          <w:szCs w:val="21"/>
        </w:rPr>
      </w:pPr>
      <w:bookmarkStart w:id="235" w:name="OLE_LINK46"/>
      <w:bookmarkEnd w:id="235"/>
      <w:r>
        <w:rPr>
          <w:rFonts w:hint="eastAsia"/>
          <w:sz w:val="21"/>
          <w:szCs w:val="21"/>
        </w:rPr>
        <w:t>对于附有销售退回条款的销售，本公司在客户取得相关商品控制权时，按照因向客户转让商品而预期有权收取的对价金额</w:t>
      </w:r>
      <w:r>
        <w:rPr>
          <w:rFonts w:ascii="Arial" w:hAnsi="Arial" w:cs="Arial"/>
          <w:sz w:val="21"/>
          <w:szCs w:val="21"/>
        </w:rPr>
        <w:t>(</w:t>
      </w:r>
      <w:r>
        <w:rPr>
          <w:rFonts w:hint="eastAsia"/>
          <w:sz w:val="21"/>
          <w:szCs w:val="21"/>
        </w:rPr>
        <w:t>即，不包含预期因销售退回将退还的金额</w:t>
      </w:r>
      <w:r>
        <w:rPr>
          <w:rFonts w:ascii="Arial" w:hAnsi="Arial" w:cs="Arial"/>
          <w:sz w:val="21"/>
          <w:szCs w:val="21"/>
        </w:rPr>
        <w:t>)</w:t>
      </w:r>
      <w:r>
        <w:rPr>
          <w:rFonts w:hint="eastAsia"/>
          <w:sz w:val="21"/>
          <w:szCs w:val="21"/>
        </w:rPr>
        <w:t>确认收入，照预期因销售退回将退还的金额确认负债；同时，按照预期将退回商品转让时的账面价值，扣除收回该商品预计发生的成本</w:t>
      </w:r>
      <w:r>
        <w:rPr>
          <w:rFonts w:ascii="Arial" w:hAnsi="Arial" w:cs="Arial"/>
          <w:sz w:val="21"/>
          <w:szCs w:val="21"/>
        </w:rPr>
        <w:t>(</w:t>
      </w:r>
      <w:r>
        <w:rPr>
          <w:rFonts w:hint="eastAsia"/>
          <w:sz w:val="21"/>
          <w:szCs w:val="21"/>
        </w:rPr>
        <w:t>包括退回商品的价值减损</w:t>
      </w:r>
      <w:r>
        <w:rPr>
          <w:rFonts w:ascii="Arial" w:hAnsi="Arial" w:cs="Arial"/>
          <w:sz w:val="21"/>
          <w:szCs w:val="21"/>
        </w:rPr>
        <w:t>)</w:t>
      </w:r>
      <w:r>
        <w:rPr>
          <w:rFonts w:hint="eastAsia"/>
          <w:sz w:val="21"/>
          <w:szCs w:val="21"/>
        </w:rPr>
        <w:t>后的余额，确认为一项资产，按照所转让商品转让时的账面价值，扣除上述资产成本的净额结转成本。</w:t>
      </w:r>
    </w:p>
    <w:p w14:paraId="3FD74974">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2</w:t>
      </w:r>
      <w:r>
        <w:rPr>
          <w:rFonts w:hint="eastAsia"/>
          <w:sz w:val="21"/>
          <w:szCs w:val="21"/>
        </w:rPr>
        <w:t>）附有质量保证条款的合同</w:t>
      </w:r>
    </w:p>
    <w:p w14:paraId="4796B432">
      <w:pPr>
        <w:pStyle w:val="9"/>
        <w:spacing w:before="0" w:beforeAutospacing="0" w:after="0" w:afterAutospacing="0" w:line="360" w:lineRule="auto"/>
        <w:ind w:firstLine="420"/>
        <w:jc w:val="both"/>
        <w:rPr>
          <w:sz w:val="21"/>
          <w:szCs w:val="21"/>
        </w:rPr>
      </w:pPr>
      <w:bookmarkStart w:id="236" w:name="OLE_LINK48"/>
      <w:bookmarkEnd w:id="236"/>
      <w:r>
        <w:rPr>
          <w:rFonts w:hint="eastAsia"/>
          <w:sz w:val="21"/>
          <w:szCs w:val="21"/>
        </w:rPr>
        <w:t>对于附有质量保证条款的销售，如果该质量保证在向客户保证所销售商品或服务符合既定标准之外提供了一项单独的服务，该质量保证构成单项履约义务。否则，本公司按照《企业会计准则第</w:t>
      </w:r>
      <w:r>
        <w:rPr>
          <w:rFonts w:ascii="Arial" w:hAnsi="Arial" w:cs="Arial"/>
          <w:sz w:val="21"/>
          <w:szCs w:val="21"/>
        </w:rPr>
        <w:t xml:space="preserve">13 </w:t>
      </w:r>
      <w:r>
        <w:rPr>
          <w:rFonts w:hint="eastAsia"/>
          <w:sz w:val="21"/>
          <w:szCs w:val="21"/>
        </w:rPr>
        <w:t>号</w:t>
      </w:r>
      <w:r>
        <w:rPr>
          <w:rFonts w:ascii="Arial" w:hAnsi="Arial" w:cs="Arial"/>
          <w:sz w:val="21"/>
          <w:szCs w:val="21"/>
        </w:rPr>
        <w:t>——</w:t>
      </w:r>
      <w:r>
        <w:rPr>
          <w:rFonts w:hint="eastAsia"/>
          <w:sz w:val="21"/>
          <w:szCs w:val="21"/>
        </w:rPr>
        <w:t>或有事项》规定对质量保证责任进行会计处理。</w:t>
      </w:r>
    </w:p>
    <w:p w14:paraId="5387A3D4">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3</w:t>
      </w:r>
      <w:r>
        <w:rPr>
          <w:rFonts w:hint="eastAsia"/>
          <w:sz w:val="21"/>
          <w:szCs w:val="21"/>
        </w:rPr>
        <w:t>）附有客户额外购买选择权的销售合同</w:t>
      </w:r>
    </w:p>
    <w:p w14:paraId="16DED559">
      <w:pPr>
        <w:pStyle w:val="9"/>
        <w:spacing w:before="0" w:beforeAutospacing="0" w:after="0" w:afterAutospacing="0" w:line="360" w:lineRule="auto"/>
        <w:ind w:firstLine="420"/>
        <w:jc w:val="both"/>
        <w:rPr>
          <w:sz w:val="21"/>
          <w:szCs w:val="21"/>
        </w:rPr>
      </w:pPr>
      <w:bookmarkStart w:id="237" w:name="_Hlk216709055"/>
      <w:bookmarkEnd w:id="237"/>
      <w:r>
        <w:rPr>
          <w:rFonts w:hint="eastAsia"/>
          <w:sz w:val="21"/>
          <w:szCs w:val="21"/>
        </w:rPr>
        <w:t>客户额外购买选择权包括销售激励措施、客户奖励积分、续约选择权、针对未来商品或服务的其他折扣等，对于向客户提供了重大权利的额外购买选择权，本公司将其作为单项履约义务，在客户未来行使购买选择权取得相关商品或服务控制权时，或者该选择权失效时，确认相应的收入。客户额外购买选择权的单独售价无法直接观察的，本公司综合考虑客户行使和不行使该选择权所能获得的折扣的差异、客户行使该选择权的可能性等全部相关信息予以估计。</w:t>
      </w:r>
    </w:p>
    <w:p w14:paraId="183548F1">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4</w:t>
      </w:r>
      <w:r>
        <w:rPr>
          <w:rFonts w:hint="eastAsia"/>
          <w:sz w:val="21"/>
          <w:szCs w:val="21"/>
        </w:rPr>
        <w:t>）向客户授予知识产权许可的合同</w:t>
      </w:r>
    </w:p>
    <w:p w14:paraId="0AD6D563">
      <w:pPr>
        <w:pStyle w:val="9"/>
        <w:spacing w:before="0" w:beforeAutospacing="0" w:after="0" w:afterAutospacing="0" w:line="360" w:lineRule="auto"/>
        <w:ind w:firstLine="420"/>
        <w:jc w:val="both"/>
        <w:rPr>
          <w:sz w:val="21"/>
          <w:szCs w:val="21"/>
        </w:rPr>
      </w:pPr>
      <w:bookmarkStart w:id="238" w:name="_Hlk216709074"/>
      <w:bookmarkEnd w:id="238"/>
      <w:r>
        <w:rPr>
          <w:rFonts w:hint="eastAsia"/>
          <w:sz w:val="21"/>
          <w:szCs w:val="21"/>
        </w:rPr>
        <w:t>评估该知识产权许可是否构成单项履约义务，构成单项履约义务的，则进一步确定其是在某一时段内履行还是在某一时点履行。向客户授予知识产权许可，并约定按客户实际销售或使用情况收取特许权使用费的，则在下列两项孰晚的时点确认收入：客户后续销售或使用行为实际发生；公司履行相关履约义务。</w:t>
      </w:r>
    </w:p>
    <w:p w14:paraId="52738F2E">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5</w:t>
      </w:r>
      <w:r>
        <w:rPr>
          <w:rFonts w:hint="eastAsia"/>
          <w:sz w:val="21"/>
          <w:szCs w:val="21"/>
        </w:rPr>
        <w:t>）售后回购</w:t>
      </w:r>
    </w:p>
    <w:p w14:paraId="12CDBA21">
      <w:pPr>
        <w:widowControl/>
        <w:numPr>
          <w:ilvl w:val="0"/>
          <w:numId w:val="100"/>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因与客户的远期安排而负有回购义务的合同：这种情况下客户在销售时点并未取得相关商品控制权，因此作为租赁交易或融资交易进行相应的会计处理。其中，回购价格低于原售价的视为租赁交易，按照企业会计准则对租赁的相关规定进行会计处理；回购价格不低于原售价的视为融资交易，在收到客户款项时确认金融负债，并将该款项和回购价格的差额在回购期间内确认为利息费用等。公司到期未行使回购权利的，则在该回购权利到期时终止确认金融负债，同时确认收入。</w:t>
      </w:r>
    </w:p>
    <w:p w14:paraId="3742181C">
      <w:pPr>
        <w:widowControl/>
        <w:numPr>
          <w:ilvl w:val="0"/>
          <w:numId w:val="100"/>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应客户要求产生的回购义务的合同：经评估客户具有重大经济动因的，将售后回购作为租赁交易或融资交易，按照本条</w:t>
      </w:r>
      <w:r>
        <w:rPr>
          <w:rFonts w:ascii="Arial" w:hAnsi="Arial" w:cs="Arial"/>
          <w:sz w:val="18"/>
          <w:szCs w:val="18"/>
        </w:rPr>
        <w:t>1</w:t>
      </w:r>
      <w:r>
        <w:rPr>
          <w:rFonts w:hint="eastAsia"/>
          <w:sz w:val="18"/>
          <w:szCs w:val="18"/>
        </w:rPr>
        <w:t>）规定进行会计处理；否则将其作为附有销售退回条款的销售交易进行处理。</w:t>
      </w:r>
    </w:p>
    <w:p w14:paraId="242E0541">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6</w:t>
      </w:r>
      <w:r>
        <w:rPr>
          <w:rFonts w:hint="eastAsia"/>
          <w:sz w:val="21"/>
          <w:szCs w:val="21"/>
        </w:rPr>
        <w:t>）向客户收取无需退回的初始费的合同</w:t>
      </w:r>
    </w:p>
    <w:p w14:paraId="0263EF78">
      <w:pPr>
        <w:pStyle w:val="9"/>
        <w:spacing w:before="0" w:beforeAutospacing="0" w:after="0" w:afterAutospacing="0" w:line="360" w:lineRule="auto"/>
        <w:ind w:firstLine="420"/>
        <w:jc w:val="both"/>
        <w:rPr>
          <w:sz w:val="21"/>
          <w:szCs w:val="21"/>
        </w:rPr>
      </w:pPr>
      <w:bookmarkStart w:id="239" w:name="_Hlk216709124"/>
      <w:bookmarkEnd w:id="239"/>
      <w:r>
        <w:rPr>
          <w:rFonts w:hint="eastAsia"/>
          <w:sz w:val="21"/>
          <w:szCs w:val="21"/>
        </w:rPr>
        <w:t>在合同开始（或接近合同开始）日向客户收取的无需退回的初始费应当计入交易价格。公司经评估，该初始费与向客户转让已承诺的商品相关，并且该商品构成单项履约义务的，则在转让该商品时，按照分摊至该商品的交易价格确认收入；该初始费与向客户转让已承诺的商品相关，但该商品不构成单项履约义务的，则在包含该商品的单项履约义务履行时，按照分摊至该单项履约义务的交易价格确认收入；该初始费与向客户转让已承诺的商品不相关的，该初始费则作为未来将转让商品的预收款，在未来转让该商品时确认为收入。</w:t>
      </w:r>
    </w:p>
    <w:p w14:paraId="78922FE2">
      <w:pPr>
        <w:pStyle w:val="9"/>
        <w:spacing w:before="0" w:beforeAutospacing="0" w:after="0" w:afterAutospacing="0" w:line="360" w:lineRule="auto"/>
        <w:ind w:firstLine="420"/>
        <w:jc w:val="both"/>
        <w:rPr>
          <w:sz w:val="21"/>
          <w:szCs w:val="21"/>
        </w:rPr>
      </w:pPr>
      <w:bookmarkStart w:id="240" w:name="_Hlk216709173"/>
      <w:bookmarkEnd w:id="240"/>
      <w:r>
        <w:rPr>
          <w:rFonts w:hint="eastAsia"/>
          <w:sz w:val="21"/>
          <w:szCs w:val="21"/>
        </w:rPr>
        <w:t>（</w:t>
      </w:r>
      <w:r>
        <w:rPr>
          <w:rFonts w:ascii="Arial" w:hAnsi="Arial" w:cs="Arial"/>
          <w:sz w:val="21"/>
          <w:szCs w:val="21"/>
        </w:rPr>
        <w:t>7</w:t>
      </w:r>
      <w:r>
        <w:rPr>
          <w:rFonts w:hint="eastAsia"/>
          <w:sz w:val="21"/>
          <w:szCs w:val="21"/>
        </w:rPr>
        <w:t>）主要责任人和代理人</w:t>
      </w:r>
    </w:p>
    <w:p w14:paraId="05FC8DBE">
      <w:pPr>
        <w:pStyle w:val="9"/>
        <w:spacing w:before="0" w:beforeAutospacing="0" w:after="0" w:afterAutospacing="0" w:line="360" w:lineRule="auto"/>
        <w:ind w:firstLine="420"/>
        <w:jc w:val="both"/>
        <w:rPr>
          <w:sz w:val="21"/>
          <w:szCs w:val="21"/>
        </w:rPr>
      </w:pPr>
      <w:r>
        <w:rPr>
          <w:rFonts w:hint="eastAsia"/>
          <w:sz w:val="21"/>
          <w:szCs w:val="21"/>
        </w:rPr>
        <w:t>本公司根据在向客户转让商品或服务前是否拥有对该商品或服务的控制权，来判断从事交易时本公司的身份是主要责任人还是代理人。本公司在向客户转让商品或服务前能够控制该商品或服务的，本公司为主要责任人，按照已收或应收对价总额确认收入；否则，本公司为代理人，按照预期有权收取的佣金或手续费的金额确认收入，该金额按照已收或应收对价总额扣除应支付给其他相关方的价款后的净额确定。</w:t>
      </w:r>
    </w:p>
    <w:p w14:paraId="74A61F82">
      <w:pPr>
        <w:spacing w:before="100" w:after="100" w:line="240" w:lineRule="exact"/>
        <w:rPr>
          <w:rFonts w:ascii="宋体" w:hAnsi="宋体" w:eastAsia="宋体" w:cs="宋体"/>
          <w:sz w:val="18"/>
          <w:szCs w:val="18"/>
        </w:rPr>
      </w:pPr>
      <w:r>
        <w:rPr>
          <w:rFonts w:ascii="宋体" w:hAnsi="宋体" w:eastAsia="宋体" w:cs="宋体"/>
          <w:sz w:val="18"/>
          <w:szCs w:val="18"/>
        </w:rPr>
        <w:t>同类业务采用不同经营模式涉及不同收入确认方式及计量方法的情况</w:t>
      </w:r>
    </w:p>
    <w:p w14:paraId="7D7CE344">
      <w:pPr>
        <w:rPr>
          <w:sz w:val="18"/>
          <w:szCs w:val="18"/>
        </w:rPr>
      </w:pPr>
    </w:p>
    <w:p w14:paraId="4F8AC36B">
      <w:pPr>
        <w:pStyle w:val="3"/>
        <w:spacing w:line="280" w:lineRule="exact"/>
        <w:jc w:val="left"/>
        <w:rPr>
          <w:rFonts w:ascii="宋体" w:hAnsi="宋体" w:cs="宋体"/>
          <w:b/>
          <w:bCs/>
        </w:rPr>
      </w:pPr>
      <w:bookmarkStart w:id="241" w:name="_Toc989105"/>
      <w:r>
        <w:rPr>
          <w:rFonts w:ascii="宋体" w:hAnsi="宋体" w:cs="宋体"/>
          <w:b/>
          <w:bCs/>
        </w:rPr>
        <w:t>38、合同成本</w:t>
      </w:r>
      <w:bookmarkEnd w:id="241"/>
    </w:p>
    <w:p w14:paraId="4FB28A65">
      <w:pPr>
        <w:widowControl/>
        <w:numPr>
          <w:ilvl w:val="3"/>
          <w:numId w:val="101"/>
        </w:numPr>
        <w:tabs>
          <w:tab w:val="left" w:pos="2268"/>
          <w:tab w:val="clear" w:pos="2880"/>
        </w:tabs>
        <w:spacing w:before="100" w:beforeAutospacing="1" w:after="100" w:afterAutospacing="1"/>
        <w:ind w:left="426"/>
        <w:rPr>
          <w:sz w:val="18"/>
          <w:szCs w:val="18"/>
        </w:rPr>
      </w:pPr>
      <w:r>
        <w:rPr>
          <w:rStyle w:val="12"/>
          <w:rFonts w:hint="eastAsia"/>
          <w:sz w:val="18"/>
          <w:szCs w:val="18"/>
        </w:rPr>
        <w:t>合同履约成本</w:t>
      </w:r>
    </w:p>
    <w:p w14:paraId="63CAED13">
      <w:pPr>
        <w:pStyle w:val="9"/>
        <w:spacing w:before="0" w:beforeAutospacing="0" w:after="0" w:afterAutospacing="0" w:line="360" w:lineRule="auto"/>
        <w:ind w:firstLine="420"/>
        <w:jc w:val="both"/>
        <w:rPr>
          <w:sz w:val="21"/>
          <w:szCs w:val="21"/>
        </w:rPr>
      </w:pPr>
      <w:r>
        <w:rPr>
          <w:rFonts w:hint="eastAsia"/>
          <w:sz w:val="21"/>
          <w:szCs w:val="21"/>
        </w:rPr>
        <w:t>本公司对于为履行合同发生的成本，不属于除收入准则外的其他企业会计准则范围且同时满足下列条件的作为合同履约成本确认为一项资产：</w:t>
      </w:r>
    </w:p>
    <w:p w14:paraId="1D57E55C">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1</w:t>
      </w:r>
      <w:r>
        <w:rPr>
          <w:rFonts w:hint="eastAsia"/>
          <w:sz w:val="21"/>
          <w:szCs w:val="21"/>
        </w:rPr>
        <w:t>）该成本与一份当前或预期取得的合同直接相关，包括直接人工、直接材料、制造费用（或类似费用）、明确由客户承担的成本以及仅因该合同而发生的其他成本；</w:t>
      </w:r>
    </w:p>
    <w:p w14:paraId="49DEC92B">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2</w:t>
      </w:r>
      <w:r>
        <w:rPr>
          <w:rFonts w:hint="eastAsia"/>
          <w:sz w:val="21"/>
          <w:szCs w:val="21"/>
        </w:rPr>
        <w:t>）该成本增加了企业未来用于履行履约义务的资源；</w:t>
      </w:r>
    </w:p>
    <w:p w14:paraId="639BBE25">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3</w:t>
      </w:r>
      <w:r>
        <w:rPr>
          <w:rFonts w:hint="eastAsia"/>
          <w:sz w:val="21"/>
          <w:szCs w:val="21"/>
        </w:rPr>
        <w:t>）该成本预期能够收回。</w:t>
      </w:r>
    </w:p>
    <w:p w14:paraId="4D83E6EE">
      <w:pPr>
        <w:pStyle w:val="9"/>
        <w:spacing w:before="0" w:beforeAutospacing="0" w:after="0" w:afterAutospacing="0" w:line="360" w:lineRule="auto"/>
        <w:ind w:firstLine="420"/>
        <w:jc w:val="both"/>
        <w:rPr>
          <w:sz w:val="21"/>
          <w:szCs w:val="21"/>
        </w:rPr>
      </w:pPr>
      <w:r>
        <w:rPr>
          <w:rFonts w:hint="eastAsia"/>
          <w:sz w:val="21"/>
          <w:szCs w:val="21"/>
        </w:rPr>
        <w:t>该资产根据其初始确认时摊销期限是否超过一个正常营业周期在存货或其他非流动资产中列报。</w:t>
      </w:r>
    </w:p>
    <w:p w14:paraId="22FB4FB4">
      <w:pPr>
        <w:widowControl/>
        <w:numPr>
          <w:ilvl w:val="3"/>
          <w:numId w:val="101"/>
        </w:numPr>
        <w:tabs>
          <w:tab w:val="left" w:pos="2268"/>
          <w:tab w:val="clear" w:pos="2880"/>
        </w:tabs>
        <w:spacing w:before="100" w:beforeAutospacing="1" w:after="100" w:afterAutospacing="1"/>
        <w:ind w:left="426"/>
        <w:rPr>
          <w:rStyle w:val="12"/>
        </w:rPr>
      </w:pPr>
      <w:r>
        <w:rPr>
          <w:rStyle w:val="12"/>
          <w:rFonts w:hint="eastAsia"/>
          <w:sz w:val="18"/>
          <w:szCs w:val="18"/>
        </w:rPr>
        <w:t>合同取得成本</w:t>
      </w:r>
    </w:p>
    <w:p w14:paraId="28B99399">
      <w:pPr>
        <w:pStyle w:val="9"/>
        <w:spacing w:before="0" w:beforeAutospacing="0" w:after="0" w:afterAutospacing="0" w:line="360" w:lineRule="auto"/>
        <w:ind w:firstLine="420"/>
        <w:jc w:val="both"/>
        <w:rPr>
          <w:sz w:val="21"/>
          <w:szCs w:val="21"/>
        </w:rPr>
      </w:pPr>
      <w:r>
        <w:rPr>
          <w:rFonts w:hint="eastAsia"/>
          <w:sz w:val="21"/>
          <w:szCs w:val="21"/>
        </w:rPr>
        <w:t>本公司为取得合同发生的增量成本预期能够收回的，作为合同取得成本确认为一项资产。增量成本是指本公司不取得合同就不会发生的成本，如销售佣金等。对于摊销期限不超过一年的，在发生时计入当期损益。</w:t>
      </w:r>
    </w:p>
    <w:p w14:paraId="482237B9">
      <w:pPr>
        <w:widowControl/>
        <w:numPr>
          <w:ilvl w:val="3"/>
          <w:numId w:val="101"/>
        </w:numPr>
        <w:tabs>
          <w:tab w:val="left" w:pos="2268"/>
          <w:tab w:val="clear" w:pos="2880"/>
        </w:tabs>
        <w:spacing w:before="100" w:beforeAutospacing="1" w:after="100" w:afterAutospacing="1"/>
        <w:ind w:left="426"/>
        <w:rPr>
          <w:rStyle w:val="12"/>
        </w:rPr>
      </w:pPr>
      <w:r>
        <w:rPr>
          <w:rStyle w:val="12"/>
          <w:rFonts w:hint="eastAsia"/>
          <w:sz w:val="18"/>
          <w:szCs w:val="18"/>
        </w:rPr>
        <w:t>合同成本摊销</w:t>
      </w:r>
    </w:p>
    <w:p w14:paraId="2CB745B1">
      <w:pPr>
        <w:pStyle w:val="9"/>
        <w:spacing w:before="0" w:beforeAutospacing="0" w:after="0" w:afterAutospacing="0" w:line="360" w:lineRule="auto"/>
        <w:ind w:firstLine="420"/>
        <w:jc w:val="both"/>
        <w:rPr>
          <w:sz w:val="21"/>
          <w:szCs w:val="21"/>
        </w:rPr>
      </w:pPr>
      <w:r>
        <w:rPr>
          <w:rFonts w:hint="eastAsia"/>
          <w:sz w:val="21"/>
          <w:szCs w:val="21"/>
        </w:rPr>
        <w:t>上述与合同成本有关的资产，采用与该资产相关的商品或服务收入确认相同的基础，在履约义务履行的时点或按照履约义务的履约进度进行摊销，计入当期损益。</w:t>
      </w:r>
    </w:p>
    <w:p w14:paraId="71A98774">
      <w:pPr>
        <w:widowControl/>
        <w:numPr>
          <w:ilvl w:val="3"/>
          <w:numId w:val="101"/>
        </w:numPr>
        <w:tabs>
          <w:tab w:val="left" w:pos="2268"/>
          <w:tab w:val="clear" w:pos="2880"/>
        </w:tabs>
        <w:spacing w:before="100" w:beforeAutospacing="1" w:after="100" w:afterAutospacing="1"/>
        <w:ind w:left="426"/>
        <w:rPr>
          <w:rStyle w:val="12"/>
        </w:rPr>
      </w:pPr>
      <w:r>
        <w:rPr>
          <w:rStyle w:val="12"/>
          <w:rFonts w:hint="eastAsia"/>
          <w:sz w:val="18"/>
          <w:szCs w:val="18"/>
        </w:rPr>
        <w:t>合同成本减值</w:t>
      </w:r>
    </w:p>
    <w:p w14:paraId="744A0CC9">
      <w:pPr>
        <w:pStyle w:val="9"/>
        <w:spacing w:before="0" w:beforeAutospacing="0" w:after="0" w:afterAutospacing="0" w:line="360" w:lineRule="auto"/>
        <w:ind w:firstLine="420"/>
        <w:jc w:val="both"/>
        <w:rPr>
          <w:sz w:val="21"/>
          <w:szCs w:val="21"/>
        </w:rPr>
      </w:pPr>
      <w:r>
        <w:rPr>
          <w:rFonts w:hint="eastAsia"/>
          <w:sz w:val="21"/>
          <w:szCs w:val="21"/>
        </w:rPr>
        <w:t>上述与合同成本有关的资产，账面价值高于本公司因转让与该资产相关的商品预期能够取得剩余对价与为转让该相关商品估计将要发生的成本的差额的，超出部分应当计提减值准备，并确认为资产减值损失。</w:t>
      </w:r>
    </w:p>
    <w:p w14:paraId="2C5F9394">
      <w:pPr>
        <w:pStyle w:val="9"/>
        <w:spacing w:before="0" w:beforeAutospacing="0" w:after="0" w:afterAutospacing="0" w:line="360" w:lineRule="auto"/>
        <w:ind w:firstLine="420"/>
        <w:jc w:val="both"/>
        <w:rPr>
          <w:sz w:val="21"/>
          <w:szCs w:val="21"/>
        </w:rPr>
      </w:pPr>
      <w:r>
        <w:rPr>
          <w:rFonts w:hint="eastAsia"/>
          <w:sz w:val="21"/>
          <w:szCs w:val="21"/>
        </w:rPr>
        <w:t>计提减值准备后，如果以前期间减值的因素发生变化，使得上述两项差额高于该资产账面价值的，转回原已计提的资产减值准备，并计入当期损益，但转回后的资产账面价值不超过假定不计提减值准备情况下该资产在转回日的账面价值。</w:t>
      </w:r>
    </w:p>
    <w:p w14:paraId="5A8721A9">
      <w:pPr>
        <w:pStyle w:val="3"/>
        <w:spacing w:line="280" w:lineRule="exact"/>
        <w:jc w:val="left"/>
        <w:rPr>
          <w:rFonts w:ascii="宋体" w:hAnsi="宋体" w:cs="宋体"/>
          <w:b/>
          <w:bCs/>
        </w:rPr>
      </w:pPr>
      <w:bookmarkStart w:id="242" w:name="_Toc989106"/>
      <w:r>
        <w:rPr>
          <w:rFonts w:ascii="宋体" w:hAnsi="宋体" w:cs="宋体"/>
          <w:b/>
          <w:bCs/>
        </w:rPr>
        <w:t>39、政府补助</w:t>
      </w:r>
      <w:bookmarkEnd w:id="242"/>
    </w:p>
    <w:p w14:paraId="33C13866">
      <w:pPr>
        <w:widowControl/>
        <w:numPr>
          <w:ilvl w:val="0"/>
          <w:numId w:val="102"/>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类型</w:t>
      </w:r>
    </w:p>
    <w:p w14:paraId="3BAB8879">
      <w:pPr>
        <w:pStyle w:val="9"/>
        <w:spacing w:before="0" w:beforeAutospacing="0" w:after="0" w:afterAutospacing="0" w:line="360" w:lineRule="auto"/>
        <w:ind w:firstLine="420"/>
        <w:jc w:val="both"/>
        <w:rPr>
          <w:sz w:val="21"/>
          <w:szCs w:val="21"/>
        </w:rPr>
      </w:pPr>
      <w:bookmarkStart w:id="243" w:name="OLE_LINK49"/>
      <w:bookmarkEnd w:id="243"/>
      <w:r>
        <w:rPr>
          <w:rFonts w:hint="eastAsia"/>
          <w:sz w:val="21"/>
          <w:szCs w:val="21"/>
        </w:rPr>
        <w:t>政府补助，是本公司从政府无偿取得的货币性资产与非货币性资产。政府补助分为与资产相关的政府补助和与收益相关的政府补助。</w:t>
      </w:r>
    </w:p>
    <w:p w14:paraId="5EEFBD2D">
      <w:pPr>
        <w:pStyle w:val="9"/>
        <w:spacing w:before="0" w:beforeAutospacing="0" w:after="0" w:afterAutospacing="0" w:line="360" w:lineRule="auto"/>
        <w:ind w:firstLine="420"/>
        <w:jc w:val="both"/>
        <w:rPr>
          <w:sz w:val="21"/>
          <w:szCs w:val="21"/>
        </w:rPr>
      </w:pPr>
      <w:r>
        <w:rPr>
          <w:rFonts w:hint="eastAsia"/>
          <w:sz w:val="21"/>
          <w:szCs w:val="21"/>
        </w:rPr>
        <w:t>根据相关政府文件规定的补助对象，将政府补助划分为与资产相关的政府补助和与收益相关的政府补助。本公司将所取得的用于购建或以其他方式形成长期资产的政府补助界定为与资产相关的政府补助；其余政府补助界定为与收益相关的政府补助。若政府文件未明确规定补助对象，则采用以下方式将补助款划分为与收益相关的政府补助和与资产相关的政府补助：（</w:t>
      </w:r>
      <w:r>
        <w:rPr>
          <w:rFonts w:ascii="Arial" w:hAnsi="Arial" w:cs="Arial"/>
          <w:sz w:val="21"/>
          <w:szCs w:val="21"/>
        </w:rPr>
        <w:t>1</w:t>
      </w:r>
      <w:r>
        <w:rPr>
          <w:rFonts w:hint="eastAsia"/>
          <w:sz w:val="21"/>
          <w:szCs w:val="21"/>
        </w:rPr>
        <w:t>）政府文件明确了补助所针对的特定项目的，根据该特定项目的预算中将形成资产的支出金额和计入费用的支出金额的相对比例进行划分，对该划分比例需在每个资产负债表日进行复核，必要时进行变更；（</w:t>
      </w:r>
      <w:r>
        <w:rPr>
          <w:rFonts w:ascii="Arial" w:hAnsi="Arial" w:cs="Arial"/>
          <w:sz w:val="21"/>
          <w:szCs w:val="21"/>
        </w:rPr>
        <w:t>2</w:t>
      </w:r>
      <w:r>
        <w:rPr>
          <w:rFonts w:hint="eastAsia"/>
          <w:sz w:val="21"/>
          <w:szCs w:val="21"/>
        </w:rPr>
        <w:t>）政府文件中对用途仅作一般性表述，没有指明特定项目的，作为与收益相关的政府补助。</w:t>
      </w:r>
    </w:p>
    <w:p w14:paraId="224AF880">
      <w:pPr>
        <w:widowControl/>
        <w:numPr>
          <w:ilvl w:val="0"/>
          <w:numId w:val="103"/>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政府补助的确认</w:t>
      </w:r>
    </w:p>
    <w:p w14:paraId="65CF4466">
      <w:pPr>
        <w:pStyle w:val="9"/>
        <w:spacing w:before="0" w:beforeAutospacing="0" w:after="0" w:afterAutospacing="0" w:line="360" w:lineRule="auto"/>
        <w:ind w:firstLine="420"/>
        <w:jc w:val="both"/>
        <w:rPr>
          <w:sz w:val="21"/>
          <w:szCs w:val="21"/>
        </w:rPr>
      </w:pPr>
      <w:r>
        <w:rPr>
          <w:rFonts w:hint="eastAsia"/>
          <w:sz w:val="21"/>
          <w:szCs w:val="21"/>
        </w:rPr>
        <w:t>对期末有证据表明本公司能够符合财政扶持政策规定的相关条件且预计能够收到财政扶持资金的，按应收金额确认政府补助。除此之外，政府补助均在实际收到时确认。</w:t>
      </w:r>
    </w:p>
    <w:p w14:paraId="7C535527">
      <w:pPr>
        <w:pStyle w:val="9"/>
        <w:spacing w:before="0" w:beforeAutospacing="0" w:after="0" w:afterAutospacing="0" w:line="360" w:lineRule="auto"/>
        <w:ind w:firstLine="420"/>
        <w:jc w:val="both"/>
        <w:rPr>
          <w:sz w:val="21"/>
          <w:szCs w:val="21"/>
        </w:rPr>
      </w:pPr>
      <w:r>
        <w:rPr>
          <w:rFonts w:hint="eastAsia"/>
          <w:sz w:val="21"/>
          <w:szCs w:val="21"/>
        </w:rPr>
        <w:t>政府补助为货币性资产的，按照收到或应收的金额计量。政府补助为非货币性资产的，按照公允价值计量；公允价值不能够可靠取得的，按照名义金额（人民币</w:t>
      </w:r>
      <w:r>
        <w:rPr>
          <w:rFonts w:ascii="Arial" w:hAnsi="Arial" w:cs="Arial"/>
          <w:sz w:val="21"/>
          <w:szCs w:val="21"/>
        </w:rPr>
        <w:t>1</w:t>
      </w:r>
      <w:r>
        <w:rPr>
          <w:rFonts w:hint="eastAsia"/>
          <w:sz w:val="21"/>
          <w:szCs w:val="21"/>
        </w:rPr>
        <w:t>元）计量。按照名义金额计量的政府补助，直接计入当期损益。</w:t>
      </w:r>
    </w:p>
    <w:p w14:paraId="67F74BF4">
      <w:pPr>
        <w:widowControl/>
        <w:numPr>
          <w:ilvl w:val="0"/>
          <w:numId w:val="104"/>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会计处理方法</w:t>
      </w:r>
    </w:p>
    <w:p w14:paraId="6B46F112">
      <w:pPr>
        <w:pStyle w:val="9"/>
        <w:spacing w:before="0" w:beforeAutospacing="0" w:after="0" w:afterAutospacing="0" w:line="360" w:lineRule="auto"/>
        <w:ind w:firstLine="420"/>
        <w:jc w:val="both"/>
        <w:rPr>
          <w:sz w:val="21"/>
          <w:szCs w:val="21"/>
        </w:rPr>
      </w:pPr>
      <w:r>
        <w:rPr>
          <w:rFonts w:hint="eastAsia"/>
          <w:sz w:val="21"/>
          <w:szCs w:val="21"/>
        </w:rPr>
        <w:t>本公司根据经济业务的实质，确定某一类政府补助业务应当采用总额法还是净额法进行会计处理。通常情况下，本公司对于同类或类似政府补助业务只选用一种方法，且对该业务一贯地运用该方法。</w:t>
      </w:r>
    </w:p>
    <w:p w14:paraId="51CE9765">
      <w:pPr>
        <w:pStyle w:val="9"/>
        <w:spacing w:before="0" w:beforeAutospacing="0" w:after="0" w:afterAutospacing="0" w:line="360" w:lineRule="auto"/>
        <w:ind w:firstLine="420"/>
        <w:jc w:val="both"/>
        <w:rPr>
          <w:sz w:val="21"/>
          <w:szCs w:val="21"/>
        </w:rPr>
      </w:pPr>
      <w:r>
        <w:rPr>
          <w:rFonts w:ascii="Arial" w:hAnsi="Arial" w:cs="Arial"/>
          <w:sz w:val="21"/>
          <w:szCs w:val="21"/>
        </w:rPr>
        <w:t xml:space="preserve">    </w:t>
      </w:r>
      <w:r>
        <w:rPr>
          <w:rFonts w:hint="eastAsia"/>
          <w:sz w:val="21"/>
          <w:szCs w:val="21"/>
        </w:rPr>
        <w:t>与资产相关的政府补助，应当冲减相关资产的账面价值或确认为递延收益。与资产相关的政府补助确认为递延收益的，在所建造或购买资产使用寿命内按照合理、系统的方法分期计入损益。</w:t>
      </w:r>
    </w:p>
    <w:p w14:paraId="46475F23">
      <w:pPr>
        <w:pStyle w:val="9"/>
        <w:spacing w:before="0" w:beforeAutospacing="0" w:after="0" w:afterAutospacing="0" w:line="360" w:lineRule="auto"/>
        <w:ind w:firstLine="420"/>
        <w:jc w:val="both"/>
        <w:rPr>
          <w:sz w:val="21"/>
          <w:szCs w:val="21"/>
        </w:rPr>
      </w:pPr>
      <w:r>
        <w:rPr>
          <w:rFonts w:hint="eastAsia"/>
          <w:sz w:val="21"/>
          <w:szCs w:val="21"/>
        </w:rPr>
        <w:t>与收益相关的政府补助，用于补偿企业以后期间的相关费用或损失的，确认为递延收益，在确认相关费用或损失的期间计入当期损益或冲减相关成本；用于补偿企业已发生的相关费用或损失的，取得时直接计入当期损益或冲减相关成本。</w:t>
      </w:r>
    </w:p>
    <w:p w14:paraId="4073A281">
      <w:pPr>
        <w:pStyle w:val="9"/>
        <w:spacing w:before="0" w:beforeAutospacing="0" w:after="0" w:afterAutospacing="0" w:line="360" w:lineRule="auto"/>
        <w:ind w:firstLine="420"/>
        <w:jc w:val="both"/>
        <w:rPr>
          <w:sz w:val="21"/>
          <w:szCs w:val="21"/>
        </w:rPr>
      </w:pPr>
      <w:r>
        <w:rPr>
          <w:rFonts w:hint="eastAsia"/>
          <w:sz w:val="21"/>
          <w:szCs w:val="21"/>
        </w:rPr>
        <w:t>与企业日常活动相关的政府补助计入其他收益或冲减相关成本费用；与企业日常活动无关的政府补助计入营业外收支。</w:t>
      </w:r>
    </w:p>
    <w:p w14:paraId="5F47F26C">
      <w:pPr>
        <w:pStyle w:val="9"/>
        <w:spacing w:before="0" w:beforeAutospacing="0" w:after="0" w:afterAutospacing="0" w:line="360" w:lineRule="auto"/>
        <w:ind w:firstLine="420"/>
        <w:jc w:val="both"/>
        <w:rPr>
          <w:sz w:val="21"/>
          <w:szCs w:val="21"/>
        </w:rPr>
      </w:pPr>
      <w:r>
        <w:rPr>
          <w:rFonts w:hint="eastAsia"/>
          <w:sz w:val="21"/>
          <w:szCs w:val="21"/>
        </w:rPr>
        <w:t>收到与政策性优惠贷款贴息相关的政府补助冲减相关借款费用；取得贷款银行提供的政策性优惠利率贷款的，以实际收到的借款金额作为借款的入账价值，按照借款本金和该政策性优惠利率计算相关借款费用。</w:t>
      </w:r>
    </w:p>
    <w:p w14:paraId="7EBA1256">
      <w:pPr>
        <w:pStyle w:val="9"/>
        <w:rPr>
          <w:sz w:val="18"/>
          <w:szCs w:val="18"/>
        </w:rPr>
      </w:pPr>
      <w:r>
        <w:rPr>
          <w:rFonts w:hint="eastAsia"/>
          <w:sz w:val="21"/>
          <w:szCs w:val="21"/>
        </w:rPr>
        <w:t>已确认的政府补助需要返还时，初始确认时冲减相关资产账面价值的，调整资产账面价值；存在相关递延收益余额的，冲减相关递延收益账面余额，超出部分计入当期损益；不存在相关递延收益的，直接计入当期损益。</w:t>
      </w:r>
    </w:p>
    <w:p w14:paraId="4D03650E">
      <w:pPr>
        <w:pStyle w:val="3"/>
        <w:spacing w:line="280" w:lineRule="exact"/>
        <w:jc w:val="left"/>
        <w:rPr>
          <w:rFonts w:ascii="宋体" w:hAnsi="宋体" w:cs="宋体"/>
          <w:b/>
          <w:bCs/>
        </w:rPr>
      </w:pPr>
      <w:bookmarkStart w:id="244" w:name="_Toc989107"/>
      <w:r>
        <w:rPr>
          <w:rFonts w:ascii="宋体" w:hAnsi="宋体" w:cs="宋体"/>
          <w:b/>
          <w:bCs/>
        </w:rPr>
        <w:t>40、递延所得税资产/递延所得税负债</w:t>
      </w:r>
      <w:bookmarkEnd w:id="244"/>
    </w:p>
    <w:p w14:paraId="18472E2B">
      <w:pPr>
        <w:pStyle w:val="9"/>
        <w:spacing w:before="0" w:beforeAutospacing="0" w:after="0" w:afterAutospacing="0" w:line="360" w:lineRule="auto"/>
        <w:ind w:firstLine="420"/>
        <w:jc w:val="both"/>
        <w:rPr>
          <w:sz w:val="21"/>
          <w:szCs w:val="21"/>
        </w:rPr>
      </w:pPr>
      <w:bookmarkStart w:id="245" w:name="_Hlk216711443"/>
      <w:bookmarkEnd w:id="245"/>
      <w:r>
        <w:rPr>
          <w:rFonts w:hint="eastAsia"/>
          <w:sz w:val="21"/>
          <w:szCs w:val="21"/>
        </w:rPr>
        <w:t>递延所得税资产和递延所得税负债根据资产和负债的计税基础与其账面价值的差额</w:t>
      </w:r>
      <w:r>
        <w:rPr>
          <w:rFonts w:ascii="Arial" w:hAnsi="Arial" w:cs="Arial"/>
          <w:sz w:val="21"/>
          <w:szCs w:val="21"/>
        </w:rPr>
        <w:t>(</w:t>
      </w:r>
      <w:r>
        <w:rPr>
          <w:rFonts w:hint="eastAsia"/>
          <w:sz w:val="21"/>
          <w:szCs w:val="21"/>
        </w:rPr>
        <w:t>暂时性差异</w:t>
      </w:r>
      <w:r>
        <w:rPr>
          <w:rFonts w:ascii="Arial" w:hAnsi="Arial" w:cs="Arial"/>
          <w:sz w:val="21"/>
          <w:szCs w:val="21"/>
        </w:rPr>
        <w:t>)</w:t>
      </w:r>
      <w:r>
        <w:rPr>
          <w:rFonts w:hint="eastAsia"/>
          <w:sz w:val="21"/>
          <w:szCs w:val="21"/>
        </w:rPr>
        <w:t>计算确认。于资产负债表日，递延所得税资产和递延所得税负债，按照预期收回该资产或清偿该负债期间的适用税率计量。</w:t>
      </w:r>
    </w:p>
    <w:p w14:paraId="0153251F">
      <w:pPr>
        <w:widowControl/>
        <w:numPr>
          <w:ilvl w:val="0"/>
          <w:numId w:val="105"/>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确认递延所得税资产的依据</w:t>
      </w:r>
    </w:p>
    <w:p w14:paraId="1A561782">
      <w:pPr>
        <w:pStyle w:val="9"/>
        <w:spacing w:before="0" w:beforeAutospacing="0" w:after="0" w:afterAutospacing="0" w:line="360" w:lineRule="auto"/>
        <w:ind w:firstLine="420"/>
        <w:jc w:val="both"/>
        <w:rPr>
          <w:sz w:val="21"/>
          <w:szCs w:val="21"/>
        </w:rPr>
      </w:pPr>
      <w:bookmarkStart w:id="246" w:name="OLE_LINK50"/>
      <w:bookmarkEnd w:id="246"/>
      <w:r>
        <w:rPr>
          <w:rFonts w:hint="eastAsia"/>
          <w:sz w:val="21"/>
          <w:szCs w:val="21"/>
        </w:rPr>
        <w:t>本公司以很可能取得用来抵扣可抵扣暂时性差异、能够结转以后年度的可抵扣亏损和税款抵减的应纳税所得额为限，确认由可抵扣暂时性差异产生的递延所得税资产。但是，同时具有下列特征的交易中因资产或负债的初始确认所产生的递延所得税资产不予确认：（</w:t>
      </w:r>
      <w:r>
        <w:rPr>
          <w:rFonts w:ascii="Arial" w:hAnsi="Arial" w:cs="Arial"/>
          <w:sz w:val="21"/>
          <w:szCs w:val="21"/>
        </w:rPr>
        <w:t>1</w:t>
      </w:r>
      <w:r>
        <w:rPr>
          <w:rFonts w:hint="eastAsia"/>
          <w:sz w:val="21"/>
          <w:szCs w:val="21"/>
        </w:rPr>
        <w:t>）该交易不是企业合并；（</w:t>
      </w:r>
      <w:r>
        <w:rPr>
          <w:rFonts w:ascii="Arial" w:hAnsi="Arial" w:cs="Arial"/>
          <w:sz w:val="21"/>
          <w:szCs w:val="21"/>
        </w:rPr>
        <w:t>2</w:t>
      </w:r>
      <w:r>
        <w:rPr>
          <w:rFonts w:hint="eastAsia"/>
          <w:sz w:val="21"/>
          <w:szCs w:val="21"/>
        </w:rPr>
        <w:t>）交易发生时既不影响会计利润也不影响应纳税所得额或可抵扣亏损。</w:t>
      </w:r>
    </w:p>
    <w:p w14:paraId="3AE38493">
      <w:pPr>
        <w:pStyle w:val="9"/>
        <w:spacing w:before="0" w:beforeAutospacing="0" w:after="0" w:afterAutospacing="0" w:line="360" w:lineRule="auto"/>
        <w:ind w:firstLine="420"/>
        <w:jc w:val="both"/>
        <w:rPr>
          <w:sz w:val="21"/>
          <w:szCs w:val="21"/>
        </w:rPr>
      </w:pPr>
      <w:r>
        <w:rPr>
          <w:rFonts w:hint="eastAsia"/>
          <w:sz w:val="21"/>
          <w:szCs w:val="21"/>
        </w:rPr>
        <w:t>对于与联营企业投资相关的可抵扣暂时性差异，同时满足下列条件的，确认相应的递延所得税资产：暂时性差异在可预见的未来很可能转回，且未来很可能获得用来抵扣可抵扣暂时性差异的应纳税所得额。</w:t>
      </w:r>
    </w:p>
    <w:p w14:paraId="4540A64E">
      <w:pPr>
        <w:widowControl/>
        <w:numPr>
          <w:ilvl w:val="0"/>
          <w:numId w:val="106"/>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确认递延所得税负债的依据</w:t>
      </w:r>
    </w:p>
    <w:p w14:paraId="20D24E95">
      <w:pPr>
        <w:pStyle w:val="9"/>
        <w:spacing w:before="0" w:beforeAutospacing="0" w:after="0" w:afterAutospacing="0" w:line="360" w:lineRule="auto"/>
        <w:ind w:firstLine="420"/>
        <w:jc w:val="both"/>
        <w:rPr>
          <w:sz w:val="21"/>
          <w:szCs w:val="21"/>
        </w:rPr>
      </w:pPr>
      <w:bookmarkStart w:id="247" w:name="_Hlk216711574"/>
      <w:bookmarkEnd w:id="247"/>
      <w:r>
        <w:rPr>
          <w:rFonts w:hint="eastAsia"/>
          <w:sz w:val="21"/>
          <w:szCs w:val="21"/>
        </w:rPr>
        <w:t>公司将当期与以前期间应交未交的应纳税暂时性差异确认为递延所得税负债。但不包括：</w:t>
      </w:r>
    </w:p>
    <w:p w14:paraId="741E3218">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1</w:t>
      </w:r>
      <w:r>
        <w:rPr>
          <w:rFonts w:hint="eastAsia"/>
          <w:sz w:val="21"/>
          <w:szCs w:val="21"/>
        </w:rPr>
        <w:t>）商誉的初始确认所形成的暂时性差异；</w:t>
      </w:r>
    </w:p>
    <w:p w14:paraId="1897156B">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2</w:t>
      </w:r>
      <w:r>
        <w:rPr>
          <w:rFonts w:hint="eastAsia"/>
          <w:sz w:val="21"/>
          <w:szCs w:val="21"/>
        </w:rPr>
        <w:t>）非企业合并形成的交易或事项，且该交易或事项发生时既不影响会计利润，也不影响应纳税所得额（或可抵扣亏损）所形成的暂时性差异；</w:t>
      </w:r>
    </w:p>
    <w:p w14:paraId="38D914C0">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3</w:t>
      </w:r>
      <w:r>
        <w:rPr>
          <w:rFonts w:hint="eastAsia"/>
          <w:sz w:val="21"/>
          <w:szCs w:val="21"/>
        </w:rPr>
        <w:t>）对于与子公司、联营企业投资相关的应纳税暂时性差异，该暂时性差异转回的时间能够控制并且该暂时性差异在可预见的未来很可能不会转回。</w:t>
      </w:r>
    </w:p>
    <w:p w14:paraId="29F3FDBD">
      <w:pPr>
        <w:widowControl/>
        <w:numPr>
          <w:ilvl w:val="0"/>
          <w:numId w:val="107"/>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Fonts w:hint="eastAsia"/>
          <w:sz w:val="18"/>
          <w:szCs w:val="18"/>
        </w:rPr>
        <w:t>同时满足下列条件时，将递延所得税资产及递延所得税负债以抵销后的净额列示</w:t>
      </w:r>
    </w:p>
    <w:p w14:paraId="4DEB70C4">
      <w:pPr>
        <w:pStyle w:val="9"/>
        <w:spacing w:before="0" w:beforeAutospacing="0" w:after="0" w:afterAutospacing="0" w:line="360" w:lineRule="auto"/>
        <w:ind w:firstLine="420"/>
        <w:jc w:val="both"/>
        <w:rPr>
          <w:sz w:val="21"/>
          <w:szCs w:val="21"/>
        </w:rPr>
      </w:pPr>
      <w:r>
        <w:rPr>
          <w:rFonts w:hint="eastAsia"/>
          <w:sz w:val="21"/>
          <w:szCs w:val="21"/>
        </w:rPr>
        <w:t>（</w:t>
      </w:r>
      <w:r>
        <w:rPr>
          <w:rFonts w:ascii="Arial" w:hAnsi="Arial" w:cs="Arial"/>
          <w:sz w:val="21"/>
          <w:szCs w:val="21"/>
        </w:rPr>
        <w:t>1</w:t>
      </w:r>
      <w:r>
        <w:rPr>
          <w:rFonts w:hint="eastAsia"/>
          <w:sz w:val="21"/>
          <w:szCs w:val="21"/>
        </w:rPr>
        <w:t>）企业拥有以净额结算当期所得税资产及当期所得税负债的法定权利；</w:t>
      </w:r>
    </w:p>
    <w:p w14:paraId="778D47DC">
      <w:pPr>
        <w:pStyle w:val="9"/>
        <w:spacing w:before="0" w:beforeAutospacing="0" w:after="0" w:afterAutospacing="0" w:line="360" w:lineRule="auto"/>
        <w:ind w:firstLine="424"/>
        <w:jc w:val="both"/>
        <w:rPr>
          <w:sz w:val="21"/>
          <w:szCs w:val="21"/>
        </w:rPr>
      </w:pPr>
      <w:r>
        <w:rPr>
          <w:rFonts w:hint="eastAsia"/>
          <w:sz w:val="21"/>
          <w:szCs w:val="21"/>
        </w:rPr>
        <w:t>（</w:t>
      </w:r>
      <w:r>
        <w:rPr>
          <w:rFonts w:ascii="Arial" w:hAnsi="Arial" w:cs="Arial"/>
          <w:sz w:val="21"/>
          <w:szCs w:val="21"/>
        </w:rPr>
        <w:t>2</w:t>
      </w:r>
      <w:r>
        <w:rPr>
          <w:rFonts w:hint="eastAsia"/>
          <w:sz w:val="21"/>
          <w:szCs w:val="21"/>
        </w:rPr>
        <w:t>）递延所得税资产和递延所得税负债是与同一税收征管部门对同一纳税主体征收的所得税相关或者对不同的纳税主体相关，但在未来每一具有重要性的递延所得税资产和递延所得税负债转回的期间内，涉及的纳税主体体意图以净额结算当期所得税资产及当期所得税负债或是同时取得资产、清偿债务。</w:t>
      </w:r>
    </w:p>
    <w:p w14:paraId="5FB277EC">
      <w:pPr>
        <w:pStyle w:val="3"/>
        <w:spacing w:line="280" w:lineRule="exact"/>
        <w:jc w:val="left"/>
        <w:rPr>
          <w:rFonts w:ascii="宋体" w:hAnsi="宋体" w:cs="宋体"/>
          <w:b/>
          <w:bCs/>
        </w:rPr>
      </w:pPr>
      <w:bookmarkStart w:id="248" w:name="_Toc989108"/>
      <w:r>
        <w:rPr>
          <w:rFonts w:ascii="宋体" w:hAnsi="宋体" w:cs="宋体"/>
          <w:b/>
          <w:bCs/>
        </w:rPr>
        <w:t>41、租赁</w:t>
      </w:r>
      <w:bookmarkEnd w:id="248"/>
    </w:p>
    <w:p w14:paraId="43F9F759">
      <w:pPr>
        <w:keepNext/>
        <w:keepLines/>
        <w:spacing w:before="300" w:after="300" w:line="280" w:lineRule="exact"/>
        <w:outlineLvl w:val="3"/>
        <w:rPr>
          <w:rFonts w:ascii="宋体" w:hAnsi="宋体" w:eastAsia="宋体" w:cs="宋体"/>
          <w:b/>
          <w:bCs/>
          <w:szCs w:val="21"/>
        </w:rPr>
      </w:pPr>
      <w:bookmarkStart w:id="249" w:name="_Toc989109"/>
      <w:r>
        <w:rPr>
          <w:rFonts w:ascii="宋体" w:hAnsi="宋体" w:eastAsia="宋体" w:cs="宋体"/>
          <w:b/>
          <w:bCs/>
          <w:szCs w:val="21"/>
        </w:rPr>
        <w:t>（1） 作为承租方租赁的会计处理方法</w:t>
      </w:r>
      <w:bookmarkEnd w:id="249"/>
    </w:p>
    <w:p w14:paraId="10F3BE43">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在租赁期开始日，除应用简化处理的短期租赁和低价值资产租赁外，本公司对租赁确认使用权资产和租赁负债。</w:t>
      </w:r>
    </w:p>
    <w:p w14:paraId="686A03C4">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w:t>
      </w:r>
      <w:r>
        <w:rPr>
          <w:rFonts w:ascii="Arial" w:hAnsi="Arial" w:cs="Arial"/>
          <w:sz w:val="21"/>
          <w:szCs w:val="21"/>
        </w:rPr>
        <w:t>1</w:t>
      </w:r>
      <w:r>
        <w:rPr>
          <w:rFonts w:hint="eastAsia" w:cs="Times New Roman"/>
          <w:sz w:val="21"/>
          <w:szCs w:val="21"/>
        </w:rPr>
        <w:t>）短期租赁和低价值资产租赁</w:t>
      </w:r>
    </w:p>
    <w:p w14:paraId="5BE28640">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短期租赁是指不包含购买选择权且租赁期不超过</w:t>
      </w:r>
      <w:r>
        <w:rPr>
          <w:rFonts w:ascii="Arial" w:hAnsi="Arial" w:cs="Arial"/>
          <w:sz w:val="21"/>
          <w:szCs w:val="21"/>
        </w:rPr>
        <w:t>12</w:t>
      </w:r>
      <w:r>
        <w:rPr>
          <w:rFonts w:hint="eastAsia" w:cs="Times New Roman"/>
          <w:sz w:val="21"/>
          <w:szCs w:val="21"/>
        </w:rPr>
        <w:t>个月的租赁。低价值资产租赁是指单项租赁资产为全新资产时价值较低的租赁，主要包括员工宿舍租赁。</w:t>
      </w:r>
    </w:p>
    <w:p w14:paraId="3FF0F483">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本公司对以下短期租赁和低价值资产租赁不确认使用权资产和租赁负债，相关租赁付款额在租赁期内各个期间按照直线法入相关资产成本或当期损益【如适用】。</w:t>
      </w:r>
    </w:p>
    <w:tbl>
      <w:tblPr>
        <w:tblStyle w:val="10"/>
        <w:tblW w:w="9606" w:type="dxa"/>
        <w:tblInd w:w="0" w:type="dxa"/>
        <w:tblLayout w:type="autofit"/>
        <w:tblCellMar>
          <w:top w:w="0" w:type="dxa"/>
          <w:left w:w="0" w:type="dxa"/>
          <w:bottom w:w="0" w:type="dxa"/>
          <w:right w:w="0" w:type="dxa"/>
        </w:tblCellMar>
      </w:tblPr>
      <w:tblGrid>
        <w:gridCol w:w="1844"/>
        <w:gridCol w:w="7762"/>
      </w:tblGrid>
      <w:tr w14:paraId="52448D7C">
        <w:tblPrEx>
          <w:tblCellMar>
            <w:top w:w="0" w:type="dxa"/>
            <w:left w:w="0" w:type="dxa"/>
            <w:bottom w:w="0" w:type="dxa"/>
            <w:right w:w="0" w:type="dxa"/>
          </w:tblCellMar>
        </w:tblPrEx>
        <w:trPr>
          <w:trHeight w:val="340" w:hRule="atLeast"/>
        </w:trPr>
        <w:tc>
          <w:tcPr>
            <w:tcW w:w="184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E28AC9">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项目</w:t>
            </w:r>
          </w:p>
        </w:tc>
        <w:tc>
          <w:tcPr>
            <w:tcW w:w="776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5BD1BEF">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采用简化处理的租赁资产类别</w:t>
            </w:r>
          </w:p>
        </w:tc>
      </w:tr>
      <w:tr w14:paraId="17E0A496">
        <w:tblPrEx>
          <w:tblCellMar>
            <w:top w:w="0" w:type="dxa"/>
            <w:left w:w="0" w:type="dxa"/>
            <w:bottom w:w="0" w:type="dxa"/>
            <w:right w:w="0" w:type="dxa"/>
          </w:tblCellMar>
        </w:tblPrEx>
        <w:trPr>
          <w:trHeight w:val="340" w:hRule="atLeast"/>
        </w:trPr>
        <w:tc>
          <w:tcPr>
            <w:tcW w:w="184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E4EC13">
            <w:pPr>
              <w:pStyle w:val="9"/>
              <w:spacing w:before="0" w:beforeAutospacing="0" w:after="0" w:afterAutospacing="0"/>
              <w:rPr>
                <w:rFonts w:ascii="Times New Roman" w:hAnsi="Times New Roman" w:cs="Times New Roman"/>
                <w:sz w:val="21"/>
                <w:szCs w:val="21"/>
              </w:rPr>
            </w:pPr>
            <w:r>
              <w:rPr>
                <w:rFonts w:hint="eastAsia" w:cs="Times New Roman"/>
                <w:sz w:val="18"/>
                <w:szCs w:val="18"/>
              </w:rPr>
              <w:t>短期租赁</w:t>
            </w:r>
          </w:p>
        </w:tc>
        <w:tc>
          <w:tcPr>
            <w:tcW w:w="7762" w:type="dxa"/>
            <w:tcBorders>
              <w:top w:val="nil"/>
              <w:left w:val="nil"/>
              <w:bottom w:val="single" w:color="auto" w:sz="8" w:space="0"/>
              <w:right w:val="single" w:color="auto" w:sz="8" w:space="0"/>
            </w:tcBorders>
            <w:tcMar>
              <w:top w:w="0" w:type="dxa"/>
              <w:left w:w="108" w:type="dxa"/>
              <w:bottom w:w="0" w:type="dxa"/>
              <w:right w:w="108" w:type="dxa"/>
            </w:tcMar>
            <w:vAlign w:val="center"/>
          </w:tcPr>
          <w:p w14:paraId="37E6928A">
            <w:pPr>
              <w:pStyle w:val="9"/>
              <w:spacing w:before="0" w:beforeAutospacing="0" w:after="0" w:afterAutospacing="0"/>
              <w:jc w:val="right"/>
              <w:rPr>
                <w:rFonts w:ascii="Times New Roman" w:hAnsi="Times New Roman" w:cs="Times New Roman"/>
                <w:sz w:val="21"/>
                <w:szCs w:val="21"/>
              </w:rPr>
            </w:pPr>
            <w:r>
              <w:rPr>
                <w:rFonts w:hint="eastAsia" w:cs="Times New Roman"/>
                <w:sz w:val="18"/>
                <w:szCs w:val="18"/>
              </w:rPr>
              <w:t>租赁期在1年及以下的租赁</w:t>
            </w:r>
          </w:p>
        </w:tc>
      </w:tr>
    </w:tbl>
    <w:p w14:paraId="7D8A95E7">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本公司对除上述以外的短期租赁和低价值资产租赁确认使用权资产和租赁负债【如适用】。</w:t>
      </w:r>
    </w:p>
    <w:p w14:paraId="73AFC4D4">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本公司对使用权资产按照成本进行初始计量，该成本包括：</w:t>
      </w:r>
    </w:p>
    <w:p w14:paraId="661A9F46">
      <w:pPr>
        <w:widowControl/>
        <w:numPr>
          <w:ilvl w:val="5"/>
          <w:numId w:val="108"/>
        </w:numPr>
        <w:tabs>
          <w:tab w:val="left" w:pos="3544"/>
          <w:tab w:val="clear" w:pos="4320"/>
        </w:tabs>
        <w:spacing w:before="100" w:beforeAutospacing="1" w:after="100" w:afterAutospacing="1"/>
        <w:ind w:left="567"/>
        <w:rPr>
          <w:sz w:val="18"/>
          <w:szCs w:val="18"/>
        </w:rPr>
      </w:pPr>
      <w:r>
        <w:rPr>
          <w:rFonts w:hint="eastAsia"/>
          <w:sz w:val="18"/>
          <w:szCs w:val="18"/>
        </w:rPr>
        <w:t>租赁负债的初始计量金额；</w:t>
      </w:r>
    </w:p>
    <w:p w14:paraId="673955C3">
      <w:pPr>
        <w:widowControl/>
        <w:numPr>
          <w:ilvl w:val="5"/>
          <w:numId w:val="108"/>
        </w:numPr>
        <w:tabs>
          <w:tab w:val="left" w:pos="3544"/>
          <w:tab w:val="clear" w:pos="4320"/>
        </w:tabs>
        <w:spacing w:before="100" w:beforeAutospacing="1" w:after="100" w:afterAutospacing="1"/>
        <w:ind w:left="567"/>
        <w:rPr>
          <w:sz w:val="18"/>
          <w:szCs w:val="18"/>
        </w:rPr>
      </w:pPr>
      <w:r>
        <w:rPr>
          <w:rFonts w:hint="eastAsia"/>
          <w:sz w:val="18"/>
          <w:szCs w:val="18"/>
        </w:rPr>
        <w:t>在租赁期开始日或之前支付的租赁付款额，存在租赁激励的，扣除已享受的租赁激励相关金额；</w:t>
      </w:r>
    </w:p>
    <w:p w14:paraId="2F0479BA">
      <w:pPr>
        <w:widowControl/>
        <w:numPr>
          <w:ilvl w:val="5"/>
          <w:numId w:val="108"/>
        </w:numPr>
        <w:tabs>
          <w:tab w:val="left" w:pos="3544"/>
          <w:tab w:val="clear" w:pos="4320"/>
        </w:tabs>
        <w:spacing w:before="100" w:beforeAutospacing="1" w:after="100" w:afterAutospacing="1"/>
        <w:ind w:left="567"/>
        <w:rPr>
          <w:sz w:val="18"/>
          <w:szCs w:val="18"/>
        </w:rPr>
      </w:pPr>
      <w:r>
        <w:rPr>
          <w:rFonts w:hint="eastAsia"/>
          <w:sz w:val="18"/>
          <w:szCs w:val="18"/>
        </w:rPr>
        <w:t>本公司发生的初始直接费用；</w:t>
      </w:r>
    </w:p>
    <w:p w14:paraId="08078E86">
      <w:pPr>
        <w:widowControl/>
        <w:numPr>
          <w:ilvl w:val="5"/>
          <w:numId w:val="108"/>
        </w:numPr>
        <w:tabs>
          <w:tab w:val="left" w:pos="3544"/>
          <w:tab w:val="clear" w:pos="4320"/>
        </w:tabs>
        <w:spacing w:before="100" w:beforeAutospacing="1" w:after="100" w:afterAutospacing="1"/>
        <w:ind w:left="567"/>
        <w:rPr>
          <w:sz w:val="18"/>
          <w:szCs w:val="18"/>
        </w:rPr>
      </w:pPr>
      <w:r>
        <w:rPr>
          <w:rFonts w:hint="eastAsia"/>
          <w:sz w:val="18"/>
          <w:szCs w:val="18"/>
        </w:rPr>
        <w:t>本公司为拆卸及移除租赁资产、复原租赁资产所在场地或将租赁资产恢复至租赁条款约定状态预计将发生的成本（不包括为生产存货而发生的成本）。</w:t>
      </w:r>
    </w:p>
    <w:p w14:paraId="3B964D90">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在租赁期开始日后，本公司采用成本模式对使用权资产进行后续计量。</w:t>
      </w:r>
    </w:p>
    <w:p w14:paraId="2338C376">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能够合理确定租赁期届满时取得租赁资产所有权的，本公司在租赁资产剩余使用寿命内计提折旧。无法合理确定租赁期届满时能够取得租赁资产所有权的，本公司在租赁期与租赁资产剩余使用寿命两者孰短的期间内计提折旧。对计提了减值准备的使用权资产，则在未来期间按扣除减值准备后的账面价值参照上述原则计提折旧。</w:t>
      </w:r>
    </w:p>
    <w:p w14:paraId="1E64E2FB">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本公司按照《企业会计准则第</w:t>
      </w:r>
      <w:r>
        <w:rPr>
          <w:rFonts w:ascii="Arial" w:hAnsi="Arial" w:cs="Arial"/>
          <w:sz w:val="21"/>
          <w:szCs w:val="21"/>
        </w:rPr>
        <w:t>8</w:t>
      </w:r>
      <w:r>
        <w:rPr>
          <w:rFonts w:hint="eastAsia" w:cs="Times New Roman"/>
          <w:sz w:val="21"/>
          <w:szCs w:val="21"/>
        </w:rPr>
        <w:t>号——资产减值》的规定来确定使用权资产是否已发生减值，并对已识别的减值损失进行会计处理。具体详见本附注30.长期资产减值</w:t>
      </w:r>
    </w:p>
    <w:p w14:paraId="384B37B3">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本公司对租赁负债按照租赁期开始日尚未支付的租赁付款额的现值进行初始计量。在计算租赁付款额的现值时，本公司采用租赁内含利率作为折现率；无法确定租赁内含利率的，采用本公司增量借款利率作为折现率。租赁付款额包括：</w:t>
      </w:r>
    </w:p>
    <w:p w14:paraId="14517871">
      <w:pPr>
        <w:widowControl/>
        <w:numPr>
          <w:ilvl w:val="5"/>
          <w:numId w:val="109"/>
        </w:numPr>
        <w:tabs>
          <w:tab w:val="left" w:pos="4111"/>
          <w:tab w:val="clear" w:pos="4320"/>
        </w:tabs>
        <w:spacing w:before="100" w:beforeAutospacing="1" w:after="100" w:afterAutospacing="1"/>
        <w:ind w:left="567"/>
        <w:rPr>
          <w:sz w:val="18"/>
          <w:szCs w:val="18"/>
        </w:rPr>
      </w:pPr>
      <w:r>
        <w:rPr>
          <w:rFonts w:hint="eastAsia"/>
          <w:sz w:val="18"/>
          <w:szCs w:val="18"/>
        </w:rPr>
        <w:t>扣除租赁激励相关金额后的固定付款额及实质固定付款额；</w:t>
      </w:r>
    </w:p>
    <w:p w14:paraId="291FA564">
      <w:pPr>
        <w:widowControl/>
        <w:numPr>
          <w:ilvl w:val="5"/>
          <w:numId w:val="109"/>
        </w:numPr>
        <w:tabs>
          <w:tab w:val="left" w:pos="4111"/>
          <w:tab w:val="clear" w:pos="4320"/>
        </w:tabs>
        <w:spacing w:before="100" w:beforeAutospacing="1" w:after="100" w:afterAutospacing="1"/>
        <w:ind w:left="567"/>
        <w:rPr>
          <w:sz w:val="18"/>
          <w:szCs w:val="18"/>
        </w:rPr>
      </w:pPr>
      <w:r>
        <w:rPr>
          <w:rFonts w:hint="eastAsia"/>
          <w:sz w:val="18"/>
          <w:szCs w:val="18"/>
        </w:rPr>
        <w:t>取决于指数或比率的可变租赁付款额；</w:t>
      </w:r>
    </w:p>
    <w:p w14:paraId="4F9E66D3">
      <w:pPr>
        <w:widowControl/>
        <w:numPr>
          <w:ilvl w:val="5"/>
          <w:numId w:val="109"/>
        </w:numPr>
        <w:tabs>
          <w:tab w:val="left" w:pos="4111"/>
          <w:tab w:val="clear" w:pos="4320"/>
        </w:tabs>
        <w:spacing w:before="100" w:beforeAutospacing="1" w:after="100" w:afterAutospacing="1"/>
        <w:ind w:left="567"/>
        <w:rPr>
          <w:sz w:val="18"/>
          <w:szCs w:val="18"/>
        </w:rPr>
      </w:pPr>
      <w:r>
        <w:rPr>
          <w:rFonts w:hint="eastAsia"/>
          <w:sz w:val="18"/>
          <w:szCs w:val="18"/>
        </w:rPr>
        <w:t>在本公司合理确定将行使该选择权的情况下，租赁付款额包括购买选择权的行权价格；</w:t>
      </w:r>
    </w:p>
    <w:p w14:paraId="5D2DFD27">
      <w:pPr>
        <w:widowControl/>
        <w:numPr>
          <w:ilvl w:val="5"/>
          <w:numId w:val="109"/>
        </w:numPr>
        <w:tabs>
          <w:tab w:val="left" w:pos="4111"/>
          <w:tab w:val="clear" w:pos="4320"/>
        </w:tabs>
        <w:spacing w:before="100" w:beforeAutospacing="1" w:after="100" w:afterAutospacing="1"/>
        <w:ind w:left="567"/>
        <w:rPr>
          <w:sz w:val="18"/>
          <w:szCs w:val="18"/>
        </w:rPr>
      </w:pPr>
      <w:r>
        <w:rPr>
          <w:rFonts w:hint="eastAsia"/>
          <w:sz w:val="18"/>
          <w:szCs w:val="18"/>
        </w:rPr>
        <w:t>在租赁期反映出本公司将行使终止租赁选择权的情况下，租赁付款额包括行使终止租赁选择权需支付的款项；</w:t>
      </w:r>
    </w:p>
    <w:p w14:paraId="0AB3C07B">
      <w:pPr>
        <w:widowControl/>
        <w:numPr>
          <w:ilvl w:val="5"/>
          <w:numId w:val="109"/>
        </w:numPr>
        <w:tabs>
          <w:tab w:val="left" w:pos="4111"/>
          <w:tab w:val="clear" w:pos="4320"/>
        </w:tabs>
        <w:spacing w:before="100" w:beforeAutospacing="1" w:after="100" w:afterAutospacing="1"/>
        <w:ind w:left="567"/>
        <w:rPr>
          <w:sz w:val="18"/>
          <w:szCs w:val="18"/>
        </w:rPr>
      </w:pPr>
      <w:r>
        <w:rPr>
          <w:rFonts w:hint="eastAsia"/>
          <w:sz w:val="18"/>
          <w:szCs w:val="18"/>
        </w:rPr>
        <w:t>根据本公司提供的担保余值预计应支付的款项。</w:t>
      </w:r>
    </w:p>
    <w:p w14:paraId="0B2C5837">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本公司按照固定的折现率计算租赁负债在租赁期内各期间的利息费用，并计入当期损益或相关资产成本。</w:t>
      </w:r>
    </w:p>
    <w:p w14:paraId="5EA0B642">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未纳入租赁负债计量的可变租赁付款额应当在实际发生时计入当期损益或相关资产成本。</w:t>
      </w:r>
    </w:p>
    <w:p w14:paraId="4336396C">
      <w:pPr>
        <w:keepNext/>
        <w:keepLines/>
        <w:spacing w:before="300" w:after="300" w:line="280" w:lineRule="exact"/>
        <w:outlineLvl w:val="3"/>
        <w:rPr>
          <w:rFonts w:ascii="宋体" w:hAnsi="宋体" w:eastAsia="宋体" w:cs="宋体"/>
          <w:b/>
          <w:bCs/>
          <w:szCs w:val="21"/>
        </w:rPr>
      </w:pPr>
      <w:bookmarkStart w:id="250" w:name="_Toc989110"/>
      <w:r>
        <w:rPr>
          <w:rFonts w:ascii="宋体" w:hAnsi="宋体" w:eastAsia="宋体" w:cs="宋体"/>
          <w:b/>
          <w:bCs/>
          <w:szCs w:val="21"/>
        </w:rPr>
        <w:t>（2） 作为出租方租赁的会计处理方法</w:t>
      </w:r>
      <w:bookmarkEnd w:id="250"/>
    </w:p>
    <w:p w14:paraId="4FE1FEFC">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w:t>
      </w:r>
      <w:r>
        <w:rPr>
          <w:rFonts w:ascii="Arial" w:hAnsi="Arial" w:cs="Arial"/>
          <w:sz w:val="21"/>
          <w:szCs w:val="21"/>
        </w:rPr>
        <w:t>1</w:t>
      </w:r>
      <w:r>
        <w:rPr>
          <w:rFonts w:hint="eastAsia" w:cs="Times New Roman"/>
          <w:sz w:val="21"/>
          <w:szCs w:val="21"/>
        </w:rPr>
        <w:t>）租赁的分类</w:t>
      </w:r>
    </w:p>
    <w:p w14:paraId="3FCE93AA">
      <w:pPr>
        <w:pStyle w:val="9"/>
        <w:spacing w:before="0" w:beforeAutospacing="0" w:after="0" w:afterAutospacing="0" w:line="360" w:lineRule="auto"/>
        <w:ind w:firstLine="420"/>
        <w:rPr>
          <w:rFonts w:ascii="Times New Roman" w:hAnsi="Times New Roman" w:cs="Times New Roman"/>
          <w:sz w:val="21"/>
          <w:szCs w:val="21"/>
        </w:rPr>
      </w:pPr>
      <w:bookmarkStart w:id="251" w:name="_Hlk216712022"/>
      <w:bookmarkEnd w:id="251"/>
      <w:r>
        <w:rPr>
          <w:rFonts w:hint="eastAsia" w:cs="Times New Roman"/>
          <w:sz w:val="21"/>
          <w:szCs w:val="21"/>
        </w:rPr>
        <w:t>本公司在租赁开始日将租赁分为融资租赁和经营租赁。融资租赁是指实质上转移了与租赁资产所有权有关的几乎全部风险和报酬的租赁，其所有权最终可能转移，也可能不转移。经营租赁是指除融资租赁以外的其他租赁。</w:t>
      </w:r>
    </w:p>
    <w:p w14:paraId="2E6F54C1">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一项租赁存在下列一种或多种情形的，本公司通常分类为融资租赁：</w:t>
      </w:r>
    </w:p>
    <w:p w14:paraId="279402A0">
      <w:pPr>
        <w:pStyle w:val="9"/>
        <w:spacing w:before="0" w:beforeAutospacing="0" w:after="0" w:afterAutospacing="0" w:line="360" w:lineRule="auto"/>
        <w:ind w:firstLine="420"/>
        <w:rPr>
          <w:rFonts w:ascii="Times New Roman" w:hAnsi="Times New Roman" w:cs="Times New Roman"/>
          <w:sz w:val="21"/>
          <w:szCs w:val="21"/>
        </w:rPr>
      </w:pPr>
      <w:r>
        <w:rPr>
          <w:rFonts w:ascii="Arial" w:hAnsi="Arial" w:cs="Arial"/>
          <w:sz w:val="21"/>
          <w:szCs w:val="21"/>
        </w:rPr>
        <w:t>1</w:t>
      </w:r>
      <w:r>
        <w:rPr>
          <w:rFonts w:hint="eastAsia" w:cs="Times New Roman"/>
          <w:sz w:val="21"/>
          <w:szCs w:val="21"/>
        </w:rPr>
        <w:t>）在租赁期届满时，租赁资产的所有权转移给承租人。</w:t>
      </w:r>
    </w:p>
    <w:p w14:paraId="0751C866">
      <w:pPr>
        <w:pStyle w:val="9"/>
        <w:spacing w:before="0" w:beforeAutospacing="0" w:after="0" w:afterAutospacing="0" w:line="360" w:lineRule="auto"/>
        <w:ind w:firstLine="420"/>
        <w:rPr>
          <w:rFonts w:ascii="Times New Roman" w:hAnsi="Times New Roman" w:cs="Times New Roman"/>
          <w:sz w:val="21"/>
          <w:szCs w:val="21"/>
        </w:rPr>
      </w:pPr>
      <w:r>
        <w:rPr>
          <w:rFonts w:ascii="Arial" w:hAnsi="Arial" w:cs="Arial"/>
          <w:sz w:val="21"/>
          <w:szCs w:val="21"/>
        </w:rPr>
        <w:t>2</w:t>
      </w:r>
      <w:r>
        <w:rPr>
          <w:rFonts w:hint="eastAsia" w:cs="Times New Roman"/>
          <w:sz w:val="21"/>
          <w:szCs w:val="21"/>
        </w:rPr>
        <w:t>）承租人有购买租赁资产的选择权，所订立的购买价款与预计行使选择权时租赁资产的公允价值相比足够低，因而在租赁开始日就可以合理确定承租人将行使该选择权。</w:t>
      </w:r>
    </w:p>
    <w:p w14:paraId="471FD4E6">
      <w:pPr>
        <w:pStyle w:val="9"/>
        <w:spacing w:before="0" w:beforeAutospacing="0" w:after="0" w:afterAutospacing="0" w:line="360" w:lineRule="auto"/>
        <w:ind w:firstLine="420"/>
        <w:rPr>
          <w:rFonts w:ascii="Times New Roman" w:hAnsi="Times New Roman" w:cs="Times New Roman"/>
          <w:sz w:val="21"/>
          <w:szCs w:val="21"/>
        </w:rPr>
      </w:pPr>
      <w:r>
        <w:rPr>
          <w:rFonts w:ascii="Arial" w:hAnsi="Arial" w:cs="Arial"/>
          <w:sz w:val="21"/>
          <w:szCs w:val="21"/>
        </w:rPr>
        <w:t>3</w:t>
      </w:r>
      <w:r>
        <w:rPr>
          <w:rFonts w:hint="eastAsia" w:cs="Times New Roman"/>
          <w:sz w:val="21"/>
          <w:szCs w:val="21"/>
        </w:rPr>
        <w:t>）资产的所有权虽然不转移，但租赁期占租赁资产使用寿命的大部分。</w:t>
      </w:r>
    </w:p>
    <w:p w14:paraId="05D99FE9">
      <w:pPr>
        <w:pStyle w:val="9"/>
        <w:spacing w:before="0" w:beforeAutospacing="0" w:after="0" w:afterAutospacing="0" w:line="360" w:lineRule="auto"/>
        <w:ind w:firstLine="420"/>
        <w:rPr>
          <w:rFonts w:ascii="Times New Roman" w:hAnsi="Times New Roman" w:cs="Times New Roman"/>
          <w:sz w:val="21"/>
          <w:szCs w:val="21"/>
        </w:rPr>
      </w:pPr>
      <w:r>
        <w:rPr>
          <w:rFonts w:ascii="Arial" w:hAnsi="Arial" w:cs="Arial"/>
          <w:sz w:val="21"/>
          <w:szCs w:val="21"/>
        </w:rPr>
        <w:t>4</w:t>
      </w:r>
      <w:r>
        <w:rPr>
          <w:rFonts w:hint="eastAsia" w:cs="Times New Roman"/>
          <w:sz w:val="21"/>
          <w:szCs w:val="21"/>
        </w:rPr>
        <w:t>）在租赁开始日，租赁收款额的现值几乎相当于租赁资产的公允价值。</w:t>
      </w:r>
    </w:p>
    <w:p w14:paraId="1D401933">
      <w:pPr>
        <w:pStyle w:val="9"/>
        <w:spacing w:before="0" w:beforeAutospacing="0" w:after="0" w:afterAutospacing="0" w:line="360" w:lineRule="auto"/>
        <w:ind w:firstLine="420"/>
        <w:rPr>
          <w:rFonts w:ascii="Times New Roman" w:hAnsi="Times New Roman" w:cs="Times New Roman"/>
          <w:sz w:val="21"/>
          <w:szCs w:val="21"/>
        </w:rPr>
      </w:pPr>
      <w:r>
        <w:rPr>
          <w:rFonts w:ascii="Arial" w:hAnsi="Arial" w:cs="Arial"/>
          <w:sz w:val="21"/>
          <w:szCs w:val="21"/>
        </w:rPr>
        <w:t>5</w:t>
      </w:r>
      <w:r>
        <w:rPr>
          <w:rFonts w:hint="eastAsia" w:cs="Times New Roman"/>
          <w:sz w:val="21"/>
          <w:szCs w:val="21"/>
        </w:rPr>
        <w:t>）租赁资产性质特殊，如果不作较大改造，只有承租人才能使用。</w:t>
      </w:r>
    </w:p>
    <w:p w14:paraId="08CBCF62">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一项租赁存在下列一项或多项迹象的，本公司也可能分类为融资租赁：</w:t>
      </w:r>
    </w:p>
    <w:p w14:paraId="1BCF4AD2">
      <w:pPr>
        <w:pStyle w:val="9"/>
        <w:spacing w:before="0" w:beforeAutospacing="0" w:after="0" w:afterAutospacing="0" w:line="360" w:lineRule="auto"/>
        <w:ind w:firstLine="420"/>
        <w:rPr>
          <w:rFonts w:ascii="Times New Roman" w:hAnsi="Times New Roman" w:cs="Times New Roman"/>
          <w:sz w:val="21"/>
          <w:szCs w:val="21"/>
        </w:rPr>
      </w:pPr>
      <w:r>
        <w:rPr>
          <w:rFonts w:ascii="Arial" w:hAnsi="Arial" w:cs="Arial"/>
          <w:sz w:val="21"/>
          <w:szCs w:val="21"/>
        </w:rPr>
        <w:t>1</w:t>
      </w:r>
      <w:r>
        <w:rPr>
          <w:rFonts w:hint="eastAsia" w:cs="Times New Roman"/>
          <w:sz w:val="21"/>
          <w:szCs w:val="21"/>
        </w:rPr>
        <w:t>）若承租人撤销租赁，撤销租赁对出租人造成的损失由承租人承担。</w:t>
      </w:r>
    </w:p>
    <w:p w14:paraId="683002A8">
      <w:pPr>
        <w:pStyle w:val="9"/>
        <w:spacing w:before="0" w:beforeAutospacing="0" w:after="0" w:afterAutospacing="0" w:line="360" w:lineRule="auto"/>
        <w:ind w:firstLine="420"/>
        <w:rPr>
          <w:rFonts w:ascii="Times New Roman" w:hAnsi="Times New Roman" w:cs="Times New Roman"/>
          <w:sz w:val="21"/>
          <w:szCs w:val="21"/>
        </w:rPr>
      </w:pPr>
      <w:r>
        <w:rPr>
          <w:rFonts w:ascii="Arial" w:hAnsi="Arial" w:cs="Arial"/>
          <w:sz w:val="21"/>
          <w:szCs w:val="21"/>
        </w:rPr>
        <w:t>2</w:t>
      </w:r>
      <w:r>
        <w:rPr>
          <w:rFonts w:hint="eastAsia" w:cs="Times New Roman"/>
          <w:sz w:val="21"/>
          <w:szCs w:val="21"/>
        </w:rPr>
        <w:t>）资产余值的公允价值波动所产生的利得或损失归属于承租人。</w:t>
      </w:r>
    </w:p>
    <w:p w14:paraId="66FD0A7F">
      <w:pPr>
        <w:pStyle w:val="9"/>
        <w:spacing w:before="0" w:beforeAutospacing="0" w:after="0" w:afterAutospacing="0" w:line="360" w:lineRule="auto"/>
        <w:ind w:firstLine="420"/>
        <w:rPr>
          <w:rFonts w:ascii="Times New Roman" w:hAnsi="Times New Roman" w:cs="Times New Roman"/>
          <w:sz w:val="21"/>
          <w:szCs w:val="21"/>
        </w:rPr>
      </w:pPr>
      <w:r>
        <w:rPr>
          <w:rFonts w:ascii="Arial" w:hAnsi="Arial" w:cs="Arial"/>
          <w:sz w:val="21"/>
          <w:szCs w:val="21"/>
        </w:rPr>
        <w:t>3</w:t>
      </w:r>
      <w:r>
        <w:rPr>
          <w:rFonts w:hint="eastAsia" w:cs="Times New Roman"/>
          <w:sz w:val="21"/>
          <w:szCs w:val="21"/>
        </w:rPr>
        <w:t>）承租人有能力以远低于市场水平的租金继续租赁至下一期间。</w:t>
      </w:r>
    </w:p>
    <w:p w14:paraId="686332F4">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w:t>
      </w:r>
      <w:r>
        <w:rPr>
          <w:rFonts w:ascii="Arial" w:hAnsi="Arial" w:cs="Arial"/>
          <w:sz w:val="21"/>
          <w:szCs w:val="21"/>
        </w:rPr>
        <w:t>2</w:t>
      </w:r>
      <w:r>
        <w:rPr>
          <w:rFonts w:hint="eastAsia" w:cs="Times New Roman"/>
          <w:sz w:val="21"/>
          <w:szCs w:val="21"/>
        </w:rPr>
        <w:t>）对融资租赁的会计处理</w:t>
      </w:r>
    </w:p>
    <w:p w14:paraId="50EC4453">
      <w:pPr>
        <w:pStyle w:val="9"/>
        <w:spacing w:before="0" w:beforeAutospacing="0" w:after="0" w:afterAutospacing="0" w:line="360" w:lineRule="auto"/>
        <w:ind w:firstLine="420"/>
        <w:rPr>
          <w:rFonts w:ascii="Times New Roman" w:hAnsi="Times New Roman" w:cs="Times New Roman"/>
          <w:sz w:val="21"/>
          <w:szCs w:val="21"/>
        </w:rPr>
      </w:pPr>
      <w:bookmarkStart w:id="252" w:name="_Hlk216712086"/>
      <w:bookmarkEnd w:id="252"/>
      <w:r>
        <w:rPr>
          <w:rFonts w:hint="eastAsia" w:cs="Times New Roman"/>
          <w:sz w:val="21"/>
          <w:szCs w:val="21"/>
        </w:rPr>
        <w:t>在租赁期开始日，本公司对融资租赁确认应收融资租赁款，并终止确认融资租赁资产。</w:t>
      </w:r>
    </w:p>
    <w:p w14:paraId="47283E06">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应收融资租赁款初始计量时，以未担保余值和租赁期开始日尚未收到的租赁收款额按照租赁内含利率折现的现值之和作为应收融资租赁款的入账价值。租赁收款额包括：</w:t>
      </w:r>
    </w:p>
    <w:p w14:paraId="215DC239">
      <w:pPr>
        <w:pStyle w:val="9"/>
        <w:spacing w:before="0" w:beforeAutospacing="0" w:after="0" w:afterAutospacing="0" w:line="360" w:lineRule="auto"/>
        <w:ind w:firstLine="420"/>
        <w:rPr>
          <w:rFonts w:ascii="Times New Roman" w:hAnsi="Times New Roman" w:cs="Times New Roman"/>
          <w:sz w:val="21"/>
          <w:szCs w:val="21"/>
        </w:rPr>
      </w:pPr>
      <w:r>
        <w:rPr>
          <w:rFonts w:ascii="Arial" w:hAnsi="Arial" w:cs="Arial"/>
          <w:sz w:val="21"/>
          <w:szCs w:val="21"/>
        </w:rPr>
        <w:t>1</w:t>
      </w:r>
      <w:r>
        <w:rPr>
          <w:rFonts w:hint="eastAsia" w:cs="Times New Roman"/>
          <w:sz w:val="21"/>
          <w:szCs w:val="21"/>
        </w:rPr>
        <w:t>）扣除租赁激励相关金额后的固定付款额及实质固定付款额；</w:t>
      </w:r>
    </w:p>
    <w:p w14:paraId="34094AE4">
      <w:pPr>
        <w:pStyle w:val="9"/>
        <w:spacing w:before="0" w:beforeAutospacing="0" w:after="0" w:afterAutospacing="0" w:line="360" w:lineRule="auto"/>
        <w:ind w:firstLine="420"/>
        <w:rPr>
          <w:rFonts w:ascii="Times New Roman" w:hAnsi="Times New Roman" w:cs="Times New Roman"/>
          <w:sz w:val="21"/>
          <w:szCs w:val="21"/>
        </w:rPr>
      </w:pPr>
      <w:r>
        <w:rPr>
          <w:rFonts w:ascii="Arial" w:hAnsi="Arial" w:cs="Arial"/>
          <w:sz w:val="21"/>
          <w:szCs w:val="21"/>
        </w:rPr>
        <w:t>2</w:t>
      </w:r>
      <w:r>
        <w:rPr>
          <w:rFonts w:hint="eastAsia" w:cs="Times New Roman"/>
          <w:sz w:val="21"/>
          <w:szCs w:val="21"/>
        </w:rPr>
        <w:t>）取决于指数或比率的可变租赁付款额；</w:t>
      </w:r>
    </w:p>
    <w:p w14:paraId="358E49BF">
      <w:pPr>
        <w:pStyle w:val="9"/>
        <w:spacing w:before="0" w:beforeAutospacing="0" w:after="0" w:afterAutospacing="0" w:line="360" w:lineRule="auto"/>
        <w:ind w:firstLine="420"/>
        <w:rPr>
          <w:rFonts w:ascii="Times New Roman" w:hAnsi="Times New Roman" w:cs="Times New Roman"/>
          <w:sz w:val="21"/>
          <w:szCs w:val="21"/>
        </w:rPr>
      </w:pPr>
      <w:r>
        <w:rPr>
          <w:rFonts w:ascii="Arial" w:hAnsi="Arial" w:cs="Arial"/>
          <w:sz w:val="21"/>
          <w:szCs w:val="21"/>
        </w:rPr>
        <w:t>3</w:t>
      </w:r>
      <w:r>
        <w:rPr>
          <w:rFonts w:hint="eastAsia" w:cs="Times New Roman"/>
          <w:sz w:val="21"/>
          <w:szCs w:val="21"/>
        </w:rPr>
        <w:t>）合理确定承租人将行使购买选择权的情况下，租赁收款额包括购买选择权的行权价格；</w:t>
      </w:r>
    </w:p>
    <w:p w14:paraId="3D25C96B">
      <w:pPr>
        <w:pStyle w:val="9"/>
        <w:spacing w:before="0" w:beforeAutospacing="0" w:after="0" w:afterAutospacing="0" w:line="360" w:lineRule="auto"/>
        <w:ind w:firstLine="420"/>
        <w:rPr>
          <w:rFonts w:ascii="Times New Roman" w:hAnsi="Times New Roman" w:cs="Times New Roman"/>
          <w:sz w:val="21"/>
          <w:szCs w:val="21"/>
        </w:rPr>
      </w:pPr>
      <w:r>
        <w:rPr>
          <w:rFonts w:ascii="Arial" w:hAnsi="Arial" w:cs="Arial"/>
          <w:sz w:val="21"/>
          <w:szCs w:val="21"/>
        </w:rPr>
        <w:t>4</w:t>
      </w:r>
      <w:r>
        <w:rPr>
          <w:rFonts w:hint="eastAsia" w:cs="Times New Roman"/>
          <w:sz w:val="21"/>
          <w:szCs w:val="21"/>
        </w:rPr>
        <w:t>）租赁期反映出承租人将行使终止租赁选择权的情况下，租赁收款额包括承租人行使终止租赁选择权需支付的款项；</w:t>
      </w:r>
    </w:p>
    <w:p w14:paraId="6F8B7BA0">
      <w:pPr>
        <w:pStyle w:val="9"/>
        <w:spacing w:before="0" w:beforeAutospacing="0" w:after="0" w:afterAutospacing="0" w:line="360" w:lineRule="auto"/>
        <w:ind w:firstLine="420"/>
        <w:rPr>
          <w:rFonts w:ascii="Times New Roman" w:hAnsi="Times New Roman" w:cs="Times New Roman"/>
          <w:sz w:val="21"/>
          <w:szCs w:val="21"/>
        </w:rPr>
      </w:pPr>
      <w:r>
        <w:rPr>
          <w:rFonts w:ascii="Arial" w:hAnsi="Arial" w:cs="Arial"/>
          <w:sz w:val="21"/>
          <w:szCs w:val="21"/>
        </w:rPr>
        <w:t>5</w:t>
      </w:r>
      <w:r>
        <w:rPr>
          <w:rFonts w:hint="eastAsia" w:cs="Times New Roman"/>
          <w:sz w:val="21"/>
          <w:szCs w:val="21"/>
        </w:rPr>
        <w:t>）由承租人、与承租人有关的一方以及有经济能力履行担保义务的独立第三方向出租人提供的担保余值。</w:t>
      </w:r>
    </w:p>
    <w:p w14:paraId="22FDE57D">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本公司按照固定的租赁内含利率计算并确认租赁期内各个期间的利息收入，所取得的未纳入租赁投资净额计量的可变租赁付款额在实际发生时计入当期损益。</w:t>
      </w:r>
    </w:p>
    <w:p w14:paraId="12F94386">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w:t>
      </w:r>
      <w:r>
        <w:rPr>
          <w:rFonts w:ascii="Arial" w:hAnsi="Arial" w:cs="Arial"/>
          <w:sz w:val="21"/>
          <w:szCs w:val="21"/>
        </w:rPr>
        <w:t>3</w:t>
      </w:r>
      <w:r>
        <w:rPr>
          <w:rFonts w:hint="eastAsia" w:cs="Times New Roman"/>
          <w:sz w:val="21"/>
          <w:szCs w:val="21"/>
        </w:rPr>
        <w:t>）对经营租赁的会计处理</w:t>
      </w:r>
    </w:p>
    <w:p w14:paraId="7977DFBD">
      <w:pPr>
        <w:pStyle w:val="9"/>
        <w:spacing w:before="0" w:beforeAutospacing="0" w:after="0" w:afterAutospacing="0" w:line="360" w:lineRule="auto"/>
        <w:ind w:firstLine="420"/>
        <w:rPr>
          <w:rFonts w:ascii="Times New Roman" w:hAnsi="Times New Roman" w:cs="Times New Roman"/>
          <w:sz w:val="21"/>
          <w:szCs w:val="21"/>
        </w:rPr>
      </w:pPr>
      <w:bookmarkStart w:id="253" w:name="_Hlk216712102"/>
      <w:bookmarkEnd w:id="253"/>
      <w:r>
        <w:rPr>
          <w:rFonts w:hint="eastAsia" w:cs="Times New Roman"/>
          <w:sz w:val="21"/>
          <w:szCs w:val="21"/>
        </w:rPr>
        <w:t>本公司在租赁期内各个期间采用直线法或其他系统合理的方法，将经营租赁的租赁收款额确认为租金收入；发生的与经营租赁有关的初始直接费用资本化，在租赁期内按照与租金收入确认相同的基础进行分摊，分期计入当期损益；取得的与经营租赁有关的未计入租赁收款额的可变租赁付款额，在实际发生时计入当期损益。</w:t>
      </w:r>
    </w:p>
    <w:p w14:paraId="237C8D13">
      <w:pPr>
        <w:widowControl/>
        <w:numPr>
          <w:ilvl w:val="0"/>
          <w:numId w:val="110"/>
        </w:numPr>
        <w:spacing w:before="100" w:beforeAutospacing="1" w:after="100" w:afterAutospacing="1"/>
        <w:rPr>
          <w:rFonts w:ascii="宋体" w:hAnsi="宋体" w:cs="宋体"/>
          <w:sz w:val="18"/>
          <w:szCs w:val="18"/>
        </w:rPr>
      </w:pPr>
      <w:r>
        <w:rPr>
          <w:rStyle w:val="12"/>
          <w:rFonts w:hint="eastAsia"/>
          <w:sz w:val="18"/>
          <w:szCs w:val="18"/>
        </w:rPr>
        <w:t>售后租回交易</w:t>
      </w:r>
    </w:p>
    <w:p w14:paraId="3CB82724">
      <w:pPr>
        <w:pStyle w:val="9"/>
        <w:spacing w:before="0" w:beforeAutospacing="0" w:after="0" w:afterAutospacing="0" w:line="360" w:lineRule="auto"/>
        <w:ind w:firstLine="420"/>
        <w:rPr>
          <w:rFonts w:ascii="Times New Roman" w:hAnsi="Times New Roman" w:cs="Times New Roman"/>
          <w:sz w:val="21"/>
          <w:szCs w:val="21"/>
        </w:rPr>
      </w:pPr>
      <w:bookmarkStart w:id="254" w:name="OLE_LINK52"/>
      <w:bookmarkEnd w:id="254"/>
      <w:r>
        <w:rPr>
          <w:rFonts w:hint="eastAsia" w:cs="Times New Roman"/>
          <w:sz w:val="21"/>
          <w:szCs w:val="21"/>
        </w:rPr>
        <w:t>售后租回交易中的资产转让属于销售的，本公司按原资产账面价值中与租回获得的使用权有关的部分，计量售后租回所形成的使用权资产，并仅就转让至出租人的权利确认相关利得或损失。如果销售对价的公允价值与资产的公允价值不同，或者出租人未按市场价格收取租金，本公司将销售对价低于市场价格的款项作为预付租金进行会计处理，将高于市场价格的款项作为出租人向承租人提供的额外融资进行会计处理；同时按照公允价值调整相关销售利得或损失。</w:t>
      </w:r>
    </w:p>
    <w:p w14:paraId="1AD086A4">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售后租回交易中的资产转让不属于销售的，本公司继续确认被转让资产，同时确认一项与转让收入等额的金融负债。</w:t>
      </w:r>
    </w:p>
    <w:p w14:paraId="1C962DCB">
      <w:pPr>
        <w:pStyle w:val="9"/>
        <w:spacing w:before="0" w:beforeAutospacing="0" w:after="0" w:afterAutospacing="0" w:line="360" w:lineRule="auto"/>
        <w:ind w:firstLine="420"/>
        <w:rPr>
          <w:rFonts w:ascii="Times New Roman" w:hAnsi="Times New Roman" w:cs="Times New Roman"/>
          <w:sz w:val="21"/>
          <w:szCs w:val="21"/>
        </w:rPr>
      </w:pPr>
      <w:bookmarkStart w:id="255" w:name="_Hlk216712190"/>
      <w:bookmarkEnd w:id="255"/>
      <w:r>
        <w:rPr>
          <w:rFonts w:hint="eastAsia" w:cs="Times New Roman"/>
          <w:sz w:val="21"/>
          <w:szCs w:val="21"/>
        </w:rPr>
        <w:t>售后租回交易中的资产转让属于销售的，本公司按照资产购买进行相应会计处理，并根据租赁准则对资产出租进行会计处理。如果销售对价的公允价值与资产的公允价值不同，或者本公司未按市场价格收取租金，本公司将销售对价低于市场价格的款项作为预收租金进行会计处理，将高于市场价格的款项作为本公司向承租人提供的额外融资进行会计处理；同时按市场价格调整租金收入。</w:t>
      </w:r>
    </w:p>
    <w:p w14:paraId="1E10AAA5">
      <w:pPr>
        <w:pStyle w:val="9"/>
        <w:spacing w:before="0" w:beforeAutospacing="0" w:after="0" w:afterAutospacing="0" w:line="360" w:lineRule="auto"/>
        <w:ind w:firstLine="420"/>
        <w:rPr>
          <w:rFonts w:ascii="Times New Roman" w:hAnsi="Times New Roman" w:cs="Times New Roman"/>
          <w:sz w:val="21"/>
          <w:szCs w:val="21"/>
        </w:rPr>
      </w:pPr>
      <w:r>
        <w:rPr>
          <w:rFonts w:hint="eastAsia" w:cs="Times New Roman"/>
          <w:sz w:val="21"/>
          <w:szCs w:val="21"/>
        </w:rPr>
        <w:t>售后租回交易中的资产转让不属于销售的，本公司确认一项与转让收入等额的金融资产。</w:t>
      </w:r>
    </w:p>
    <w:p w14:paraId="4008A187">
      <w:pPr>
        <w:pStyle w:val="3"/>
        <w:spacing w:line="280" w:lineRule="exact"/>
        <w:jc w:val="left"/>
        <w:rPr>
          <w:rFonts w:ascii="宋体" w:hAnsi="宋体" w:cs="宋体"/>
          <w:b/>
          <w:bCs/>
        </w:rPr>
      </w:pPr>
      <w:bookmarkStart w:id="256" w:name="_Toc989111"/>
      <w:r>
        <w:rPr>
          <w:rFonts w:ascii="宋体" w:hAnsi="宋体" w:cs="宋体"/>
          <w:b/>
          <w:bCs/>
        </w:rPr>
        <w:t>42、其他重要的会计政策和会计估计</w:t>
      </w:r>
      <w:bookmarkEnd w:id="256"/>
    </w:p>
    <w:p w14:paraId="7481A392">
      <w:pPr>
        <w:rPr>
          <w:sz w:val="18"/>
          <w:szCs w:val="18"/>
        </w:rPr>
      </w:pPr>
    </w:p>
    <w:p w14:paraId="2CD0AFFB">
      <w:pPr>
        <w:pStyle w:val="3"/>
        <w:spacing w:line="280" w:lineRule="exact"/>
        <w:jc w:val="left"/>
        <w:rPr>
          <w:rFonts w:ascii="宋体" w:hAnsi="宋体" w:cs="宋体"/>
          <w:b/>
          <w:bCs/>
        </w:rPr>
      </w:pPr>
      <w:bookmarkStart w:id="257" w:name="_Toc989112"/>
      <w:r>
        <w:rPr>
          <w:rFonts w:ascii="宋体" w:hAnsi="宋体" w:cs="宋体"/>
          <w:b/>
          <w:bCs/>
        </w:rPr>
        <w:t>43、重要会计政策和会计估计变更</w:t>
      </w:r>
      <w:bookmarkEnd w:id="257"/>
    </w:p>
    <w:p w14:paraId="4CDCC9EB">
      <w:pPr>
        <w:keepNext/>
        <w:keepLines/>
        <w:spacing w:before="300" w:after="300" w:line="280" w:lineRule="exact"/>
        <w:outlineLvl w:val="3"/>
        <w:rPr>
          <w:rFonts w:ascii="宋体" w:hAnsi="宋体" w:eastAsia="宋体" w:cs="宋体"/>
          <w:b/>
          <w:bCs/>
          <w:sz w:val="18"/>
          <w:szCs w:val="18"/>
        </w:rPr>
      </w:pPr>
      <w:bookmarkStart w:id="258" w:name="_Toc989113"/>
      <w:r>
        <w:rPr>
          <w:rFonts w:ascii="宋体" w:hAnsi="宋体" w:eastAsia="宋体" w:cs="宋体"/>
          <w:b/>
          <w:bCs/>
          <w:sz w:val="18"/>
          <w:szCs w:val="18"/>
        </w:rPr>
        <w:t>（1） 重要会计政策变更</w:t>
      </w:r>
      <w:bookmarkEnd w:id="258"/>
    </w:p>
    <w:p w14:paraId="5FEE77C9">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CEE8451">
      <w:pPr>
        <w:spacing w:before="100" w:after="100" w:line="0" w:lineRule="atLeast"/>
      </w:pPr>
    </w:p>
    <w:p w14:paraId="59685D4C">
      <w:pPr>
        <w:keepNext/>
        <w:keepLines/>
        <w:spacing w:before="300" w:after="300" w:line="280" w:lineRule="exact"/>
        <w:outlineLvl w:val="3"/>
        <w:rPr>
          <w:rFonts w:ascii="宋体" w:hAnsi="宋体" w:eastAsia="宋体" w:cs="宋体"/>
          <w:b/>
          <w:bCs/>
          <w:sz w:val="18"/>
          <w:szCs w:val="18"/>
        </w:rPr>
      </w:pPr>
      <w:bookmarkStart w:id="259" w:name="_Toc989114"/>
      <w:r>
        <w:rPr>
          <w:rFonts w:ascii="宋体" w:hAnsi="宋体" w:eastAsia="宋体" w:cs="宋体"/>
          <w:b/>
          <w:bCs/>
          <w:sz w:val="18"/>
          <w:szCs w:val="18"/>
        </w:rPr>
        <w:t>（2） 重要会计估计变更</w:t>
      </w:r>
      <w:bookmarkEnd w:id="259"/>
    </w:p>
    <w:p w14:paraId="6C80DD1D">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6650D62">
      <w:pPr>
        <w:keepNext/>
        <w:keepLines/>
        <w:spacing w:before="300" w:after="300" w:line="280" w:lineRule="exact"/>
        <w:outlineLvl w:val="3"/>
        <w:rPr>
          <w:rFonts w:ascii="宋体" w:hAnsi="宋体" w:eastAsia="宋体" w:cs="宋体"/>
          <w:b/>
          <w:bCs/>
          <w:sz w:val="18"/>
          <w:szCs w:val="18"/>
        </w:rPr>
      </w:pPr>
      <w:bookmarkStart w:id="260" w:name="_Toc989115"/>
      <w:r>
        <w:rPr>
          <w:rFonts w:ascii="宋体" w:hAnsi="宋体" w:eastAsia="宋体" w:cs="宋体"/>
          <w:b/>
          <w:bCs/>
          <w:sz w:val="18"/>
          <w:szCs w:val="18"/>
        </w:rPr>
        <w:t>（3） 2025年起首次执行新会计准则调整首次执行当年年初财务报表相关项目情况</w:t>
      </w:r>
      <w:bookmarkEnd w:id="260"/>
    </w:p>
    <w:p w14:paraId="595EC667">
      <w:pPr>
        <w:spacing w:before="40" w:after="4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6A203FF">
      <w:pPr>
        <w:pStyle w:val="3"/>
        <w:spacing w:line="280" w:lineRule="exact"/>
        <w:jc w:val="left"/>
        <w:rPr>
          <w:rFonts w:ascii="宋体" w:hAnsi="宋体" w:cs="宋体"/>
          <w:b/>
          <w:bCs/>
        </w:rPr>
      </w:pPr>
      <w:bookmarkStart w:id="261" w:name="_Toc989116"/>
      <w:r>
        <w:rPr>
          <w:rFonts w:ascii="宋体" w:hAnsi="宋体" w:cs="宋体"/>
          <w:b/>
          <w:bCs/>
        </w:rPr>
        <w:t>44、其他</w:t>
      </w:r>
      <w:bookmarkEnd w:id="261"/>
    </w:p>
    <w:p w14:paraId="5224E37E">
      <w:pPr>
        <w:pStyle w:val="2"/>
        <w:spacing w:before="300" w:after="300" w:line="320" w:lineRule="exact"/>
        <w:rPr>
          <w:rFonts w:ascii="宋体" w:hAnsi="宋体" w:eastAsia="宋体" w:cs="宋体"/>
          <w:b/>
          <w:bCs/>
          <w:sz w:val="24"/>
          <w:szCs w:val="24"/>
        </w:rPr>
      </w:pPr>
      <w:bookmarkStart w:id="262" w:name="_Toc989117"/>
      <w:r>
        <w:rPr>
          <w:rFonts w:ascii="宋体" w:hAnsi="宋体" w:eastAsia="宋体" w:cs="宋体"/>
          <w:b/>
          <w:bCs/>
          <w:sz w:val="24"/>
          <w:szCs w:val="24"/>
        </w:rPr>
        <w:t>六、税项</w:t>
      </w:r>
      <w:bookmarkEnd w:id="262"/>
    </w:p>
    <w:p w14:paraId="055CA26A">
      <w:pPr>
        <w:pStyle w:val="3"/>
        <w:spacing w:line="280" w:lineRule="exact"/>
        <w:jc w:val="left"/>
        <w:rPr>
          <w:rFonts w:ascii="宋体" w:hAnsi="宋体" w:cs="宋体"/>
          <w:b/>
          <w:bCs/>
        </w:rPr>
      </w:pPr>
      <w:bookmarkStart w:id="263" w:name="_Toc989118"/>
      <w:r>
        <w:rPr>
          <w:rFonts w:ascii="宋体" w:hAnsi="宋体" w:cs="宋体"/>
          <w:b/>
          <w:bCs/>
        </w:rPr>
        <w:t>1、主要税种及税率</w:t>
      </w:r>
      <w:bookmarkEnd w:id="263"/>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27"/>
        <w:gridCol w:w="4536"/>
        <w:gridCol w:w="2976"/>
      </w:tblGrid>
      <w:tr w14:paraId="2F520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14:paraId="458E3C04">
            <w:pPr>
              <w:spacing w:before="40" w:after="40" w:line="240" w:lineRule="exact"/>
              <w:jc w:val="center"/>
              <w:rPr>
                <w:rFonts w:ascii="宋体" w:hAnsi="宋体" w:eastAsia="宋体" w:cs="宋体"/>
                <w:sz w:val="18"/>
                <w:szCs w:val="18"/>
              </w:rPr>
            </w:pPr>
            <w:r>
              <w:rPr>
                <w:rFonts w:ascii="宋体" w:hAnsi="宋体" w:eastAsia="宋体" w:cs="宋体"/>
                <w:sz w:val="18"/>
                <w:szCs w:val="18"/>
              </w:rPr>
              <w:t>税种</w:t>
            </w:r>
          </w:p>
        </w:tc>
        <w:tc>
          <w:tcPr>
            <w:tcW w:w="4536" w:type="dxa"/>
            <w:tcBorders>
              <w:top w:val="single" w:color="auto" w:sz="2" w:space="0"/>
              <w:left w:val="single" w:color="auto" w:sz="2" w:space="0"/>
              <w:bottom w:val="single" w:color="auto" w:sz="2" w:space="0"/>
              <w:right w:val="single" w:color="auto" w:sz="2" w:space="0"/>
            </w:tcBorders>
            <w:shd w:val="clear" w:color="auto" w:fill="D3D3D3"/>
            <w:vAlign w:val="center"/>
          </w:tcPr>
          <w:p w14:paraId="03DB0114">
            <w:pPr>
              <w:spacing w:before="40" w:after="40" w:line="240" w:lineRule="exact"/>
              <w:jc w:val="center"/>
              <w:rPr>
                <w:rFonts w:ascii="宋体" w:hAnsi="宋体" w:eastAsia="宋体" w:cs="宋体"/>
                <w:sz w:val="18"/>
                <w:szCs w:val="18"/>
              </w:rPr>
            </w:pPr>
            <w:r>
              <w:rPr>
                <w:rFonts w:ascii="宋体" w:hAnsi="宋体" w:eastAsia="宋体" w:cs="宋体"/>
                <w:sz w:val="18"/>
                <w:szCs w:val="18"/>
              </w:rPr>
              <w:t>计税依据</w:t>
            </w:r>
          </w:p>
        </w:tc>
        <w:tc>
          <w:tcPr>
            <w:tcW w:w="2976" w:type="dxa"/>
            <w:tcBorders>
              <w:top w:val="single" w:color="auto" w:sz="2" w:space="0"/>
              <w:left w:val="single" w:color="auto" w:sz="2" w:space="0"/>
              <w:bottom w:val="single" w:color="auto" w:sz="2" w:space="0"/>
              <w:right w:val="single" w:color="auto" w:sz="2" w:space="0"/>
            </w:tcBorders>
            <w:shd w:val="clear" w:color="auto" w:fill="D3D3D3"/>
            <w:vAlign w:val="center"/>
          </w:tcPr>
          <w:p w14:paraId="5582F5F5">
            <w:pPr>
              <w:spacing w:before="40" w:after="40" w:line="240" w:lineRule="exact"/>
              <w:jc w:val="center"/>
              <w:rPr>
                <w:rFonts w:ascii="宋体" w:hAnsi="宋体" w:eastAsia="宋体" w:cs="宋体"/>
                <w:sz w:val="18"/>
                <w:szCs w:val="18"/>
              </w:rPr>
            </w:pPr>
            <w:r>
              <w:rPr>
                <w:rFonts w:ascii="宋体" w:hAnsi="宋体" w:eastAsia="宋体" w:cs="宋体"/>
                <w:sz w:val="18"/>
                <w:szCs w:val="18"/>
              </w:rPr>
              <w:t>税率</w:t>
            </w:r>
          </w:p>
        </w:tc>
      </w:tr>
      <w:tr w14:paraId="4D8AF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14:paraId="0F4147D8">
            <w:pPr>
              <w:spacing w:before="40" w:after="40" w:line="240" w:lineRule="exact"/>
              <w:rPr>
                <w:rFonts w:ascii="宋体" w:hAnsi="宋体" w:eastAsia="宋体" w:cs="宋体"/>
                <w:sz w:val="18"/>
                <w:szCs w:val="18"/>
              </w:rPr>
            </w:pPr>
            <w:r>
              <w:rPr>
                <w:rFonts w:ascii="宋体" w:hAnsi="宋体" w:eastAsia="宋体" w:cs="宋体"/>
                <w:sz w:val="18"/>
                <w:szCs w:val="18"/>
              </w:rPr>
              <w:t>增值税</w:t>
            </w:r>
          </w:p>
        </w:tc>
        <w:tc>
          <w:tcPr>
            <w:tcW w:w="4536" w:type="dxa"/>
            <w:tcBorders>
              <w:top w:val="single" w:color="auto" w:sz="2" w:space="0"/>
              <w:left w:val="single" w:color="auto" w:sz="2" w:space="0"/>
              <w:bottom w:val="single" w:color="auto" w:sz="2" w:space="0"/>
              <w:right w:val="single" w:color="auto" w:sz="2" w:space="0"/>
            </w:tcBorders>
            <w:vAlign w:val="center"/>
          </w:tcPr>
          <w:p w14:paraId="184149B1">
            <w:pPr>
              <w:spacing w:line="240" w:lineRule="exact"/>
              <w:rPr>
                <w:rFonts w:ascii="宋体" w:hAnsi="宋体" w:eastAsia="宋体" w:cs="宋体"/>
                <w:sz w:val="18"/>
                <w:szCs w:val="18"/>
              </w:rPr>
            </w:pPr>
            <w:r>
              <w:rPr>
                <w:rFonts w:ascii="宋体" w:hAnsi="宋体" w:eastAsia="宋体" w:cs="宋体"/>
                <w:sz w:val="18"/>
                <w:szCs w:val="18"/>
              </w:rPr>
              <w:t>销售货物、应税劳务收入和应税服务收入</w:t>
            </w:r>
          </w:p>
        </w:tc>
        <w:tc>
          <w:tcPr>
            <w:tcW w:w="2976" w:type="dxa"/>
            <w:tcBorders>
              <w:top w:val="single" w:color="auto" w:sz="2" w:space="0"/>
              <w:left w:val="single" w:color="auto" w:sz="2" w:space="0"/>
              <w:bottom w:val="single" w:color="auto" w:sz="2" w:space="0"/>
              <w:right w:val="single" w:color="auto" w:sz="2" w:space="0"/>
            </w:tcBorders>
            <w:vAlign w:val="center"/>
          </w:tcPr>
          <w:p w14:paraId="162C5AD5">
            <w:pPr>
              <w:spacing w:line="240" w:lineRule="exact"/>
              <w:rPr>
                <w:rFonts w:ascii="宋体" w:hAnsi="宋体" w:eastAsia="宋体" w:cs="宋体"/>
                <w:sz w:val="18"/>
                <w:szCs w:val="18"/>
              </w:rPr>
            </w:pPr>
            <w:r>
              <w:rPr>
                <w:rFonts w:ascii="宋体" w:hAnsi="宋体" w:eastAsia="宋体" w:cs="宋体"/>
                <w:sz w:val="18"/>
                <w:szCs w:val="18"/>
              </w:rPr>
              <w:t>13%、10%、9%、6%</w:t>
            </w:r>
          </w:p>
        </w:tc>
      </w:tr>
      <w:tr w14:paraId="3E55D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14:paraId="1764E9BA">
            <w:pPr>
              <w:spacing w:before="40" w:after="40" w:line="240" w:lineRule="exact"/>
              <w:rPr>
                <w:rFonts w:ascii="宋体" w:hAnsi="宋体" w:eastAsia="宋体" w:cs="宋体"/>
                <w:sz w:val="18"/>
                <w:szCs w:val="18"/>
              </w:rPr>
            </w:pPr>
            <w:r>
              <w:rPr>
                <w:rFonts w:ascii="宋体" w:hAnsi="宋体" w:eastAsia="宋体" w:cs="宋体"/>
                <w:sz w:val="18"/>
                <w:szCs w:val="18"/>
              </w:rPr>
              <w:t>城市维护建设税</w:t>
            </w:r>
          </w:p>
        </w:tc>
        <w:tc>
          <w:tcPr>
            <w:tcW w:w="4536" w:type="dxa"/>
            <w:tcBorders>
              <w:top w:val="single" w:color="auto" w:sz="2" w:space="0"/>
              <w:left w:val="single" w:color="auto" w:sz="2" w:space="0"/>
              <w:bottom w:val="single" w:color="auto" w:sz="2" w:space="0"/>
              <w:right w:val="single" w:color="auto" w:sz="2" w:space="0"/>
            </w:tcBorders>
            <w:vAlign w:val="center"/>
          </w:tcPr>
          <w:p w14:paraId="4E073788">
            <w:pPr>
              <w:spacing w:line="240" w:lineRule="exact"/>
              <w:rPr>
                <w:rFonts w:ascii="宋体" w:hAnsi="宋体" w:eastAsia="宋体" w:cs="宋体"/>
                <w:sz w:val="18"/>
                <w:szCs w:val="18"/>
              </w:rPr>
            </w:pPr>
            <w:r>
              <w:rPr>
                <w:rFonts w:ascii="宋体" w:hAnsi="宋体" w:eastAsia="宋体" w:cs="宋体"/>
                <w:sz w:val="18"/>
                <w:szCs w:val="18"/>
              </w:rPr>
              <w:t>实缴流转税税额</w:t>
            </w:r>
          </w:p>
        </w:tc>
        <w:tc>
          <w:tcPr>
            <w:tcW w:w="2976" w:type="dxa"/>
            <w:tcBorders>
              <w:top w:val="single" w:color="auto" w:sz="2" w:space="0"/>
              <w:left w:val="single" w:color="auto" w:sz="2" w:space="0"/>
              <w:bottom w:val="single" w:color="auto" w:sz="2" w:space="0"/>
              <w:right w:val="single" w:color="auto" w:sz="2" w:space="0"/>
            </w:tcBorders>
            <w:vAlign w:val="center"/>
          </w:tcPr>
          <w:p w14:paraId="3E400B87">
            <w:pPr>
              <w:spacing w:line="240" w:lineRule="exact"/>
              <w:rPr>
                <w:rFonts w:ascii="宋体" w:hAnsi="宋体" w:eastAsia="宋体" w:cs="宋体"/>
                <w:sz w:val="18"/>
                <w:szCs w:val="18"/>
              </w:rPr>
            </w:pPr>
            <w:r>
              <w:rPr>
                <w:rFonts w:ascii="宋体" w:hAnsi="宋体" w:eastAsia="宋体" w:cs="宋体"/>
                <w:sz w:val="18"/>
                <w:szCs w:val="18"/>
              </w:rPr>
              <w:t>7%、5%、3%</w:t>
            </w:r>
          </w:p>
        </w:tc>
      </w:tr>
      <w:tr w14:paraId="1ABF2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shd w:val="clear" w:color="auto" w:fill="D3D3D3"/>
            <w:vAlign w:val="center"/>
          </w:tcPr>
          <w:p w14:paraId="265E8A7B">
            <w:pPr>
              <w:spacing w:before="40" w:after="40" w:line="240" w:lineRule="exact"/>
              <w:rPr>
                <w:rFonts w:ascii="宋体" w:hAnsi="宋体" w:eastAsia="宋体" w:cs="宋体"/>
                <w:sz w:val="18"/>
                <w:szCs w:val="18"/>
              </w:rPr>
            </w:pPr>
            <w:r>
              <w:rPr>
                <w:rFonts w:ascii="宋体" w:hAnsi="宋体" w:eastAsia="宋体" w:cs="宋体"/>
                <w:sz w:val="18"/>
                <w:szCs w:val="18"/>
              </w:rPr>
              <w:t>企业所得税</w:t>
            </w:r>
          </w:p>
        </w:tc>
        <w:tc>
          <w:tcPr>
            <w:tcW w:w="4536" w:type="dxa"/>
            <w:tcBorders>
              <w:top w:val="single" w:color="auto" w:sz="2" w:space="0"/>
              <w:left w:val="single" w:color="auto" w:sz="2" w:space="0"/>
              <w:bottom w:val="single" w:color="auto" w:sz="2" w:space="0"/>
              <w:right w:val="single" w:color="auto" w:sz="2" w:space="0"/>
            </w:tcBorders>
            <w:vAlign w:val="center"/>
          </w:tcPr>
          <w:p w14:paraId="585B5BC7">
            <w:pPr>
              <w:spacing w:line="240" w:lineRule="exact"/>
              <w:rPr>
                <w:rFonts w:ascii="宋体" w:hAnsi="宋体" w:eastAsia="宋体" w:cs="宋体"/>
                <w:sz w:val="18"/>
                <w:szCs w:val="18"/>
              </w:rPr>
            </w:pPr>
            <w:r>
              <w:rPr>
                <w:rFonts w:ascii="宋体" w:hAnsi="宋体" w:eastAsia="宋体" w:cs="宋体"/>
                <w:sz w:val="18"/>
                <w:szCs w:val="18"/>
              </w:rPr>
              <w:t>应纳税所得额</w:t>
            </w:r>
          </w:p>
        </w:tc>
        <w:tc>
          <w:tcPr>
            <w:tcW w:w="2976" w:type="dxa"/>
            <w:tcBorders>
              <w:top w:val="single" w:color="auto" w:sz="2" w:space="0"/>
              <w:left w:val="single" w:color="auto" w:sz="2" w:space="0"/>
              <w:bottom w:val="single" w:color="auto" w:sz="2" w:space="0"/>
              <w:right w:val="single" w:color="auto" w:sz="2" w:space="0"/>
            </w:tcBorders>
            <w:vAlign w:val="center"/>
          </w:tcPr>
          <w:p w14:paraId="78E4416F">
            <w:pPr>
              <w:spacing w:line="240" w:lineRule="exact"/>
              <w:rPr>
                <w:rFonts w:ascii="宋体" w:hAnsi="宋体" w:eastAsia="宋体" w:cs="宋体"/>
                <w:sz w:val="18"/>
                <w:szCs w:val="18"/>
              </w:rPr>
            </w:pPr>
            <w:r>
              <w:rPr>
                <w:rFonts w:ascii="宋体" w:hAnsi="宋体" w:eastAsia="宋体" w:cs="宋体"/>
                <w:sz w:val="18"/>
                <w:szCs w:val="18"/>
              </w:rPr>
              <w:t>15%、25%、16.5%、20%</w:t>
            </w:r>
          </w:p>
        </w:tc>
      </w:tr>
      <w:tr w14:paraId="19055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vAlign w:val="center"/>
          </w:tcPr>
          <w:p w14:paraId="6269B5E6">
            <w:pPr>
              <w:spacing w:line="240" w:lineRule="exact"/>
              <w:rPr>
                <w:rFonts w:ascii="宋体" w:hAnsi="宋体" w:eastAsia="宋体" w:cs="宋体"/>
                <w:sz w:val="18"/>
                <w:szCs w:val="18"/>
              </w:rPr>
            </w:pPr>
            <w:r>
              <w:rPr>
                <w:rFonts w:ascii="宋体" w:hAnsi="宋体" w:eastAsia="宋体" w:cs="宋体"/>
                <w:sz w:val="18"/>
                <w:szCs w:val="18"/>
              </w:rPr>
              <w:t>教育费附加</w:t>
            </w:r>
          </w:p>
        </w:tc>
        <w:tc>
          <w:tcPr>
            <w:tcW w:w="4536" w:type="dxa"/>
            <w:tcBorders>
              <w:top w:val="single" w:color="auto" w:sz="2" w:space="0"/>
              <w:left w:val="single" w:color="auto" w:sz="2" w:space="0"/>
              <w:bottom w:val="single" w:color="auto" w:sz="2" w:space="0"/>
              <w:right w:val="single" w:color="auto" w:sz="2" w:space="0"/>
            </w:tcBorders>
            <w:vAlign w:val="center"/>
          </w:tcPr>
          <w:p w14:paraId="3D42F045">
            <w:pPr>
              <w:spacing w:line="240" w:lineRule="exact"/>
              <w:rPr>
                <w:rFonts w:ascii="宋体" w:hAnsi="宋体" w:eastAsia="宋体" w:cs="宋体"/>
                <w:sz w:val="18"/>
                <w:szCs w:val="18"/>
              </w:rPr>
            </w:pPr>
            <w:r>
              <w:rPr>
                <w:rFonts w:ascii="宋体" w:hAnsi="宋体" w:eastAsia="宋体" w:cs="宋体"/>
                <w:sz w:val="18"/>
                <w:szCs w:val="18"/>
              </w:rPr>
              <w:t>实缴流转税税额</w:t>
            </w:r>
          </w:p>
        </w:tc>
        <w:tc>
          <w:tcPr>
            <w:tcW w:w="2976" w:type="dxa"/>
            <w:tcBorders>
              <w:top w:val="single" w:color="auto" w:sz="2" w:space="0"/>
              <w:left w:val="single" w:color="auto" w:sz="2" w:space="0"/>
              <w:bottom w:val="single" w:color="auto" w:sz="2" w:space="0"/>
              <w:right w:val="single" w:color="auto" w:sz="2" w:space="0"/>
            </w:tcBorders>
            <w:vAlign w:val="center"/>
          </w:tcPr>
          <w:p w14:paraId="5DEB388F">
            <w:pPr>
              <w:spacing w:line="240" w:lineRule="exact"/>
              <w:rPr>
                <w:rFonts w:ascii="宋体" w:hAnsi="宋体" w:eastAsia="宋体" w:cs="宋体"/>
                <w:sz w:val="18"/>
                <w:szCs w:val="18"/>
              </w:rPr>
            </w:pPr>
            <w:r>
              <w:rPr>
                <w:rFonts w:ascii="宋体" w:hAnsi="宋体" w:eastAsia="宋体" w:cs="宋体"/>
                <w:sz w:val="18"/>
                <w:szCs w:val="18"/>
              </w:rPr>
              <w:t>3%</w:t>
            </w:r>
          </w:p>
        </w:tc>
      </w:tr>
      <w:tr w14:paraId="55247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vAlign w:val="center"/>
          </w:tcPr>
          <w:p w14:paraId="6E08DB69">
            <w:pPr>
              <w:spacing w:line="240" w:lineRule="exact"/>
              <w:rPr>
                <w:rFonts w:ascii="宋体" w:hAnsi="宋体" w:eastAsia="宋体" w:cs="宋体"/>
                <w:sz w:val="18"/>
                <w:szCs w:val="18"/>
              </w:rPr>
            </w:pPr>
            <w:r>
              <w:rPr>
                <w:rFonts w:ascii="宋体" w:hAnsi="宋体" w:eastAsia="宋体" w:cs="宋体"/>
                <w:sz w:val="18"/>
                <w:szCs w:val="18"/>
              </w:rPr>
              <w:t>地方教育费附加</w:t>
            </w:r>
          </w:p>
        </w:tc>
        <w:tc>
          <w:tcPr>
            <w:tcW w:w="4536" w:type="dxa"/>
            <w:tcBorders>
              <w:top w:val="single" w:color="auto" w:sz="2" w:space="0"/>
              <w:left w:val="single" w:color="auto" w:sz="2" w:space="0"/>
              <w:bottom w:val="single" w:color="auto" w:sz="2" w:space="0"/>
              <w:right w:val="single" w:color="auto" w:sz="2" w:space="0"/>
            </w:tcBorders>
            <w:vAlign w:val="center"/>
          </w:tcPr>
          <w:p w14:paraId="5EB9E31E">
            <w:pPr>
              <w:spacing w:line="240" w:lineRule="exact"/>
              <w:rPr>
                <w:rFonts w:ascii="宋体" w:hAnsi="宋体" w:eastAsia="宋体" w:cs="宋体"/>
                <w:sz w:val="18"/>
                <w:szCs w:val="18"/>
              </w:rPr>
            </w:pPr>
            <w:r>
              <w:rPr>
                <w:rFonts w:ascii="宋体" w:hAnsi="宋体" w:eastAsia="宋体" w:cs="宋体"/>
                <w:sz w:val="18"/>
                <w:szCs w:val="18"/>
              </w:rPr>
              <w:t>实缴流转税税额</w:t>
            </w:r>
          </w:p>
        </w:tc>
        <w:tc>
          <w:tcPr>
            <w:tcW w:w="2976" w:type="dxa"/>
            <w:tcBorders>
              <w:top w:val="single" w:color="auto" w:sz="2" w:space="0"/>
              <w:left w:val="single" w:color="auto" w:sz="2" w:space="0"/>
              <w:bottom w:val="single" w:color="auto" w:sz="2" w:space="0"/>
              <w:right w:val="single" w:color="auto" w:sz="2" w:space="0"/>
            </w:tcBorders>
            <w:vAlign w:val="center"/>
          </w:tcPr>
          <w:p w14:paraId="2AC9BF29">
            <w:pPr>
              <w:spacing w:line="240" w:lineRule="exact"/>
              <w:rPr>
                <w:rFonts w:ascii="宋体" w:hAnsi="宋体" w:eastAsia="宋体" w:cs="宋体"/>
                <w:sz w:val="18"/>
                <w:szCs w:val="18"/>
              </w:rPr>
            </w:pPr>
            <w:r>
              <w:rPr>
                <w:rFonts w:ascii="宋体" w:hAnsi="宋体" w:eastAsia="宋体" w:cs="宋体"/>
                <w:sz w:val="18"/>
                <w:szCs w:val="18"/>
              </w:rPr>
              <w:t>2%</w:t>
            </w:r>
          </w:p>
        </w:tc>
      </w:tr>
      <w:tr w14:paraId="45F5E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7" w:type="dxa"/>
            <w:tcBorders>
              <w:top w:val="single" w:color="auto" w:sz="2" w:space="0"/>
              <w:left w:val="single" w:color="auto" w:sz="2" w:space="0"/>
              <w:bottom w:val="single" w:color="auto" w:sz="2" w:space="0"/>
              <w:right w:val="single" w:color="auto" w:sz="2" w:space="0"/>
            </w:tcBorders>
            <w:vAlign w:val="center"/>
          </w:tcPr>
          <w:p w14:paraId="5418AA34">
            <w:pPr>
              <w:spacing w:line="240" w:lineRule="exact"/>
              <w:rPr>
                <w:rFonts w:ascii="宋体" w:hAnsi="宋体" w:eastAsia="宋体" w:cs="宋体"/>
                <w:sz w:val="18"/>
                <w:szCs w:val="18"/>
              </w:rPr>
            </w:pPr>
            <w:r>
              <w:rPr>
                <w:rFonts w:ascii="宋体" w:hAnsi="宋体" w:eastAsia="宋体" w:cs="宋体"/>
                <w:sz w:val="18"/>
                <w:szCs w:val="18"/>
              </w:rPr>
              <w:t>房产税</w:t>
            </w:r>
          </w:p>
        </w:tc>
        <w:tc>
          <w:tcPr>
            <w:tcW w:w="4536" w:type="dxa"/>
            <w:tcBorders>
              <w:top w:val="single" w:color="auto" w:sz="2" w:space="0"/>
              <w:left w:val="single" w:color="auto" w:sz="2" w:space="0"/>
              <w:bottom w:val="single" w:color="auto" w:sz="2" w:space="0"/>
              <w:right w:val="single" w:color="auto" w:sz="2" w:space="0"/>
            </w:tcBorders>
            <w:vAlign w:val="center"/>
          </w:tcPr>
          <w:p w14:paraId="5E626D42">
            <w:pPr>
              <w:spacing w:line="240" w:lineRule="exact"/>
              <w:rPr>
                <w:rFonts w:ascii="宋体" w:hAnsi="宋体" w:eastAsia="宋体" w:cs="宋体"/>
                <w:sz w:val="18"/>
                <w:szCs w:val="18"/>
              </w:rPr>
            </w:pPr>
            <w:r>
              <w:rPr>
                <w:rFonts w:ascii="宋体" w:hAnsi="宋体" w:eastAsia="宋体" w:cs="宋体"/>
                <w:sz w:val="18"/>
                <w:szCs w:val="18"/>
              </w:rPr>
              <w:t>房产税按照房产原值的70%为纳税基准，税率为1.2%，或以租金收入为纳税基准，税率为12%</w:t>
            </w:r>
          </w:p>
        </w:tc>
        <w:tc>
          <w:tcPr>
            <w:tcW w:w="2976" w:type="dxa"/>
            <w:tcBorders>
              <w:top w:val="single" w:color="auto" w:sz="2" w:space="0"/>
              <w:left w:val="single" w:color="auto" w:sz="2" w:space="0"/>
              <w:bottom w:val="single" w:color="auto" w:sz="2" w:space="0"/>
              <w:right w:val="single" w:color="auto" w:sz="2" w:space="0"/>
            </w:tcBorders>
            <w:vAlign w:val="center"/>
          </w:tcPr>
          <w:p w14:paraId="21DFBD00">
            <w:pPr>
              <w:spacing w:line="240" w:lineRule="exact"/>
              <w:rPr>
                <w:rFonts w:ascii="宋体" w:hAnsi="宋体" w:eastAsia="宋体" w:cs="宋体"/>
                <w:sz w:val="18"/>
                <w:szCs w:val="18"/>
              </w:rPr>
            </w:pPr>
            <w:r>
              <w:rPr>
                <w:rFonts w:ascii="宋体" w:hAnsi="宋体" w:eastAsia="宋体" w:cs="宋体"/>
                <w:sz w:val="18"/>
                <w:szCs w:val="18"/>
              </w:rPr>
              <w:t>1.2%、12%</w:t>
            </w:r>
          </w:p>
        </w:tc>
      </w:tr>
    </w:tbl>
    <w:p w14:paraId="1982BD54">
      <w:pPr>
        <w:spacing w:before="100" w:after="100" w:line="240" w:lineRule="exact"/>
        <w:rPr>
          <w:rFonts w:ascii="宋体" w:hAnsi="宋体" w:eastAsia="宋体" w:cs="宋体"/>
          <w:sz w:val="18"/>
          <w:szCs w:val="18"/>
        </w:rPr>
      </w:pPr>
      <w:r>
        <w:rPr>
          <w:rFonts w:ascii="宋体" w:hAnsi="宋体" w:eastAsia="宋体" w:cs="宋体"/>
          <w:sz w:val="18"/>
          <w:szCs w:val="18"/>
        </w:rPr>
        <w:t>存在不同企业所得税税率纳税主体的，披露情况说明</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63"/>
        <w:gridCol w:w="2976"/>
      </w:tblGrid>
      <w:tr w14:paraId="13063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663" w:type="dxa"/>
            <w:tcBorders>
              <w:top w:val="single" w:color="auto" w:sz="2" w:space="0"/>
              <w:left w:val="single" w:color="auto" w:sz="2" w:space="0"/>
              <w:bottom w:val="single" w:color="auto" w:sz="2" w:space="0"/>
              <w:right w:val="single" w:color="auto" w:sz="2" w:space="0"/>
            </w:tcBorders>
            <w:shd w:val="clear" w:color="auto" w:fill="D3D3D3"/>
            <w:vAlign w:val="center"/>
          </w:tcPr>
          <w:p w14:paraId="3DED618B">
            <w:pPr>
              <w:spacing w:before="40" w:after="40" w:line="240" w:lineRule="exact"/>
              <w:jc w:val="center"/>
              <w:rPr>
                <w:rFonts w:ascii="宋体" w:hAnsi="宋体" w:eastAsia="宋体" w:cs="宋体"/>
                <w:sz w:val="18"/>
                <w:szCs w:val="18"/>
              </w:rPr>
            </w:pPr>
            <w:r>
              <w:rPr>
                <w:rFonts w:ascii="宋体" w:hAnsi="宋体" w:eastAsia="宋体" w:cs="宋体"/>
                <w:sz w:val="18"/>
                <w:szCs w:val="18"/>
              </w:rPr>
              <w:t>纳税主体名称</w:t>
            </w:r>
          </w:p>
        </w:tc>
        <w:tc>
          <w:tcPr>
            <w:tcW w:w="2976" w:type="dxa"/>
            <w:tcBorders>
              <w:top w:val="single" w:color="auto" w:sz="2" w:space="0"/>
              <w:left w:val="single" w:color="auto" w:sz="2" w:space="0"/>
              <w:bottom w:val="single" w:color="auto" w:sz="2" w:space="0"/>
              <w:right w:val="single" w:color="auto" w:sz="2" w:space="0"/>
            </w:tcBorders>
            <w:shd w:val="clear" w:color="auto" w:fill="D3D3D3"/>
            <w:vAlign w:val="center"/>
          </w:tcPr>
          <w:p w14:paraId="64ECF69F">
            <w:pPr>
              <w:spacing w:before="40" w:after="40" w:line="240" w:lineRule="exact"/>
              <w:jc w:val="center"/>
              <w:rPr>
                <w:rFonts w:ascii="宋体" w:hAnsi="宋体" w:eastAsia="宋体" w:cs="宋体"/>
                <w:sz w:val="18"/>
                <w:szCs w:val="18"/>
              </w:rPr>
            </w:pPr>
            <w:r>
              <w:rPr>
                <w:rFonts w:ascii="宋体" w:hAnsi="宋体" w:eastAsia="宋体" w:cs="宋体"/>
                <w:sz w:val="18"/>
                <w:szCs w:val="18"/>
              </w:rPr>
              <w:t>所得税税率</w:t>
            </w:r>
          </w:p>
        </w:tc>
      </w:tr>
      <w:tr w14:paraId="21CC4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663" w:type="dxa"/>
            <w:tcBorders>
              <w:top w:val="single" w:color="auto" w:sz="2" w:space="0"/>
              <w:left w:val="single" w:color="auto" w:sz="2" w:space="0"/>
              <w:bottom w:val="single" w:color="auto" w:sz="2" w:space="0"/>
              <w:right w:val="single" w:color="auto" w:sz="2" w:space="0"/>
            </w:tcBorders>
            <w:vAlign w:val="center"/>
          </w:tcPr>
          <w:p w14:paraId="7754F545">
            <w:pPr>
              <w:spacing w:line="240" w:lineRule="exact"/>
              <w:rPr>
                <w:rFonts w:ascii="宋体" w:hAnsi="宋体" w:eastAsia="宋体" w:cs="宋体"/>
                <w:sz w:val="18"/>
                <w:szCs w:val="18"/>
              </w:rPr>
            </w:pPr>
            <w:r>
              <w:rPr>
                <w:rFonts w:ascii="宋体" w:hAnsi="宋体" w:eastAsia="宋体" w:cs="宋体"/>
                <w:sz w:val="18"/>
                <w:szCs w:val="18"/>
              </w:rPr>
              <w:t>本公司</w:t>
            </w:r>
          </w:p>
        </w:tc>
        <w:tc>
          <w:tcPr>
            <w:tcW w:w="2976" w:type="dxa"/>
            <w:tcBorders>
              <w:top w:val="single" w:color="auto" w:sz="2" w:space="0"/>
              <w:left w:val="single" w:color="auto" w:sz="2" w:space="0"/>
              <w:bottom w:val="single" w:color="auto" w:sz="2" w:space="0"/>
              <w:right w:val="single" w:color="auto" w:sz="2" w:space="0"/>
            </w:tcBorders>
            <w:vAlign w:val="center"/>
          </w:tcPr>
          <w:p w14:paraId="0EA6593D">
            <w:pPr>
              <w:spacing w:line="240" w:lineRule="exact"/>
              <w:rPr>
                <w:rFonts w:ascii="宋体" w:hAnsi="宋体" w:eastAsia="宋体" w:cs="宋体"/>
                <w:sz w:val="18"/>
                <w:szCs w:val="18"/>
              </w:rPr>
            </w:pPr>
            <w:r>
              <w:rPr>
                <w:rFonts w:ascii="宋体" w:hAnsi="宋体" w:eastAsia="宋体" w:cs="宋体"/>
                <w:sz w:val="18"/>
                <w:szCs w:val="18"/>
              </w:rPr>
              <w:t>15.00%</w:t>
            </w:r>
          </w:p>
        </w:tc>
      </w:tr>
      <w:tr w14:paraId="22FE0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663" w:type="dxa"/>
            <w:tcBorders>
              <w:top w:val="single" w:color="auto" w:sz="2" w:space="0"/>
              <w:left w:val="single" w:color="auto" w:sz="2" w:space="0"/>
              <w:bottom w:val="single" w:color="auto" w:sz="2" w:space="0"/>
              <w:right w:val="single" w:color="auto" w:sz="2" w:space="0"/>
            </w:tcBorders>
            <w:vAlign w:val="center"/>
          </w:tcPr>
          <w:p w14:paraId="597E5621">
            <w:pPr>
              <w:spacing w:line="240" w:lineRule="exact"/>
              <w:rPr>
                <w:rFonts w:ascii="宋体" w:hAnsi="宋体" w:eastAsia="宋体" w:cs="宋体"/>
                <w:sz w:val="18"/>
                <w:szCs w:val="18"/>
              </w:rPr>
            </w:pPr>
            <w:r>
              <w:rPr>
                <w:rFonts w:ascii="宋体" w:hAnsi="宋体" w:eastAsia="宋体" w:cs="宋体"/>
                <w:sz w:val="18"/>
                <w:szCs w:val="18"/>
              </w:rPr>
              <w:t>香港华孚贸易有限公司、香港华孚有限公司(1)、香港天成贸易有限公司</w:t>
            </w:r>
          </w:p>
        </w:tc>
        <w:tc>
          <w:tcPr>
            <w:tcW w:w="2976" w:type="dxa"/>
            <w:tcBorders>
              <w:top w:val="single" w:color="auto" w:sz="2" w:space="0"/>
              <w:left w:val="single" w:color="auto" w:sz="2" w:space="0"/>
              <w:bottom w:val="single" w:color="auto" w:sz="2" w:space="0"/>
              <w:right w:val="single" w:color="auto" w:sz="2" w:space="0"/>
            </w:tcBorders>
            <w:vAlign w:val="center"/>
          </w:tcPr>
          <w:p w14:paraId="06AB2225">
            <w:pPr>
              <w:spacing w:line="240" w:lineRule="exact"/>
              <w:rPr>
                <w:rFonts w:ascii="宋体" w:hAnsi="宋体" w:eastAsia="宋体" w:cs="宋体"/>
                <w:sz w:val="18"/>
                <w:szCs w:val="18"/>
              </w:rPr>
            </w:pPr>
            <w:r>
              <w:rPr>
                <w:rFonts w:ascii="宋体" w:hAnsi="宋体" w:eastAsia="宋体" w:cs="宋体"/>
                <w:sz w:val="18"/>
                <w:szCs w:val="18"/>
              </w:rPr>
              <w:t>16.50%</w:t>
            </w:r>
          </w:p>
        </w:tc>
      </w:tr>
      <w:tr w14:paraId="633E9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663" w:type="dxa"/>
            <w:tcBorders>
              <w:top w:val="single" w:color="auto" w:sz="2" w:space="0"/>
              <w:left w:val="single" w:color="auto" w:sz="2" w:space="0"/>
              <w:bottom w:val="single" w:color="auto" w:sz="2" w:space="0"/>
              <w:right w:val="single" w:color="auto" w:sz="2" w:space="0"/>
            </w:tcBorders>
            <w:vAlign w:val="center"/>
          </w:tcPr>
          <w:p w14:paraId="5AA24050">
            <w:pPr>
              <w:spacing w:line="240" w:lineRule="exact"/>
              <w:rPr>
                <w:rFonts w:ascii="宋体" w:hAnsi="宋体" w:eastAsia="宋体" w:cs="宋体"/>
                <w:sz w:val="18"/>
                <w:szCs w:val="18"/>
              </w:rPr>
            </w:pPr>
            <w:r>
              <w:rPr>
                <w:rFonts w:ascii="宋体" w:hAnsi="宋体" w:eastAsia="宋体" w:cs="宋体"/>
                <w:sz w:val="18"/>
                <w:szCs w:val="18"/>
              </w:rPr>
              <w:t>浙江华孚色纺有限公司</w:t>
            </w:r>
          </w:p>
        </w:tc>
        <w:tc>
          <w:tcPr>
            <w:tcW w:w="2976" w:type="dxa"/>
            <w:tcBorders>
              <w:top w:val="single" w:color="auto" w:sz="2" w:space="0"/>
              <w:left w:val="single" w:color="auto" w:sz="2" w:space="0"/>
              <w:bottom w:val="single" w:color="auto" w:sz="2" w:space="0"/>
              <w:right w:val="single" w:color="auto" w:sz="2" w:space="0"/>
            </w:tcBorders>
            <w:vAlign w:val="center"/>
          </w:tcPr>
          <w:p w14:paraId="549D1470">
            <w:pPr>
              <w:spacing w:line="240" w:lineRule="exact"/>
              <w:rPr>
                <w:rFonts w:ascii="宋体" w:hAnsi="宋体" w:eastAsia="宋体" w:cs="宋体"/>
                <w:sz w:val="18"/>
                <w:szCs w:val="18"/>
              </w:rPr>
            </w:pPr>
            <w:r>
              <w:rPr>
                <w:rFonts w:ascii="宋体" w:hAnsi="宋体" w:eastAsia="宋体" w:cs="宋体"/>
                <w:sz w:val="18"/>
                <w:szCs w:val="18"/>
              </w:rPr>
              <w:t>15.00%</w:t>
            </w:r>
          </w:p>
        </w:tc>
      </w:tr>
      <w:tr w14:paraId="0B9E2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663" w:type="dxa"/>
            <w:tcBorders>
              <w:top w:val="single" w:color="auto" w:sz="2" w:space="0"/>
              <w:left w:val="single" w:color="auto" w:sz="2" w:space="0"/>
              <w:bottom w:val="single" w:color="auto" w:sz="2" w:space="0"/>
              <w:right w:val="single" w:color="auto" w:sz="2" w:space="0"/>
            </w:tcBorders>
            <w:vAlign w:val="center"/>
          </w:tcPr>
          <w:p w14:paraId="17CE9FFE">
            <w:pPr>
              <w:spacing w:line="240" w:lineRule="exact"/>
              <w:rPr>
                <w:rFonts w:ascii="宋体" w:hAnsi="宋体" w:eastAsia="宋体" w:cs="宋体"/>
                <w:sz w:val="18"/>
                <w:szCs w:val="18"/>
              </w:rPr>
            </w:pPr>
            <w:r>
              <w:rPr>
                <w:rFonts w:ascii="宋体" w:hAnsi="宋体" w:eastAsia="宋体" w:cs="宋体"/>
                <w:sz w:val="18"/>
                <w:szCs w:val="18"/>
              </w:rPr>
              <w:t>奎屯锦孚纺织有限公司、新疆六孚纺织工业园有限公司</w:t>
            </w:r>
          </w:p>
        </w:tc>
        <w:tc>
          <w:tcPr>
            <w:tcW w:w="2976" w:type="dxa"/>
            <w:tcBorders>
              <w:top w:val="single" w:color="auto" w:sz="2" w:space="0"/>
              <w:left w:val="single" w:color="auto" w:sz="2" w:space="0"/>
              <w:bottom w:val="single" w:color="auto" w:sz="2" w:space="0"/>
              <w:right w:val="single" w:color="auto" w:sz="2" w:space="0"/>
            </w:tcBorders>
            <w:vAlign w:val="center"/>
          </w:tcPr>
          <w:p w14:paraId="2F2306B0">
            <w:pPr>
              <w:spacing w:line="240" w:lineRule="exact"/>
              <w:rPr>
                <w:rFonts w:ascii="宋体" w:hAnsi="宋体" w:eastAsia="宋体" w:cs="宋体"/>
                <w:sz w:val="18"/>
                <w:szCs w:val="18"/>
              </w:rPr>
            </w:pPr>
            <w:r>
              <w:rPr>
                <w:rFonts w:ascii="宋体" w:hAnsi="宋体" w:eastAsia="宋体" w:cs="宋体"/>
                <w:sz w:val="18"/>
                <w:szCs w:val="18"/>
              </w:rPr>
              <w:t>15.00%</w:t>
            </w:r>
          </w:p>
        </w:tc>
      </w:tr>
      <w:tr w14:paraId="0F24C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663" w:type="dxa"/>
            <w:tcBorders>
              <w:top w:val="single" w:color="auto" w:sz="2" w:space="0"/>
              <w:left w:val="single" w:color="auto" w:sz="2" w:space="0"/>
              <w:bottom w:val="single" w:color="auto" w:sz="2" w:space="0"/>
              <w:right w:val="single" w:color="auto" w:sz="2" w:space="0"/>
            </w:tcBorders>
            <w:vAlign w:val="center"/>
          </w:tcPr>
          <w:p w14:paraId="5695C2C3">
            <w:pPr>
              <w:spacing w:line="240" w:lineRule="exact"/>
              <w:rPr>
                <w:rFonts w:ascii="宋体" w:hAnsi="宋体" w:eastAsia="宋体" w:cs="宋体"/>
                <w:sz w:val="18"/>
                <w:szCs w:val="18"/>
              </w:rPr>
            </w:pPr>
            <w:r>
              <w:rPr>
                <w:rFonts w:ascii="宋体" w:hAnsi="宋体" w:eastAsia="宋体" w:cs="宋体"/>
                <w:sz w:val="18"/>
                <w:szCs w:val="18"/>
              </w:rPr>
              <w:t>越南隆安英鸿投资股份有限公司</w:t>
            </w:r>
          </w:p>
        </w:tc>
        <w:tc>
          <w:tcPr>
            <w:tcW w:w="2976" w:type="dxa"/>
            <w:tcBorders>
              <w:top w:val="single" w:color="auto" w:sz="2" w:space="0"/>
              <w:left w:val="single" w:color="auto" w:sz="2" w:space="0"/>
              <w:bottom w:val="single" w:color="auto" w:sz="2" w:space="0"/>
              <w:right w:val="single" w:color="auto" w:sz="2" w:space="0"/>
            </w:tcBorders>
            <w:vAlign w:val="center"/>
          </w:tcPr>
          <w:p w14:paraId="49C3C542">
            <w:pPr>
              <w:spacing w:line="240" w:lineRule="exact"/>
              <w:rPr>
                <w:rFonts w:ascii="宋体" w:hAnsi="宋体" w:eastAsia="宋体" w:cs="宋体"/>
                <w:sz w:val="18"/>
                <w:szCs w:val="18"/>
              </w:rPr>
            </w:pPr>
            <w:r>
              <w:rPr>
                <w:rFonts w:ascii="宋体" w:hAnsi="宋体" w:eastAsia="宋体" w:cs="宋体"/>
                <w:sz w:val="18"/>
                <w:szCs w:val="18"/>
              </w:rPr>
              <w:t>20.00%</w:t>
            </w:r>
          </w:p>
        </w:tc>
      </w:tr>
      <w:tr w14:paraId="63C91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663" w:type="dxa"/>
            <w:tcBorders>
              <w:top w:val="single" w:color="auto" w:sz="2" w:space="0"/>
              <w:left w:val="single" w:color="auto" w:sz="2" w:space="0"/>
              <w:bottom w:val="single" w:color="auto" w:sz="2" w:space="0"/>
              <w:right w:val="single" w:color="auto" w:sz="2" w:space="0"/>
            </w:tcBorders>
            <w:vAlign w:val="center"/>
          </w:tcPr>
          <w:p w14:paraId="588D5FAF">
            <w:pPr>
              <w:spacing w:line="240" w:lineRule="exact"/>
              <w:rPr>
                <w:rFonts w:ascii="宋体" w:hAnsi="宋体" w:eastAsia="宋体" w:cs="宋体"/>
                <w:sz w:val="18"/>
                <w:szCs w:val="18"/>
              </w:rPr>
            </w:pPr>
            <w:r>
              <w:rPr>
                <w:rFonts w:ascii="宋体" w:hAnsi="宋体" w:eastAsia="宋体" w:cs="宋体"/>
                <w:sz w:val="18"/>
                <w:szCs w:val="18"/>
              </w:rPr>
              <w:t>新疆棉花产业集团伽师棉业有限公司、新疆棉花产业集团岳普湖棉业有限公司、沙雅银花棉业有限责任公司、库车纵横棉业有限责任公司、新疆华孚恒丰棉业有限公司、石河子华孚宏盛棉业有限公司、胡杨河华孚宏盛棉业有限公司、石河子市华孚宏丰棉业有限公司、新疆泽孚棉花有限公司、新疆盛孚棉业有限公司</w:t>
            </w:r>
          </w:p>
        </w:tc>
        <w:tc>
          <w:tcPr>
            <w:tcW w:w="2976" w:type="dxa"/>
            <w:tcBorders>
              <w:top w:val="single" w:color="auto" w:sz="2" w:space="0"/>
              <w:left w:val="single" w:color="auto" w:sz="2" w:space="0"/>
              <w:bottom w:val="single" w:color="auto" w:sz="2" w:space="0"/>
              <w:right w:val="single" w:color="auto" w:sz="2" w:space="0"/>
            </w:tcBorders>
            <w:vAlign w:val="center"/>
          </w:tcPr>
          <w:p w14:paraId="6BF082D4">
            <w:pPr>
              <w:spacing w:line="240" w:lineRule="exact"/>
              <w:rPr>
                <w:rFonts w:ascii="宋体" w:hAnsi="宋体" w:eastAsia="宋体" w:cs="宋体"/>
                <w:sz w:val="18"/>
                <w:szCs w:val="18"/>
              </w:rPr>
            </w:pPr>
          </w:p>
        </w:tc>
      </w:tr>
      <w:tr w14:paraId="5AA64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663" w:type="dxa"/>
            <w:tcBorders>
              <w:top w:val="single" w:color="auto" w:sz="2" w:space="0"/>
              <w:left w:val="single" w:color="auto" w:sz="2" w:space="0"/>
              <w:bottom w:val="single" w:color="auto" w:sz="2" w:space="0"/>
              <w:right w:val="single" w:color="auto" w:sz="2" w:space="0"/>
            </w:tcBorders>
            <w:vAlign w:val="center"/>
          </w:tcPr>
          <w:p w14:paraId="2C740F72">
            <w:pPr>
              <w:spacing w:line="240" w:lineRule="exact"/>
              <w:rPr>
                <w:rFonts w:ascii="宋体" w:hAnsi="宋体" w:eastAsia="宋体" w:cs="宋体"/>
                <w:sz w:val="18"/>
                <w:szCs w:val="18"/>
              </w:rPr>
            </w:pPr>
            <w:r>
              <w:rPr>
                <w:rFonts w:ascii="宋体" w:hAnsi="宋体" w:eastAsia="宋体" w:cs="宋体"/>
                <w:sz w:val="18"/>
                <w:szCs w:val="18"/>
              </w:rPr>
              <w:t>阿克苏华孚色纺有限公司</w:t>
            </w:r>
          </w:p>
        </w:tc>
        <w:tc>
          <w:tcPr>
            <w:tcW w:w="2976" w:type="dxa"/>
            <w:tcBorders>
              <w:top w:val="single" w:color="auto" w:sz="2" w:space="0"/>
              <w:left w:val="single" w:color="auto" w:sz="2" w:space="0"/>
              <w:bottom w:val="single" w:color="auto" w:sz="2" w:space="0"/>
              <w:right w:val="single" w:color="auto" w:sz="2" w:space="0"/>
            </w:tcBorders>
            <w:vAlign w:val="center"/>
          </w:tcPr>
          <w:p w14:paraId="6A5C0E69">
            <w:pPr>
              <w:spacing w:line="240" w:lineRule="exact"/>
              <w:rPr>
                <w:rFonts w:ascii="宋体" w:hAnsi="宋体" w:eastAsia="宋体" w:cs="宋体"/>
                <w:sz w:val="18"/>
                <w:szCs w:val="18"/>
              </w:rPr>
            </w:pPr>
            <w:r>
              <w:rPr>
                <w:rFonts w:ascii="宋体" w:hAnsi="宋体" w:eastAsia="宋体" w:cs="宋体"/>
                <w:sz w:val="18"/>
                <w:szCs w:val="18"/>
              </w:rPr>
              <w:t>15.00%</w:t>
            </w:r>
          </w:p>
        </w:tc>
      </w:tr>
      <w:tr w14:paraId="76167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663" w:type="dxa"/>
            <w:tcBorders>
              <w:top w:val="single" w:color="auto" w:sz="2" w:space="0"/>
              <w:left w:val="single" w:color="auto" w:sz="2" w:space="0"/>
              <w:bottom w:val="single" w:color="auto" w:sz="2" w:space="0"/>
              <w:right w:val="single" w:color="auto" w:sz="2" w:space="0"/>
            </w:tcBorders>
            <w:vAlign w:val="center"/>
          </w:tcPr>
          <w:p w14:paraId="092CA31A">
            <w:pPr>
              <w:spacing w:line="240" w:lineRule="exact"/>
              <w:rPr>
                <w:rFonts w:ascii="宋体" w:hAnsi="宋体" w:eastAsia="宋体" w:cs="宋体"/>
                <w:sz w:val="18"/>
                <w:szCs w:val="18"/>
              </w:rPr>
            </w:pPr>
            <w:r>
              <w:rPr>
                <w:rFonts w:ascii="宋体" w:hAnsi="宋体" w:eastAsia="宋体" w:cs="宋体"/>
                <w:sz w:val="18"/>
                <w:szCs w:val="18"/>
              </w:rPr>
              <w:t>新加坡耀佳国际贸易有限公司</w:t>
            </w:r>
          </w:p>
        </w:tc>
        <w:tc>
          <w:tcPr>
            <w:tcW w:w="2976" w:type="dxa"/>
            <w:tcBorders>
              <w:top w:val="single" w:color="auto" w:sz="2" w:space="0"/>
              <w:left w:val="single" w:color="auto" w:sz="2" w:space="0"/>
              <w:bottom w:val="single" w:color="auto" w:sz="2" w:space="0"/>
              <w:right w:val="single" w:color="auto" w:sz="2" w:space="0"/>
            </w:tcBorders>
            <w:vAlign w:val="center"/>
          </w:tcPr>
          <w:p w14:paraId="6C8DDB05">
            <w:pPr>
              <w:spacing w:line="240" w:lineRule="exact"/>
              <w:rPr>
                <w:rFonts w:ascii="宋体" w:hAnsi="宋体" w:eastAsia="宋体" w:cs="宋体"/>
                <w:sz w:val="18"/>
                <w:szCs w:val="18"/>
              </w:rPr>
            </w:pPr>
            <w:r>
              <w:rPr>
                <w:rFonts w:ascii="宋体" w:hAnsi="宋体" w:eastAsia="宋体" w:cs="宋体"/>
                <w:sz w:val="18"/>
                <w:szCs w:val="18"/>
              </w:rPr>
              <w:t>17.00%</w:t>
            </w:r>
          </w:p>
        </w:tc>
      </w:tr>
      <w:tr w14:paraId="16B08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663" w:type="dxa"/>
            <w:tcBorders>
              <w:top w:val="single" w:color="auto" w:sz="2" w:space="0"/>
              <w:left w:val="single" w:color="auto" w:sz="2" w:space="0"/>
              <w:bottom w:val="single" w:color="auto" w:sz="2" w:space="0"/>
              <w:right w:val="single" w:color="auto" w:sz="2" w:space="0"/>
            </w:tcBorders>
            <w:vAlign w:val="center"/>
          </w:tcPr>
          <w:p w14:paraId="5379120A">
            <w:pPr>
              <w:spacing w:line="240" w:lineRule="exact"/>
              <w:rPr>
                <w:rFonts w:ascii="宋体" w:hAnsi="宋体" w:eastAsia="宋体" w:cs="宋体"/>
                <w:sz w:val="18"/>
                <w:szCs w:val="18"/>
              </w:rPr>
            </w:pPr>
            <w:r>
              <w:rPr>
                <w:rFonts w:ascii="宋体" w:hAnsi="宋体" w:eastAsia="宋体" w:cs="宋体"/>
                <w:sz w:val="18"/>
                <w:szCs w:val="18"/>
              </w:rPr>
              <w:t>诸暨市卡拉美拉科技有限公司</w:t>
            </w:r>
          </w:p>
        </w:tc>
        <w:tc>
          <w:tcPr>
            <w:tcW w:w="2976" w:type="dxa"/>
            <w:tcBorders>
              <w:top w:val="single" w:color="auto" w:sz="2" w:space="0"/>
              <w:left w:val="single" w:color="auto" w:sz="2" w:space="0"/>
              <w:bottom w:val="single" w:color="auto" w:sz="2" w:space="0"/>
              <w:right w:val="single" w:color="auto" w:sz="2" w:space="0"/>
            </w:tcBorders>
            <w:vAlign w:val="center"/>
          </w:tcPr>
          <w:p w14:paraId="223EFF39">
            <w:pPr>
              <w:spacing w:line="240" w:lineRule="exact"/>
              <w:rPr>
                <w:rFonts w:ascii="宋体" w:hAnsi="宋体" w:eastAsia="宋体" w:cs="宋体"/>
                <w:sz w:val="18"/>
                <w:szCs w:val="18"/>
              </w:rPr>
            </w:pPr>
            <w:r>
              <w:rPr>
                <w:rFonts w:ascii="宋体" w:hAnsi="宋体" w:eastAsia="宋体" w:cs="宋体"/>
                <w:sz w:val="18"/>
                <w:szCs w:val="18"/>
              </w:rPr>
              <w:t>15.00%</w:t>
            </w:r>
          </w:p>
        </w:tc>
      </w:tr>
      <w:tr w14:paraId="7F479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663" w:type="dxa"/>
            <w:tcBorders>
              <w:top w:val="single" w:color="auto" w:sz="2" w:space="0"/>
              <w:left w:val="single" w:color="auto" w:sz="2" w:space="0"/>
              <w:bottom w:val="single" w:color="auto" w:sz="2" w:space="0"/>
              <w:right w:val="single" w:color="auto" w:sz="2" w:space="0"/>
            </w:tcBorders>
            <w:vAlign w:val="center"/>
          </w:tcPr>
          <w:p w14:paraId="4F415C8A">
            <w:pPr>
              <w:spacing w:line="240" w:lineRule="exact"/>
              <w:rPr>
                <w:rFonts w:ascii="宋体" w:hAnsi="宋体" w:eastAsia="宋体" w:cs="宋体"/>
                <w:sz w:val="18"/>
                <w:szCs w:val="18"/>
              </w:rPr>
            </w:pPr>
            <w:r>
              <w:rPr>
                <w:rFonts w:ascii="宋体" w:hAnsi="宋体" w:eastAsia="宋体" w:cs="宋体"/>
                <w:sz w:val="18"/>
                <w:szCs w:val="18"/>
              </w:rPr>
              <w:t>阿克苏华孚新能源有限公司、上海华孚色纺贸易有限公司、浙江菁英电商管理服务有限公司、浙江菁英创业服务有限公司、杭州名鲲科技有限公司等</w:t>
            </w:r>
          </w:p>
        </w:tc>
        <w:tc>
          <w:tcPr>
            <w:tcW w:w="2976" w:type="dxa"/>
            <w:tcBorders>
              <w:top w:val="single" w:color="auto" w:sz="2" w:space="0"/>
              <w:left w:val="single" w:color="auto" w:sz="2" w:space="0"/>
              <w:bottom w:val="single" w:color="auto" w:sz="2" w:space="0"/>
              <w:right w:val="single" w:color="auto" w:sz="2" w:space="0"/>
            </w:tcBorders>
            <w:vAlign w:val="center"/>
          </w:tcPr>
          <w:p w14:paraId="487E62B9">
            <w:pPr>
              <w:spacing w:line="240" w:lineRule="exact"/>
              <w:rPr>
                <w:rFonts w:ascii="宋体" w:hAnsi="宋体" w:eastAsia="宋体" w:cs="宋体"/>
                <w:sz w:val="18"/>
                <w:szCs w:val="18"/>
              </w:rPr>
            </w:pPr>
            <w:r>
              <w:rPr>
                <w:rFonts w:ascii="宋体" w:hAnsi="宋体" w:eastAsia="宋体" w:cs="宋体"/>
                <w:sz w:val="18"/>
                <w:szCs w:val="18"/>
              </w:rPr>
              <w:t>20.00%</w:t>
            </w:r>
          </w:p>
        </w:tc>
      </w:tr>
      <w:tr w14:paraId="38320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663" w:type="dxa"/>
            <w:tcBorders>
              <w:top w:val="single" w:color="auto" w:sz="2" w:space="0"/>
              <w:left w:val="single" w:color="auto" w:sz="2" w:space="0"/>
              <w:bottom w:val="single" w:color="auto" w:sz="2" w:space="0"/>
              <w:right w:val="single" w:color="auto" w:sz="2" w:space="0"/>
            </w:tcBorders>
            <w:vAlign w:val="center"/>
          </w:tcPr>
          <w:p w14:paraId="01EFB8BB">
            <w:pPr>
              <w:spacing w:line="240" w:lineRule="exact"/>
              <w:rPr>
                <w:rFonts w:ascii="宋体" w:hAnsi="宋体" w:eastAsia="宋体" w:cs="宋体"/>
                <w:sz w:val="18"/>
                <w:szCs w:val="18"/>
              </w:rPr>
            </w:pPr>
            <w:r>
              <w:rPr>
                <w:rFonts w:ascii="宋体" w:hAnsi="宋体" w:eastAsia="宋体" w:cs="宋体"/>
                <w:sz w:val="18"/>
                <w:szCs w:val="18"/>
              </w:rPr>
              <w:t>其他子公司</w:t>
            </w:r>
          </w:p>
        </w:tc>
        <w:tc>
          <w:tcPr>
            <w:tcW w:w="2976" w:type="dxa"/>
            <w:tcBorders>
              <w:top w:val="single" w:color="auto" w:sz="2" w:space="0"/>
              <w:left w:val="single" w:color="auto" w:sz="2" w:space="0"/>
              <w:bottom w:val="single" w:color="auto" w:sz="2" w:space="0"/>
              <w:right w:val="single" w:color="auto" w:sz="2" w:space="0"/>
            </w:tcBorders>
            <w:vAlign w:val="center"/>
          </w:tcPr>
          <w:p w14:paraId="2BE2ED41">
            <w:pPr>
              <w:spacing w:line="240" w:lineRule="exact"/>
              <w:rPr>
                <w:rFonts w:ascii="宋体" w:hAnsi="宋体" w:eastAsia="宋体" w:cs="宋体"/>
                <w:sz w:val="18"/>
                <w:szCs w:val="18"/>
              </w:rPr>
            </w:pPr>
            <w:r>
              <w:rPr>
                <w:rFonts w:ascii="宋体" w:hAnsi="宋体" w:eastAsia="宋体" w:cs="宋体"/>
                <w:sz w:val="18"/>
                <w:szCs w:val="18"/>
              </w:rPr>
              <w:t>25.00%</w:t>
            </w:r>
          </w:p>
        </w:tc>
      </w:tr>
    </w:tbl>
    <w:p w14:paraId="502AF458">
      <w:pPr>
        <w:pStyle w:val="3"/>
        <w:spacing w:line="280" w:lineRule="exact"/>
        <w:jc w:val="left"/>
        <w:rPr>
          <w:rFonts w:ascii="宋体" w:hAnsi="宋体" w:cs="宋体"/>
          <w:b/>
          <w:bCs/>
        </w:rPr>
      </w:pPr>
      <w:bookmarkStart w:id="264" w:name="_Toc989119"/>
      <w:r>
        <w:rPr>
          <w:rFonts w:ascii="宋体" w:hAnsi="宋体" w:cs="宋体"/>
          <w:b/>
          <w:bCs/>
        </w:rPr>
        <w:t>2、税收优惠</w:t>
      </w:r>
      <w:bookmarkEnd w:id="264"/>
    </w:p>
    <w:p w14:paraId="6E1D9A63">
      <w:pPr>
        <w:widowControl/>
        <w:numPr>
          <w:ilvl w:val="0"/>
          <w:numId w:val="111"/>
        </w:numPr>
        <w:spacing w:before="100" w:beforeAutospacing="1" w:after="100" w:afterAutospacing="1"/>
        <w:rPr>
          <w:sz w:val="18"/>
          <w:szCs w:val="18"/>
        </w:rPr>
      </w:pPr>
      <w:r>
        <w:rPr>
          <w:rFonts w:hint="eastAsia"/>
          <w:sz w:val="18"/>
          <w:szCs w:val="18"/>
        </w:rPr>
        <w:t>本公司取得了安徽省科学技术厅、安徽省财政厅、国家税务总局安徽省税务局于2024年11月28日联合颁发的证书编号GR202434005332的《高新技术企业证书》，有效期为3年。本公司自2024年度起享受高新技术企业税收优惠税率，即2025年享受15%的企业所得税优惠税率。</w:t>
      </w:r>
    </w:p>
    <w:p w14:paraId="23A332BC">
      <w:pPr>
        <w:widowControl/>
        <w:numPr>
          <w:ilvl w:val="0"/>
          <w:numId w:val="111"/>
        </w:numPr>
        <w:spacing w:before="100" w:beforeAutospacing="1" w:after="100" w:afterAutospacing="1"/>
        <w:rPr>
          <w:sz w:val="18"/>
          <w:szCs w:val="18"/>
        </w:rPr>
      </w:pPr>
      <w:r>
        <w:rPr>
          <w:rFonts w:hint="eastAsia"/>
          <w:sz w:val="18"/>
          <w:szCs w:val="18"/>
        </w:rPr>
        <w:t>根据2024年12月6日浙江省科学技术厅、浙江省财政厅、国家税务总局浙江省税务局联合颁发的证书编号GR202433003757的《高新技术企业证书》，有效期为3年。浙江色纺自2024年度起享受高新技术企业税收优惠税率，即2025年享受15%的企业所得税优惠税率。</w:t>
      </w:r>
    </w:p>
    <w:p w14:paraId="79860F05">
      <w:pPr>
        <w:widowControl/>
        <w:numPr>
          <w:ilvl w:val="0"/>
          <w:numId w:val="111"/>
        </w:numPr>
        <w:spacing w:before="100" w:beforeAutospacing="1" w:after="100" w:afterAutospacing="1"/>
        <w:rPr>
          <w:sz w:val="18"/>
          <w:szCs w:val="18"/>
        </w:rPr>
      </w:pPr>
      <w:r>
        <w:rPr>
          <w:rFonts w:hint="eastAsia"/>
          <w:sz w:val="18"/>
          <w:szCs w:val="18"/>
        </w:rPr>
        <w:t>根据财政部公告2020年第23号文件《财政部 税务总局 国家发展改革委关于延续西部大开发企业所得税政策的公告》的规定，对符合[西部地区鼓励类产业目录]第二十大类中的第六项的新疆维吾尔自治区境内的纺织企业，自2020年至2030年，对设在西部地区的鼓励类产业企业减按15%的税率征收企业所得税。据此，本公司之子公司奎屯锦孚纺织、新疆六孚纺织享受15%的企业所得税率。</w:t>
      </w:r>
    </w:p>
    <w:p w14:paraId="2F5810AD">
      <w:pPr>
        <w:widowControl/>
        <w:numPr>
          <w:ilvl w:val="0"/>
          <w:numId w:val="111"/>
        </w:numPr>
        <w:spacing w:before="100" w:beforeAutospacing="1" w:after="100" w:afterAutospacing="1"/>
        <w:rPr>
          <w:sz w:val="18"/>
          <w:szCs w:val="18"/>
        </w:rPr>
      </w:pPr>
      <w:r>
        <w:rPr>
          <w:rFonts w:hint="eastAsia"/>
          <w:sz w:val="18"/>
          <w:szCs w:val="18"/>
        </w:rPr>
        <w:t>根据《中华人民共和国企业所得税法》第二十七条第（一）项及《中华人民共和国企业所得税法实施条例》第二十七条第八十六条第一款之规定，通过轧花、剥绒等脱绒工序简单加工处理，制成的产品（皮棉、短绒、棉籽）的收入免征企业所得税。据此，本公司之子公司伽师棉业、岳普湖棉业、沙雅银花、库车纵横、华孚恒丰、石河子宏盛棉业、胡杨河宏盛棉业、石河子宏丰棉业、盛孚棉业免征企业所得税。</w:t>
      </w:r>
    </w:p>
    <w:p w14:paraId="3E92C210">
      <w:pPr>
        <w:widowControl/>
        <w:numPr>
          <w:ilvl w:val="0"/>
          <w:numId w:val="111"/>
        </w:numPr>
        <w:spacing w:before="100" w:beforeAutospacing="1" w:after="100" w:afterAutospacing="1"/>
        <w:rPr>
          <w:sz w:val="18"/>
          <w:szCs w:val="18"/>
        </w:rPr>
      </w:pPr>
      <w:r>
        <w:rPr>
          <w:rFonts w:hint="eastAsia"/>
          <w:sz w:val="18"/>
          <w:szCs w:val="18"/>
        </w:rPr>
        <w:t>根据2024年12月4日新疆维吾尔自治区科学技术厅、新疆维吾尔自治区财政厅、国家税务总局新疆维吾尔自治区税务局联合颁发的证书编号GR202465000986的《高新技术企业证书》，有效期为3年。阿克苏华孚自2024年度起享受高新技术企业税收优惠税率，即2025年享受15%的企业所得税优惠税率。</w:t>
      </w:r>
    </w:p>
    <w:p w14:paraId="16DA532D">
      <w:pPr>
        <w:widowControl/>
        <w:numPr>
          <w:ilvl w:val="0"/>
          <w:numId w:val="111"/>
        </w:numPr>
        <w:spacing w:before="100" w:beforeAutospacing="1" w:after="100" w:afterAutospacing="1"/>
        <w:rPr>
          <w:sz w:val="18"/>
          <w:szCs w:val="18"/>
        </w:rPr>
      </w:pPr>
      <w:r>
        <w:rPr>
          <w:rFonts w:hint="eastAsia"/>
          <w:sz w:val="18"/>
          <w:szCs w:val="18"/>
        </w:rPr>
        <w:t>新加坡注册企业首1万新币利润，减免税务75%，税率为4.25%；企业后续19万新币利润，享有减免税务50%；企业超出20万新币的利润部分，按照17%的税率正常征收。</w:t>
      </w:r>
    </w:p>
    <w:p w14:paraId="607BC056">
      <w:pPr>
        <w:widowControl/>
        <w:numPr>
          <w:ilvl w:val="0"/>
          <w:numId w:val="111"/>
        </w:numPr>
        <w:spacing w:before="100" w:beforeAutospacing="1" w:after="100" w:afterAutospacing="1"/>
        <w:rPr>
          <w:sz w:val="18"/>
          <w:szCs w:val="18"/>
        </w:rPr>
      </w:pPr>
      <w:r>
        <w:rPr>
          <w:rFonts w:hint="eastAsia"/>
          <w:sz w:val="18"/>
          <w:szCs w:val="18"/>
        </w:rPr>
        <w:t>根据《财政部 税务总局关于进一步实施小微企业所得税优惠政策的公告》（财政部 税务总局公告2022年第13号）、《财政部 税务总局关于小微企业和个体工商户所得税优惠政策的公告》（财政部 税务总局公告2023年第6号）、《财政部 税务总局关于进一步支持小微企业和个体工商户发展有关税费政策的公告》（财政部 税务总局公告2023年第12号 ）的规定，自2022年1月1日至2024年12月31日，对小型微利企业年应纳税所得额超过100万元但不超过300万元的部分，减按25%计入应纳税所得额，按20%的税率缴纳企业所得税。自2023年1月1日至2024年12月31日，对小型微利企业年应纳税所得额不超过100万元的部分，减按25%计入应纳税所得额，按20%的税率缴纳企业所得税。对小型微利企业减按25%计算应纳税所得额，按20%的税率缴纳企业所得税政策，延续执行至2027年12月31日。阿克苏新能源、浙江阿大互联、上海华孚色纺、菁英电商、菁英创业等子公司按照政策适用该税收优惠政策。</w:t>
      </w:r>
    </w:p>
    <w:p w14:paraId="24520615">
      <w:pPr>
        <w:widowControl/>
        <w:numPr>
          <w:ilvl w:val="0"/>
          <w:numId w:val="111"/>
        </w:numPr>
        <w:spacing w:before="100" w:beforeAutospacing="1" w:after="100" w:afterAutospacing="1"/>
        <w:rPr>
          <w:sz w:val="18"/>
          <w:szCs w:val="18"/>
        </w:rPr>
      </w:pPr>
      <w:r>
        <w:rPr>
          <w:rFonts w:hint="eastAsia"/>
          <w:szCs w:val="21"/>
        </w:rPr>
        <w:t>香港华孚有限自</w:t>
      </w:r>
      <w:r>
        <w:rPr>
          <w:rFonts w:ascii="Arial Narrow" w:hAnsi="Arial Narrow"/>
          <w:szCs w:val="21"/>
        </w:rPr>
        <w:t>2012</w:t>
      </w:r>
      <w:r>
        <w:rPr>
          <w:rFonts w:hint="eastAsia"/>
          <w:szCs w:val="21"/>
        </w:rPr>
        <w:t>年</w:t>
      </w:r>
      <w:r>
        <w:rPr>
          <w:rFonts w:ascii="Arial Narrow" w:hAnsi="Arial Narrow"/>
          <w:szCs w:val="21"/>
        </w:rPr>
        <w:t>1</w:t>
      </w:r>
      <w:r>
        <w:rPr>
          <w:rFonts w:hint="eastAsia"/>
          <w:szCs w:val="21"/>
        </w:rPr>
        <w:t>月</w:t>
      </w:r>
      <w:r>
        <w:rPr>
          <w:rFonts w:ascii="Arial Narrow" w:hAnsi="Arial Narrow"/>
          <w:szCs w:val="21"/>
        </w:rPr>
        <w:t>1</w:t>
      </w:r>
      <w:r>
        <w:rPr>
          <w:rFonts w:hint="eastAsia"/>
          <w:szCs w:val="21"/>
        </w:rPr>
        <w:t>日起被国家税务总局认定为居民企业，相关股利分红的税收制度享受居民企业待遇。</w:t>
      </w:r>
    </w:p>
    <w:p w14:paraId="4E814339">
      <w:pPr>
        <w:pStyle w:val="3"/>
        <w:spacing w:line="280" w:lineRule="exact"/>
        <w:jc w:val="left"/>
        <w:rPr>
          <w:rFonts w:ascii="宋体" w:hAnsi="宋体" w:cs="宋体"/>
          <w:b/>
          <w:bCs/>
        </w:rPr>
      </w:pPr>
      <w:bookmarkStart w:id="265" w:name="_Toc989120"/>
      <w:r>
        <w:rPr>
          <w:rFonts w:ascii="宋体" w:hAnsi="宋体" w:cs="宋体"/>
          <w:b/>
          <w:bCs/>
        </w:rPr>
        <w:t>3、其他</w:t>
      </w:r>
      <w:bookmarkEnd w:id="265"/>
    </w:p>
    <w:p w14:paraId="3451CEAA">
      <w:pPr>
        <w:pStyle w:val="2"/>
        <w:spacing w:before="300" w:after="300" w:line="320" w:lineRule="exact"/>
        <w:rPr>
          <w:rFonts w:ascii="宋体" w:hAnsi="宋体" w:eastAsia="宋体" w:cs="宋体"/>
          <w:b/>
          <w:bCs/>
          <w:sz w:val="24"/>
          <w:szCs w:val="24"/>
        </w:rPr>
      </w:pPr>
      <w:bookmarkStart w:id="266" w:name="_Toc989121"/>
      <w:r>
        <w:rPr>
          <w:rFonts w:ascii="宋体" w:hAnsi="宋体" w:eastAsia="宋体" w:cs="宋体"/>
          <w:b/>
          <w:bCs/>
          <w:sz w:val="24"/>
          <w:szCs w:val="24"/>
        </w:rPr>
        <w:t>七、合并财务报表项目注释</w:t>
      </w:r>
      <w:bookmarkEnd w:id="266"/>
    </w:p>
    <w:p w14:paraId="46C8552D">
      <w:pPr>
        <w:pStyle w:val="3"/>
        <w:spacing w:line="280" w:lineRule="exact"/>
        <w:jc w:val="left"/>
        <w:rPr>
          <w:rFonts w:ascii="宋体" w:hAnsi="宋体" w:cs="宋体"/>
          <w:b/>
          <w:bCs/>
        </w:rPr>
      </w:pPr>
      <w:bookmarkStart w:id="267" w:name="_Toc989122"/>
      <w:r>
        <w:rPr>
          <w:rFonts w:ascii="宋体" w:hAnsi="宋体" w:cs="宋体"/>
          <w:b/>
          <w:bCs/>
        </w:rPr>
        <w:t>1、货币资金</w:t>
      </w:r>
      <w:bookmarkEnd w:id="267"/>
    </w:p>
    <w:p w14:paraId="648ED8D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5135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927B25">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9F97E7">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3EF3E9">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6458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6693A3">
            <w:pPr>
              <w:spacing w:before="40" w:after="40" w:line="240" w:lineRule="exact"/>
              <w:rPr>
                <w:rFonts w:ascii="宋体" w:hAnsi="宋体" w:eastAsia="宋体" w:cs="宋体"/>
                <w:sz w:val="18"/>
                <w:szCs w:val="18"/>
              </w:rPr>
            </w:pPr>
            <w:r>
              <w:rPr>
                <w:rFonts w:ascii="宋体" w:hAnsi="宋体" w:eastAsia="宋体" w:cs="宋体"/>
                <w:sz w:val="18"/>
                <w:szCs w:val="18"/>
              </w:rPr>
              <w:t>库存现金</w:t>
            </w:r>
          </w:p>
        </w:tc>
        <w:tc>
          <w:tcPr>
            <w:tcW w:w="3213" w:type="dxa"/>
            <w:tcBorders>
              <w:top w:val="single" w:color="auto" w:sz="2" w:space="0"/>
              <w:left w:val="single" w:color="auto" w:sz="2" w:space="0"/>
              <w:bottom w:val="single" w:color="auto" w:sz="2" w:space="0"/>
              <w:right w:val="single" w:color="auto" w:sz="2" w:space="0"/>
            </w:tcBorders>
            <w:vAlign w:val="center"/>
          </w:tcPr>
          <w:p w14:paraId="5A1CC93B">
            <w:pPr>
              <w:spacing w:line="240" w:lineRule="exact"/>
              <w:jc w:val="right"/>
              <w:rPr>
                <w:rFonts w:ascii="宋体" w:hAnsi="宋体" w:eastAsia="宋体" w:cs="宋体"/>
                <w:sz w:val="18"/>
                <w:szCs w:val="18"/>
              </w:rPr>
            </w:pPr>
            <w:r>
              <w:rPr>
                <w:rFonts w:ascii="宋体" w:hAnsi="宋体" w:eastAsia="宋体" w:cs="宋体"/>
                <w:sz w:val="18"/>
                <w:szCs w:val="18"/>
              </w:rPr>
              <w:t>132,625.41</w:t>
            </w:r>
          </w:p>
        </w:tc>
        <w:tc>
          <w:tcPr>
            <w:tcW w:w="3213" w:type="dxa"/>
            <w:tcBorders>
              <w:top w:val="single" w:color="auto" w:sz="2" w:space="0"/>
              <w:left w:val="single" w:color="auto" w:sz="2" w:space="0"/>
              <w:bottom w:val="single" w:color="auto" w:sz="2" w:space="0"/>
              <w:right w:val="single" w:color="auto" w:sz="2" w:space="0"/>
            </w:tcBorders>
            <w:vAlign w:val="center"/>
          </w:tcPr>
          <w:p w14:paraId="0DAE4818">
            <w:pPr>
              <w:spacing w:line="240" w:lineRule="exact"/>
              <w:jc w:val="right"/>
              <w:rPr>
                <w:rFonts w:ascii="宋体" w:hAnsi="宋体" w:eastAsia="宋体" w:cs="宋体"/>
                <w:sz w:val="18"/>
                <w:szCs w:val="18"/>
              </w:rPr>
            </w:pPr>
            <w:r>
              <w:rPr>
                <w:rFonts w:ascii="宋体" w:hAnsi="宋体" w:eastAsia="宋体" w:cs="宋体"/>
                <w:sz w:val="18"/>
                <w:szCs w:val="18"/>
              </w:rPr>
              <w:t>69,644.90</w:t>
            </w:r>
          </w:p>
        </w:tc>
      </w:tr>
      <w:tr w14:paraId="2575D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76C93F">
            <w:pPr>
              <w:spacing w:before="40" w:after="40" w:line="240" w:lineRule="exact"/>
              <w:rPr>
                <w:rFonts w:ascii="宋体" w:hAnsi="宋体" w:eastAsia="宋体" w:cs="宋体"/>
                <w:sz w:val="18"/>
                <w:szCs w:val="18"/>
              </w:rPr>
            </w:pPr>
            <w:r>
              <w:rPr>
                <w:rFonts w:ascii="宋体" w:hAnsi="宋体" w:eastAsia="宋体" w:cs="宋体"/>
                <w:sz w:val="18"/>
                <w:szCs w:val="18"/>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14:paraId="221E8777">
            <w:pPr>
              <w:spacing w:line="240" w:lineRule="exact"/>
              <w:jc w:val="right"/>
              <w:rPr>
                <w:rFonts w:ascii="宋体" w:hAnsi="宋体" w:eastAsia="宋体" w:cs="宋体"/>
                <w:sz w:val="18"/>
                <w:szCs w:val="18"/>
              </w:rPr>
            </w:pPr>
            <w:r>
              <w:rPr>
                <w:rFonts w:ascii="宋体" w:hAnsi="宋体" w:eastAsia="宋体" w:cs="宋体"/>
                <w:sz w:val="18"/>
                <w:szCs w:val="18"/>
              </w:rPr>
              <w:t>914,530,755.78</w:t>
            </w:r>
          </w:p>
        </w:tc>
        <w:tc>
          <w:tcPr>
            <w:tcW w:w="3213" w:type="dxa"/>
            <w:tcBorders>
              <w:top w:val="single" w:color="auto" w:sz="2" w:space="0"/>
              <w:left w:val="single" w:color="auto" w:sz="2" w:space="0"/>
              <w:bottom w:val="single" w:color="auto" w:sz="2" w:space="0"/>
              <w:right w:val="single" w:color="auto" w:sz="2" w:space="0"/>
            </w:tcBorders>
            <w:vAlign w:val="center"/>
          </w:tcPr>
          <w:p w14:paraId="156D64EB">
            <w:pPr>
              <w:spacing w:line="240" w:lineRule="exact"/>
              <w:jc w:val="right"/>
              <w:rPr>
                <w:rFonts w:ascii="宋体" w:hAnsi="宋体" w:eastAsia="宋体" w:cs="宋体"/>
                <w:sz w:val="18"/>
                <w:szCs w:val="18"/>
              </w:rPr>
            </w:pPr>
            <w:r>
              <w:rPr>
                <w:rFonts w:ascii="宋体" w:hAnsi="宋体" w:eastAsia="宋体" w:cs="宋体"/>
                <w:sz w:val="18"/>
                <w:szCs w:val="18"/>
              </w:rPr>
              <w:t>1,840,496,250.51</w:t>
            </w:r>
          </w:p>
        </w:tc>
      </w:tr>
      <w:tr w14:paraId="605D9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A19194">
            <w:pPr>
              <w:spacing w:before="40" w:after="40" w:line="240" w:lineRule="exact"/>
              <w:rPr>
                <w:rFonts w:ascii="宋体" w:hAnsi="宋体" w:eastAsia="宋体" w:cs="宋体"/>
                <w:sz w:val="18"/>
                <w:szCs w:val="18"/>
              </w:rPr>
            </w:pPr>
            <w:r>
              <w:rPr>
                <w:rFonts w:ascii="宋体" w:hAnsi="宋体" w:eastAsia="宋体" w:cs="宋体"/>
                <w:sz w:val="18"/>
                <w:szCs w:val="18"/>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0BFCE037">
            <w:pPr>
              <w:spacing w:line="240" w:lineRule="exact"/>
              <w:jc w:val="right"/>
              <w:rPr>
                <w:rFonts w:ascii="宋体" w:hAnsi="宋体" w:eastAsia="宋体" w:cs="宋体"/>
                <w:sz w:val="18"/>
                <w:szCs w:val="18"/>
              </w:rPr>
            </w:pPr>
            <w:r>
              <w:rPr>
                <w:rFonts w:ascii="宋体" w:hAnsi="宋体" w:eastAsia="宋体" w:cs="宋体"/>
                <w:sz w:val="18"/>
                <w:szCs w:val="18"/>
              </w:rPr>
              <w:t>758,386,412.97</w:t>
            </w:r>
          </w:p>
        </w:tc>
        <w:tc>
          <w:tcPr>
            <w:tcW w:w="3213" w:type="dxa"/>
            <w:tcBorders>
              <w:top w:val="single" w:color="auto" w:sz="2" w:space="0"/>
              <w:left w:val="single" w:color="auto" w:sz="2" w:space="0"/>
              <w:bottom w:val="single" w:color="auto" w:sz="2" w:space="0"/>
              <w:right w:val="single" w:color="auto" w:sz="2" w:space="0"/>
            </w:tcBorders>
            <w:vAlign w:val="center"/>
          </w:tcPr>
          <w:p w14:paraId="3622093A">
            <w:pPr>
              <w:spacing w:line="240" w:lineRule="exact"/>
              <w:jc w:val="right"/>
              <w:rPr>
                <w:rFonts w:ascii="宋体" w:hAnsi="宋体" w:eastAsia="宋体" w:cs="宋体"/>
                <w:sz w:val="18"/>
                <w:szCs w:val="18"/>
              </w:rPr>
            </w:pPr>
            <w:r>
              <w:rPr>
                <w:rFonts w:ascii="宋体" w:hAnsi="宋体" w:eastAsia="宋体" w:cs="宋体"/>
                <w:sz w:val="18"/>
                <w:szCs w:val="18"/>
              </w:rPr>
              <w:t>654,984,950.17</w:t>
            </w:r>
          </w:p>
        </w:tc>
      </w:tr>
      <w:tr w14:paraId="2D9AA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39A86B">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2C1D963">
            <w:pPr>
              <w:spacing w:line="240" w:lineRule="exact"/>
              <w:jc w:val="right"/>
              <w:rPr>
                <w:rFonts w:ascii="宋体" w:hAnsi="宋体" w:eastAsia="宋体" w:cs="宋体"/>
                <w:sz w:val="18"/>
                <w:szCs w:val="18"/>
              </w:rPr>
            </w:pPr>
            <w:r>
              <w:rPr>
                <w:rFonts w:ascii="宋体" w:hAnsi="宋体" w:eastAsia="宋体" w:cs="宋体"/>
                <w:sz w:val="18"/>
                <w:szCs w:val="18"/>
              </w:rPr>
              <w:t>1,673,049,794.16</w:t>
            </w:r>
          </w:p>
        </w:tc>
        <w:tc>
          <w:tcPr>
            <w:tcW w:w="3213" w:type="dxa"/>
            <w:tcBorders>
              <w:top w:val="single" w:color="auto" w:sz="2" w:space="0"/>
              <w:left w:val="single" w:color="auto" w:sz="2" w:space="0"/>
              <w:bottom w:val="single" w:color="auto" w:sz="2" w:space="0"/>
              <w:right w:val="single" w:color="auto" w:sz="2" w:space="0"/>
            </w:tcBorders>
            <w:vAlign w:val="center"/>
          </w:tcPr>
          <w:p w14:paraId="1031351D">
            <w:pPr>
              <w:spacing w:line="240" w:lineRule="exact"/>
              <w:jc w:val="right"/>
              <w:rPr>
                <w:rFonts w:ascii="宋体" w:hAnsi="宋体" w:eastAsia="宋体" w:cs="宋体"/>
                <w:sz w:val="18"/>
                <w:szCs w:val="18"/>
              </w:rPr>
            </w:pPr>
            <w:r>
              <w:rPr>
                <w:rFonts w:ascii="宋体" w:hAnsi="宋体" w:eastAsia="宋体" w:cs="宋体"/>
                <w:sz w:val="18"/>
                <w:szCs w:val="18"/>
              </w:rPr>
              <w:t>2,495,550,845.58</w:t>
            </w:r>
          </w:p>
        </w:tc>
      </w:tr>
      <w:tr w14:paraId="2CA5F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1777C8">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其中：存放在境外的款项总额</w:t>
            </w:r>
          </w:p>
        </w:tc>
        <w:tc>
          <w:tcPr>
            <w:tcW w:w="3213" w:type="dxa"/>
            <w:tcBorders>
              <w:top w:val="single" w:color="auto" w:sz="2" w:space="0"/>
              <w:left w:val="single" w:color="auto" w:sz="2" w:space="0"/>
              <w:bottom w:val="single" w:color="auto" w:sz="2" w:space="0"/>
              <w:right w:val="single" w:color="auto" w:sz="2" w:space="0"/>
            </w:tcBorders>
            <w:vAlign w:val="center"/>
          </w:tcPr>
          <w:p w14:paraId="7712C534">
            <w:pPr>
              <w:spacing w:line="240" w:lineRule="exact"/>
              <w:jc w:val="right"/>
              <w:rPr>
                <w:rFonts w:ascii="宋体" w:hAnsi="宋体" w:eastAsia="宋体" w:cs="宋体"/>
                <w:sz w:val="18"/>
                <w:szCs w:val="18"/>
              </w:rPr>
            </w:pPr>
            <w:r>
              <w:rPr>
                <w:rFonts w:ascii="宋体" w:hAnsi="宋体" w:eastAsia="宋体" w:cs="宋体"/>
                <w:sz w:val="18"/>
                <w:szCs w:val="18"/>
              </w:rPr>
              <w:t>371,319,162.23</w:t>
            </w:r>
          </w:p>
        </w:tc>
        <w:tc>
          <w:tcPr>
            <w:tcW w:w="3213" w:type="dxa"/>
            <w:tcBorders>
              <w:top w:val="single" w:color="auto" w:sz="2" w:space="0"/>
              <w:left w:val="single" w:color="auto" w:sz="2" w:space="0"/>
              <w:bottom w:val="single" w:color="auto" w:sz="2" w:space="0"/>
              <w:right w:val="single" w:color="auto" w:sz="2" w:space="0"/>
            </w:tcBorders>
            <w:vAlign w:val="center"/>
          </w:tcPr>
          <w:p w14:paraId="20890226">
            <w:pPr>
              <w:spacing w:line="240" w:lineRule="exact"/>
              <w:jc w:val="right"/>
              <w:rPr>
                <w:rFonts w:ascii="宋体" w:hAnsi="宋体" w:eastAsia="宋体" w:cs="宋体"/>
                <w:sz w:val="18"/>
                <w:szCs w:val="18"/>
              </w:rPr>
            </w:pPr>
            <w:r>
              <w:rPr>
                <w:rFonts w:ascii="宋体" w:hAnsi="宋体" w:eastAsia="宋体" w:cs="宋体"/>
                <w:sz w:val="18"/>
                <w:szCs w:val="18"/>
              </w:rPr>
              <w:t>221,425,649.33</w:t>
            </w:r>
          </w:p>
        </w:tc>
      </w:tr>
    </w:tbl>
    <w:p w14:paraId="3F584428">
      <w:pPr>
        <w:spacing w:before="100" w:after="100" w:line="240" w:lineRule="exact"/>
        <w:rPr>
          <w:rFonts w:ascii="宋体" w:hAnsi="宋体" w:eastAsia="宋体" w:cs="宋体"/>
          <w:sz w:val="18"/>
          <w:szCs w:val="18"/>
        </w:rPr>
      </w:pPr>
      <w:r>
        <w:rPr>
          <w:rFonts w:ascii="宋体" w:hAnsi="宋体" w:eastAsia="宋体" w:cs="宋体"/>
          <w:sz w:val="18"/>
          <w:szCs w:val="18"/>
        </w:rPr>
        <w:t>其他说明：</w:t>
      </w:r>
    </w:p>
    <w:p w14:paraId="55519152">
      <w:pPr>
        <w:pStyle w:val="9"/>
        <w:spacing w:before="0" w:beforeAutospacing="0" w:after="0" w:afterAutospacing="0" w:line="360" w:lineRule="auto"/>
        <w:ind w:firstLine="420"/>
        <w:jc w:val="both"/>
        <w:rPr>
          <w:sz w:val="21"/>
          <w:szCs w:val="21"/>
        </w:rPr>
      </w:pPr>
      <w:r>
        <w:rPr>
          <w:rFonts w:hint="eastAsia"/>
          <w:sz w:val="21"/>
          <w:szCs w:val="21"/>
        </w:rPr>
        <w:t>其中受限制的货币资金明细如下：</w:t>
      </w:r>
      <w:bookmarkStart w:id="268" w:name="RANGE!A31:C37"/>
      <w:bookmarkEnd w:id="268"/>
      <w:bookmarkStart w:id="269" w:name="RANGE!A32:C38"/>
      <w:bookmarkEnd w:id="269"/>
      <w:bookmarkStart w:id="270" w:name="RANGE!A34:C40"/>
      <w:bookmarkEnd w:id="270"/>
    </w:p>
    <w:tbl>
      <w:tblPr>
        <w:tblStyle w:val="10"/>
        <w:tblW w:w="9747" w:type="dxa"/>
        <w:tblInd w:w="0" w:type="dxa"/>
        <w:tblLayout w:type="autofit"/>
        <w:tblCellMar>
          <w:top w:w="0" w:type="dxa"/>
          <w:left w:w="0" w:type="dxa"/>
          <w:bottom w:w="0" w:type="dxa"/>
          <w:right w:w="0" w:type="dxa"/>
        </w:tblCellMar>
      </w:tblPr>
      <w:tblGrid>
        <w:gridCol w:w="3652"/>
        <w:gridCol w:w="2126"/>
        <w:gridCol w:w="3969"/>
      </w:tblGrid>
      <w:tr w14:paraId="4A1C71CA">
        <w:tblPrEx>
          <w:tblCellMar>
            <w:top w:w="0" w:type="dxa"/>
            <w:left w:w="0" w:type="dxa"/>
            <w:bottom w:w="0" w:type="dxa"/>
            <w:right w:w="0" w:type="dxa"/>
          </w:tblCellMar>
        </w:tblPrEx>
        <w:trPr>
          <w:trHeight w:val="340" w:hRule="atLeast"/>
          <w:tblHeader/>
        </w:trPr>
        <w:tc>
          <w:tcPr>
            <w:tcW w:w="36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549D88">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项目</w:t>
            </w:r>
          </w:p>
        </w:tc>
        <w:tc>
          <w:tcPr>
            <w:tcW w:w="21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FC6D93">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期末余额</w:t>
            </w:r>
          </w:p>
        </w:tc>
        <w:tc>
          <w:tcPr>
            <w:tcW w:w="396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3AC8A74">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期初余额</w:t>
            </w:r>
          </w:p>
        </w:tc>
      </w:tr>
      <w:tr w14:paraId="0AA4D9F8">
        <w:tblPrEx>
          <w:tblCellMar>
            <w:top w:w="0" w:type="dxa"/>
            <w:left w:w="0" w:type="dxa"/>
            <w:bottom w:w="0" w:type="dxa"/>
            <w:right w:w="0" w:type="dxa"/>
          </w:tblCellMar>
        </w:tblPrEx>
        <w:trPr>
          <w:trHeight w:val="340" w:hRule="atLeast"/>
        </w:trPr>
        <w:tc>
          <w:tcPr>
            <w:tcW w:w="36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5617DA">
            <w:pPr>
              <w:pStyle w:val="9"/>
              <w:spacing w:before="0" w:beforeAutospacing="0" w:after="0" w:afterAutospacing="0"/>
              <w:rPr>
                <w:rFonts w:ascii="Times New Roman" w:hAnsi="Times New Roman" w:cs="Times New Roman"/>
                <w:sz w:val="21"/>
                <w:szCs w:val="21"/>
              </w:rPr>
            </w:pPr>
            <w:r>
              <w:rPr>
                <w:rFonts w:hint="eastAsia" w:cs="Times New Roman"/>
                <w:sz w:val="18"/>
                <w:szCs w:val="18"/>
              </w:rPr>
              <w:t>汇票及信用证保证金</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14:paraId="46AACD93">
            <w:pPr>
              <w:spacing w:line="240" w:lineRule="exact"/>
              <w:jc w:val="right"/>
              <w:rPr>
                <w:rFonts w:ascii="宋体" w:hAnsi="宋体" w:eastAsia="宋体" w:cs="宋体"/>
                <w:sz w:val="18"/>
                <w:szCs w:val="18"/>
              </w:rPr>
            </w:pPr>
            <w:r>
              <w:rPr>
                <w:rFonts w:ascii="宋体" w:hAnsi="宋体" w:eastAsia="宋体" w:cs="宋体"/>
                <w:sz w:val="18"/>
                <w:szCs w:val="18"/>
              </w:rPr>
              <w:t>124,681,960.25</w:t>
            </w:r>
          </w:p>
        </w:tc>
        <w:tc>
          <w:tcPr>
            <w:tcW w:w="3969" w:type="dxa"/>
            <w:tcBorders>
              <w:top w:val="nil"/>
              <w:left w:val="nil"/>
              <w:bottom w:val="single" w:color="auto" w:sz="8" w:space="0"/>
              <w:right w:val="single" w:color="auto" w:sz="8" w:space="0"/>
            </w:tcBorders>
            <w:tcMar>
              <w:top w:w="0" w:type="dxa"/>
              <w:left w:w="108" w:type="dxa"/>
              <w:bottom w:w="0" w:type="dxa"/>
              <w:right w:w="108" w:type="dxa"/>
            </w:tcMar>
            <w:vAlign w:val="center"/>
          </w:tcPr>
          <w:p w14:paraId="72259A84">
            <w:pPr>
              <w:spacing w:line="240" w:lineRule="exact"/>
              <w:jc w:val="right"/>
              <w:rPr>
                <w:rFonts w:ascii="宋体" w:hAnsi="宋体" w:eastAsia="宋体" w:cs="宋体"/>
                <w:sz w:val="18"/>
                <w:szCs w:val="18"/>
              </w:rPr>
            </w:pPr>
            <w:r>
              <w:rPr>
                <w:rFonts w:ascii="宋体" w:hAnsi="宋体" w:eastAsia="宋体" w:cs="宋体"/>
                <w:sz w:val="18"/>
                <w:szCs w:val="18"/>
              </w:rPr>
              <w:t>193,859,688.91</w:t>
            </w:r>
          </w:p>
        </w:tc>
      </w:tr>
      <w:tr w14:paraId="2DF068D7">
        <w:tblPrEx>
          <w:tblCellMar>
            <w:top w:w="0" w:type="dxa"/>
            <w:left w:w="0" w:type="dxa"/>
            <w:bottom w:w="0" w:type="dxa"/>
            <w:right w:w="0" w:type="dxa"/>
          </w:tblCellMar>
        </w:tblPrEx>
        <w:trPr>
          <w:trHeight w:val="340" w:hRule="atLeast"/>
        </w:trPr>
        <w:tc>
          <w:tcPr>
            <w:tcW w:w="36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F36836">
            <w:pPr>
              <w:pStyle w:val="9"/>
              <w:spacing w:before="0" w:beforeAutospacing="0" w:after="0" w:afterAutospacing="0"/>
              <w:rPr>
                <w:rFonts w:ascii="Times New Roman" w:hAnsi="Times New Roman" w:cs="Times New Roman"/>
                <w:sz w:val="21"/>
                <w:szCs w:val="21"/>
              </w:rPr>
            </w:pPr>
            <w:r>
              <w:rPr>
                <w:rFonts w:hint="eastAsia" w:cs="Times New Roman"/>
                <w:sz w:val="18"/>
                <w:szCs w:val="18"/>
              </w:rPr>
              <w:t>质押保证金</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14:paraId="3B934B31">
            <w:pPr>
              <w:spacing w:line="240" w:lineRule="exact"/>
              <w:jc w:val="right"/>
              <w:rPr>
                <w:rFonts w:ascii="宋体" w:hAnsi="宋体" w:eastAsia="宋体" w:cs="宋体"/>
                <w:sz w:val="18"/>
                <w:szCs w:val="18"/>
              </w:rPr>
            </w:pPr>
            <w:r>
              <w:rPr>
                <w:rFonts w:ascii="宋体" w:hAnsi="宋体" w:eastAsia="宋体" w:cs="宋体"/>
                <w:sz w:val="18"/>
                <w:szCs w:val="18"/>
              </w:rPr>
              <w:t>338,321,990.81</w:t>
            </w:r>
          </w:p>
        </w:tc>
        <w:tc>
          <w:tcPr>
            <w:tcW w:w="3969" w:type="dxa"/>
            <w:tcBorders>
              <w:top w:val="nil"/>
              <w:left w:val="nil"/>
              <w:bottom w:val="single" w:color="auto" w:sz="8" w:space="0"/>
              <w:right w:val="single" w:color="auto" w:sz="8" w:space="0"/>
            </w:tcBorders>
            <w:tcMar>
              <w:top w:w="0" w:type="dxa"/>
              <w:left w:w="108" w:type="dxa"/>
              <w:bottom w:w="0" w:type="dxa"/>
              <w:right w:w="108" w:type="dxa"/>
            </w:tcMar>
            <w:vAlign w:val="center"/>
          </w:tcPr>
          <w:p w14:paraId="0C984840">
            <w:pPr>
              <w:spacing w:line="240" w:lineRule="exact"/>
              <w:jc w:val="right"/>
              <w:rPr>
                <w:rFonts w:ascii="宋体" w:hAnsi="宋体" w:eastAsia="宋体" w:cs="宋体"/>
                <w:sz w:val="18"/>
                <w:szCs w:val="18"/>
              </w:rPr>
            </w:pPr>
            <w:r>
              <w:rPr>
                <w:rFonts w:ascii="宋体" w:hAnsi="宋体" w:eastAsia="宋体" w:cs="宋体"/>
                <w:sz w:val="18"/>
                <w:szCs w:val="18"/>
              </w:rPr>
              <w:t>141,921,880.32</w:t>
            </w:r>
          </w:p>
        </w:tc>
      </w:tr>
      <w:tr w14:paraId="2ABED78A">
        <w:tblPrEx>
          <w:tblCellMar>
            <w:top w:w="0" w:type="dxa"/>
            <w:left w:w="0" w:type="dxa"/>
            <w:bottom w:w="0" w:type="dxa"/>
            <w:right w:w="0" w:type="dxa"/>
          </w:tblCellMar>
        </w:tblPrEx>
        <w:trPr>
          <w:trHeight w:val="340" w:hRule="atLeast"/>
        </w:trPr>
        <w:tc>
          <w:tcPr>
            <w:tcW w:w="36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64EEB5">
            <w:pPr>
              <w:pStyle w:val="9"/>
              <w:spacing w:before="0" w:beforeAutospacing="0" w:after="0" w:afterAutospacing="0"/>
              <w:rPr>
                <w:rFonts w:ascii="Times New Roman" w:hAnsi="Times New Roman" w:cs="Times New Roman"/>
                <w:sz w:val="21"/>
                <w:szCs w:val="21"/>
              </w:rPr>
            </w:pPr>
            <w:r>
              <w:rPr>
                <w:rFonts w:hint="eastAsia" w:cs="Times New Roman"/>
                <w:sz w:val="18"/>
                <w:szCs w:val="18"/>
              </w:rPr>
              <w:t>其他使用受限</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14:paraId="6B9E1EB7">
            <w:pPr>
              <w:spacing w:line="240" w:lineRule="exact"/>
              <w:jc w:val="right"/>
              <w:rPr>
                <w:rFonts w:ascii="宋体" w:hAnsi="宋体" w:eastAsia="宋体" w:cs="宋体"/>
                <w:sz w:val="18"/>
                <w:szCs w:val="18"/>
              </w:rPr>
            </w:pPr>
            <w:r>
              <w:rPr>
                <w:rFonts w:ascii="宋体" w:hAnsi="宋体" w:eastAsia="宋体" w:cs="宋体"/>
                <w:sz w:val="18"/>
                <w:szCs w:val="18"/>
              </w:rPr>
              <w:t>494,795.35</w:t>
            </w:r>
          </w:p>
        </w:tc>
        <w:tc>
          <w:tcPr>
            <w:tcW w:w="3969" w:type="dxa"/>
            <w:tcBorders>
              <w:top w:val="nil"/>
              <w:left w:val="nil"/>
              <w:bottom w:val="single" w:color="auto" w:sz="8" w:space="0"/>
              <w:right w:val="single" w:color="auto" w:sz="8" w:space="0"/>
            </w:tcBorders>
            <w:tcMar>
              <w:top w:w="0" w:type="dxa"/>
              <w:left w:w="108" w:type="dxa"/>
              <w:bottom w:w="0" w:type="dxa"/>
              <w:right w:w="108" w:type="dxa"/>
            </w:tcMar>
            <w:vAlign w:val="center"/>
          </w:tcPr>
          <w:p w14:paraId="0F1D24B6">
            <w:pPr>
              <w:spacing w:line="240" w:lineRule="exact"/>
              <w:jc w:val="right"/>
              <w:rPr>
                <w:rFonts w:ascii="宋体" w:hAnsi="宋体" w:eastAsia="宋体" w:cs="宋体"/>
                <w:sz w:val="18"/>
                <w:szCs w:val="18"/>
              </w:rPr>
            </w:pPr>
            <w:r>
              <w:rPr>
                <w:rFonts w:ascii="宋体" w:hAnsi="宋体" w:eastAsia="宋体" w:cs="宋体"/>
                <w:sz w:val="18"/>
                <w:szCs w:val="18"/>
              </w:rPr>
              <w:t>81,009.83</w:t>
            </w:r>
          </w:p>
        </w:tc>
      </w:tr>
      <w:tr w14:paraId="24423E21">
        <w:tblPrEx>
          <w:tblCellMar>
            <w:top w:w="0" w:type="dxa"/>
            <w:left w:w="0" w:type="dxa"/>
            <w:bottom w:w="0" w:type="dxa"/>
            <w:right w:w="0" w:type="dxa"/>
          </w:tblCellMar>
        </w:tblPrEx>
        <w:trPr>
          <w:trHeight w:val="340" w:hRule="atLeast"/>
        </w:trPr>
        <w:tc>
          <w:tcPr>
            <w:tcW w:w="36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3908E8">
            <w:pPr>
              <w:pStyle w:val="9"/>
              <w:spacing w:before="0" w:beforeAutospacing="0" w:after="0" w:afterAutospacing="0"/>
              <w:rPr>
                <w:rFonts w:ascii="Times New Roman" w:hAnsi="Times New Roman" w:cs="Times New Roman"/>
                <w:sz w:val="21"/>
                <w:szCs w:val="21"/>
              </w:rPr>
            </w:pPr>
            <w:r>
              <w:rPr>
                <w:rFonts w:hint="eastAsia" w:cs="Times New Roman"/>
                <w:sz w:val="18"/>
                <w:szCs w:val="18"/>
              </w:rPr>
              <w:t>公积金中心托管维修基金账户</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14:paraId="40270CC2">
            <w:pPr>
              <w:spacing w:line="240" w:lineRule="exact"/>
              <w:jc w:val="right"/>
              <w:rPr>
                <w:rFonts w:ascii="宋体" w:hAnsi="宋体" w:eastAsia="宋体" w:cs="宋体"/>
                <w:sz w:val="18"/>
                <w:szCs w:val="18"/>
              </w:rPr>
            </w:pPr>
            <w:r>
              <w:rPr>
                <w:rFonts w:ascii="宋体" w:hAnsi="宋体" w:eastAsia="宋体" w:cs="宋体"/>
                <w:sz w:val="18"/>
                <w:szCs w:val="18"/>
              </w:rPr>
              <w:t>2,480,320.43</w:t>
            </w:r>
          </w:p>
        </w:tc>
        <w:tc>
          <w:tcPr>
            <w:tcW w:w="3969" w:type="dxa"/>
            <w:tcBorders>
              <w:top w:val="nil"/>
              <w:left w:val="nil"/>
              <w:bottom w:val="single" w:color="auto" w:sz="8" w:space="0"/>
              <w:right w:val="single" w:color="auto" w:sz="8" w:space="0"/>
            </w:tcBorders>
            <w:tcMar>
              <w:top w:w="0" w:type="dxa"/>
              <w:left w:w="108" w:type="dxa"/>
              <w:bottom w:w="0" w:type="dxa"/>
              <w:right w:w="108" w:type="dxa"/>
            </w:tcMar>
            <w:vAlign w:val="center"/>
          </w:tcPr>
          <w:p w14:paraId="503ADA3D">
            <w:pPr>
              <w:spacing w:line="240" w:lineRule="exact"/>
              <w:jc w:val="right"/>
              <w:rPr>
                <w:rFonts w:ascii="宋体" w:hAnsi="宋体" w:eastAsia="宋体" w:cs="宋体"/>
                <w:sz w:val="18"/>
                <w:szCs w:val="18"/>
              </w:rPr>
            </w:pPr>
            <w:r>
              <w:rPr>
                <w:rFonts w:ascii="宋体" w:hAnsi="宋体" w:eastAsia="宋体" w:cs="宋体"/>
                <w:sz w:val="18"/>
                <w:szCs w:val="18"/>
              </w:rPr>
              <w:t>2,480,320.43</w:t>
            </w:r>
          </w:p>
        </w:tc>
      </w:tr>
      <w:tr w14:paraId="6301CE78">
        <w:tblPrEx>
          <w:tblCellMar>
            <w:top w:w="0" w:type="dxa"/>
            <w:left w:w="0" w:type="dxa"/>
            <w:bottom w:w="0" w:type="dxa"/>
            <w:right w:w="0" w:type="dxa"/>
          </w:tblCellMar>
        </w:tblPrEx>
        <w:trPr>
          <w:trHeight w:val="340" w:hRule="atLeast"/>
        </w:trPr>
        <w:tc>
          <w:tcPr>
            <w:tcW w:w="36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C5F28C">
            <w:pPr>
              <w:pStyle w:val="9"/>
              <w:spacing w:before="0" w:beforeAutospacing="0" w:after="0" w:afterAutospacing="0"/>
              <w:jc w:val="center"/>
              <w:rPr>
                <w:rFonts w:ascii="Times New Roman" w:hAnsi="Times New Roman" w:cs="Times New Roman"/>
                <w:sz w:val="21"/>
                <w:szCs w:val="21"/>
              </w:rPr>
            </w:pPr>
            <w:r>
              <w:rPr>
                <w:rFonts w:hint="eastAsia" w:cs="Times New Roman"/>
                <w:sz w:val="18"/>
                <w:szCs w:val="18"/>
              </w:rPr>
              <w:t>合计</w:t>
            </w:r>
          </w:p>
        </w:tc>
        <w:tc>
          <w:tcPr>
            <w:tcW w:w="2126" w:type="dxa"/>
            <w:tcBorders>
              <w:top w:val="nil"/>
              <w:left w:val="nil"/>
              <w:bottom w:val="single" w:color="auto" w:sz="8" w:space="0"/>
              <w:right w:val="single" w:color="auto" w:sz="8" w:space="0"/>
            </w:tcBorders>
            <w:tcMar>
              <w:top w:w="0" w:type="dxa"/>
              <w:left w:w="108" w:type="dxa"/>
              <w:bottom w:w="0" w:type="dxa"/>
              <w:right w:w="108" w:type="dxa"/>
            </w:tcMar>
            <w:vAlign w:val="center"/>
          </w:tcPr>
          <w:p w14:paraId="3CF9173F">
            <w:pPr>
              <w:spacing w:line="240" w:lineRule="exact"/>
              <w:jc w:val="right"/>
              <w:rPr>
                <w:rFonts w:ascii="宋体" w:hAnsi="宋体" w:eastAsia="宋体" w:cs="宋体"/>
                <w:sz w:val="18"/>
                <w:szCs w:val="18"/>
              </w:rPr>
            </w:pPr>
            <w:r>
              <w:rPr>
                <w:rFonts w:ascii="宋体" w:hAnsi="宋体" w:eastAsia="宋体" w:cs="宋体"/>
                <w:sz w:val="18"/>
                <w:szCs w:val="18"/>
              </w:rPr>
              <w:t>465,979,066.84</w:t>
            </w:r>
          </w:p>
        </w:tc>
        <w:tc>
          <w:tcPr>
            <w:tcW w:w="3969" w:type="dxa"/>
            <w:tcBorders>
              <w:top w:val="nil"/>
              <w:left w:val="nil"/>
              <w:bottom w:val="single" w:color="auto" w:sz="8" w:space="0"/>
              <w:right w:val="single" w:color="auto" w:sz="8" w:space="0"/>
            </w:tcBorders>
            <w:tcMar>
              <w:top w:w="0" w:type="dxa"/>
              <w:left w:w="108" w:type="dxa"/>
              <w:bottom w:w="0" w:type="dxa"/>
              <w:right w:w="108" w:type="dxa"/>
            </w:tcMar>
            <w:vAlign w:val="center"/>
          </w:tcPr>
          <w:p w14:paraId="1A660BDC">
            <w:pPr>
              <w:spacing w:line="240" w:lineRule="exact"/>
              <w:jc w:val="right"/>
              <w:rPr>
                <w:rFonts w:ascii="宋体" w:hAnsi="宋体" w:eastAsia="宋体" w:cs="宋体"/>
                <w:sz w:val="18"/>
                <w:szCs w:val="18"/>
              </w:rPr>
            </w:pPr>
            <w:r>
              <w:rPr>
                <w:rFonts w:ascii="宋体" w:hAnsi="宋体" w:eastAsia="宋体" w:cs="宋体"/>
                <w:sz w:val="18"/>
                <w:szCs w:val="18"/>
              </w:rPr>
              <w:t>338,342,899.49</w:t>
            </w:r>
          </w:p>
        </w:tc>
      </w:tr>
    </w:tbl>
    <w:p w14:paraId="274CA113">
      <w:pPr>
        <w:pStyle w:val="3"/>
        <w:spacing w:line="280" w:lineRule="exact"/>
        <w:jc w:val="left"/>
        <w:rPr>
          <w:rFonts w:ascii="宋体" w:hAnsi="宋体" w:cs="宋体"/>
          <w:b/>
          <w:bCs/>
        </w:rPr>
      </w:pPr>
      <w:bookmarkStart w:id="271" w:name="_Toc989123"/>
      <w:r>
        <w:rPr>
          <w:rFonts w:ascii="宋体" w:hAnsi="宋体" w:cs="宋体"/>
          <w:b/>
          <w:bCs/>
        </w:rPr>
        <w:t>2、交易性金融资产</w:t>
      </w:r>
      <w:bookmarkEnd w:id="271"/>
    </w:p>
    <w:p w14:paraId="1837493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4419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9EB23E">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F7E616">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95D7A1">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78070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90D75F">
            <w:pPr>
              <w:spacing w:before="40" w:after="40" w:line="240" w:lineRule="exact"/>
              <w:rPr>
                <w:rFonts w:ascii="宋体" w:hAnsi="宋体" w:eastAsia="宋体" w:cs="宋体"/>
                <w:sz w:val="18"/>
                <w:szCs w:val="18"/>
              </w:rPr>
            </w:pPr>
            <w:r>
              <w:rPr>
                <w:rFonts w:ascii="宋体" w:hAnsi="宋体" w:eastAsia="宋体" w:cs="宋体"/>
                <w:sz w:val="18"/>
                <w:szCs w:val="18"/>
              </w:rPr>
              <w:t>以公允价值计量且其变动计入当期损益的金融资产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70A3B35E">
            <w:pPr>
              <w:spacing w:line="240" w:lineRule="exact"/>
              <w:jc w:val="right"/>
              <w:rPr>
                <w:rFonts w:ascii="宋体" w:hAnsi="宋体" w:eastAsia="宋体" w:cs="宋体"/>
                <w:sz w:val="18"/>
                <w:szCs w:val="18"/>
              </w:rPr>
            </w:pPr>
            <w:r>
              <w:rPr>
                <w:rFonts w:ascii="宋体" w:hAnsi="宋体" w:eastAsia="宋体" w:cs="宋体"/>
                <w:sz w:val="18"/>
                <w:szCs w:val="18"/>
              </w:rPr>
              <w:t>260,755,050.42</w:t>
            </w:r>
          </w:p>
        </w:tc>
        <w:tc>
          <w:tcPr>
            <w:tcW w:w="3213" w:type="dxa"/>
            <w:tcBorders>
              <w:top w:val="single" w:color="auto" w:sz="2" w:space="0"/>
              <w:left w:val="single" w:color="auto" w:sz="2" w:space="0"/>
              <w:bottom w:val="single" w:color="auto" w:sz="2" w:space="0"/>
              <w:right w:val="single" w:color="auto" w:sz="2" w:space="0"/>
            </w:tcBorders>
            <w:vAlign w:val="center"/>
          </w:tcPr>
          <w:p w14:paraId="509F988B">
            <w:pPr>
              <w:spacing w:line="240" w:lineRule="exact"/>
              <w:jc w:val="right"/>
              <w:rPr>
                <w:rFonts w:ascii="宋体" w:hAnsi="宋体" w:eastAsia="宋体" w:cs="宋体"/>
                <w:sz w:val="18"/>
                <w:szCs w:val="18"/>
              </w:rPr>
            </w:pPr>
            <w:r>
              <w:rPr>
                <w:rFonts w:ascii="宋体" w:hAnsi="宋体" w:eastAsia="宋体" w:cs="宋体"/>
                <w:sz w:val="18"/>
                <w:szCs w:val="18"/>
              </w:rPr>
              <w:t>231,193,994.30</w:t>
            </w:r>
          </w:p>
        </w:tc>
      </w:tr>
      <w:tr w14:paraId="7BF5D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C9A028">
            <w:pPr>
              <w:spacing w:before="40" w:after="40" w:line="240" w:lineRule="exac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32C470"/>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306F36"/>
        </w:tc>
      </w:tr>
      <w:tr w14:paraId="36A89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72AD2C3">
            <w:pPr>
              <w:spacing w:line="240" w:lineRule="exact"/>
              <w:rPr>
                <w:rFonts w:ascii="宋体" w:hAnsi="宋体" w:eastAsia="宋体" w:cs="宋体"/>
                <w:sz w:val="18"/>
                <w:szCs w:val="18"/>
              </w:rPr>
            </w:pPr>
            <w:r>
              <w:rPr>
                <w:rFonts w:ascii="宋体" w:hAnsi="宋体" w:eastAsia="宋体" w:cs="宋体"/>
                <w:sz w:val="18"/>
                <w:szCs w:val="18"/>
              </w:rPr>
              <w:t>货币型基金</w:t>
            </w:r>
          </w:p>
        </w:tc>
        <w:tc>
          <w:tcPr>
            <w:tcW w:w="3213" w:type="dxa"/>
            <w:tcBorders>
              <w:top w:val="single" w:color="auto" w:sz="2" w:space="0"/>
              <w:left w:val="single" w:color="auto" w:sz="2" w:space="0"/>
              <w:bottom w:val="single" w:color="auto" w:sz="2" w:space="0"/>
              <w:right w:val="single" w:color="auto" w:sz="2" w:space="0"/>
            </w:tcBorders>
            <w:vAlign w:val="center"/>
          </w:tcPr>
          <w:p w14:paraId="1CB41177">
            <w:pPr>
              <w:spacing w:line="240" w:lineRule="exact"/>
              <w:jc w:val="right"/>
              <w:rPr>
                <w:rFonts w:ascii="宋体" w:hAnsi="宋体" w:eastAsia="宋体" w:cs="宋体"/>
                <w:sz w:val="18"/>
                <w:szCs w:val="18"/>
              </w:rPr>
            </w:pPr>
            <w:r>
              <w:rPr>
                <w:rFonts w:ascii="宋体" w:hAnsi="宋体" w:eastAsia="宋体" w:cs="宋体"/>
                <w:sz w:val="18"/>
                <w:szCs w:val="18"/>
              </w:rPr>
              <w:t>36,458,061.32</w:t>
            </w:r>
          </w:p>
        </w:tc>
        <w:tc>
          <w:tcPr>
            <w:tcW w:w="3213" w:type="dxa"/>
            <w:tcBorders>
              <w:top w:val="single" w:color="auto" w:sz="2" w:space="0"/>
              <w:left w:val="single" w:color="auto" w:sz="2" w:space="0"/>
              <w:bottom w:val="single" w:color="auto" w:sz="2" w:space="0"/>
              <w:right w:val="single" w:color="auto" w:sz="2" w:space="0"/>
            </w:tcBorders>
            <w:vAlign w:val="center"/>
          </w:tcPr>
          <w:p w14:paraId="6638107E">
            <w:pPr>
              <w:spacing w:line="240" w:lineRule="exact"/>
              <w:jc w:val="right"/>
              <w:rPr>
                <w:rFonts w:ascii="宋体" w:hAnsi="宋体" w:eastAsia="宋体" w:cs="宋体"/>
                <w:sz w:val="18"/>
                <w:szCs w:val="18"/>
              </w:rPr>
            </w:pPr>
            <w:r>
              <w:rPr>
                <w:rFonts w:ascii="宋体" w:hAnsi="宋体" w:eastAsia="宋体" w:cs="宋体"/>
                <w:sz w:val="18"/>
                <w:szCs w:val="18"/>
              </w:rPr>
              <w:t>101,235,317.35</w:t>
            </w:r>
          </w:p>
        </w:tc>
      </w:tr>
      <w:tr w14:paraId="70BD2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34010EA">
            <w:pPr>
              <w:spacing w:line="240" w:lineRule="exact"/>
              <w:rPr>
                <w:rFonts w:ascii="宋体" w:hAnsi="宋体" w:eastAsia="宋体" w:cs="宋体"/>
                <w:sz w:val="18"/>
                <w:szCs w:val="18"/>
              </w:rPr>
            </w:pPr>
            <w:r>
              <w:rPr>
                <w:rFonts w:ascii="宋体" w:hAnsi="宋体" w:eastAsia="宋体" w:cs="宋体"/>
                <w:sz w:val="18"/>
                <w:szCs w:val="18"/>
              </w:rPr>
              <w:t>权益工具投资</w:t>
            </w:r>
          </w:p>
        </w:tc>
        <w:tc>
          <w:tcPr>
            <w:tcW w:w="3213" w:type="dxa"/>
            <w:tcBorders>
              <w:top w:val="single" w:color="auto" w:sz="2" w:space="0"/>
              <w:left w:val="single" w:color="auto" w:sz="2" w:space="0"/>
              <w:bottom w:val="single" w:color="auto" w:sz="2" w:space="0"/>
              <w:right w:val="single" w:color="auto" w:sz="2" w:space="0"/>
            </w:tcBorders>
            <w:vAlign w:val="center"/>
          </w:tcPr>
          <w:p w14:paraId="1F2A6B94">
            <w:pPr>
              <w:spacing w:line="240" w:lineRule="exact"/>
              <w:jc w:val="right"/>
              <w:rPr>
                <w:rFonts w:ascii="宋体" w:hAnsi="宋体" w:eastAsia="宋体" w:cs="宋体"/>
                <w:sz w:val="18"/>
                <w:szCs w:val="18"/>
              </w:rPr>
            </w:pPr>
            <w:r>
              <w:rPr>
                <w:rFonts w:ascii="宋体" w:hAnsi="宋体" w:eastAsia="宋体" w:cs="宋体"/>
                <w:sz w:val="18"/>
                <w:szCs w:val="18"/>
              </w:rPr>
              <w:t>2,261,736.20</w:t>
            </w:r>
          </w:p>
        </w:tc>
        <w:tc>
          <w:tcPr>
            <w:tcW w:w="3213" w:type="dxa"/>
            <w:tcBorders>
              <w:top w:val="single" w:color="auto" w:sz="2" w:space="0"/>
              <w:left w:val="single" w:color="auto" w:sz="2" w:space="0"/>
              <w:bottom w:val="single" w:color="auto" w:sz="2" w:space="0"/>
              <w:right w:val="single" w:color="auto" w:sz="2" w:space="0"/>
            </w:tcBorders>
            <w:vAlign w:val="center"/>
          </w:tcPr>
          <w:p w14:paraId="67EA435F">
            <w:pPr>
              <w:spacing w:line="240" w:lineRule="exact"/>
              <w:jc w:val="right"/>
              <w:rPr>
                <w:rFonts w:ascii="宋体" w:hAnsi="宋体" w:eastAsia="宋体" w:cs="宋体"/>
                <w:sz w:val="18"/>
                <w:szCs w:val="18"/>
              </w:rPr>
            </w:pPr>
            <w:r>
              <w:rPr>
                <w:rFonts w:ascii="宋体" w:hAnsi="宋体" w:eastAsia="宋体" w:cs="宋体"/>
                <w:sz w:val="18"/>
                <w:szCs w:val="18"/>
              </w:rPr>
              <w:t>7,356,413.17</w:t>
            </w:r>
          </w:p>
        </w:tc>
      </w:tr>
      <w:tr w14:paraId="360A0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1A7CECC">
            <w:pPr>
              <w:spacing w:line="240" w:lineRule="exac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067C1D7E">
            <w:pPr>
              <w:spacing w:line="240" w:lineRule="exact"/>
              <w:jc w:val="right"/>
              <w:rPr>
                <w:rFonts w:ascii="宋体" w:hAnsi="宋体" w:eastAsia="宋体" w:cs="宋体"/>
                <w:sz w:val="18"/>
                <w:szCs w:val="18"/>
              </w:rPr>
            </w:pPr>
            <w:r>
              <w:rPr>
                <w:rFonts w:ascii="宋体" w:hAnsi="宋体" w:eastAsia="宋体" w:cs="宋体"/>
                <w:sz w:val="18"/>
                <w:szCs w:val="18"/>
              </w:rPr>
              <w:t>52,298,892.10</w:t>
            </w:r>
          </w:p>
        </w:tc>
        <w:tc>
          <w:tcPr>
            <w:tcW w:w="3213" w:type="dxa"/>
            <w:tcBorders>
              <w:top w:val="single" w:color="auto" w:sz="2" w:space="0"/>
              <w:left w:val="single" w:color="auto" w:sz="2" w:space="0"/>
              <w:bottom w:val="single" w:color="auto" w:sz="2" w:space="0"/>
              <w:right w:val="single" w:color="auto" w:sz="2" w:space="0"/>
            </w:tcBorders>
            <w:vAlign w:val="center"/>
          </w:tcPr>
          <w:p w14:paraId="187F0808">
            <w:pPr>
              <w:spacing w:line="240" w:lineRule="exact"/>
              <w:jc w:val="right"/>
              <w:rPr>
                <w:rFonts w:ascii="宋体" w:hAnsi="宋体" w:eastAsia="宋体" w:cs="宋体"/>
                <w:sz w:val="18"/>
                <w:szCs w:val="18"/>
              </w:rPr>
            </w:pPr>
            <w:r>
              <w:rPr>
                <w:rFonts w:ascii="宋体" w:hAnsi="宋体" w:eastAsia="宋体" w:cs="宋体"/>
                <w:sz w:val="18"/>
                <w:szCs w:val="18"/>
              </w:rPr>
              <w:t>63,160,062.90</w:t>
            </w:r>
          </w:p>
        </w:tc>
      </w:tr>
      <w:tr w14:paraId="006AD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8CB0AEE">
            <w:pPr>
              <w:spacing w:line="240" w:lineRule="exact"/>
              <w:rPr>
                <w:rFonts w:ascii="宋体" w:hAnsi="宋体" w:eastAsia="宋体" w:cs="宋体"/>
                <w:sz w:val="18"/>
                <w:szCs w:val="18"/>
              </w:rPr>
            </w:pPr>
            <w:r>
              <w:rPr>
                <w:rFonts w:ascii="宋体" w:hAnsi="宋体" w:eastAsia="宋体" w:cs="宋体"/>
                <w:sz w:val="18"/>
                <w:szCs w:val="18"/>
              </w:rPr>
              <w:t>理财产品</w:t>
            </w:r>
          </w:p>
        </w:tc>
        <w:tc>
          <w:tcPr>
            <w:tcW w:w="3213" w:type="dxa"/>
            <w:tcBorders>
              <w:top w:val="single" w:color="auto" w:sz="2" w:space="0"/>
              <w:left w:val="single" w:color="auto" w:sz="2" w:space="0"/>
              <w:bottom w:val="single" w:color="auto" w:sz="2" w:space="0"/>
              <w:right w:val="single" w:color="auto" w:sz="2" w:space="0"/>
            </w:tcBorders>
            <w:vAlign w:val="center"/>
          </w:tcPr>
          <w:p w14:paraId="366415D5">
            <w:pPr>
              <w:spacing w:line="240" w:lineRule="exact"/>
              <w:jc w:val="right"/>
              <w:rPr>
                <w:rFonts w:ascii="宋体" w:hAnsi="宋体" w:eastAsia="宋体" w:cs="宋体"/>
                <w:sz w:val="18"/>
                <w:szCs w:val="18"/>
              </w:rPr>
            </w:pPr>
            <w:r>
              <w:rPr>
                <w:rFonts w:ascii="宋体" w:hAnsi="宋体" w:eastAsia="宋体" w:cs="宋体"/>
                <w:sz w:val="18"/>
                <w:szCs w:val="18"/>
              </w:rPr>
              <w:t>169,736,360.80</w:t>
            </w:r>
          </w:p>
        </w:tc>
        <w:tc>
          <w:tcPr>
            <w:tcW w:w="3213" w:type="dxa"/>
            <w:tcBorders>
              <w:top w:val="single" w:color="auto" w:sz="2" w:space="0"/>
              <w:left w:val="single" w:color="auto" w:sz="2" w:space="0"/>
              <w:bottom w:val="single" w:color="auto" w:sz="2" w:space="0"/>
              <w:right w:val="single" w:color="auto" w:sz="2" w:space="0"/>
            </w:tcBorders>
            <w:vAlign w:val="center"/>
          </w:tcPr>
          <w:p w14:paraId="133C3BA0">
            <w:pPr>
              <w:spacing w:line="240" w:lineRule="exact"/>
              <w:jc w:val="right"/>
              <w:rPr>
                <w:rFonts w:ascii="宋体" w:hAnsi="宋体" w:eastAsia="宋体" w:cs="宋体"/>
                <w:sz w:val="18"/>
                <w:szCs w:val="18"/>
              </w:rPr>
            </w:pPr>
            <w:r>
              <w:rPr>
                <w:rFonts w:ascii="宋体" w:hAnsi="宋体" w:eastAsia="宋体" w:cs="宋体"/>
                <w:sz w:val="18"/>
                <w:szCs w:val="18"/>
              </w:rPr>
              <w:t>59,442,200.88</w:t>
            </w:r>
          </w:p>
        </w:tc>
      </w:tr>
      <w:tr w14:paraId="26F29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3475F5">
            <w:pPr>
              <w:spacing w:before="40" w:after="40" w:line="240" w:lineRule="exac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7D47BF"/>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D95C22"/>
        </w:tc>
      </w:tr>
      <w:tr w14:paraId="65484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D1EC66">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0BD97BC">
            <w:pPr>
              <w:spacing w:line="240" w:lineRule="exact"/>
              <w:jc w:val="right"/>
              <w:rPr>
                <w:rFonts w:ascii="宋体" w:hAnsi="宋体" w:eastAsia="宋体" w:cs="宋体"/>
                <w:sz w:val="18"/>
                <w:szCs w:val="18"/>
              </w:rPr>
            </w:pPr>
            <w:r>
              <w:rPr>
                <w:rFonts w:ascii="宋体" w:hAnsi="宋体" w:eastAsia="宋体" w:cs="宋体"/>
                <w:sz w:val="18"/>
                <w:szCs w:val="18"/>
              </w:rPr>
              <w:t>260,755,050.42</w:t>
            </w:r>
          </w:p>
        </w:tc>
        <w:tc>
          <w:tcPr>
            <w:tcW w:w="3213" w:type="dxa"/>
            <w:tcBorders>
              <w:top w:val="single" w:color="auto" w:sz="2" w:space="0"/>
              <w:left w:val="single" w:color="auto" w:sz="2" w:space="0"/>
              <w:bottom w:val="single" w:color="auto" w:sz="2" w:space="0"/>
              <w:right w:val="single" w:color="auto" w:sz="2" w:space="0"/>
            </w:tcBorders>
            <w:vAlign w:val="center"/>
          </w:tcPr>
          <w:p w14:paraId="7E98716F">
            <w:pPr>
              <w:spacing w:line="240" w:lineRule="exact"/>
              <w:jc w:val="right"/>
              <w:rPr>
                <w:rFonts w:ascii="宋体" w:hAnsi="宋体" w:eastAsia="宋体" w:cs="宋体"/>
                <w:sz w:val="18"/>
                <w:szCs w:val="18"/>
              </w:rPr>
            </w:pPr>
            <w:r>
              <w:rPr>
                <w:rFonts w:ascii="宋体" w:hAnsi="宋体" w:eastAsia="宋体" w:cs="宋体"/>
                <w:sz w:val="18"/>
                <w:szCs w:val="18"/>
              </w:rPr>
              <w:t>231,193,994.30</w:t>
            </w:r>
          </w:p>
        </w:tc>
      </w:tr>
    </w:tbl>
    <w:p w14:paraId="63172D3D">
      <w:pPr>
        <w:spacing w:before="100" w:after="100" w:line="240" w:lineRule="exact"/>
        <w:rPr>
          <w:rFonts w:ascii="宋体" w:hAnsi="宋体" w:eastAsia="宋体" w:cs="宋体"/>
          <w:sz w:val="18"/>
          <w:szCs w:val="18"/>
        </w:rPr>
      </w:pPr>
      <w:r>
        <w:rPr>
          <w:rFonts w:ascii="宋体" w:hAnsi="宋体" w:eastAsia="宋体" w:cs="宋体"/>
          <w:sz w:val="18"/>
          <w:szCs w:val="18"/>
        </w:rPr>
        <w:t>其他说明：</w:t>
      </w:r>
    </w:p>
    <w:p w14:paraId="3592A79B">
      <w:pPr>
        <w:widowControl/>
        <w:numPr>
          <w:ilvl w:val="0"/>
          <w:numId w:val="112"/>
        </w:numPr>
        <w:spacing w:before="100" w:beforeAutospacing="1" w:after="100" w:afterAutospacing="1"/>
        <w:rPr>
          <w:sz w:val="18"/>
          <w:szCs w:val="18"/>
        </w:rPr>
      </w:pPr>
      <w:r>
        <w:rPr>
          <w:rFonts w:hint="eastAsia"/>
          <w:sz w:val="18"/>
          <w:szCs w:val="18"/>
        </w:rPr>
        <w:t>权益工具投资系子公司深圳华孚进出口于中信证券购买的股票。</w:t>
      </w:r>
    </w:p>
    <w:p w14:paraId="0E6930BA">
      <w:pPr>
        <w:widowControl/>
        <w:numPr>
          <w:ilvl w:val="0"/>
          <w:numId w:val="112"/>
        </w:numPr>
        <w:spacing w:before="100" w:beforeAutospacing="1" w:after="100" w:afterAutospacing="1"/>
        <w:rPr>
          <w:sz w:val="18"/>
          <w:szCs w:val="18"/>
        </w:rPr>
      </w:pPr>
      <w:r>
        <w:rPr>
          <w:rFonts w:hint="eastAsia"/>
          <w:sz w:val="18"/>
          <w:szCs w:val="18"/>
        </w:rPr>
        <w:t>期末衍生金融资产系子公司宁波东浩、浙江维新、浙江昇孚、香港天成、新疆棉花交易市场、新疆华孚棉业、新加坡耀佳等公司购买棉花期货和期权、利率互换掉期业务。</w:t>
      </w:r>
    </w:p>
    <w:p w14:paraId="05FF6A43">
      <w:pPr>
        <w:pStyle w:val="3"/>
        <w:spacing w:line="280" w:lineRule="exact"/>
        <w:jc w:val="left"/>
        <w:rPr>
          <w:rFonts w:ascii="宋体" w:hAnsi="宋体" w:cs="宋体"/>
          <w:b/>
          <w:bCs/>
        </w:rPr>
      </w:pPr>
      <w:bookmarkStart w:id="272" w:name="_Toc989124"/>
      <w:r>
        <w:rPr>
          <w:rFonts w:ascii="宋体" w:hAnsi="宋体" w:cs="宋体"/>
          <w:b/>
          <w:bCs/>
        </w:rPr>
        <w:t>3、衍生金融资产</w:t>
      </w:r>
      <w:bookmarkEnd w:id="272"/>
    </w:p>
    <w:p w14:paraId="6AE0DCF6">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59A4B021">
      <w:pPr>
        <w:pStyle w:val="3"/>
        <w:spacing w:line="280" w:lineRule="exact"/>
        <w:jc w:val="left"/>
        <w:rPr>
          <w:rFonts w:ascii="宋体" w:hAnsi="宋体" w:cs="宋体"/>
          <w:b/>
          <w:bCs/>
        </w:rPr>
      </w:pPr>
      <w:bookmarkStart w:id="273" w:name="_Toc989125"/>
      <w:r>
        <w:rPr>
          <w:rFonts w:ascii="宋体" w:hAnsi="宋体" w:cs="宋体"/>
          <w:b/>
          <w:bCs/>
        </w:rPr>
        <w:t>4、应收票据</w:t>
      </w:r>
      <w:bookmarkEnd w:id="273"/>
    </w:p>
    <w:p w14:paraId="71725C48">
      <w:pPr>
        <w:keepNext/>
        <w:keepLines/>
        <w:spacing w:before="300" w:after="300" w:line="280" w:lineRule="exact"/>
        <w:outlineLvl w:val="3"/>
        <w:rPr>
          <w:rFonts w:ascii="宋体" w:hAnsi="宋体" w:eastAsia="宋体" w:cs="宋体"/>
          <w:b/>
          <w:bCs/>
          <w:szCs w:val="21"/>
        </w:rPr>
      </w:pPr>
      <w:bookmarkStart w:id="274" w:name="_Toc989126"/>
      <w:r>
        <w:rPr>
          <w:rFonts w:ascii="宋体" w:hAnsi="宋体" w:eastAsia="宋体" w:cs="宋体"/>
          <w:b/>
          <w:bCs/>
          <w:szCs w:val="21"/>
        </w:rPr>
        <w:t>（1） 应收票据分类列示</w:t>
      </w:r>
      <w:bookmarkEnd w:id="274"/>
    </w:p>
    <w:p w14:paraId="3597885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89ED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6619F9">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7A0BF8">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03968F">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249F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9B68009">
            <w:pPr>
              <w:spacing w:before="40" w:after="40" w:line="240" w:lineRule="exact"/>
              <w:rPr>
                <w:rFonts w:ascii="宋体" w:hAnsi="宋体" w:eastAsia="宋体" w:cs="宋体"/>
                <w:sz w:val="18"/>
                <w:szCs w:val="18"/>
              </w:rPr>
            </w:pPr>
            <w:r>
              <w:rPr>
                <w:rFonts w:ascii="宋体" w:hAnsi="宋体" w:eastAsia="宋体" w:cs="宋体"/>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14:paraId="4DFD5A8B">
            <w:pPr>
              <w:spacing w:line="240" w:lineRule="exact"/>
              <w:jc w:val="right"/>
              <w:rPr>
                <w:rFonts w:ascii="宋体" w:hAnsi="宋体" w:eastAsia="宋体" w:cs="宋体"/>
                <w:sz w:val="18"/>
                <w:szCs w:val="18"/>
              </w:rPr>
            </w:pPr>
            <w:r>
              <w:rPr>
                <w:rFonts w:ascii="宋体" w:hAnsi="宋体" w:eastAsia="宋体" w:cs="宋体"/>
                <w:sz w:val="18"/>
                <w:szCs w:val="18"/>
              </w:rPr>
              <w:t>49,532,649.92</w:t>
            </w:r>
          </w:p>
        </w:tc>
        <w:tc>
          <w:tcPr>
            <w:tcW w:w="3213" w:type="dxa"/>
            <w:tcBorders>
              <w:top w:val="single" w:color="auto" w:sz="2" w:space="0"/>
              <w:left w:val="single" w:color="auto" w:sz="2" w:space="0"/>
              <w:bottom w:val="single" w:color="auto" w:sz="2" w:space="0"/>
              <w:right w:val="single" w:color="auto" w:sz="2" w:space="0"/>
            </w:tcBorders>
            <w:vAlign w:val="center"/>
          </w:tcPr>
          <w:p w14:paraId="097B8FF5">
            <w:pPr>
              <w:spacing w:line="240" w:lineRule="exact"/>
              <w:jc w:val="right"/>
              <w:rPr>
                <w:rFonts w:ascii="宋体" w:hAnsi="宋体" w:eastAsia="宋体" w:cs="宋体"/>
                <w:sz w:val="18"/>
                <w:szCs w:val="18"/>
              </w:rPr>
            </w:pPr>
            <w:r>
              <w:rPr>
                <w:rFonts w:ascii="宋体" w:hAnsi="宋体" w:eastAsia="宋体" w:cs="宋体"/>
                <w:sz w:val="18"/>
                <w:szCs w:val="18"/>
              </w:rPr>
              <w:t>47,793,560.14</w:t>
            </w:r>
          </w:p>
        </w:tc>
      </w:tr>
      <w:tr w14:paraId="17BD7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E90669">
            <w:pPr>
              <w:spacing w:before="40" w:after="40" w:line="240" w:lineRule="exact"/>
              <w:rPr>
                <w:rFonts w:ascii="宋体" w:hAnsi="宋体" w:eastAsia="宋体" w:cs="宋体"/>
                <w:sz w:val="18"/>
                <w:szCs w:val="18"/>
              </w:rPr>
            </w:pPr>
            <w:r>
              <w:rPr>
                <w:rFonts w:ascii="宋体" w:hAnsi="宋体" w:eastAsia="宋体" w:cs="宋体"/>
                <w:sz w:val="18"/>
                <w:szCs w:val="18"/>
              </w:rPr>
              <w:t>商业承兑票据</w:t>
            </w:r>
          </w:p>
        </w:tc>
        <w:tc>
          <w:tcPr>
            <w:tcW w:w="3213" w:type="dxa"/>
            <w:tcBorders>
              <w:top w:val="single" w:color="auto" w:sz="2" w:space="0"/>
              <w:left w:val="single" w:color="auto" w:sz="2" w:space="0"/>
              <w:bottom w:val="single" w:color="auto" w:sz="2" w:space="0"/>
              <w:right w:val="single" w:color="auto" w:sz="2" w:space="0"/>
            </w:tcBorders>
            <w:vAlign w:val="center"/>
          </w:tcPr>
          <w:p w14:paraId="22A41952">
            <w:pPr>
              <w:spacing w:line="240" w:lineRule="exact"/>
              <w:jc w:val="right"/>
              <w:rPr>
                <w:rFonts w:ascii="宋体" w:hAnsi="宋体" w:eastAsia="宋体" w:cs="宋体"/>
                <w:sz w:val="18"/>
                <w:szCs w:val="18"/>
              </w:rPr>
            </w:pPr>
            <w:r>
              <w:rPr>
                <w:rFonts w:ascii="宋体" w:hAnsi="宋体" w:eastAsia="宋体" w:cs="宋体"/>
                <w:sz w:val="18"/>
                <w:szCs w:val="18"/>
              </w:rPr>
              <w:t>25,080,081.52</w:t>
            </w:r>
          </w:p>
        </w:tc>
        <w:tc>
          <w:tcPr>
            <w:tcW w:w="3213" w:type="dxa"/>
            <w:tcBorders>
              <w:top w:val="single" w:color="auto" w:sz="2" w:space="0"/>
              <w:left w:val="single" w:color="auto" w:sz="2" w:space="0"/>
              <w:bottom w:val="single" w:color="auto" w:sz="2" w:space="0"/>
              <w:right w:val="single" w:color="auto" w:sz="2" w:space="0"/>
            </w:tcBorders>
            <w:vAlign w:val="center"/>
          </w:tcPr>
          <w:p w14:paraId="17D35110">
            <w:pPr>
              <w:spacing w:line="240" w:lineRule="exact"/>
              <w:jc w:val="right"/>
              <w:rPr>
                <w:rFonts w:ascii="宋体" w:hAnsi="宋体" w:eastAsia="宋体" w:cs="宋体"/>
                <w:sz w:val="18"/>
                <w:szCs w:val="18"/>
              </w:rPr>
            </w:pPr>
            <w:r>
              <w:rPr>
                <w:rFonts w:ascii="宋体" w:hAnsi="宋体" w:eastAsia="宋体" w:cs="宋体"/>
                <w:sz w:val="18"/>
                <w:szCs w:val="18"/>
              </w:rPr>
              <w:t>8,377,444.36</w:t>
            </w:r>
          </w:p>
        </w:tc>
      </w:tr>
      <w:tr w14:paraId="74C21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155E06">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2AE1EE5">
            <w:pPr>
              <w:spacing w:line="240" w:lineRule="exact"/>
              <w:jc w:val="right"/>
              <w:rPr>
                <w:rFonts w:ascii="宋体" w:hAnsi="宋体" w:eastAsia="宋体" w:cs="宋体"/>
                <w:sz w:val="18"/>
                <w:szCs w:val="18"/>
              </w:rPr>
            </w:pPr>
            <w:r>
              <w:rPr>
                <w:rFonts w:ascii="宋体" w:hAnsi="宋体" w:eastAsia="宋体" w:cs="宋体"/>
                <w:sz w:val="18"/>
                <w:szCs w:val="18"/>
              </w:rPr>
              <w:t>74,612,731.44</w:t>
            </w:r>
          </w:p>
        </w:tc>
        <w:tc>
          <w:tcPr>
            <w:tcW w:w="3213" w:type="dxa"/>
            <w:tcBorders>
              <w:top w:val="single" w:color="auto" w:sz="2" w:space="0"/>
              <w:left w:val="single" w:color="auto" w:sz="2" w:space="0"/>
              <w:bottom w:val="single" w:color="auto" w:sz="2" w:space="0"/>
              <w:right w:val="single" w:color="auto" w:sz="2" w:space="0"/>
            </w:tcBorders>
            <w:vAlign w:val="center"/>
          </w:tcPr>
          <w:p w14:paraId="1F438E3C">
            <w:pPr>
              <w:spacing w:line="240" w:lineRule="exact"/>
              <w:jc w:val="right"/>
              <w:rPr>
                <w:rFonts w:ascii="宋体" w:hAnsi="宋体" w:eastAsia="宋体" w:cs="宋体"/>
                <w:sz w:val="18"/>
                <w:szCs w:val="18"/>
              </w:rPr>
            </w:pPr>
            <w:r>
              <w:rPr>
                <w:rFonts w:ascii="宋体" w:hAnsi="宋体" w:eastAsia="宋体" w:cs="宋体"/>
                <w:sz w:val="18"/>
                <w:szCs w:val="18"/>
              </w:rPr>
              <w:t>56,171,004.50</w:t>
            </w:r>
          </w:p>
        </w:tc>
      </w:tr>
    </w:tbl>
    <w:p w14:paraId="5E5A413E">
      <w:pPr>
        <w:keepNext/>
        <w:keepLines/>
        <w:spacing w:before="300" w:after="300" w:line="280" w:lineRule="exact"/>
        <w:outlineLvl w:val="3"/>
        <w:rPr>
          <w:rFonts w:ascii="宋体" w:hAnsi="宋体" w:eastAsia="宋体" w:cs="宋体"/>
          <w:b/>
          <w:bCs/>
          <w:szCs w:val="21"/>
        </w:rPr>
      </w:pPr>
      <w:bookmarkStart w:id="275" w:name="_Toc989127"/>
      <w:r>
        <w:rPr>
          <w:rFonts w:ascii="宋体" w:hAnsi="宋体" w:eastAsia="宋体" w:cs="宋体"/>
          <w:b/>
          <w:bCs/>
          <w:szCs w:val="21"/>
        </w:rPr>
        <w:t>（2） 按坏账计提方法分类披露</w:t>
      </w:r>
      <w:bookmarkEnd w:id="275"/>
    </w:p>
    <w:p w14:paraId="5C67D28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14:paraId="6C651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0D682C5">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6BD0FF2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7E10A5F7">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5EEB4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52479A5"/>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C77B781">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9098A98">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144444E">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7693BE6">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AF30C80">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60E1279">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37F69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ACC27D9"/>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9B4FE69">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83A90F7">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B30C5C8">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BB134A5">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3AF8E84"/>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0BDEA1E">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0AEDD77">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AD7445E">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8DADE70">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C530CA1"/>
        </w:tc>
      </w:tr>
      <w:tr w14:paraId="02BB7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6C6D8D9">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9676E7C"/>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2B729A8"/>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BAB5864"/>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D920E9F"/>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A0105AC"/>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FBC7E1A"/>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CD963A0"/>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D358CF2"/>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04F1194"/>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1EC31DD"/>
        </w:tc>
      </w:tr>
      <w:tr w14:paraId="017DF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3F9DFFB">
            <w:pPr>
              <w:spacing w:before="40" w:after="40" w:line="240" w:lineRule="exact"/>
              <w:rPr>
                <w:rFonts w:ascii="宋体" w:hAnsi="宋体" w:eastAsia="宋体" w:cs="宋体"/>
                <w:sz w:val="18"/>
                <w:szCs w:val="18"/>
              </w:rPr>
            </w:pPr>
            <w:r>
              <w:rPr>
                <w:rFonts w:ascii="宋体" w:hAnsi="宋体" w:eastAsia="宋体" w:cs="宋体"/>
                <w:sz w:val="18"/>
                <w:szCs w:val="18"/>
              </w:rPr>
              <w:t>按组合计提坏账准备的应收票据</w:t>
            </w:r>
          </w:p>
        </w:tc>
        <w:tc>
          <w:tcPr>
            <w:tcW w:w="876" w:type="dxa"/>
            <w:tcBorders>
              <w:top w:val="single" w:color="auto" w:sz="2" w:space="0"/>
              <w:left w:val="single" w:color="auto" w:sz="2" w:space="0"/>
              <w:bottom w:val="single" w:color="auto" w:sz="2" w:space="0"/>
              <w:right w:val="single" w:color="auto" w:sz="2" w:space="0"/>
            </w:tcBorders>
            <w:vAlign w:val="center"/>
          </w:tcPr>
          <w:p w14:paraId="6F2525EC">
            <w:pPr>
              <w:spacing w:line="240" w:lineRule="exact"/>
              <w:jc w:val="right"/>
              <w:rPr>
                <w:rFonts w:ascii="宋体" w:hAnsi="宋体" w:eastAsia="宋体" w:cs="宋体"/>
                <w:sz w:val="18"/>
                <w:szCs w:val="18"/>
              </w:rPr>
            </w:pPr>
            <w:r>
              <w:rPr>
                <w:rFonts w:ascii="宋体" w:hAnsi="宋体" w:eastAsia="宋体" w:cs="宋体"/>
                <w:sz w:val="18"/>
                <w:szCs w:val="18"/>
              </w:rPr>
              <w:t>75,930,104.16</w:t>
            </w:r>
          </w:p>
        </w:tc>
        <w:tc>
          <w:tcPr>
            <w:tcW w:w="876" w:type="dxa"/>
            <w:tcBorders>
              <w:top w:val="single" w:color="auto" w:sz="2" w:space="0"/>
              <w:left w:val="single" w:color="auto" w:sz="2" w:space="0"/>
              <w:bottom w:val="single" w:color="auto" w:sz="2" w:space="0"/>
              <w:right w:val="single" w:color="auto" w:sz="2" w:space="0"/>
            </w:tcBorders>
            <w:vAlign w:val="center"/>
          </w:tcPr>
          <w:p w14:paraId="016FE7B1">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3A5BA503">
            <w:pPr>
              <w:spacing w:line="240" w:lineRule="exact"/>
              <w:jc w:val="right"/>
              <w:rPr>
                <w:rFonts w:ascii="宋体" w:hAnsi="宋体" w:eastAsia="宋体" w:cs="宋体"/>
                <w:sz w:val="18"/>
                <w:szCs w:val="18"/>
              </w:rPr>
            </w:pPr>
            <w:r>
              <w:rPr>
                <w:rFonts w:ascii="宋体" w:hAnsi="宋体" w:eastAsia="宋体" w:cs="宋体"/>
                <w:sz w:val="18"/>
                <w:szCs w:val="18"/>
              </w:rPr>
              <w:t>1,317,372.72</w:t>
            </w:r>
          </w:p>
        </w:tc>
        <w:tc>
          <w:tcPr>
            <w:tcW w:w="876" w:type="dxa"/>
            <w:tcBorders>
              <w:top w:val="single" w:color="auto" w:sz="2" w:space="0"/>
              <w:left w:val="single" w:color="auto" w:sz="2" w:space="0"/>
              <w:bottom w:val="single" w:color="auto" w:sz="2" w:space="0"/>
              <w:right w:val="single" w:color="auto" w:sz="2" w:space="0"/>
            </w:tcBorders>
            <w:vAlign w:val="center"/>
          </w:tcPr>
          <w:p w14:paraId="40C437E9">
            <w:pPr>
              <w:spacing w:line="240" w:lineRule="exact"/>
              <w:jc w:val="right"/>
              <w:rPr>
                <w:rFonts w:ascii="宋体" w:hAnsi="宋体" w:eastAsia="宋体" w:cs="宋体"/>
                <w:sz w:val="18"/>
                <w:szCs w:val="18"/>
              </w:rPr>
            </w:pPr>
            <w:r>
              <w:rPr>
                <w:rFonts w:ascii="宋体" w:hAnsi="宋体" w:eastAsia="宋体" w:cs="宋体"/>
                <w:sz w:val="18"/>
                <w:szCs w:val="18"/>
              </w:rPr>
              <w:t>1.73%</w:t>
            </w:r>
          </w:p>
        </w:tc>
        <w:tc>
          <w:tcPr>
            <w:tcW w:w="876" w:type="dxa"/>
            <w:tcBorders>
              <w:top w:val="single" w:color="auto" w:sz="2" w:space="0"/>
              <w:left w:val="single" w:color="auto" w:sz="2" w:space="0"/>
              <w:bottom w:val="single" w:color="auto" w:sz="2" w:space="0"/>
              <w:right w:val="single" w:color="auto" w:sz="2" w:space="0"/>
            </w:tcBorders>
            <w:vAlign w:val="center"/>
          </w:tcPr>
          <w:p w14:paraId="131406F2">
            <w:pPr>
              <w:spacing w:line="240" w:lineRule="exact"/>
              <w:jc w:val="right"/>
              <w:rPr>
                <w:rFonts w:ascii="宋体" w:hAnsi="宋体" w:eastAsia="宋体" w:cs="宋体"/>
                <w:sz w:val="18"/>
                <w:szCs w:val="18"/>
              </w:rPr>
            </w:pPr>
            <w:r>
              <w:rPr>
                <w:rFonts w:ascii="宋体" w:hAnsi="宋体" w:eastAsia="宋体" w:cs="宋体"/>
                <w:sz w:val="18"/>
                <w:szCs w:val="18"/>
              </w:rPr>
              <w:t>74,612,731.44</w:t>
            </w:r>
          </w:p>
        </w:tc>
        <w:tc>
          <w:tcPr>
            <w:tcW w:w="876" w:type="dxa"/>
            <w:tcBorders>
              <w:top w:val="single" w:color="auto" w:sz="2" w:space="0"/>
              <w:left w:val="single" w:color="auto" w:sz="2" w:space="0"/>
              <w:bottom w:val="single" w:color="auto" w:sz="2" w:space="0"/>
              <w:right w:val="single" w:color="auto" w:sz="2" w:space="0"/>
            </w:tcBorders>
            <w:vAlign w:val="center"/>
          </w:tcPr>
          <w:p w14:paraId="0AF13C07">
            <w:pPr>
              <w:spacing w:line="240" w:lineRule="exact"/>
              <w:jc w:val="right"/>
              <w:rPr>
                <w:rFonts w:ascii="宋体" w:hAnsi="宋体" w:eastAsia="宋体" w:cs="宋体"/>
                <w:sz w:val="18"/>
                <w:szCs w:val="18"/>
              </w:rPr>
            </w:pPr>
            <w:r>
              <w:rPr>
                <w:rFonts w:ascii="宋体" w:hAnsi="宋体" w:eastAsia="宋体" w:cs="宋体"/>
                <w:sz w:val="18"/>
                <w:szCs w:val="18"/>
              </w:rPr>
              <w:t>56,611,922.62</w:t>
            </w:r>
          </w:p>
        </w:tc>
        <w:tc>
          <w:tcPr>
            <w:tcW w:w="876" w:type="dxa"/>
            <w:tcBorders>
              <w:top w:val="single" w:color="auto" w:sz="2" w:space="0"/>
              <w:left w:val="single" w:color="auto" w:sz="2" w:space="0"/>
              <w:bottom w:val="single" w:color="auto" w:sz="2" w:space="0"/>
              <w:right w:val="single" w:color="auto" w:sz="2" w:space="0"/>
            </w:tcBorders>
            <w:vAlign w:val="center"/>
          </w:tcPr>
          <w:p w14:paraId="46D76E2C">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3EBB0987">
            <w:pPr>
              <w:spacing w:line="240" w:lineRule="exact"/>
              <w:jc w:val="right"/>
              <w:rPr>
                <w:rFonts w:ascii="宋体" w:hAnsi="宋体" w:eastAsia="宋体" w:cs="宋体"/>
                <w:sz w:val="18"/>
                <w:szCs w:val="18"/>
              </w:rPr>
            </w:pPr>
            <w:r>
              <w:rPr>
                <w:rFonts w:ascii="宋体" w:hAnsi="宋体" w:eastAsia="宋体" w:cs="宋体"/>
                <w:sz w:val="18"/>
                <w:szCs w:val="18"/>
              </w:rPr>
              <w:t>440,918.12</w:t>
            </w:r>
          </w:p>
        </w:tc>
        <w:tc>
          <w:tcPr>
            <w:tcW w:w="876" w:type="dxa"/>
            <w:tcBorders>
              <w:top w:val="single" w:color="auto" w:sz="2" w:space="0"/>
              <w:left w:val="single" w:color="auto" w:sz="2" w:space="0"/>
              <w:bottom w:val="single" w:color="auto" w:sz="2" w:space="0"/>
              <w:right w:val="single" w:color="auto" w:sz="2" w:space="0"/>
            </w:tcBorders>
            <w:vAlign w:val="center"/>
          </w:tcPr>
          <w:p w14:paraId="347CF126">
            <w:pPr>
              <w:spacing w:line="240" w:lineRule="exact"/>
              <w:jc w:val="right"/>
              <w:rPr>
                <w:rFonts w:ascii="宋体" w:hAnsi="宋体" w:eastAsia="宋体" w:cs="宋体"/>
                <w:sz w:val="18"/>
                <w:szCs w:val="18"/>
              </w:rPr>
            </w:pPr>
            <w:r>
              <w:rPr>
                <w:rFonts w:ascii="宋体" w:hAnsi="宋体" w:eastAsia="宋体" w:cs="宋体"/>
                <w:sz w:val="18"/>
                <w:szCs w:val="18"/>
              </w:rPr>
              <w:t>0.78%</w:t>
            </w:r>
          </w:p>
        </w:tc>
        <w:tc>
          <w:tcPr>
            <w:tcW w:w="876" w:type="dxa"/>
            <w:tcBorders>
              <w:top w:val="single" w:color="auto" w:sz="2" w:space="0"/>
              <w:left w:val="single" w:color="auto" w:sz="2" w:space="0"/>
              <w:bottom w:val="single" w:color="auto" w:sz="2" w:space="0"/>
              <w:right w:val="single" w:color="auto" w:sz="2" w:space="0"/>
            </w:tcBorders>
            <w:vAlign w:val="center"/>
          </w:tcPr>
          <w:p w14:paraId="10819C4B">
            <w:pPr>
              <w:spacing w:line="240" w:lineRule="exact"/>
              <w:jc w:val="right"/>
              <w:rPr>
                <w:rFonts w:ascii="宋体" w:hAnsi="宋体" w:eastAsia="宋体" w:cs="宋体"/>
                <w:sz w:val="18"/>
                <w:szCs w:val="18"/>
              </w:rPr>
            </w:pPr>
            <w:r>
              <w:rPr>
                <w:rFonts w:ascii="宋体" w:hAnsi="宋体" w:eastAsia="宋体" w:cs="宋体"/>
                <w:sz w:val="18"/>
                <w:szCs w:val="18"/>
              </w:rPr>
              <w:t>56,171,004.50</w:t>
            </w:r>
          </w:p>
        </w:tc>
      </w:tr>
      <w:tr w14:paraId="7CBD3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E4BD761">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506E2F6"/>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6D5E430"/>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DBD24B6"/>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0370ED8"/>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DFA33D7"/>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68D4D19"/>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6EA9F2E"/>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C2AF776"/>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8E93DA0"/>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0669E9F"/>
        </w:tc>
      </w:tr>
      <w:tr w14:paraId="3874B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706B36B5">
            <w:pPr>
              <w:spacing w:line="240" w:lineRule="exact"/>
              <w:rPr>
                <w:rFonts w:ascii="宋体" w:hAnsi="宋体" w:eastAsia="宋体" w:cs="宋体"/>
                <w:sz w:val="18"/>
                <w:szCs w:val="18"/>
              </w:rPr>
            </w:pPr>
            <w:r>
              <w:rPr>
                <w:rFonts w:ascii="宋体" w:hAnsi="宋体" w:eastAsia="宋体" w:cs="宋体"/>
                <w:sz w:val="18"/>
                <w:szCs w:val="18"/>
              </w:rPr>
              <w:t>其中：银行承兑汇票组合</w:t>
            </w:r>
          </w:p>
        </w:tc>
        <w:tc>
          <w:tcPr>
            <w:tcW w:w="876" w:type="dxa"/>
            <w:tcBorders>
              <w:top w:val="single" w:color="auto" w:sz="2" w:space="0"/>
              <w:left w:val="single" w:color="auto" w:sz="2" w:space="0"/>
              <w:bottom w:val="single" w:color="auto" w:sz="2" w:space="0"/>
              <w:right w:val="single" w:color="auto" w:sz="2" w:space="0"/>
            </w:tcBorders>
            <w:vAlign w:val="center"/>
          </w:tcPr>
          <w:p w14:paraId="48016D66">
            <w:pPr>
              <w:spacing w:line="240" w:lineRule="exact"/>
              <w:jc w:val="right"/>
              <w:rPr>
                <w:rFonts w:ascii="宋体" w:hAnsi="宋体" w:eastAsia="宋体" w:cs="宋体"/>
                <w:sz w:val="18"/>
                <w:szCs w:val="18"/>
              </w:rPr>
            </w:pPr>
            <w:r>
              <w:rPr>
                <w:rFonts w:ascii="宋体" w:hAnsi="宋体" w:eastAsia="宋体" w:cs="宋体"/>
                <w:sz w:val="18"/>
                <w:szCs w:val="18"/>
              </w:rPr>
              <w:t>49,582,649.92</w:t>
            </w:r>
          </w:p>
        </w:tc>
        <w:tc>
          <w:tcPr>
            <w:tcW w:w="876" w:type="dxa"/>
            <w:tcBorders>
              <w:top w:val="single" w:color="auto" w:sz="2" w:space="0"/>
              <w:left w:val="single" w:color="auto" w:sz="2" w:space="0"/>
              <w:bottom w:val="single" w:color="auto" w:sz="2" w:space="0"/>
              <w:right w:val="single" w:color="auto" w:sz="2" w:space="0"/>
            </w:tcBorders>
            <w:vAlign w:val="center"/>
          </w:tcPr>
          <w:p w14:paraId="396066C6">
            <w:pPr>
              <w:spacing w:line="240" w:lineRule="exact"/>
              <w:jc w:val="right"/>
              <w:rPr>
                <w:rFonts w:ascii="宋体" w:hAnsi="宋体" w:eastAsia="宋体" w:cs="宋体"/>
                <w:sz w:val="18"/>
                <w:szCs w:val="18"/>
              </w:rPr>
            </w:pPr>
            <w:r>
              <w:rPr>
                <w:rFonts w:ascii="宋体" w:hAnsi="宋体" w:eastAsia="宋体" w:cs="宋体"/>
                <w:sz w:val="18"/>
                <w:szCs w:val="18"/>
              </w:rPr>
              <w:t>65.30%</w:t>
            </w:r>
          </w:p>
        </w:tc>
        <w:tc>
          <w:tcPr>
            <w:tcW w:w="876" w:type="dxa"/>
            <w:tcBorders>
              <w:top w:val="single" w:color="auto" w:sz="2" w:space="0"/>
              <w:left w:val="single" w:color="auto" w:sz="2" w:space="0"/>
              <w:bottom w:val="single" w:color="auto" w:sz="2" w:space="0"/>
              <w:right w:val="single" w:color="auto" w:sz="2" w:space="0"/>
            </w:tcBorders>
            <w:vAlign w:val="center"/>
          </w:tcPr>
          <w:p w14:paraId="69647BEA">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44CD6C04">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222DB14">
            <w:pPr>
              <w:spacing w:line="240" w:lineRule="exact"/>
              <w:jc w:val="right"/>
              <w:rPr>
                <w:rFonts w:ascii="宋体" w:hAnsi="宋体" w:eastAsia="宋体" w:cs="宋体"/>
                <w:sz w:val="18"/>
                <w:szCs w:val="18"/>
              </w:rPr>
            </w:pPr>
            <w:r>
              <w:rPr>
                <w:rFonts w:ascii="宋体" w:hAnsi="宋体" w:eastAsia="宋体" w:cs="宋体"/>
                <w:sz w:val="18"/>
                <w:szCs w:val="18"/>
              </w:rPr>
              <w:t>49,582,649.92</w:t>
            </w:r>
          </w:p>
        </w:tc>
        <w:tc>
          <w:tcPr>
            <w:tcW w:w="876" w:type="dxa"/>
            <w:tcBorders>
              <w:top w:val="single" w:color="auto" w:sz="2" w:space="0"/>
              <w:left w:val="single" w:color="auto" w:sz="2" w:space="0"/>
              <w:bottom w:val="single" w:color="auto" w:sz="2" w:space="0"/>
              <w:right w:val="single" w:color="auto" w:sz="2" w:space="0"/>
            </w:tcBorders>
            <w:vAlign w:val="center"/>
          </w:tcPr>
          <w:p w14:paraId="62575AF4">
            <w:pPr>
              <w:spacing w:line="240" w:lineRule="exact"/>
              <w:jc w:val="right"/>
              <w:rPr>
                <w:rFonts w:ascii="宋体" w:hAnsi="宋体" w:eastAsia="宋体" w:cs="宋体"/>
                <w:sz w:val="18"/>
                <w:szCs w:val="18"/>
              </w:rPr>
            </w:pPr>
            <w:r>
              <w:rPr>
                <w:rFonts w:ascii="宋体" w:hAnsi="宋体" w:eastAsia="宋体" w:cs="宋体"/>
                <w:sz w:val="18"/>
                <w:szCs w:val="18"/>
              </w:rPr>
              <w:t>47,793,560.14</w:t>
            </w:r>
          </w:p>
        </w:tc>
        <w:tc>
          <w:tcPr>
            <w:tcW w:w="876" w:type="dxa"/>
            <w:tcBorders>
              <w:top w:val="single" w:color="auto" w:sz="2" w:space="0"/>
              <w:left w:val="single" w:color="auto" w:sz="2" w:space="0"/>
              <w:bottom w:val="single" w:color="auto" w:sz="2" w:space="0"/>
              <w:right w:val="single" w:color="auto" w:sz="2" w:space="0"/>
            </w:tcBorders>
            <w:vAlign w:val="center"/>
          </w:tcPr>
          <w:p w14:paraId="156B438D">
            <w:pPr>
              <w:spacing w:line="240" w:lineRule="exact"/>
              <w:jc w:val="right"/>
              <w:rPr>
                <w:rFonts w:ascii="宋体" w:hAnsi="宋体" w:eastAsia="宋体" w:cs="宋体"/>
                <w:sz w:val="18"/>
                <w:szCs w:val="18"/>
              </w:rPr>
            </w:pPr>
            <w:r>
              <w:rPr>
                <w:rFonts w:ascii="宋体" w:hAnsi="宋体" w:eastAsia="宋体" w:cs="宋体"/>
                <w:sz w:val="18"/>
                <w:szCs w:val="18"/>
              </w:rPr>
              <w:t>84.42%</w:t>
            </w:r>
          </w:p>
        </w:tc>
        <w:tc>
          <w:tcPr>
            <w:tcW w:w="876" w:type="dxa"/>
            <w:tcBorders>
              <w:top w:val="single" w:color="auto" w:sz="2" w:space="0"/>
              <w:left w:val="single" w:color="auto" w:sz="2" w:space="0"/>
              <w:bottom w:val="single" w:color="auto" w:sz="2" w:space="0"/>
              <w:right w:val="single" w:color="auto" w:sz="2" w:space="0"/>
            </w:tcBorders>
            <w:vAlign w:val="center"/>
          </w:tcPr>
          <w:p w14:paraId="0B03D6DF">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4F5A1A0F">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3BFB36D">
            <w:pPr>
              <w:spacing w:line="240" w:lineRule="exact"/>
              <w:jc w:val="right"/>
              <w:rPr>
                <w:rFonts w:ascii="宋体" w:hAnsi="宋体" w:eastAsia="宋体" w:cs="宋体"/>
                <w:sz w:val="18"/>
                <w:szCs w:val="18"/>
              </w:rPr>
            </w:pPr>
            <w:r>
              <w:rPr>
                <w:rFonts w:ascii="宋体" w:hAnsi="宋体" w:eastAsia="宋体" w:cs="宋体"/>
                <w:sz w:val="18"/>
                <w:szCs w:val="18"/>
              </w:rPr>
              <w:t>47,793,560.14</w:t>
            </w:r>
          </w:p>
        </w:tc>
      </w:tr>
      <w:tr w14:paraId="141AA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78680713">
            <w:pPr>
              <w:spacing w:line="240" w:lineRule="exact"/>
              <w:rPr>
                <w:rFonts w:ascii="宋体" w:hAnsi="宋体" w:eastAsia="宋体" w:cs="宋体"/>
                <w:sz w:val="18"/>
                <w:szCs w:val="18"/>
              </w:rPr>
            </w:pPr>
            <w:r>
              <w:rPr>
                <w:rFonts w:ascii="宋体" w:hAnsi="宋体" w:eastAsia="宋体" w:cs="宋体"/>
                <w:sz w:val="18"/>
                <w:szCs w:val="18"/>
              </w:rPr>
              <w:t>      商业承兑汇票组合</w:t>
            </w:r>
          </w:p>
        </w:tc>
        <w:tc>
          <w:tcPr>
            <w:tcW w:w="876" w:type="dxa"/>
            <w:tcBorders>
              <w:top w:val="single" w:color="auto" w:sz="2" w:space="0"/>
              <w:left w:val="single" w:color="auto" w:sz="2" w:space="0"/>
              <w:bottom w:val="single" w:color="auto" w:sz="2" w:space="0"/>
              <w:right w:val="single" w:color="auto" w:sz="2" w:space="0"/>
            </w:tcBorders>
            <w:vAlign w:val="center"/>
          </w:tcPr>
          <w:p w14:paraId="538D9491">
            <w:pPr>
              <w:spacing w:line="240" w:lineRule="exact"/>
              <w:jc w:val="right"/>
              <w:rPr>
                <w:rFonts w:ascii="宋体" w:hAnsi="宋体" w:eastAsia="宋体" w:cs="宋体"/>
                <w:sz w:val="18"/>
                <w:szCs w:val="18"/>
              </w:rPr>
            </w:pPr>
            <w:r>
              <w:rPr>
                <w:rFonts w:ascii="宋体" w:hAnsi="宋体" w:eastAsia="宋体" w:cs="宋体"/>
                <w:sz w:val="18"/>
                <w:szCs w:val="18"/>
              </w:rPr>
              <w:t>26,347,454.24</w:t>
            </w:r>
          </w:p>
        </w:tc>
        <w:tc>
          <w:tcPr>
            <w:tcW w:w="876" w:type="dxa"/>
            <w:tcBorders>
              <w:top w:val="single" w:color="auto" w:sz="2" w:space="0"/>
              <w:left w:val="single" w:color="auto" w:sz="2" w:space="0"/>
              <w:bottom w:val="single" w:color="auto" w:sz="2" w:space="0"/>
              <w:right w:val="single" w:color="auto" w:sz="2" w:space="0"/>
            </w:tcBorders>
            <w:vAlign w:val="center"/>
          </w:tcPr>
          <w:p w14:paraId="73D78297">
            <w:pPr>
              <w:spacing w:line="240" w:lineRule="exact"/>
              <w:jc w:val="right"/>
              <w:rPr>
                <w:rFonts w:ascii="宋体" w:hAnsi="宋体" w:eastAsia="宋体" w:cs="宋体"/>
                <w:sz w:val="18"/>
                <w:szCs w:val="18"/>
              </w:rPr>
            </w:pPr>
            <w:r>
              <w:rPr>
                <w:rFonts w:ascii="宋体" w:hAnsi="宋体" w:eastAsia="宋体" w:cs="宋体"/>
                <w:sz w:val="18"/>
                <w:szCs w:val="18"/>
              </w:rPr>
              <w:t>34.70%</w:t>
            </w:r>
          </w:p>
        </w:tc>
        <w:tc>
          <w:tcPr>
            <w:tcW w:w="876" w:type="dxa"/>
            <w:tcBorders>
              <w:top w:val="single" w:color="auto" w:sz="2" w:space="0"/>
              <w:left w:val="single" w:color="auto" w:sz="2" w:space="0"/>
              <w:bottom w:val="single" w:color="auto" w:sz="2" w:space="0"/>
              <w:right w:val="single" w:color="auto" w:sz="2" w:space="0"/>
            </w:tcBorders>
            <w:vAlign w:val="center"/>
          </w:tcPr>
          <w:p w14:paraId="7FA591EB">
            <w:pPr>
              <w:spacing w:line="240" w:lineRule="exact"/>
              <w:jc w:val="right"/>
              <w:rPr>
                <w:rFonts w:ascii="宋体" w:hAnsi="宋体" w:eastAsia="宋体" w:cs="宋体"/>
                <w:sz w:val="18"/>
                <w:szCs w:val="18"/>
              </w:rPr>
            </w:pPr>
            <w:r>
              <w:rPr>
                <w:rFonts w:ascii="宋体" w:hAnsi="宋体" w:eastAsia="宋体" w:cs="宋体"/>
                <w:sz w:val="18"/>
                <w:szCs w:val="18"/>
              </w:rPr>
              <w:t>1,317,372.72</w:t>
            </w:r>
          </w:p>
        </w:tc>
        <w:tc>
          <w:tcPr>
            <w:tcW w:w="876" w:type="dxa"/>
            <w:tcBorders>
              <w:top w:val="single" w:color="auto" w:sz="2" w:space="0"/>
              <w:left w:val="single" w:color="auto" w:sz="2" w:space="0"/>
              <w:bottom w:val="single" w:color="auto" w:sz="2" w:space="0"/>
              <w:right w:val="single" w:color="auto" w:sz="2" w:space="0"/>
            </w:tcBorders>
            <w:vAlign w:val="center"/>
          </w:tcPr>
          <w:p w14:paraId="1BFCB4C8">
            <w:pPr>
              <w:spacing w:line="240" w:lineRule="exact"/>
              <w:jc w:val="right"/>
              <w:rPr>
                <w:rFonts w:ascii="宋体" w:hAnsi="宋体" w:eastAsia="宋体" w:cs="宋体"/>
                <w:sz w:val="18"/>
                <w:szCs w:val="18"/>
              </w:rPr>
            </w:pPr>
            <w:r>
              <w:rPr>
                <w:rFonts w:ascii="宋体" w:hAnsi="宋体"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14:paraId="12070E8A">
            <w:pPr>
              <w:spacing w:line="240" w:lineRule="exact"/>
              <w:jc w:val="right"/>
              <w:rPr>
                <w:rFonts w:ascii="宋体" w:hAnsi="宋体" w:eastAsia="宋体" w:cs="宋体"/>
                <w:sz w:val="18"/>
                <w:szCs w:val="18"/>
              </w:rPr>
            </w:pPr>
            <w:r>
              <w:rPr>
                <w:rFonts w:ascii="宋体" w:hAnsi="宋体" w:eastAsia="宋体" w:cs="宋体"/>
                <w:sz w:val="18"/>
                <w:szCs w:val="18"/>
              </w:rPr>
              <w:t>25,030,081.52</w:t>
            </w:r>
          </w:p>
        </w:tc>
        <w:tc>
          <w:tcPr>
            <w:tcW w:w="876" w:type="dxa"/>
            <w:tcBorders>
              <w:top w:val="single" w:color="auto" w:sz="2" w:space="0"/>
              <w:left w:val="single" w:color="auto" w:sz="2" w:space="0"/>
              <w:bottom w:val="single" w:color="auto" w:sz="2" w:space="0"/>
              <w:right w:val="single" w:color="auto" w:sz="2" w:space="0"/>
            </w:tcBorders>
            <w:vAlign w:val="center"/>
          </w:tcPr>
          <w:p w14:paraId="4D2C42CC">
            <w:pPr>
              <w:spacing w:line="240" w:lineRule="exact"/>
              <w:jc w:val="right"/>
              <w:rPr>
                <w:rFonts w:ascii="宋体" w:hAnsi="宋体" w:eastAsia="宋体" w:cs="宋体"/>
                <w:sz w:val="18"/>
                <w:szCs w:val="18"/>
              </w:rPr>
            </w:pPr>
            <w:r>
              <w:rPr>
                <w:rFonts w:ascii="宋体" w:hAnsi="宋体" w:eastAsia="宋体" w:cs="宋体"/>
                <w:sz w:val="18"/>
                <w:szCs w:val="18"/>
              </w:rPr>
              <w:t>8,818,362.48</w:t>
            </w:r>
          </w:p>
        </w:tc>
        <w:tc>
          <w:tcPr>
            <w:tcW w:w="876" w:type="dxa"/>
            <w:tcBorders>
              <w:top w:val="single" w:color="auto" w:sz="2" w:space="0"/>
              <w:left w:val="single" w:color="auto" w:sz="2" w:space="0"/>
              <w:bottom w:val="single" w:color="auto" w:sz="2" w:space="0"/>
              <w:right w:val="single" w:color="auto" w:sz="2" w:space="0"/>
            </w:tcBorders>
            <w:vAlign w:val="center"/>
          </w:tcPr>
          <w:p w14:paraId="1CB6BC19">
            <w:pPr>
              <w:spacing w:line="240" w:lineRule="exact"/>
              <w:jc w:val="right"/>
              <w:rPr>
                <w:rFonts w:ascii="宋体" w:hAnsi="宋体" w:eastAsia="宋体" w:cs="宋体"/>
                <w:sz w:val="18"/>
                <w:szCs w:val="18"/>
              </w:rPr>
            </w:pPr>
            <w:r>
              <w:rPr>
                <w:rFonts w:ascii="宋体" w:hAnsi="宋体" w:eastAsia="宋体" w:cs="宋体"/>
                <w:sz w:val="18"/>
                <w:szCs w:val="18"/>
              </w:rPr>
              <w:t>15.58%</w:t>
            </w:r>
          </w:p>
        </w:tc>
        <w:tc>
          <w:tcPr>
            <w:tcW w:w="876" w:type="dxa"/>
            <w:tcBorders>
              <w:top w:val="single" w:color="auto" w:sz="2" w:space="0"/>
              <w:left w:val="single" w:color="auto" w:sz="2" w:space="0"/>
              <w:bottom w:val="single" w:color="auto" w:sz="2" w:space="0"/>
              <w:right w:val="single" w:color="auto" w:sz="2" w:space="0"/>
            </w:tcBorders>
            <w:vAlign w:val="center"/>
          </w:tcPr>
          <w:p w14:paraId="60E42B3D">
            <w:pPr>
              <w:spacing w:line="240" w:lineRule="exact"/>
              <w:jc w:val="right"/>
              <w:rPr>
                <w:rFonts w:ascii="宋体" w:hAnsi="宋体" w:eastAsia="宋体" w:cs="宋体"/>
                <w:sz w:val="18"/>
                <w:szCs w:val="18"/>
              </w:rPr>
            </w:pPr>
            <w:r>
              <w:rPr>
                <w:rFonts w:ascii="宋体" w:hAnsi="宋体" w:eastAsia="宋体" w:cs="宋体"/>
                <w:sz w:val="18"/>
                <w:szCs w:val="18"/>
              </w:rPr>
              <w:t>440,918.12</w:t>
            </w:r>
          </w:p>
        </w:tc>
        <w:tc>
          <w:tcPr>
            <w:tcW w:w="876" w:type="dxa"/>
            <w:tcBorders>
              <w:top w:val="single" w:color="auto" w:sz="2" w:space="0"/>
              <w:left w:val="single" w:color="auto" w:sz="2" w:space="0"/>
              <w:bottom w:val="single" w:color="auto" w:sz="2" w:space="0"/>
              <w:right w:val="single" w:color="auto" w:sz="2" w:space="0"/>
            </w:tcBorders>
            <w:vAlign w:val="center"/>
          </w:tcPr>
          <w:p w14:paraId="27AB5D80">
            <w:pPr>
              <w:spacing w:line="240" w:lineRule="exact"/>
              <w:jc w:val="right"/>
              <w:rPr>
                <w:rFonts w:ascii="宋体" w:hAnsi="宋体" w:eastAsia="宋体" w:cs="宋体"/>
                <w:sz w:val="18"/>
                <w:szCs w:val="18"/>
              </w:rPr>
            </w:pPr>
            <w:r>
              <w:rPr>
                <w:rFonts w:ascii="宋体" w:hAnsi="宋体"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14:paraId="13F1A6F1">
            <w:pPr>
              <w:spacing w:line="240" w:lineRule="exact"/>
              <w:jc w:val="right"/>
              <w:rPr>
                <w:rFonts w:ascii="宋体" w:hAnsi="宋体" w:eastAsia="宋体" w:cs="宋体"/>
                <w:sz w:val="18"/>
                <w:szCs w:val="18"/>
              </w:rPr>
            </w:pPr>
            <w:r>
              <w:rPr>
                <w:rFonts w:ascii="宋体" w:hAnsi="宋体" w:eastAsia="宋体" w:cs="宋体"/>
                <w:sz w:val="18"/>
                <w:szCs w:val="18"/>
              </w:rPr>
              <w:t>8,377,444.36</w:t>
            </w:r>
          </w:p>
        </w:tc>
      </w:tr>
      <w:tr w14:paraId="18106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91F8316">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14:paraId="3E8B74BD">
            <w:pPr>
              <w:spacing w:line="240" w:lineRule="exact"/>
              <w:jc w:val="right"/>
              <w:rPr>
                <w:rFonts w:ascii="宋体" w:hAnsi="宋体" w:eastAsia="宋体" w:cs="宋体"/>
                <w:sz w:val="18"/>
                <w:szCs w:val="18"/>
              </w:rPr>
            </w:pPr>
            <w:r>
              <w:rPr>
                <w:rFonts w:ascii="宋体" w:hAnsi="宋体" w:eastAsia="宋体" w:cs="宋体"/>
                <w:sz w:val="18"/>
                <w:szCs w:val="18"/>
              </w:rPr>
              <w:t>75,930,104.16</w:t>
            </w:r>
          </w:p>
        </w:tc>
        <w:tc>
          <w:tcPr>
            <w:tcW w:w="876" w:type="dxa"/>
            <w:tcBorders>
              <w:top w:val="single" w:color="auto" w:sz="2" w:space="0"/>
              <w:left w:val="single" w:color="auto" w:sz="2" w:space="0"/>
              <w:bottom w:val="single" w:color="auto" w:sz="2" w:space="0"/>
              <w:right w:val="single" w:color="auto" w:sz="2" w:space="0"/>
            </w:tcBorders>
            <w:vAlign w:val="center"/>
          </w:tcPr>
          <w:p w14:paraId="2CFE0ABF">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185751EF">
            <w:pPr>
              <w:spacing w:line="240" w:lineRule="exact"/>
              <w:jc w:val="right"/>
              <w:rPr>
                <w:rFonts w:ascii="宋体" w:hAnsi="宋体" w:eastAsia="宋体" w:cs="宋体"/>
                <w:sz w:val="18"/>
                <w:szCs w:val="18"/>
              </w:rPr>
            </w:pPr>
            <w:r>
              <w:rPr>
                <w:rFonts w:ascii="宋体" w:hAnsi="宋体" w:eastAsia="宋体" w:cs="宋体"/>
                <w:sz w:val="18"/>
                <w:szCs w:val="18"/>
              </w:rPr>
              <w:t>1,317,372.72</w:t>
            </w:r>
          </w:p>
        </w:tc>
        <w:tc>
          <w:tcPr>
            <w:tcW w:w="876" w:type="dxa"/>
            <w:tcBorders>
              <w:top w:val="single" w:color="auto" w:sz="2" w:space="0"/>
              <w:left w:val="single" w:color="auto" w:sz="2" w:space="0"/>
              <w:bottom w:val="single" w:color="auto" w:sz="2" w:space="0"/>
              <w:right w:val="single" w:color="auto" w:sz="2" w:space="0"/>
            </w:tcBorders>
            <w:vAlign w:val="center"/>
          </w:tcPr>
          <w:p w14:paraId="7654A611">
            <w:pPr>
              <w:spacing w:line="240" w:lineRule="exact"/>
              <w:jc w:val="right"/>
              <w:rPr>
                <w:rFonts w:ascii="宋体" w:hAnsi="宋体" w:eastAsia="宋体" w:cs="宋体"/>
                <w:sz w:val="18"/>
                <w:szCs w:val="18"/>
              </w:rPr>
            </w:pPr>
            <w:r>
              <w:rPr>
                <w:rFonts w:ascii="宋体" w:hAnsi="宋体" w:eastAsia="宋体" w:cs="宋体"/>
                <w:sz w:val="18"/>
                <w:szCs w:val="18"/>
              </w:rPr>
              <w:t>1.73%</w:t>
            </w:r>
          </w:p>
        </w:tc>
        <w:tc>
          <w:tcPr>
            <w:tcW w:w="876" w:type="dxa"/>
            <w:tcBorders>
              <w:top w:val="single" w:color="auto" w:sz="2" w:space="0"/>
              <w:left w:val="single" w:color="auto" w:sz="2" w:space="0"/>
              <w:bottom w:val="single" w:color="auto" w:sz="2" w:space="0"/>
              <w:right w:val="single" w:color="auto" w:sz="2" w:space="0"/>
            </w:tcBorders>
            <w:vAlign w:val="center"/>
          </w:tcPr>
          <w:p w14:paraId="280AC93A">
            <w:pPr>
              <w:spacing w:line="240" w:lineRule="exact"/>
              <w:jc w:val="right"/>
              <w:rPr>
                <w:rFonts w:ascii="宋体" w:hAnsi="宋体" w:eastAsia="宋体" w:cs="宋体"/>
                <w:sz w:val="18"/>
                <w:szCs w:val="18"/>
              </w:rPr>
            </w:pPr>
            <w:r>
              <w:rPr>
                <w:rFonts w:ascii="宋体" w:hAnsi="宋体" w:eastAsia="宋体" w:cs="宋体"/>
                <w:sz w:val="18"/>
                <w:szCs w:val="18"/>
              </w:rPr>
              <w:t>74,612,731.44</w:t>
            </w:r>
          </w:p>
        </w:tc>
        <w:tc>
          <w:tcPr>
            <w:tcW w:w="876" w:type="dxa"/>
            <w:tcBorders>
              <w:top w:val="single" w:color="auto" w:sz="2" w:space="0"/>
              <w:left w:val="single" w:color="auto" w:sz="2" w:space="0"/>
              <w:bottom w:val="single" w:color="auto" w:sz="2" w:space="0"/>
              <w:right w:val="single" w:color="auto" w:sz="2" w:space="0"/>
            </w:tcBorders>
            <w:vAlign w:val="center"/>
          </w:tcPr>
          <w:p w14:paraId="650FED19">
            <w:pPr>
              <w:spacing w:line="240" w:lineRule="exact"/>
              <w:jc w:val="right"/>
              <w:rPr>
                <w:rFonts w:ascii="宋体" w:hAnsi="宋体" w:eastAsia="宋体" w:cs="宋体"/>
                <w:sz w:val="18"/>
                <w:szCs w:val="18"/>
              </w:rPr>
            </w:pPr>
            <w:r>
              <w:rPr>
                <w:rFonts w:ascii="宋体" w:hAnsi="宋体" w:eastAsia="宋体" w:cs="宋体"/>
                <w:sz w:val="18"/>
                <w:szCs w:val="18"/>
              </w:rPr>
              <w:t>56,611,922.62</w:t>
            </w:r>
          </w:p>
        </w:tc>
        <w:tc>
          <w:tcPr>
            <w:tcW w:w="876" w:type="dxa"/>
            <w:tcBorders>
              <w:top w:val="single" w:color="auto" w:sz="2" w:space="0"/>
              <w:left w:val="single" w:color="auto" w:sz="2" w:space="0"/>
              <w:bottom w:val="single" w:color="auto" w:sz="2" w:space="0"/>
              <w:right w:val="single" w:color="auto" w:sz="2" w:space="0"/>
            </w:tcBorders>
            <w:vAlign w:val="center"/>
          </w:tcPr>
          <w:p w14:paraId="73E406A1">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22DA06B4">
            <w:pPr>
              <w:spacing w:line="240" w:lineRule="exact"/>
              <w:jc w:val="right"/>
              <w:rPr>
                <w:rFonts w:ascii="宋体" w:hAnsi="宋体" w:eastAsia="宋体" w:cs="宋体"/>
                <w:sz w:val="18"/>
                <w:szCs w:val="18"/>
              </w:rPr>
            </w:pPr>
            <w:r>
              <w:rPr>
                <w:rFonts w:ascii="宋体" w:hAnsi="宋体" w:eastAsia="宋体" w:cs="宋体"/>
                <w:sz w:val="18"/>
                <w:szCs w:val="18"/>
              </w:rPr>
              <w:t>440,918.12</w:t>
            </w:r>
          </w:p>
        </w:tc>
        <w:tc>
          <w:tcPr>
            <w:tcW w:w="876" w:type="dxa"/>
            <w:tcBorders>
              <w:top w:val="single" w:color="auto" w:sz="2" w:space="0"/>
              <w:left w:val="single" w:color="auto" w:sz="2" w:space="0"/>
              <w:bottom w:val="single" w:color="auto" w:sz="2" w:space="0"/>
              <w:right w:val="single" w:color="auto" w:sz="2" w:space="0"/>
            </w:tcBorders>
            <w:vAlign w:val="center"/>
          </w:tcPr>
          <w:p w14:paraId="6698D6CC">
            <w:pPr>
              <w:spacing w:line="240" w:lineRule="exact"/>
              <w:jc w:val="right"/>
              <w:rPr>
                <w:rFonts w:ascii="宋体" w:hAnsi="宋体" w:eastAsia="宋体" w:cs="宋体"/>
                <w:sz w:val="18"/>
                <w:szCs w:val="18"/>
              </w:rPr>
            </w:pPr>
            <w:r>
              <w:rPr>
                <w:rFonts w:ascii="宋体" w:hAnsi="宋体" w:eastAsia="宋体" w:cs="宋体"/>
                <w:sz w:val="18"/>
                <w:szCs w:val="18"/>
              </w:rPr>
              <w:t>0.78%</w:t>
            </w:r>
          </w:p>
        </w:tc>
        <w:tc>
          <w:tcPr>
            <w:tcW w:w="876" w:type="dxa"/>
            <w:tcBorders>
              <w:top w:val="single" w:color="auto" w:sz="2" w:space="0"/>
              <w:left w:val="single" w:color="auto" w:sz="2" w:space="0"/>
              <w:bottom w:val="single" w:color="auto" w:sz="2" w:space="0"/>
              <w:right w:val="single" w:color="auto" w:sz="2" w:space="0"/>
            </w:tcBorders>
            <w:vAlign w:val="center"/>
          </w:tcPr>
          <w:p w14:paraId="2273B40C">
            <w:pPr>
              <w:spacing w:line="240" w:lineRule="exact"/>
              <w:jc w:val="right"/>
              <w:rPr>
                <w:rFonts w:ascii="宋体" w:hAnsi="宋体" w:eastAsia="宋体" w:cs="宋体"/>
                <w:sz w:val="18"/>
                <w:szCs w:val="18"/>
              </w:rPr>
            </w:pPr>
            <w:r>
              <w:rPr>
                <w:rFonts w:ascii="宋体" w:hAnsi="宋体" w:eastAsia="宋体" w:cs="宋体"/>
                <w:sz w:val="18"/>
                <w:szCs w:val="18"/>
              </w:rPr>
              <w:t>56,171,004.50</w:t>
            </w:r>
          </w:p>
        </w:tc>
      </w:tr>
    </w:tbl>
    <w:p w14:paraId="6E1C92C5">
      <w:pPr>
        <w:spacing w:line="240" w:lineRule="exact"/>
        <w:rPr>
          <w:rFonts w:ascii="宋体" w:hAnsi="宋体" w:eastAsia="宋体" w:cs="宋体"/>
          <w:sz w:val="18"/>
          <w:szCs w:val="18"/>
        </w:rPr>
      </w:pPr>
      <w:r>
        <w:rPr>
          <w:rFonts w:ascii="宋体" w:hAnsi="宋体" w:eastAsia="宋体" w:cs="宋体"/>
          <w:sz w:val="18"/>
          <w:szCs w:val="18"/>
        </w:rPr>
        <w:t>按组合计提坏账准备：</w:t>
      </w:r>
    </w:p>
    <w:p w14:paraId="790A585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13495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4A6FFB6">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22B60969">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1E8E3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F78800B"/>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265D020">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88396F5">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AE452FF">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14:paraId="60A18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C13F889">
            <w:pPr>
              <w:spacing w:line="240" w:lineRule="exact"/>
              <w:rPr>
                <w:rFonts w:ascii="宋体" w:hAnsi="宋体" w:eastAsia="宋体" w:cs="宋体"/>
                <w:sz w:val="18"/>
                <w:szCs w:val="18"/>
              </w:rPr>
            </w:pPr>
            <w:r>
              <w:rPr>
                <w:rFonts w:ascii="宋体" w:hAnsi="宋体" w:eastAsia="宋体" w:cs="宋体"/>
                <w:sz w:val="18"/>
                <w:szCs w:val="18"/>
              </w:rPr>
              <w:t>商业承兑汇票组合</w:t>
            </w:r>
          </w:p>
        </w:tc>
        <w:tc>
          <w:tcPr>
            <w:tcW w:w="2410" w:type="dxa"/>
            <w:tcBorders>
              <w:top w:val="single" w:color="auto" w:sz="2" w:space="0"/>
              <w:left w:val="single" w:color="auto" w:sz="2" w:space="0"/>
              <w:bottom w:val="single" w:color="auto" w:sz="2" w:space="0"/>
              <w:right w:val="single" w:color="auto" w:sz="2" w:space="0"/>
            </w:tcBorders>
            <w:vAlign w:val="center"/>
          </w:tcPr>
          <w:p w14:paraId="1A0F7D85">
            <w:pPr>
              <w:spacing w:line="240" w:lineRule="exact"/>
              <w:jc w:val="right"/>
              <w:rPr>
                <w:rFonts w:ascii="宋体" w:hAnsi="宋体" w:eastAsia="宋体" w:cs="宋体"/>
                <w:sz w:val="18"/>
                <w:szCs w:val="18"/>
              </w:rPr>
            </w:pPr>
            <w:r>
              <w:rPr>
                <w:rFonts w:ascii="宋体" w:hAnsi="宋体" w:eastAsia="宋体" w:cs="宋体"/>
                <w:sz w:val="18"/>
                <w:szCs w:val="18"/>
              </w:rPr>
              <w:t>26,347,454.24</w:t>
            </w:r>
          </w:p>
        </w:tc>
        <w:tc>
          <w:tcPr>
            <w:tcW w:w="2410" w:type="dxa"/>
            <w:tcBorders>
              <w:top w:val="single" w:color="auto" w:sz="2" w:space="0"/>
              <w:left w:val="single" w:color="auto" w:sz="2" w:space="0"/>
              <w:bottom w:val="single" w:color="auto" w:sz="2" w:space="0"/>
              <w:right w:val="single" w:color="auto" w:sz="2" w:space="0"/>
            </w:tcBorders>
            <w:vAlign w:val="center"/>
          </w:tcPr>
          <w:p w14:paraId="115F2E26">
            <w:pPr>
              <w:spacing w:line="240" w:lineRule="exact"/>
              <w:jc w:val="right"/>
              <w:rPr>
                <w:rFonts w:ascii="宋体" w:hAnsi="宋体" w:eastAsia="宋体" w:cs="宋体"/>
                <w:sz w:val="18"/>
                <w:szCs w:val="18"/>
              </w:rPr>
            </w:pPr>
            <w:r>
              <w:rPr>
                <w:rFonts w:ascii="宋体" w:hAnsi="宋体" w:eastAsia="宋体" w:cs="宋体"/>
                <w:sz w:val="18"/>
                <w:szCs w:val="18"/>
              </w:rPr>
              <w:t>1,317,372.72</w:t>
            </w:r>
          </w:p>
        </w:tc>
        <w:tc>
          <w:tcPr>
            <w:tcW w:w="2410" w:type="dxa"/>
            <w:tcBorders>
              <w:top w:val="single" w:color="auto" w:sz="2" w:space="0"/>
              <w:left w:val="single" w:color="auto" w:sz="2" w:space="0"/>
              <w:bottom w:val="single" w:color="auto" w:sz="2" w:space="0"/>
              <w:right w:val="single" w:color="auto" w:sz="2" w:space="0"/>
            </w:tcBorders>
            <w:vAlign w:val="center"/>
          </w:tcPr>
          <w:p w14:paraId="045366C0">
            <w:pPr>
              <w:spacing w:line="240" w:lineRule="exact"/>
              <w:jc w:val="right"/>
              <w:rPr>
                <w:rFonts w:ascii="宋体" w:hAnsi="宋体" w:eastAsia="宋体" w:cs="宋体"/>
                <w:sz w:val="18"/>
                <w:szCs w:val="18"/>
              </w:rPr>
            </w:pPr>
            <w:r>
              <w:rPr>
                <w:rFonts w:ascii="宋体" w:hAnsi="宋体" w:eastAsia="宋体" w:cs="宋体"/>
                <w:sz w:val="18"/>
                <w:szCs w:val="18"/>
              </w:rPr>
              <w:t>5.00%</w:t>
            </w:r>
          </w:p>
        </w:tc>
      </w:tr>
      <w:tr w14:paraId="2C9BB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68CD8E7">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64625E86">
            <w:pPr>
              <w:spacing w:line="240" w:lineRule="exact"/>
              <w:jc w:val="right"/>
              <w:rPr>
                <w:rFonts w:ascii="宋体" w:hAnsi="宋体" w:eastAsia="宋体" w:cs="宋体"/>
                <w:sz w:val="18"/>
                <w:szCs w:val="18"/>
              </w:rPr>
            </w:pPr>
            <w:r>
              <w:rPr>
                <w:rFonts w:ascii="宋体" w:hAnsi="宋体" w:eastAsia="宋体" w:cs="宋体"/>
                <w:sz w:val="18"/>
                <w:szCs w:val="18"/>
              </w:rPr>
              <w:t>26,347,454.24</w:t>
            </w:r>
          </w:p>
        </w:tc>
        <w:tc>
          <w:tcPr>
            <w:tcW w:w="2410" w:type="dxa"/>
            <w:tcBorders>
              <w:top w:val="single" w:color="auto" w:sz="2" w:space="0"/>
              <w:left w:val="single" w:color="auto" w:sz="2" w:space="0"/>
              <w:bottom w:val="single" w:color="auto" w:sz="2" w:space="0"/>
              <w:right w:val="single" w:color="auto" w:sz="2" w:space="0"/>
            </w:tcBorders>
            <w:vAlign w:val="center"/>
          </w:tcPr>
          <w:p w14:paraId="01215960">
            <w:pPr>
              <w:spacing w:line="240" w:lineRule="exact"/>
              <w:jc w:val="right"/>
              <w:rPr>
                <w:rFonts w:ascii="宋体" w:hAnsi="宋体" w:eastAsia="宋体" w:cs="宋体"/>
                <w:sz w:val="18"/>
                <w:szCs w:val="18"/>
              </w:rPr>
            </w:pPr>
            <w:r>
              <w:rPr>
                <w:rFonts w:ascii="宋体" w:hAnsi="宋体" w:eastAsia="宋体" w:cs="宋体"/>
                <w:sz w:val="18"/>
                <w:szCs w:val="18"/>
              </w:rPr>
              <w:t>1,317,372.72</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C58AA2C"/>
        </w:tc>
      </w:tr>
    </w:tbl>
    <w:p w14:paraId="47EB1A87">
      <w:pPr>
        <w:spacing w:before="100" w:after="100" w:line="240" w:lineRule="exact"/>
        <w:rPr>
          <w:rFonts w:ascii="宋体" w:hAnsi="宋体" w:eastAsia="宋体" w:cs="宋体"/>
          <w:sz w:val="18"/>
          <w:szCs w:val="18"/>
        </w:rPr>
      </w:pPr>
      <w:r>
        <w:rPr>
          <w:rFonts w:ascii="宋体" w:hAnsi="宋体" w:eastAsia="宋体" w:cs="宋体"/>
          <w:sz w:val="18"/>
          <w:szCs w:val="18"/>
        </w:rPr>
        <w:t>确定该组合依据的说明：</w:t>
      </w:r>
      <w:r>
        <w:rPr>
          <w:rFonts w:hint="eastAsia" w:ascii="宋体" w:hAnsi="宋体" w:eastAsia="宋体" w:cs="宋体"/>
          <w:sz w:val="18"/>
          <w:szCs w:val="18"/>
        </w:rPr>
        <w:t>无</w:t>
      </w:r>
    </w:p>
    <w:p w14:paraId="37200E5D">
      <w:pPr>
        <w:spacing w:before="100" w:after="100" w:line="240" w:lineRule="exact"/>
        <w:rPr>
          <w:rFonts w:ascii="宋体" w:hAnsi="宋体" w:eastAsia="宋体" w:cs="宋体"/>
          <w:sz w:val="18"/>
          <w:szCs w:val="18"/>
        </w:rPr>
      </w:pPr>
      <w:r>
        <w:rPr>
          <w:rFonts w:ascii="宋体" w:hAnsi="宋体" w:eastAsia="宋体" w:cs="宋体"/>
          <w:sz w:val="18"/>
          <w:szCs w:val="18"/>
        </w:rPr>
        <w:t>如是按照预期信用损失一般模型计提应收票据坏账准备：</w:t>
      </w:r>
    </w:p>
    <w:p w14:paraId="771DF3A8">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4EF167A">
      <w:pPr>
        <w:keepNext/>
        <w:keepLines/>
        <w:spacing w:before="300" w:after="300" w:line="280" w:lineRule="exact"/>
        <w:outlineLvl w:val="3"/>
        <w:rPr>
          <w:rFonts w:ascii="宋体" w:hAnsi="宋体" w:eastAsia="宋体" w:cs="宋体"/>
          <w:b/>
          <w:bCs/>
          <w:szCs w:val="21"/>
        </w:rPr>
      </w:pPr>
      <w:bookmarkStart w:id="276" w:name="_Toc989128"/>
      <w:r>
        <w:rPr>
          <w:rFonts w:ascii="宋体" w:hAnsi="宋体" w:eastAsia="宋体" w:cs="宋体"/>
          <w:b/>
          <w:bCs/>
          <w:szCs w:val="21"/>
        </w:rPr>
        <w:t>（3） 本期计提、收回或转回的坏账准备情况</w:t>
      </w:r>
      <w:bookmarkEnd w:id="276"/>
    </w:p>
    <w:p w14:paraId="411FE3D3">
      <w:pPr>
        <w:spacing w:before="100" w:line="240" w:lineRule="exact"/>
        <w:rPr>
          <w:rFonts w:ascii="宋体" w:hAnsi="宋体" w:eastAsia="宋体" w:cs="宋体"/>
          <w:sz w:val="18"/>
          <w:szCs w:val="18"/>
        </w:rPr>
      </w:pPr>
      <w:r>
        <w:rPr>
          <w:rFonts w:ascii="宋体" w:hAnsi="宋体" w:eastAsia="宋体" w:cs="宋体"/>
          <w:sz w:val="18"/>
          <w:szCs w:val="18"/>
        </w:rPr>
        <w:t>本期计提坏账准备情况：</w:t>
      </w:r>
    </w:p>
    <w:p w14:paraId="62E85F22">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4BDD1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E388919">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8C343E3">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5F99D9BA">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ED4CD16">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4CA93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CD699F3"/>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310A5A9"/>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7592370">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B6DB4E9">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BCC1BBA">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B631DA6">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E9F03A0"/>
        </w:tc>
      </w:tr>
      <w:tr w14:paraId="52986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41EBDF6">
            <w:pPr>
              <w:spacing w:line="240" w:lineRule="exact"/>
              <w:rPr>
                <w:rFonts w:ascii="宋体" w:hAnsi="宋体" w:eastAsia="宋体" w:cs="宋体"/>
                <w:sz w:val="18"/>
                <w:szCs w:val="18"/>
              </w:rPr>
            </w:pPr>
            <w:r>
              <w:rPr>
                <w:rFonts w:ascii="宋体" w:hAnsi="宋体" w:eastAsia="宋体" w:cs="宋体"/>
                <w:sz w:val="18"/>
                <w:szCs w:val="18"/>
              </w:rPr>
              <w:t>商业承兑汇票</w:t>
            </w:r>
          </w:p>
        </w:tc>
        <w:tc>
          <w:tcPr>
            <w:tcW w:w="1377" w:type="dxa"/>
            <w:tcBorders>
              <w:top w:val="single" w:color="auto" w:sz="2" w:space="0"/>
              <w:left w:val="single" w:color="auto" w:sz="2" w:space="0"/>
              <w:bottom w:val="single" w:color="auto" w:sz="2" w:space="0"/>
              <w:right w:val="single" w:color="auto" w:sz="2" w:space="0"/>
            </w:tcBorders>
            <w:vAlign w:val="center"/>
          </w:tcPr>
          <w:p w14:paraId="33D3CF12">
            <w:pPr>
              <w:spacing w:line="240" w:lineRule="exact"/>
              <w:jc w:val="right"/>
              <w:rPr>
                <w:rFonts w:ascii="宋体" w:hAnsi="宋体" w:eastAsia="宋体" w:cs="宋体"/>
                <w:sz w:val="18"/>
                <w:szCs w:val="18"/>
              </w:rPr>
            </w:pPr>
            <w:r>
              <w:rPr>
                <w:rFonts w:ascii="宋体" w:hAnsi="宋体" w:eastAsia="宋体" w:cs="宋体"/>
                <w:sz w:val="18"/>
                <w:szCs w:val="18"/>
              </w:rPr>
              <w:t>440,918.12</w:t>
            </w:r>
          </w:p>
        </w:tc>
        <w:tc>
          <w:tcPr>
            <w:tcW w:w="1377" w:type="dxa"/>
            <w:tcBorders>
              <w:top w:val="single" w:color="auto" w:sz="2" w:space="0"/>
              <w:left w:val="single" w:color="auto" w:sz="2" w:space="0"/>
              <w:bottom w:val="single" w:color="auto" w:sz="2" w:space="0"/>
              <w:right w:val="single" w:color="auto" w:sz="2" w:space="0"/>
            </w:tcBorders>
            <w:vAlign w:val="center"/>
          </w:tcPr>
          <w:p w14:paraId="5F569043">
            <w:pPr>
              <w:spacing w:line="240" w:lineRule="exact"/>
              <w:jc w:val="right"/>
              <w:rPr>
                <w:rFonts w:ascii="宋体" w:hAnsi="宋体" w:eastAsia="宋体" w:cs="宋体"/>
                <w:sz w:val="18"/>
                <w:szCs w:val="18"/>
              </w:rPr>
            </w:pPr>
            <w:r>
              <w:rPr>
                <w:rFonts w:ascii="宋体" w:hAnsi="宋体" w:eastAsia="宋体" w:cs="宋体"/>
                <w:sz w:val="18"/>
                <w:szCs w:val="18"/>
              </w:rPr>
              <w:t>876,454.60</w:t>
            </w:r>
          </w:p>
        </w:tc>
        <w:tc>
          <w:tcPr>
            <w:tcW w:w="1377" w:type="dxa"/>
            <w:tcBorders>
              <w:top w:val="single" w:color="auto" w:sz="2" w:space="0"/>
              <w:left w:val="single" w:color="auto" w:sz="2" w:space="0"/>
              <w:bottom w:val="single" w:color="auto" w:sz="2" w:space="0"/>
              <w:right w:val="single" w:color="auto" w:sz="2" w:space="0"/>
            </w:tcBorders>
            <w:vAlign w:val="center"/>
          </w:tcPr>
          <w:p w14:paraId="791A544D">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BBF87DE">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C080F68">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3D2373C">
            <w:pPr>
              <w:spacing w:line="240" w:lineRule="exact"/>
              <w:jc w:val="right"/>
              <w:rPr>
                <w:rFonts w:ascii="宋体" w:hAnsi="宋体" w:eastAsia="宋体" w:cs="宋体"/>
                <w:sz w:val="18"/>
                <w:szCs w:val="18"/>
              </w:rPr>
            </w:pPr>
            <w:r>
              <w:rPr>
                <w:rFonts w:ascii="宋体" w:hAnsi="宋体" w:eastAsia="宋体" w:cs="宋体"/>
                <w:sz w:val="18"/>
                <w:szCs w:val="18"/>
              </w:rPr>
              <w:t>1,317,372.72</w:t>
            </w:r>
          </w:p>
        </w:tc>
      </w:tr>
      <w:tr w14:paraId="7D748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7D3E2F4">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7D9A21F6">
            <w:pPr>
              <w:spacing w:line="240" w:lineRule="exact"/>
              <w:jc w:val="right"/>
              <w:rPr>
                <w:rFonts w:ascii="宋体" w:hAnsi="宋体" w:eastAsia="宋体" w:cs="宋体"/>
                <w:sz w:val="18"/>
                <w:szCs w:val="18"/>
              </w:rPr>
            </w:pPr>
            <w:r>
              <w:rPr>
                <w:rFonts w:ascii="宋体" w:hAnsi="宋体" w:eastAsia="宋体" w:cs="宋体"/>
                <w:sz w:val="18"/>
                <w:szCs w:val="18"/>
              </w:rPr>
              <w:t>440,918.12</w:t>
            </w:r>
          </w:p>
        </w:tc>
        <w:tc>
          <w:tcPr>
            <w:tcW w:w="1377" w:type="dxa"/>
            <w:tcBorders>
              <w:top w:val="single" w:color="auto" w:sz="2" w:space="0"/>
              <w:left w:val="single" w:color="auto" w:sz="2" w:space="0"/>
              <w:bottom w:val="single" w:color="auto" w:sz="2" w:space="0"/>
              <w:right w:val="single" w:color="auto" w:sz="2" w:space="0"/>
            </w:tcBorders>
            <w:vAlign w:val="center"/>
          </w:tcPr>
          <w:p w14:paraId="66968973">
            <w:pPr>
              <w:spacing w:line="240" w:lineRule="exact"/>
              <w:jc w:val="right"/>
              <w:rPr>
                <w:rFonts w:ascii="宋体" w:hAnsi="宋体" w:eastAsia="宋体" w:cs="宋体"/>
                <w:sz w:val="18"/>
                <w:szCs w:val="18"/>
              </w:rPr>
            </w:pPr>
            <w:r>
              <w:rPr>
                <w:rFonts w:ascii="宋体" w:hAnsi="宋体" w:eastAsia="宋体" w:cs="宋体"/>
                <w:sz w:val="18"/>
                <w:szCs w:val="18"/>
              </w:rPr>
              <w:t>876,454.60</w:t>
            </w:r>
          </w:p>
        </w:tc>
        <w:tc>
          <w:tcPr>
            <w:tcW w:w="1377" w:type="dxa"/>
            <w:tcBorders>
              <w:top w:val="single" w:color="auto" w:sz="2" w:space="0"/>
              <w:left w:val="single" w:color="auto" w:sz="2" w:space="0"/>
              <w:bottom w:val="single" w:color="auto" w:sz="2" w:space="0"/>
              <w:right w:val="single" w:color="auto" w:sz="2" w:space="0"/>
            </w:tcBorders>
            <w:vAlign w:val="center"/>
          </w:tcPr>
          <w:p w14:paraId="0731D0C5">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34DF393">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970CF00">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2F1C164">
            <w:pPr>
              <w:spacing w:line="240" w:lineRule="exact"/>
              <w:jc w:val="right"/>
              <w:rPr>
                <w:rFonts w:ascii="宋体" w:hAnsi="宋体" w:eastAsia="宋体" w:cs="宋体"/>
                <w:sz w:val="18"/>
                <w:szCs w:val="18"/>
              </w:rPr>
            </w:pPr>
            <w:r>
              <w:rPr>
                <w:rFonts w:ascii="宋体" w:hAnsi="宋体" w:eastAsia="宋体" w:cs="宋体"/>
                <w:sz w:val="18"/>
                <w:szCs w:val="18"/>
              </w:rPr>
              <w:t>1,317,372.72</w:t>
            </w:r>
          </w:p>
        </w:tc>
      </w:tr>
    </w:tbl>
    <w:p w14:paraId="33EECFED">
      <w:pPr>
        <w:spacing w:before="100" w:after="100" w:line="240" w:lineRule="exact"/>
        <w:rPr>
          <w:rFonts w:ascii="宋体" w:hAnsi="宋体" w:eastAsia="宋体" w:cs="宋体"/>
          <w:sz w:val="18"/>
          <w:szCs w:val="18"/>
        </w:rPr>
      </w:pPr>
      <w:r>
        <w:rPr>
          <w:rFonts w:ascii="宋体" w:hAnsi="宋体" w:eastAsia="宋体" w:cs="宋体"/>
          <w:sz w:val="18"/>
          <w:szCs w:val="18"/>
        </w:rPr>
        <w:t>其中本期坏账准备收回或转回金额重要的：</w:t>
      </w:r>
    </w:p>
    <w:p w14:paraId="2BFD2454">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A38DC6D">
      <w:pPr>
        <w:keepNext/>
        <w:keepLines/>
        <w:spacing w:before="300" w:after="300" w:line="280" w:lineRule="exact"/>
        <w:outlineLvl w:val="3"/>
        <w:rPr>
          <w:rFonts w:ascii="宋体" w:hAnsi="宋体" w:eastAsia="宋体" w:cs="宋体"/>
          <w:b/>
          <w:bCs/>
          <w:szCs w:val="21"/>
        </w:rPr>
      </w:pPr>
      <w:bookmarkStart w:id="277" w:name="_Toc989129"/>
      <w:r>
        <w:rPr>
          <w:rFonts w:ascii="宋体" w:hAnsi="宋体" w:eastAsia="宋体" w:cs="宋体"/>
          <w:b/>
          <w:bCs/>
          <w:szCs w:val="21"/>
        </w:rPr>
        <w:t>（4） 期末公司已质押的应收票据</w:t>
      </w:r>
      <w:bookmarkEnd w:id="277"/>
    </w:p>
    <w:p w14:paraId="562E01E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14:paraId="00C1E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942A1BE">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382ACDC">
            <w:pPr>
              <w:spacing w:before="40" w:after="40" w:line="240" w:lineRule="exact"/>
              <w:jc w:val="center"/>
              <w:rPr>
                <w:rFonts w:ascii="宋体" w:hAnsi="宋体" w:eastAsia="宋体" w:cs="宋体"/>
                <w:sz w:val="18"/>
                <w:szCs w:val="18"/>
              </w:rPr>
            </w:pPr>
            <w:r>
              <w:rPr>
                <w:rFonts w:ascii="宋体" w:hAnsi="宋体" w:eastAsia="宋体" w:cs="宋体"/>
                <w:sz w:val="18"/>
                <w:szCs w:val="18"/>
              </w:rPr>
              <w:t>期末已质押金额</w:t>
            </w:r>
          </w:p>
        </w:tc>
      </w:tr>
      <w:tr w14:paraId="3487C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C584887">
            <w:pPr>
              <w:spacing w:before="40" w:after="40" w:line="240" w:lineRule="exact"/>
              <w:rPr>
                <w:rFonts w:ascii="宋体" w:hAnsi="宋体" w:eastAsia="宋体" w:cs="宋体"/>
                <w:sz w:val="18"/>
                <w:szCs w:val="18"/>
              </w:rPr>
            </w:pPr>
            <w:r>
              <w:rPr>
                <w:rFonts w:hint="eastAsia" w:ascii="宋体" w:hAnsi="宋体" w:eastAsia="宋体" w:cs="宋体"/>
                <w:sz w:val="18"/>
                <w:szCs w:val="18"/>
              </w:rPr>
              <w:t>银行</w:t>
            </w:r>
            <w:r>
              <w:rPr>
                <w:rFonts w:ascii="宋体" w:hAnsi="宋体" w:eastAsia="宋体" w:cs="宋体"/>
                <w:sz w:val="18"/>
                <w:szCs w:val="18"/>
              </w:rPr>
              <w:t>承兑票据</w:t>
            </w:r>
          </w:p>
        </w:tc>
        <w:tc>
          <w:tcPr>
            <w:tcW w:w="4820" w:type="dxa"/>
            <w:tcBorders>
              <w:top w:val="single" w:color="auto" w:sz="2" w:space="0"/>
              <w:left w:val="single" w:color="auto" w:sz="2" w:space="0"/>
              <w:bottom w:val="single" w:color="auto" w:sz="2" w:space="0"/>
              <w:right w:val="single" w:color="auto" w:sz="2" w:space="0"/>
            </w:tcBorders>
            <w:vAlign w:val="center"/>
          </w:tcPr>
          <w:p w14:paraId="13F2752C">
            <w:pPr>
              <w:spacing w:line="240" w:lineRule="exact"/>
              <w:jc w:val="right"/>
              <w:rPr>
                <w:rFonts w:ascii="宋体" w:hAnsi="宋体" w:eastAsia="宋体" w:cs="宋体"/>
                <w:sz w:val="18"/>
                <w:szCs w:val="18"/>
              </w:rPr>
            </w:pPr>
            <w:r>
              <w:rPr>
                <w:rFonts w:ascii="宋体" w:hAnsi="宋体" w:eastAsia="宋体" w:cs="宋体"/>
                <w:sz w:val="18"/>
                <w:szCs w:val="18"/>
              </w:rPr>
              <w:t>25,946,028.76</w:t>
            </w:r>
          </w:p>
        </w:tc>
      </w:tr>
      <w:tr w14:paraId="23B2C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9C83228">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14:paraId="48617056">
            <w:pPr>
              <w:spacing w:line="240" w:lineRule="exact"/>
              <w:jc w:val="right"/>
              <w:rPr>
                <w:rFonts w:ascii="宋体" w:hAnsi="宋体" w:eastAsia="宋体" w:cs="宋体"/>
                <w:sz w:val="18"/>
                <w:szCs w:val="18"/>
              </w:rPr>
            </w:pPr>
            <w:r>
              <w:rPr>
                <w:rFonts w:ascii="宋体" w:hAnsi="宋体" w:eastAsia="宋体" w:cs="宋体"/>
                <w:sz w:val="18"/>
                <w:szCs w:val="18"/>
              </w:rPr>
              <w:t>25,946,028.76</w:t>
            </w:r>
          </w:p>
        </w:tc>
      </w:tr>
    </w:tbl>
    <w:p w14:paraId="72CCB420">
      <w:pPr>
        <w:keepNext/>
        <w:keepLines/>
        <w:spacing w:before="300" w:after="300" w:line="280" w:lineRule="exact"/>
        <w:outlineLvl w:val="3"/>
        <w:rPr>
          <w:rFonts w:ascii="宋体" w:hAnsi="宋体" w:eastAsia="宋体" w:cs="宋体"/>
          <w:b/>
          <w:bCs/>
          <w:szCs w:val="21"/>
        </w:rPr>
      </w:pPr>
      <w:bookmarkStart w:id="278" w:name="_Toc989130"/>
      <w:r>
        <w:rPr>
          <w:rFonts w:ascii="宋体" w:hAnsi="宋体" w:eastAsia="宋体" w:cs="宋体"/>
          <w:b/>
          <w:bCs/>
          <w:szCs w:val="21"/>
        </w:rPr>
        <w:t>（5） 期末公司已背书或贴现且在资产负债表日尚未到期的应收票据</w:t>
      </w:r>
      <w:bookmarkEnd w:id="278"/>
    </w:p>
    <w:p w14:paraId="521CE61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3FCD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998A34">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D4EC2B">
            <w:pPr>
              <w:spacing w:before="40" w:after="40" w:line="240" w:lineRule="exact"/>
              <w:jc w:val="center"/>
              <w:rPr>
                <w:rFonts w:ascii="宋体" w:hAnsi="宋体" w:eastAsia="宋体" w:cs="宋体"/>
                <w:sz w:val="18"/>
                <w:szCs w:val="18"/>
              </w:rPr>
            </w:pPr>
            <w:r>
              <w:rPr>
                <w:rFonts w:ascii="宋体" w:hAnsi="宋体" w:eastAsia="宋体" w:cs="宋体"/>
                <w:sz w:val="18"/>
                <w:szCs w:val="18"/>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308A2A">
            <w:pPr>
              <w:spacing w:before="40" w:after="40" w:line="240" w:lineRule="exact"/>
              <w:jc w:val="center"/>
              <w:rPr>
                <w:rFonts w:ascii="宋体" w:hAnsi="宋体" w:eastAsia="宋体" w:cs="宋体"/>
                <w:sz w:val="18"/>
                <w:szCs w:val="18"/>
              </w:rPr>
            </w:pPr>
            <w:r>
              <w:rPr>
                <w:rFonts w:ascii="宋体" w:hAnsi="宋体" w:eastAsia="宋体" w:cs="宋体"/>
                <w:sz w:val="18"/>
                <w:szCs w:val="18"/>
              </w:rPr>
              <w:t>期末未终止确认金额</w:t>
            </w:r>
          </w:p>
        </w:tc>
      </w:tr>
      <w:tr w14:paraId="2F5EB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0787F5">
            <w:pPr>
              <w:spacing w:before="40" w:after="40" w:line="240" w:lineRule="exact"/>
              <w:rPr>
                <w:rFonts w:ascii="宋体" w:hAnsi="宋体" w:eastAsia="宋体" w:cs="宋体"/>
                <w:sz w:val="18"/>
                <w:szCs w:val="18"/>
              </w:rPr>
            </w:pPr>
            <w:r>
              <w:rPr>
                <w:rFonts w:ascii="宋体" w:hAnsi="宋体" w:eastAsia="宋体" w:cs="宋体"/>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14:paraId="2F82FDE3">
            <w:pPr>
              <w:spacing w:line="240" w:lineRule="exact"/>
              <w:jc w:val="right"/>
              <w:rPr>
                <w:rFonts w:ascii="宋体" w:hAnsi="宋体" w:eastAsia="宋体" w:cs="宋体"/>
                <w:sz w:val="18"/>
                <w:szCs w:val="18"/>
              </w:rPr>
            </w:pPr>
            <w:r>
              <w:rPr>
                <w:rFonts w:ascii="宋体" w:hAnsi="宋体" w:eastAsia="宋体" w:cs="宋体"/>
                <w:sz w:val="18"/>
                <w:szCs w:val="18"/>
              </w:rPr>
              <w:t>171,941,597.26</w:t>
            </w:r>
          </w:p>
        </w:tc>
        <w:tc>
          <w:tcPr>
            <w:tcW w:w="3213" w:type="dxa"/>
            <w:tcBorders>
              <w:top w:val="single" w:color="auto" w:sz="2" w:space="0"/>
              <w:left w:val="single" w:color="auto" w:sz="2" w:space="0"/>
              <w:bottom w:val="single" w:color="auto" w:sz="2" w:space="0"/>
              <w:right w:val="single" w:color="auto" w:sz="2" w:space="0"/>
            </w:tcBorders>
            <w:vAlign w:val="center"/>
          </w:tcPr>
          <w:p w14:paraId="0B391C98">
            <w:pPr>
              <w:spacing w:line="240" w:lineRule="exact"/>
              <w:jc w:val="right"/>
              <w:rPr>
                <w:rFonts w:ascii="宋体" w:hAnsi="宋体" w:eastAsia="宋体" w:cs="宋体"/>
                <w:sz w:val="18"/>
                <w:szCs w:val="18"/>
              </w:rPr>
            </w:pPr>
          </w:p>
        </w:tc>
      </w:tr>
      <w:tr w14:paraId="4C3BB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2D4A1F">
            <w:pPr>
              <w:spacing w:before="40" w:after="40" w:line="240" w:lineRule="exact"/>
              <w:rPr>
                <w:rFonts w:ascii="宋体" w:hAnsi="宋体" w:eastAsia="宋体" w:cs="宋体"/>
                <w:sz w:val="18"/>
                <w:szCs w:val="18"/>
              </w:rPr>
            </w:pPr>
            <w:r>
              <w:rPr>
                <w:rFonts w:ascii="宋体" w:hAnsi="宋体" w:eastAsia="宋体" w:cs="宋体"/>
                <w:sz w:val="18"/>
                <w:szCs w:val="18"/>
              </w:rPr>
              <w:t>商业承兑票据</w:t>
            </w:r>
          </w:p>
        </w:tc>
        <w:tc>
          <w:tcPr>
            <w:tcW w:w="3213" w:type="dxa"/>
            <w:tcBorders>
              <w:top w:val="single" w:color="auto" w:sz="2" w:space="0"/>
              <w:left w:val="single" w:color="auto" w:sz="2" w:space="0"/>
              <w:bottom w:val="single" w:color="auto" w:sz="2" w:space="0"/>
              <w:right w:val="single" w:color="auto" w:sz="2" w:space="0"/>
            </w:tcBorders>
            <w:vAlign w:val="center"/>
          </w:tcPr>
          <w:p w14:paraId="7D58F4AF">
            <w:pPr>
              <w:spacing w:line="240" w:lineRule="exact"/>
              <w:jc w:val="right"/>
              <w:rPr>
                <w:rFonts w:ascii="宋体" w:hAnsi="宋体" w:eastAsia="宋体" w:cs="宋体"/>
                <w:sz w:val="18"/>
                <w:szCs w:val="18"/>
              </w:rPr>
            </w:pPr>
            <w:r>
              <w:rPr>
                <w:rFonts w:ascii="宋体" w:hAnsi="宋体" w:eastAsia="宋体" w:cs="宋体"/>
                <w:sz w:val="18"/>
                <w:szCs w:val="18"/>
              </w:rPr>
              <w:t>54,609,412.31</w:t>
            </w:r>
          </w:p>
        </w:tc>
        <w:tc>
          <w:tcPr>
            <w:tcW w:w="3213" w:type="dxa"/>
            <w:tcBorders>
              <w:top w:val="single" w:color="auto" w:sz="2" w:space="0"/>
              <w:left w:val="single" w:color="auto" w:sz="2" w:space="0"/>
              <w:bottom w:val="single" w:color="auto" w:sz="2" w:space="0"/>
              <w:right w:val="single" w:color="auto" w:sz="2" w:space="0"/>
            </w:tcBorders>
            <w:vAlign w:val="center"/>
          </w:tcPr>
          <w:p w14:paraId="211BE74E">
            <w:pPr>
              <w:spacing w:line="240" w:lineRule="exact"/>
              <w:jc w:val="right"/>
              <w:rPr>
                <w:rFonts w:ascii="宋体" w:hAnsi="宋体" w:eastAsia="宋体" w:cs="宋体"/>
                <w:sz w:val="18"/>
                <w:szCs w:val="18"/>
              </w:rPr>
            </w:pPr>
          </w:p>
        </w:tc>
      </w:tr>
      <w:tr w14:paraId="4B3F4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EE2268">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44389AA">
            <w:pPr>
              <w:spacing w:line="240" w:lineRule="exact"/>
              <w:jc w:val="right"/>
              <w:rPr>
                <w:rFonts w:ascii="宋体" w:hAnsi="宋体" w:eastAsia="宋体" w:cs="宋体"/>
                <w:sz w:val="18"/>
                <w:szCs w:val="18"/>
              </w:rPr>
            </w:pPr>
            <w:r>
              <w:rPr>
                <w:rFonts w:ascii="宋体" w:hAnsi="宋体" w:eastAsia="宋体" w:cs="宋体"/>
                <w:sz w:val="18"/>
                <w:szCs w:val="18"/>
              </w:rPr>
              <w:t>226,551,009.57</w:t>
            </w:r>
          </w:p>
        </w:tc>
        <w:tc>
          <w:tcPr>
            <w:tcW w:w="3213" w:type="dxa"/>
            <w:tcBorders>
              <w:top w:val="single" w:color="auto" w:sz="2" w:space="0"/>
              <w:left w:val="single" w:color="auto" w:sz="2" w:space="0"/>
              <w:bottom w:val="single" w:color="auto" w:sz="2" w:space="0"/>
              <w:right w:val="single" w:color="auto" w:sz="2" w:space="0"/>
            </w:tcBorders>
            <w:vAlign w:val="center"/>
          </w:tcPr>
          <w:p w14:paraId="471D56AF">
            <w:pPr>
              <w:spacing w:line="240" w:lineRule="exact"/>
              <w:jc w:val="right"/>
              <w:rPr>
                <w:rFonts w:ascii="宋体" w:hAnsi="宋体" w:eastAsia="宋体" w:cs="宋体"/>
                <w:sz w:val="18"/>
                <w:szCs w:val="18"/>
              </w:rPr>
            </w:pPr>
          </w:p>
        </w:tc>
      </w:tr>
    </w:tbl>
    <w:p w14:paraId="7276605B">
      <w:pPr>
        <w:keepNext/>
        <w:keepLines/>
        <w:spacing w:before="300" w:after="300" w:line="280" w:lineRule="exact"/>
        <w:outlineLvl w:val="3"/>
        <w:rPr>
          <w:rFonts w:ascii="宋体" w:hAnsi="宋体" w:eastAsia="宋体" w:cs="宋体"/>
          <w:b/>
          <w:bCs/>
          <w:szCs w:val="21"/>
        </w:rPr>
      </w:pPr>
      <w:bookmarkStart w:id="279" w:name="_Toc989131"/>
      <w:r>
        <w:rPr>
          <w:rFonts w:ascii="宋体" w:hAnsi="宋体" w:eastAsia="宋体" w:cs="宋体"/>
          <w:b/>
          <w:bCs/>
          <w:szCs w:val="21"/>
        </w:rPr>
        <w:t>（6） 本期实际核销的应收票据情况</w:t>
      </w:r>
      <w:bookmarkEnd w:id="279"/>
    </w:p>
    <w:p w14:paraId="0126F46E">
      <w:pPr>
        <w:spacing w:before="100" w:after="100" w:line="240" w:lineRule="exact"/>
        <w:rPr>
          <w:rFonts w:ascii="宋体" w:hAnsi="宋体" w:eastAsia="宋体" w:cs="宋体"/>
          <w:sz w:val="18"/>
          <w:szCs w:val="18"/>
        </w:rPr>
      </w:pPr>
      <w:r>
        <w:rPr>
          <w:rFonts w:ascii="宋体" w:hAnsi="宋体" w:eastAsia="宋体" w:cs="宋体"/>
          <w:sz w:val="18"/>
          <w:szCs w:val="18"/>
        </w:rPr>
        <w:t>应收票据核销说明：</w:t>
      </w:r>
      <w:r>
        <w:rPr>
          <w:rFonts w:hint="eastAsia"/>
          <w:sz w:val="18"/>
          <w:szCs w:val="18"/>
        </w:rPr>
        <w:t>无</w:t>
      </w:r>
    </w:p>
    <w:p w14:paraId="14DE1C08">
      <w:pPr>
        <w:pStyle w:val="3"/>
        <w:spacing w:line="280" w:lineRule="exact"/>
        <w:jc w:val="left"/>
        <w:rPr>
          <w:rFonts w:ascii="宋体" w:hAnsi="宋体" w:cs="宋体"/>
          <w:b/>
          <w:bCs/>
        </w:rPr>
      </w:pPr>
      <w:bookmarkStart w:id="280" w:name="_Toc989132"/>
      <w:r>
        <w:rPr>
          <w:rFonts w:ascii="宋体" w:hAnsi="宋体" w:cs="宋体"/>
          <w:b/>
          <w:bCs/>
        </w:rPr>
        <w:t>5、应收账款</w:t>
      </w:r>
      <w:bookmarkEnd w:id="280"/>
    </w:p>
    <w:p w14:paraId="7C308E61">
      <w:pPr>
        <w:keepNext/>
        <w:keepLines/>
        <w:spacing w:before="300" w:after="300" w:line="280" w:lineRule="exact"/>
        <w:outlineLvl w:val="3"/>
        <w:rPr>
          <w:rFonts w:ascii="宋体" w:hAnsi="宋体" w:eastAsia="宋体" w:cs="宋体"/>
          <w:b/>
          <w:bCs/>
          <w:szCs w:val="21"/>
        </w:rPr>
      </w:pPr>
      <w:bookmarkStart w:id="281" w:name="_Toc989133"/>
      <w:r>
        <w:rPr>
          <w:rFonts w:ascii="宋体" w:hAnsi="宋体" w:eastAsia="宋体" w:cs="宋体"/>
          <w:b/>
          <w:bCs/>
          <w:szCs w:val="21"/>
        </w:rPr>
        <w:t>（1） 按账龄披露</w:t>
      </w:r>
      <w:bookmarkEnd w:id="281"/>
    </w:p>
    <w:p w14:paraId="2DEAD5AF">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F923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72EB89">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580DBF">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242CDA">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2E273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71175A">
            <w:pPr>
              <w:spacing w:before="40" w:after="40" w:line="240" w:lineRule="exac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14:paraId="5DCF6DBE">
            <w:pPr>
              <w:spacing w:line="240" w:lineRule="exact"/>
              <w:jc w:val="right"/>
              <w:rPr>
                <w:rFonts w:ascii="宋体" w:hAnsi="宋体" w:eastAsia="宋体" w:cs="宋体"/>
                <w:sz w:val="18"/>
                <w:szCs w:val="18"/>
              </w:rPr>
            </w:pPr>
            <w:r>
              <w:rPr>
                <w:rFonts w:ascii="宋体" w:hAnsi="宋体" w:eastAsia="宋体" w:cs="宋体"/>
                <w:sz w:val="18"/>
                <w:szCs w:val="18"/>
              </w:rPr>
              <w:t>1,034,373,676.58</w:t>
            </w:r>
          </w:p>
        </w:tc>
        <w:tc>
          <w:tcPr>
            <w:tcW w:w="3213" w:type="dxa"/>
            <w:tcBorders>
              <w:top w:val="single" w:color="auto" w:sz="2" w:space="0"/>
              <w:left w:val="single" w:color="auto" w:sz="2" w:space="0"/>
              <w:bottom w:val="single" w:color="auto" w:sz="2" w:space="0"/>
              <w:right w:val="single" w:color="auto" w:sz="2" w:space="0"/>
            </w:tcBorders>
            <w:vAlign w:val="center"/>
          </w:tcPr>
          <w:p w14:paraId="18814976">
            <w:pPr>
              <w:spacing w:line="240" w:lineRule="exact"/>
              <w:jc w:val="right"/>
              <w:rPr>
                <w:rFonts w:ascii="宋体" w:hAnsi="宋体" w:eastAsia="宋体" w:cs="宋体"/>
                <w:sz w:val="18"/>
                <w:szCs w:val="18"/>
              </w:rPr>
            </w:pPr>
            <w:r>
              <w:rPr>
                <w:rFonts w:ascii="宋体" w:hAnsi="宋体" w:eastAsia="宋体" w:cs="宋体"/>
                <w:sz w:val="18"/>
                <w:szCs w:val="18"/>
              </w:rPr>
              <w:t>1,400,053,367.88</w:t>
            </w:r>
          </w:p>
        </w:tc>
      </w:tr>
      <w:tr w14:paraId="635AE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E4FE43">
            <w:pPr>
              <w:spacing w:before="40" w:after="40" w:line="240" w:lineRule="exact"/>
              <w:rPr>
                <w:rFonts w:ascii="宋体" w:hAnsi="宋体" w:eastAsia="宋体" w:cs="宋体"/>
                <w:sz w:val="18"/>
                <w:szCs w:val="18"/>
              </w:rPr>
            </w:pPr>
            <w:r>
              <w:rPr>
                <w:rFonts w:ascii="宋体" w:hAnsi="宋体" w:eastAsia="宋体" w:cs="宋体"/>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14:paraId="590235FF">
            <w:pPr>
              <w:spacing w:line="240" w:lineRule="exact"/>
              <w:jc w:val="right"/>
              <w:rPr>
                <w:rFonts w:ascii="宋体" w:hAnsi="宋体" w:eastAsia="宋体" w:cs="宋体"/>
                <w:sz w:val="18"/>
                <w:szCs w:val="18"/>
              </w:rPr>
            </w:pPr>
            <w:r>
              <w:rPr>
                <w:rFonts w:ascii="宋体" w:hAnsi="宋体" w:eastAsia="宋体" w:cs="宋体"/>
                <w:sz w:val="18"/>
                <w:szCs w:val="18"/>
              </w:rPr>
              <w:t>106,683,716.14</w:t>
            </w:r>
          </w:p>
        </w:tc>
        <w:tc>
          <w:tcPr>
            <w:tcW w:w="3213" w:type="dxa"/>
            <w:tcBorders>
              <w:top w:val="single" w:color="auto" w:sz="2" w:space="0"/>
              <w:left w:val="single" w:color="auto" w:sz="2" w:space="0"/>
              <w:bottom w:val="single" w:color="auto" w:sz="2" w:space="0"/>
              <w:right w:val="single" w:color="auto" w:sz="2" w:space="0"/>
            </w:tcBorders>
            <w:vAlign w:val="center"/>
          </w:tcPr>
          <w:p w14:paraId="57E17F22">
            <w:pPr>
              <w:spacing w:line="240" w:lineRule="exact"/>
              <w:jc w:val="right"/>
              <w:rPr>
                <w:rFonts w:ascii="宋体" w:hAnsi="宋体" w:eastAsia="宋体" w:cs="宋体"/>
                <w:sz w:val="18"/>
                <w:szCs w:val="18"/>
              </w:rPr>
            </w:pPr>
            <w:r>
              <w:rPr>
                <w:rFonts w:ascii="宋体" w:hAnsi="宋体" w:eastAsia="宋体" w:cs="宋体"/>
                <w:sz w:val="18"/>
                <w:szCs w:val="18"/>
              </w:rPr>
              <w:t>139,107,251.38</w:t>
            </w:r>
          </w:p>
        </w:tc>
      </w:tr>
      <w:tr w14:paraId="751FD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455C51">
            <w:pPr>
              <w:spacing w:before="40" w:after="40" w:line="240" w:lineRule="exact"/>
              <w:rPr>
                <w:rFonts w:ascii="宋体" w:hAnsi="宋体" w:eastAsia="宋体" w:cs="宋体"/>
                <w:sz w:val="18"/>
                <w:szCs w:val="18"/>
              </w:rPr>
            </w:pPr>
            <w:r>
              <w:rPr>
                <w:rFonts w:ascii="宋体" w:hAnsi="宋体" w:eastAsia="宋体" w:cs="宋体"/>
                <w:sz w:val="18"/>
                <w:szCs w:val="18"/>
              </w:rPr>
              <w:t>2至3年</w:t>
            </w:r>
          </w:p>
        </w:tc>
        <w:tc>
          <w:tcPr>
            <w:tcW w:w="3213" w:type="dxa"/>
            <w:tcBorders>
              <w:top w:val="single" w:color="auto" w:sz="2" w:space="0"/>
              <w:left w:val="single" w:color="auto" w:sz="2" w:space="0"/>
              <w:bottom w:val="single" w:color="auto" w:sz="2" w:space="0"/>
              <w:right w:val="single" w:color="auto" w:sz="2" w:space="0"/>
            </w:tcBorders>
            <w:vAlign w:val="center"/>
          </w:tcPr>
          <w:p w14:paraId="167140E6">
            <w:pPr>
              <w:spacing w:line="240" w:lineRule="exact"/>
              <w:jc w:val="right"/>
              <w:rPr>
                <w:rFonts w:ascii="宋体" w:hAnsi="宋体" w:eastAsia="宋体" w:cs="宋体"/>
                <w:sz w:val="18"/>
                <w:szCs w:val="18"/>
              </w:rPr>
            </w:pPr>
            <w:r>
              <w:rPr>
                <w:rFonts w:ascii="宋体" w:hAnsi="宋体" w:eastAsia="宋体" w:cs="宋体"/>
                <w:sz w:val="18"/>
                <w:szCs w:val="18"/>
              </w:rPr>
              <w:t>5,467,672.91</w:t>
            </w:r>
          </w:p>
        </w:tc>
        <w:tc>
          <w:tcPr>
            <w:tcW w:w="3213" w:type="dxa"/>
            <w:tcBorders>
              <w:top w:val="single" w:color="auto" w:sz="2" w:space="0"/>
              <w:left w:val="single" w:color="auto" w:sz="2" w:space="0"/>
              <w:bottom w:val="single" w:color="auto" w:sz="2" w:space="0"/>
              <w:right w:val="single" w:color="auto" w:sz="2" w:space="0"/>
            </w:tcBorders>
            <w:vAlign w:val="center"/>
          </w:tcPr>
          <w:p w14:paraId="66C74F71">
            <w:pPr>
              <w:spacing w:line="240" w:lineRule="exact"/>
              <w:jc w:val="right"/>
              <w:rPr>
                <w:rFonts w:ascii="宋体" w:hAnsi="宋体" w:eastAsia="宋体" w:cs="宋体"/>
                <w:sz w:val="18"/>
                <w:szCs w:val="18"/>
              </w:rPr>
            </w:pPr>
            <w:r>
              <w:rPr>
                <w:rFonts w:ascii="宋体" w:hAnsi="宋体" w:eastAsia="宋体" w:cs="宋体"/>
                <w:sz w:val="18"/>
                <w:szCs w:val="18"/>
              </w:rPr>
              <w:t>1,564,988.33</w:t>
            </w:r>
          </w:p>
        </w:tc>
      </w:tr>
      <w:tr w14:paraId="65657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7B6BBB">
            <w:pPr>
              <w:spacing w:before="40" w:after="40" w:line="240" w:lineRule="exac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14:paraId="6B4623D9">
            <w:pPr>
              <w:spacing w:line="240" w:lineRule="exact"/>
              <w:jc w:val="right"/>
              <w:rPr>
                <w:rFonts w:ascii="宋体" w:hAnsi="宋体" w:eastAsia="宋体" w:cs="宋体"/>
                <w:sz w:val="18"/>
                <w:szCs w:val="18"/>
              </w:rPr>
            </w:pPr>
            <w:r>
              <w:rPr>
                <w:rFonts w:ascii="宋体" w:hAnsi="宋体" w:eastAsia="宋体" w:cs="宋体"/>
                <w:sz w:val="18"/>
                <w:szCs w:val="18"/>
              </w:rPr>
              <w:t>6,402,707.84</w:t>
            </w:r>
          </w:p>
        </w:tc>
        <w:tc>
          <w:tcPr>
            <w:tcW w:w="3213" w:type="dxa"/>
            <w:tcBorders>
              <w:top w:val="single" w:color="auto" w:sz="2" w:space="0"/>
              <w:left w:val="single" w:color="auto" w:sz="2" w:space="0"/>
              <w:bottom w:val="single" w:color="auto" w:sz="2" w:space="0"/>
              <w:right w:val="single" w:color="auto" w:sz="2" w:space="0"/>
            </w:tcBorders>
            <w:vAlign w:val="center"/>
          </w:tcPr>
          <w:p w14:paraId="71DC246F">
            <w:pPr>
              <w:spacing w:line="240" w:lineRule="exact"/>
              <w:jc w:val="right"/>
              <w:rPr>
                <w:rFonts w:ascii="宋体" w:hAnsi="宋体" w:eastAsia="宋体" w:cs="宋体"/>
                <w:sz w:val="18"/>
                <w:szCs w:val="18"/>
              </w:rPr>
            </w:pPr>
            <w:r>
              <w:rPr>
                <w:rFonts w:ascii="宋体" w:hAnsi="宋体" w:eastAsia="宋体" w:cs="宋体"/>
                <w:sz w:val="18"/>
                <w:szCs w:val="18"/>
              </w:rPr>
              <w:t>7,993,448.12</w:t>
            </w:r>
          </w:p>
        </w:tc>
      </w:tr>
      <w:tr w14:paraId="19AE9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DC51CB">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14:paraId="77945C7F">
            <w:pPr>
              <w:spacing w:line="240" w:lineRule="exact"/>
              <w:jc w:val="right"/>
              <w:rPr>
                <w:rFonts w:ascii="宋体" w:hAnsi="宋体" w:eastAsia="宋体" w:cs="宋体"/>
                <w:sz w:val="18"/>
                <w:szCs w:val="18"/>
              </w:rPr>
            </w:pPr>
            <w:r>
              <w:rPr>
                <w:rFonts w:ascii="宋体" w:hAnsi="宋体" w:eastAsia="宋体" w:cs="宋体"/>
                <w:sz w:val="18"/>
                <w:szCs w:val="18"/>
              </w:rPr>
              <w:t>1,347,903.05</w:t>
            </w:r>
          </w:p>
        </w:tc>
        <w:tc>
          <w:tcPr>
            <w:tcW w:w="3213" w:type="dxa"/>
            <w:tcBorders>
              <w:top w:val="single" w:color="auto" w:sz="2" w:space="0"/>
              <w:left w:val="single" w:color="auto" w:sz="2" w:space="0"/>
              <w:bottom w:val="single" w:color="auto" w:sz="2" w:space="0"/>
              <w:right w:val="single" w:color="auto" w:sz="2" w:space="0"/>
            </w:tcBorders>
            <w:vAlign w:val="center"/>
          </w:tcPr>
          <w:p w14:paraId="06F012F6">
            <w:pPr>
              <w:spacing w:line="240" w:lineRule="exact"/>
              <w:jc w:val="right"/>
              <w:rPr>
                <w:rFonts w:ascii="宋体" w:hAnsi="宋体" w:eastAsia="宋体" w:cs="宋体"/>
                <w:sz w:val="18"/>
                <w:szCs w:val="18"/>
              </w:rPr>
            </w:pPr>
            <w:r>
              <w:rPr>
                <w:rFonts w:ascii="宋体" w:hAnsi="宋体" w:eastAsia="宋体" w:cs="宋体"/>
                <w:sz w:val="18"/>
                <w:szCs w:val="18"/>
              </w:rPr>
              <w:t>4,723,517.68</w:t>
            </w:r>
          </w:p>
        </w:tc>
      </w:tr>
      <w:tr w14:paraId="3C9A1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882AD5">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14:paraId="2ED67B7E">
            <w:pPr>
              <w:spacing w:line="240" w:lineRule="exact"/>
              <w:jc w:val="right"/>
              <w:rPr>
                <w:rFonts w:ascii="宋体" w:hAnsi="宋体" w:eastAsia="宋体" w:cs="宋体"/>
                <w:sz w:val="18"/>
                <w:szCs w:val="18"/>
              </w:rPr>
            </w:pPr>
            <w:r>
              <w:rPr>
                <w:rFonts w:ascii="宋体" w:hAnsi="宋体" w:eastAsia="宋体" w:cs="宋体"/>
                <w:sz w:val="18"/>
                <w:szCs w:val="18"/>
              </w:rPr>
              <w:t>2,075,157.44</w:t>
            </w:r>
          </w:p>
        </w:tc>
        <w:tc>
          <w:tcPr>
            <w:tcW w:w="3213" w:type="dxa"/>
            <w:tcBorders>
              <w:top w:val="single" w:color="auto" w:sz="2" w:space="0"/>
              <w:left w:val="single" w:color="auto" w:sz="2" w:space="0"/>
              <w:bottom w:val="single" w:color="auto" w:sz="2" w:space="0"/>
              <w:right w:val="single" w:color="auto" w:sz="2" w:space="0"/>
            </w:tcBorders>
            <w:vAlign w:val="center"/>
          </w:tcPr>
          <w:p w14:paraId="52B29A28">
            <w:pPr>
              <w:spacing w:line="240" w:lineRule="exact"/>
              <w:jc w:val="right"/>
              <w:rPr>
                <w:rFonts w:ascii="宋体" w:hAnsi="宋体" w:eastAsia="宋体" w:cs="宋体"/>
                <w:sz w:val="18"/>
                <w:szCs w:val="18"/>
              </w:rPr>
            </w:pPr>
            <w:r>
              <w:rPr>
                <w:rFonts w:ascii="宋体" w:hAnsi="宋体" w:eastAsia="宋体" w:cs="宋体"/>
                <w:sz w:val="18"/>
                <w:szCs w:val="18"/>
              </w:rPr>
              <w:t>252,653.42</w:t>
            </w:r>
          </w:p>
        </w:tc>
      </w:tr>
      <w:tr w14:paraId="59861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33DF9D">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14:paraId="4D270721">
            <w:pPr>
              <w:spacing w:line="240" w:lineRule="exact"/>
              <w:jc w:val="right"/>
              <w:rPr>
                <w:rFonts w:ascii="宋体" w:hAnsi="宋体" w:eastAsia="宋体" w:cs="宋体"/>
                <w:sz w:val="18"/>
                <w:szCs w:val="18"/>
              </w:rPr>
            </w:pPr>
            <w:r>
              <w:rPr>
                <w:rFonts w:ascii="宋体" w:hAnsi="宋体" w:eastAsia="宋体" w:cs="宋体"/>
                <w:sz w:val="18"/>
                <w:szCs w:val="18"/>
              </w:rPr>
              <w:t>2,979,647.35</w:t>
            </w:r>
          </w:p>
        </w:tc>
        <w:tc>
          <w:tcPr>
            <w:tcW w:w="3213" w:type="dxa"/>
            <w:tcBorders>
              <w:top w:val="single" w:color="auto" w:sz="2" w:space="0"/>
              <w:left w:val="single" w:color="auto" w:sz="2" w:space="0"/>
              <w:bottom w:val="single" w:color="auto" w:sz="2" w:space="0"/>
              <w:right w:val="single" w:color="auto" w:sz="2" w:space="0"/>
            </w:tcBorders>
            <w:vAlign w:val="center"/>
          </w:tcPr>
          <w:p w14:paraId="639B9517">
            <w:pPr>
              <w:spacing w:line="240" w:lineRule="exact"/>
              <w:jc w:val="right"/>
              <w:rPr>
                <w:rFonts w:ascii="宋体" w:hAnsi="宋体" w:eastAsia="宋体" w:cs="宋体"/>
                <w:sz w:val="18"/>
                <w:szCs w:val="18"/>
              </w:rPr>
            </w:pPr>
            <w:r>
              <w:rPr>
                <w:rFonts w:ascii="宋体" w:hAnsi="宋体" w:eastAsia="宋体" w:cs="宋体"/>
                <w:sz w:val="18"/>
                <w:szCs w:val="18"/>
              </w:rPr>
              <w:t>3,017,277.02</w:t>
            </w:r>
          </w:p>
        </w:tc>
      </w:tr>
      <w:tr w14:paraId="3F69E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B6F28F">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DF9F885">
            <w:pPr>
              <w:spacing w:line="240" w:lineRule="exact"/>
              <w:jc w:val="right"/>
              <w:rPr>
                <w:rFonts w:ascii="宋体" w:hAnsi="宋体" w:eastAsia="宋体" w:cs="宋体"/>
                <w:sz w:val="18"/>
                <w:szCs w:val="18"/>
              </w:rPr>
            </w:pPr>
            <w:r>
              <w:rPr>
                <w:rFonts w:ascii="宋体" w:hAnsi="宋体" w:eastAsia="宋体" w:cs="宋体"/>
                <w:sz w:val="18"/>
                <w:szCs w:val="18"/>
              </w:rPr>
              <w:t>1,152,927,773.47</w:t>
            </w:r>
          </w:p>
        </w:tc>
        <w:tc>
          <w:tcPr>
            <w:tcW w:w="3213" w:type="dxa"/>
            <w:tcBorders>
              <w:top w:val="single" w:color="auto" w:sz="2" w:space="0"/>
              <w:left w:val="single" w:color="auto" w:sz="2" w:space="0"/>
              <w:bottom w:val="single" w:color="auto" w:sz="2" w:space="0"/>
              <w:right w:val="single" w:color="auto" w:sz="2" w:space="0"/>
            </w:tcBorders>
            <w:vAlign w:val="center"/>
          </w:tcPr>
          <w:p w14:paraId="3E821B4A">
            <w:pPr>
              <w:spacing w:line="240" w:lineRule="exact"/>
              <w:jc w:val="right"/>
              <w:rPr>
                <w:rFonts w:ascii="宋体" w:hAnsi="宋体" w:eastAsia="宋体" w:cs="宋体"/>
                <w:sz w:val="18"/>
                <w:szCs w:val="18"/>
              </w:rPr>
            </w:pPr>
            <w:r>
              <w:rPr>
                <w:rFonts w:ascii="宋体" w:hAnsi="宋体" w:eastAsia="宋体" w:cs="宋体"/>
                <w:sz w:val="18"/>
                <w:szCs w:val="18"/>
              </w:rPr>
              <w:t>1,548,719,055.71</w:t>
            </w:r>
          </w:p>
        </w:tc>
      </w:tr>
    </w:tbl>
    <w:p w14:paraId="6B0F238E">
      <w:pPr>
        <w:keepNext/>
        <w:keepLines/>
        <w:spacing w:before="300" w:after="300" w:line="280" w:lineRule="exact"/>
        <w:outlineLvl w:val="3"/>
        <w:rPr>
          <w:rFonts w:ascii="宋体" w:hAnsi="宋体" w:eastAsia="宋体" w:cs="宋体"/>
          <w:b/>
          <w:bCs/>
          <w:szCs w:val="21"/>
        </w:rPr>
      </w:pPr>
      <w:bookmarkStart w:id="282" w:name="_Toc989134"/>
      <w:r>
        <w:rPr>
          <w:rFonts w:ascii="宋体" w:hAnsi="宋体" w:eastAsia="宋体" w:cs="宋体"/>
          <w:b/>
          <w:bCs/>
          <w:szCs w:val="21"/>
        </w:rPr>
        <w:t>（2） 按坏账计提方法分类披露</w:t>
      </w:r>
      <w:bookmarkEnd w:id="282"/>
    </w:p>
    <w:p w14:paraId="016CE47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14:paraId="4ED48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0BC7F99">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4AA574F1">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46BACC4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73168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C485057"/>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8AC428B">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6885E3E">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BA81848">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C751484">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C22A8F7">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37F852E">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00C3C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B924B8C"/>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903C30F">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EB97E1E">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43F904A">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C07435A">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2964400"/>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6D08D72">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EFC062F">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19FFB68">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6901D77">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7FDCA2C"/>
        </w:tc>
      </w:tr>
      <w:tr w14:paraId="30B78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8681924">
            <w:pPr>
              <w:spacing w:before="40" w:after="40" w:line="240" w:lineRule="exact"/>
              <w:rPr>
                <w:rFonts w:ascii="宋体" w:hAnsi="宋体" w:eastAsia="宋体" w:cs="宋体"/>
                <w:sz w:val="18"/>
                <w:szCs w:val="18"/>
              </w:rPr>
            </w:pPr>
            <w:r>
              <w:rPr>
                <w:rFonts w:ascii="宋体" w:hAnsi="宋体" w:eastAsia="宋体" w:cs="宋体"/>
                <w:sz w:val="18"/>
                <w:szCs w:val="18"/>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14:paraId="092F433B">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2D84AEF4">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617BD57">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5746B63">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3D9FA8F0">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929C2E5">
            <w:pPr>
              <w:spacing w:line="240" w:lineRule="exact"/>
              <w:jc w:val="right"/>
              <w:rPr>
                <w:rFonts w:ascii="宋体" w:hAnsi="宋体" w:eastAsia="宋体" w:cs="宋体"/>
                <w:sz w:val="18"/>
                <w:szCs w:val="18"/>
              </w:rPr>
            </w:pPr>
            <w:r>
              <w:rPr>
                <w:rFonts w:ascii="宋体" w:hAnsi="宋体" w:eastAsia="宋体" w:cs="宋体"/>
                <w:sz w:val="18"/>
                <w:szCs w:val="18"/>
              </w:rPr>
              <w:t>2,570,858.86</w:t>
            </w:r>
          </w:p>
        </w:tc>
        <w:tc>
          <w:tcPr>
            <w:tcW w:w="876" w:type="dxa"/>
            <w:tcBorders>
              <w:top w:val="single" w:color="auto" w:sz="2" w:space="0"/>
              <w:left w:val="single" w:color="auto" w:sz="2" w:space="0"/>
              <w:bottom w:val="single" w:color="auto" w:sz="2" w:space="0"/>
              <w:right w:val="single" w:color="auto" w:sz="2" w:space="0"/>
            </w:tcBorders>
            <w:vAlign w:val="center"/>
          </w:tcPr>
          <w:p w14:paraId="65186667">
            <w:pPr>
              <w:spacing w:line="240" w:lineRule="exact"/>
              <w:jc w:val="right"/>
              <w:rPr>
                <w:rFonts w:ascii="宋体" w:hAnsi="宋体" w:eastAsia="宋体" w:cs="宋体"/>
                <w:sz w:val="18"/>
                <w:szCs w:val="18"/>
              </w:rPr>
            </w:pPr>
            <w:r>
              <w:rPr>
                <w:rFonts w:ascii="宋体" w:hAnsi="宋体" w:eastAsia="宋体" w:cs="宋体"/>
                <w:sz w:val="18"/>
                <w:szCs w:val="18"/>
              </w:rPr>
              <w:t>0.17%</w:t>
            </w:r>
          </w:p>
        </w:tc>
        <w:tc>
          <w:tcPr>
            <w:tcW w:w="876" w:type="dxa"/>
            <w:tcBorders>
              <w:top w:val="single" w:color="auto" w:sz="2" w:space="0"/>
              <w:left w:val="single" w:color="auto" w:sz="2" w:space="0"/>
              <w:bottom w:val="single" w:color="auto" w:sz="2" w:space="0"/>
              <w:right w:val="single" w:color="auto" w:sz="2" w:space="0"/>
            </w:tcBorders>
            <w:vAlign w:val="center"/>
          </w:tcPr>
          <w:p w14:paraId="4974ECE1">
            <w:pPr>
              <w:spacing w:line="240" w:lineRule="exact"/>
              <w:jc w:val="right"/>
              <w:rPr>
                <w:rFonts w:ascii="宋体" w:hAnsi="宋体" w:eastAsia="宋体" w:cs="宋体"/>
                <w:sz w:val="18"/>
                <w:szCs w:val="18"/>
              </w:rPr>
            </w:pPr>
            <w:r>
              <w:rPr>
                <w:rFonts w:ascii="宋体" w:hAnsi="宋体" w:eastAsia="宋体" w:cs="宋体"/>
                <w:sz w:val="18"/>
                <w:szCs w:val="18"/>
              </w:rPr>
              <w:t>2,570,858.86</w:t>
            </w:r>
          </w:p>
        </w:tc>
        <w:tc>
          <w:tcPr>
            <w:tcW w:w="876" w:type="dxa"/>
            <w:tcBorders>
              <w:top w:val="single" w:color="auto" w:sz="2" w:space="0"/>
              <w:left w:val="single" w:color="auto" w:sz="2" w:space="0"/>
              <w:bottom w:val="single" w:color="auto" w:sz="2" w:space="0"/>
              <w:right w:val="single" w:color="auto" w:sz="2" w:space="0"/>
            </w:tcBorders>
            <w:vAlign w:val="center"/>
          </w:tcPr>
          <w:p w14:paraId="7A135814">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0BBE4015">
            <w:pPr>
              <w:spacing w:line="240" w:lineRule="exact"/>
              <w:jc w:val="right"/>
              <w:rPr>
                <w:rFonts w:ascii="宋体" w:hAnsi="宋体" w:eastAsia="宋体" w:cs="宋体"/>
                <w:sz w:val="18"/>
                <w:szCs w:val="18"/>
              </w:rPr>
            </w:pPr>
          </w:p>
        </w:tc>
      </w:tr>
      <w:tr w14:paraId="734EB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65B99F3">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9760C5B"/>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4B3EF9F"/>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468FF10"/>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771062B"/>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5E62382"/>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5B8B6C3"/>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BCC0134"/>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724D0AD"/>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FA378AC"/>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3959AFB"/>
        </w:tc>
      </w:tr>
      <w:tr w14:paraId="16F0A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A9F8D93">
            <w:pPr>
              <w:spacing w:before="40" w:after="40" w:line="240" w:lineRule="exac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14:paraId="3166FD76">
            <w:pPr>
              <w:spacing w:line="240" w:lineRule="exact"/>
              <w:jc w:val="right"/>
              <w:rPr>
                <w:rFonts w:ascii="宋体" w:hAnsi="宋体" w:eastAsia="宋体" w:cs="宋体"/>
                <w:sz w:val="18"/>
                <w:szCs w:val="18"/>
              </w:rPr>
            </w:pPr>
            <w:r>
              <w:rPr>
                <w:rFonts w:ascii="宋体" w:hAnsi="宋体" w:eastAsia="宋体" w:cs="宋体"/>
                <w:sz w:val="18"/>
                <w:szCs w:val="18"/>
              </w:rPr>
              <w:t>1,152,927,773.47</w:t>
            </w:r>
          </w:p>
        </w:tc>
        <w:tc>
          <w:tcPr>
            <w:tcW w:w="876" w:type="dxa"/>
            <w:tcBorders>
              <w:top w:val="single" w:color="auto" w:sz="2" w:space="0"/>
              <w:left w:val="single" w:color="auto" w:sz="2" w:space="0"/>
              <w:bottom w:val="single" w:color="auto" w:sz="2" w:space="0"/>
              <w:right w:val="single" w:color="auto" w:sz="2" w:space="0"/>
            </w:tcBorders>
            <w:vAlign w:val="center"/>
          </w:tcPr>
          <w:p w14:paraId="5AAB5A7F">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3180D401">
            <w:pPr>
              <w:spacing w:line="240" w:lineRule="exact"/>
              <w:jc w:val="right"/>
              <w:rPr>
                <w:rFonts w:ascii="宋体" w:hAnsi="宋体" w:eastAsia="宋体" w:cs="宋体"/>
                <w:sz w:val="18"/>
                <w:szCs w:val="18"/>
              </w:rPr>
            </w:pPr>
            <w:r>
              <w:rPr>
                <w:rFonts w:ascii="宋体" w:hAnsi="宋体" w:eastAsia="宋体" w:cs="宋体"/>
                <w:sz w:val="18"/>
                <w:szCs w:val="18"/>
              </w:rPr>
              <w:t>68,794,314.90</w:t>
            </w:r>
          </w:p>
        </w:tc>
        <w:tc>
          <w:tcPr>
            <w:tcW w:w="876" w:type="dxa"/>
            <w:tcBorders>
              <w:top w:val="single" w:color="auto" w:sz="2" w:space="0"/>
              <w:left w:val="single" w:color="auto" w:sz="2" w:space="0"/>
              <w:bottom w:val="single" w:color="auto" w:sz="2" w:space="0"/>
              <w:right w:val="single" w:color="auto" w:sz="2" w:space="0"/>
            </w:tcBorders>
            <w:vAlign w:val="center"/>
          </w:tcPr>
          <w:p w14:paraId="5BEC2884">
            <w:pPr>
              <w:spacing w:line="240" w:lineRule="exact"/>
              <w:jc w:val="right"/>
              <w:rPr>
                <w:rFonts w:ascii="宋体" w:hAnsi="宋体" w:eastAsia="宋体" w:cs="宋体"/>
                <w:sz w:val="18"/>
                <w:szCs w:val="18"/>
              </w:rPr>
            </w:pPr>
            <w:r>
              <w:rPr>
                <w:rFonts w:ascii="宋体" w:hAnsi="宋体" w:eastAsia="宋体" w:cs="宋体"/>
                <w:sz w:val="18"/>
                <w:szCs w:val="18"/>
              </w:rPr>
              <w:t>5.97%</w:t>
            </w:r>
          </w:p>
        </w:tc>
        <w:tc>
          <w:tcPr>
            <w:tcW w:w="876" w:type="dxa"/>
            <w:tcBorders>
              <w:top w:val="single" w:color="auto" w:sz="2" w:space="0"/>
              <w:left w:val="single" w:color="auto" w:sz="2" w:space="0"/>
              <w:bottom w:val="single" w:color="auto" w:sz="2" w:space="0"/>
              <w:right w:val="single" w:color="auto" w:sz="2" w:space="0"/>
            </w:tcBorders>
            <w:vAlign w:val="center"/>
          </w:tcPr>
          <w:p w14:paraId="295B0AEE">
            <w:pPr>
              <w:spacing w:line="240" w:lineRule="exact"/>
              <w:jc w:val="right"/>
              <w:rPr>
                <w:rFonts w:ascii="宋体" w:hAnsi="宋体" w:eastAsia="宋体" w:cs="宋体"/>
                <w:sz w:val="18"/>
                <w:szCs w:val="18"/>
              </w:rPr>
            </w:pPr>
            <w:r>
              <w:rPr>
                <w:rFonts w:ascii="宋体" w:hAnsi="宋体" w:eastAsia="宋体" w:cs="宋体"/>
                <w:sz w:val="18"/>
                <w:szCs w:val="18"/>
              </w:rPr>
              <w:t>1,084,133,458.57</w:t>
            </w:r>
          </w:p>
        </w:tc>
        <w:tc>
          <w:tcPr>
            <w:tcW w:w="876" w:type="dxa"/>
            <w:tcBorders>
              <w:top w:val="single" w:color="auto" w:sz="2" w:space="0"/>
              <w:left w:val="single" w:color="auto" w:sz="2" w:space="0"/>
              <w:bottom w:val="single" w:color="auto" w:sz="2" w:space="0"/>
              <w:right w:val="single" w:color="auto" w:sz="2" w:space="0"/>
            </w:tcBorders>
            <w:vAlign w:val="center"/>
          </w:tcPr>
          <w:p w14:paraId="5E3F26AD">
            <w:pPr>
              <w:spacing w:line="240" w:lineRule="exact"/>
              <w:jc w:val="right"/>
              <w:rPr>
                <w:rFonts w:ascii="宋体" w:hAnsi="宋体" w:eastAsia="宋体" w:cs="宋体"/>
                <w:sz w:val="18"/>
                <w:szCs w:val="18"/>
              </w:rPr>
            </w:pPr>
            <w:r>
              <w:rPr>
                <w:rFonts w:ascii="宋体" w:hAnsi="宋体" w:eastAsia="宋体" w:cs="宋体"/>
                <w:sz w:val="18"/>
                <w:szCs w:val="18"/>
              </w:rPr>
              <w:t>1,546,148,196.85</w:t>
            </w:r>
          </w:p>
        </w:tc>
        <w:tc>
          <w:tcPr>
            <w:tcW w:w="876" w:type="dxa"/>
            <w:tcBorders>
              <w:top w:val="single" w:color="auto" w:sz="2" w:space="0"/>
              <w:left w:val="single" w:color="auto" w:sz="2" w:space="0"/>
              <w:bottom w:val="single" w:color="auto" w:sz="2" w:space="0"/>
              <w:right w:val="single" w:color="auto" w:sz="2" w:space="0"/>
            </w:tcBorders>
            <w:vAlign w:val="center"/>
          </w:tcPr>
          <w:p w14:paraId="6E48F6A6">
            <w:pPr>
              <w:spacing w:line="240" w:lineRule="exact"/>
              <w:jc w:val="right"/>
              <w:rPr>
                <w:rFonts w:ascii="宋体" w:hAnsi="宋体" w:eastAsia="宋体" w:cs="宋体"/>
                <w:sz w:val="18"/>
                <w:szCs w:val="18"/>
              </w:rPr>
            </w:pPr>
            <w:r>
              <w:rPr>
                <w:rFonts w:ascii="宋体" w:hAnsi="宋体" w:eastAsia="宋体" w:cs="宋体"/>
                <w:sz w:val="18"/>
                <w:szCs w:val="18"/>
              </w:rPr>
              <w:t>99.83%</w:t>
            </w:r>
          </w:p>
        </w:tc>
        <w:tc>
          <w:tcPr>
            <w:tcW w:w="876" w:type="dxa"/>
            <w:tcBorders>
              <w:top w:val="single" w:color="auto" w:sz="2" w:space="0"/>
              <w:left w:val="single" w:color="auto" w:sz="2" w:space="0"/>
              <w:bottom w:val="single" w:color="auto" w:sz="2" w:space="0"/>
              <w:right w:val="single" w:color="auto" w:sz="2" w:space="0"/>
            </w:tcBorders>
            <w:vAlign w:val="center"/>
          </w:tcPr>
          <w:p w14:paraId="57E69264">
            <w:pPr>
              <w:spacing w:line="240" w:lineRule="exact"/>
              <w:jc w:val="right"/>
              <w:rPr>
                <w:rFonts w:ascii="宋体" w:hAnsi="宋体" w:eastAsia="宋体" w:cs="宋体"/>
                <w:sz w:val="18"/>
                <w:szCs w:val="18"/>
              </w:rPr>
            </w:pPr>
            <w:r>
              <w:rPr>
                <w:rFonts w:ascii="宋体" w:hAnsi="宋体" w:eastAsia="宋体" w:cs="宋体"/>
                <w:sz w:val="18"/>
                <w:szCs w:val="18"/>
              </w:rPr>
              <w:t>88,522,120.43</w:t>
            </w:r>
          </w:p>
        </w:tc>
        <w:tc>
          <w:tcPr>
            <w:tcW w:w="876" w:type="dxa"/>
            <w:tcBorders>
              <w:top w:val="single" w:color="auto" w:sz="2" w:space="0"/>
              <w:left w:val="single" w:color="auto" w:sz="2" w:space="0"/>
              <w:bottom w:val="single" w:color="auto" w:sz="2" w:space="0"/>
              <w:right w:val="single" w:color="auto" w:sz="2" w:space="0"/>
            </w:tcBorders>
            <w:vAlign w:val="center"/>
          </w:tcPr>
          <w:p w14:paraId="141D29F8">
            <w:pPr>
              <w:spacing w:line="240" w:lineRule="exact"/>
              <w:jc w:val="right"/>
              <w:rPr>
                <w:rFonts w:ascii="宋体" w:hAnsi="宋体" w:eastAsia="宋体" w:cs="宋体"/>
                <w:sz w:val="18"/>
                <w:szCs w:val="18"/>
              </w:rPr>
            </w:pPr>
            <w:r>
              <w:rPr>
                <w:rFonts w:ascii="宋体" w:hAnsi="宋体" w:eastAsia="宋体" w:cs="宋体"/>
                <w:sz w:val="18"/>
                <w:szCs w:val="18"/>
              </w:rPr>
              <w:t>5.73%</w:t>
            </w:r>
          </w:p>
        </w:tc>
        <w:tc>
          <w:tcPr>
            <w:tcW w:w="876" w:type="dxa"/>
            <w:tcBorders>
              <w:top w:val="single" w:color="auto" w:sz="2" w:space="0"/>
              <w:left w:val="single" w:color="auto" w:sz="2" w:space="0"/>
              <w:bottom w:val="single" w:color="auto" w:sz="2" w:space="0"/>
              <w:right w:val="single" w:color="auto" w:sz="2" w:space="0"/>
            </w:tcBorders>
            <w:vAlign w:val="center"/>
          </w:tcPr>
          <w:p w14:paraId="6AD96F0E">
            <w:pPr>
              <w:spacing w:line="240" w:lineRule="exact"/>
              <w:jc w:val="right"/>
              <w:rPr>
                <w:rFonts w:ascii="宋体" w:hAnsi="宋体" w:eastAsia="宋体" w:cs="宋体"/>
                <w:sz w:val="18"/>
                <w:szCs w:val="18"/>
              </w:rPr>
            </w:pPr>
            <w:r>
              <w:rPr>
                <w:rFonts w:ascii="宋体" w:hAnsi="宋体" w:eastAsia="宋体" w:cs="宋体"/>
                <w:sz w:val="18"/>
                <w:szCs w:val="18"/>
              </w:rPr>
              <w:t>1,457,626,076.42</w:t>
            </w:r>
          </w:p>
        </w:tc>
      </w:tr>
      <w:tr w14:paraId="28FF5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C643217">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B7B439C"/>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24D944E"/>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BC86281"/>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3C6CE76"/>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C6EF6FD"/>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D7675B8"/>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52E3DCF"/>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42E3C3E"/>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1614E56"/>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AD38271"/>
        </w:tc>
      </w:tr>
      <w:tr w14:paraId="04BAE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771B90A8">
            <w:pPr>
              <w:spacing w:line="240" w:lineRule="exact"/>
              <w:rPr>
                <w:rFonts w:ascii="宋体" w:hAnsi="宋体" w:eastAsia="宋体" w:cs="宋体"/>
                <w:sz w:val="18"/>
                <w:szCs w:val="18"/>
              </w:rPr>
            </w:pPr>
            <w:r>
              <w:rPr>
                <w:rFonts w:ascii="宋体" w:hAnsi="宋体" w:eastAsia="宋体" w:cs="宋体"/>
                <w:sz w:val="18"/>
                <w:szCs w:val="18"/>
              </w:rPr>
              <w:t>预期信用风险组合</w:t>
            </w:r>
          </w:p>
        </w:tc>
        <w:tc>
          <w:tcPr>
            <w:tcW w:w="876" w:type="dxa"/>
            <w:tcBorders>
              <w:top w:val="single" w:color="auto" w:sz="2" w:space="0"/>
              <w:left w:val="single" w:color="auto" w:sz="2" w:space="0"/>
              <w:bottom w:val="single" w:color="auto" w:sz="2" w:space="0"/>
              <w:right w:val="single" w:color="auto" w:sz="2" w:space="0"/>
            </w:tcBorders>
            <w:vAlign w:val="center"/>
          </w:tcPr>
          <w:p w14:paraId="39DF7E89">
            <w:pPr>
              <w:spacing w:line="240" w:lineRule="exact"/>
              <w:jc w:val="right"/>
              <w:rPr>
                <w:rFonts w:ascii="宋体" w:hAnsi="宋体" w:eastAsia="宋体" w:cs="宋体"/>
                <w:sz w:val="18"/>
                <w:szCs w:val="18"/>
              </w:rPr>
            </w:pPr>
            <w:r>
              <w:rPr>
                <w:rFonts w:ascii="宋体" w:hAnsi="宋体" w:eastAsia="宋体" w:cs="宋体"/>
                <w:sz w:val="18"/>
                <w:szCs w:val="18"/>
              </w:rPr>
              <w:t>1,152,927,773.47</w:t>
            </w:r>
          </w:p>
        </w:tc>
        <w:tc>
          <w:tcPr>
            <w:tcW w:w="876" w:type="dxa"/>
            <w:tcBorders>
              <w:top w:val="single" w:color="auto" w:sz="2" w:space="0"/>
              <w:left w:val="single" w:color="auto" w:sz="2" w:space="0"/>
              <w:bottom w:val="single" w:color="auto" w:sz="2" w:space="0"/>
              <w:right w:val="single" w:color="auto" w:sz="2" w:space="0"/>
            </w:tcBorders>
            <w:vAlign w:val="center"/>
          </w:tcPr>
          <w:p w14:paraId="2423969C">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63E45781">
            <w:pPr>
              <w:spacing w:line="240" w:lineRule="exact"/>
              <w:jc w:val="right"/>
              <w:rPr>
                <w:rFonts w:ascii="宋体" w:hAnsi="宋体" w:eastAsia="宋体" w:cs="宋体"/>
                <w:sz w:val="18"/>
                <w:szCs w:val="18"/>
              </w:rPr>
            </w:pPr>
            <w:r>
              <w:rPr>
                <w:rFonts w:ascii="宋体" w:hAnsi="宋体" w:eastAsia="宋体" w:cs="宋体"/>
                <w:sz w:val="18"/>
                <w:szCs w:val="18"/>
              </w:rPr>
              <w:t>68,794,314.90</w:t>
            </w:r>
          </w:p>
        </w:tc>
        <w:tc>
          <w:tcPr>
            <w:tcW w:w="876" w:type="dxa"/>
            <w:tcBorders>
              <w:top w:val="single" w:color="auto" w:sz="2" w:space="0"/>
              <w:left w:val="single" w:color="auto" w:sz="2" w:space="0"/>
              <w:bottom w:val="single" w:color="auto" w:sz="2" w:space="0"/>
              <w:right w:val="single" w:color="auto" w:sz="2" w:space="0"/>
            </w:tcBorders>
            <w:vAlign w:val="center"/>
          </w:tcPr>
          <w:p w14:paraId="2D25655A">
            <w:pPr>
              <w:spacing w:line="240" w:lineRule="exact"/>
              <w:jc w:val="right"/>
              <w:rPr>
                <w:rFonts w:ascii="宋体" w:hAnsi="宋体" w:eastAsia="宋体" w:cs="宋体"/>
                <w:sz w:val="18"/>
                <w:szCs w:val="18"/>
              </w:rPr>
            </w:pPr>
            <w:r>
              <w:rPr>
                <w:rFonts w:ascii="宋体" w:hAnsi="宋体" w:eastAsia="宋体" w:cs="宋体"/>
                <w:sz w:val="18"/>
                <w:szCs w:val="18"/>
              </w:rPr>
              <w:t>5.97%</w:t>
            </w:r>
          </w:p>
        </w:tc>
        <w:tc>
          <w:tcPr>
            <w:tcW w:w="876" w:type="dxa"/>
            <w:tcBorders>
              <w:top w:val="single" w:color="auto" w:sz="2" w:space="0"/>
              <w:left w:val="single" w:color="auto" w:sz="2" w:space="0"/>
              <w:bottom w:val="single" w:color="auto" w:sz="2" w:space="0"/>
              <w:right w:val="single" w:color="auto" w:sz="2" w:space="0"/>
            </w:tcBorders>
            <w:vAlign w:val="center"/>
          </w:tcPr>
          <w:p w14:paraId="43E95D84">
            <w:pPr>
              <w:spacing w:line="240" w:lineRule="exact"/>
              <w:jc w:val="right"/>
              <w:rPr>
                <w:rFonts w:ascii="宋体" w:hAnsi="宋体" w:eastAsia="宋体" w:cs="宋体"/>
                <w:sz w:val="18"/>
                <w:szCs w:val="18"/>
              </w:rPr>
            </w:pPr>
            <w:r>
              <w:rPr>
                <w:rFonts w:ascii="宋体" w:hAnsi="宋体" w:eastAsia="宋体" w:cs="宋体"/>
                <w:sz w:val="18"/>
                <w:szCs w:val="18"/>
              </w:rPr>
              <w:t>1,084,133,458.57</w:t>
            </w:r>
          </w:p>
        </w:tc>
        <w:tc>
          <w:tcPr>
            <w:tcW w:w="876" w:type="dxa"/>
            <w:tcBorders>
              <w:top w:val="single" w:color="auto" w:sz="2" w:space="0"/>
              <w:left w:val="single" w:color="auto" w:sz="2" w:space="0"/>
              <w:bottom w:val="single" w:color="auto" w:sz="2" w:space="0"/>
              <w:right w:val="single" w:color="auto" w:sz="2" w:space="0"/>
            </w:tcBorders>
            <w:vAlign w:val="center"/>
          </w:tcPr>
          <w:p w14:paraId="413A2893">
            <w:pPr>
              <w:spacing w:line="240" w:lineRule="exact"/>
              <w:jc w:val="right"/>
              <w:rPr>
                <w:rFonts w:ascii="宋体" w:hAnsi="宋体" w:eastAsia="宋体" w:cs="宋体"/>
                <w:sz w:val="18"/>
                <w:szCs w:val="18"/>
              </w:rPr>
            </w:pPr>
            <w:r>
              <w:rPr>
                <w:rFonts w:ascii="宋体" w:hAnsi="宋体" w:eastAsia="宋体" w:cs="宋体"/>
                <w:sz w:val="18"/>
                <w:szCs w:val="18"/>
              </w:rPr>
              <w:t>1,546,148,196.85</w:t>
            </w:r>
          </w:p>
        </w:tc>
        <w:tc>
          <w:tcPr>
            <w:tcW w:w="876" w:type="dxa"/>
            <w:tcBorders>
              <w:top w:val="single" w:color="auto" w:sz="2" w:space="0"/>
              <w:left w:val="single" w:color="auto" w:sz="2" w:space="0"/>
              <w:bottom w:val="single" w:color="auto" w:sz="2" w:space="0"/>
              <w:right w:val="single" w:color="auto" w:sz="2" w:space="0"/>
            </w:tcBorders>
            <w:vAlign w:val="center"/>
          </w:tcPr>
          <w:p w14:paraId="0F419399">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634733F7">
            <w:pPr>
              <w:spacing w:line="240" w:lineRule="exact"/>
              <w:jc w:val="right"/>
              <w:rPr>
                <w:rFonts w:ascii="宋体" w:hAnsi="宋体" w:eastAsia="宋体" w:cs="宋体"/>
                <w:sz w:val="18"/>
                <w:szCs w:val="18"/>
              </w:rPr>
            </w:pPr>
            <w:r>
              <w:rPr>
                <w:rFonts w:ascii="宋体" w:hAnsi="宋体" w:eastAsia="宋体" w:cs="宋体"/>
                <w:sz w:val="18"/>
                <w:szCs w:val="18"/>
              </w:rPr>
              <w:t>88,522,120.43</w:t>
            </w:r>
          </w:p>
        </w:tc>
        <w:tc>
          <w:tcPr>
            <w:tcW w:w="876" w:type="dxa"/>
            <w:tcBorders>
              <w:top w:val="single" w:color="auto" w:sz="2" w:space="0"/>
              <w:left w:val="single" w:color="auto" w:sz="2" w:space="0"/>
              <w:bottom w:val="single" w:color="auto" w:sz="2" w:space="0"/>
              <w:right w:val="single" w:color="auto" w:sz="2" w:space="0"/>
            </w:tcBorders>
            <w:vAlign w:val="center"/>
          </w:tcPr>
          <w:p w14:paraId="4DD8F15E">
            <w:pPr>
              <w:spacing w:line="240" w:lineRule="exact"/>
              <w:jc w:val="right"/>
              <w:rPr>
                <w:rFonts w:ascii="宋体" w:hAnsi="宋体" w:eastAsia="宋体" w:cs="宋体"/>
                <w:sz w:val="18"/>
                <w:szCs w:val="18"/>
              </w:rPr>
            </w:pPr>
            <w:r>
              <w:rPr>
                <w:rFonts w:ascii="宋体" w:hAnsi="宋体" w:eastAsia="宋体" w:cs="宋体"/>
                <w:sz w:val="18"/>
                <w:szCs w:val="18"/>
              </w:rPr>
              <w:t>5.73%</w:t>
            </w:r>
          </w:p>
        </w:tc>
        <w:tc>
          <w:tcPr>
            <w:tcW w:w="876" w:type="dxa"/>
            <w:tcBorders>
              <w:top w:val="single" w:color="auto" w:sz="2" w:space="0"/>
              <w:left w:val="single" w:color="auto" w:sz="2" w:space="0"/>
              <w:bottom w:val="single" w:color="auto" w:sz="2" w:space="0"/>
              <w:right w:val="single" w:color="auto" w:sz="2" w:space="0"/>
            </w:tcBorders>
            <w:vAlign w:val="center"/>
          </w:tcPr>
          <w:p w14:paraId="1E0B8D33">
            <w:pPr>
              <w:spacing w:line="240" w:lineRule="exact"/>
              <w:jc w:val="right"/>
              <w:rPr>
                <w:rFonts w:ascii="宋体" w:hAnsi="宋体" w:eastAsia="宋体" w:cs="宋体"/>
                <w:sz w:val="18"/>
                <w:szCs w:val="18"/>
              </w:rPr>
            </w:pPr>
            <w:r>
              <w:rPr>
                <w:rFonts w:ascii="宋体" w:hAnsi="宋体" w:eastAsia="宋体" w:cs="宋体"/>
                <w:sz w:val="18"/>
                <w:szCs w:val="18"/>
              </w:rPr>
              <w:t>1,457,626,076.42</w:t>
            </w:r>
          </w:p>
        </w:tc>
      </w:tr>
      <w:tr w14:paraId="396FC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D5428A6">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14:paraId="73DFD373">
            <w:pPr>
              <w:spacing w:line="240" w:lineRule="exact"/>
              <w:jc w:val="right"/>
              <w:rPr>
                <w:rFonts w:ascii="宋体" w:hAnsi="宋体" w:eastAsia="宋体" w:cs="宋体"/>
                <w:sz w:val="18"/>
                <w:szCs w:val="18"/>
              </w:rPr>
            </w:pPr>
            <w:r>
              <w:rPr>
                <w:rFonts w:ascii="宋体" w:hAnsi="宋体" w:eastAsia="宋体" w:cs="宋体"/>
                <w:sz w:val="18"/>
                <w:szCs w:val="18"/>
              </w:rPr>
              <w:t>1,152,927,773.47</w:t>
            </w:r>
          </w:p>
        </w:tc>
        <w:tc>
          <w:tcPr>
            <w:tcW w:w="876" w:type="dxa"/>
            <w:tcBorders>
              <w:top w:val="single" w:color="auto" w:sz="2" w:space="0"/>
              <w:left w:val="single" w:color="auto" w:sz="2" w:space="0"/>
              <w:bottom w:val="single" w:color="auto" w:sz="2" w:space="0"/>
              <w:right w:val="single" w:color="auto" w:sz="2" w:space="0"/>
            </w:tcBorders>
            <w:vAlign w:val="center"/>
          </w:tcPr>
          <w:p w14:paraId="6EF6B2C8">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186EE74D">
            <w:pPr>
              <w:spacing w:line="240" w:lineRule="exact"/>
              <w:jc w:val="right"/>
              <w:rPr>
                <w:rFonts w:ascii="宋体" w:hAnsi="宋体" w:eastAsia="宋体" w:cs="宋体"/>
                <w:sz w:val="18"/>
                <w:szCs w:val="18"/>
              </w:rPr>
            </w:pPr>
            <w:r>
              <w:rPr>
                <w:rFonts w:ascii="宋体" w:hAnsi="宋体" w:eastAsia="宋体" w:cs="宋体"/>
                <w:sz w:val="18"/>
                <w:szCs w:val="18"/>
              </w:rPr>
              <w:t>68,794,314.90</w:t>
            </w:r>
          </w:p>
        </w:tc>
        <w:tc>
          <w:tcPr>
            <w:tcW w:w="876" w:type="dxa"/>
            <w:tcBorders>
              <w:top w:val="single" w:color="auto" w:sz="2" w:space="0"/>
              <w:left w:val="single" w:color="auto" w:sz="2" w:space="0"/>
              <w:bottom w:val="single" w:color="auto" w:sz="2" w:space="0"/>
              <w:right w:val="single" w:color="auto" w:sz="2" w:space="0"/>
            </w:tcBorders>
            <w:vAlign w:val="center"/>
          </w:tcPr>
          <w:p w14:paraId="533186D1">
            <w:pPr>
              <w:spacing w:line="240" w:lineRule="exact"/>
              <w:jc w:val="right"/>
              <w:rPr>
                <w:rFonts w:ascii="宋体" w:hAnsi="宋体" w:eastAsia="宋体" w:cs="宋体"/>
                <w:sz w:val="18"/>
                <w:szCs w:val="18"/>
              </w:rPr>
            </w:pPr>
            <w:r>
              <w:rPr>
                <w:rFonts w:ascii="宋体" w:hAnsi="宋体" w:eastAsia="宋体" w:cs="宋体"/>
                <w:sz w:val="18"/>
                <w:szCs w:val="18"/>
              </w:rPr>
              <w:t>5.97%</w:t>
            </w:r>
          </w:p>
        </w:tc>
        <w:tc>
          <w:tcPr>
            <w:tcW w:w="876" w:type="dxa"/>
            <w:tcBorders>
              <w:top w:val="single" w:color="auto" w:sz="2" w:space="0"/>
              <w:left w:val="single" w:color="auto" w:sz="2" w:space="0"/>
              <w:bottom w:val="single" w:color="auto" w:sz="2" w:space="0"/>
              <w:right w:val="single" w:color="auto" w:sz="2" w:space="0"/>
            </w:tcBorders>
            <w:vAlign w:val="center"/>
          </w:tcPr>
          <w:p w14:paraId="26DD7D4C">
            <w:pPr>
              <w:spacing w:line="240" w:lineRule="exact"/>
              <w:jc w:val="right"/>
              <w:rPr>
                <w:rFonts w:ascii="宋体" w:hAnsi="宋体" w:eastAsia="宋体" w:cs="宋体"/>
                <w:sz w:val="18"/>
                <w:szCs w:val="18"/>
              </w:rPr>
            </w:pPr>
            <w:r>
              <w:rPr>
                <w:rFonts w:ascii="宋体" w:hAnsi="宋体" w:eastAsia="宋体" w:cs="宋体"/>
                <w:sz w:val="18"/>
                <w:szCs w:val="18"/>
              </w:rPr>
              <w:t>1,084,133,458.57</w:t>
            </w:r>
          </w:p>
        </w:tc>
        <w:tc>
          <w:tcPr>
            <w:tcW w:w="876" w:type="dxa"/>
            <w:tcBorders>
              <w:top w:val="single" w:color="auto" w:sz="2" w:space="0"/>
              <w:left w:val="single" w:color="auto" w:sz="2" w:space="0"/>
              <w:bottom w:val="single" w:color="auto" w:sz="2" w:space="0"/>
              <w:right w:val="single" w:color="auto" w:sz="2" w:space="0"/>
            </w:tcBorders>
            <w:vAlign w:val="center"/>
          </w:tcPr>
          <w:p w14:paraId="3F7E1480">
            <w:pPr>
              <w:spacing w:line="240" w:lineRule="exact"/>
              <w:jc w:val="right"/>
              <w:rPr>
                <w:rFonts w:ascii="宋体" w:hAnsi="宋体" w:eastAsia="宋体" w:cs="宋体"/>
                <w:sz w:val="18"/>
                <w:szCs w:val="18"/>
              </w:rPr>
            </w:pPr>
            <w:r>
              <w:rPr>
                <w:rFonts w:ascii="宋体" w:hAnsi="宋体" w:eastAsia="宋体" w:cs="宋体"/>
                <w:sz w:val="18"/>
                <w:szCs w:val="18"/>
              </w:rPr>
              <w:t>1,548,719,055.71</w:t>
            </w:r>
          </w:p>
        </w:tc>
        <w:tc>
          <w:tcPr>
            <w:tcW w:w="876" w:type="dxa"/>
            <w:tcBorders>
              <w:top w:val="single" w:color="auto" w:sz="2" w:space="0"/>
              <w:left w:val="single" w:color="auto" w:sz="2" w:space="0"/>
              <w:bottom w:val="single" w:color="auto" w:sz="2" w:space="0"/>
              <w:right w:val="single" w:color="auto" w:sz="2" w:space="0"/>
            </w:tcBorders>
            <w:vAlign w:val="center"/>
          </w:tcPr>
          <w:p w14:paraId="47A0849E">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25E98896">
            <w:pPr>
              <w:spacing w:line="240" w:lineRule="exact"/>
              <w:jc w:val="right"/>
              <w:rPr>
                <w:rFonts w:ascii="宋体" w:hAnsi="宋体" w:eastAsia="宋体" w:cs="宋体"/>
                <w:sz w:val="18"/>
                <w:szCs w:val="18"/>
              </w:rPr>
            </w:pPr>
            <w:r>
              <w:rPr>
                <w:rFonts w:ascii="宋体" w:hAnsi="宋体" w:eastAsia="宋体" w:cs="宋体"/>
                <w:sz w:val="18"/>
                <w:szCs w:val="18"/>
              </w:rPr>
              <w:t>91,092,979.29</w:t>
            </w:r>
          </w:p>
        </w:tc>
        <w:tc>
          <w:tcPr>
            <w:tcW w:w="876" w:type="dxa"/>
            <w:tcBorders>
              <w:top w:val="single" w:color="auto" w:sz="2" w:space="0"/>
              <w:left w:val="single" w:color="auto" w:sz="2" w:space="0"/>
              <w:bottom w:val="single" w:color="auto" w:sz="2" w:space="0"/>
              <w:right w:val="single" w:color="auto" w:sz="2" w:space="0"/>
            </w:tcBorders>
            <w:vAlign w:val="center"/>
          </w:tcPr>
          <w:p w14:paraId="3D599514">
            <w:pPr>
              <w:spacing w:line="240" w:lineRule="exact"/>
              <w:jc w:val="right"/>
              <w:rPr>
                <w:rFonts w:ascii="宋体" w:hAnsi="宋体" w:eastAsia="宋体" w:cs="宋体"/>
                <w:sz w:val="18"/>
                <w:szCs w:val="18"/>
              </w:rPr>
            </w:pPr>
            <w:r>
              <w:rPr>
                <w:rFonts w:ascii="宋体" w:hAnsi="宋体" w:eastAsia="宋体" w:cs="宋体"/>
                <w:sz w:val="18"/>
                <w:szCs w:val="18"/>
              </w:rPr>
              <w:t>5.88%</w:t>
            </w:r>
          </w:p>
        </w:tc>
        <w:tc>
          <w:tcPr>
            <w:tcW w:w="876" w:type="dxa"/>
            <w:tcBorders>
              <w:top w:val="single" w:color="auto" w:sz="2" w:space="0"/>
              <w:left w:val="single" w:color="auto" w:sz="2" w:space="0"/>
              <w:bottom w:val="single" w:color="auto" w:sz="2" w:space="0"/>
              <w:right w:val="single" w:color="auto" w:sz="2" w:space="0"/>
            </w:tcBorders>
            <w:vAlign w:val="center"/>
          </w:tcPr>
          <w:p w14:paraId="0E1C64FE">
            <w:pPr>
              <w:spacing w:line="240" w:lineRule="exact"/>
              <w:jc w:val="right"/>
              <w:rPr>
                <w:rFonts w:ascii="宋体" w:hAnsi="宋体" w:eastAsia="宋体" w:cs="宋体"/>
                <w:sz w:val="18"/>
                <w:szCs w:val="18"/>
              </w:rPr>
            </w:pPr>
            <w:r>
              <w:rPr>
                <w:rFonts w:ascii="宋体" w:hAnsi="宋体" w:eastAsia="宋体" w:cs="宋体"/>
                <w:sz w:val="18"/>
                <w:szCs w:val="18"/>
              </w:rPr>
              <w:t>1,457,626,076.42</w:t>
            </w:r>
          </w:p>
        </w:tc>
      </w:tr>
    </w:tbl>
    <w:p w14:paraId="050F223F">
      <w:pPr>
        <w:spacing w:before="100" w:after="100" w:line="240" w:lineRule="exact"/>
        <w:rPr>
          <w:rFonts w:ascii="宋体" w:hAnsi="宋体" w:eastAsia="宋体" w:cs="宋体"/>
          <w:sz w:val="18"/>
          <w:szCs w:val="18"/>
        </w:rPr>
      </w:pPr>
      <w:r>
        <w:rPr>
          <w:rFonts w:ascii="宋体" w:hAnsi="宋体" w:eastAsia="宋体" w:cs="宋体"/>
          <w:sz w:val="18"/>
          <w:szCs w:val="18"/>
        </w:rPr>
        <w:t>按组合计提坏账准备：预期信用风险组合</w:t>
      </w:r>
    </w:p>
    <w:p w14:paraId="31664E6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284AC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327439E">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3024A85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21144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7A92F88"/>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7CD7F31">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CA2FFC7">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D241333">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14:paraId="0817F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EEF4796">
            <w:pPr>
              <w:spacing w:line="240" w:lineRule="exact"/>
              <w:rPr>
                <w:rFonts w:ascii="宋体" w:hAnsi="宋体" w:eastAsia="宋体" w:cs="宋体"/>
                <w:sz w:val="18"/>
                <w:szCs w:val="18"/>
              </w:rPr>
            </w:pPr>
            <w:r>
              <w:rPr>
                <w:rFonts w:ascii="宋体" w:hAnsi="宋体" w:eastAsia="宋体" w:cs="宋体"/>
                <w:sz w:val="18"/>
                <w:szCs w:val="18"/>
              </w:rPr>
              <w:t>1年以内</w:t>
            </w:r>
          </w:p>
        </w:tc>
        <w:tc>
          <w:tcPr>
            <w:tcW w:w="2410" w:type="dxa"/>
            <w:tcBorders>
              <w:top w:val="single" w:color="auto" w:sz="2" w:space="0"/>
              <w:left w:val="single" w:color="auto" w:sz="2" w:space="0"/>
              <w:bottom w:val="single" w:color="auto" w:sz="2" w:space="0"/>
              <w:right w:val="single" w:color="auto" w:sz="2" w:space="0"/>
            </w:tcBorders>
            <w:vAlign w:val="center"/>
          </w:tcPr>
          <w:p w14:paraId="2AD15583">
            <w:pPr>
              <w:spacing w:line="240" w:lineRule="exact"/>
              <w:jc w:val="right"/>
              <w:rPr>
                <w:rFonts w:ascii="宋体" w:hAnsi="宋体" w:eastAsia="宋体" w:cs="宋体"/>
                <w:sz w:val="18"/>
                <w:szCs w:val="18"/>
              </w:rPr>
            </w:pPr>
            <w:r>
              <w:rPr>
                <w:rFonts w:ascii="宋体" w:hAnsi="宋体" w:eastAsia="宋体" w:cs="宋体"/>
                <w:sz w:val="18"/>
                <w:szCs w:val="18"/>
              </w:rPr>
              <w:t>1,034,373,676.58</w:t>
            </w:r>
          </w:p>
        </w:tc>
        <w:tc>
          <w:tcPr>
            <w:tcW w:w="2410" w:type="dxa"/>
            <w:tcBorders>
              <w:top w:val="single" w:color="auto" w:sz="2" w:space="0"/>
              <w:left w:val="single" w:color="auto" w:sz="2" w:space="0"/>
              <w:bottom w:val="single" w:color="auto" w:sz="2" w:space="0"/>
              <w:right w:val="single" w:color="auto" w:sz="2" w:space="0"/>
            </w:tcBorders>
            <w:vAlign w:val="center"/>
          </w:tcPr>
          <w:p w14:paraId="72897E48">
            <w:pPr>
              <w:spacing w:line="240" w:lineRule="exact"/>
              <w:jc w:val="right"/>
              <w:rPr>
                <w:rFonts w:ascii="宋体" w:hAnsi="宋体" w:eastAsia="宋体" w:cs="宋体"/>
                <w:sz w:val="18"/>
                <w:szCs w:val="18"/>
              </w:rPr>
            </w:pPr>
            <w:r>
              <w:rPr>
                <w:rFonts w:ascii="宋体" w:hAnsi="宋体" w:eastAsia="宋体" w:cs="宋体"/>
                <w:sz w:val="18"/>
                <w:szCs w:val="18"/>
              </w:rPr>
              <w:t>51,718,683.89</w:t>
            </w:r>
          </w:p>
        </w:tc>
        <w:tc>
          <w:tcPr>
            <w:tcW w:w="2410" w:type="dxa"/>
            <w:tcBorders>
              <w:top w:val="single" w:color="auto" w:sz="2" w:space="0"/>
              <w:left w:val="single" w:color="auto" w:sz="2" w:space="0"/>
              <w:bottom w:val="single" w:color="auto" w:sz="2" w:space="0"/>
              <w:right w:val="single" w:color="auto" w:sz="2" w:space="0"/>
            </w:tcBorders>
            <w:vAlign w:val="center"/>
          </w:tcPr>
          <w:p w14:paraId="45188D68">
            <w:pPr>
              <w:spacing w:line="240" w:lineRule="exact"/>
              <w:jc w:val="right"/>
              <w:rPr>
                <w:rFonts w:ascii="宋体" w:hAnsi="宋体" w:eastAsia="宋体" w:cs="宋体"/>
                <w:sz w:val="18"/>
                <w:szCs w:val="18"/>
              </w:rPr>
            </w:pPr>
            <w:r>
              <w:rPr>
                <w:rFonts w:ascii="宋体" w:hAnsi="宋体" w:eastAsia="宋体" w:cs="宋体"/>
                <w:sz w:val="18"/>
                <w:szCs w:val="18"/>
              </w:rPr>
              <w:t>5.00%</w:t>
            </w:r>
          </w:p>
        </w:tc>
      </w:tr>
      <w:tr w14:paraId="5A19D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74D7B83">
            <w:pPr>
              <w:spacing w:line="240" w:lineRule="exact"/>
              <w:rPr>
                <w:rFonts w:ascii="宋体" w:hAnsi="宋体" w:eastAsia="宋体" w:cs="宋体"/>
                <w:sz w:val="18"/>
                <w:szCs w:val="18"/>
              </w:rPr>
            </w:pPr>
            <w:r>
              <w:rPr>
                <w:rFonts w:ascii="宋体" w:hAnsi="宋体" w:eastAsia="宋体" w:cs="宋体"/>
                <w:sz w:val="18"/>
                <w:szCs w:val="18"/>
              </w:rPr>
              <w:t>1－2年</w:t>
            </w:r>
          </w:p>
        </w:tc>
        <w:tc>
          <w:tcPr>
            <w:tcW w:w="2410" w:type="dxa"/>
            <w:tcBorders>
              <w:top w:val="single" w:color="auto" w:sz="2" w:space="0"/>
              <w:left w:val="single" w:color="auto" w:sz="2" w:space="0"/>
              <w:bottom w:val="single" w:color="auto" w:sz="2" w:space="0"/>
              <w:right w:val="single" w:color="auto" w:sz="2" w:space="0"/>
            </w:tcBorders>
            <w:vAlign w:val="center"/>
          </w:tcPr>
          <w:p w14:paraId="36D81543">
            <w:pPr>
              <w:spacing w:line="240" w:lineRule="exact"/>
              <w:jc w:val="right"/>
              <w:rPr>
                <w:rFonts w:ascii="宋体" w:hAnsi="宋体" w:eastAsia="宋体" w:cs="宋体"/>
                <w:sz w:val="18"/>
                <w:szCs w:val="18"/>
              </w:rPr>
            </w:pPr>
            <w:r>
              <w:rPr>
                <w:rFonts w:ascii="宋体" w:hAnsi="宋体" w:eastAsia="宋体" w:cs="宋体"/>
                <w:sz w:val="18"/>
                <w:szCs w:val="18"/>
              </w:rPr>
              <w:t>106,683,716.14</w:t>
            </w:r>
          </w:p>
        </w:tc>
        <w:tc>
          <w:tcPr>
            <w:tcW w:w="2410" w:type="dxa"/>
            <w:tcBorders>
              <w:top w:val="single" w:color="auto" w:sz="2" w:space="0"/>
              <w:left w:val="single" w:color="auto" w:sz="2" w:space="0"/>
              <w:bottom w:val="single" w:color="auto" w:sz="2" w:space="0"/>
              <w:right w:val="single" w:color="auto" w:sz="2" w:space="0"/>
            </w:tcBorders>
            <w:vAlign w:val="center"/>
          </w:tcPr>
          <w:p w14:paraId="3FB1AA36">
            <w:pPr>
              <w:spacing w:line="240" w:lineRule="exact"/>
              <w:jc w:val="right"/>
              <w:rPr>
                <w:rFonts w:ascii="宋体" w:hAnsi="宋体" w:eastAsia="宋体" w:cs="宋体"/>
                <w:sz w:val="18"/>
                <w:szCs w:val="18"/>
              </w:rPr>
            </w:pPr>
            <w:r>
              <w:rPr>
                <w:rFonts w:ascii="宋体" w:hAnsi="宋体" w:eastAsia="宋体" w:cs="宋体"/>
                <w:sz w:val="18"/>
                <w:szCs w:val="18"/>
              </w:rPr>
              <w:t>10,668,371.60</w:t>
            </w:r>
          </w:p>
        </w:tc>
        <w:tc>
          <w:tcPr>
            <w:tcW w:w="2410" w:type="dxa"/>
            <w:tcBorders>
              <w:top w:val="single" w:color="auto" w:sz="2" w:space="0"/>
              <w:left w:val="single" w:color="auto" w:sz="2" w:space="0"/>
              <w:bottom w:val="single" w:color="auto" w:sz="2" w:space="0"/>
              <w:right w:val="single" w:color="auto" w:sz="2" w:space="0"/>
            </w:tcBorders>
            <w:vAlign w:val="center"/>
          </w:tcPr>
          <w:p w14:paraId="051AB621">
            <w:pPr>
              <w:spacing w:line="240" w:lineRule="exact"/>
              <w:jc w:val="right"/>
              <w:rPr>
                <w:rFonts w:ascii="宋体" w:hAnsi="宋体" w:eastAsia="宋体" w:cs="宋体"/>
                <w:sz w:val="18"/>
                <w:szCs w:val="18"/>
              </w:rPr>
            </w:pPr>
            <w:r>
              <w:rPr>
                <w:rFonts w:ascii="宋体" w:hAnsi="宋体" w:eastAsia="宋体" w:cs="宋体"/>
                <w:sz w:val="18"/>
                <w:szCs w:val="18"/>
              </w:rPr>
              <w:t>10.00%</w:t>
            </w:r>
          </w:p>
        </w:tc>
      </w:tr>
      <w:tr w14:paraId="6BFD4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8BC8A45">
            <w:pPr>
              <w:spacing w:line="240" w:lineRule="exact"/>
              <w:rPr>
                <w:rFonts w:ascii="宋体" w:hAnsi="宋体" w:eastAsia="宋体" w:cs="宋体"/>
                <w:sz w:val="18"/>
                <w:szCs w:val="18"/>
              </w:rPr>
            </w:pPr>
            <w:r>
              <w:rPr>
                <w:rFonts w:ascii="宋体" w:hAnsi="宋体" w:eastAsia="宋体" w:cs="宋体"/>
                <w:sz w:val="18"/>
                <w:szCs w:val="18"/>
              </w:rPr>
              <w:t>2－3年</w:t>
            </w:r>
          </w:p>
        </w:tc>
        <w:tc>
          <w:tcPr>
            <w:tcW w:w="2410" w:type="dxa"/>
            <w:tcBorders>
              <w:top w:val="single" w:color="auto" w:sz="2" w:space="0"/>
              <w:left w:val="single" w:color="auto" w:sz="2" w:space="0"/>
              <w:bottom w:val="single" w:color="auto" w:sz="2" w:space="0"/>
              <w:right w:val="single" w:color="auto" w:sz="2" w:space="0"/>
            </w:tcBorders>
            <w:vAlign w:val="center"/>
          </w:tcPr>
          <w:p w14:paraId="7217185A">
            <w:pPr>
              <w:spacing w:line="240" w:lineRule="exact"/>
              <w:jc w:val="right"/>
              <w:rPr>
                <w:rFonts w:ascii="宋体" w:hAnsi="宋体" w:eastAsia="宋体" w:cs="宋体"/>
                <w:sz w:val="18"/>
                <w:szCs w:val="18"/>
              </w:rPr>
            </w:pPr>
            <w:r>
              <w:rPr>
                <w:rFonts w:ascii="宋体" w:hAnsi="宋体" w:eastAsia="宋体" w:cs="宋体"/>
                <w:sz w:val="18"/>
                <w:szCs w:val="18"/>
              </w:rPr>
              <w:t>5,467,672.91</w:t>
            </w:r>
          </w:p>
        </w:tc>
        <w:tc>
          <w:tcPr>
            <w:tcW w:w="2410" w:type="dxa"/>
            <w:tcBorders>
              <w:top w:val="single" w:color="auto" w:sz="2" w:space="0"/>
              <w:left w:val="single" w:color="auto" w:sz="2" w:space="0"/>
              <w:bottom w:val="single" w:color="auto" w:sz="2" w:space="0"/>
              <w:right w:val="single" w:color="auto" w:sz="2" w:space="0"/>
            </w:tcBorders>
            <w:vAlign w:val="center"/>
          </w:tcPr>
          <w:p w14:paraId="5524F3A8">
            <w:pPr>
              <w:spacing w:line="240" w:lineRule="exact"/>
              <w:jc w:val="right"/>
              <w:rPr>
                <w:rFonts w:ascii="宋体" w:hAnsi="宋体" w:eastAsia="宋体" w:cs="宋体"/>
                <w:sz w:val="18"/>
                <w:szCs w:val="18"/>
              </w:rPr>
            </w:pPr>
            <w:r>
              <w:rPr>
                <w:rFonts w:ascii="宋体" w:hAnsi="宋体" w:eastAsia="宋体" w:cs="宋体"/>
                <w:sz w:val="18"/>
                <w:szCs w:val="18"/>
              </w:rPr>
              <w:t>1,093,534.58</w:t>
            </w:r>
          </w:p>
        </w:tc>
        <w:tc>
          <w:tcPr>
            <w:tcW w:w="2410" w:type="dxa"/>
            <w:tcBorders>
              <w:top w:val="single" w:color="auto" w:sz="2" w:space="0"/>
              <w:left w:val="single" w:color="auto" w:sz="2" w:space="0"/>
              <w:bottom w:val="single" w:color="auto" w:sz="2" w:space="0"/>
              <w:right w:val="single" w:color="auto" w:sz="2" w:space="0"/>
            </w:tcBorders>
            <w:vAlign w:val="center"/>
          </w:tcPr>
          <w:p w14:paraId="5F290931">
            <w:pPr>
              <w:spacing w:line="240" w:lineRule="exact"/>
              <w:jc w:val="right"/>
              <w:rPr>
                <w:rFonts w:ascii="宋体" w:hAnsi="宋体" w:eastAsia="宋体" w:cs="宋体"/>
                <w:sz w:val="18"/>
                <w:szCs w:val="18"/>
              </w:rPr>
            </w:pPr>
            <w:r>
              <w:rPr>
                <w:rFonts w:ascii="宋体" w:hAnsi="宋体" w:eastAsia="宋体" w:cs="宋体"/>
                <w:sz w:val="18"/>
                <w:szCs w:val="18"/>
              </w:rPr>
              <w:t>20.00%</w:t>
            </w:r>
          </w:p>
        </w:tc>
      </w:tr>
      <w:tr w14:paraId="288CC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B303E9D">
            <w:pPr>
              <w:spacing w:line="240" w:lineRule="exact"/>
              <w:rPr>
                <w:rFonts w:ascii="宋体" w:hAnsi="宋体" w:eastAsia="宋体" w:cs="宋体"/>
                <w:sz w:val="18"/>
                <w:szCs w:val="18"/>
              </w:rPr>
            </w:pPr>
            <w:r>
              <w:rPr>
                <w:rFonts w:ascii="宋体" w:hAnsi="宋体" w:eastAsia="宋体" w:cs="宋体"/>
                <w:sz w:val="18"/>
                <w:szCs w:val="18"/>
              </w:rPr>
              <w:t>3－4年</w:t>
            </w:r>
          </w:p>
        </w:tc>
        <w:tc>
          <w:tcPr>
            <w:tcW w:w="2410" w:type="dxa"/>
            <w:tcBorders>
              <w:top w:val="single" w:color="auto" w:sz="2" w:space="0"/>
              <w:left w:val="single" w:color="auto" w:sz="2" w:space="0"/>
              <w:bottom w:val="single" w:color="auto" w:sz="2" w:space="0"/>
              <w:right w:val="single" w:color="auto" w:sz="2" w:space="0"/>
            </w:tcBorders>
            <w:vAlign w:val="center"/>
          </w:tcPr>
          <w:p w14:paraId="7606E5F5">
            <w:pPr>
              <w:spacing w:line="240" w:lineRule="exact"/>
              <w:jc w:val="right"/>
              <w:rPr>
                <w:rFonts w:ascii="宋体" w:hAnsi="宋体" w:eastAsia="宋体" w:cs="宋体"/>
                <w:sz w:val="18"/>
                <w:szCs w:val="18"/>
              </w:rPr>
            </w:pPr>
            <w:r>
              <w:rPr>
                <w:rFonts w:ascii="宋体" w:hAnsi="宋体" w:eastAsia="宋体" w:cs="宋体"/>
                <w:sz w:val="18"/>
                <w:szCs w:val="18"/>
              </w:rPr>
              <w:t>1,347,903.05</w:t>
            </w:r>
          </w:p>
        </w:tc>
        <w:tc>
          <w:tcPr>
            <w:tcW w:w="2410" w:type="dxa"/>
            <w:tcBorders>
              <w:top w:val="single" w:color="auto" w:sz="2" w:space="0"/>
              <w:left w:val="single" w:color="auto" w:sz="2" w:space="0"/>
              <w:bottom w:val="single" w:color="auto" w:sz="2" w:space="0"/>
              <w:right w:val="single" w:color="auto" w:sz="2" w:space="0"/>
            </w:tcBorders>
            <w:vAlign w:val="center"/>
          </w:tcPr>
          <w:p w14:paraId="6ED28D18">
            <w:pPr>
              <w:spacing w:line="240" w:lineRule="exact"/>
              <w:jc w:val="right"/>
              <w:rPr>
                <w:rFonts w:ascii="宋体" w:hAnsi="宋体" w:eastAsia="宋体" w:cs="宋体"/>
                <w:sz w:val="18"/>
                <w:szCs w:val="18"/>
              </w:rPr>
            </w:pPr>
            <w:r>
              <w:rPr>
                <w:rFonts w:ascii="宋体" w:hAnsi="宋体" w:eastAsia="宋体" w:cs="宋体"/>
                <w:sz w:val="18"/>
                <w:szCs w:val="18"/>
              </w:rPr>
              <w:t>673,951.53</w:t>
            </w:r>
          </w:p>
        </w:tc>
        <w:tc>
          <w:tcPr>
            <w:tcW w:w="2410" w:type="dxa"/>
            <w:tcBorders>
              <w:top w:val="single" w:color="auto" w:sz="2" w:space="0"/>
              <w:left w:val="single" w:color="auto" w:sz="2" w:space="0"/>
              <w:bottom w:val="single" w:color="auto" w:sz="2" w:space="0"/>
              <w:right w:val="single" w:color="auto" w:sz="2" w:space="0"/>
            </w:tcBorders>
            <w:vAlign w:val="center"/>
          </w:tcPr>
          <w:p w14:paraId="287CAB6B">
            <w:pPr>
              <w:spacing w:line="240" w:lineRule="exact"/>
              <w:jc w:val="right"/>
              <w:rPr>
                <w:rFonts w:ascii="宋体" w:hAnsi="宋体" w:eastAsia="宋体" w:cs="宋体"/>
                <w:sz w:val="18"/>
                <w:szCs w:val="18"/>
              </w:rPr>
            </w:pPr>
            <w:r>
              <w:rPr>
                <w:rFonts w:ascii="宋体" w:hAnsi="宋体" w:eastAsia="宋体" w:cs="宋体"/>
                <w:sz w:val="18"/>
                <w:szCs w:val="18"/>
              </w:rPr>
              <w:t>50.00%</w:t>
            </w:r>
          </w:p>
        </w:tc>
      </w:tr>
      <w:tr w14:paraId="4D9C2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1042774">
            <w:pPr>
              <w:spacing w:line="240" w:lineRule="exact"/>
              <w:rPr>
                <w:rFonts w:ascii="宋体" w:hAnsi="宋体" w:eastAsia="宋体" w:cs="宋体"/>
                <w:sz w:val="18"/>
                <w:szCs w:val="18"/>
              </w:rPr>
            </w:pPr>
            <w:r>
              <w:rPr>
                <w:rFonts w:ascii="宋体" w:hAnsi="宋体" w:eastAsia="宋体" w:cs="宋体"/>
                <w:sz w:val="18"/>
                <w:szCs w:val="18"/>
              </w:rPr>
              <w:t>4－5年</w:t>
            </w:r>
          </w:p>
        </w:tc>
        <w:tc>
          <w:tcPr>
            <w:tcW w:w="2410" w:type="dxa"/>
            <w:tcBorders>
              <w:top w:val="single" w:color="auto" w:sz="2" w:space="0"/>
              <w:left w:val="single" w:color="auto" w:sz="2" w:space="0"/>
              <w:bottom w:val="single" w:color="auto" w:sz="2" w:space="0"/>
              <w:right w:val="single" w:color="auto" w:sz="2" w:space="0"/>
            </w:tcBorders>
            <w:vAlign w:val="center"/>
          </w:tcPr>
          <w:p w14:paraId="18EAF229">
            <w:pPr>
              <w:spacing w:line="240" w:lineRule="exact"/>
              <w:jc w:val="right"/>
              <w:rPr>
                <w:rFonts w:ascii="宋体" w:hAnsi="宋体" w:eastAsia="宋体" w:cs="宋体"/>
                <w:sz w:val="18"/>
                <w:szCs w:val="18"/>
              </w:rPr>
            </w:pPr>
            <w:r>
              <w:rPr>
                <w:rFonts w:ascii="宋体" w:hAnsi="宋体" w:eastAsia="宋体" w:cs="宋体"/>
                <w:sz w:val="18"/>
                <w:szCs w:val="18"/>
              </w:rPr>
              <w:t>2,075,157.44</w:t>
            </w:r>
          </w:p>
        </w:tc>
        <w:tc>
          <w:tcPr>
            <w:tcW w:w="2410" w:type="dxa"/>
            <w:tcBorders>
              <w:top w:val="single" w:color="auto" w:sz="2" w:space="0"/>
              <w:left w:val="single" w:color="auto" w:sz="2" w:space="0"/>
              <w:bottom w:val="single" w:color="auto" w:sz="2" w:space="0"/>
              <w:right w:val="single" w:color="auto" w:sz="2" w:space="0"/>
            </w:tcBorders>
            <w:vAlign w:val="center"/>
          </w:tcPr>
          <w:p w14:paraId="0EC909EF">
            <w:pPr>
              <w:spacing w:line="240" w:lineRule="exact"/>
              <w:jc w:val="right"/>
              <w:rPr>
                <w:rFonts w:ascii="宋体" w:hAnsi="宋体" w:eastAsia="宋体" w:cs="宋体"/>
                <w:sz w:val="18"/>
                <w:szCs w:val="18"/>
              </w:rPr>
            </w:pPr>
            <w:r>
              <w:rPr>
                <w:rFonts w:ascii="宋体" w:hAnsi="宋体" w:eastAsia="宋体" w:cs="宋体"/>
                <w:sz w:val="18"/>
                <w:szCs w:val="18"/>
              </w:rPr>
              <w:t>1,660,125.95</w:t>
            </w:r>
          </w:p>
        </w:tc>
        <w:tc>
          <w:tcPr>
            <w:tcW w:w="2410" w:type="dxa"/>
            <w:tcBorders>
              <w:top w:val="single" w:color="auto" w:sz="2" w:space="0"/>
              <w:left w:val="single" w:color="auto" w:sz="2" w:space="0"/>
              <w:bottom w:val="single" w:color="auto" w:sz="2" w:space="0"/>
              <w:right w:val="single" w:color="auto" w:sz="2" w:space="0"/>
            </w:tcBorders>
            <w:vAlign w:val="center"/>
          </w:tcPr>
          <w:p w14:paraId="16595C75">
            <w:pPr>
              <w:spacing w:line="240" w:lineRule="exact"/>
              <w:jc w:val="right"/>
              <w:rPr>
                <w:rFonts w:ascii="宋体" w:hAnsi="宋体" w:eastAsia="宋体" w:cs="宋体"/>
                <w:sz w:val="18"/>
                <w:szCs w:val="18"/>
              </w:rPr>
            </w:pPr>
            <w:r>
              <w:rPr>
                <w:rFonts w:ascii="宋体" w:hAnsi="宋体" w:eastAsia="宋体" w:cs="宋体"/>
                <w:sz w:val="18"/>
                <w:szCs w:val="18"/>
              </w:rPr>
              <w:t>80.00%</w:t>
            </w:r>
          </w:p>
        </w:tc>
      </w:tr>
      <w:tr w14:paraId="303E2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C13B403">
            <w:pPr>
              <w:spacing w:line="240" w:lineRule="exac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14:paraId="3F4085C6">
            <w:pPr>
              <w:spacing w:line="240" w:lineRule="exact"/>
              <w:jc w:val="right"/>
              <w:rPr>
                <w:rFonts w:ascii="宋体" w:hAnsi="宋体" w:eastAsia="宋体" w:cs="宋体"/>
                <w:sz w:val="18"/>
                <w:szCs w:val="18"/>
              </w:rPr>
            </w:pPr>
            <w:r>
              <w:rPr>
                <w:rFonts w:ascii="宋体" w:hAnsi="宋体" w:eastAsia="宋体" w:cs="宋体"/>
                <w:sz w:val="18"/>
                <w:szCs w:val="18"/>
              </w:rPr>
              <w:t>2,979,647.35</w:t>
            </w:r>
          </w:p>
        </w:tc>
        <w:tc>
          <w:tcPr>
            <w:tcW w:w="2410" w:type="dxa"/>
            <w:tcBorders>
              <w:top w:val="single" w:color="auto" w:sz="2" w:space="0"/>
              <w:left w:val="single" w:color="auto" w:sz="2" w:space="0"/>
              <w:bottom w:val="single" w:color="auto" w:sz="2" w:space="0"/>
              <w:right w:val="single" w:color="auto" w:sz="2" w:space="0"/>
            </w:tcBorders>
            <w:vAlign w:val="center"/>
          </w:tcPr>
          <w:p w14:paraId="56AD6466">
            <w:pPr>
              <w:spacing w:line="240" w:lineRule="exact"/>
              <w:jc w:val="right"/>
              <w:rPr>
                <w:rFonts w:ascii="宋体" w:hAnsi="宋体" w:eastAsia="宋体" w:cs="宋体"/>
                <w:sz w:val="18"/>
                <w:szCs w:val="18"/>
              </w:rPr>
            </w:pPr>
            <w:r>
              <w:rPr>
                <w:rFonts w:ascii="宋体" w:hAnsi="宋体" w:eastAsia="宋体" w:cs="宋体"/>
                <w:sz w:val="18"/>
                <w:szCs w:val="18"/>
              </w:rPr>
              <w:t>2,979,647.35</w:t>
            </w:r>
          </w:p>
        </w:tc>
        <w:tc>
          <w:tcPr>
            <w:tcW w:w="2410" w:type="dxa"/>
            <w:tcBorders>
              <w:top w:val="single" w:color="auto" w:sz="2" w:space="0"/>
              <w:left w:val="single" w:color="auto" w:sz="2" w:space="0"/>
              <w:bottom w:val="single" w:color="auto" w:sz="2" w:space="0"/>
              <w:right w:val="single" w:color="auto" w:sz="2" w:space="0"/>
            </w:tcBorders>
            <w:vAlign w:val="center"/>
          </w:tcPr>
          <w:p w14:paraId="79AFB0D1">
            <w:pPr>
              <w:spacing w:line="240" w:lineRule="exact"/>
              <w:jc w:val="right"/>
              <w:rPr>
                <w:rFonts w:ascii="宋体" w:hAnsi="宋体" w:eastAsia="宋体" w:cs="宋体"/>
                <w:sz w:val="18"/>
                <w:szCs w:val="18"/>
              </w:rPr>
            </w:pPr>
            <w:r>
              <w:rPr>
                <w:rFonts w:ascii="宋体" w:hAnsi="宋体" w:eastAsia="宋体" w:cs="宋体"/>
                <w:sz w:val="18"/>
                <w:szCs w:val="18"/>
              </w:rPr>
              <w:t>100.00%</w:t>
            </w:r>
          </w:p>
        </w:tc>
      </w:tr>
      <w:tr w14:paraId="7F61D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1610C92">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539F7D1E">
            <w:pPr>
              <w:spacing w:line="240" w:lineRule="exact"/>
              <w:jc w:val="right"/>
              <w:rPr>
                <w:rFonts w:ascii="宋体" w:hAnsi="宋体" w:eastAsia="宋体" w:cs="宋体"/>
                <w:sz w:val="18"/>
                <w:szCs w:val="18"/>
              </w:rPr>
            </w:pPr>
            <w:r>
              <w:rPr>
                <w:rFonts w:ascii="宋体" w:hAnsi="宋体" w:eastAsia="宋体" w:cs="宋体"/>
                <w:sz w:val="18"/>
                <w:szCs w:val="18"/>
              </w:rPr>
              <w:t>1,152,927,773.47</w:t>
            </w:r>
          </w:p>
        </w:tc>
        <w:tc>
          <w:tcPr>
            <w:tcW w:w="2410" w:type="dxa"/>
            <w:tcBorders>
              <w:top w:val="single" w:color="auto" w:sz="2" w:space="0"/>
              <w:left w:val="single" w:color="auto" w:sz="2" w:space="0"/>
              <w:bottom w:val="single" w:color="auto" w:sz="2" w:space="0"/>
              <w:right w:val="single" w:color="auto" w:sz="2" w:space="0"/>
            </w:tcBorders>
            <w:vAlign w:val="center"/>
          </w:tcPr>
          <w:p w14:paraId="6A9543F5">
            <w:pPr>
              <w:spacing w:line="240" w:lineRule="exact"/>
              <w:jc w:val="right"/>
              <w:rPr>
                <w:rFonts w:ascii="宋体" w:hAnsi="宋体" w:eastAsia="宋体" w:cs="宋体"/>
                <w:sz w:val="18"/>
                <w:szCs w:val="18"/>
              </w:rPr>
            </w:pPr>
            <w:r>
              <w:rPr>
                <w:rFonts w:ascii="宋体" w:hAnsi="宋体" w:eastAsia="宋体" w:cs="宋体"/>
                <w:sz w:val="18"/>
                <w:szCs w:val="18"/>
              </w:rPr>
              <w:t>68,794,314.90</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A20DD77"/>
        </w:tc>
      </w:tr>
    </w:tbl>
    <w:p w14:paraId="58BBA48E">
      <w:pPr>
        <w:spacing w:before="100" w:after="100" w:line="240" w:lineRule="exact"/>
        <w:rPr>
          <w:rFonts w:ascii="宋体" w:hAnsi="宋体" w:eastAsia="宋体" w:cs="宋体"/>
          <w:sz w:val="18"/>
          <w:szCs w:val="18"/>
        </w:rPr>
      </w:pPr>
      <w:r>
        <w:rPr>
          <w:rFonts w:ascii="宋体" w:hAnsi="宋体" w:eastAsia="宋体" w:cs="宋体"/>
          <w:sz w:val="18"/>
          <w:szCs w:val="18"/>
        </w:rPr>
        <w:t>确定该组合依据的说明：</w:t>
      </w:r>
      <w:r>
        <w:rPr>
          <w:rFonts w:hint="eastAsia" w:ascii="宋体" w:hAnsi="宋体" w:eastAsia="宋体" w:cs="宋体"/>
          <w:sz w:val="18"/>
          <w:szCs w:val="18"/>
        </w:rPr>
        <w:t>无</w:t>
      </w:r>
    </w:p>
    <w:p w14:paraId="4015710A">
      <w:pPr>
        <w:spacing w:before="100" w:after="100" w:line="240" w:lineRule="exact"/>
        <w:rPr>
          <w:rFonts w:ascii="宋体" w:hAnsi="宋体" w:eastAsia="宋体" w:cs="宋体"/>
          <w:sz w:val="18"/>
          <w:szCs w:val="18"/>
        </w:rPr>
      </w:pPr>
      <w:r>
        <w:rPr>
          <w:rFonts w:ascii="宋体" w:hAnsi="宋体" w:eastAsia="宋体" w:cs="宋体"/>
          <w:sz w:val="18"/>
          <w:szCs w:val="18"/>
        </w:rPr>
        <w:t>如是按照预期信用损失一般模型计提应收账款坏账准备：</w:t>
      </w:r>
    </w:p>
    <w:p w14:paraId="3F03BEA1">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1363E01">
      <w:pPr>
        <w:keepNext/>
        <w:keepLines/>
        <w:spacing w:before="300" w:after="300" w:line="280" w:lineRule="exact"/>
        <w:outlineLvl w:val="3"/>
        <w:rPr>
          <w:rFonts w:ascii="宋体" w:hAnsi="宋体" w:eastAsia="宋体" w:cs="宋体"/>
          <w:b/>
          <w:bCs/>
          <w:szCs w:val="21"/>
        </w:rPr>
      </w:pPr>
      <w:bookmarkStart w:id="283" w:name="_Toc989135"/>
      <w:r>
        <w:rPr>
          <w:rFonts w:ascii="宋体" w:hAnsi="宋体" w:eastAsia="宋体" w:cs="宋体"/>
          <w:b/>
          <w:bCs/>
          <w:szCs w:val="21"/>
        </w:rPr>
        <w:t>（3） 本期计提、收回或转回的坏账准备情况</w:t>
      </w:r>
      <w:bookmarkEnd w:id="283"/>
    </w:p>
    <w:p w14:paraId="3E470FDF">
      <w:pPr>
        <w:spacing w:before="100" w:after="100" w:line="240" w:lineRule="exact"/>
        <w:rPr>
          <w:rFonts w:ascii="宋体" w:hAnsi="宋体" w:eastAsia="宋体" w:cs="宋体"/>
          <w:sz w:val="18"/>
          <w:szCs w:val="18"/>
        </w:rPr>
      </w:pPr>
      <w:r>
        <w:rPr>
          <w:rFonts w:ascii="宋体" w:hAnsi="宋体" w:eastAsia="宋体" w:cs="宋体"/>
          <w:sz w:val="18"/>
          <w:szCs w:val="18"/>
        </w:rPr>
        <w:t>本期计提坏账准备情况：</w:t>
      </w:r>
    </w:p>
    <w:p w14:paraId="0C6AA899">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0469F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87A5B6E">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0DBD3CF">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643998E2">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87E5A2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7A760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53CC67A"/>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15DEDFE"/>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9B0A760">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5F6354B">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BF59658">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8BB0B22">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3A5839C"/>
        </w:tc>
      </w:tr>
      <w:tr w14:paraId="0CA39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64C6FD8">
            <w:pPr>
              <w:spacing w:line="240" w:lineRule="exac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14:paraId="38173766">
            <w:pPr>
              <w:spacing w:line="240" w:lineRule="exact"/>
              <w:jc w:val="right"/>
              <w:rPr>
                <w:rFonts w:ascii="宋体" w:hAnsi="宋体" w:eastAsia="宋体" w:cs="宋体"/>
                <w:sz w:val="18"/>
                <w:szCs w:val="18"/>
              </w:rPr>
            </w:pPr>
            <w:r>
              <w:rPr>
                <w:rFonts w:ascii="宋体" w:hAnsi="宋体" w:eastAsia="宋体" w:cs="宋体"/>
                <w:sz w:val="18"/>
                <w:szCs w:val="18"/>
              </w:rPr>
              <w:t>2,570,858.86</w:t>
            </w:r>
          </w:p>
        </w:tc>
        <w:tc>
          <w:tcPr>
            <w:tcW w:w="1377" w:type="dxa"/>
            <w:tcBorders>
              <w:top w:val="single" w:color="auto" w:sz="2" w:space="0"/>
              <w:left w:val="single" w:color="auto" w:sz="2" w:space="0"/>
              <w:bottom w:val="single" w:color="auto" w:sz="2" w:space="0"/>
              <w:right w:val="single" w:color="auto" w:sz="2" w:space="0"/>
            </w:tcBorders>
            <w:vAlign w:val="center"/>
          </w:tcPr>
          <w:p w14:paraId="01CC8F2D">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3EF5A1E">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DBC9A46">
            <w:pPr>
              <w:spacing w:line="240" w:lineRule="exact"/>
              <w:jc w:val="right"/>
              <w:rPr>
                <w:rFonts w:ascii="宋体" w:hAnsi="宋体" w:eastAsia="宋体" w:cs="宋体"/>
                <w:sz w:val="18"/>
                <w:szCs w:val="18"/>
              </w:rPr>
            </w:pPr>
            <w:r>
              <w:rPr>
                <w:rFonts w:ascii="宋体" w:hAnsi="宋体" w:eastAsia="宋体" w:cs="宋体"/>
                <w:sz w:val="18"/>
                <w:szCs w:val="18"/>
              </w:rPr>
              <w:t>2,570,858.86</w:t>
            </w:r>
          </w:p>
        </w:tc>
        <w:tc>
          <w:tcPr>
            <w:tcW w:w="1377" w:type="dxa"/>
            <w:tcBorders>
              <w:top w:val="single" w:color="auto" w:sz="2" w:space="0"/>
              <w:left w:val="single" w:color="auto" w:sz="2" w:space="0"/>
              <w:bottom w:val="single" w:color="auto" w:sz="2" w:space="0"/>
              <w:right w:val="single" w:color="auto" w:sz="2" w:space="0"/>
            </w:tcBorders>
            <w:vAlign w:val="center"/>
          </w:tcPr>
          <w:p w14:paraId="69AE59C3">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38E6496">
            <w:pPr>
              <w:spacing w:line="240" w:lineRule="exact"/>
              <w:jc w:val="right"/>
              <w:rPr>
                <w:rFonts w:ascii="宋体" w:hAnsi="宋体" w:eastAsia="宋体" w:cs="宋体"/>
                <w:sz w:val="18"/>
                <w:szCs w:val="18"/>
              </w:rPr>
            </w:pPr>
          </w:p>
        </w:tc>
      </w:tr>
      <w:tr w14:paraId="059B2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F195E7D">
            <w:pPr>
              <w:spacing w:line="240" w:lineRule="exac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14:paraId="610F87F3">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ECE9284">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5284371">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065DEF9">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EC57CE3">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F058038">
            <w:pPr>
              <w:spacing w:line="240" w:lineRule="exact"/>
              <w:jc w:val="right"/>
              <w:rPr>
                <w:rFonts w:ascii="宋体" w:hAnsi="宋体" w:eastAsia="宋体" w:cs="宋体"/>
                <w:sz w:val="18"/>
                <w:szCs w:val="18"/>
              </w:rPr>
            </w:pPr>
          </w:p>
        </w:tc>
      </w:tr>
      <w:tr w14:paraId="71B93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B615692">
            <w:pPr>
              <w:spacing w:line="240" w:lineRule="exact"/>
              <w:rPr>
                <w:rFonts w:ascii="宋体" w:hAnsi="宋体" w:eastAsia="宋体" w:cs="宋体"/>
                <w:sz w:val="18"/>
                <w:szCs w:val="18"/>
              </w:rPr>
            </w:pPr>
            <w:r>
              <w:rPr>
                <w:rFonts w:ascii="宋体" w:hAnsi="宋体" w:eastAsia="宋体" w:cs="宋体"/>
                <w:sz w:val="18"/>
                <w:szCs w:val="18"/>
              </w:rPr>
              <w:t>其中：预期信用风险组合</w:t>
            </w:r>
          </w:p>
        </w:tc>
        <w:tc>
          <w:tcPr>
            <w:tcW w:w="1377" w:type="dxa"/>
            <w:tcBorders>
              <w:top w:val="single" w:color="auto" w:sz="2" w:space="0"/>
              <w:left w:val="single" w:color="auto" w:sz="2" w:space="0"/>
              <w:bottom w:val="single" w:color="auto" w:sz="2" w:space="0"/>
              <w:right w:val="single" w:color="auto" w:sz="2" w:space="0"/>
            </w:tcBorders>
            <w:vAlign w:val="center"/>
          </w:tcPr>
          <w:p w14:paraId="7003EE29">
            <w:pPr>
              <w:spacing w:line="240" w:lineRule="exact"/>
              <w:jc w:val="right"/>
              <w:rPr>
                <w:rFonts w:ascii="宋体" w:hAnsi="宋体" w:eastAsia="宋体" w:cs="宋体"/>
                <w:sz w:val="18"/>
                <w:szCs w:val="18"/>
              </w:rPr>
            </w:pPr>
            <w:r>
              <w:rPr>
                <w:rFonts w:ascii="宋体" w:hAnsi="宋体" w:eastAsia="宋体" w:cs="宋体"/>
                <w:sz w:val="18"/>
                <w:szCs w:val="18"/>
              </w:rPr>
              <w:t>88,522,120.43</w:t>
            </w:r>
          </w:p>
        </w:tc>
        <w:tc>
          <w:tcPr>
            <w:tcW w:w="1377" w:type="dxa"/>
            <w:tcBorders>
              <w:top w:val="single" w:color="auto" w:sz="2" w:space="0"/>
              <w:left w:val="single" w:color="auto" w:sz="2" w:space="0"/>
              <w:bottom w:val="single" w:color="auto" w:sz="2" w:space="0"/>
              <w:right w:val="single" w:color="auto" w:sz="2" w:space="0"/>
            </w:tcBorders>
            <w:vAlign w:val="center"/>
          </w:tcPr>
          <w:p w14:paraId="3F7C30FE">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18BBA22">
            <w:pPr>
              <w:spacing w:line="240" w:lineRule="exact"/>
              <w:jc w:val="right"/>
              <w:rPr>
                <w:rFonts w:ascii="宋体" w:hAnsi="宋体" w:eastAsia="宋体" w:cs="宋体"/>
                <w:sz w:val="18"/>
                <w:szCs w:val="18"/>
              </w:rPr>
            </w:pPr>
            <w:r>
              <w:rPr>
                <w:rFonts w:ascii="宋体" w:hAnsi="宋体" w:eastAsia="宋体" w:cs="宋体"/>
                <w:sz w:val="18"/>
                <w:szCs w:val="18"/>
              </w:rPr>
              <w:t>18,155,130.52</w:t>
            </w:r>
          </w:p>
        </w:tc>
        <w:tc>
          <w:tcPr>
            <w:tcW w:w="1377" w:type="dxa"/>
            <w:tcBorders>
              <w:top w:val="single" w:color="auto" w:sz="2" w:space="0"/>
              <w:left w:val="single" w:color="auto" w:sz="2" w:space="0"/>
              <w:bottom w:val="single" w:color="auto" w:sz="2" w:space="0"/>
              <w:right w:val="single" w:color="auto" w:sz="2" w:space="0"/>
            </w:tcBorders>
            <w:vAlign w:val="center"/>
          </w:tcPr>
          <w:p w14:paraId="6AF15489">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996691A">
            <w:pPr>
              <w:spacing w:line="240" w:lineRule="exact"/>
              <w:jc w:val="right"/>
              <w:rPr>
                <w:rFonts w:ascii="宋体" w:hAnsi="宋体" w:eastAsia="宋体" w:cs="宋体"/>
                <w:sz w:val="18"/>
                <w:szCs w:val="18"/>
              </w:rPr>
            </w:pPr>
            <w:r>
              <w:rPr>
                <w:rFonts w:ascii="宋体" w:hAnsi="宋体" w:eastAsia="宋体" w:cs="宋体"/>
                <w:sz w:val="18"/>
                <w:szCs w:val="18"/>
              </w:rPr>
              <w:t>-1,572,675.01</w:t>
            </w:r>
          </w:p>
        </w:tc>
        <w:tc>
          <w:tcPr>
            <w:tcW w:w="1377" w:type="dxa"/>
            <w:tcBorders>
              <w:top w:val="single" w:color="auto" w:sz="2" w:space="0"/>
              <w:left w:val="single" w:color="auto" w:sz="2" w:space="0"/>
              <w:bottom w:val="single" w:color="auto" w:sz="2" w:space="0"/>
              <w:right w:val="single" w:color="auto" w:sz="2" w:space="0"/>
            </w:tcBorders>
            <w:vAlign w:val="center"/>
          </w:tcPr>
          <w:p w14:paraId="5E04FA06">
            <w:pPr>
              <w:spacing w:line="240" w:lineRule="exact"/>
              <w:jc w:val="right"/>
              <w:rPr>
                <w:rFonts w:ascii="宋体" w:hAnsi="宋体" w:eastAsia="宋体" w:cs="宋体"/>
                <w:sz w:val="18"/>
                <w:szCs w:val="18"/>
              </w:rPr>
            </w:pPr>
            <w:r>
              <w:rPr>
                <w:rFonts w:ascii="宋体" w:hAnsi="宋体" w:eastAsia="宋体" w:cs="宋体"/>
                <w:sz w:val="18"/>
                <w:szCs w:val="18"/>
              </w:rPr>
              <w:t>68,794,314.90</w:t>
            </w:r>
          </w:p>
        </w:tc>
      </w:tr>
      <w:tr w14:paraId="3E8DF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345FA05">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27E3EB15">
            <w:pPr>
              <w:spacing w:line="240" w:lineRule="exact"/>
              <w:jc w:val="right"/>
              <w:rPr>
                <w:rFonts w:ascii="宋体" w:hAnsi="宋体" w:eastAsia="宋体" w:cs="宋体"/>
                <w:sz w:val="18"/>
                <w:szCs w:val="18"/>
              </w:rPr>
            </w:pPr>
            <w:r>
              <w:rPr>
                <w:rFonts w:ascii="宋体" w:hAnsi="宋体" w:eastAsia="宋体" w:cs="宋体"/>
                <w:sz w:val="18"/>
                <w:szCs w:val="18"/>
              </w:rPr>
              <w:t>91,092,979.29</w:t>
            </w:r>
          </w:p>
        </w:tc>
        <w:tc>
          <w:tcPr>
            <w:tcW w:w="1377" w:type="dxa"/>
            <w:tcBorders>
              <w:top w:val="single" w:color="auto" w:sz="2" w:space="0"/>
              <w:left w:val="single" w:color="auto" w:sz="2" w:space="0"/>
              <w:bottom w:val="single" w:color="auto" w:sz="2" w:space="0"/>
              <w:right w:val="single" w:color="auto" w:sz="2" w:space="0"/>
            </w:tcBorders>
            <w:vAlign w:val="center"/>
          </w:tcPr>
          <w:p w14:paraId="4345D82A">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E8B157E">
            <w:pPr>
              <w:spacing w:line="240" w:lineRule="exact"/>
              <w:jc w:val="right"/>
              <w:rPr>
                <w:rFonts w:ascii="宋体" w:hAnsi="宋体" w:eastAsia="宋体" w:cs="宋体"/>
                <w:sz w:val="18"/>
                <w:szCs w:val="18"/>
              </w:rPr>
            </w:pPr>
            <w:r>
              <w:rPr>
                <w:rFonts w:ascii="宋体" w:hAnsi="宋体" w:eastAsia="宋体" w:cs="宋体"/>
                <w:sz w:val="18"/>
                <w:szCs w:val="18"/>
              </w:rPr>
              <w:t>18,155,130.52</w:t>
            </w:r>
          </w:p>
        </w:tc>
        <w:tc>
          <w:tcPr>
            <w:tcW w:w="1377" w:type="dxa"/>
            <w:tcBorders>
              <w:top w:val="single" w:color="auto" w:sz="2" w:space="0"/>
              <w:left w:val="single" w:color="auto" w:sz="2" w:space="0"/>
              <w:bottom w:val="single" w:color="auto" w:sz="2" w:space="0"/>
              <w:right w:val="single" w:color="auto" w:sz="2" w:space="0"/>
            </w:tcBorders>
            <w:vAlign w:val="center"/>
          </w:tcPr>
          <w:p w14:paraId="221B57CC">
            <w:pPr>
              <w:spacing w:line="240" w:lineRule="exact"/>
              <w:jc w:val="right"/>
              <w:rPr>
                <w:rFonts w:ascii="宋体" w:hAnsi="宋体" w:eastAsia="宋体" w:cs="宋体"/>
                <w:sz w:val="18"/>
                <w:szCs w:val="18"/>
              </w:rPr>
            </w:pPr>
            <w:r>
              <w:rPr>
                <w:rFonts w:ascii="宋体" w:hAnsi="宋体" w:eastAsia="宋体" w:cs="宋体"/>
                <w:sz w:val="18"/>
                <w:szCs w:val="18"/>
              </w:rPr>
              <w:t>2,570,858.86</w:t>
            </w:r>
          </w:p>
        </w:tc>
        <w:tc>
          <w:tcPr>
            <w:tcW w:w="1377" w:type="dxa"/>
            <w:tcBorders>
              <w:top w:val="single" w:color="auto" w:sz="2" w:space="0"/>
              <w:left w:val="single" w:color="auto" w:sz="2" w:space="0"/>
              <w:bottom w:val="single" w:color="auto" w:sz="2" w:space="0"/>
              <w:right w:val="single" w:color="auto" w:sz="2" w:space="0"/>
            </w:tcBorders>
            <w:vAlign w:val="center"/>
          </w:tcPr>
          <w:p w14:paraId="56C4EF0F">
            <w:pPr>
              <w:spacing w:line="240" w:lineRule="exact"/>
              <w:jc w:val="right"/>
              <w:rPr>
                <w:rFonts w:ascii="宋体" w:hAnsi="宋体" w:eastAsia="宋体" w:cs="宋体"/>
                <w:sz w:val="18"/>
                <w:szCs w:val="18"/>
              </w:rPr>
            </w:pPr>
            <w:r>
              <w:rPr>
                <w:rFonts w:ascii="宋体" w:hAnsi="宋体" w:eastAsia="宋体" w:cs="宋体"/>
                <w:sz w:val="18"/>
                <w:szCs w:val="18"/>
              </w:rPr>
              <w:t>-1,572,675.01</w:t>
            </w:r>
          </w:p>
        </w:tc>
        <w:tc>
          <w:tcPr>
            <w:tcW w:w="1377" w:type="dxa"/>
            <w:tcBorders>
              <w:top w:val="single" w:color="auto" w:sz="2" w:space="0"/>
              <w:left w:val="single" w:color="auto" w:sz="2" w:space="0"/>
              <w:bottom w:val="single" w:color="auto" w:sz="2" w:space="0"/>
              <w:right w:val="single" w:color="auto" w:sz="2" w:space="0"/>
            </w:tcBorders>
            <w:vAlign w:val="center"/>
          </w:tcPr>
          <w:p w14:paraId="28704C4F">
            <w:pPr>
              <w:spacing w:line="240" w:lineRule="exact"/>
              <w:jc w:val="right"/>
              <w:rPr>
                <w:rFonts w:ascii="宋体" w:hAnsi="宋体" w:eastAsia="宋体" w:cs="宋体"/>
                <w:sz w:val="18"/>
                <w:szCs w:val="18"/>
              </w:rPr>
            </w:pPr>
            <w:r>
              <w:rPr>
                <w:rFonts w:ascii="宋体" w:hAnsi="宋体" w:eastAsia="宋体" w:cs="宋体"/>
                <w:sz w:val="18"/>
                <w:szCs w:val="18"/>
              </w:rPr>
              <w:t>68,794,314.90</w:t>
            </w:r>
          </w:p>
        </w:tc>
      </w:tr>
    </w:tbl>
    <w:p w14:paraId="7D89626D">
      <w:pPr>
        <w:spacing w:before="100" w:after="100" w:line="240" w:lineRule="exact"/>
        <w:rPr>
          <w:sz w:val="18"/>
          <w:szCs w:val="18"/>
        </w:rPr>
      </w:pPr>
      <w:r>
        <w:rPr>
          <w:rFonts w:ascii="宋体" w:hAnsi="宋体" w:eastAsia="宋体" w:cs="宋体"/>
          <w:sz w:val="18"/>
          <w:szCs w:val="18"/>
        </w:rPr>
        <w:t>其中本期坏账准备收回或转回金额重要的：</w:t>
      </w:r>
      <w:r>
        <w:rPr>
          <w:rFonts w:hint="eastAsia"/>
          <w:sz w:val="18"/>
          <w:szCs w:val="18"/>
        </w:rPr>
        <w:t>无</w:t>
      </w:r>
    </w:p>
    <w:p w14:paraId="6BC0D4AB">
      <w:pPr>
        <w:keepNext/>
        <w:keepLines/>
        <w:spacing w:before="300" w:after="300" w:line="280" w:lineRule="exact"/>
        <w:outlineLvl w:val="3"/>
        <w:rPr>
          <w:rFonts w:ascii="宋体" w:hAnsi="宋体" w:eastAsia="宋体" w:cs="宋体"/>
          <w:b/>
          <w:bCs/>
          <w:szCs w:val="21"/>
        </w:rPr>
      </w:pPr>
      <w:bookmarkStart w:id="284" w:name="_Toc989136"/>
      <w:r>
        <w:rPr>
          <w:rFonts w:ascii="宋体" w:hAnsi="宋体" w:eastAsia="宋体" w:cs="宋体"/>
          <w:b/>
          <w:bCs/>
          <w:szCs w:val="21"/>
        </w:rPr>
        <w:t>（4） 本期实际核销的应收账款情况</w:t>
      </w:r>
      <w:bookmarkEnd w:id="284"/>
    </w:p>
    <w:p w14:paraId="12F8CC7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14:paraId="1A566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AB10BA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F61F7AE">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r w14:paraId="6ABAD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1C8F4ED">
            <w:pPr>
              <w:spacing w:before="40" w:after="40" w:line="240" w:lineRule="exact"/>
              <w:rPr>
                <w:rFonts w:ascii="宋体" w:hAnsi="宋体" w:eastAsia="宋体" w:cs="宋体"/>
                <w:sz w:val="18"/>
                <w:szCs w:val="18"/>
              </w:rPr>
            </w:pPr>
            <w:r>
              <w:rPr>
                <w:rFonts w:ascii="宋体" w:hAnsi="宋体" w:eastAsia="宋体" w:cs="宋体"/>
                <w:sz w:val="18"/>
                <w:szCs w:val="18"/>
              </w:rPr>
              <w:t>实际核销的应收账款</w:t>
            </w:r>
          </w:p>
        </w:tc>
        <w:tc>
          <w:tcPr>
            <w:tcW w:w="4820" w:type="dxa"/>
            <w:tcBorders>
              <w:top w:val="single" w:color="auto" w:sz="2" w:space="0"/>
              <w:left w:val="single" w:color="auto" w:sz="2" w:space="0"/>
              <w:bottom w:val="single" w:color="auto" w:sz="2" w:space="0"/>
              <w:right w:val="single" w:color="auto" w:sz="2" w:space="0"/>
            </w:tcBorders>
            <w:vAlign w:val="center"/>
          </w:tcPr>
          <w:p w14:paraId="4D6458A2">
            <w:pPr>
              <w:spacing w:line="240" w:lineRule="exact"/>
              <w:jc w:val="right"/>
              <w:rPr>
                <w:rFonts w:ascii="宋体" w:hAnsi="宋体" w:eastAsia="宋体" w:cs="宋体"/>
                <w:sz w:val="18"/>
                <w:szCs w:val="18"/>
              </w:rPr>
            </w:pPr>
            <w:r>
              <w:rPr>
                <w:rFonts w:ascii="宋体" w:hAnsi="宋体" w:eastAsia="宋体" w:cs="宋体"/>
                <w:sz w:val="18"/>
                <w:szCs w:val="18"/>
              </w:rPr>
              <w:t>2,570,858.86</w:t>
            </w:r>
          </w:p>
        </w:tc>
      </w:tr>
    </w:tbl>
    <w:p w14:paraId="5469C94B">
      <w:pPr>
        <w:spacing w:before="100" w:after="100" w:line="240" w:lineRule="exact"/>
        <w:rPr>
          <w:rFonts w:ascii="宋体" w:hAnsi="宋体" w:eastAsia="宋体" w:cs="宋体"/>
          <w:sz w:val="18"/>
          <w:szCs w:val="18"/>
        </w:rPr>
      </w:pPr>
      <w:r>
        <w:rPr>
          <w:rFonts w:ascii="宋体" w:hAnsi="宋体" w:eastAsia="宋体" w:cs="宋体"/>
          <w:sz w:val="18"/>
          <w:szCs w:val="18"/>
        </w:rPr>
        <w:t>其中重要的应收账款核销情况：</w:t>
      </w:r>
    </w:p>
    <w:p w14:paraId="22003057">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14:paraId="00AD0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8A7240C">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F7ABED9">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E99E439">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E757741">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3C16598">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E8CB861">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r w14:paraId="49277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49BE137">
            <w:pPr>
              <w:spacing w:line="240" w:lineRule="exact"/>
              <w:rPr>
                <w:rFonts w:ascii="宋体" w:hAnsi="宋体" w:eastAsia="宋体" w:cs="宋体"/>
                <w:sz w:val="18"/>
                <w:szCs w:val="18"/>
              </w:rPr>
            </w:pPr>
            <w:r>
              <w:rPr>
                <w:rFonts w:ascii="宋体" w:hAnsi="宋体" w:eastAsia="宋体" w:cs="宋体"/>
                <w:sz w:val="18"/>
                <w:szCs w:val="18"/>
              </w:rPr>
              <w:t>东莞德永佳纺织制衣有限公司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4D0A9C44">
            <w:pPr>
              <w:spacing w:line="240" w:lineRule="exact"/>
              <w:rPr>
                <w:rFonts w:ascii="宋体" w:hAnsi="宋体" w:eastAsia="宋体" w:cs="宋体"/>
                <w:sz w:val="18"/>
                <w:szCs w:val="18"/>
              </w:rPr>
            </w:pPr>
            <w:r>
              <w:rPr>
                <w:rFonts w:ascii="宋体" w:hAnsi="宋体" w:eastAsia="宋体" w:cs="宋体"/>
                <w:sz w:val="18"/>
                <w:szCs w:val="18"/>
              </w:rPr>
              <w:t>货款</w:t>
            </w:r>
          </w:p>
        </w:tc>
        <w:tc>
          <w:tcPr>
            <w:tcW w:w="1606" w:type="dxa"/>
            <w:tcBorders>
              <w:top w:val="single" w:color="auto" w:sz="2" w:space="0"/>
              <w:left w:val="single" w:color="auto" w:sz="2" w:space="0"/>
              <w:bottom w:val="single" w:color="auto" w:sz="2" w:space="0"/>
              <w:right w:val="single" w:color="auto" w:sz="2" w:space="0"/>
            </w:tcBorders>
            <w:vAlign w:val="center"/>
          </w:tcPr>
          <w:p w14:paraId="13ECA395">
            <w:pPr>
              <w:spacing w:line="240" w:lineRule="exact"/>
              <w:jc w:val="right"/>
              <w:rPr>
                <w:rFonts w:ascii="宋体" w:hAnsi="宋体" w:eastAsia="宋体" w:cs="宋体"/>
                <w:sz w:val="18"/>
                <w:szCs w:val="18"/>
              </w:rPr>
            </w:pPr>
            <w:r>
              <w:rPr>
                <w:rFonts w:ascii="宋体" w:hAnsi="宋体" w:eastAsia="宋体" w:cs="宋体"/>
                <w:sz w:val="18"/>
                <w:szCs w:val="18"/>
              </w:rPr>
              <w:t>2,570,858.86</w:t>
            </w:r>
          </w:p>
        </w:tc>
        <w:tc>
          <w:tcPr>
            <w:tcW w:w="1606" w:type="dxa"/>
            <w:tcBorders>
              <w:top w:val="single" w:color="auto" w:sz="2" w:space="0"/>
              <w:left w:val="single" w:color="auto" w:sz="2" w:space="0"/>
              <w:bottom w:val="single" w:color="auto" w:sz="2" w:space="0"/>
              <w:right w:val="single" w:color="auto" w:sz="2" w:space="0"/>
            </w:tcBorders>
            <w:vAlign w:val="center"/>
          </w:tcPr>
          <w:p w14:paraId="42EA8FA2">
            <w:pPr>
              <w:spacing w:line="240" w:lineRule="exact"/>
              <w:rPr>
                <w:rFonts w:ascii="宋体" w:hAnsi="宋体" w:eastAsia="宋体" w:cs="宋体"/>
                <w:sz w:val="18"/>
                <w:szCs w:val="18"/>
              </w:rPr>
            </w:pPr>
            <w:r>
              <w:rPr>
                <w:rFonts w:ascii="宋体" w:hAnsi="宋体" w:eastAsia="宋体" w:cs="宋体"/>
                <w:sz w:val="18"/>
                <w:szCs w:val="18"/>
              </w:rPr>
              <w:t>对方无偿还能力</w:t>
            </w:r>
          </w:p>
        </w:tc>
        <w:tc>
          <w:tcPr>
            <w:tcW w:w="1606" w:type="dxa"/>
            <w:tcBorders>
              <w:top w:val="single" w:color="auto" w:sz="2" w:space="0"/>
              <w:left w:val="single" w:color="auto" w:sz="2" w:space="0"/>
              <w:bottom w:val="single" w:color="auto" w:sz="2" w:space="0"/>
              <w:right w:val="single" w:color="auto" w:sz="2" w:space="0"/>
            </w:tcBorders>
            <w:vAlign w:val="center"/>
          </w:tcPr>
          <w:p w14:paraId="53ED0230">
            <w:pPr>
              <w:spacing w:line="240" w:lineRule="exact"/>
              <w:rPr>
                <w:rFonts w:ascii="宋体" w:hAnsi="宋体" w:eastAsia="宋体" w:cs="宋体"/>
                <w:sz w:val="18"/>
                <w:szCs w:val="18"/>
              </w:rPr>
            </w:pPr>
            <w:r>
              <w:rPr>
                <w:rFonts w:ascii="宋体" w:hAnsi="宋体" w:eastAsia="宋体" w:cs="宋体"/>
                <w:sz w:val="18"/>
                <w:szCs w:val="18"/>
              </w:rPr>
              <w:t>公司财经中心核实批准清理</w:t>
            </w:r>
          </w:p>
        </w:tc>
        <w:tc>
          <w:tcPr>
            <w:tcW w:w="1606" w:type="dxa"/>
            <w:tcBorders>
              <w:top w:val="single" w:color="auto" w:sz="2" w:space="0"/>
              <w:left w:val="single" w:color="auto" w:sz="2" w:space="0"/>
              <w:bottom w:val="single" w:color="auto" w:sz="2" w:space="0"/>
              <w:right w:val="single" w:color="auto" w:sz="2" w:space="0"/>
            </w:tcBorders>
            <w:vAlign w:val="center"/>
          </w:tcPr>
          <w:p w14:paraId="3BB77695">
            <w:pPr>
              <w:spacing w:line="240" w:lineRule="exact"/>
              <w:rPr>
                <w:rFonts w:ascii="宋体" w:hAnsi="宋体" w:eastAsia="宋体" w:cs="宋体"/>
                <w:sz w:val="18"/>
                <w:szCs w:val="18"/>
              </w:rPr>
            </w:pPr>
            <w:r>
              <w:rPr>
                <w:rFonts w:ascii="宋体" w:hAnsi="宋体" w:eastAsia="宋体" w:cs="宋体"/>
                <w:sz w:val="18"/>
                <w:szCs w:val="18"/>
              </w:rPr>
              <w:t>否</w:t>
            </w:r>
          </w:p>
        </w:tc>
      </w:tr>
      <w:tr w14:paraId="052EF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B9E41A3">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FFAC989"/>
        </w:tc>
        <w:tc>
          <w:tcPr>
            <w:tcW w:w="1606" w:type="dxa"/>
            <w:tcBorders>
              <w:top w:val="single" w:color="auto" w:sz="2" w:space="0"/>
              <w:left w:val="single" w:color="auto" w:sz="2" w:space="0"/>
              <w:bottom w:val="single" w:color="auto" w:sz="2" w:space="0"/>
              <w:right w:val="single" w:color="auto" w:sz="2" w:space="0"/>
            </w:tcBorders>
            <w:vAlign w:val="center"/>
          </w:tcPr>
          <w:p w14:paraId="6C732C72">
            <w:pPr>
              <w:spacing w:line="240" w:lineRule="exact"/>
              <w:jc w:val="right"/>
              <w:rPr>
                <w:rFonts w:ascii="宋体" w:hAnsi="宋体" w:eastAsia="宋体" w:cs="宋体"/>
                <w:sz w:val="18"/>
                <w:szCs w:val="18"/>
              </w:rPr>
            </w:pPr>
            <w:r>
              <w:rPr>
                <w:rFonts w:ascii="宋体" w:hAnsi="宋体" w:eastAsia="宋体" w:cs="宋体"/>
                <w:sz w:val="18"/>
                <w:szCs w:val="18"/>
              </w:rPr>
              <w:t>2,570,858.86</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5E92993"/>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D830088"/>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2E43DBD"/>
        </w:tc>
      </w:tr>
    </w:tbl>
    <w:p w14:paraId="41F0BACA">
      <w:pPr>
        <w:spacing w:before="100" w:after="100" w:line="240" w:lineRule="exact"/>
        <w:rPr>
          <w:rFonts w:ascii="宋体" w:hAnsi="宋体" w:eastAsia="宋体" w:cs="宋体"/>
          <w:sz w:val="18"/>
          <w:szCs w:val="18"/>
        </w:rPr>
      </w:pPr>
      <w:r>
        <w:rPr>
          <w:rFonts w:ascii="宋体" w:hAnsi="宋体" w:eastAsia="宋体" w:cs="宋体"/>
          <w:sz w:val="18"/>
          <w:szCs w:val="18"/>
        </w:rPr>
        <w:t>应收账款核销说明：</w:t>
      </w:r>
      <w:r>
        <w:rPr>
          <w:rFonts w:hint="eastAsia"/>
          <w:sz w:val="18"/>
          <w:szCs w:val="18"/>
        </w:rPr>
        <w:t>无</w:t>
      </w:r>
    </w:p>
    <w:p w14:paraId="5BF836D5">
      <w:pPr>
        <w:keepNext/>
        <w:keepLines/>
        <w:spacing w:before="300" w:after="300" w:line="280" w:lineRule="exact"/>
        <w:outlineLvl w:val="3"/>
        <w:rPr>
          <w:rFonts w:ascii="宋体" w:hAnsi="宋体" w:eastAsia="宋体" w:cs="宋体"/>
          <w:b/>
          <w:bCs/>
          <w:szCs w:val="21"/>
        </w:rPr>
      </w:pPr>
      <w:bookmarkStart w:id="285" w:name="_Toc989137"/>
      <w:r>
        <w:rPr>
          <w:rFonts w:ascii="宋体" w:hAnsi="宋体" w:eastAsia="宋体" w:cs="宋体"/>
          <w:b/>
          <w:bCs/>
          <w:szCs w:val="21"/>
        </w:rPr>
        <w:t>（5） 按欠款方归集的期末余额前五名的应收账款和合同资产情况</w:t>
      </w:r>
      <w:bookmarkEnd w:id="285"/>
    </w:p>
    <w:p w14:paraId="0E5F8B2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14:paraId="1CCB7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93BA4F8">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320D223">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247F666">
            <w:pPr>
              <w:spacing w:before="40" w:after="40" w:line="240" w:lineRule="exact"/>
              <w:jc w:val="center"/>
              <w:rPr>
                <w:rFonts w:ascii="宋体" w:hAnsi="宋体" w:eastAsia="宋体" w:cs="宋体"/>
                <w:sz w:val="18"/>
                <w:szCs w:val="18"/>
              </w:rPr>
            </w:pPr>
            <w:r>
              <w:rPr>
                <w:rFonts w:ascii="宋体" w:hAnsi="宋体" w:eastAsia="宋体" w:cs="宋体"/>
                <w:sz w:val="18"/>
                <w:szCs w:val="18"/>
              </w:rPr>
              <w:t>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EBD4139">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应收账款和合同资产期末余额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1D62458">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占应收账款和合同资产期末余额合计数的比例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5439253">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应收账款坏账准备和合同资产减值准备期末余额</w:t>
            </w:r>
          </w:p>
        </w:tc>
      </w:tr>
      <w:tr w14:paraId="2ED0D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25C9B48">
            <w:pPr>
              <w:spacing w:line="240" w:lineRule="exact"/>
              <w:rPr>
                <w:rFonts w:ascii="宋体" w:hAnsi="宋体" w:eastAsia="宋体" w:cs="宋体"/>
                <w:sz w:val="18"/>
                <w:szCs w:val="18"/>
              </w:rPr>
            </w:pPr>
            <w:r>
              <w:rPr>
                <w:rFonts w:ascii="宋体" w:hAnsi="宋体" w:eastAsia="宋体" w:cs="宋体"/>
                <w:sz w:val="18"/>
                <w:szCs w:val="18"/>
              </w:rPr>
              <w:t>第一名</w:t>
            </w:r>
          </w:p>
        </w:tc>
        <w:tc>
          <w:tcPr>
            <w:tcW w:w="1606" w:type="dxa"/>
            <w:tcBorders>
              <w:top w:val="single" w:color="auto" w:sz="2" w:space="0"/>
              <w:left w:val="single" w:color="auto" w:sz="2" w:space="0"/>
              <w:bottom w:val="single" w:color="auto" w:sz="2" w:space="0"/>
              <w:right w:val="single" w:color="auto" w:sz="2" w:space="0"/>
            </w:tcBorders>
            <w:vAlign w:val="center"/>
          </w:tcPr>
          <w:p w14:paraId="24C09458">
            <w:pPr>
              <w:spacing w:line="240" w:lineRule="exact"/>
              <w:jc w:val="right"/>
              <w:rPr>
                <w:rFonts w:ascii="宋体" w:hAnsi="宋体" w:eastAsia="宋体" w:cs="宋体"/>
                <w:sz w:val="18"/>
                <w:szCs w:val="18"/>
              </w:rPr>
            </w:pPr>
            <w:r>
              <w:rPr>
                <w:rFonts w:ascii="宋体" w:hAnsi="宋体" w:eastAsia="宋体" w:cs="宋体"/>
                <w:sz w:val="18"/>
                <w:szCs w:val="18"/>
              </w:rPr>
              <w:t>380,756,072.24</w:t>
            </w:r>
          </w:p>
        </w:tc>
        <w:tc>
          <w:tcPr>
            <w:tcW w:w="1606" w:type="dxa"/>
            <w:tcBorders>
              <w:top w:val="single" w:color="auto" w:sz="2" w:space="0"/>
              <w:left w:val="single" w:color="auto" w:sz="2" w:space="0"/>
              <w:bottom w:val="single" w:color="auto" w:sz="2" w:space="0"/>
              <w:right w:val="single" w:color="auto" w:sz="2" w:space="0"/>
            </w:tcBorders>
            <w:vAlign w:val="center"/>
          </w:tcPr>
          <w:p w14:paraId="377EC425">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2450B18">
            <w:pPr>
              <w:spacing w:line="240" w:lineRule="exact"/>
              <w:jc w:val="right"/>
              <w:rPr>
                <w:rFonts w:ascii="宋体" w:hAnsi="宋体" w:eastAsia="宋体" w:cs="宋体"/>
                <w:sz w:val="18"/>
                <w:szCs w:val="18"/>
              </w:rPr>
            </w:pPr>
            <w:r>
              <w:rPr>
                <w:rFonts w:ascii="宋体" w:hAnsi="宋体" w:eastAsia="宋体" w:cs="宋体"/>
                <w:sz w:val="18"/>
                <w:szCs w:val="18"/>
              </w:rPr>
              <w:t>380,756,072.24</w:t>
            </w:r>
          </w:p>
        </w:tc>
        <w:tc>
          <w:tcPr>
            <w:tcW w:w="1606" w:type="dxa"/>
            <w:tcBorders>
              <w:top w:val="single" w:color="auto" w:sz="2" w:space="0"/>
              <w:left w:val="single" w:color="auto" w:sz="2" w:space="0"/>
              <w:bottom w:val="single" w:color="auto" w:sz="2" w:space="0"/>
              <w:right w:val="single" w:color="auto" w:sz="2" w:space="0"/>
            </w:tcBorders>
            <w:vAlign w:val="center"/>
          </w:tcPr>
          <w:p w14:paraId="1F032BC0">
            <w:pPr>
              <w:spacing w:line="240" w:lineRule="exact"/>
              <w:jc w:val="right"/>
              <w:rPr>
                <w:rFonts w:ascii="宋体" w:hAnsi="宋体" w:eastAsia="宋体" w:cs="宋体"/>
                <w:sz w:val="18"/>
                <w:szCs w:val="18"/>
              </w:rPr>
            </w:pPr>
            <w:r>
              <w:rPr>
                <w:rFonts w:ascii="宋体" w:hAnsi="宋体" w:eastAsia="宋体" w:cs="宋体"/>
                <w:sz w:val="18"/>
                <w:szCs w:val="18"/>
              </w:rPr>
              <w:t>33.03%</w:t>
            </w:r>
          </w:p>
        </w:tc>
        <w:tc>
          <w:tcPr>
            <w:tcW w:w="1606" w:type="dxa"/>
            <w:tcBorders>
              <w:top w:val="single" w:color="auto" w:sz="2" w:space="0"/>
              <w:left w:val="single" w:color="auto" w:sz="2" w:space="0"/>
              <w:bottom w:val="single" w:color="auto" w:sz="2" w:space="0"/>
              <w:right w:val="single" w:color="auto" w:sz="2" w:space="0"/>
            </w:tcBorders>
            <w:vAlign w:val="center"/>
          </w:tcPr>
          <w:p w14:paraId="65B7950A">
            <w:pPr>
              <w:spacing w:line="240" w:lineRule="exact"/>
              <w:jc w:val="right"/>
              <w:rPr>
                <w:rFonts w:ascii="宋体" w:hAnsi="宋体" w:eastAsia="宋体" w:cs="宋体"/>
                <w:sz w:val="18"/>
                <w:szCs w:val="18"/>
              </w:rPr>
            </w:pPr>
            <w:r>
              <w:rPr>
                <w:rFonts w:ascii="宋体" w:hAnsi="宋体" w:eastAsia="宋体" w:cs="宋体"/>
                <w:sz w:val="18"/>
                <w:szCs w:val="18"/>
              </w:rPr>
              <w:t>19,037,803.61</w:t>
            </w:r>
          </w:p>
        </w:tc>
      </w:tr>
      <w:tr w14:paraId="3CCDD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C69BA38">
            <w:pPr>
              <w:spacing w:line="240" w:lineRule="exact"/>
              <w:rPr>
                <w:rFonts w:ascii="宋体" w:hAnsi="宋体" w:eastAsia="宋体" w:cs="宋体"/>
                <w:sz w:val="18"/>
                <w:szCs w:val="18"/>
              </w:rPr>
            </w:pPr>
            <w:r>
              <w:rPr>
                <w:rFonts w:ascii="宋体" w:hAnsi="宋体" w:eastAsia="宋体" w:cs="宋体"/>
                <w:sz w:val="18"/>
                <w:szCs w:val="18"/>
              </w:rPr>
              <w:t>第二名</w:t>
            </w:r>
          </w:p>
        </w:tc>
        <w:tc>
          <w:tcPr>
            <w:tcW w:w="1606" w:type="dxa"/>
            <w:tcBorders>
              <w:top w:val="single" w:color="auto" w:sz="2" w:space="0"/>
              <w:left w:val="single" w:color="auto" w:sz="2" w:space="0"/>
              <w:bottom w:val="single" w:color="auto" w:sz="2" w:space="0"/>
              <w:right w:val="single" w:color="auto" w:sz="2" w:space="0"/>
            </w:tcBorders>
            <w:vAlign w:val="center"/>
          </w:tcPr>
          <w:p w14:paraId="1D85A518">
            <w:pPr>
              <w:spacing w:line="240" w:lineRule="exact"/>
              <w:jc w:val="right"/>
              <w:rPr>
                <w:rFonts w:ascii="宋体" w:hAnsi="宋体" w:eastAsia="宋体" w:cs="宋体"/>
                <w:sz w:val="18"/>
                <w:szCs w:val="18"/>
              </w:rPr>
            </w:pPr>
            <w:r>
              <w:rPr>
                <w:rFonts w:ascii="宋体" w:hAnsi="宋体" w:eastAsia="宋体" w:cs="宋体"/>
                <w:sz w:val="18"/>
                <w:szCs w:val="18"/>
              </w:rPr>
              <w:t>240,356,529.41</w:t>
            </w:r>
          </w:p>
        </w:tc>
        <w:tc>
          <w:tcPr>
            <w:tcW w:w="1606" w:type="dxa"/>
            <w:tcBorders>
              <w:top w:val="single" w:color="auto" w:sz="2" w:space="0"/>
              <w:left w:val="single" w:color="auto" w:sz="2" w:space="0"/>
              <w:bottom w:val="single" w:color="auto" w:sz="2" w:space="0"/>
              <w:right w:val="single" w:color="auto" w:sz="2" w:space="0"/>
            </w:tcBorders>
            <w:vAlign w:val="center"/>
          </w:tcPr>
          <w:p w14:paraId="60D0AFF7">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4A40AE5">
            <w:pPr>
              <w:spacing w:line="240" w:lineRule="exact"/>
              <w:jc w:val="right"/>
              <w:rPr>
                <w:rFonts w:ascii="宋体" w:hAnsi="宋体" w:eastAsia="宋体" w:cs="宋体"/>
                <w:sz w:val="18"/>
                <w:szCs w:val="18"/>
              </w:rPr>
            </w:pPr>
            <w:r>
              <w:rPr>
                <w:rFonts w:ascii="宋体" w:hAnsi="宋体" w:eastAsia="宋体" w:cs="宋体"/>
                <w:sz w:val="18"/>
                <w:szCs w:val="18"/>
              </w:rPr>
              <w:t>240,356,529.41</w:t>
            </w:r>
          </w:p>
        </w:tc>
        <w:tc>
          <w:tcPr>
            <w:tcW w:w="1606" w:type="dxa"/>
            <w:tcBorders>
              <w:top w:val="single" w:color="auto" w:sz="2" w:space="0"/>
              <w:left w:val="single" w:color="auto" w:sz="2" w:space="0"/>
              <w:bottom w:val="single" w:color="auto" w:sz="2" w:space="0"/>
              <w:right w:val="single" w:color="auto" w:sz="2" w:space="0"/>
            </w:tcBorders>
            <w:vAlign w:val="center"/>
          </w:tcPr>
          <w:p w14:paraId="007ED49A">
            <w:pPr>
              <w:spacing w:line="240" w:lineRule="exact"/>
              <w:jc w:val="right"/>
              <w:rPr>
                <w:rFonts w:ascii="宋体" w:hAnsi="宋体" w:eastAsia="宋体" w:cs="宋体"/>
                <w:sz w:val="18"/>
                <w:szCs w:val="18"/>
              </w:rPr>
            </w:pPr>
            <w:r>
              <w:rPr>
                <w:rFonts w:ascii="宋体" w:hAnsi="宋体" w:eastAsia="宋体" w:cs="宋体"/>
                <w:sz w:val="18"/>
                <w:szCs w:val="18"/>
              </w:rPr>
              <w:t>20.85%</w:t>
            </w:r>
          </w:p>
        </w:tc>
        <w:tc>
          <w:tcPr>
            <w:tcW w:w="1606" w:type="dxa"/>
            <w:tcBorders>
              <w:top w:val="single" w:color="auto" w:sz="2" w:space="0"/>
              <w:left w:val="single" w:color="auto" w:sz="2" w:space="0"/>
              <w:bottom w:val="single" w:color="auto" w:sz="2" w:space="0"/>
              <w:right w:val="single" w:color="auto" w:sz="2" w:space="0"/>
            </w:tcBorders>
            <w:vAlign w:val="center"/>
          </w:tcPr>
          <w:p w14:paraId="05B22034">
            <w:pPr>
              <w:spacing w:line="240" w:lineRule="exact"/>
              <w:jc w:val="right"/>
              <w:rPr>
                <w:rFonts w:ascii="宋体" w:hAnsi="宋体" w:eastAsia="宋体" w:cs="宋体"/>
                <w:sz w:val="18"/>
                <w:szCs w:val="18"/>
              </w:rPr>
            </w:pPr>
            <w:r>
              <w:rPr>
                <w:rFonts w:ascii="宋体" w:hAnsi="宋体" w:eastAsia="宋体" w:cs="宋体"/>
                <w:sz w:val="18"/>
                <w:szCs w:val="18"/>
              </w:rPr>
              <w:t>12,017,826.47</w:t>
            </w:r>
          </w:p>
        </w:tc>
      </w:tr>
      <w:tr w14:paraId="4F55D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D2C1FB2">
            <w:pPr>
              <w:spacing w:line="240" w:lineRule="exact"/>
              <w:rPr>
                <w:rFonts w:ascii="宋体" w:hAnsi="宋体" w:eastAsia="宋体" w:cs="宋体"/>
                <w:sz w:val="18"/>
                <w:szCs w:val="18"/>
              </w:rPr>
            </w:pPr>
            <w:r>
              <w:rPr>
                <w:rFonts w:ascii="宋体" w:hAnsi="宋体" w:eastAsia="宋体" w:cs="宋体"/>
                <w:sz w:val="18"/>
                <w:szCs w:val="18"/>
              </w:rPr>
              <w:t>第三名</w:t>
            </w:r>
          </w:p>
        </w:tc>
        <w:tc>
          <w:tcPr>
            <w:tcW w:w="1606" w:type="dxa"/>
            <w:tcBorders>
              <w:top w:val="single" w:color="auto" w:sz="2" w:space="0"/>
              <w:left w:val="single" w:color="auto" w:sz="2" w:space="0"/>
              <w:bottom w:val="single" w:color="auto" w:sz="2" w:space="0"/>
              <w:right w:val="single" w:color="auto" w:sz="2" w:space="0"/>
            </w:tcBorders>
            <w:vAlign w:val="center"/>
          </w:tcPr>
          <w:p w14:paraId="35CF1DC2">
            <w:pPr>
              <w:spacing w:line="240" w:lineRule="exact"/>
              <w:jc w:val="right"/>
              <w:rPr>
                <w:rFonts w:ascii="宋体" w:hAnsi="宋体" w:eastAsia="宋体" w:cs="宋体"/>
                <w:sz w:val="18"/>
                <w:szCs w:val="18"/>
              </w:rPr>
            </w:pPr>
            <w:r>
              <w:rPr>
                <w:rFonts w:ascii="宋体" w:hAnsi="宋体" w:eastAsia="宋体" w:cs="宋体"/>
                <w:sz w:val="18"/>
                <w:szCs w:val="18"/>
              </w:rPr>
              <w:t>124,965,932.17</w:t>
            </w:r>
          </w:p>
        </w:tc>
        <w:tc>
          <w:tcPr>
            <w:tcW w:w="1606" w:type="dxa"/>
            <w:tcBorders>
              <w:top w:val="single" w:color="auto" w:sz="2" w:space="0"/>
              <w:left w:val="single" w:color="auto" w:sz="2" w:space="0"/>
              <w:bottom w:val="single" w:color="auto" w:sz="2" w:space="0"/>
              <w:right w:val="single" w:color="auto" w:sz="2" w:space="0"/>
            </w:tcBorders>
            <w:vAlign w:val="center"/>
          </w:tcPr>
          <w:p w14:paraId="4BAD0AE7">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5E0E117">
            <w:pPr>
              <w:spacing w:line="240" w:lineRule="exact"/>
              <w:jc w:val="right"/>
              <w:rPr>
                <w:rFonts w:ascii="宋体" w:hAnsi="宋体" w:eastAsia="宋体" w:cs="宋体"/>
                <w:sz w:val="18"/>
                <w:szCs w:val="18"/>
              </w:rPr>
            </w:pPr>
            <w:r>
              <w:rPr>
                <w:rFonts w:ascii="宋体" w:hAnsi="宋体" w:eastAsia="宋体" w:cs="宋体"/>
                <w:sz w:val="18"/>
                <w:szCs w:val="18"/>
              </w:rPr>
              <w:t>124,965,932.17</w:t>
            </w:r>
          </w:p>
        </w:tc>
        <w:tc>
          <w:tcPr>
            <w:tcW w:w="1606" w:type="dxa"/>
            <w:tcBorders>
              <w:top w:val="single" w:color="auto" w:sz="2" w:space="0"/>
              <w:left w:val="single" w:color="auto" w:sz="2" w:space="0"/>
              <w:bottom w:val="single" w:color="auto" w:sz="2" w:space="0"/>
              <w:right w:val="single" w:color="auto" w:sz="2" w:space="0"/>
            </w:tcBorders>
            <w:vAlign w:val="center"/>
          </w:tcPr>
          <w:p w14:paraId="1C27AB13">
            <w:pPr>
              <w:spacing w:line="240" w:lineRule="exact"/>
              <w:jc w:val="right"/>
              <w:rPr>
                <w:rFonts w:ascii="宋体" w:hAnsi="宋体" w:eastAsia="宋体" w:cs="宋体"/>
                <w:sz w:val="18"/>
                <w:szCs w:val="18"/>
              </w:rPr>
            </w:pPr>
            <w:r>
              <w:rPr>
                <w:rFonts w:ascii="宋体" w:hAnsi="宋体" w:eastAsia="宋体" w:cs="宋体"/>
                <w:sz w:val="18"/>
                <w:szCs w:val="18"/>
              </w:rPr>
              <w:t>10.84%</w:t>
            </w:r>
          </w:p>
        </w:tc>
        <w:tc>
          <w:tcPr>
            <w:tcW w:w="1606" w:type="dxa"/>
            <w:tcBorders>
              <w:top w:val="single" w:color="auto" w:sz="2" w:space="0"/>
              <w:left w:val="single" w:color="auto" w:sz="2" w:space="0"/>
              <w:bottom w:val="single" w:color="auto" w:sz="2" w:space="0"/>
              <w:right w:val="single" w:color="auto" w:sz="2" w:space="0"/>
            </w:tcBorders>
            <w:vAlign w:val="center"/>
          </w:tcPr>
          <w:p w14:paraId="15520FA3">
            <w:pPr>
              <w:spacing w:line="240" w:lineRule="exact"/>
              <w:jc w:val="right"/>
              <w:rPr>
                <w:rFonts w:ascii="宋体" w:hAnsi="宋体" w:eastAsia="宋体" w:cs="宋体"/>
                <w:sz w:val="18"/>
                <w:szCs w:val="18"/>
              </w:rPr>
            </w:pPr>
            <w:r>
              <w:rPr>
                <w:rFonts w:ascii="宋体" w:hAnsi="宋体" w:eastAsia="宋体" w:cs="宋体"/>
                <w:sz w:val="18"/>
                <w:szCs w:val="18"/>
              </w:rPr>
              <w:t>9,323,890.32</w:t>
            </w:r>
          </w:p>
        </w:tc>
      </w:tr>
      <w:tr w14:paraId="48301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DD71D70">
            <w:pPr>
              <w:spacing w:line="240" w:lineRule="exact"/>
              <w:rPr>
                <w:rFonts w:ascii="宋体" w:hAnsi="宋体" w:eastAsia="宋体" w:cs="宋体"/>
                <w:sz w:val="18"/>
                <w:szCs w:val="18"/>
              </w:rPr>
            </w:pPr>
            <w:r>
              <w:rPr>
                <w:rFonts w:ascii="宋体" w:hAnsi="宋体" w:eastAsia="宋体" w:cs="宋体"/>
                <w:sz w:val="18"/>
                <w:szCs w:val="18"/>
              </w:rPr>
              <w:t>第四名</w:t>
            </w:r>
          </w:p>
        </w:tc>
        <w:tc>
          <w:tcPr>
            <w:tcW w:w="1606" w:type="dxa"/>
            <w:tcBorders>
              <w:top w:val="single" w:color="auto" w:sz="2" w:space="0"/>
              <w:left w:val="single" w:color="auto" w:sz="2" w:space="0"/>
              <w:bottom w:val="single" w:color="auto" w:sz="2" w:space="0"/>
              <w:right w:val="single" w:color="auto" w:sz="2" w:space="0"/>
            </w:tcBorders>
            <w:vAlign w:val="center"/>
          </w:tcPr>
          <w:p w14:paraId="645C7E52">
            <w:pPr>
              <w:spacing w:line="240" w:lineRule="exact"/>
              <w:jc w:val="right"/>
              <w:rPr>
                <w:rFonts w:ascii="宋体" w:hAnsi="宋体" w:eastAsia="宋体" w:cs="宋体"/>
                <w:sz w:val="18"/>
                <w:szCs w:val="18"/>
              </w:rPr>
            </w:pPr>
            <w:r>
              <w:rPr>
                <w:rFonts w:ascii="宋体" w:hAnsi="宋体" w:eastAsia="宋体" w:cs="宋体"/>
                <w:sz w:val="18"/>
                <w:szCs w:val="18"/>
              </w:rPr>
              <w:t>62,668,670.56</w:t>
            </w:r>
          </w:p>
        </w:tc>
        <w:tc>
          <w:tcPr>
            <w:tcW w:w="1606" w:type="dxa"/>
            <w:tcBorders>
              <w:top w:val="single" w:color="auto" w:sz="2" w:space="0"/>
              <w:left w:val="single" w:color="auto" w:sz="2" w:space="0"/>
              <w:bottom w:val="single" w:color="auto" w:sz="2" w:space="0"/>
              <w:right w:val="single" w:color="auto" w:sz="2" w:space="0"/>
            </w:tcBorders>
            <w:vAlign w:val="center"/>
          </w:tcPr>
          <w:p w14:paraId="56FF99C2">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1271C5C">
            <w:pPr>
              <w:spacing w:line="240" w:lineRule="exact"/>
              <w:jc w:val="right"/>
              <w:rPr>
                <w:rFonts w:ascii="宋体" w:hAnsi="宋体" w:eastAsia="宋体" w:cs="宋体"/>
                <w:sz w:val="18"/>
                <w:szCs w:val="18"/>
              </w:rPr>
            </w:pPr>
            <w:r>
              <w:rPr>
                <w:rFonts w:ascii="宋体" w:hAnsi="宋体" w:eastAsia="宋体" w:cs="宋体"/>
                <w:sz w:val="18"/>
                <w:szCs w:val="18"/>
              </w:rPr>
              <w:t>62,668,670.56</w:t>
            </w:r>
          </w:p>
        </w:tc>
        <w:tc>
          <w:tcPr>
            <w:tcW w:w="1606" w:type="dxa"/>
            <w:tcBorders>
              <w:top w:val="single" w:color="auto" w:sz="2" w:space="0"/>
              <w:left w:val="single" w:color="auto" w:sz="2" w:space="0"/>
              <w:bottom w:val="single" w:color="auto" w:sz="2" w:space="0"/>
              <w:right w:val="single" w:color="auto" w:sz="2" w:space="0"/>
            </w:tcBorders>
            <w:vAlign w:val="center"/>
          </w:tcPr>
          <w:p w14:paraId="4888279E">
            <w:pPr>
              <w:spacing w:line="240" w:lineRule="exact"/>
              <w:jc w:val="right"/>
              <w:rPr>
                <w:rFonts w:ascii="宋体" w:hAnsi="宋体" w:eastAsia="宋体" w:cs="宋体"/>
                <w:sz w:val="18"/>
                <w:szCs w:val="18"/>
              </w:rPr>
            </w:pPr>
            <w:r>
              <w:rPr>
                <w:rFonts w:ascii="宋体" w:hAnsi="宋体" w:eastAsia="宋体" w:cs="宋体"/>
                <w:sz w:val="18"/>
                <w:szCs w:val="18"/>
              </w:rPr>
              <w:t>5.44%</w:t>
            </w:r>
          </w:p>
        </w:tc>
        <w:tc>
          <w:tcPr>
            <w:tcW w:w="1606" w:type="dxa"/>
            <w:tcBorders>
              <w:top w:val="single" w:color="auto" w:sz="2" w:space="0"/>
              <w:left w:val="single" w:color="auto" w:sz="2" w:space="0"/>
              <w:bottom w:val="single" w:color="auto" w:sz="2" w:space="0"/>
              <w:right w:val="single" w:color="auto" w:sz="2" w:space="0"/>
            </w:tcBorders>
            <w:vAlign w:val="center"/>
          </w:tcPr>
          <w:p w14:paraId="54AB456E">
            <w:pPr>
              <w:spacing w:line="240" w:lineRule="exact"/>
              <w:jc w:val="right"/>
              <w:rPr>
                <w:rFonts w:ascii="宋体" w:hAnsi="宋体" w:eastAsia="宋体" w:cs="宋体"/>
                <w:sz w:val="18"/>
                <w:szCs w:val="18"/>
              </w:rPr>
            </w:pPr>
            <w:r>
              <w:rPr>
                <w:rFonts w:ascii="宋体" w:hAnsi="宋体" w:eastAsia="宋体" w:cs="宋体"/>
                <w:sz w:val="18"/>
                <w:szCs w:val="18"/>
              </w:rPr>
              <w:t>3,133,433.53</w:t>
            </w:r>
          </w:p>
        </w:tc>
      </w:tr>
      <w:tr w14:paraId="5FFFD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3DA665A">
            <w:pPr>
              <w:spacing w:line="240" w:lineRule="exact"/>
              <w:rPr>
                <w:rFonts w:ascii="宋体" w:hAnsi="宋体" w:eastAsia="宋体" w:cs="宋体"/>
                <w:sz w:val="18"/>
                <w:szCs w:val="18"/>
              </w:rPr>
            </w:pPr>
            <w:r>
              <w:rPr>
                <w:rFonts w:ascii="宋体" w:hAnsi="宋体" w:eastAsia="宋体" w:cs="宋体"/>
                <w:sz w:val="18"/>
                <w:szCs w:val="18"/>
              </w:rPr>
              <w:t>第五名</w:t>
            </w:r>
          </w:p>
        </w:tc>
        <w:tc>
          <w:tcPr>
            <w:tcW w:w="1606" w:type="dxa"/>
            <w:tcBorders>
              <w:top w:val="single" w:color="auto" w:sz="2" w:space="0"/>
              <w:left w:val="single" w:color="auto" w:sz="2" w:space="0"/>
              <w:bottom w:val="single" w:color="auto" w:sz="2" w:space="0"/>
              <w:right w:val="single" w:color="auto" w:sz="2" w:space="0"/>
            </w:tcBorders>
            <w:vAlign w:val="center"/>
          </w:tcPr>
          <w:p w14:paraId="237B146D">
            <w:pPr>
              <w:spacing w:line="240" w:lineRule="exact"/>
              <w:jc w:val="right"/>
              <w:rPr>
                <w:rFonts w:ascii="宋体" w:hAnsi="宋体" w:eastAsia="宋体" w:cs="宋体"/>
                <w:sz w:val="18"/>
                <w:szCs w:val="18"/>
              </w:rPr>
            </w:pPr>
            <w:r>
              <w:rPr>
                <w:rFonts w:ascii="宋体" w:hAnsi="宋体" w:eastAsia="宋体" w:cs="宋体"/>
                <w:sz w:val="18"/>
                <w:szCs w:val="18"/>
              </w:rPr>
              <w:t>31,543,429.35</w:t>
            </w:r>
          </w:p>
        </w:tc>
        <w:tc>
          <w:tcPr>
            <w:tcW w:w="1606" w:type="dxa"/>
            <w:tcBorders>
              <w:top w:val="single" w:color="auto" w:sz="2" w:space="0"/>
              <w:left w:val="single" w:color="auto" w:sz="2" w:space="0"/>
              <w:bottom w:val="single" w:color="auto" w:sz="2" w:space="0"/>
              <w:right w:val="single" w:color="auto" w:sz="2" w:space="0"/>
            </w:tcBorders>
            <w:vAlign w:val="center"/>
          </w:tcPr>
          <w:p w14:paraId="58BA7DE3">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8C56C42">
            <w:pPr>
              <w:spacing w:line="240" w:lineRule="exact"/>
              <w:jc w:val="right"/>
              <w:rPr>
                <w:rFonts w:ascii="宋体" w:hAnsi="宋体" w:eastAsia="宋体" w:cs="宋体"/>
                <w:sz w:val="18"/>
                <w:szCs w:val="18"/>
              </w:rPr>
            </w:pPr>
            <w:r>
              <w:rPr>
                <w:rFonts w:ascii="宋体" w:hAnsi="宋体" w:eastAsia="宋体" w:cs="宋体"/>
                <w:sz w:val="18"/>
                <w:szCs w:val="18"/>
              </w:rPr>
              <w:t>31,543,429.35</w:t>
            </w:r>
          </w:p>
        </w:tc>
        <w:tc>
          <w:tcPr>
            <w:tcW w:w="1606" w:type="dxa"/>
            <w:tcBorders>
              <w:top w:val="single" w:color="auto" w:sz="2" w:space="0"/>
              <w:left w:val="single" w:color="auto" w:sz="2" w:space="0"/>
              <w:bottom w:val="single" w:color="auto" w:sz="2" w:space="0"/>
              <w:right w:val="single" w:color="auto" w:sz="2" w:space="0"/>
            </w:tcBorders>
            <w:vAlign w:val="center"/>
          </w:tcPr>
          <w:p w14:paraId="37BF118A">
            <w:pPr>
              <w:spacing w:line="240" w:lineRule="exact"/>
              <w:jc w:val="right"/>
              <w:rPr>
                <w:rFonts w:ascii="宋体" w:hAnsi="宋体" w:eastAsia="宋体" w:cs="宋体"/>
                <w:sz w:val="18"/>
                <w:szCs w:val="18"/>
              </w:rPr>
            </w:pPr>
            <w:r>
              <w:rPr>
                <w:rFonts w:ascii="宋体" w:hAnsi="宋体" w:eastAsia="宋体" w:cs="宋体"/>
                <w:sz w:val="18"/>
                <w:szCs w:val="18"/>
              </w:rPr>
              <w:t>2.74%</w:t>
            </w:r>
          </w:p>
        </w:tc>
        <w:tc>
          <w:tcPr>
            <w:tcW w:w="1606" w:type="dxa"/>
            <w:tcBorders>
              <w:top w:val="single" w:color="auto" w:sz="2" w:space="0"/>
              <w:left w:val="single" w:color="auto" w:sz="2" w:space="0"/>
              <w:bottom w:val="single" w:color="auto" w:sz="2" w:space="0"/>
              <w:right w:val="single" w:color="auto" w:sz="2" w:space="0"/>
            </w:tcBorders>
            <w:vAlign w:val="center"/>
          </w:tcPr>
          <w:p w14:paraId="03318342">
            <w:pPr>
              <w:spacing w:line="240" w:lineRule="exact"/>
              <w:jc w:val="right"/>
              <w:rPr>
                <w:rFonts w:ascii="宋体" w:hAnsi="宋体" w:eastAsia="宋体" w:cs="宋体"/>
                <w:sz w:val="18"/>
                <w:szCs w:val="18"/>
              </w:rPr>
            </w:pPr>
            <w:r>
              <w:rPr>
                <w:rFonts w:ascii="宋体" w:hAnsi="宋体" w:eastAsia="宋体" w:cs="宋体"/>
                <w:sz w:val="18"/>
                <w:szCs w:val="18"/>
              </w:rPr>
              <w:t>3,142,202.64</w:t>
            </w:r>
          </w:p>
        </w:tc>
      </w:tr>
      <w:tr w14:paraId="09BA0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E0DAAA2">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14:paraId="2245BA6E">
            <w:pPr>
              <w:spacing w:line="240" w:lineRule="exact"/>
              <w:jc w:val="right"/>
              <w:rPr>
                <w:rFonts w:ascii="宋体" w:hAnsi="宋体" w:eastAsia="宋体" w:cs="宋体"/>
                <w:sz w:val="18"/>
                <w:szCs w:val="18"/>
              </w:rPr>
            </w:pPr>
            <w:r>
              <w:rPr>
                <w:rFonts w:ascii="宋体" w:hAnsi="宋体" w:eastAsia="宋体" w:cs="宋体"/>
                <w:sz w:val="18"/>
                <w:szCs w:val="18"/>
              </w:rPr>
              <w:t>840,290,633.73</w:t>
            </w:r>
          </w:p>
        </w:tc>
        <w:tc>
          <w:tcPr>
            <w:tcW w:w="1606" w:type="dxa"/>
            <w:tcBorders>
              <w:top w:val="single" w:color="auto" w:sz="2" w:space="0"/>
              <w:left w:val="single" w:color="auto" w:sz="2" w:space="0"/>
              <w:bottom w:val="single" w:color="auto" w:sz="2" w:space="0"/>
              <w:right w:val="single" w:color="auto" w:sz="2" w:space="0"/>
            </w:tcBorders>
            <w:vAlign w:val="center"/>
          </w:tcPr>
          <w:p w14:paraId="4BD8A530">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D6F4772">
            <w:pPr>
              <w:spacing w:line="240" w:lineRule="exact"/>
              <w:jc w:val="right"/>
              <w:rPr>
                <w:rFonts w:ascii="宋体" w:hAnsi="宋体" w:eastAsia="宋体" w:cs="宋体"/>
                <w:sz w:val="18"/>
                <w:szCs w:val="18"/>
              </w:rPr>
            </w:pPr>
            <w:r>
              <w:rPr>
                <w:rFonts w:ascii="宋体" w:hAnsi="宋体" w:eastAsia="宋体" w:cs="宋体"/>
                <w:sz w:val="18"/>
                <w:szCs w:val="18"/>
              </w:rPr>
              <w:t>840,290,633.73</w:t>
            </w:r>
          </w:p>
        </w:tc>
        <w:tc>
          <w:tcPr>
            <w:tcW w:w="1606" w:type="dxa"/>
            <w:tcBorders>
              <w:top w:val="single" w:color="auto" w:sz="2" w:space="0"/>
              <w:left w:val="single" w:color="auto" w:sz="2" w:space="0"/>
              <w:bottom w:val="single" w:color="auto" w:sz="2" w:space="0"/>
              <w:right w:val="single" w:color="auto" w:sz="2" w:space="0"/>
            </w:tcBorders>
            <w:vAlign w:val="center"/>
          </w:tcPr>
          <w:p w14:paraId="44201F07">
            <w:pPr>
              <w:spacing w:line="240" w:lineRule="exact"/>
              <w:jc w:val="right"/>
              <w:rPr>
                <w:rFonts w:ascii="宋体" w:hAnsi="宋体" w:eastAsia="宋体" w:cs="宋体"/>
                <w:sz w:val="18"/>
                <w:szCs w:val="18"/>
              </w:rPr>
            </w:pPr>
            <w:r>
              <w:rPr>
                <w:rFonts w:ascii="宋体" w:hAnsi="宋体" w:eastAsia="宋体" w:cs="宋体"/>
                <w:sz w:val="18"/>
                <w:szCs w:val="18"/>
              </w:rPr>
              <w:t>72.90%</w:t>
            </w:r>
          </w:p>
        </w:tc>
        <w:tc>
          <w:tcPr>
            <w:tcW w:w="1606" w:type="dxa"/>
            <w:tcBorders>
              <w:top w:val="single" w:color="auto" w:sz="2" w:space="0"/>
              <w:left w:val="single" w:color="auto" w:sz="2" w:space="0"/>
              <w:bottom w:val="single" w:color="auto" w:sz="2" w:space="0"/>
              <w:right w:val="single" w:color="auto" w:sz="2" w:space="0"/>
            </w:tcBorders>
            <w:vAlign w:val="center"/>
          </w:tcPr>
          <w:p w14:paraId="08500D62">
            <w:pPr>
              <w:spacing w:line="240" w:lineRule="exact"/>
              <w:jc w:val="right"/>
              <w:rPr>
                <w:rFonts w:ascii="宋体" w:hAnsi="宋体" w:eastAsia="宋体" w:cs="宋体"/>
                <w:sz w:val="18"/>
                <w:szCs w:val="18"/>
              </w:rPr>
            </w:pPr>
            <w:r>
              <w:rPr>
                <w:rFonts w:ascii="宋体" w:hAnsi="宋体" w:eastAsia="宋体" w:cs="宋体"/>
                <w:sz w:val="18"/>
                <w:szCs w:val="18"/>
              </w:rPr>
              <w:t>46,655,156.57</w:t>
            </w:r>
          </w:p>
        </w:tc>
      </w:tr>
    </w:tbl>
    <w:p w14:paraId="78D01404">
      <w:pPr>
        <w:pStyle w:val="3"/>
        <w:spacing w:line="280" w:lineRule="exact"/>
        <w:jc w:val="left"/>
        <w:rPr>
          <w:rFonts w:ascii="宋体" w:hAnsi="宋体" w:cs="宋体"/>
          <w:b/>
          <w:bCs/>
        </w:rPr>
      </w:pPr>
      <w:bookmarkStart w:id="286" w:name="_Toc989138"/>
      <w:r>
        <w:rPr>
          <w:rFonts w:ascii="宋体" w:hAnsi="宋体" w:cs="宋体"/>
          <w:b/>
          <w:bCs/>
        </w:rPr>
        <w:t>6、合同资产</w:t>
      </w:r>
      <w:bookmarkEnd w:id="286"/>
    </w:p>
    <w:p w14:paraId="5CF6627B">
      <w:pPr>
        <w:keepNext/>
        <w:keepLines/>
        <w:spacing w:before="300" w:after="300" w:line="280" w:lineRule="exact"/>
        <w:outlineLvl w:val="3"/>
        <w:rPr>
          <w:rFonts w:ascii="宋体" w:hAnsi="宋体" w:eastAsia="宋体" w:cs="宋体"/>
          <w:b/>
          <w:bCs/>
          <w:szCs w:val="21"/>
        </w:rPr>
      </w:pPr>
      <w:bookmarkStart w:id="287" w:name="_Toc989139"/>
      <w:r>
        <w:rPr>
          <w:rFonts w:ascii="宋体" w:hAnsi="宋体" w:eastAsia="宋体" w:cs="宋体"/>
          <w:b/>
          <w:bCs/>
          <w:szCs w:val="21"/>
        </w:rPr>
        <w:t>（1） 合同资产情况</w:t>
      </w:r>
      <w:bookmarkEnd w:id="287"/>
    </w:p>
    <w:p w14:paraId="625B992A">
      <w:pPr>
        <w:keepNext/>
        <w:keepLines/>
        <w:spacing w:before="300" w:after="300" w:line="280" w:lineRule="exact"/>
        <w:outlineLvl w:val="3"/>
        <w:rPr>
          <w:rFonts w:ascii="宋体" w:hAnsi="宋体" w:eastAsia="宋体" w:cs="宋体"/>
          <w:b/>
          <w:bCs/>
          <w:szCs w:val="21"/>
        </w:rPr>
      </w:pPr>
      <w:bookmarkStart w:id="288" w:name="_Toc989140"/>
      <w:r>
        <w:rPr>
          <w:rFonts w:ascii="宋体" w:hAnsi="宋体" w:eastAsia="宋体" w:cs="宋体"/>
          <w:b/>
          <w:bCs/>
          <w:szCs w:val="21"/>
        </w:rPr>
        <w:t>（2） 报告期内账面价值发生的重大变动金额和原因</w:t>
      </w:r>
      <w:bookmarkEnd w:id="288"/>
    </w:p>
    <w:p w14:paraId="034A9860">
      <w:pPr>
        <w:keepNext/>
        <w:keepLines/>
        <w:spacing w:before="300" w:after="300" w:line="280" w:lineRule="exact"/>
        <w:outlineLvl w:val="3"/>
        <w:rPr>
          <w:rFonts w:ascii="宋体" w:hAnsi="宋体" w:eastAsia="宋体" w:cs="宋体"/>
          <w:b/>
          <w:bCs/>
          <w:szCs w:val="21"/>
        </w:rPr>
      </w:pPr>
      <w:bookmarkStart w:id="289" w:name="_Toc989141"/>
      <w:r>
        <w:rPr>
          <w:rFonts w:ascii="宋体" w:hAnsi="宋体" w:eastAsia="宋体" w:cs="宋体"/>
          <w:b/>
          <w:bCs/>
          <w:szCs w:val="21"/>
        </w:rPr>
        <w:t>（3） 按坏账计提方法分类披露</w:t>
      </w:r>
      <w:bookmarkEnd w:id="289"/>
    </w:p>
    <w:p w14:paraId="5486652E">
      <w:pPr>
        <w:spacing w:before="100" w:after="100" w:line="240" w:lineRule="exact"/>
        <w:rPr>
          <w:rFonts w:ascii="宋体" w:hAnsi="宋体" w:eastAsia="宋体" w:cs="宋体"/>
          <w:sz w:val="18"/>
          <w:szCs w:val="18"/>
        </w:rPr>
      </w:pPr>
      <w:r>
        <w:rPr>
          <w:rFonts w:ascii="宋体" w:hAnsi="宋体" w:eastAsia="宋体" w:cs="宋体"/>
          <w:sz w:val="18"/>
          <w:szCs w:val="18"/>
        </w:rPr>
        <w:t>按预期信用损失一般模型计提坏账准备</w:t>
      </w:r>
    </w:p>
    <w:p w14:paraId="56BC982F">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2422A11">
      <w:pPr>
        <w:keepNext/>
        <w:keepLines/>
        <w:spacing w:before="300" w:after="300" w:line="280" w:lineRule="exact"/>
        <w:outlineLvl w:val="3"/>
        <w:rPr>
          <w:rFonts w:ascii="宋体" w:hAnsi="宋体" w:eastAsia="宋体" w:cs="宋体"/>
          <w:b/>
          <w:bCs/>
          <w:szCs w:val="21"/>
        </w:rPr>
      </w:pPr>
      <w:bookmarkStart w:id="290" w:name="_Toc989142"/>
      <w:r>
        <w:rPr>
          <w:rFonts w:ascii="宋体" w:hAnsi="宋体" w:eastAsia="宋体" w:cs="宋体"/>
          <w:b/>
          <w:bCs/>
          <w:szCs w:val="21"/>
        </w:rPr>
        <w:t>（4） 本期计提、收回或转回的坏账准备情况</w:t>
      </w:r>
      <w:bookmarkEnd w:id="290"/>
    </w:p>
    <w:p w14:paraId="7D57AD29">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2EC5BD5D">
      <w:pPr>
        <w:keepNext/>
        <w:keepLines/>
        <w:spacing w:before="300" w:after="300" w:line="280" w:lineRule="exact"/>
        <w:outlineLvl w:val="3"/>
        <w:rPr>
          <w:rFonts w:ascii="宋体" w:hAnsi="宋体" w:eastAsia="宋体" w:cs="宋体"/>
          <w:b/>
          <w:bCs/>
          <w:szCs w:val="21"/>
        </w:rPr>
      </w:pPr>
      <w:bookmarkStart w:id="291" w:name="_Toc989143"/>
      <w:r>
        <w:rPr>
          <w:rFonts w:ascii="宋体" w:hAnsi="宋体" w:eastAsia="宋体" w:cs="宋体"/>
          <w:b/>
          <w:bCs/>
          <w:szCs w:val="21"/>
        </w:rPr>
        <w:t>（5） 本期实际核销的合同资产情况</w:t>
      </w:r>
      <w:bookmarkEnd w:id="291"/>
    </w:p>
    <w:p w14:paraId="6570AB6F">
      <w:pPr>
        <w:spacing w:line="240" w:lineRule="exact"/>
        <w:rPr>
          <w:rFonts w:ascii="宋体" w:hAnsi="宋体" w:eastAsia="宋体" w:cs="宋体"/>
          <w:sz w:val="18"/>
          <w:szCs w:val="18"/>
        </w:rPr>
      </w:pPr>
      <w:r>
        <w:rPr>
          <w:rFonts w:ascii="宋体" w:hAnsi="宋体" w:eastAsia="宋体" w:cs="宋体"/>
          <w:sz w:val="18"/>
          <w:szCs w:val="18"/>
        </w:rPr>
        <w:t>其他说明：</w:t>
      </w:r>
      <w:r>
        <w:rPr>
          <w:rFonts w:hint="eastAsia" w:ascii="宋体" w:hAnsi="宋体" w:eastAsia="宋体" w:cs="宋体"/>
          <w:sz w:val="18"/>
          <w:szCs w:val="18"/>
        </w:rPr>
        <w:t>无</w:t>
      </w:r>
    </w:p>
    <w:p w14:paraId="38AD74A0">
      <w:pPr>
        <w:pStyle w:val="3"/>
        <w:spacing w:line="280" w:lineRule="exact"/>
        <w:jc w:val="left"/>
        <w:rPr>
          <w:rFonts w:ascii="宋体" w:hAnsi="宋体" w:cs="宋体"/>
          <w:b/>
          <w:bCs/>
        </w:rPr>
      </w:pPr>
      <w:bookmarkStart w:id="292" w:name="_Toc989144"/>
      <w:r>
        <w:rPr>
          <w:rFonts w:ascii="宋体" w:hAnsi="宋体" w:cs="宋体"/>
          <w:b/>
          <w:bCs/>
        </w:rPr>
        <w:t>7、应收款项融资</w:t>
      </w:r>
      <w:bookmarkEnd w:id="292"/>
    </w:p>
    <w:p w14:paraId="0B237122">
      <w:pPr>
        <w:keepNext/>
        <w:keepLines/>
        <w:spacing w:before="300" w:after="300" w:line="280" w:lineRule="exact"/>
        <w:outlineLvl w:val="3"/>
        <w:rPr>
          <w:rFonts w:ascii="宋体" w:hAnsi="宋体" w:eastAsia="宋体" w:cs="宋体"/>
          <w:b/>
          <w:bCs/>
          <w:szCs w:val="21"/>
        </w:rPr>
      </w:pPr>
      <w:bookmarkStart w:id="293" w:name="_Toc989145"/>
      <w:r>
        <w:rPr>
          <w:rFonts w:ascii="宋体" w:hAnsi="宋体" w:eastAsia="宋体" w:cs="宋体"/>
          <w:b/>
          <w:bCs/>
          <w:szCs w:val="21"/>
        </w:rPr>
        <w:t>（1） 应收款项融资分类列示</w:t>
      </w:r>
      <w:bookmarkEnd w:id="293"/>
    </w:p>
    <w:p w14:paraId="47280ED3">
      <w:pPr>
        <w:keepNext/>
        <w:keepLines/>
        <w:spacing w:before="300" w:after="300" w:line="280" w:lineRule="exact"/>
        <w:outlineLvl w:val="3"/>
        <w:rPr>
          <w:rFonts w:ascii="宋体" w:hAnsi="宋体" w:eastAsia="宋体" w:cs="宋体"/>
          <w:b/>
          <w:bCs/>
          <w:szCs w:val="21"/>
        </w:rPr>
      </w:pPr>
      <w:bookmarkStart w:id="294" w:name="_Toc989146"/>
      <w:r>
        <w:rPr>
          <w:rFonts w:ascii="宋体" w:hAnsi="宋体" w:eastAsia="宋体" w:cs="宋体"/>
          <w:b/>
          <w:bCs/>
          <w:szCs w:val="21"/>
        </w:rPr>
        <w:t>（2） 按坏账计提方法分类披露</w:t>
      </w:r>
      <w:bookmarkEnd w:id="294"/>
    </w:p>
    <w:p w14:paraId="39D8BD86">
      <w:pPr>
        <w:spacing w:line="240" w:lineRule="exact"/>
        <w:rPr>
          <w:rFonts w:ascii="宋体" w:hAnsi="宋体" w:eastAsia="宋体" w:cs="宋体"/>
          <w:sz w:val="18"/>
          <w:szCs w:val="18"/>
        </w:rPr>
      </w:pPr>
      <w:r>
        <w:rPr>
          <w:rFonts w:ascii="宋体" w:hAnsi="宋体" w:eastAsia="宋体" w:cs="宋体"/>
          <w:sz w:val="18"/>
          <w:szCs w:val="18"/>
        </w:rPr>
        <w:t>按预期信用损失一般模型计提坏账准备</w:t>
      </w:r>
    </w:p>
    <w:p w14:paraId="711F0123">
      <w:pPr>
        <w:spacing w:before="100" w:after="100" w:line="240" w:lineRule="exact"/>
        <w:rPr>
          <w:rFonts w:ascii="宋体" w:hAnsi="宋体" w:eastAsia="宋体" w:cs="宋体"/>
          <w:sz w:val="18"/>
          <w:szCs w:val="18"/>
        </w:rPr>
      </w:pPr>
      <w:r>
        <w:rPr>
          <w:rFonts w:ascii="宋体" w:hAnsi="宋体" w:eastAsia="宋体" w:cs="宋体"/>
          <w:sz w:val="18"/>
          <w:szCs w:val="18"/>
        </w:rPr>
        <w:t>各阶段划分依据和坏账准备计提比例</w:t>
      </w:r>
    </w:p>
    <w:p w14:paraId="57EC9CD6">
      <w:pPr>
        <w:spacing w:before="100" w:after="100" w:line="240" w:lineRule="exact"/>
        <w:rPr>
          <w:rFonts w:ascii="宋体" w:hAnsi="宋体" w:eastAsia="宋体" w:cs="宋体"/>
          <w:sz w:val="18"/>
          <w:szCs w:val="18"/>
        </w:rPr>
      </w:pPr>
      <w:r>
        <w:rPr>
          <w:rFonts w:ascii="宋体" w:hAnsi="宋体" w:eastAsia="宋体" w:cs="宋体"/>
          <w:sz w:val="18"/>
          <w:szCs w:val="18"/>
        </w:rPr>
        <w:t>对本期发生损失准备变动的应收款项融资账面余额显著变动的情况说明：</w:t>
      </w:r>
    </w:p>
    <w:p w14:paraId="2332CCDF">
      <w:pPr>
        <w:keepNext/>
        <w:keepLines/>
        <w:spacing w:before="300" w:after="300" w:line="280" w:lineRule="exact"/>
        <w:outlineLvl w:val="3"/>
        <w:rPr>
          <w:rFonts w:ascii="宋体" w:hAnsi="宋体" w:eastAsia="宋体" w:cs="宋体"/>
          <w:b/>
          <w:bCs/>
          <w:szCs w:val="21"/>
        </w:rPr>
      </w:pPr>
      <w:bookmarkStart w:id="295" w:name="_Toc989147"/>
      <w:r>
        <w:rPr>
          <w:rFonts w:ascii="宋体" w:hAnsi="宋体" w:eastAsia="宋体" w:cs="宋体"/>
          <w:b/>
          <w:bCs/>
          <w:szCs w:val="21"/>
        </w:rPr>
        <w:t>（3） 本期计提、收回或转回的坏账准备的情况</w:t>
      </w:r>
      <w:bookmarkEnd w:id="295"/>
    </w:p>
    <w:p w14:paraId="5B812AAD">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7707E5CD">
      <w:pPr>
        <w:keepNext/>
        <w:keepLines/>
        <w:spacing w:before="300" w:after="300" w:line="280" w:lineRule="exact"/>
        <w:outlineLvl w:val="3"/>
        <w:rPr>
          <w:rFonts w:ascii="宋体" w:hAnsi="宋体" w:eastAsia="宋体" w:cs="宋体"/>
          <w:b/>
          <w:bCs/>
          <w:szCs w:val="21"/>
        </w:rPr>
      </w:pPr>
      <w:bookmarkStart w:id="296" w:name="_Toc989148"/>
      <w:r>
        <w:rPr>
          <w:rFonts w:ascii="宋体" w:hAnsi="宋体" w:eastAsia="宋体" w:cs="宋体"/>
          <w:b/>
          <w:bCs/>
          <w:szCs w:val="21"/>
        </w:rPr>
        <w:t>（4） 期末公司已质押的应收款项融资</w:t>
      </w:r>
      <w:bookmarkEnd w:id="296"/>
    </w:p>
    <w:p w14:paraId="1341FFC7">
      <w:pPr>
        <w:keepNext/>
        <w:keepLines/>
        <w:spacing w:before="300" w:after="300" w:line="280" w:lineRule="exact"/>
        <w:outlineLvl w:val="3"/>
        <w:rPr>
          <w:rFonts w:ascii="宋体" w:hAnsi="宋体" w:eastAsia="宋体" w:cs="宋体"/>
          <w:b/>
          <w:bCs/>
          <w:szCs w:val="21"/>
        </w:rPr>
      </w:pPr>
      <w:bookmarkStart w:id="297" w:name="_Toc989149"/>
      <w:r>
        <w:rPr>
          <w:rFonts w:ascii="宋体" w:hAnsi="宋体" w:eastAsia="宋体" w:cs="宋体"/>
          <w:b/>
          <w:bCs/>
          <w:szCs w:val="21"/>
        </w:rPr>
        <w:t>（5） 期末公司已背书或贴现且在资产负债表日尚未到期的应收款项融资</w:t>
      </w:r>
      <w:bookmarkEnd w:id="297"/>
    </w:p>
    <w:p w14:paraId="4ECBBA2D">
      <w:pPr>
        <w:keepNext/>
        <w:keepLines/>
        <w:spacing w:before="300" w:after="300" w:line="280" w:lineRule="exact"/>
        <w:outlineLvl w:val="3"/>
        <w:rPr>
          <w:rFonts w:ascii="宋体" w:hAnsi="宋体" w:eastAsia="宋体" w:cs="宋体"/>
          <w:b/>
          <w:bCs/>
          <w:szCs w:val="21"/>
        </w:rPr>
      </w:pPr>
      <w:bookmarkStart w:id="298" w:name="_Toc989150"/>
      <w:r>
        <w:rPr>
          <w:rFonts w:ascii="宋体" w:hAnsi="宋体" w:eastAsia="宋体" w:cs="宋体"/>
          <w:b/>
          <w:bCs/>
          <w:szCs w:val="21"/>
        </w:rPr>
        <w:t>（6） 本期实际核销的应收款项融资情况</w:t>
      </w:r>
      <w:bookmarkEnd w:id="298"/>
    </w:p>
    <w:p w14:paraId="44AC856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p w14:paraId="142478C7">
      <w:pPr>
        <w:keepNext/>
        <w:keepLines/>
        <w:spacing w:before="300" w:after="300" w:line="280" w:lineRule="exact"/>
        <w:outlineLvl w:val="3"/>
        <w:rPr>
          <w:rFonts w:ascii="宋体" w:hAnsi="宋体" w:eastAsia="宋体" w:cs="宋体"/>
          <w:b/>
          <w:bCs/>
          <w:szCs w:val="21"/>
        </w:rPr>
      </w:pPr>
      <w:bookmarkStart w:id="299" w:name="_Toc989151"/>
      <w:r>
        <w:rPr>
          <w:rFonts w:ascii="宋体" w:hAnsi="宋体" w:eastAsia="宋体" w:cs="宋体"/>
          <w:b/>
          <w:bCs/>
          <w:szCs w:val="21"/>
        </w:rPr>
        <w:t>（7） 应收款项融资本期增减变动及公允价值变动情况</w:t>
      </w:r>
      <w:bookmarkEnd w:id="299"/>
    </w:p>
    <w:p w14:paraId="76BB3030">
      <w:pPr>
        <w:keepNext/>
        <w:keepLines/>
        <w:spacing w:before="300" w:after="300" w:line="280" w:lineRule="exact"/>
        <w:outlineLvl w:val="3"/>
        <w:rPr>
          <w:rFonts w:ascii="宋体" w:hAnsi="宋体" w:eastAsia="宋体" w:cs="宋体"/>
          <w:b/>
          <w:bCs/>
          <w:szCs w:val="21"/>
        </w:rPr>
      </w:pPr>
      <w:bookmarkStart w:id="300" w:name="_Toc989152"/>
      <w:r>
        <w:rPr>
          <w:rFonts w:ascii="宋体" w:hAnsi="宋体" w:eastAsia="宋体" w:cs="宋体"/>
          <w:b/>
          <w:bCs/>
          <w:szCs w:val="21"/>
        </w:rPr>
        <w:t>（8） 其他说明</w:t>
      </w:r>
      <w:bookmarkEnd w:id="300"/>
    </w:p>
    <w:p w14:paraId="2447625F">
      <w:pPr>
        <w:pStyle w:val="3"/>
        <w:spacing w:line="280" w:lineRule="exact"/>
        <w:jc w:val="left"/>
        <w:rPr>
          <w:rFonts w:ascii="宋体" w:hAnsi="宋体" w:cs="宋体"/>
          <w:b/>
          <w:bCs/>
        </w:rPr>
      </w:pPr>
      <w:bookmarkStart w:id="301" w:name="_Toc989153"/>
      <w:r>
        <w:rPr>
          <w:rFonts w:ascii="宋体" w:hAnsi="宋体" w:cs="宋体"/>
          <w:b/>
          <w:bCs/>
        </w:rPr>
        <w:t>8、其他应收款</w:t>
      </w:r>
      <w:bookmarkEnd w:id="301"/>
    </w:p>
    <w:p w14:paraId="15986A3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F52B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566D92">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19B5E1">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3C8E96">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5109F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78DB4D">
            <w:pPr>
              <w:spacing w:before="40" w:after="40" w:line="240" w:lineRule="exac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14:paraId="15AE2FBB">
            <w:pPr>
              <w:spacing w:line="240" w:lineRule="exact"/>
              <w:jc w:val="right"/>
              <w:rPr>
                <w:rFonts w:ascii="宋体" w:hAnsi="宋体" w:eastAsia="宋体" w:cs="宋体"/>
                <w:sz w:val="18"/>
                <w:szCs w:val="18"/>
              </w:rPr>
            </w:pPr>
            <w:r>
              <w:rPr>
                <w:rFonts w:ascii="宋体" w:hAnsi="宋体" w:eastAsia="宋体" w:cs="宋体"/>
                <w:sz w:val="18"/>
                <w:szCs w:val="18"/>
              </w:rPr>
              <w:t>148,143,182.55</w:t>
            </w:r>
          </w:p>
        </w:tc>
        <w:tc>
          <w:tcPr>
            <w:tcW w:w="3213" w:type="dxa"/>
            <w:tcBorders>
              <w:top w:val="single" w:color="auto" w:sz="2" w:space="0"/>
              <w:left w:val="single" w:color="auto" w:sz="2" w:space="0"/>
              <w:bottom w:val="single" w:color="auto" w:sz="2" w:space="0"/>
              <w:right w:val="single" w:color="auto" w:sz="2" w:space="0"/>
            </w:tcBorders>
            <w:vAlign w:val="center"/>
          </w:tcPr>
          <w:p w14:paraId="11C651DA">
            <w:pPr>
              <w:spacing w:line="240" w:lineRule="exact"/>
              <w:jc w:val="right"/>
              <w:rPr>
                <w:rFonts w:ascii="宋体" w:hAnsi="宋体" w:eastAsia="宋体" w:cs="宋体"/>
                <w:sz w:val="18"/>
                <w:szCs w:val="18"/>
              </w:rPr>
            </w:pPr>
            <w:r>
              <w:rPr>
                <w:rFonts w:ascii="宋体" w:hAnsi="宋体" w:eastAsia="宋体" w:cs="宋体"/>
                <w:sz w:val="18"/>
                <w:szCs w:val="18"/>
              </w:rPr>
              <w:t>175,446,399.19</w:t>
            </w:r>
          </w:p>
        </w:tc>
      </w:tr>
      <w:tr w14:paraId="02DB4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640CAD">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073CDA45">
            <w:pPr>
              <w:spacing w:line="240" w:lineRule="exact"/>
              <w:jc w:val="right"/>
              <w:rPr>
                <w:rFonts w:ascii="宋体" w:hAnsi="宋体" w:eastAsia="宋体" w:cs="宋体"/>
                <w:sz w:val="18"/>
                <w:szCs w:val="18"/>
              </w:rPr>
            </w:pPr>
            <w:r>
              <w:rPr>
                <w:rFonts w:ascii="宋体" w:hAnsi="宋体" w:eastAsia="宋体" w:cs="宋体"/>
                <w:sz w:val="18"/>
                <w:szCs w:val="18"/>
              </w:rPr>
              <w:t>148,143,182.55</w:t>
            </w:r>
          </w:p>
        </w:tc>
        <w:tc>
          <w:tcPr>
            <w:tcW w:w="3213" w:type="dxa"/>
            <w:tcBorders>
              <w:top w:val="single" w:color="auto" w:sz="2" w:space="0"/>
              <w:left w:val="single" w:color="auto" w:sz="2" w:space="0"/>
              <w:bottom w:val="single" w:color="auto" w:sz="2" w:space="0"/>
              <w:right w:val="single" w:color="auto" w:sz="2" w:space="0"/>
            </w:tcBorders>
            <w:vAlign w:val="center"/>
          </w:tcPr>
          <w:p w14:paraId="0CA35E74">
            <w:pPr>
              <w:spacing w:line="240" w:lineRule="exact"/>
              <w:jc w:val="right"/>
              <w:rPr>
                <w:rFonts w:ascii="宋体" w:hAnsi="宋体" w:eastAsia="宋体" w:cs="宋体"/>
                <w:sz w:val="18"/>
                <w:szCs w:val="18"/>
              </w:rPr>
            </w:pPr>
            <w:r>
              <w:rPr>
                <w:rFonts w:ascii="宋体" w:hAnsi="宋体" w:eastAsia="宋体" w:cs="宋体"/>
                <w:sz w:val="18"/>
                <w:szCs w:val="18"/>
              </w:rPr>
              <w:t>175,446,399.19</w:t>
            </w:r>
          </w:p>
        </w:tc>
      </w:tr>
    </w:tbl>
    <w:p w14:paraId="6B321F8F">
      <w:pPr>
        <w:keepNext/>
        <w:keepLines/>
        <w:spacing w:before="300" w:after="300" w:line="280" w:lineRule="exact"/>
        <w:outlineLvl w:val="3"/>
        <w:rPr>
          <w:rFonts w:ascii="宋体" w:hAnsi="宋体" w:eastAsia="宋体" w:cs="宋体"/>
          <w:b/>
          <w:bCs/>
          <w:szCs w:val="21"/>
        </w:rPr>
      </w:pPr>
      <w:bookmarkStart w:id="302" w:name="_Toc989154"/>
      <w:r>
        <w:rPr>
          <w:rFonts w:ascii="宋体" w:hAnsi="宋体" w:eastAsia="宋体" w:cs="宋体"/>
          <w:b/>
          <w:bCs/>
          <w:szCs w:val="21"/>
        </w:rPr>
        <w:t>（1） 应收利息</w:t>
      </w:r>
      <w:bookmarkEnd w:id="302"/>
    </w:p>
    <w:p w14:paraId="76D34286">
      <w:pPr>
        <w:keepNext/>
        <w:keepLines/>
        <w:spacing w:before="300" w:after="300" w:line="280" w:lineRule="exact"/>
        <w:outlineLvl w:val="4"/>
        <w:rPr>
          <w:rFonts w:ascii="宋体" w:hAnsi="宋体" w:eastAsia="宋体" w:cs="宋体"/>
          <w:b/>
          <w:bCs/>
          <w:szCs w:val="21"/>
        </w:rPr>
      </w:pPr>
      <w:bookmarkStart w:id="303" w:name="_Toc989155"/>
      <w:r>
        <w:rPr>
          <w:rFonts w:ascii="宋体" w:hAnsi="宋体" w:eastAsia="宋体" w:cs="宋体"/>
          <w:b/>
          <w:bCs/>
          <w:szCs w:val="21"/>
        </w:rPr>
        <w:t>1） 应收利息分类</w:t>
      </w:r>
      <w:bookmarkEnd w:id="303"/>
    </w:p>
    <w:p w14:paraId="3B9EE06F">
      <w:pPr>
        <w:keepNext/>
        <w:keepLines/>
        <w:spacing w:before="300" w:after="300" w:line="280" w:lineRule="exact"/>
        <w:outlineLvl w:val="4"/>
        <w:rPr>
          <w:rFonts w:ascii="宋体" w:hAnsi="宋体" w:eastAsia="宋体" w:cs="宋体"/>
          <w:b/>
          <w:bCs/>
          <w:szCs w:val="21"/>
        </w:rPr>
      </w:pPr>
      <w:bookmarkStart w:id="304" w:name="_Toc989156"/>
      <w:r>
        <w:rPr>
          <w:rFonts w:ascii="宋体" w:hAnsi="宋体" w:eastAsia="宋体" w:cs="宋体"/>
          <w:b/>
          <w:bCs/>
          <w:szCs w:val="21"/>
        </w:rPr>
        <w:t>2） 重要逾期利息</w:t>
      </w:r>
      <w:bookmarkEnd w:id="304"/>
    </w:p>
    <w:p w14:paraId="7F7FAC53">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5B67AD70">
      <w:pPr>
        <w:keepNext/>
        <w:keepLines/>
        <w:spacing w:before="300" w:after="300" w:line="280" w:lineRule="exact"/>
        <w:outlineLvl w:val="4"/>
        <w:rPr>
          <w:rFonts w:ascii="宋体" w:hAnsi="宋体" w:eastAsia="宋体" w:cs="宋体"/>
          <w:b/>
          <w:bCs/>
          <w:szCs w:val="21"/>
        </w:rPr>
      </w:pPr>
      <w:bookmarkStart w:id="305" w:name="_Toc989157"/>
      <w:r>
        <w:rPr>
          <w:rFonts w:ascii="宋体" w:hAnsi="宋体" w:eastAsia="宋体" w:cs="宋体"/>
          <w:b/>
          <w:bCs/>
          <w:szCs w:val="21"/>
        </w:rPr>
        <w:t>3） 按坏账计提方法分类披露</w:t>
      </w:r>
      <w:bookmarkEnd w:id="305"/>
    </w:p>
    <w:p w14:paraId="726BA350">
      <w:pPr>
        <w:spacing w:before="40" w:after="4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FF62F99">
      <w:pPr>
        <w:keepNext/>
        <w:keepLines/>
        <w:spacing w:before="300" w:after="300" w:line="280" w:lineRule="exact"/>
        <w:outlineLvl w:val="4"/>
        <w:rPr>
          <w:rFonts w:ascii="宋体" w:hAnsi="宋体" w:eastAsia="宋体" w:cs="宋体"/>
          <w:b/>
          <w:bCs/>
          <w:sz w:val="18"/>
          <w:szCs w:val="18"/>
        </w:rPr>
      </w:pPr>
      <w:bookmarkStart w:id="306" w:name="_Toc989158"/>
      <w:r>
        <w:rPr>
          <w:rFonts w:ascii="宋体" w:hAnsi="宋体" w:eastAsia="宋体" w:cs="宋体"/>
          <w:b/>
          <w:bCs/>
          <w:sz w:val="18"/>
          <w:szCs w:val="18"/>
        </w:rPr>
        <w:t>4） 本期计提、收回或转回的坏账准备的情况</w:t>
      </w:r>
      <w:bookmarkEnd w:id="306"/>
    </w:p>
    <w:p w14:paraId="3D1C7722">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7DC63D44">
      <w:pPr>
        <w:keepNext/>
        <w:keepLines/>
        <w:spacing w:before="300" w:after="300" w:line="280" w:lineRule="exact"/>
        <w:outlineLvl w:val="4"/>
        <w:rPr>
          <w:rFonts w:ascii="宋体" w:hAnsi="宋体" w:eastAsia="宋体" w:cs="宋体"/>
          <w:b/>
          <w:bCs/>
          <w:sz w:val="18"/>
          <w:szCs w:val="18"/>
        </w:rPr>
      </w:pPr>
      <w:bookmarkStart w:id="307" w:name="_Toc989159"/>
      <w:r>
        <w:rPr>
          <w:rFonts w:ascii="宋体" w:hAnsi="宋体" w:eastAsia="宋体" w:cs="宋体"/>
          <w:b/>
          <w:bCs/>
          <w:sz w:val="18"/>
          <w:szCs w:val="18"/>
        </w:rPr>
        <w:t>5） 本期实际核销的应收利息情况</w:t>
      </w:r>
      <w:bookmarkEnd w:id="307"/>
    </w:p>
    <w:p w14:paraId="7F9C7179">
      <w:pPr>
        <w:spacing w:before="100" w:after="100" w:line="240" w:lineRule="exact"/>
        <w:rPr>
          <w:rFonts w:ascii="宋体" w:hAnsi="宋体" w:eastAsia="宋体" w:cs="宋体"/>
          <w:sz w:val="18"/>
          <w:szCs w:val="18"/>
        </w:rPr>
      </w:pPr>
      <w:r>
        <w:rPr>
          <w:rFonts w:ascii="宋体" w:hAnsi="宋体" w:eastAsia="宋体" w:cs="宋体"/>
          <w:sz w:val="18"/>
          <w:szCs w:val="18"/>
        </w:rPr>
        <w:t>核销说明：</w:t>
      </w:r>
      <w:r>
        <w:rPr>
          <w:rFonts w:hint="eastAsia"/>
          <w:sz w:val="18"/>
          <w:szCs w:val="18"/>
        </w:rPr>
        <w:t>无</w:t>
      </w:r>
    </w:p>
    <w:p w14:paraId="5C0BAA3A">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35BD8AFB">
      <w:pPr>
        <w:keepNext/>
        <w:keepLines/>
        <w:spacing w:before="300" w:after="300" w:line="280" w:lineRule="exact"/>
        <w:outlineLvl w:val="3"/>
        <w:rPr>
          <w:rFonts w:ascii="宋体" w:hAnsi="宋体" w:eastAsia="宋体" w:cs="宋体"/>
          <w:b/>
          <w:bCs/>
          <w:szCs w:val="21"/>
        </w:rPr>
      </w:pPr>
      <w:bookmarkStart w:id="308" w:name="_Toc989160"/>
      <w:r>
        <w:rPr>
          <w:rFonts w:ascii="宋体" w:hAnsi="宋体" w:eastAsia="宋体" w:cs="宋体"/>
          <w:b/>
          <w:bCs/>
          <w:szCs w:val="21"/>
        </w:rPr>
        <w:t>（2） 应收股利</w:t>
      </w:r>
      <w:bookmarkEnd w:id="308"/>
    </w:p>
    <w:p w14:paraId="7D37468F">
      <w:pPr>
        <w:keepNext/>
        <w:keepLines/>
        <w:spacing w:before="300" w:after="300" w:line="280" w:lineRule="exact"/>
        <w:outlineLvl w:val="4"/>
        <w:rPr>
          <w:rFonts w:ascii="宋体" w:hAnsi="宋体" w:eastAsia="宋体" w:cs="宋体"/>
          <w:b/>
          <w:bCs/>
          <w:szCs w:val="21"/>
        </w:rPr>
      </w:pPr>
      <w:bookmarkStart w:id="309" w:name="_Toc989161"/>
      <w:r>
        <w:rPr>
          <w:rFonts w:ascii="宋体" w:hAnsi="宋体" w:eastAsia="宋体" w:cs="宋体"/>
          <w:b/>
          <w:bCs/>
          <w:szCs w:val="21"/>
        </w:rPr>
        <w:t>1） 应收股利分类</w:t>
      </w:r>
      <w:bookmarkEnd w:id="309"/>
    </w:p>
    <w:p w14:paraId="3B900E5F">
      <w:pPr>
        <w:keepNext/>
        <w:keepLines/>
        <w:spacing w:before="300" w:after="300" w:line="280" w:lineRule="exact"/>
        <w:outlineLvl w:val="4"/>
        <w:rPr>
          <w:rFonts w:ascii="宋体" w:hAnsi="宋体" w:eastAsia="宋体" w:cs="宋体"/>
          <w:b/>
          <w:bCs/>
          <w:szCs w:val="21"/>
        </w:rPr>
      </w:pPr>
      <w:bookmarkStart w:id="310" w:name="_Toc989162"/>
      <w:r>
        <w:rPr>
          <w:rFonts w:ascii="宋体" w:hAnsi="宋体" w:eastAsia="宋体" w:cs="宋体"/>
          <w:b/>
          <w:bCs/>
          <w:szCs w:val="21"/>
        </w:rPr>
        <w:t>2） 重要的账龄超过1年的应收股利</w:t>
      </w:r>
      <w:bookmarkEnd w:id="310"/>
    </w:p>
    <w:p w14:paraId="4C03D934">
      <w:pPr>
        <w:keepNext/>
        <w:keepLines/>
        <w:spacing w:before="300" w:after="300" w:line="280" w:lineRule="exact"/>
        <w:outlineLvl w:val="4"/>
        <w:rPr>
          <w:rFonts w:ascii="宋体" w:hAnsi="宋体" w:eastAsia="宋体" w:cs="宋体"/>
          <w:b/>
          <w:bCs/>
          <w:szCs w:val="21"/>
        </w:rPr>
      </w:pPr>
      <w:bookmarkStart w:id="311" w:name="_Toc989163"/>
      <w:r>
        <w:rPr>
          <w:rFonts w:ascii="宋体" w:hAnsi="宋体" w:eastAsia="宋体" w:cs="宋体"/>
          <w:b/>
          <w:bCs/>
          <w:szCs w:val="21"/>
        </w:rPr>
        <w:t>3） 按坏账计提方法分类披露</w:t>
      </w:r>
      <w:bookmarkEnd w:id="311"/>
    </w:p>
    <w:p w14:paraId="32A63B72">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5BB7EDA">
      <w:pPr>
        <w:keepNext/>
        <w:keepLines/>
        <w:spacing w:before="300" w:after="300" w:line="280" w:lineRule="exact"/>
        <w:outlineLvl w:val="4"/>
        <w:rPr>
          <w:rFonts w:ascii="宋体" w:hAnsi="宋体" w:eastAsia="宋体" w:cs="宋体"/>
          <w:b/>
          <w:bCs/>
          <w:szCs w:val="21"/>
        </w:rPr>
      </w:pPr>
      <w:bookmarkStart w:id="312" w:name="_Toc989164"/>
      <w:r>
        <w:rPr>
          <w:rFonts w:ascii="宋体" w:hAnsi="宋体" w:eastAsia="宋体" w:cs="宋体"/>
          <w:b/>
          <w:bCs/>
          <w:szCs w:val="21"/>
        </w:rPr>
        <w:t>4） 本期计提、收回或转回的坏账准备的情况</w:t>
      </w:r>
      <w:bookmarkEnd w:id="312"/>
    </w:p>
    <w:p w14:paraId="6A894F1B">
      <w:pPr>
        <w:spacing w:line="240" w:lineRule="exact"/>
        <w:rPr>
          <w:rFonts w:ascii="宋体" w:hAnsi="宋体" w:eastAsia="宋体" w:cs="宋体"/>
          <w:sz w:val="18"/>
          <w:szCs w:val="18"/>
        </w:rPr>
      </w:pPr>
      <w:r>
        <w:rPr>
          <w:rFonts w:ascii="宋体" w:hAnsi="宋体" w:eastAsia="宋体" w:cs="宋体"/>
          <w:sz w:val="18"/>
          <w:szCs w:val="18"/>
        </w:rPr>
        <w:t>其中本期坏账准备收回或转回金额重要的：</w:t>
      </w:r>
    </w:p>
    <w:p w14:paraId="7DB001BC">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03DD5821">
      <w:pPr>
        <w:keepNext/>
        <w:keepLines/>
        <w:spacing w:before="300" w:after="300" w:line="280" w:lineRule="exact"/>
        <w:outlineLvl w:val="4"/>
        <w:rPr>
          <w:rFonts w:ascii="宋体" w:hAnsi="宋体" w:eastAsia="宋体" w:cs="宋体"/>
          <w:b/>
          <w:bCs/>
          <w:szCs w:val="21"/>
        </w:rPr>
      </w:pPr>
      <w:bookmarkStart w:id="313" w:name="_Toc989165"/>
      <w:r>
        <w:rPr>
          <w:rFonts w:ascii="宋体" w:hAnsi="宋体" w:eastAsia="宋体" w:cs="宋体"/>
          <w:b/>
          <w:bCs/>
          <w:szCs w:val="21"/>
        </w:rPr>
        <w:t>5） 本期实际核销的应收股利情况</w:t>
      </w:r>
      <w:bookmarkEnd w:id="313"/>
    </w:p>
    <w:p w14:paraId="736843E8">
      <w:pPr>
        <w:spacing w:before="100" w:after="100" w:line="240" w:lineRule="exact"/>
        <w:rPr>
          <w:rFonts w:ascii="宋体" w:hAnsi="宋体" w:eastAsia="宋体" w:cs="宋体"/>
          <w:sz w:val="18"/>
          <w:szCs w:val="18"/>
        </w:rPr>
      </w:pPr>
      <w:r>
        <w:rPr>
          <w:rFonts w:ascii="宋体" w:hAnsi="宋体" w:eastAsia="宋体" w:cs="宋体"/>
          <w:sz w:val="18"/>
          <w:szCs w:val="18"/>
        </w:rPr>
        <w:t>核销说明：</w:t>
      </w:r>
      <w:r>
        <w:rPr>
          <w:rFonts w:hint="eastAsia"/>
          <w:sz w:val="18"/>
          <w:szCs w:val="18"/>
        </w:rPr>
        <w:t>无</w:t>
      </w:r>
    </w:p>
    <w:p w14:paraId="63E9E3EE">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6C66AC3D">
      <w:pPr>
        <w:keepNext/>
        <w:keepLines/>
        <w:spacing w:before="300" w:after="300" w:line="280" w:lineRule="exact"/>
        <w:outlineLvl w:val="3"/>
        <w:rPr>
          <w:rFonts w:ascii="宋体" w:hAnsi="宋体" w:eastAsia="宋体" w:cs="宋体"/>
          <w:b/>
          <w:bCs/>
          <w:szCs w:val="21"/>
        </w:rPr>
      </w:pPr>
      <w:bookmarkStart w:id="314" w:name="_Toc989166"/>
      <w:r>
        <w:rPr>
          <w:rFonts w:ascii="宋体" w:hAnsi="宋体" w:eastAsia="宋体" w:cs="宋体"/>
          <w:b/>
          <w:bCs/>
          <w:szCs w:val="21"/>
        </w:rPr>
        <w:t>（3） 其他应收款</w:t>
      </w:r>
      <w:bookmarkEnd w:id="314"/>
    </w:p>
    <w:p w14:paraId="1F5228D3">
      <w:pPr>
        <w:keepNext/>
        <w:keepLines/>
        <w:spacing w:before="300" w:after="300" w:line="280" w:lineRule="exact"/>
        <w:outlineLvl w:val="4"/>
        <w:rPr>
          <w:rFonts w:ascii="宋体" w:hAnsi="宋体" w:eastAsia="宋体" w:cs="宋体"/>
          <w:b/>
          <w:bCs/>
          <w:szCs w:val="21"/>
        </w:rPr>
      </w:pPr>
      <w:bookmarkStart w:id="315" w:name="_Toc989167"/>
      <w:r>
        <w:rPr>
          <w:rFonts w:ascii="宋体" w:hAnsi="宋体" w:eastAsia="宋体" w:cs="宋体"/>
          <w:b/>
          <w:bCs/>
          <w:szCs w:val="21"/>
        </w:rPr>
        <w:t>1） 其他应收款按款项性质分类情况</w:t>
      </w:r>
      <w:bookmarkEnd w:id="315"/>
    </w:p>
    <w:p w14:paraId="44A256C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3260"/>
        <w:gridCol w:w="3969"/>
      </w:tblGrid>
      <w:tr w14:paraId="58DB9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D4E4558">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60" w:type="dxa"/>
            <w:tcBorders>
              <w:top w:val="single" w:color="auto" w:sz="2" w:space="0"/>
              <w:left w:val="single" w:color="auto" w:sz="2" w:space="0"/>
              <w:bottom w:val="single" w:color="auto" w:sz="2" w:space="0"/>
              <w:right w:val="single" w:color="auto" w:sz="2" w:space="0"/>
            </w:tcBorders>
            <w:shd w:val="clear" w:color="auto" w:fill="D3D3D3"/>
            <w:vAlign w:val="center"/>
          </w:tcPr>
          <w:p w14:paraId="6AC8EB0B">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969" w:type="dxa"/>
            <w:tcBorders>
              <w:top w:val="single" w:color="auto" w:sz="2" w:space="0"/>
              <w:left w:val="single" w:color="auto" w:sz="2" w:space="0"/>
              <w:bottom w:val="single" w:color="auto" w:sz="2" w:space="0"/>
              <w:right w:val="single" w:color="auto" w:sz="2" w:space="0"/>
            </w:tcBorders>
            <w:shd w:val="clear" w:color="auto" w:fill="D3D3D3"/>
            <w:vAlign w:val="center"/>
          </w:tcPr>
          <w:p w14:paraId="3B7C5F80">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3D262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BFFDF33">
            <w:pPr>
              <w:spacing w:line="240" w:lineRule="exact"/>
              <w:rPr>
                <w:rFonts w:ascii="宋体" w:hAnsi="宋体" w:eastAsia="宋体" w:cs="宋体"/>
                <w:sz w:val="18"/>
                <w:szCs w:val="18"/>
              </w:rPr>
            </w:pPr>
            <w:r>
              <w:rPr>
                <w:rFonts w:ascii="宋体" w:hAnsi="宋体" w:eastAsia="宋体" w:cs="宋体"/>
                <w:sz w:val="18"/>
                <w:szCs w:val="18"/>
              </w:rPr>
              <w:t>关联方往来</w:t>
            </w:r>
          </w:p>
        </w:tc>
        <w:tc>
          <w:tcPr>
            <w:tcW w:w="3260" w:type="dxa"/>
            <w:tcBorders>
              <w:top w:val="single" w:color="auto" w:sz="2" w:space="0"/>
              <w:left w:val="single" w:color="auto" w:sz="2" w:space="0"/>
              <w:bottom w:val="single" w:color="auto" w:sz="2" w:space="0"/>
              <w:right w:val="single" w:color="auto" w:sz="2" w:space="0"/>
            </w:tcBorders>
            <w:vAlign w:val="center"/>
          </w:tcPr>
          <w:p w14:paraId="4681B7CF">
            <w:pPr>
              <w:spacing w:line="240" w:lineRule="exact"/>
              <w:jc w:val="right"/>
              <w:rPr>
                <w:rFonts w:ascii="宋体" w:hAnsi="宋体" w:eastAsia="宋体" w:cs="宋体"/>
                <w:sz w:val="18"/>
                <w:szCs w:val="18"/>
              </w:rPr>
            </w:pPr>
            <w:r>
              <w:rPr>
                <w:rFonts w:ascii="宋体" w:hAnsi="宋体" w:eastAsia="宋体" w:cs="宋体"/>
                <w:sz w:val="18"/>
                <w:szCs w:val="18"/>
              </w:rPr>
              <w:t>22,305,586.41</w:t>
            </w:r>
          </w:p>
        </w:tc>
        <w:tc>
          <w:tcPr>
            <w:tcW w:w="3969" w:type="dxa"/>
            <w:tcBorders>
              <w:top w:val="single" w:color="auto" w:sz="2" w:space="0"/>
              <w:left w:val="single" w:color="auto" w:sz="2" w:space="0"/>
              <w:bottom w:val="single" w:color="auto" w:sz="2" w:space="0"/>
              <w:right w:val="single" w:color="auto" w:sz="2" w:space="0"/>
            </w:tcBorders>
            <w:vAlign w:val="center"/>
          </w:tcPr>
          <w:p w14:paraId="26EEFEDE">
            <w:pPr>
              <w:spacing w:line="240" w:lineRule="exact"/>
              <w:jc w:val="right"/>
              <w:rPr>
                <w:rFonts w:ascii="宋体" w:hAnsi="宋体" w:eastAsia="宋体" w:cs="宋体"/>
                <w:sz w:val="18"/>
                <w:szCs w:val="18"/>
              </w:rPr>
            </w:pPr>
            <w:r>
              <w:rPr>
                <w:rFonts w:ascii="宋体" w:hAnsi="宋体" w:eastAsia="宋体" w:cs="宋体"/>
                <w:sz w:val="18"/>
                <w:szCs w:val="18"/>
              </w:rPr>
              <w:t>23,380,253.38</w:t>
            </w:r>
          </w:p>
        </w:tc>
      </w:tr>
      <w:tr w14:paraId="56CBB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8CC2B72">
            <w:pPr>
              <w:spacing w:line="240" w:lineRule="exact"/>
              <w:rPr>
                <w:rFonts w:ascii="宋体" w:hAnsi="宋体" w:eastAsia="宋体" w:cs="宋体"/>
                <w:sz w:val="18"/>
                <w:szCs w:val="18"/>
              </w:rPr>
            </w:pPr>
            <w:r>
              <w:rPr>
                <w:rFonts w:ascii="宋体" w:hAnsi="宋体" w:eastAsia="宋体" w:cs="宋体"/>
                <w:sz w:val="18"/>
                <w:szCs w:val="18"/>
              </w:rPr>
              <w:t>保证金</w:t>
            </w:r>
          </w:p>
        </w:tc>
        <w:tc>
          <w:tcPr>
            <w:tcW w:w="3260" w:type="dxa"/>
            <w:tcBorders>
              <w:top w:val="single" w:color="auto" w:sz="2" w:space="0"/>
              <w:left w:val="single" w:color="auto" w:sz="2" w:space="0"/>
              <w:bottom w:val="single" w:color="auto" w:sz="2" w:space="0"/>
              <w:right w:val="single" w:color="auto" w:sz="2" w:space="0"/>
            </w:tcBorders>
            <w:vAlign w:val="center"/>
          </w:tcPr>
          <w:p w14:paraId="7BE69A94">
            <w:pPr>
              <w:spacing w:line="240" w:lineRule="exact"/>
              <w:jc w:val="right"/>
              <w:rPr>
                <w:rFonts w:ascii="宋体" w:hAnsi="宋体" w:eastAsia="宋体" w:cs="宋体"/>
                <w:sz w:val="18"/>
                <w:szCs w:val="18"/>
              </w:rPr>
            </w:pPr>
            <w:r>
              <w:rPr>
                <w:rFonts w:ascii="宋体" w:hAnsi="宋体" w:eastAsia="宋体" w:cs="宋体"/>
                <w:sz w:val="18"/>
                <w:szCs w:val="18"/>
              </w:rPr>
              <w:t>17,387,139.22</w:t>
            </w:r>
          </w:p>
        </w:tc>
        <w:tc>
          <w:tcPr>
            <w:tcW w:w="3969" w:type="dxa"/>
            <w:tcBorders>
              <w:top w:val="single" w:color="auto" w:sz="2" w:space="0"/>
              <w:left w:val="single" w:color="auto" w:sz="2" w:space="0"/>
              <w:bottom w:val="single" w:color="auto" w:sz="2" w:space="0"/>
              <w:right w:val="single" w:color="auto" w:sz="2" w:space="0"/>
            </w:tcBorders>
            <w:vAlign w:val="center"/>
          </w:tcPr>
          <w:p w14:paraId="0941CA7F">
            <w:pPr>
              <w:spacing w:line="240" w:lineRule="exact"/>
              <w:jc w:val="right"/>
              <w:rPr>
                <w:rFonts w:ascii="宋体" w:hAnsi="宋体" w:eastAsia="宋体" w:cs="宋体"/>
                <w:sz w:val="18"/>
                <w:szCs w:val="18"/>
              </w:rPr>
            </w:pPr>
            <w:r>
              <w:rPr>
                <w:rFonts w:ascii="宋体" w:hAnsi="宋体" w:eastAsia="宋体" w:cs="宋体"/>
                <w:sz w:val="18"/>
                <w:szCs w:val="18"/>
              </w:rPr>
              <w:t>14,041,045.16</w:t>
            </w:r>
          </w:p>
        </w:tc>
      </w:tr>
      <w:tr w14:paraId="79EA2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0D30BE2">
            <w:pPr>
              <w:spacing w:line="240" w:lineRule="exact"/>
              <w:rPr>
                <w:rFonts w:ascii="宋体" w:hAnsi="宋体" w:eastAsia="宋体" w:cs="宋体"/>
                <w:sz w:val="18"/>
                <w:szCs w:val="18"/>
              </w:rPr>
            </w:pPr>
            <w:r>
              <w:rPr>
                <w:rFonts w:ascii="宋体" w:hAnsi="宋体" w:eastAsia="宋体" w:cs="宋体"/>
                <w:sz w:val="18"/>
                <w:szCs w:val="18"/>
              </w:rPr>
              <w:t>押金</w:t>
            </w:r>
          </w:p>
        </w:tc>
        <w:tc>
          <w:tcPr>
            <w:tcW w:w="3260" w:type="dxa"/>
            <w:tcBorders>
              <w:top w:val="single" w:color="auto" w:sz="2" w:space="0"/>
              <w:left w:val="single" w:color="auto" w:sz="2" w:space="0"/>
              <w:bottom w:val="single" w:color="auto" w:sz="2" w:space="0"/>
              <w:right w:val="single" w:color="auto" w:sz="2" w:space="0"/>
            </w:tcBorders>
            <w:vAlign w:val="center"/>
          </w:tcPr>
          <w:p w14:paraId="1AB7FAB9">
            <w:pPr>
              <w:spacing w:line="240" w:lineRule="exact"/>
              <w:jc w:val="right"/>
              <w:rPr>
                <w:rFonts w:ascii="宋体" w:hAnsi="宋体" w:eastAsia="宋体" w:cs="宋体"/>
                <w:sz w:val="18"/>
                <w:szCs w:val="18"/>
              </w:rPr>
            </w:pPr>
            <w:r>
              <w:rPr>
                <w:rFonts w:ascii="宋体" w:hAnsi="宋体" w:eastAsia="宋体" w:cs="宋体"/>
                <w:sz w:val="18"/>
                <w:szCs w:val="18"/>
              </w:rPr>
              <w:t>1,465,647.07</w:t>
            </w:r>
          </w:p>
        </w:tc>
        <w:tc>
          <w:tcPr>
            <w:tcW w:w="3969" w:type="dxa"/>
            <w:tcBorders>
              <w:top w:val="single" w:color="auto" w:sz="2" w:space="0"/>
              <w:left w:val="single" w:color="auto" w:sz="2" w:space="0"/>
              <w:bottom w:val="single" w:color="auto" w:sz="2" w:space="0"/>
              <w:right w:val="single" w:color="auto" w:sz="2" w:space="0"/>
            </w:tcBorders>
            <w:vAlign w:val="center"/>
          </w:tcPr>
          <w:p w14:paraId="60FC3E25">
            <w:pPr>
              <w:spacing w:line="240" w:lineRule="exact"/>
              <w:jc w:val="right"/>
              <w:rPr>
                <w:rFonts w:ascii="宋体" w:hAnsi="宋体" w:eastAsia="宋体" w:cs="宋体"/>
                <w:sz w:val="18"/>
                <w:szCs w:val="18"/>
              </w:rPr>
            </w:pPr>
            <w:r>
              <w:rPr>
                <w:rFonts w:ascii="宋体" w:hAnsi="宋体" w:eastAsia="宋体" w:cs="宋体"/>
                <w:sz w:val="18"/>
                <w:szCs w:val="18"/>
              </w:rPr>
              <w:t>1,757,631.27</w:t>
            </w:r>
          </w:p>
        </w:tc>
      </w:tr>
      <w:tr w14:paraId="4151C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52C6387">
            <w:pPr>
              <w:spacing w:line="240" w:lineRule="exact"/>
              <w:rPr>
                <w:rFonts w:ascii="宋体" w:hAnsi="宋体" w:eastAsia="宋体" w:cs="宋体"/>
                <w:sz w:val="18"/>
                <w:szCs w:val="18"/>
              </w:rPr>
            </w:pPr>
            <w:r>
              <w:rPr>
                <w:rFonts w:ascii="宋体" w:hAnsi="宋体" w:eastAsia="宋体" w:cs="宋体"/>
                <w:sz w:val="18"/>
                <w:szCs w:val="18"/>
              </w:rPr>
              <w:t>备用金</w:t>
            </w:r>
          </w:p>
        </w:tc>
        <w:tc>
          <w:tcPr>
            <w:tcW w:w="3260" w:type="dxa"/>
            <w:tcBorders>
              <w:top w:val="single" w:color="auto" w:sz="2" w:space="0"/>
              <w:left w:val="single" w:color="auto" w:sz="2" w:space="0"/>
              <w:bottom w:val="single" w:color="auto" w:sz="2" w:space="0"/>
              <w:right w:val="single" w:color="auto" w:sz="2" w:space="0"/>
            </w:tcBorders>
            <w:vAlign w:val="center"/>
          </w:tcPr>
          <w:p w14:paraId="3EFE023B">
            <w:pPr>
              <w:spacing w:line="240" w:lineRule="exact"/>
              <w:jc w:val="right"/>
              <w:rPr>
                <w:rFonts w:ascii="宋体" w:hAnsi="宋体" w:eastAsia="宋体" w:cs="宋体"/>
                <w:sz w:val="18"/>
                <w:szCs w:val="18"/>
              </w:rPr>
            </w:pPr>
            <w:r>
              <w:rPr>
                <w:rFonts w:ascii="宋体" w:hAnsi="宋体" w:eastAsia="宋体" w:cs="宋体"/>
                <w:sz w:val="18"/>
                <w:szCs w:val="18"/>
              </w:rPr>
              <w:t>255,000.00</w:t>
            </w:r>
          </w:p>
        </w:tc>
        <w:tc>
          <w:tcPr>
            <w:tcW w:w="3969" w:type="dxa"/>
            <w:tcBorders>
              <w:top w:val="single" w:color="auto" w:sz="2" w:space="0"/>
              <w:left w:val="single" w:color="auto" w:sz="2" w:space="0"/>
              <w:bottom w:val="single" w:color="auto" w:sz="2" w:space="0"/>
              <w:right w:val="single" w:color="auto" w:sz="2" w:space="0"/>
            </w:tcBorders>
            <w:vAlign w:val="center"/>
          </w:tcPr>
          <w:p w14:paraId="593C1962">
            <w:pPr>
              <w:spacing w:line="240" w:lineRule="exact"/>
              <w:jc w:val="right"/>
              <w:rPr>
                <w:rFonts w:ascii="宋体" w:hAnsi="宋体" w:eastAsia="宋体" w:cs="宋体"/>
                <w:sz w:val="18"/>
                <w:szCs w:val="18"/>
              </w:rPr>
            </w:pPr>
            <w:r>
              <w:rPr>
                <w:rFonts w:ascii="宋体" w:hAnsi="宋体" w:eastAsia="宋体" w:cs="宋体"/>
                <w:sz w:val="18"/>
                <w:szCs w:val="18"/>
              </w:rPr>
              <w:t>55,210.49</w:t>
            </w:r>
          </w:p>
        </w:tc>
      </w:tr>
      <w:tr w14:paraId="28EB1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3D3376B">
            <w:pPr>
              <w:spacing w:line="240" w:lineRule="exact"/>
              <w:rPr>
                <w:rFonts w:ascii="宋体" w:hAnsi="宋体" w:eastAsia="宋体" w:cs="宋体"/>
                <w:sz w:val="18"/>
                <w:szCs w:val="18"/>
              </w:rPr>
            </w:pPr>
            <w:r>
              <w:rPr>
                <w:rFonts w:ascii="宋体" w:hAnsi="宋体" w:eastAsia="宋体" w:cs="宋体"/>
                <w:sz w:val="18"/>
                <w:szCs w:val="18"/>
              </w:rPr>
              <w:t>员工借款</w:t>
            </w:r>
          </w:p>
        </w:tc>
        <w:tc>
          <w:tcPr>
            <w:tcW w:w="3260" w:type="dxa"/>
            <w:tcBorders>
              <w:top w:val="single" w:color="auto" w:sz="2" w:space="0"/>
              <w:left w:val="single" w:color="auto" w:sz="2" w:space="0"/>
              <w:bottom w:val="single" w:color="auto" w:sz="2" w:space="0"/>
              <w:right w:val="single" w:color="auto" w:sz="2" w:space="0"/>
            </w:tcBorders>
            <w:vAlign w:val="center"/>
          </w:tcPr>
          <w:p w14:paraId="191BE3FD">
            <w:pPr>
              <w:spacing w:line="240" w:lineRule="exact"/>
              <w:jc w:val="right"/>
              <w:rPr>
                <w:rFonts w:ascii="宋体" w:hAnsi="宋体" w:eastAsia="宋体" w:cs="宋体"/>
                <w:sz w:val="18"/>
                <w:szCs w:val="18"/>
              </w:rPr>
            </w:pPr>
            <w:r>
              <w:rPr>
                <w:rFonts w:ascii="宋体" w:hAnsi="宋体" w:eastAsia="宋体" w:cs="宋体"/>
                <w:sz w:val="18"/>
                <w:szCs w:val="18"/>
              </w:rPr>
              <w:t>80,078.06</w:t>
            </w:r>
          </w:p>
        </w:tc>
        <w:tc>
          <w:tcPr>
            <w:tcW w:w="3969" w:type="dxa"/>
            <w:tcBorders>
              <w:top w:val="single" w:color="auto" w:sz="2" w:space="0"/>
              <w:left w:val="single" w:color="auto" w:sz="2" w:space="0"/>
              <w:bottom w:val="single" w:color="auto" w:sz="2" w:space="0"/>
              <w:right w:val="single" w:color="auto" w:sz="2" w:space="0"/>
            </w:tcBorders>
            <w:vAlign w:val="center"/>
          </w:tcPr>
          <w:p w14:paraId="3ECA91E4">
            <w:pPr>
              <w:spacing w:line="240" w:lineRule="exact"/>
              <w:jc w:val="right"/>
              <w:rPr>
                <w:rFonts w:ascii="宋体" w:hAnsi="宋体" w:eastAsia="宋体" w:cs="宋体"/>
                <w:sz w:val="18"/>
                <w:szCs w:val="18"/>
              </w:rPr>
            </w:pPr>
            <w:r>
              <w:rPr>
                <w:rFonts w:ascii="宋体" w:hAnsi="宋体" w:eastAsia="宋体" w:cs="宋体"/>
                <w:sz w:val="18"/>
                <w:szCs w:val="18"/>
              </w:rPr>
              <w:t>1,702,097.93</w:t>
            </w:r>
          </w:p>
        </w:tc>
      </w:tr>
      <w:tr w14:paraId="74176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0F8D3D3">
            <w:pPr>
              <w:spacing w:line="240" w:lineRule="exact"/>
              <w:rPr>
                <w:rFonts w:ascii="宋体" w:hAnsi="宋体" w:eastAsia="宋体" w:cs="宋体"/>
                <w:sz w:val="18"/>
                <w:szCs w:val="18"/>
              </w:rPr>
            </w:pPr>
            <w:r>
              <w:rPr>
                <w:rFonts w:ascii="宋体" w:hAnsi="宋体" w:eastAsia="宋体" w:cs="宋体"/>
                <w:sz w:val="18"/>
                <w:szCs w:val="18"/>
              </w:rPr>
              <w:t>政府补助</w:t>
            </w:r>
          </w:p>
        </w:tc>
        <w:tc>
          <w:tcPr>
            <w:tcW w:w="3260" w:type="dxa"/>
            <w:tcBorders>
              <w:top w:val="single" w:color="auto" w:sz="2" w:space="0"/>
              <w:left w:val="single" w:color="auto" w:sz="2" w:space="0"/>
              <w:bottom w:val="single" w:color="auto" w:sz="2" w:space="0"/>
              <w:right w:val="single" w:color="auto" w:sz="2" w:space="0"/>
            </w:tcBorders>
            <w:vAlign w:val="center"/>
          </w:tcPr>
          <w:p w14:paraId="6872ADF5">
            <w:pPr>
              <w:spacing w:line="240" w:lineRule="exact"/>
              <w:jc w:val="right"/>
              <w:rPr>
                <w:rFonts w:ascii="宋体" w:hAnsi="宋体" w:eastAsia="宋体" w:cs="宋体"/>
                <w:sz w:val="18"/>
                <w:szCs w:val="18"/>
              </w:rPr>
            </w:pPr>
            <w:r>
              <w:rPr>
                <w:rFonts w:ascii="宋体" w:hAnsi="宋体" w:eastAsia="宋体" w:cs="宋体"/>
                <w:sz w:val="18"/>
                <w:szCs w:val="18"/>
              </w:rPr>
              <w:t>88,536,103.09</w:t>
            </w:r>
          </w:p>
        </w:tc>
        <w:tc>
          <w:tcPr>
            <w:tcW w:w="3969" w:type="dxa"/>
            <w:tcBorders>
              <w:top w:val="single" w:color="auto" w:sz="2" w:space="0"/>
              <w:left w:val="single" w:color="auto" w:sz="2" w:space="0"/>
              <w:bottom w:val="single" w:color="auto" w:sz="2" w:space="0"/>
              <w:right w:val="single" w:color="auto" w:sz="2" w:space="0"/>
            </w:tcBorders>
            <w:vAlign w:val="center"/>
          </w:tcPr>
          <w:p w14:paraId="632AE99E">
            <w:pPr>
              <w:spacing w:line="240" w:lineRule="exact"/>
              <w:jc w:val="right"/>
              <w:rPr>
                <w:rFonts w:ascii="宋体" w:hAnsi="宋体" w:eastAsia="宋体" w:cs="宋体"/>
                <w:sz w:val="18"/>
                <w:szCs w:val="18"/>
              </w:rPr>
            </w:pPr>
            <w:r>
              <w:rPr>
                <w:rFonts w:ascii="宋体" w:hAnsi="宋体" w:eastAsia="宋体" w:cs="宋体"/>
                <w:sz w:val="18"/>
                <w:szCs w:val="18"/>
              </w:rPr>
              <w:t>151,241,364.94</w:t>
            </w:r>
          </w:p>
        </w:tc>
      </w:tr>
      <w:tr w14:paraId="3F562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31CA76E">
            <w:pPr>
              <w:spacing w:line="240" w:lineRule="exact"/>
              <w:rPr>
                <w:rFonts w:ascii="宋体" w:hAnsi="宋体" w:eastAsia="宋体" w:cs="宋体"/>
                <w:sz w:val="18"/>
                <w:szCs w:val="18"/>
              </w:rPr>
            </w:pPr>
            <w:r>
              <w:rPr>
                <w:rFonts w:ascii="宋体" w:hAnsi="宋体" w:eastAsia="宋体" w:cs="宋体"/>
                <w:sz w:val="18"/>
                <w:szCs w:val="18"/>
              </w:rPr>
              <w:t>应收出口退税款</w:t>
            </w:r>
          </w:p>
        </w:tc>
        <w:tc>
          <w:tcPr>
            <w:tcW w:w="3260" w:type="dxa"/>
            <w:tcBorders>
              <w:top w:val="single" w:color="auto" w:sz="2" w:space="0"/>
              <w:left w:val="single" w:color="auto" w:sz="2" w:space="0"/>
              <w:bottom w:val="single" w:color="auto" w:sz="2" w:space="0"/>
              <w:right w:val="single" w:color="auto" w:sz="2" w:space="0"/>
            </w:tcBorders>
            <w:vAlign w:val="center"/>
          </w:tcPr>
          <w:p w14:paraId="710B8C1E">
            <w:pPr>
              <w:spacing w:line="240" w:lineRule="exact"/>
              <w:jc w:val="right"/>
              <w:rPr>
                <w:rFonts w:ascii="宋体" w:hAnsi="宋体" w:eastAsia="宋体" w:cs="宋体"/>
                <w:sz w:val="18"/>
                <w:szCs w:val="18"/>
              </w:rPr>
            </w:pPr>
            <w:r>
              <w:rPr>
                <w:rFonts w:ascii="宋体" w:hAnsi="宋体" w:eastAsia="宋体" w:cs="宋体"/>
                <w:sz w:val="18"/>
                <w:szCs w:val="18"/>
              </w:rPr>
              <w:t>849,285.80</w:t>
            </w:r>
          </w:p>
        </w:tc>
        <w:tc>
          <w:tcPr>
            <w:tcW w:w="3969" w:type="dxa"/>
            <w:tcBorders>
              <w:top w:val="single" w:color="auto" w:sz="2" w:space="0"/>
              <w:left w:val="single" w:color="auto" w:sz="2" w:space="0"/>
              <w:bottom w:val="single" w:color="auto" w:sz="2" w:space="0"/>
              <w:right w:val="single" w:color="auto" w:sz="2" w:space="0"/>
            </w:tcBorders>
            <w:vAlign w:val="center"/>
          </w:tcPr>
          <w:p w14:paraId="05311CA6">
            <w:pPr>
              <w:spacing w:line="240" w:lineRule="exact"/>
              <w:jc w:val="right"/>
              <w:rPr>
                <w:rFonts w:ascii="宋体" w:hAnsi="宋体" w:eastAsia="宋体" w:cs="宋体"/>
                <w:sz w:val="18"/>
                <w:szCs w:val="18"/>
              </w:rPr>
            </w:pPr>
            <w:r>
              <w:rPr>
                <w:rFonts w:ascii="宋体" w:hAnsi="宋体" w:eastAsia="宋体" w:cs="宋体"/>
                <w:sz w:val="18"/>
                <w:szCs w:val="18"/>
              </w:rPr>
              <w:t>788,619.95</w:t>
            </w:r>
          </w:p>
        </w:tc>
      </w:tr>
      <w:tr w14:paraId="3AF68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40AFC14">
            <w:pPr>
              <w:spacing w:line="240" w:lineRule="exact"/>
              <w:rPr>
                <w:rFonts w:ascii="宋体" w:hAnsi="宋体" w:eastAsia="宋体" w:cs="宋体"/>
                <w:sz w:val="18"/>
                <w:szCs w:val="18"/>
              </w:rPr>
            </w:pPr>
            <w:r>
              <w:rPr>
                <w:rFonts w:ascii="宋体" w:hAnsi="宋体" w:eastAsia="宋体" w:cs="宋体"/>
                <w:sz w:val="18"/>
                <w:szCs w:val="18"/>
              </w:rPr>
              <w:t>代付款</w:t>
            </w:r>
          </w:p>
        </w:tc>
        <w:tc>
          <w:tcPr>
            <w:tcW w:w="3260" w:type="dxa"/>
            <w:tcBorders>
              <w:top w:val="single" w:color="auto" w:sz="2" w:space="0"/>
              <w:left w:val="single" w:color="auto" w:sz="2" w:space="0"/>
              <w:bottom w:val="single" w:color="auto" w:sz="2" w:space="0"/>
              <w:right w:val="single" w:color="auto" w:sz="2" w:space="0"/>
            </w:tcBorders>
            <w:vAlign w:val="center"/>
          </w:tcPr>
          <w:p w14:paraId="1FDBDE32">
            <w:pPr>
              <w:spacing w:line="240" w:lineRule="exact"/>
              <w:jc w:val="right"/>
              <w:rPr>
                <w:rFonts w:ascii="宋体" w:hAnsi="宋体" w:eastAsia="宋体" w:cs="宋体"/>
                <w:sz w:val="18"/>
                <w:szCs w:val="18"/>
              </w:rPr>
            </w:pPr>
            <w:r>
              <w:rPr>
                <w:rFonts w:ascii="宋体" w:hAnsi="宋体" w:eastAsia="宋体" w:cs="宋体"/>
                <w:sz w:val="18"/>
                <w:szCs w:val="18"/>
              </w:rPr>
              <w:t>10,074,382.56</w:t>
            </w:r>
          </w:p>
        </w:tc>
        <w:tc>
          <w:tcPr>
            <w:tcW w:w="3969" w:type="dxa"/>
            <w:tcBorders>
              <w:top w:val="single" w:color="auto" w:sz="2" w:space="0"/>
              <w:left w:val="single" w:color="auto" w:sz="2" w:space="0"/>
              <w:bottom w:val="single" w:color="auto" w:sz="2" w:space="0"/>
              <w:right w:val="single" w:color="auto" w:sz="2" w:space="0"/>
            </w:tcBorders>
            <w:vAlign w:val="center"/>
          </w:tcPr>
          <w:p w14:paraId="6C0FB5B1">
            <w:pPr>
              <w:spacing w:line="240" w:lineRule="exact"/>
              <w:jc w:val="right"/>
              <w:rPr>
                <w:rFonts w:ascii="宋体" w:hAnsi="宋体" w:eastAsia="宋体" w:cs="宋体"/>
                <w:sz w:val="18"/>
                <w:szCs w:val="18"/>
              </w:rPr>
            </w:pPr>
            <w:r>
              <w:rPr>
                <w:rFonts w:ascii="宋体" w:hAnsi="宋体" w:eastAsia="宋体" w:cs="宋体"/>
                <w:sz w:val="18"/>
                <w:szCs w:val="18"/>
              </w:rPr>
              <w:t>11,905,956.67</w:t>
            </w:r>
          </w:p>
        </w:tc>
      </w:tr>
      <w:tr w14:paraId="239C3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7A43F03">
            <w:pPr>
              <w:spacing w:line="240" w:lineRule="exact"/>
              <w:rPr>
                <w:rFonts w:ascii="宋体" w:hAnsi="宋体" w:eastAsia="宋体" w:cs="宋体"/>
                <w:sz w:val="18"/>
                <w:szCs w:val="18"/>
              </w:rPr>
            </w:pPr>
            <w:r>
              <w:rPr>
                <w:rFonts w:ascii="宋体" w:hAnsi="宋体" w:eastAsia="宋体" w:cs="宋体"/>
                <w:sz w:val="18"/>
                <w:szCs w:val="18"/>
              </w:rPr>
              <w:t>其他单位往来款</w:t>
            </w:r>
          </w:p>
        </w:tc>
        <w:tc>
          <w:tcPr>
            <w:tcW w:w="3260" w:type="dxa"/>
            <w:tcBorders>
              <w:top w:val="single" w:color="auto" w:sz="2" w:space="0"/>
              <w:left w:val="single" w:color="auto" w:sz="2" w:space="0"/>
              <w:bottom w:val="single" w:color="auto" w:sz="2" w:space="0"/>
              <w:right w:val="single" w:color="auto" w:sz="2" w:space="0"/>
            </w:tcBorders>
            <w:vAlign w:val="center"/>
          </w:tcPr>
          <w:p w14:paraId="4EFD7D99">
            <w:pPr>
              <w:spacing w:line="240" w:lineRule="exact"/>
              <w:jc w:val="right"/>
              <w:rPr>
                <w:rFonts w:ascii="宋体" w:hAnsi="宋体" w:eastAsia="宋体" w:cs="宋体"/>
                <w:sz w:val="18"/>
                <w:szCs w:val="18"/>
              </w:rPr>
            </w:pPr>
            <w:r>
              <w:rPr>
                <w:rFonts w:ascii="宋体" w:hAnsi="宋体" w:eastAsia="宋体" w:cs="宋体"/>
                <w:sz w:val="18"/>
                <w:szCs w:val="18"/>
              </w:rPr>
              <w:t>28,443,848.58</w:t>
            </w:r>
          </w:p>
        </w:tc>
        <w:tc>
          <w:tcPr>
            <w:tcW w:w="3969" w:type="dxa"/>
            <w:tcBorders>
              <w:top w:val="single" w:color="auto" w:sz="2" w:space="0"/>
              <w:left w:val="single" w:color="auto" w:sz="2" w:space="0"/>
              <w:bottom w:val="single" w:color="auto" w:sz="2" w:space="0"/>
              <w:right w:val="single" w:color="auto" w:sz="2" w:space="0"/>
            </w:tcBorders>
            <w:vAlign w:val="center"/>
          </w:tcPr>
          <w:p w14:paraId="5DC90172">
            <w:pPr>
              <w:spacing w:line="240" w:lineRule="exact"/>
              <w:jc w:val="right"/>
              <w:rPr>
                <w:rFonts w:ascii="宋体" w:hAnsi="宋体" w:eastAsia="宋体" w:cs="宋体"/>
                <w:sz w:val="18"/>
                <w:szCs w:val="18"/>
              </w:rPr>
            </w:pPr>
            <w:r>
              <w:rPr>
                <w:rFonts w:ascii="宋体" w:hAnsi="宋体" w:eastAsia="宋体" w:cs="宋体"/>
                <w:sz w:val="18"/>
                <w:szCs w:val="18"/>
              </w:rPr>
              <w:t>62,529,912.20</w:t>
            </w:r>
          </w:p>
        </w:tc>
      </w:tr>
      <w:tr w14:paraId="13862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A987295">
            <w:pPr>
              <w:spacing w:line="240" w:lineRule="exact"/>
              <w:rPr>
                <w:rFonts w:ascii="宋体" w:hAnsi="宋体" w:eastAsia="宋体" w:cs="宋体"/>
                <w:sz w:val="18"/>
                <w:szCs w:val="18"/>
              </w:rPr>
            </w:pPr>
            <w:r>
              <w:rPr>
                <w:rFonts w:ascii="宋体" w:hAnsi="宋体" w:eastAsia="宋体" w:cs="宋体"/>
                <w:sz w:val="18"/>
                <w:szCs w:val="18"/>
              </w:rPr>
              <w:t>固定资产转让款</w:t>
            </w:r>
          </w:p>
        </w:tc>
        <w:tc>
          <w:tcPr>
            <w:tcW w:w="3260" w:type="dxa"/>
            <w:tcBorders>
              <w:top w:val="single" w:color="auto" w:sz="2" w:space="0"/>
              <w:left w:val="single" w:color="auto" w:sz="2" w:space="0"/>
              <w:bottom w:val="single" w:color="auto" w:sz="2" w:space="0"/>
              <w:right w:val="single" w:color="auto" w:sz="2" w:space="0"/>
            </w:tcBorders>
            <w:vAlign w:val="center"/>
          </w:tcPr>
          <w:p w14:paraId="66C72834">
            <w:pPr>
              <w:spacing w:line="240" w:lineRule="exact"/>
              <w:jc w:val="right"/>
              <w:rPr>
                <w:rFonts w:ascii="宋体" w:hAnsi="宋体" w:eastAsia="宋体" w:cs="宋体"/>
                <w:sz w:val="18"/>
                <w:szCs w:val="18"/>
              </w:rPr>
            </w:pPr>
            <w:r>
              <w:rPr>
                <w:rFonts w:ascii="宋体" w:hAnsi="宋体" w:eastAsia="宋体" w:cs="宋体"/>
                <w:sz w:val="18"/>
                <w:szCs w:val="18"/>
              </w:rPr>
              <w:t>40,000,000.00</w:t>
            </w:r>
          </w:p>
        </w:tc>
        <w:tc>
          <w:tcPr>
            <w:tcW w:w="3969" w:type="dxa"/>
            <w:tcBorders>
              <w:top w:val="single" w:color="auto" w:sz="2" w:space="0"/>
              <w:left w:val="single" w:color="auto" w:sz="2" w:space="0"/>
              <w:bottom w:val="single" w:color="auto" w:sz="2" w:space="0"/>
              <w:right w:val="single" w:color="auto" w:sz="2" w:space="0"/>
            </w:tcBorders>
            <w:vAlign w:val="center"/>
          </w:tcPr>
          <w:p w14:paraId="4E5EE13A">
            <w:pPr>
              <w:spacing w:line="240" w:lineRule="exact"/>
              <w:jc w:val="right"/>
              <w:rPr>
                <w:rFonts w:ascii="宋体" w:hAnsi="宋体" w:eastAsia="宋体" w:cs="宋体"/>
                <w:sz w:val="18"/>
                <w:szCs w:val="18"/>
              </w:rPr>
            </w:pPr>
          </w:p>
        </w:tc>
      </w:tr>
      <w:tr w14:paraId="2033A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7412D22">
            <w:pPr>
              <w:spacing w:line="240" w:lineRule="exact"/>
              <w:rPr>
                <w:rFonts w:ascii="宋体" w:hAnsi="宋体" w:eastAsia="宋体" w:cs="宋体"/>
                <w:sz w:val="18"/>
                <w:szCs w:val="18"/>
              </w:rPr>
            </w:pPr>
            <w:r>
              <w:rPr>
                <w:rFonts w:ascii="宋体" w:hAnsi="宋体" w:eastAsia="宋体" w:cs="宋体"/>
                <w:sz w:val="18"/>
                <w:szCs w:val="18"/>
              </w:rPr>
              <w:t>股权转让款</w:t>
            </w:r>
          </w:p>
        </w:tc>
        <w:tc>
          <w:tcPr>
            <w:tcW w:w="3260" w:type="dxa"/>
            <w:tcBorders>
              <w:top w:val="single" w:color="auto" w:sz="2" w:space="0"/>
              <w:left w:val="single" w:color="auto" w:sz="2" w:space="0"/>
              <w:bottom w:val="single" w:color="auto" w:sz="2" w:space="0"/>
              <w:right w:val="single" w:color="auto" w:sz="2" w:space="0"/>
            </w:tcBorders>
            <w:vAlign w:val="center"/>
          </w:tcPr>
          <w:p w14:paraId="789E1E26">
            <w:pPr>
              <w:spacing w:line="240" w:lineRule="exact"/>
              <w:jc w:val="right"/>
              <w:rPr>
                <w:rFonts w:ascii="宋体" w:hAnsi="宋体" w:eastAsia="宋体" w:cs="宋体"/>
                <w:sz w:val="18"/>
                <w:szCs w:val="18"/>
              </w:rPr>
            </w:pPr>
            <w:r>
              <w:rPr>
                <w:rFonts w:ascii="宋体" w:hAnsi="宋体" w:eastAsia="宋体" w:cs="宋体"/>
                <w:sz w:val="18"/>
                <w:szCs w:val="18"/>
              </w:rPr>
              <w:t>21,070,000.00</w:t>
            </w:r>
          </w:p>
        </w:tc>
        <w:tc>
          <w:tcPr>
            <w:tcW w:w="3969" w:type="dxa"/>
            <w:tcBorders>
              <w:top w:val="single" w:color="auto" w:sz="2" w:space="0"/>
              <w:left w:val="single" w:color="auto" w:sz="2" w:space="0"/>
              <w:bottom w:val="single" w:color="auto" w:sz="2" w:space="0"/>
              <w:right w:val="single" w:color="auto" w:sz="2" w:space="0"/>
            </w:tcBorders>
            <w:vAlign w:val="center"/>
          </w:tcPr>
          <w:p w14:paraId="1C98F2A8">
            <w:pPr>
              <w:spacing w:line="240" w:lineRule="exact"/>
              <w:jc w:val="right"/>
              <w:rPr>
                <w:rFonts w:ascii="宋体" w:hAnsi="宋体" w:eastAsia="宋体" w:cs="宋体"/>
                <w:sz w:val="18"/>
                <w:szCs w:val="18"/>
              </w:rPr>
            </w:pPr>
            <w:r>
              <w:rPr>
                <w:rFonts w:ascii="宋体" w:hAnsi="宋体" w:eastAsia="宋体" w:cs="宋体"/>
                <w:sz w:val="18"/>
                <w:szCs w:val="18"/>
              </w:rPr>
              <w:t>30,070,000.00</w:t>
            </w:r>
          </w:p>
        </w:tc>
      </w:tr>
      <w:tr w14:paraId="63689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578F0C3">
            <w:pPr>
              <w:spacing w:line="240" w:lineRule="exact"/>
              <w:rPr>
                <w:rFonts w:ascii="宋体" w:hAnsi="宋体" w:eastAsia="宋体" w:cs="宋体"/>
                <w:sz w:val="18"/>
                <w:szCs w:val="18"/>
              </w:rPr>
            </w:pPr>
            <w:r>
              <w:rPr>
                <w:rFonts w:ascii="宋体" w:hAnsi="宋体" w:eastAsia="宋体" w:cs="宋体"/>
                <w:sz w:val="18"/>
                <w:szCs w:val="18"/>
              </w:rPr>
              <w:t>其他</w:t>
            </w:r>
          </w:p>
        </w:tc>
        <w:tc>
          <w:tcPr>
            <w:tcW w:w="3260" w:type="dxa"/>
            <w:tcBorders>
              <w:top w:val="single" w:color="auto" w:sz="2" w:space="0"/>
              <w:left w:val="single" w:color="auto" w:sz="2" w:space="0"/>
              <w:bottom w:val="single" w:color="auto" w:sz="2" w:space="0"/>
              <w:right w:val="single" w:color="auto" w:sz="2" w:space="0"/>
            </w:tcBorders>
            <w:vAlign w:val="center"/>
          </w:tcPr>
          <w:p w14:paraId="5033148D">
            <w:pPr>
              <w:spacing w:line="240" w:lineRule="exact"/>
              <w:jc w:val="right"/>
              <w:rPr>
                <w:rFonts w:ascii="宋体" w:hAnsi="宋体" w:eastAsia="宋体" w:cs="宋体"/>
                <w:sz w:val="18"/>
                <w:szCs w:val="18"/>
              </w:rPr>
            </w:pPr>
            <w:r>
              <w:rPr>
                <w:rFonts w:ascii="宋体" w:hAnsi="宋体" w:eastAsia="宋体" w:cs="宋体"/>
                <w:sz w:val="18"/>
                <w:szCs w:val="18"/>
              </w:rPr>
              <w:t>8,743,409.01</w:t>
            </w:r>
          </w:p>
        </w:tc>
        <w:tc>
          <w:tcPr>
            <w:tcW w:w="3969" w:type="dxa"/>
            <w:tcBorders>
              <w:top w:val="single" w:color="auto" w:sz="2" w:space="0"/>
              <w:left w:val="single" w:color="auto" w:sz="2" w:space="0"/>
              <w:bottom w:val="single" w:color="auto" w:sz="2" w:space="0"/>
              <w:right w:val="single" w:color="auto" w:sz="2" w:space="0"/>
            </w:tcBorders>
            <w:vAlign w:val="center"/>
          </w:tcPr>
          <w:p w14:paraId="4F6003C5">
            <w:pPr>
              <w:spacing w:line="240" w:lineRule="exact"/>
              <w:jc w:val="right"/>
              <w:rPr>
                <w:rFonts w:ascii="宋体" w:hAnsi="宋体" w:eastAsia="宋体" w:cs="宋体"/>
                <w:sz w:val="18"/>
                <w:szCs w:val="18"/>
              </w:rPr>
            </w:pPr>
            <w:r>
              <w:rPr>
                <w:rFonts w:ascii="宋体" w:hAnsi="宋体" w:eastAsia="宋体" w:cs="宋体"/>
                <w:sz w:val="18"/>
                <w:szCs w:val="18"/>
              </w:rPr>
              <w:t>19,890,780.15</w:t>
            </w:r>
          </w:p>
        </w:tc>
      </w:tr>
      <w:tr w14:paraId="4ADA6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4563483">
            <w:pPr>
              <w:spacing w:line="240" w:lineRule="exact"/>
              <w:rPr>
                <w:rFonts w:ascii="宋体" w:hAnsi="宋体" w:eastAsia="宋体" w:cs="宋体"/>
                <w:sz w:val="18"/>
                <w:szCs w:val="18"/>
              </w:rPr>
            </w:pPr>
            <w:r>
              <w:rPr>
                <w:rFonts w:ascii="宋体" w:hAnsi="宋体" w:eastAsia="宋体" w:cs="宋体"/>
                <w:sz w:val="18"/>
                <w:szCs w:val="18"/>
              </w:rPr>
              <w:t>坏账准备</w:t>
            </w:r>
          </w:p>
        </w:tc>
        <w:tc>
          <w:tcPr>
            <w:tcW w:w="3260" w:type="dxa"/>
            <w:tcBorders>
              <w:top w:val="single" w:color="auto" w:sz="2" w:space="0"/>
              <w:left w:val="single" w:color="auto" w:sz="2" w:space="0"/>
              <w:bottom w:val="single" w:color="auto" w:sz="2" w:space="0"/>
              <w:right w:val="single" w:color="auto" w:sz="2" w:space="0"/>
            </w:tcBorders>
            <w:vAlign w:val="center"/>
          </w:tcPr>
          <w:p w14:paraId="3B16AEBE">
            <w:pPr>
              <w:spacing w:line="240" w:lineRule="exact"/>
              <w:jc w:val="right"/>
              <w:rPr>
                <w:rFonts w:ascii="宋体" w:hAnsi="宋体" w:eastAsia="宋体" w:cs="宋体"/>
                <w:sz w:val="18"/>
                <w:szCs w:val="18"/>
              </w:rPr>
            </w:pPr>
            <w:r>
              <w:rPr>
                <w:rFonts w:ascii="宋体" w:hAnsi="宋体" w:eastAsia="宋体" w:cs="宋体"/>
                <w:sz w:val="18"/>
                <w:szCs w:val="18"/>
              </w:rPr>
              <w:t>-91,067,297.25</w:t>
            </w:r>
          </w:p>
        </w:tc>
        <w:tc>
          <w:tcPr>
            <w:tcW w:w="3969" w:type="dxa"/>
            <w:tcBorders>
              <w:top w:val="single" w:color="auto" w:sz="2" w:space="0"/>
              <w:left w:val="single" w:color="auto" w:sz="2" w:space="0"/>
              <w:bottom w:val="single" w:color="auto" w:sz="2" w:space="0"/>
              <w:right w:val="single" w:color="auto" w:sz="2" w:space="0"/>
            </w:tcBorders>
            <w:vAlign w:val="center"/>
          </w:tcPr>
          <w:p w14:paraId="7DAC3E33">
            <w:pPr>
              <w:spacing w:line="240" w:lineRule="exact"/>
              <w:jc w:val="right"/>
              <w:rPr>
                <w:rFonts w:ascii="宋体" w:hAnsi="宋体" w:eastAsia="宋体" w:cs="宋体"/>
                <w:sz w:val="18"/>
                <w:szCs w:val="18"/>
              </w:rPr>
            </w:pPr>
            <w:r>
              <w:rPr>
                <w:rFonts w:ascii="宋体" w:hAnsi="宋体" w:eastAsia="宋体" w:cs="宋体"/>
                <w:sz w:val="18"/>
                <w:szCs w:val="18"/>
              </w:rPr>
              <w:t>-141,916,472.95</w:t>
            </w:r>
          </w:p>
        </w:tc>
      </w:tr>
      <w:tr w14:paraId="4F4BD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0BCF67C">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60" w:type="dxa"/>
            <w:tcBorders>
              <w:top w:val="single" w:color="auto" w:sz="2" w:space="0"/>
              <w:left w:val="single" w:color="auto" w:sz="2" w:space="0"/>
              <w:bottom w:val="single" w:color="auto" w:sz="2" w:space="0"/>
              <w:right w:val="single" w:color="auto" w:sz="2" w:space="0"/>
            </w:tcBorders>
            <w:vAlign w:val="center"/>
          </w:tcPr>
          <w:p w14:paraId="55629862">
            <w:pPr>
              <w:spacing w:line="240" w:lineRule="exact"/>
              <w:jc w:val="right"/>
              <w:rPr>
                <w:rFonts w:ascii="宋体" w:hAnsi="宋体" w:eastAsia="宋体" w:cs="宋体"/>
                <w:sz w:val="18"/>
                <w:szCs w:val="18"/>
              </w:rPr>
            </w:pPr>
            <w:r>
              <w:rPr>
                <w:rFonts w:ascii="宋体" w:hAnsi="宋体" w:eastAsia="宋体" w:cs="宋体"/>
                <w:sz w:val="18"/>
                <w:szCs w:val="18"/>
              </w:rPr>
              <w:t>148,143,182.55</w:t>
            </w:r>
          </w:p>
        </w:tc>
        <w:tc>
          <w:tcPr>
            <w:tcW w:w="3969" w:type="dxa"/>
            <w:tcBorders>
              <w:top w:val="single" w:color="auto" w:sz="2" w:space="0"/>
              <w:left w:val="single" w:color="auto" w:sz="2" w:space="0"/>
              <w:bottom w:val="single" w:color="auto" w:sz="2" w:space="0"/>
              <w:right w:val="single" w:color="auto" w:sz="2" w:space="0"/>
            </w:tcBorders>
            <w:vAlign w:val="center"/>
          </w:tcPr>
          <w:p w14:paraId="789930EE">
            <w:pPr>
              <w:spacing w:line="240" w:lineRule="exact"/>
              <w:jc w:val="right"/>
              <w:rPr>
                <w:rFonts w:ascii="宋体" w:hAnsi="宋体" w:eastAsia="宋体" w:cs="宋体"/>
                <w:sz w:val="18"/>
                <w:szCs w:val="18"/>
              </w:rPr>
            </w:pPr>
            <w:r>
              <w:rPr>
                <w:rFonts w:ascii="宋体" w:hAnsi="宋体" w:eastAsia="宋体" w:cs="宋体"/>
                <w:sz w:val="18"/>
                <w:szCs w:val="18"/>
              </w:rPr>
              <w:t>175,446,399.19</w:t>
            </w:r>
          </w:p>
        </w:tc>
      </w:tr>
    </w:tbl>
    <w:p w14:paraId="65CC37DD">
      <w:pPr>
        <w:keepNext/>
        <w:keepLines/>
        <w:spacing w:before="300" w:after="300" w:line="280" w:lineRule="exact"/>
        <w:outlineLvl w:val="4"/>
        <w:rPr>
          <w:rFonts w:ascii="宋体" w:hAnsi="宋体" w:eastAsia="宋体" w:cs="宋体"/>
          <w:b/>
          <w:bCs/>
          <w:szCs w:val="21"/>
        </w:rPr>
      </w:pPr>
      <w:bookmarkStart w:id="316" w:name="_Toc989168"/>
      <w:r>
        <w:rPr>
          <w:rFonts w:ascii="宋体" w:hAnsi="宋体" w:eastAsia="宋体" w:cs="宋体"/>
          <w:b/>
          <w:bCs/>
          <w:szCs w:val="21"/>
        </w:rPr>
        <w:t>2） 按账龄披露</w:t>
      </w:r>
      <w:bookmarkEnd w:id="316"/>
    </w:p>
    <w:p w14:paraId="7BBFDCA8">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B345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800A79">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7BC541">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3297DD">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5D4D0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F4FA29">
            <w:pPr>
              <w:spacing w:before="40" w:after="40" w:line="240" w:lineRule="exac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14:paraId="4EC973CE">
            <w:pPr>
              <w:spacing w:line="240" w:lineRule="exact"/>
              <w:jc w:val="right"/>
              <w:rPr>
                <w:rFonts w:ascii="宋体" w:hAnsi="宋体" w:eastAsia="宋体" w:cs="宋体"/>
                <w:sz w:val="18"/>
                <w:szCs w:val="18"/>
              </w:rPr>
            </w:pPr>
            <w:r>
              <w:rPr>
                <w:rFonts w:ascii="宋体" w:hAnsi="宋体" w:eastAsia="宋体" w:cs="宋体"/>
                <w:sz w:val="18"/>
                <w:szCs w:val="18"/>
              </w:rPr>
              <w:t>102,697,090.12</w:t>
            </w:r>
          </w:p>
        </w:tc>
        <w:tc>
          <w:tcPr>
            <w:tcW w:w="3213" w:type="dxa"/>
            <w:tcBorders>
              <w:top w:val="single" w:color="auto" w:sz="2" w:space="0"/>
              <w:left w:val="single" w:color="auto" w:sz="2" w:space="0"/>
              <w:bottom w:val="single" w:color="auto" w:sz="2" w:space="0"/>
              <w:right w:val="single" w:color="auto" w:sz="2" w:space="0"/>
            </w:tcBorders>
            <w:vAlign w:val="center"/>
          </w:tcPr>
          <w:p w14:paraId="3BCABACA">
            <w:pPr>
              <w:spacing w:line="240" w:lineRule="exact"/>
              <w:jc w:val="right"/>
              <w:rPr>
                <w:rFonts w:ascii="宋体" w:hAnsi="宋体" w:eastAsia="宋体" w:cs="宋体"/>
                <w:sz w:val="18"/>
                <w:szCs w:val="18"/>
              </w:rPr>
            </w:pPr>
            <w:r>
              <w:rPr>
                <w:rFonts w:ascii="宋体" w:hAnsi="宋体" w:eastAsia="宋体" w:cs="宋体"/>
                <w:sz w:val="18"/>
                <w:szCs w:val="18"/>
              </w:rPr>
              <w:t>111,357,145.75</w:t>
            </w:r>
          </w:p>
        </w:tc>
      </w:tr>
      <w:tr w14:paraId="2A52C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6C129B">
            <w:pPr>
              <w:spacing w:before="40" w:after="40" w:line="240" w:lineRule="exact"/>
              <w:rPr>
                <w:rFonts w:ascii="宋体" w:hAnsi="宋体" w:eastAsia="宋体" w:cs="宋体"/>
                <w:sz w:val="18"/>
                <w:szCs w:val="18"/>
              </w:rPr>
            </w:pPr>
            <w:r>
              <w:rPr>
                <w:rFonts w:ascii="宋体" w:hAnsi="宋体" w:eastAsia="宋体" w:cs="宋体"/>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14:paraId="3105FA1D">
            <w:pPr>
              <w:spacing w:line="240" w:lineRule="exact"/>
              <w:jc w:val="right"/>
              <w:rPr>
                <w:rFonts w:ascii="宋体" w:hAnsi="宋体" w:eastAsia="宋体" w:cs="宋体"/>
                <w:sz w:val="18"/>
                <w:szCs w:val="18"/>
              </w:rPr>
            </w:pPr>
            <w:r>
              <w:rPr>
                <w:rFonts w:ascii="宋体" w:hAnsi="宋体" w:eastAsia="宋体" w:cs="宋体"/>
                <w:sz w:val="18"/>
                <w:szCs w:val="18"/>
              </w:rPr>
              <w:t>14,641,621.77</w:t>
            </w:r>
          </w:p>
        </w:tc>
        <w:tc>
          <w:tcPr>
            <w:tcW w:w="3213" w:type="dxa"/>
            <w:tcBorders>
              <w:top w:val="single" w:color="auto" w:sz="2" w:space="0"/>
              <w:left w:val="single" w:color="auto" w:sz="2" w:space="0"/>
              <w:bottom w:val="single" w:color="auto" w:sz="2" w:space="0"/>
              <w:right w:val="single" w:color="auto" w:sz="2" w:space="0"/>
            </w:tcBorders>
            <w:vAlign w:val="center"/>
          </w:tcPr>
          <w:p w14:paraId="75D926D1">
            <w:pPr>
              <w:spacing w:line="240" w:lineRule="exact"/>
              <w:jc w:val="right"/>
              <w:rPr>
                <w:rFonts w:ascii="宋体" w:hAnsi="宋体" w:eastAsia="宋体" w:cs="宋体"/>
                <w:sz w:val="18"/>
                <w:szCs w:val="18"/>
              </w:rPr>
            </w:pPr>
            <w:r>
              <w:rPr>
                <w:rFonts w:ascii="宋体" w:hAnsi="宋体" w:eastAsia="宋体" w:cs="宋体"/>
                <w:sz w:val="18"/>
                <w:szCs w:val="18"/>
              </w:rPr>
              <w:t>48,769,192.97</w:t>
            </w:r>
          </w:p>
        </w:tc>
      </w:tr>
      <w:tr w14:paraId="623FA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A8D394">
            <w:pPr>
              <w:spacing w:before="40" w:after="40" w:line="240" w:lineRule="exact"/>
              <w:rPr>
                <w:rFonts w:ascii="宋体" w:hAnsi="宋体" w:eastAsia="宋体" w:cs="宋体"/>
                <w:sz w:val="18"/>
                <w:szCs w:val="18"/>
              </w:rPr>
            </w:pPr>
            <w:r>
              <w:rPr>
                <w:rFonts w:ascii="宋体" w:hAnsi="宋体" w:eastAsia="宋体" w:cs="宋体"/>
                <w:sz w:val="18"/>
                <w:szCs w:val="18"/>
              </w:rPr>
              <w:t>2至3年</w:t>
            </w:r>
          </w:p>
        </w:tc>
        <w:tc>
          <w:tcPr>
            <w:tcW w:w="3213" w:type="dxa"/>
            <w:tcBorders>
              <w:top w:val="single" w:color="auto" w:sz="2" w:space="0"/>
              <w:left w:val="single" w:color="auto" w:sz="2" w:space="0"/>
              <w:bottom w:val="single" w:color="auto" w:sz="2" w:space="0"/>
              <w:right w:val="single" w:color="auto" w:sz="2" w:space="0"/>
            </w:tcBorders>
            <w:vAlign w:val="center"/>
          </w:tcPr>
          <w:p w14:paraId="0C7458D0">
            <w:pPr>
              <w:spacing w:line="240" w:lineRule="exact"/>
              <w:jc w:val="right"/>
              <w:rPr>
                <w:rFonts w:ascii="宋体" w:hAnsi="宋体" w:eastAsia="宋体" w:cs="宋体"/>
                <w:sz w:val="18"/>
                <w:szCs w:val="18"/>
              </w:rPr>
            </w:pPr>
            <w:r>
              <w:rPr>
                <w:rFonts w:ascii="宋体" w:hAnsi="宋体" w:eastAsia="宋体" w:cs="宋体"/>
                <w:sz w:val="18"/>
                <w:szCs w:val="18"/>
              </w:rPr>
              <w:t>40,199,286.24</w:t>
            </w:r>
          </w:p>
        </w:tc>
        <w:tc>
          <w:tcPr>
            <w:tcW w:w="3213" w:type="dxa"/>
            <w:tcBorders>
              <w:top w:val="single" w:color="auto" w:sz="2" w:space="0"/>
              <w:left w:val="single" w:color="auto" w:sz="2" w:space="0"/>
              <w:bottom w:val="single" w:color="auto" w:sz="2" w:space="0"/>
              <w:right w:val="single" w:color="auto" w:sz="2" w:space="0"/>
            </w:tcBorders>
            <w:vAlign w:val="center"/>
          </w:tcPr>
          <w:p w14:paraId="0EE9C06B">
            <w:pPr>
              <w:spacing w:line="240" w:lineRule="exact"/>
              <w:jc w:val="right"/>
              <w:rPr>
                <w:rFonts w:ascii="宋体" w:hAnsi="宋体" w:eastAsia="宋体" w:cs="宋体"/>
                <w:sz w:val="18"/>
                <w:szCs w:val="18"/>
              </w:rPr>
            </w:pPr>
            <w:r>
              <w:rPr>
                <w:rFonts w:ascii="宋体" w:hAnsi="宋体" w:eastAsia="宋体" w:cs="宋体"/>
                <w:sz w:val="18"/>
                <w:szCs w:val="18"/>
              </w:rPr>
              <w:t>36,553,216.50</w:t>
            </w:r>
          </w:p>
        </w:tc>
      </w:tr>
      <w:tr w14:paraId="44D0E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8EFD28">
            <w:pPr>
              <w:spacing w:before="40" w:after="40" w:line="240" w:lineRule="exac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14:paraId="4358E5C1">
            <w:pPr>
              <w:spacing w:line="240" w:lineRule="exact"/>
              <w:jc w:val="right"/>
              <w:rPr>
                <w:rFonts w:ascii="宋体" w:hAnsi="宋体" w:eastAsia="宋体" w:cs="宋体"/>
                <w:sz w:val="18"/>
                <w:szCs w:val="18"/>
              </w:rPr>
            </w:pPr>
            <w:r>
              <w:rPr>
                <w:rFonts w:ascii="宋体" w:hAnsi="宋体" w:eastAsia="宋体" w:cs="宋体"/>
                <w:sz w:val="18"/>
                <w:szCs w:val="18"/>
              </w:rPr>
              <w:t>81,672,481.67</w:t>
            </w:r>
          </w:p>
        </w:tc>
        <w:tc>
          <w:tcPr>
            <w:tcW w:w="3213" w:type="dxa"/>
            <w:tcBorders>
              <w:top w:val="single" w:color="auto" w:sz="2" w:space="0"/>
              <w:left w:val="single" w:color="auto" w:sz="2" w:space="0"/>
              <w:bottom w:val="single" w:color="auto" w:sz="2" w:space="0"/>
              <w:right w:val="single" w:color="auto" w:sz="2" w:space="0"/>
            </w:tcBorders>
            <w:vAlign w:val="center"/>
          </w:tcPr>
          <w:p w14:paraId="6B323420">
            <w:pPr>
              <w:spacing w:line="240" w:lineRule="exact"/>
              <w:jc w:val="right"/>
              <w:rPr>
                <w:rFonts w:ascii="宋体" w:hAnsi="宋体" w:eastAsia="宋体" w:cs="宋体"/>
                <w:sz w:val="18"/>
                <w:szCs w:val="18"/>
              </w:rPr>
            </w:pPr>
            <w:r>
              <w:rPr>
                <w:rFonts w:ascii="宋体" w:hAnsi="宋体" w:eastAsia="宋体" w:cs="宋体"/>
                <w:sz w:val="18"/>
                <w:szCs w:val="18"/>
              </w:rPr>
              <w:t>120,683,316.92</w:t>
            </w:r>
          </w:p>
        </w:tc>
      </w:tr>
      <w:tr w14:paraId="58A93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1ABB82">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14:paraId="66CBBB77">
            <w:pPr>
              <w:spacing w:line="240" w:lineRule="exact"/>
              <w:jc w:val="right"/>
              <w:rPr>
                <w:rFonts w:ascii="宋体" w:hAnsi="宋体" w:eastAsia="宋体" w:cs="宋体"/>
                <w:sz w:val="18"/>
                <w:szCs w:val="18"/>
              </w:rPr>
            </w:pPr>
            <w:r>
              <w:rPr>
                <w:rFonts w:ascii="宋体" w:hAnsi="宋体" w:eastAsia="宋体" w:cs="宋体"/>
                <w:sz w:val="18"/>
                <w:szCs w:val="18"/>
              </w:rPr>
              <w:t>11,940,088.61</w:t>
            </w:r>
          </w:p>
        </w:tc>
        <w:tc>
          <w:tcPr>
            <w:tcW w:w="3213" w:type="dxa"/>
            <w:tcBorders>
              <w:top w:val="single" w:color="auto" w:sz="2" w:space="0"/>
              <w:left w:val="single" w:color="auto" w:sz="2" w:space="0"/>
              <w:bottom w:val="single" w:color="auto" w:sz="2" w:space="0"/>
              <w:right w:val="single" w:color="auto" w:sz="2" w:space="0"/>
            </w:tcBorders>
            <w:vAlign w:val="center"/>
          </w:tcPr>
          <w:p w14:paraId="1F70C0BE">
            <w:pPr>
              <w:spacing w:line="240" w:lineRule="exact"/>
              <w:jc w:val="right"/>
              <w:rPr>
                <w:rFonts w:ascii="宋体" w:hAnsi="宋体" w:eastAsia="宋体" w:cs="宋体"/>
                <w:sz w:val="18"/>
                <w:szCs w:val="18"/>
              </w:rPr>
            </w:pPr>
            <w:r>
              <w:rPr>
                <w:rFonts w:ascii="宋体" w:hAnsi="宋体" w:eastAsia="宋体" w:cs="宋体"/>
                <w:sz w:val="18"/>
                <w:szCs w:val="18"/>
              </w:rPr>
              <w:t>11,453,643.13</w:t>
            </w:r>
          </w:p>
        </w:tc>
      </w:tr>
      <w:tr w14:paraId="3FB76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B5B19B">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14:paraId="23125BEB">
            <w:pPr>
              <w:spacing w:line="240" w:lineRule="exact"/>
              <w:jc w:val="right"/>
              <w:rPr>
                <w:rFonts w:ascii="宋体" w:hAnsi="宋体" w:eastAsia="宋体" w:cs="宋体"/>
                <w:sz w:val="18"/>
                <w:szCs w:val="18"/>
              </w:rPr>
            </w:pPr>
            <w:r>
              <w:rPr>
                <w:rFonts w:ascii="宋体" w:hAnsi="宋体" w:eastAsia="宋体" w:cs="宋体"/>
                <w:sz w:val="18"/>
                <w:szCs w:val="18"/>
              </w:rPr>
              <w:t>11,450,528.75</w:t>
            </w:r>
          </w:p>
        </w:tc>
        <w:tc>
          <w:tcPr>
            <w:tcW w:w="3213" w:type="dxa"/>
            <w:tcBorders>
              <w:top w:val="single" w:color="auto" w:sz="2" w:space="0"/>
              <w:left w:val="single" w:color="auto" w:sz="2" w:space="0"/>
              <w:bottom w:val="single" w:color="auto" w:sz="2" w:space="0"/>
              <w:right w:val="single" w:color="auto" w:sz="2" w:space="0"/>
            </w:tcBorders>
            <w:vAlign w:val="center"/>
          </w:tcPr>
          <w:p w14:paraId="71B17187">
            <w:pPr>
              <w:spacing w:line="240" w:lineRule="exact"/>
              <w:jc w:val="right"/>
              <w:rPr>
                <w:rFonts w:ascii="宋体" w:hAnsi="宋体" w:eastAsia="宋体" w:cs="宋体"/>
                <w:sz w:val="18"/>
                <w:szCs w:val="18"/>
              </w:rPr>
            </w:pPr>
            <w:r>
              <w:rPr>
                <w:rFonts w:ascii="宋体" w:hAnsi="宋体" w:eastAsia="宋体" w:cs="宋体"/>
                <w:sz w:val="18"/>
                <w:szCs w:val="18"/>
              </w:rPr>
              <w:t>12,240,258.51</w:t>
            </w:r>
          </w:p>
        </w:tc>
      </w:tr>
      <w:tr w14:paraId="7BD08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3897CB">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14:paraId="26A7E4FE">
            <w:pPr>
              <w:spacing w:line="240" w:lineRule="exact"/>
              <w:jc w:val="right"/>
              <w:rPr>
                <w:rFonts w:ascii="宋体" w:hAnsi="宋体" w:eastAsia="宋体" w:cs="宋体"/>
                <w:sz w:val="18"/>
                <w:szCs w:val="18"/>
              </w:rPr>
            </w:pPr>
            <w:r>
              <w:rPr>
                <w:rFonts w:ascii="宋体" w:hAnsi="宋体" w:eastAsia="宋体" w:cs="宋体"/>
                <w:sz w:val="18"/>
                <w:szCs w:val="18"/>
              </w:rPr>
              <w:t>58,281,864.31</w:t>
            </w:r>
          </w:p>
        </w:tc>
        <w:tc>
          <w:tcPr>
            <w:tcW w:w="3213" w:type="dxa"/>
            <w:tcBorders>
              <w:top w:val="single" w:color="auto" w:sz="2" w:space="0"/>
              <w:left w:val="single" w:color="auto" w:sz="2" w:space="0"/>
              <w:bottom w:val="single" w:color="auto" w:sz="2" w:space="0"/>
              <w:right w:val="single" w:color="auto" w:sz="2" w:space="0"/>
            </w:tcBorders>
            <w:vAlign w:val="center"/>
          </w:tcPr>
          <w:p w14:paraId="599425DA">
            <w:pPr>
              <w:spacing w:line="240" w:lineRule="exact"/>
              <w:jc w:val="right"/>
              <w:rPr>
                <w:rFonts w:ascii="宋体" w:hAnsi="宋体" w:eastAsia="宋体" w:cs="宋体"/>
                <w:sz w:val="18"/>
                <w:szCs w:val="18"/>
              </w:rPr>
            </w:pPr>
            <w:r>
              <w:rPr>
                <w:rFonts w:ascii="宋体" w:hAnsi="宋体" w:eastAsia="宋体" w:cs="宋体"/>
                <w:sz w:val="18"/>
                <w:szCs w:val="18"/>
              </w:rPr>
              <w:t>96,989,415.28</w:t>
            </w:r>
          </w:p>
        </w:tc>
      </w:tr>
      <w:tr w14:paraId="4FCB5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28D41AE">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C4B81A3">
            <w:pPr>
              <w:spacing w:line="240" w:lineRule="exact"/>
              <w:jc w:val="right"/>
              <w:rPr>
                <w:rFonts w:ascii="宋体" w:hAnsi="宋体" w:eastAsia="宋体" w:cs="宋体"/>
                <w:sz w:val="18"/>
                <w:szCs w:val="18"/>
              </w:rPr>
            </w:pPr>
            <w:r>
              <w:rPr>
                <w:rFonts w:ascii="宋体" w:hAnsi="宋体" w:eastAsia="宋体" w:cs="宋体"/>
                <w:sz w:val="18"/>
                <w:szCs w:val="18"/>
              </w:rPr>
              <w:t>239,210,479.80</w:t>
            </w:r>
          </w:p>
        </w:tc>
        <w:tc>
          <w:tcPr>
            <w:tcW w:w="3213" w:type="dxa"/>
            <w:tcBorders>
              <w:top w:val="single" w:color="auto" w:sz="2" w:space="0"/>
              <w:left w:val="single" w:color="auto" w:sz="2" w:space="0"/>
              <w:bottom w:val="single" w:color="auto" w:sz="2" w:space="0"/>
              <w:right w:val="single" w:color="auto" w:sz="2" w:space="0"/>
            </w:tcBorders>
            <w:vAlign w:val="center"/>
          </w:tcPr>
          <w:p w14:paraId="0B7EDB9B">
            <w:pPr>
              <w:spacing w:line="240" w:lineRule="exact"/>
              <w:jc w:val="right"/>
              <w:rPr>
                <w:rFonts w:ascii="宋体" w:hAnsi="宋体" w:eastAsia="宋体" w:cs="宋体"/>
                <w:sz w:val="18"/>
                <w:szCs w:val="18"/>
              </w:rPr>
            </w:pPr>
            <w:r>
              <w:rPr>
                <w:rFonts w:ascii="宋体" w:hAnsi="宋体" w:eastAsia="宋体" w:cs="宋体"/>
                <w:sz w:val="18"/>
                <w:szCs w:val="18"/>
              </w:rPr>
              <w:t>317,362,872.14</w:t>
            </w:r>
          </w:p>
        </w:tc>
      </w:tr>
    </w:tbl>
    <w:p w14:paraId="1AA7FEC1">
      <w:pPr>
        <w:keepNext/>
        <w:keepLines/>
        <w:spacing w:before="300" w:after="300" w:line="280" w:lineRule="exact"/>
        <w:outlineLvl w:val="4"/>
        <w:rPr>
          <w:rFonts w:ascii="宋体" w:hAnsi="宋体" w:eastAsia="宋体" w:cs="宋体"/>
          <w:b/>
          <w:bCs/>
          <w:szCs w:val="21"/>
        </w:rPr>
      </w:pPr>
      <w:bookmarkStart w:id="317" w:name="_Toc989169"/>
      <w:r>
        <w:rPr>
          <w:rFonts w:ascii="宋体" w:hAnsi="宋体" w:eastAsia="宋体" w:cs="宋体"/>
          <w:b/>
          <w:bCs/>
          <w:szCs w:val="21"/>
        </w:rPr>
        <w:t>3） 按坏账计提方法分类披露</w:t>
      </w:r>
      <w:bookmarkEnd w:id="317"/>
    </w:p>
    <w:p w14:paraId="67794C08">
      <w:pPr>
        <w:spacing w:before="40" w:after="4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359C4C3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14:paraId="1B9B7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73563F6">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205C164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1655FF57">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257B3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DC54B4B"/>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1CFAFC6">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AE381D4">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1C8E174">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62B089F">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1139DCA">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BB1451E">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36B84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C356279"/>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63BFEE8">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3A8B734">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F8DBF43">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602DCE0">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E2CFAB3"/>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138F19E">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DD7F705">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5FBD1FA">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03F7508">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A04E071"/>
        </w:tc>
      </w:tr>
      <w:tr w14:paraId="45B35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2AD93ED">
            <w:pPr>
              <w:spacing w:before="40" w:after="40" w:line="240" w:lineRule="exact"/>
              <w:rPr>
                <w:rFonts w:ascii="宋体" w:hAnsi="宋体" w:eastAsia="宋体" w:cs="宋体"/>
                <w:sz w:val="18"/>
                <w:szCs w:val="18"/>
              </w:rPr>
            </w:pPr>
            <w:r>
              <w:rPr>
                <w:rFonts w:ascii="宋体" w:hAnsi="宋体" w:eastAsia="宋体" w:cs="宋体"/>
                <w:sz w:val="18"/>
                <w:szCs w:val="18"/>
              </w:rPr>
              <w:t>按单项计提坏账准备</w:t>
            </w:r>
          </w:p>
        </w:tc>
        <w:tc>
          <w:tcPr>
            <w:tcW w:w="876" w:type="dxa"/>
            <w:tcBorders>
              <w:top w:val="single" w:color="auto" w:sz="2" w:space="0"/>
              <w:left w:val="single" w:color="auto" w:sz="2" w:space="0"/>
              <w:bottom w:val="single" w:color="auto" w:sz="2" w:space="0"/>
              <w:right w:val="single" w:color="auto" w:sz="2" w:space="0"/>
            </w:tcBorders>
            <w:vAlign w:val="center"/>
          </w:tcPr>
          <w:p w14:paraId="2FFF06C2">
            <w:pPr>
              <w:spacing w:line="240" w:lineRule="exact"/>
              <w:jc w:val="right"/>
              <w:rPr>
                <w:rFonts w:ascii="宋体" w:hAnsi="宋体" w:eastAsia="宋体" w:cs="宋体"/>
                <w:sz w:val="18"/>
                <w:szCs w:val="18"/>
              </w:rPr>
            </w:pPr>
            <w:r>
              <w:rPr>
                <w:rFonts w:ascii="宋体" w:hAnsi="宋体" w:eastAsia="宋体" w:cs="宋体"/>
                <w:sz w:val="18"/>
                <w:szCs w:val="18"/>
              </w:rPr>
              <w:t>26,696,585.73</w:t>
            </w:r>
          </w:p>
        </w:tc>
        <w:tc>
          <w:tcPr>
            <w:tcW w:w="876" w:type="dxa"/>
            <w:tcBorders>
              <w:top w:val="single" w:color="auto" w:sz="2" w:space="0"/>
              <w:left w:val="single" w:color="auto" w:sz="2" w:space="0"/>
              <w:bottom w:val="single" w:color="auto" w:sz="2" w:space="0"/>
              <w:right w:val="single" w:color="auto" w:sz="2" w:space="0"/>
            </w:tcBorders>
            <w:vAlign w:val="center"/>
          </w:tcPr>
          <w:p w14:paraId="2DA098BC">
            <w:pPr>
              <w:spacing w:line="240" w:lineRule="exact"/>
              <w:jc w:val="right"/>
              <w:rPr>
                <w:rFonts w:ascii="宋体" w:hAnsi="宋体" w:eastAsia="宋体" w:cs="宋体"/>
                <w:sz w:val="18"/>
                <w:szCs w:val="18"/>
              </w:rPr>
            </w:pPr>
            <w:r>
              <w:rPr>
                <w:rFonts w:ascii="宋体" w:hAnsi="宋体" w:eastAsia="宋体" w:cs="宋体"/>
                <w:sz w:val="18"/>
                <w:szCs w:val="18"/>
              </w:rPr>
              <w:t>11.16%</w:t>
            </w:r>
          </w:p>
        </w:tc>
        <w:tc>
          <w:tcPr>
            <w:tcW w:w="876" w:type="dxa"/>
            <w:tcBorders>
              <w:top w:val="single" w:color="auto" w:sz="2" w:space="0"/>
              <w:left w:val="single" w:color="auto" w:sz="2" w:space="0"/>
              <w:bottom w:val="single" w:color="auto" w:sz="2" w:space="0"/>
              <w:right w:val="single" w:color="auto" w:sz="2" w:space="0"/>
            </w:tcBorders>
            <w:vAlign w:val="center"/>
          </w:tcPr>
          <w:p w14:paraId="6C963CDE">
            <w:pPr>
              <w:spacing w:line="240" w:lineRule="exact"/>
              <w:jc w:val="right"/>
              <w:rPr>
                <w:rFonts w:ascii="宋体" w:hAnsi="宋体" w:eastAsia="宋体" w:cs="宋体"/>
                <w:sz w:val="18"/>
                <w:szCs w:val="18"/>
              </w:rPr>
            </w:pPr>
            <w:r>
              <w:rPr>
                <w:rFonts w:ascii="宋体" w:hAnsi="宋体" w:eastAsia="宋体" w:cs="宋体"/>
                <w:sz w:val="18"/>
                <w:szCs w:val="18"/>
              </w:rPr>
              <w:t>26,696,585.73</w:t>
            </w:r>
          </w:p>
        </w:tc>
        <w:tc>
          <w:tcPr>
            <w:tcW w:w="876" w:type="dxa"/>
            <w:tcBorders>
              <w:top w:val="single" w:color="auto" w:sz="2" w:space="0"/>
              <w:left w:val="single" w:color="auto" w:sz="2" w:space="0"/>
              <w:bottom w:val="single" w:color="auto" w:sz="2" w:space="0"/>
              <w:right w:val="single" w:color="auto" w:sz="2" w:space="0"/>
            </w:tcBorders>
            <w:vAlign w:val="center"/>
          </w:tcPr>
          <w:p w14:paraId="31015461">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51B5FCFD">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876" w:type="dxa"/>
            <w:tcBorders>
              <w:top w:val="single" w:color="auto" w:sz="2" w:space="0"/>
              <w:left w:val="single" w:color="auto" w:sz="2" w:space="0"/>
              <w:bottom w:val="single" w:color="auto" w:sz="2" w:space="0"/>
              <w:right w:val="single" w:color="auto" w:sz="2" w:space="0"/>
            </w:tcBorders>
            <w:vAlign w:val="center"/>
          </w:tcPr>
          <w:p w14:paraId="57DB08AE">
            <w:pPr>
              <w:spacing w:line="240" w:lineRule="exact"/>
              <w:jc w:val="right"/>
              <w:rPr>
                <w:rFonts w:ascii="宋体" w:hAnsi="宋体" w:eastAsia="宋体" w:cs="宋体"/>
                <w:sz w:val="18"/>
                <w:szCs w:val="18"/>
              </w:rPr>
            </w:pPr>
            <w:r>
              <w:rPr>
                <w:rFonts w:ascii="宋体" w:hAnsi="宋体" w:eastAsia="宋体" w:cs="宋体"/>
                <w:sz w:val="18"/>
                <w:szCs w:val="18"/>
              </w:rPr>
              <w:t>26,202,606.73</w:t>
            </w:r>
          </w:p>
        </w:tc>
        <w:tc>
          <w:tcPr>
            <w:tcW w:w="876" w:type="dxa"/>
            <w:tcBorders>
              <w:top w:val="single" w:color="auto" w:sz="2" w:space="0"/>
              <w:left w:val="single" w:color="auto" w:sz="2" w:space="0"/>
              <w:bottom w:val="single" w:color="auto" w:sz="2" w:space="0"/>
              <w:right w:val="single" w:color="auto" w:sz="2" w:space="0"/>
            </w:tcBorders>
            <w:vAlign w:val="center"/>
          </w:tcPr>
          <w:p w14:paraId="1A591269">
            <w:pPr>
              <w:spacing w:line="240" w:lineRule="exact"/>
              <w:jc w:val="right"/>
              <w:rPr>
                <w:rFonts w:ascii="宋体" w:hAnsi="宋体" w:eastAsia="宋体" w:cs="宋体"/>
                <w:sz w:val="18"/>
                <w:szCs w:val="18"/>
              </w:rPr>
            </w:pPr>
            <w:r>
              <w:rPr>
                <w:rFonts w:ascii="宋体" w:hAnsi="宋体" w:eastAsia="宋体" w:cs="宋体"/>
                <w:sz w:val="18"/>
                <w:szCs w:val="18"/>
              </w:rPr>
              <w:t>8.26%</w:t>
            </w:r>
          </w:p>
        </w:tc>
        <w:tc>
          <w:tcPr>
            <w:tcW w:w="876" w:type="dxa"/>
            <w:tcBorders>
              <w:top w:val="single" w:color="auto" w:sz="2" w:space="0"/>
              <w:left w:val="single" w:color="auto" w:sz="2" w:space="0"/>
              <w:bottom w:val="single" w:color="auto" w:sz="2" w:space="0"/>
              <w:right w:val="single" w:color="auto" w:sz="2" w:space="0"/>
            </w:tcBorders>
            <w:vAlign w:val="center"/>
          </w:tcPr>
          <w:p w14:paraId="28E49764">
            <w:pPr>
              <w:spacing w:line="240" w:lineRule="exact"/>
              <w:jc w:val="right"/>
              <w:rPr>
                <w:rFonts w:ascii="宋体" w:hAnsi="宋体" w:eastAsia="宋体" w:cs="宋体"/>
                <w:sz w:val="18"/>
                <w:szCs w:val="18"/>
              </w:rPr>
            </w:pPr>
            <w:r>
              <w:rPr>
                <w:rFonts w:ascii="宋体" w:hAnsi="宋体" w:eastAsia="宋体" w:cs="宋体"/>
                <w:sz w:val="18"/>
                <w:szCs w:val="18"/>
              </w:rPr>
              <w:t>26,202,606.73</w:t>
            </w:r>
          </w:p>
        </w:tc>
        <w:tc>
          <w:tcPr>
            <w:tcW w:w="876" w:type="dxa"/>
            <w:tcBorders>
              <w:top w:val="single" w:color="auto" w:sz="2" w:space="0"/>
              <w:left w:val="single" w:color="auto" w:sz="2" w:space="0"/>
              <w:bottom w:val="single" w:color="auto" w:sz="2" w:space="0"/>
              <w:right w:val="single" w:color="auto" w:sz="2" w:space="0"/>
            </w:tcBorders>
            <w:vAlign w:val="center"/>
          </w:tcPr>
          <w:p w14:paraId="184A09C9">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36DA5F09">
            <w:pPr>
              <w:spacing w:line="240" w:lineRule="exact"/>
              <w:jc w:val="right"/>
              <w:rPr>
                <w:rFonts w:ascii="宋体" w:hAnsi="宋体" w:eastAsia="宋体" w:cs="宋体"/>
                <w:sz w:val="18"/>
                <w:szCs w:val="18"/>
              </w:rPr>
            </w:pPr>
          </w:p>
        </w:tc>
      </w:tr>
      <w:tr w14:paraId="408E6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99CB375">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7DCFD9C"/>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3DBDA76"/>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8F86DE0"/>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2794E6B"/>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BC24E04"/>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20BEF66"/>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5D691C2"/>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2268B5A"/>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B738D10"/>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A92EF9B"/>
        </w:tc>
      </w:tr>
      <w:tr w14:paraId="7A6A6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0B29712">
            <w:pPr>
              <w:spacing w:before="40" w:after="40" w:line="240" w:lineRule="exact"/>
              <w:rPr>
                <w:rFonts w:ascii="宋体" w:hAnsi="宋体" w:eastAsia="宋体" w:cs="宋体"/>
                <w:sz w:val="18"/>
                <w:szCs w:val="18"/>
              </w:rPr>
            </w:pPr>
            <w:r>
              <w:rPr>
                <w:rFonts w:ascii="宋体" w:hAnsi="宋体" w:eastAsia="宋体" w:cs="宋体"/>
                <w:sz w:val="18"/>
                <w:szCs w:val="18"/>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14:paraId="63C4050F">
            <w:pPr>
              <w:spacing w:line="240" w:lineRule="exact"/>
              <w:jc w:val="right"/>
              <w:rPr>
                <w:rFonts w:ascii="宋体" w:hAnsi="宋体" w:eastAsia="宋体" w:cs="宋体"/>
                <w:sz w:val="18"/>
                <w:szCs w:val="18"/>
              </w:rPr>
            </w:pPr>
            <w:r>
              <w:rPr>
                <w:rFonts w:ascii="宋体" w:hAnsi="宋体" w:eastAsia="宋体" w:cs="宋体"/>
                <w:sz w:val="18"/>
                <w:szCs w:val="18"/>
              </w:rPr>
              <w:t>212,513,894.07</w:t>
            </w:r>
          </w:p>
        </w:tc>
        <w:tc>
          <w:tcPr>
            <w:tcW w:w="876" w:type="dxa"/>
            <w:tcBorders>
              <w:top w:val="single" w:color="auto" w:sz="2" w:space="0"/>
              <w:left w:val="single" w:color="auto" w:sz="2" w:space="0"/>
              <w:bottom w:val="single" w:color="auto" w:sz="2" w:space="0"/>
              <w:right w:val="single" w:color="auto" w:sz="2" w:space="0"/>
            </w:tcBorders>
            <w:vAlign w:val="center"/>
          </w:tcPr>
          <w:p w14:paraId="1C42F778">
            <w:pPr>
              <w:spacing w:line="240" w:lineRule="exact"/>
              <w:jc w:val="right"/>
              <w:rPr>
                <w:rFonts w:ascii="宋体" w:hAnsi="宋体" w:eastAsia="宋体" w:cs="宋体"/>
                <w:sz w:val="18"/>
                <w:szCs w:val="18"/>
              </w:rPr>
            </w:pPr>
            <w:r>
              <w:rPr>
                <w:rFonts w:ascii="宋体" w:hAnsi="宋体" w:eastAsia="宋体" w:cs="宋体"/>
                <w:sz w:val="18"/>
                <w:szCs w:val="18"/>
              </w:rPr>
              <w:t>88.84%</w:t>
            </w:r>
          </w:p>
        </w:tc>
        <w:tc>
          <w:tcPr>
            <w:tcW w:w="876" w:type="dxa"/>
            <w:tcBorders>
              <w:top w:val="single" w:color="auto" w:sz="2" w:space="0"/>
              <w:left w:val="single" w:color="auto" w:sz="2" w:space="0"/>
              <w:bottom w:val="single" w:color="auto" w:sz="2" w:space="0"/>
              <w:right w:val="single" w:color="auto" w:sz="2" w:space="0"/>
            </w:tcBorders>
            <w:vAlign w:val="center"/>
          </w:tcPr>
          <w:p w14:paraId="115097E1">
            <w:pPr>
              <w:spacing w:line="240" w:lineRule="exact"/>
              <w:jc w:val="right"/>
              <w:rPr>
                <w:rFonts w:ascii="宋体" w:hAnsi="宋体" w:eastAsia="宋体" w:cs="宋体"/>
                <w:sz w:val="18"/>
                <w:szCs w:val="18"/>
              </w:rPr>
            </w:pPr>
            <w:r>
              <w:rPr>
                <w:rFonts w:ascii="宋体" w:hAnsi="宋体" w:eastAsia="宋体" w:cs="宋体"/>
                <w:sz w:val="18"/>
                <w:szCs w:val="18"/>
              </w:rPr>
              <w:t>64,370,711.52</w:t>
            </w:r>
          </w:p>
        </w:tc>
        <w:tc>
          <w:tcPr>
            <w:tcW w:w="876" w:type="dxa"/>
            <w:tcBorders>
              <w:top w:val="single" w:color="auto" w:sz="2" w:space="0"/>
              <w:left w:val="single" w:color="auto" w:sz="2" w:space="0"/>
              <w:bottom w:val="single" w:color="auto" w:sz="2" w:space="0"/>
              <w:right w:val="single" w:color="auto" w:sz="2" w:space="0"/>
            </w:tcBorders>
            <w:vAlign w:val="center"/>
          </w:tcPr>
          <w:p w14:paraId="066E35DB">
            <w:pPr>
              <w:spacing w:line="240" w:lineRule="exact"/>
              <w:jc w:val="right"/>
              <w:rPr>
                <w:rFonts w:ascii="宋体" w:hAnsi="宋体" w:eastAsia="宋体" w:cs="宋体"/>
                <w:sz w:val="18"/>
                <w:szCs w:val="18"/>
              </w:rPr>
            </w:pPr>
            <w:r>
              <w:rPr>
                <w:rFonts w:ascii="宋体" w:hAnsi="宋体" w:eastAsia="宋体" w:cs="宋体"/>
                <w:sz w:val="18"/>
                <w:szCs w:val="18"/>
              </w:rPr>
              <w:t>30.29%</w:t>
            </w:r>
          </w:p>
        </w:tc>
        <w:tc>
          <w:tcPr>
            <w:tcW w:w="876" w:type="dxa"/>
            <w:tcBorders>
              <w:top w:val="single" w:color="auto" w:sz="2" w:space="0"/>
              <w:left w:val="single" w:color="auto" w:sz="2" w:space="0"/>
              <w:bottom w:val="single" w:color="auto" w:sz="2" w:space="0"/>
              <w:right w:val="single" w:color="auto" w:sz="2" w:space="0"/>
            </w:tcBorders>
            <w:vAlign w:val="center"/>
          </w:tcPr>
          <w:p w14:paraId="3E0D509A">
            <w:pPr>
              <w:spacing w:line="240" w:lineRule="exact"/>
              <w:jc w:val="right"/>
              <w:rPr>
                <w:rFonts w:ascii="宋体" w:hAnsi="宋体" w:eastAsia="宋体" w:cs="宋体"/>
                <w:sz w:val="18"/>
                <w:szCs w:val="18"/>
              </w:rPr>
            </w:pPr>
            <w:r>
              <w:rPr>
                <w:rFonts w:ascii="宋体" w:hAnsi="宋体" w:eastAsia="宋体" w:cs="宋体"/>
                <w:sz w:val="18"/>
                <w:szCs w:val="18"/>
              </w:rPr>
              <w:t>148,143,182.55</w:t>
            </w:r>
          </w:p>
        </w:tc>
        <w:tc>
          <w:tcPr>
            <w:tcW w:w="876" w:type="dxa"/>
            <w:tcBorders>
              <w:top w:val="single" w:color="auto" w:sz="2" w:space="0"/>
              <w:left w:val="single" w:color="auto" w:sz="2" w:space="0"/>
              <w:bottom w:val="single" w:color="auto" w:sz="2" w:space="0"/>
              <w:right w:val="single" w:color="auto" w:sz="2" w:space="0"/>
            </w:tcBorders>
            <w:vAlign w:val="center"/>
          </w:tcPr>
          <w:p w14:paraId="29683D1D">
            <w:pPr>
              <w:spacing w:line="240" w:lineRule="exact"/>
              <w:jc w:val="right"/>
              <w:rPr>
                <w:rFonts w:ascii="宋体" w:hAnsi="宋体" w:eastAsia="宋体" w:cs="宋体"/>
                <w:sz w:val="18"/>
                <w:szCs w:val="18"/>
              </w:rPr>
            </w:pPr>
            <w:r>
              <w:rPr>
                <w:rFonts w:ascii="宋体" w:hAnsi="宋体" w:eastAsia="宋体" w:cs="宋体"/>
                <w:sz w:val="18"/>
                <w:szCs w:val="18"/>
              </w:rPr>
              <w:t>291,160,265.41</w:t>
            </w:r>
          </w:p>
        </w:tc>
        <w:tc>
          <w:tcPr>
            <w:tcW w:w="876" w:type="dxa"/>
            <w:tcBorders>
              <w:top w:val="single" w:color="auto" w:sz="2" w:space="0"/>
              <w:left w:val="single" w:color="auto" w:sz="2" w:space="0"/>
              <w:bottom w:val="single" w:color="auto" w:sz="2" w:space="0"/>
              <w:right w:val="single" w:color="auto" w:sz="2" w:space="0"/>
            </w:tcBorders>
            <w:vAlign w:val="center"/>
          </w:tcPr>
          <w:p w14:paraId="6E5E7A9E">
            <w:pPr>
              <w:spacing w:line="240" w:lineRule="exact"/>
              <w:jc w:val="right"/>
              <w:rPr>
                <w:rFonts w:ascii="宋体" w:hAnsi="宋体" w:eastAsia="宋体" w:cs="宋体"/>
                <w:sz w:val="18"/>
                <w:szCs w:val="18"/>
              </w:rPr>
            </w:pPr>
            <w:r>
              <w:rPr>
                <w:rFonts w:ascii="宋体" w:hAnsi="宋体" w:eastAsia="宋体" w:cs="宋体"/>
                <w:sz w:val="18"/>
                <w:szCs w:val="18"/>
              </w:rPr>
              <w:t>91.74%</w:t>
            </w:r>
          </w:p>
        </w:tc>
        <w:tc>
          <w:tcPr>
            <w:tcW w:w="876" w:type="dxa"/>
            <w:tcBorders>
              <w:top w:val="single" w:color="auto" w:sz="2" w:space="0"/>
              <w:left w:val="single" w:color="auto" w:sz="2" w:space="0"/>
              <w:bottom w:val="single" w:color="auto" w:sz="2" w:space="0"/>
              <w:right w:val="single" w:color="auto" w:sz="2" w:space="0"/>
            </w:tcBorders>
            <w:vAlign w:val="center"/>
          </w:tcPr>
          <w:p w14:paraId="6C1E3FF2">
            <w:pPr>
              <w:spacing w:line="240" w:lineRule="exact"/>
              <w:jc w:val="right"/>
              <w:rPr>
                <w:rFonts w:ascii="宋体" w:hAnsi="宋体" w:eastAsia="宋体" w:cs="宋体"/>
                <w:sz w:val="18"/>
                <w:szCs w:val="18"/>
              </w:rPr>
            </w:pPr>
            <w:r>
              <w:rPr>
                <w:rFonts w:ascii="宋体" w:hAnsi="宋体" w:eastAsia="宋体" w:cs="宋体"/>
                <w:sz w:val="18"/>
                <w:szCs w:val="18"/>
              </w:rPr>
              <w:t>115,713,866.22</w:t>
            </w:r>
          </w:p>
        </w:tc>
        <w:tc>
          <w:tcPr>
            <w:tcW w:w="876" w:type="dxa"/>
            <w:tcBorders>
              <w:top w:val="single" w:color="auto" w:sz="2" w:space="0"/>
              <w:left w:val="single" w:color="auto" w:sz="2" w:space="0"/>
              <w:bottom w:val="single" w:color="auto" w:sz="2" w:space="0"/>
              <w:right w:val="single" w:color="auto" w:sz="2" w:space="0"/>
            </w:tcBorders>
            <w:vAlign w:val="center"/>
          </w:tcPr>
          <w:p w14:paraId="79835948">
            <w:pPr>
              <w:spacing w:line="240" w:lineRule="exact"/>
              <w:jc w:val="right"/>
              <w:rPr>
                <w:rFonts w:ascii="宋体" w:hAnsi="宋体" w:eastAsia="宋体" w:cs="宋体"/>
                <w:sz w:val="18"/>
                <w:szCs w:val="18"/>
              </w:rPr>
            </w:pPr>
            <w:r>
              <w:rPr>
                <w:rFonts w:ascii="宋体" w:hAnsi="宋体" w:eastAsia="宋体" w:cs="宋体"/>
                <w:sz w:val="18"/>
                <w:szCs w:val="18"/>
              </w:rPr>
              <w:t>39.74%</w:t>
            </w:r>
          </w:p>
        </w:tc>
        <w:tc>
          <w:tcPr>
            <w:tcW w:w="876" w:type="dxa"/>
            <w:tcBorders>
              <w:top w:val="single" w:color="auto" w:sz="2" w:space="0"/>
              <w:left w:val="single" w:color="auto" w:sz="2" w:space="0"/>
              <w:bottom w:val="single" w:color="auto" w:sz="2" w:space="0"/>
              <w:right w:val="single" w:color="auto" w:sz="2" w:space="0"/>
            </w:tcBorders>
            <w:vAlign w:val="center"/>
          </w:tcPr>
          <w:p w14:paraId="1E898FA2">
            <w:pPr>
              <w:spacing w:line="240" w:lineRule="exact"/>
              <w:jc w:val="right"/>
              <w:rPr>
                <w:rFonts w:ascii="宋体" w:hAnsi="宋体" w:eastAsia="宋体" w:cs="宋体"/>
                <w:sz w:val="18"/>
                <w:szCs w:val="18"/>
              </w:rPr>
            </w:pPr>
            <w:r>
              <w:rPr>
                <w:rFonts w:ascii="宋体" w:hAnsi="宋体" w:eastAsia="宋体" w:cs="宋体"/>
                <w:sz w:val="18"/>
                <w:szCs w:val="18"/>
              </w:rPr>
              <w:t>175,446,399.19</w:t>
            </w:r>
          </w:p>
        </w:tc>
      </w:tr>
      <w:tr w14:paraId="492A7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4CD11DE">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F95812C"/>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CEB3949"/>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22333A2"/>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8812640"/>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1651CDA"/>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3285755"/>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989AA97"/>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AE57607"/>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773352D"/>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BC4F16A"/>
        </w:tc>
      </w:tr>
      <w:tr w14:paraId="75AEA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62FD63C1">
            <w:pPr>
              <w:spacing w:line="240" w:lineRule="exact"/>
              <w:rPr>
                <w:rFonts w:ascii="宋体" w:hAnsi="宋体" w:eastAsia="宋体" w:cs="宋体"/>
                <w:sz w:val="18"/>
                <w:szCs w:val="18"/>
              </w:rPr>
            </w:pPr>
            <w:r>
              <w:rPr>
                <w:rFonts w:ascii="宋体" w:hAnsi="宋体" w:eastAsia="宋体" w:cs="宋体"/>
                <w:sz w:val="18"/>
                <w:szCs w:val="18"/>
              </w:rPr>
              <w:t>预期信用风险组合</w:t>
            </w:r>
          </w:p>
        </w:tc>
        <w:tc>
          <w:tcPr>
            <w:tcW w:w="876" w:type="dxa"/>
            <w:tcBorders>
              <w:top w:val="single" w:color="auto" w:sz="2" w:space="0"/>
              <w:left w:val="single" w:color="auto" w:sz="2" w:space="0"/>
              <w:bottom w:val="single" w:color="auto" w:sz="2" w:space="0"/>
              <w:right w:val="single" w:color="auto" w:sz="2" w:space="0"/>
            </w:tcBorders>
            <w:vAlign w:val="center"/>
          </w:tcPr>
          <w:p w14:paraId="41BB834E">
            <w:pPr>
              <w:spacing w:line="240" w:lineRule="exact"/>
              <w:jc w:val="right"/>
              <w:rPr>
                <w:rFonts w:ascii="宋体" w:hAnsi="宋体" w:eastAsia="宋体" w:cs="宋体"/>
                <w:sz w:val="18"/>
                <w:szCs w:val="18"/>
              </w:rPr>
            </w:pPr>
            <w:r>
              <w:rPr>
                <w:rFonts w:ascii="宋体" w:hAnsi="宋体" w:eastAsia="宋体" w:cs="宋体"/>
                <w:sz w:val="18"/>
                <w:szCs w:val="18"/>
              </w:rPr>
              <w:t>105,058,505.18</w:t>
            </w:r>
          </w:p>
        </w:tc>
        <w:tc>
          <w:tcPr>
            <w:tcW w:w="876" w:type="dxa"/>
            <w:tcBorders>
              <w:top w:val="single" w:color="auto" w:sz="2" w:space="0"/>
              <w:left w:val="single" w:color="auto" w:sz="2" w:space="0"/>
              <w:bottom w:val="single" w:color="auto" w:sz="2" w:space="0"/>
              <w:right w:val="single" w:color="auto" w:sz="2" w:space="0"/>
            </w:tcBorders>
            <w:vAlign w:val="center"/>
          </w:tcPr>
          <w:p w14:paraId="7D4F21C6">
            <w:pPr>
              <w:spacing w:line="240" w:lineRule="exact"/>
              <w:jc w:val="right"/>
              <w:rPr>
                <w:rFonts w:ascii="宋体" w:hAnsi="宋体" w:eastAsia="宋体" w:cs="宋体"/>
                <w:sz w:val="18"/>
                <w:szCs w:val="18"/>
              </w:rPr>
            </w:pPr>
            <w:r>
              <w:rPr>
                <w:rFonts w:ascii="宋体" w:hAnsi="宋体" w:eastAsia="宋体" w:cs="宋体"/>
                <w:sz w:val="18"/>
                <w:szCs w:val="18"/>
              </w:rPr>
              <w:t>49.44%</w:t>
            </w:r>
          </w:p>
        </w:tc>
        <w:tc>
          <w:tcPr>
            <w:tcW w:w="876" w:type="dxa"/>
            <w:tcBorders>
              <w:top w:val="single" w:color="auto" w:sz="2" w:space="0"/>
              <w:left w:val="single" w:color="auto" w:sz="2" w:space="0"/>
              <w:bottom w:val="single" w:color="auto" w:sz="2" w:space="0"/>
              <w:right w:val="single" w:color="auto" w:sz="2" w:space="0"/>
            </w:tcBorders>
            <w:vAlign w:val="center"/>
          </w:tcPr>
          <w:p w14:paraId="3C4555BC">
            <w:pPr>
              <w:spacing w:line="240" w:lineRule="exact"/>
              <w:jc w:val="right"/>
              <w:rPr>
                <w:rFonts w:ascii="宋体" w:hAnsi="宋体" w:eastAsia="宋体" w:cs="宋体"/>
                <w:sz w:val="18"/>
                <w:szCs w:val="18"/>
              </w:rPr>
            </w:pPr>
            <w:r>
              <w:rPr>
                <w:rFonts w:ascii="宋体" w:hAnsi="宋体" w:eastAsia="宋体" w:cs="宋体"/>
                <w:sz w:val="18"/>
                <w:szCs w:val="18"/>
              </w:rPr>
              <w:t>24,151,446.81</w:t>
            </w:r>
          </w:p>
        </w:tc>
        <w:tc>
          <w:tcPr>
            <w:tcW w:w="876" w:type="dxa"/>
            <w:tcBorders>
              <w:top w:val="single" w:color="auto" w:sz="2" w:space="0"/>
              <w:left w:val="single" w:color="auto" w:sz="2" w:space="0"/>
              <w:bottom w:val="single" w:color="auto" w:sz="2" w:space="0"/>
              <w:right w:val="single" w:color="auto" w:sz="2" w:space="0"/>
            </w:tcBorders>
            <w:vAlign w:val="center"/>
          </w:tcPr>
          <w:p w14:paraId="409C3D11">
            <w:pPr>
              <w:spacing w:line="240" w:lineRule="exact"/>
              <w:jc w:val="right"/>
              <w:rPr>
                <w:rFonts w:ascii="宋体" w:hAnsi="宋体" w:eastAsia="宋体" w:cs="宋体"/>
                <w:sz w:val="18"/>
                <w:szCs w:val="18"/>
              </w:rPr>
            </w:pPr>
            <w:r>
              <w:rPr>
                <w:rFonts w:ascii="宋体" w:hAnsi="宋体" w:eastAsia="宋体" w:cs="宋体"/>
                <w:sz w:val="18"/>
                <w:szCs w:val="18"/>
              </w:rPr>
              <w:t>22.99%</w:t>
            </w:r>
          </w:p>
        </w:tc>
        <w:tc>
          <w:tcPr>
            <w:tcW w:w="876" w:type="dxa"/>
            <w:tcBorders>
              <w:top w:val="single" w:color="auto" w:sz="2" w:space="0"/>
              <w:left w:val="single" w:color="auto" w:sz="2" w:space="0"/>
              <w:bottom w:val="single" w:color="auto" w:sz="2" w:space="0"/>
              <w:right w:val="single" w:color="auto" w:sz="2" w:space="0"/>
            </w:tcBorders>
            <w:vAlign w:val="center"/>
          </w:tcPr>
          <w:p w14:paraId="7E243772">
            <w:pPr>
              <w:spacing w:line="240" w:lineRule="exact"/>
              <w:jc w:val="right"/>
              <w:rPr>
                <w:rFonts w:ascii="宋体" w:hAnsi="宋体" w:eastAsia="宋体" w:cs="宋体"/>
                <w:sz w:val="18"/>
                <w:szCs w:val="18"/>
              </w:rPr>
            </w:pPr>
            <w:r>
              <w:rPr>
                <w:rFonts w:ascii="宋体" w:hAnsi="宋体" w:eastAsia="宋体" w:cs="宋体"/>
                <w:sz w:val="18"/>
                <w:szCs w:val="18"/>
              </w:rPr>
              <w:t>80,907,058.37</w:t>
            </w:r>
          </w:p>
        </w:tc>
        <w:tc>
          <w:tcPr>
            <w:tcW w:w="876" w:type="dxa"/>
            <w:tcBorders>
              <w:top w:val="single" w:color="auto" w:sz="2" w:space="0"/>
              <w:left w:val="single" w:color="auto" w:sz="2" w:space="0"/>
              <w:bottom w:val="single" w:color="auto" w:sz="2" w:space="0"/>
              <w:right w:val="single" w:color="auto" w:sz="2" w:space="0"/>
            </w:tcBorders>
            <w:vAlign w:val="center"/>
          </w:tcPr>
          <w:p w14:paraId="79F2B7E4">
            <w:pPr>
              <w:spacing w:line="240" w:lineRule="exact"/>
              <w:jc w:val="right"/>
              <w:rPr>
                <w:rFonts w:ascii="宋体" w:hAnsi="宋体" w:eastAsia="宋体" w:cs="宋体"/>
                <w:sz w:val="18"/>
                <w:szCs w:val="18"/>
              </w:rPr>
            </w:pPr>
            <w:r>
              <w:rPr>
                <w:rFonts w:ascii="宋体" w:hAnsi="宋体" w:eastAsia="宋体" w:cs="宋体"/>
                <w:sz w:val="18"/>
                <w:szCs w:val="18"/>
              </w:rPr>
              <w:t>118,060,280.52</w:t>
            </w:r>
          </w:p>
        </w:tc>
        <w:tc>
          <w:tcPr>
            <w:tcW w:w="876" w:type="dxa"/>
            <w:tcBorders>
              <w:top w:val="single" w:color="auto" w:sz="2" w:space="0"/>
              <w:left w:val="single" w:color="auto" w:sz="2" w:space="0"/>
              <w:bottom w:val="single" w:color="auto" w:sz="2" w:space="0"/>
              <w:right w:val="single" w:color="auto" w:sz="2" w:space="0"/>
            </w:tcBorders>
            <w:vAlign w:val="center"/>
          </w:tcPr>
          <w:p w14:paraId="05BCA246">
            <w:pPr>
              <w:spacing w:line="240" w:lineRule="exact"/>
              <w:jc w:val="right"/>
              <w:rPr>
                <w:rFonts w:ascii="宋体" w:hAnsi="宋体" w:eastAsia="宋体" w:cs="宋体"/>
                <w:sz w:val="18"/>
                <w:szCs w:val="18"/>
              </w:rPr>
            </w:pPr>
            <w:r>
              <w:rPr>
                <w:rFonts w:ascii="宋体" w:hAnsi="宋体" w:eastAsia="宋体" w:cs="宋体"/>
                <w:sz w:val="18"/>
                <w:szCs w:val="18"/>
              </w:rPr>
              <w:t>40.55%</w:t>
            </w:r>
          </w:p>
        </w:tc>
        <w:tc>
          <w:tcPr>
            <w:tcW w:w="876" w:type="dxa"/>
            <w:tcBorders>
              <w:top w:val="single" w:color="auto" w:sz="2" w:space="0"/>
              <w:left w:val="single" w:color="auto" w:sz="2" w:space="0"/>
              <w:bottom w:val="single" w:color="auto" w:sz="2" w:space="0"/>
              <w:right w:val="single" w:color="auto" w:sz="2" w:space="0"/>
            </w:tcBorders>
            <w:vAlign w:val="center"/>
          </w:tcPr>
          <w:p w14:paraId="51A18B4A">
            <w:pPr>
              <w:spacing w:line="240" w:lineRule="exact"/>
              <w:jc w:val="right"/>
              <w:rPr>
                <w:rFonts w:ascii="宋体" w:hAnsi="宋体" w:eastAsia="宋体" w:cs="宋体"/>
                <w:sz w:val="18"/>
                <w:szCs w:val="18"/>
              </w:rPr>
            </w:pPr>
            <w:r>
              <w:rPr>
                <w:rFonts w:ascii="宋体" w:hAnsi="宋体" w:eastAsia="宋体" w:cs="宋体"/>
                <w:sz w:val="18"/>
                <w:szCs w:val="18"/>
              </w:rPr>
              <w:t>32,733,760.29</w:t>
            </w:r>
          </w:p>
        </w:tc>
        <w:tc>
          <w:tcPr>
            <w:tcW w:w="876" w:type="dxa"/>
            <w:tcBorders>
              <w:top w:val="single" w:color="auto" w:sz="2" w:space="0"/>
              <w:left w:val="single" w:color="auto" w:sz="2" w:space="0"/>
              <w:bottom w:val="single" w:color="auto" w:sz="2" w:space="0"/>
              <w:right w:val="single" w:color="auto" w:sz="2" w:space="0"/>
            </w:tcBorders>
            <w:vAlign w:val="center"/>
          </w:tcPr>
          <w:p w14:paraId="533FE414">
            <w:pPr>
              <w:spacing w:line="240" w:lineRule="exact"/>
              <w:jc w:val="right"/>
              <w:rPr>
                <w:rFonts w:ascii="宋体" w:hAnsi="宋体" w:eastAsia="宋体" w:cs="宋体"/>
                <w:sz w:val="18"/>
                <w:szCs w:val="18"/>
              </w:rPr>
            </w:pPr>
            <w:r>
              <w:rPr>
                <w:rFonts w:ascii="宋体" w:hAnsi="宋体" w:eastAsia="宋体" w:cs="宋体"/>
                <w:sz w:val="18"/>
                <w:szCs w:val="18"/>
              </w:rPr>
              <w:t>27.73%</w:t>
            </w:r>
          </w:p>
        </w:tc>
        <w:tc>
          <w:tcPr>
            <w:tcW w:w="876" w:type="dxa"/>
            <w:tcBorders>
              <w:top w:val="single" w:color="auto" w:sz="2" w:space="0"/>
              <w:left w:val="single" w:color="auto" w:sz="2" w:space="0"/>
              <w:bottom w:val="single" w:color="auto" w:sz="2" w:space="0"/>
              <w:right w:val="single" w:color="auto" w:sz="2" w:space="0"/>
            </w:tcBorders>
            <w:vAlign w:val="center"/>
          </w:tcPr>
          <w:p w14:paraId="1B1F70F8">
            <w:pPr>
              <w:spacing w:line="240" w:lineRule="exact"/>
              <w:jc w:val="right"/>
              <w:rPr>
                <w:rFonts w:ascii="宋体" w:hAnsi="宋体" w:eastAsia="宋体" w:cs="宋体"/>
                <w:sz w:val="18"/>
                <w:szCs w:val="18"/>
              </w:rPr>
            </w:pPr>
            <w:r>
              <w:rPr>
                <w:rFonts w:ascii="宋体" w:hAnsi="宋体" w:eastAsia="宋体" w:cs="宋体"/>
                <w:sz w:val="18"/>
                <w:szCs w:val="18"/>
              </w:rPr>
              <w:t>85,326,520.23</w:t>
            </w:r>
          </w:p>
        </w:tc>
      </w:tr>
      <w:tr w14:paraId="4924D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38172325">
            <w:pPr>
              <w:spacing w:line="240" w:lineRule="exact"/>
              <w:rPr>
                <w:rFonts w:ascii="宋体" w:hAnsi="宋体" w:eastAsia="宋体" w:cs="宋体"/>
                <w:sz w:val="18"/>
                <w:szCs w:val="18"/>
              </w:rPr>
            </w:pPr>
            <w:r>
              <w:rPr>
                <w:rFonts w:ascii="宋体" w:hAnsi="宋体" w:eastAsia="宋体" w:cs="宋体"/>
                <w:sz w:val="18"/>
                <w:szCs w:val="18"/>
              </w:rPr>
              <w:t>应收财政款组合</w:t>
            </w:r>
          </w:p>
        </w:tc>
        <w:tc>
          <w:tcPr>
            <w:tcW w:w="876" w:type="dxa"/>
            <w:tcBorders>
              <w:top w:val="single" w:color="auto" w:sz="2" w:space="0"/>
              <w:left w:val="single" w:color="auto" w:sz="2" w:space="0"/>
              <w:bottom w:val="single" w:color="auto" w:sz="2" w:space="0"/>
              <w:right w:val="single" w:color="auto" w:sz="2" w:space="0"/>
            </w:tcBorders>
            <w:vAlign w:val="center"/>
          </w:tcPr>
          <w:p w14:paraId="73F2F3E1">
            <w:pPr>
              <w:spacing w:line="240" w:lineRule="exact"/>
              <w:jc w:val="right"/>
              <w:rPr>
                <w:rFonts w:ascii="宋体" w:hAnsi="宋体" w:eastAsia="宋体" w:cs="宋体"/>
                <w:sz w:val="18"/>
                <w:szCs w:val="18"/>
              </w:rPr>
            </w:pPr>
            <w:r>
              <w:rPr>
                <w:rFonts w:ascii="宋体" w:hAnsi="宋体" w:eastAsia="宋体" w:cs="宋体"/>
                <w:sz w:val="18"/>
                <w:szCs w:val="18"/>
              </w:rPr>
              <w:t>88,536,103.09</w:t>
            </w:r>
          </w:p>
        </w:tc>
        <w:tc>
          <w:tcPr>
            <w:tcW w:w="876" w:type="dxa"/>
            <w:tcBorders>
              <w:top w:val="single" w:color="auto" w:sz="2" w:space="0"/>
              <w:left w:val="single" w:color="auto" w:sz="2" w:space="0"/>
              <w:bottom w:val="single" w:color="auto" w:sz="2" w:space="0"/>
              <w:right w:val="single" w:color="auto" w:sz="2" w:space="0"/>
            </w:tcBorders>
            <w:vAlign w:val="center"/>
          </w:tcPr>
          <w:p w14:paraId="4955A5A4">
            <w:pPr>
              <w:spacing w:line="240" w:lineRule="exact"/>
              <w:jc w:val="right"/>
              <w:rPr>
                <w:rFonts w:ascii="宋体" w:hAnsi="宋体" w:eastAsia="宋体" w:cs="宋体"/>
                <w:sz w:val="18"/>
                <w:szCs w:val="18"/>
              </w:rPr>
            </w:pPr>
            <w:r>
              <w:rPr>
                <w:rFonts w:ascii="宋体" w:hAnsi="宋体" w:eastAsia="宋体" w:cs="宋体"/>
                <w:sz w:val="18"/>
                <w:szCs w:val="18"/>
              </w:rPr>
              <w:t>41.66%</w:t>
            </w:r>
          </w:p>
        </w:tc>
        <w:tc>
          <w:tcPr>
            <w:tcW w:w="876" w:type="dxa"/>
            <w:tcBorders>
              <w:top w:val="single" w:color="auto" w:sz="2" w:space="0"/>
              <w:left w:val="single" w:color="auto" w:sz="2" w:space="0"/>
              <w:bottom w:val="single" w:color="auto" w:sz="2" w:space="0"/>
              <w:right w:val="single" w:color="auto" w:sz="2" w:space="0"/>
            </w:tcBorders>
            <w:vAlign w:val="center"/>
          </w:tcPr>
          <w:p w14:paraId="1222A922">
            <w:pPr>
              <w:spacing w:line="240" w:lineRule="exact"/>
              <w:jc w:val="right"/>
              <w:rPr>
                <w:rFonts w:ascii="宋体" w:hAnsi="宋体" w:eastAsia="宋体" w:cs="宋体"/>
                <w:sz w:val="18"/>
                <w:szCs w:val="18"/>
              </w:rPr>
            </w:pPr>
            <w:r>
              <w:rPr>
                <w:rFonts w:ascii="宋体" w:hAnsi="宋体" w:eastAsia="宋体" w:cs="宋体"/>
                <w:sz w:val="18"/>
                <w:szCs w:val="18"/>
              </w:rPr>
              <w:t>40,219,264.71</w:t>
            </w:r>
          </w:p>
        </w:tc>
        <w:tc>
          <w:tcPr>
            <w:tcW w:w="876" w:type="dxa"/>
            <w:tcBorders>
              <w:top w:val="single" w:color="auto" w:sz="2" w:space="0"/>
              <w:left w:val="single" w:color="auto" w:sz="2" w:space="0"/>
              <w:bottom w:val="single" w:color="auto" w:sz="2" w:space="0"/>
              <w:right w:val="single" w:color="auto" w:sz="2" w:space="0"/>
            </w:tcBorders>
            <w:vAlign w:val="center"/>
          </w:tcPr>
          <w:p w14:paraId="30451369">
            <w:pPr>
              <w:spacing w:line="240" w:lineRule="exact"/>
              <w:jc w:val="right"/>
              <w:rPr>
                <w:rFonts w:ascii="宋体" w:hAnsi="宋体" w:eastAsia="宋体" w:cs="宋体"/>
                <w:sz w:val="18"/>
                <w:szCs w:val="18"/>
              </w:rPr>
            </w:pPr>
            <w:r>
              <w:rPr>
                <w:rFonts w:ascii="宋体" w:hAnsi="宋体" w:eastAsia="宋体" w:cs="宋体"/>
                <w:sz w:val="18"/>
                <w:szCs w:val="18"/>
              </w:rPr>
              <w:t>45.43%</w:t>
            </w:r>
          </w:p>
        </w:tc>
        <w:tc>
          <w:tcPr>
            <w:tcW w:w="876" w:type="dxa"/>
            <w:tcBorders>
              <w:top w:val="single" w:color="auto" w:sz="2" w:space="0"/>
              <w:left w:val="single" w:color="auto" w:sz="2" w:space="0"/>
              <w:bottom w:val="single" w:color="auto" w:sz="2" w:space="0"/>
              <w:right w:val="single" w:color="auto" w:sz="2" w:space="0"/>
            </w:tcBorders>
            <w:vAlign w:val="center"/>
          </w:tcPr>
          <w:p w14:paraId="4AA9545D">
            <w:pPr>
              <w:spacing w:line="240" w:lineRule="exact"/>
              <w:jc w:val="right"/>
              <w:rPr>
                <w:rFonts w:ascii="宋体" w:hAnsi="宋体" w:eastAsia="宋体" w:cs="宋体"/>
                <w:sz w:val="18"/>
                <w:szCs w:val="18"/>
              </w:rPr>
            </w:pPr>
            <w:r>
              <w:rPr>
                <w:rFonts w:ascii="宋体" w:hAnsi="宋体" w:eastAsia="宋体" w:cs="宋体"/>
                <w:sz w:val="18"/>
                <w:szCs w:val="18"/>
              </w:rPr>
              <w:t>48,316,838.38</w:t>
            </w:r>
          </w:p>
        </w:tc>
        <w:tc>
          <w:tcPr>
            <w:tcW w:w="876" w:type="dxa"/>
            <w:tcBorders>
              <w:top w:val="single" w:color="auto" w:sz="2" w:space="0"/>
              <w:left w:val="single" w:color="auto" w:sz="2" w:space="0"/>
              <w:bottom w:val="single" w:color="auto" w:sz="2" w:space="0"/>
              <w:right w:val="single" w:color="auto" w:sz="2" w:space="0"/>
            </w:tcBorders>
            <w:vAlign w:val="center"/>
          </w:tcPr>
          <w:p w14:paraId="265ECD58">
            <w:pPr>
              <w:spacing w:line="240" w:lineRule="exact"/>
              <w:jc w:val="right"/>
              <w:rPr>
                <w:rFonts w:ascii="宋体" w:hAnsi="宋体" w:eastAsia="宋体" w:cs="宋体"/>
                <w:sz w:val="18"/>
                <w:szCs w:val="18"/>
              </w:rPr>
            </w:pPr>
            <w:r>
              <w:rPr>
                <w:rFonts w:ascii="宋体" w:hAnsi="宋体" w:eastAsia="宋体" w:cs="宋体"/>
                <w:sz w:val="18"/>
                <w:szCs w:val="18"/>
              </w:rPr>
              <w:t>151,241,364.94</w:t>
            </w:r>
          </w:p>
        </w:tc>
        <w:tc>
          <w:tcPr>
            <w:tcW w:w="876" w:type="dxa"/>
            <w:tcBorders>
              <w:top w:val="single" w:color="auto" w:sz="2" w:space="0"/>
              <w:left w:val="single" w:color="auto" w:sz="2" w:space="0"/>
              <w:bottom w:val="single" w:color="auto" w:sz="2" w:space="0"/>
              <w:right w:val="single" w:color="auto" w:sz="2" w:space="0"/>
            </w:tcBorders>
            <w:vAlign w:val="center"/>
          </w:tcPr>
          <w:p w14:paraId="53A38201">
            <w:pPr>
              <w:spacing w:line="240" w:lineRule="exact"/>
              <w:jc w:val="right"/>
              <w:rPr>
                <w:rFonts w:ascii="宋体" w:hAnsi="宋体" w:eastAsia="宋体" w:cs="宋体"/>
                <w:sz w:val="18"/>
                <w:szCs w:val="18"/>
              </w:rPr>
            </w:pPr>
            <w:r>
              <w:rPr>
                <w:rFonts w:ascii="宋体" w:hAnsi="宋体" w:eastAsia="宋体" w:cs="宋体"/>
                <w:sz w:val="18"/>
                <w:szCs w:val="18"/>
              </w:rPr>
              <w:t>51.94%</w:t>
            </w:r>
          </w:p>
        </w:tc>
        <w:tc>
          <w:tcPr>
            <w:tcW w:w="876" w:type="dxa"/>
            <w:tcBorders>
              <w:top w:val="single" w:color="auto" w:sz="2" w:space="0"/>
              <w:left w:val="single" w:color="auto" w:sz="2" w:space="0"/>
              <w:bottom w:val="single" w:color="auto" w:sz="2" w:space="0"/>
              <w:right w:val="single" w:color="auto" w:sz="2" w:space="0"/>
            </w:tcBorders>
            <w:vAlign w:val="center"/>
          </w:tcPr>
          <w:p w14:paraId="247B0F2A">
            <w:pPr>
              <w:spacing w:line="240" w:lineRule="exact"/>
              <w:jc w:val="right"/>
              <w:rPr>
                <w:rFonts w:ascii="宋体" w:hAnsi="宋体" w:eastAsia="宋体" w:cs="宋体"/>
                <w:sz w:val="18"/>
                <w:szCs w:val="18"/>
              </w:rPr>
            </w:pPr>
            <w:r>
              <w:rPr>
                <w:rFonts w:ascii="宋体" w:hAnsi="宋体" w:eastAsia="宋体" w:cs="宋体"/>
                <w:sz w:val="18"/>
                <w:szCs w:val="18"/>
              </w:rPr>
              <w:t>82,980,105.93</w:t>
            </w:r>
          </w:p>
        </w:tc>
        <w:tc>
          <w:tcPr>
            <w:tcW w:w="876" w:type="dxa"/>
            <w:tcBorders>
              <w:top w:val="single" w:color="auto" w:sz="2" w:space="0"/>
              <w:left w:val="single" w:color="auto" w:sz="2" w:space="0"/>
              <w:bottom w:val="single" w:color="auto" w:sz="2" w:space="0"/>
              <w:right w:val="single" w:color="auto" w:sz="2" w:space="0"/>
            </w:tcBorders>
            <w:vAlign w:val="center"/>
          </w:tcPr>
          <w:p w14:paraId="0E8F298D">
            <w:pPr>
              <w:spacing w:line="240" w:lineRule="exact"/>
              <w:jc w:val="right"/>
              <w:rPr>
                <w:rFonts w:ascii="宋体" w:hAnsi="宋体" w:eastAsia="宋体" w:cs="宋体"/>
                <w:sz w:val="18"/>
                <w:szCs w:val="18"/>
              </w:rPr>
            </w:pPr>
            <w:r>
              <w:rPr>
                <w:rFonts w:ascii="宋体" w:hAnsi="宋体" w:eastAsia="宋体" w:cs="宋体"/>
                <w:sz w:val="18"/>
                <w:szCs w:val="18"/>
              </w:rPr>
              <w:t>54.87%</w:t>
            </w:r>
          </w:p>
        </w:tc>
        <w:tc>
          <w:tcPr>
            <w:tcW w:w="876" w:type="dxa"/>
            <w:tcBorders>
              <w:top w:val="single" w:color="auto" w:sz="2" w:space="0"/>
              <w:left w:val="single" w:color="auto" w:sz="2" w:space="0"/>
              <w:bottom w:val="single" w:color="auto" w:sz="2" w:space="0"/>
              <w:right w:val="single" w:color="auto" w:sz="2" w:space="0"/>
            </w:tcBorders>
            <w:vAlign w:val="center"/>
          </w:tcPr>
          <w:p w14:paraId="78E78C76">
            <w:pPr>
              <w:spacing w:line="240" w:lineRule="exact"/>
              <w:jc w:val="right"/>
              <w:rPr>
                <w:rFonts w:ascii="宋体" w:hAnsi="宋体" w:eastAsia="宋体" w:cs="宋体"/>
                <w:sz w:val="18"/>
                <w:szCs w:val="18"/>
              </w:rPr>
            </w:pPr>
            <w:r>
              <w:rPr>
                <w:rFonts w:ascii="宋体" w:hAnsi="宋体" w:eastAsia="宋体" w:cs="宋体"/>
                <w:sz w:val="18"/>
                <w:szCs w:val="18"/>
              </w:rPr>
              <w:t>68,261,259.01</w:t>
            </w:r>
          </w:p>
        </w:tc>
      </w:tr>
      <w:tr w14:paraId="02983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05745C4F">
            <w:pPr>
              <w:spacing w:line="240" w:lineRule="exact"/>
              <w:rPr>
                <w:rFonts w:ascii="宋体" w:hAnsi="宋体" w:eastAsia="宋体" w:cs="宋体"/>
                <w:sz w:val="18"/>
                <w:szCs w:val="18"/>
              </w:rPr>
            </w:pPr>
            <w:r>
              <w:rPr>
                <w:rFonts w:ascii="宋体" w:hAnsi="宋体" w:eastAsia="宋体" w:cs="宋体"/>
                <w:sz w:val="18"/>
                <w:szCs w:val="18"/>
              </w:rPr>
              <w:t xml:space="preserve"> 性质组合</w:t>
            </w:r>
          </w:p>
        </w:tc>
        <w:tc>
          <w:tcPr>
            <w:tcW w:w="876" w:type="dxa"/>
            <w:tcBorders>
              <w:top w:val="single" w:color="auto" w:sz="2" w:space="0"/>
              <w:left w:val="single" w:color="auto" w:sz="2" w:space="0"/>
              <w:bottom w:val="single" w:color="auto" w:sz="2" w:space="0"/>
              <w:right w:val="single" w:color="auto" w:sz="2" w:space="0"/>
            </w:tcBorders>
            <w:vAlign w:val="center"/>
          </w:tcPr>
          <w:p w14:paraId="7945B755">
            <w:pPr>
              <w:spacing w:line="240" w:lineRule="exact"/>
              <w:jc w:val="right"/>
              <w:rPr>
                <w:rFonts w:ascii="宋体" w:hAnsi="宋体" w:eastAsia="宋体" w:cs="宋体"/>
                <w:sz w:val="18"/>
                <w:szCs w:val="18"/>
              </w:rPr>
            </w:pPr>
            <w:r>
              <w:rPr>
                <w:rFonts w:ascii="宋体" w:hAnsi="宋体" w:eastAsia="宋体" w:cs="宋体"/>
                <w:sz w:val="18"/>
                <w:szCs w:val="18"/>
              </w:rPr>
              <w:t>18,919,285.80</w:t>
            </w:r>
          </w:p>
        </w:tc>
        <w:tc>
          <w:tcPr>
            <w:tcW w:w="876" w:type="dxa"/>
            <w:tcBorders>
              <w:top w:val="single" w:color="auto" w:sz="2" w:space="0"/>
              <w:left w:val="single" w:color="auto" w:sz="2" w:space="0"/>
              <w:bottom w:val="single" w:color="auto" w:sz="2" w:space="0"/>
              <w:right w:val="single" w:color="auto" w:sz="2" w:space="0"/>
            </w:tcBorders>
            <w:vAlign w:val="center"/>
          </w:tcPr>
          <w:p w14:paraId="66E791F3">
            <w:pPr>
              <w:spacing w:line="240" w:lineRule="exact"/>
              <w:jc w:val="right"/>
              <w:rPr>
                <w:rFonts w:ascii="宋体" w:hAnsi="宋体" w:eastAsia="宋体" w:cs="宋体"/>
                <w:sz w:val="18"/>
                <w:szCs w:val="18"/>
              </w:rPr>
            </w:pPr>
            <w:r>
              <w:rPr>
                <w:rFonts w:ascii="宋体" w:hAnsi="宋体" w:eastAsia="宋体" w:cs="宋体"/>
                <w:sz w:val="18"/>
                <w:szCs w:val="18"/>
              </w:rPr>
              <w:t>8.90%</w:t>
            </w:r>
          </w:p>
        </w:tc>
        <w:tc>
          <w:tcPr>
            <w:tcW w:w="876" w:type="dxa"/>
            <w:tcBorders>
              <w:top w:val="single" w:color="auto" w:sz="2" w:space="0"/>
              <w:left w:val="single" w:color="auto" w:sz="2" w:space="0"/>
              <w:bottom w:val="single" w:color="auto" w:sz="2" w:space="0"/>
              <w:right w:val="single" w:color="auto" w:sz="2" w:space="0"/>
            </w:tcBorders>
            <w:vAlign w:val="center"/>
          </w:tcPr>
          <w:p w14:paraId="2796998D">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2E7C1A87">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47552926">
            <w:pPr>
              <w:spacing w:line="240" w:lineRule="exact"/>
              <w:jc w:val="right"/>
              <w:rPr>
                <w:rFonts w:ascii="宋体" w:hAnsi="宋体" w:eastAsia="宋体" w:cs="宋体"/>
                <w:sz w:val="18"/>
                <w:szCs w:val="18"/>
              </w:rPr>
            </w:pPr>
            <w:r>
              <w:rPr>
                <w:rFonts w:ascii="宋体" w:hAnsi="宋体" w:eastAsia="宋体" w:cs="宋体"/>
                <w:sz w:val="18"/>
                <w:szCs w:val="18"/>
              </w:rPr>
              <w:t>18,919,285.80</w:t>
            </w:r>
          </w:p>
        </w:tc>
        <w:tc>
          <w:tcPr>
            <w:tcW w:w="876" w:type="dxa"/>
            <w:tcBorders>
              <w:top w:val="single" w:color="auto" w:sz="2" w:space="0"/>
              <w:left w:val="single" w:color="auto" w:sz="2" w:space="0"/>
              <w:bottom w:val="single" w:color="auto" w:sz="2" w:space="0"/>
              <w:right w:val="single" w:color="auto" w:sz="2" w:space="0"/>
            </w:tcBorders>
            <w:vAlign w:val="center"/>
          </w:tcPr>
          <w:p w14:paraId="1DE3D02A">
            <w:pPr>
              <w:spacing w:line="240" w:lineRule="exact"/>
              <w:jc w:val="right"/>
              <w:rPr>
                <w:rFonts w:ascii="宋体" w:hAnsi="宋体" w:eastAsia="宋体" w:cs="宋体"/>
                <w:sz w:val="18"/>
                <w:szCs w:val="18"/>
              </w:rPr>
            </w:pPr>
            <w:r>
              <w:rPr>
                <w:rFonts w:ascii="宋体" w:hAnsi="宋体" w:eastAsia="宋体" w:cs="宋体"/>
                <w:sz w:val="18"/>
                <w:szCs w:val="18"/>
              </w:rPr>
              <w:t>21,858,619.95</w:t>
            </w:r>
          </w:p>
        </w:tc>
        <w:tc>
          <w:tcPr>
            <w:tcW w:w="876" w:type="dxa"/>
            <w:tcBorders>
              <w:top w:val="single" w:color="auto" w:sz="2" w:space="0"/>
              <w:left w:val="single" w:color="auto" w:sz="2" w:space="0"/>
              <w:bottom w:val="single" w:color="auto" w:sz="2" w:space="0"/>
              <w:right w:val="single" w:color="auto" w:sz="2" w:space="0"/>
            </w:tcBorders>
            <w:vAlign w:val="center"/>
          </w:tcPr>
          <w:p w14:paraId="449E6CB3">
            <w:pPr>
              <w:spacing w:line="240" w:lineRule="exact"/>
              <w:jc w:val="right"/>
              <w:rPr>
                <w:rFonts w:ascii="宋体" w:hAnsi="宋体" w:eastAsia="宋体" w:cs="宋体"/>
                <w:sz w:val="18"/>
                <w:szCs w:val="18"/>
              </w:rPr>
            </w:pPr>
            <w:r>
              <w:rPr>
                <w:rFonts w:ascii="宋体" w:hAnsi="宋体" w:eastAsia="宋体" w:cs="宋体"/>
                <w:sz w:val="18"/>
                <w:szCs w:val="18"/>
              </w:rPr>
              <w:t>7.51%</w:t>
            </w:r>
          </w:p>
        </w:tc>
        <w:tc>
          <w:tcPr>
            <w:tcW w:w="876" w:type="dxa"/>
            <w:tcBorders>
              <w:top w:val="single" w:color="auto" w:sz="2" w:space="0"/>
              <w:left w:val="single" w:color="auto" w:sz="2" w:space="0"/>
              <w:bottom w:val="single" w:color="auto" w:sz="2" w:space="0"/>
              <w:right w:val="single" w:color="auto" w:sz="2" w:space="0"/>
            </w:tcBorders>
            <w:vAlign w:val="center"/>
          </w:tcPr>
          <w:p w14:paraId="7A63474D">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8080C3B">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548F1BAA">
            <w:pPr>
              <w:spacing w:line="240" w:lineRule="exact"/>
              <w:jc w:val="right"/>
              <w:rPr>
                <w:rFonts w:ascii="宋体" w:hAnsi="宋体" w:eastAsia="宋体" w:cs="宋体"/>
                <w:sz w:val="18"/>
                <w:szCs w:val="18"/>
              </w:rPr>
            </w:pPr>
            <w:r>
              <w:rPr>
                <w:rFonts w:ascii="宋体" w:hAnsi="宋体" w:eastAsia="宋体" w:cs="宋体"/>
                <w:sz w:val="18"/>
                <w:szCs w:val="18"/>
              </w:rPr>
              <w:t>21,858,619.95</w:t>
            </w:r>
          </w:p>
        </w:tc>
      </w:tr>
      <w:tr w14:paraId="37FAF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9DA505D">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14:paraId="232DC1CF">
            <w:pPr>
              <w:spacing w:line="240" w:lineRule="exact"/>
              <w:jc w:val="right"/>
              <w:rPr>
                <w:rFonts w:ascii="宋体" w:hAnsi="宋体" w:eastAsia="宋体" w:cs="宋体"/>
                <w:sz w:val="18"/>
                <w:szCs w:val="18"/>
              </w:rPr>
            </w:pPr>
            <w:r>
              <w:rPr>
                <w:rFonts w:ascii="宋体" w:hAnsi="宋体" w:eastAsia="宋体" w:cs="宋体"/>
                <w:sz w:val="18"/>
                <w:szCs w:val="18"/>
              </w:rPr>
              <w:t>239,210,479.80</w:t>
            </w:r>
          </w:p>
        </w:tc>
        <w:tc>
          <w:tcPr>
            <w:tcW w:w="876" w:type="dxa"/>
            <w:tcBorders>
              <w:top w:val="single" w:color="auto" w:sz="2" w:space="0"/>
              <w:left w:val="single" w:color="auto" w:sz="2" w:space="0"/>
              <w:bottom w:val="single" w:color="auto" w:sz="2" w:space="0"/>
              <w:right w:val="single" w:color="auto" w:sz="2" w:space="0"/>
            </w:tcBorders>
            <w:vAlign w:val="center"/>
          </w:tcPr>
          <w:p w14:paraId="6E3C0240">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2023F916">
            <w:pPr>
              <w:spacing w:line="240" w:lineRule="exact"/>
              <w:jc w:val="right"/>
              <w:rPr>
                <w:rFonts w:ascii="宋体" w:hAnsi="宋体" w:eastAsia="宋体" w:cs="宋体"/>
                <w:sz w:val="18"/>
                <w:szCs w:val="18"/>
              </w:rPr>
            </w:pPr>
            <w:r>
              <w:rPr>
                <w:rFonts w:ascii="宋体" w:hAnsi="宋体" w:eastAsia="宋体" w:cs="宋体"/>
                <w:sz w:val="18"/>
                <w:szCs w:val="18"/>
              </w:rPr>
              <w:t>91,067,297.25</w:t>
            </w:r>
          </w:p>
        </w:tc>
        <w:tc>
          <w:tcPr>
            <w:tcW w:w="876" w:type="dxa"/>
            <w:tcBorders>
              <w:top w:val="single" w:color="auto" w:sz="2" w:space="0"/>
              <w:left w:val="single" w:color="auto" w:sz="2" w:space="0"/>
              <w:bottom w:val="single" w:color="auto" w:sz="2" w:space="0"/>
              <w:right w:val="single" w:color="auto" w:sz="2" w:space="0"/>
            </w:tcBorders>
            <w:vAlign w:val="center"/>
          </w:tcPr>
          <w:p w14:paraId="169FA606">
            <w:pPr>
              <w:spacing w:line="240" w:lineRule="exact"/>
              <w:jc w:val="right"/>
              <w:rPr>
                <w:rFonts w:ascii="宋体" w:hAnsi="宋体" w:eastAsia="宋体" w:cs="宋体"/>
                <w:sz w:val="18"/>
                <w:szCs w:val="18"/>
              </w:rPr>
            </w:pPr>
            <w:r>
              <w:rPr>
                <w:rFonts w:ascii="宋体" w:hAnsi="宋体" w:eastAsia="宋体" w:cs="宋体"/>
                <w:sz w:val="18"/>
                <w:szCs w:val="18"/>
              </w:rPr>
              <w:t>38.07%</w:t>
            </w:r>
          </w:p>
        </w:tc>
        <w:tc>
          <w:tcPr>
            <w:tcW w:w="876" w:type="dxa"/>
            <w:tcBorders>
              <w:top w:val="single" w:color="auto" w:sz="2" w:space="0"/>
              <w:left w:val="single" w:color="auto" w:sz="2" w:space="0"/>
              <w:bottom w:val="single" w:color="auto" w:sz="2" w:space="0"/>
              <w:right w:val="single" w:color="auto" w:sz="2" w:space="0"/>
            </w:tcBorders>
            <w:vAlign w:val="center"/>
          </w:tcPr>
          <w:p w14:paraId="49CD7803">
            <w:pPr>
              <w:spacing w:line="240" w:lineRule="exact"/>
              <w:jc w:val="right"/>
              <w:rPr>
                <w:rFonts w:ascii="宋体" w:hAnsi="宋体" w:eastAsia="宋体" w:cs="宋体"/>
                <w:sz w:val="18"/>
                <w:szCs w:val="18"/>
              </w:rPr>
            </w:pPr>
            <w:r>
              <w:rPr>
                <w:rFonts w:ascii="宋体" w:hAnsi="宋体" w:eastAsia="宋体" w:cs="宋体"/>
                <w:sz w:val="18"/>
                <w:szCs w:val="18"/>
              </w:rPr>
              <w:t>148,143,182.55</w:t>
            </w:r>
          </w:p>
        </w:tc>
        <w:tc>
          <w:tcPr>
            <w:tcW w:w="876" w:type="dxa"/>
            <w:tcBorders>
              <w:top w:val="single" w:color="auto" w:sz="2" w:space="0"/>
              <w:left w:val="single" w:color="auto" w:sz="2" w:space="0"/>
              <w:bottom w:val="single" w:color="auto" w:sz="2" w:space="0"/>
              <w:right w:val="single" w:color="auto" w:sz="2" w:space="0"/>
            </w:tcBorders>
            <w:vAlign w:val="center"/>
          </w:tcPr>
          <w:p w14:paraId="38FAEF89">
            <w:pPr>
              <w:spacing w:line="240" w:lineRule="exact"/>
              <w:jc w:val="right"/>
              <w:rPr>
                <w:rFonts w:ascii="宋体" w:hAnsi="宋体" w:eastAsia="宋体" w:cs="宋体"/>
                <w:sz w:val="18"/>
                <w:szCs w:val="18"/>
              </w:rPr>
            </w:pPr>
            <w:r>
              <w:rPr>
                <w:rFonts w:ascii="宋体" w:hAnsi="宋体" w:eastAsia="宋体" w:cs="宋体"/>
                <w:sz w:val="18"/>
                <w:szCs w:val="18"/>
              </w:rPr>
              <w:t>317,362,872.14</w:t>
            </w:r>
          </w:p>
        </w:tc>
        <w:tc>
          <w:tcPr>
            <w:tcW w:w="876" w:type="dxa"/>
            <w:tcBorders>
              <w:top w:val="single" w:color="auto" w:sz="2" w:space="0"/>
              <w:left w:val="single" w:color="auto" w:sz="2" w:space="0"/>
              <w:bottom w:val="single" w:color="auto" w:sz="2" w:space="0"/>
              <w:right w:val="single" w:color="auto" w:sz="2" w:space="0"/>
            </w:tcBorders>
            <w:vAlign w:val="center"/>
          </w:tcPr>
          <w:p w14:paraId="159B2EFD">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0FB562BD">
            <w:pPr>
              <w:spacing w:line="240" w:lineRule="exact"/>
              <w:jc w:val="right"/>
              <w:rPr>
                <w:rFonts w:ascii="宋体" w:hAnsi="宋体" w:eastAsia="宋体" w:cs="宋体"/>
                <w:sz w:val="18"/>
                <w:szCs w:val="18"/>
              </w:rPr>
            </w:pPr>
            <w:r>
              <w:rPr>
                <w:rFonts w:ascii="宋体" w:hAnsi="宋体" w:eastAsia="宋体" w:cs="宋体"/>
                <w:sz w:val="18"/>
                <w:szCs w:val="18"/>
              </w:rPr>
              <w:t>141,916,472.95</w:t>
            </w:r>
          </w:p>
        </w:tc>
        <w:tc>
          <w:tcPr>
            <w:tcW w:w="876" w:type="dxa"/>
            <w:tcBorders>
              <w:top w:val="single" w:color="auto" w:sz="2" w:space="0"/>
              <w:left w:val="single" w:color="auto" w:sz="2" w:space="0"/>
              <w:bottom w:val="single" w:color="auto" w:sz="2" w:space="0"/>
              <w:right w:val="single" w:color="auto" w:sz="2" w:space="0"/>
            </w:tcBorders>
            <w:vAlign w:val="center"/>
          </w:tcPr>
          <w:p w14:paraId="42A2CDAB">
            <w:pPr>
              <w:spacing w:line="240" w:lineRule="exact"/>
              <w:jc w:val="right"/>
              <w:rPr>
                <w:rFonts w:ascii="宋体" w:hAnsi="宋体" w:eastAsia="宋体" w:cs="宋体"/>
                <w:sz w:val="18"/>
                <w:szCs w:val="18"/>
              </w:rPr>
            </w:pPr>
            <w:r>
              <w:rPr>
                <w:rFonts w:ascii="宋体" w:hAnsi="宋体" w:eastAsia="宋体" w:cs="宋体"/>
                <w:sz w:val="18"/>
                <w:szCs w:val="18"/>
              </w:rPr>
              <w:t>44.72%</w:t>
            </w:r>
          </w:p>
        </w:tc>
        <w:tc>
          <w:tcPr>
            <w:tcW w:w="876" w:type="dxa"/>
            <w:tcBorders>
              <w:top w:val="single" w:color="auto" w:sz="2" w:space="0"/>
              <w:left w:val="single" w:color="auto" w:sz="2" w:space="0"/>
              <w:bottom w:val="single" w:color="auto" w:sz="2" w:space="0"/>
              <w:right w:val="single" w:color="auto" w:sz="2" w:space="0"/>
            </w:tcBorders>
            <w:vAlign w:val="center"/>
          </w:tcPr>
          <w:p w14:paraId="099AD302">
            <w:pPr>
              <w:spacing w:line="240" w:lineRule="exact"/>
              <w:jc w:val="right"/>
              <w:rPr>
                <w:rFonts w:ascii="宋体" w:hAnsi="宋体" w:eastAsia="宋体" w:cs="宋体"/>
                <w:sz w:val="18"/>
                <w:szCs w:val="18"/>
              </w:rPr>
            </w:pPr>
            <w:r>
              <w:rPr>
                <w:rFonts w:ascii="宋体" w:hAnsi="宋体" w:eastAsia="宋体" w:cs="宋体"/>
                <w:sz w:val="18"/>
                <w:szCs w:val="18"/>
              </w:rPr>
              <w:t>175,446,399.19</w:t>
            </w:r>
          </w:p>
        </w:tc>
      </w:tr>
    </w:tbl>
    <w:p w14:paraId="17605C6D">
      <w:pPr>
        <w:spacing w:line="240" w:lineRule="exact"/>
        <w:rPr>
          <w:rFonts w:ascii="宋体" w:hAnsi="宋体" w:eastAsia="宋体" w:cs="宋体"/>
          <w:sz w:val="18"/>
          <w:szCs w:val="18"/>
        </w:rPr>
      </w:pPr>
      <w:r>
        <w:rPr>
          <w:rFonts w:ascii="宋体" w:hAnsi="宋体" w:eastAsia="宋体" w:cs="宋体"/>
          <w:sz w:val="18"/>
          <w:szCs w:val="18"/>
        </w:rPr>
        <w:t>按单项计提坏账准备：</w:t>
      </w:r>
    </w:p>
    <w:p w14:paraId="5D503D9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19149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C3E829E">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C20584A">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6CD7B10D">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401EF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FD6829F"/>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9C262C4">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FF76EBA">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C48B3C4">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A18AEFE">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6E2EB51">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B909D4C">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14:paraId="466F0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2417A61">
            <w:pPr>
              <w:spacing w:line="240" w:lineRule="exact"/>
              <w:rPr>
                <w:rFonts w:ascii="宋体" w:hAnsi="宋体" w:eastAsia="宋体" w:cs="宋体"/>
                <w:sz w:val="18"/>
                <w:szCs w:val="18"/>
              </w:rPr>
            </w:pPr>
            <w:r>
              <w:rPr>
                <w:rFonts w:ascii="宋体" w:hAnsi="宋体" w:eastAsia="宋体" w:cs="宋体"/>
                <w:sz w:val="18"/>
                <w:szCs w:val="18"/>
              </w:rPr>
              <w:t>江苏传澄文化传播有限公司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112D9BB1">
            <w:pPr>
              <w:spacing w:line="240" w:lineRule="exact"/>
              <w:jc w:val="right"/>
              <w:rPr>
                <w:rFonts w:ascii="宋体" w:hAnsi="宋体" w:eastAsia="宋体" w:cs="宋体"/>
                <w:sz w:val="18"/>
                <w:szCs w:val="18"/>
              </w:rPr>
            </w:pPr>
            <w:r>
              <w:rPr>
                <w:rFonts w:ascii="宋体" w:hAnsi="宋体" w:eastAsia="宋体" w:cs="宋体"/>
                <w:sz w:val="18"/>
                <w:szCs w:val="18"/>
              </w:rPr>
              <w:t>11,846,111.10</w:t>
            </w:r>
          </w:p>
        </w:tc>
        <w:tc>
          <w:tcPr>
            <w:tcW w:w="1377" w:type="dxa"/>
            <w:tcBorders>
              <w:top w:val="single" w:color="auto" w:sz="2" w:space="0"/>
              <w:left w:val="single" w:color="auto" w:sz="2" w:space="0"/>
              <w:bottom w:val="single" w:color="auto" w:sz="2" w:space="0"/>
              <w:right w:val="single" w:color="auto" w:sz="2" w:space="0"/>
            </w:tcBorders>
            <w:vAlign w:val="center"/>
          </w:tcPr>
          <w:p w14:paraId="68F8FB6D">
            <w:pPr>
              <w:spacing w:line="240" w:lineRule="exact"/>
              <w:jc w:val="right"/>
              <w:rPr>
                <w:rFonts w:ascii="宋体" w:hAnsi="宋体" w:eastAsia="宋体" w:cs="宋体"/>
                <w:sz w:val="18"/>
                <w:szCs w:val="18"/>
              </w:rPr>
            </w:pPr>
            <w:r>
              <w:rPr>
                <w:rFonts w:ascii="宋体" w:hAnsi="宋体" w:eastAsia="宋体" w:cs="宋体"/>
                <w:sz w:val="18"/>
                <w:szCs w:val="18"/>
              </w:rPr>
              <w:t>11,846,111.10</w:t>
            </w:r>
          </w:p>
        </w:tc>
        <w:tc>
          <w:tcPr>
            <w:tcW w:w="1377" w:type="dxa"/>
            <w:tcBorders>
              <w:top w:val="single" w:color="auto" w:sz="2" w:space="0"/>
              <w:left w:val="single" w:color="auto" w:sz="2" w:space="0"/>
              <w:bottom w:val="single" w:color="auto" w:sz="2" w:space="0"/>
              <w:right w:val="single" w:color="auto" w:sz="2" w:space="0"/>
            </w:tcBorders>
            <w:vAlign w:val="center"/>
          </w:tcPr>
          <w:p w14:paraId="36314CD4">
            <w:pPr>
              <w:spacing w:line="240" w:lineRule="exact"/>
              <w:jc w:val="right"/>
              <w:rPr>
                <w:rFonts w:ascii="宋体" w:hAnsi="宋体" w:eastAsia="宋体" w:cs="宋体"/>
                <w:sz w:val="18"/>
                <w:szCs w:val="18"/>
              </w:rPr>
            </w:pPr>
            <w:r>
              <w:rPr>
                <w:rFonts w:ascii="宋体" w:hAnsi="宋体" w:eastAsia="宋体" w:cs="宋体"/>
                <w:sz w:val="18"/>
                <w:szCs w:val="18"/>
              </w:rPr>
              <w:t>11,846,111.10</w:t>
            </w:r>
          </w:p>
        </w:tc>
        <w:tc>
          <w:tcPr>
            <w:tcW w:w="1377" w:type="dxa"/>
            <w:tcBorders>
              <w:top w:val="single" w:color="auto" w:sz="2" w:space="0"/>
              <w:left w:val="single" w:color="auto" w:sz="2" w:space="0"/>
              <w:bottom w:val="single" w:color="auto" w:sz="2" w:space="0"/>
              <w:right w:val="single" w:color="auto" w:sz="2" w:space="0"/>
            </w:tcBorders>
            <w:vAlign w:val="center"/>
          </w:tcPr>
          <w:p w14:paraId="211BC11A">
            <w:pPr>
              <w:spacing w:line="240" w:lineRule="exact"/>
              <w:jc w:val="right"/>
              <w:rPr>
                <w:rFonts w:ascii="宋体" w:hAnsi="宋体" w:eastAsia="宋体" w:cs="宋体"/>
                <w:sz w:val="18"/>
                <w:szCs w:val="18"/>
              </w:rPr>
            </w:pPr>
            <w:r>
              <w:rPr>
                <w:rFonts w:ascii="宋体" w:hAnsi="宋体" w:eastAsia="宋体" w:cs="宋体"/>
                <w:sz w:val="18"/>
                <w:szCs w:val="18"/>
              </w:rPr>
              <w:t>11,846,111.10</w:t>
            </w:r>
          </w:p>
        </w:tc>
        <w:tc>
          <w:tcPr>
            <w:tcW w:w="1377" w:type="dxa"/>
            <w:tcBorders>
              <w:top w:val="single" w:color="auto" w:sz="2" w:space="0"/>
              <w:left w:val="single" w:color="auto" w:sz="2" w:space="0"/>
              <w:bottom w:val="single" w:color="auto" w:sz="2" w:space="0"/>
              <w:right w:val="single" w:color="auto" w:sz="2" w:space="0"/>
            </w:tcBorders>
            <w:vAlign w:val="center"/>
          </w:tcPr>
          <w:p w14:paraId="42D334B0">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14:paraId="7AF2135B">
            <w:pPr>
              <w:spacing w:line="240" w:lineRule="exact"/>
              <w:rPr>
                <w:rFonts w:ascii="宋体" w:hAnsi="宋体" w:eastAsia="宋体" w:cs="宋体"/>
                <w:sz w:val="18"/>
                <w:szCs w:val="18"/>
              </w:rPr>
            </w:pPr>
            <w:r>
              <w:rPr>
                <w:rFonts w:ascii="宋体" w:hAnsi="宋体" w:eastAsia="宋体" w:cs="宋体"/>
                <w:sz w:val="18"/>
                <w:szCs w:val="18"/>
              </w:rPr>
              <w:t>预计无法收回</w:t>
            </w:r>
          </w:p>
        </w:tc>
      </w:tr>
      <w:tr w14:paraId="3643D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3AB9103">
            <w:pPr>
              <w:spacing w:line="240" w:lineRule="exact"/>
              <w:rPr>
                <w:rFonts w:ascii="宋体" w:hAnsi="宋体" w:eastAsia="宋体" w:cs="宋体"/>
                <w:sz w:val="18"/>
                <w:szCs w:val="18"/>
              </w:rPr>
            </w:pPr>
            <w:r>
              <w:rPr>
                <w:rFonts w:ascii="宋体" w:hAnsi="宋体" w:eastAsia="宋体" w:cs="宋体"/>
                <w:sz w:val="18"/>
                <w:szCs w:val="18"/>
              </w:rPr>
              <w:t>江阴市传澄电子商务有限公司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08A552C4">
            <w:pPr>
              <w:spacing w:line="240" w:lineRule="exact"/>
              <w:jc w:val="right"/>
              <w:rPr>
                <w:rFonts w:ascii="宋体" w:hAnsi="宋体" w:eastAsia="宋体" w:cs="宋体"/>
                <w:sz w:val="18"/>
                <w:szCs w:val="18"/>
              </w:rPr>
            </w:pPr>
            <w:r>
              <w:rPr>
                <w:rFonts w:ascii="宋体" w:hAnsi="宋体" w:eastAsia="宋体" w:cs="宋体"/>
                <w:sz w:val="18"/>
                <w:szCs w:val="18"/>
              </w:rPr>
              <w:t>10,068,674.97</w:t>
            </w:r>
          </w:p>
        </w:tc>
        <w:tc>
          <w:tcPr>
            <w:tcW w:w="1377" w:type="dxa"/>
            <w:tcBorders>
              <w:top w:val="single" w:color="auto" w:sz="2" w:space="0"/>
              <w:left w:val="single" w:color="auto" w:sz="2" w:space="0"/>
              <w:bottom w:val="single" w:color="auto" w:sz="2" w:space="0"/>
              <w:right w:val="single" w:color="auto" w:sz="2" w:space="0"/>
            </w:tcBorders>
            <w:vAlign w:val="center"/>
          </w:tcPr>
          <w:p w14:paraId="701EDA41">
            <w:pPr>
              <w:spacing w:line="240" w:lineRule="exact"/>
              <w:jc w:val="right"/>
              <w:rPr>
                <w:rFonts w:ascii="宋体" w:hAnsi="宋体" w:eastAsia="宋体" w:cs="宋体"/>
                <w:sz w:val="18"/>
                <w:szCs w:val="18"/>
              </w:rPr>
            </w:pPr>
            <w:r>
              <w:rPr>
                <w:rFonts w:ascii="宋体" w:hAnsi="宋体" w:eastAsia="宋体" w:cs="宋体"/>
                <w:sz w:val="18"/>
                <w:szCs w:val="18"/>
              </w:rPr>
              <w:t>10,068,674.97</w:t>
            </w:r>
          </w:p>
        </w:tc>
        <w:tc>
          <w:tcPr>
            <w:tcW w:w="1377" w:type="dxa"/>
            <w:tcBorders>
              <w:top w:val="single" w:color="auto" w:sz="2" w:space="0"/>
              <w:left w:val="single" w:color="auto" w:sz="2" w:space="0"/>
              <w:bottom w:val="single" w:color="auto" w:sz="2" w:space="0"/>
              <w:right w:val="single" w:color="auto" w:sz="2" w:space="0"/>
            </w:tcBorders>
            <w:vAlign w:val="center"/>
          </w:tcPr>
          <w:p w14:paraId="70BCE1F3">
            <w:pPr>
              <w:spacing w:line="240" w:lineRule="exact"/>
              <w:jc w:val="right"/>
              <w:rPr>
                <w:rFonts w:ascii="宋体" w:hAnsi="宋体" w:eastAsia="宋体" w:cs="宋体"/>
                <w:sz w:val="18"/>
                <w:szCs w:val="18"/>
              </w:rPr>
            </w:pPr>
            <w:r>
              <w:rPr>
                <w:rFonts w:ascii="宋体" w:hAnsi="宋体" w:eastAsia="宋体" w:cs="宋体"/>
                <w:sz w:val="18"/>
                <w:szCs w:val="18"/>
              </w:rPr>
              <w:t>10,068,674.97</w:t>
            </w:r>
          </w:p>
        </w:tc>
        <w:tc>
          <w:tcPr>
            <w:tcW w:w="1377" w:type="dxa"/>
            <w:tcBorders>
              <w:top w:val="single" w:color="auto" w:sz="2" w:space="0"/>
              <w:left w:val="single" w:color="auto" w:sz="2" w:space="0"/>
              <w:bottom w:val="single" w:color="auto" w:sz="2" w:space="0"/>
              <w:right w:val="single" w:color="auto" w:sz="2" w:space="0"/>
            </w:tcBorders>
            <w:vAlign w:val="center"/>
          </w:tcPr>
          <w:p w14:paraId="0BCED3E7">
            <w:pPr>
              <w:spacing w:line="240" w:lineRule="exact"/>
              <w:jc w:val="right"/>
              <w:rPr>
                <w:rFonts w:ascii="宋体" w:hAnsi="宋体" w:eastAsia="宋体" w:cs="宋体"/>
                <w:sz w:val="18"/>
                <w:szCs w:val="18"/>
              </w:rPr>
            </w:pPr>
            <w:r>
              <w:rPr>
                <w:rFonts w:ascii="宋体" w:hAnsi="宋体" w:eastAsia="宋体" w:cs="宋体"/>
                <w:sz w:val="18"/>
                <w:szCs w:val="18"/>
              </w:rPr>
              <w:t>10,068,674.97</w:t>
            </w:r>
          </w:p>
        </w:tc>
        <w:tc>
          <w:tcPr>
            <w:tcW w:w="1377" w:type="dxa"/>
            <w:tcBorders>
              <w:top w:val="single" w:color="auto" w:sz="2" w:space="0"/>
              <w:left w:val="single" w:color="auto" w:sz="2" w:space="0"/>
              <w:bottom w:val="single" w:color="auto" w:sz="2" w:space="0"/>
              <w:right w:val="single" w:color="auto" w:sz="2" w:space="0"/>
            </w:tcBorders>
            <w:vAlign w:val="center"/>
          </w:tcPr>
          <w:p w14:paraId="1EB6D6AD">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14:paraId="17615F49">
            <w:pPr>
              <w:spacing w:line="240" w:lineRule="exact"/>
              <w:rPr>
                <w:rFonts w:ascii="宋体" w:hAnsi="宋体" w:eastAsia="宋体" w:cs="宋体"/>
                <w:sz w:val="18"/>
                <w:szCs w:val="18"/>
              </w:rPr>
            </w:pPr>
            <w:r>
              <w:rPr>
                <w:rFonts w:ascii="宋体" w:hAnsi="宋体" w:eastAsia="宋体" w:cs="宋体"/>
                <w:sz w:val="18"/>
                <w:szCs w:val="18"/>
              </w:rPr>
              <w:t>预计无法收回</w:t>
            </w:r>
          </w:p>
        </w:tc>
      </w:tr>
      <w:tr w14:paraId="53B3E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F250CA6">
            <w:pPr>
              <w:spacing w:line="240" w:lineRule="exact"/>
              <w:rPr>
                <w:rFonts w:ascii="宋体" w:hAnsi="宋体" w:eastAsia="宋体" w:cs="宋体"/>
                <w:sz w:val="18"/>
                <w:szCs w:val="18"/>
              </w:rPr>
            </w:pPr>
            <w:r>
              <w:rPr>
                <w:rFonts w:ascii="宋体" w:hAnsi="宋体" w:eastAsia="宋体" w:cs="宋体"/>
                <w:sz w:val="18"/>
                <w:szCs w:val="18"/>
              </w:rPr>
              <w:t>新疆福润盈贸易有限公司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386214E9">
            <w:pPr>
              <w:spacing w:line="240" w:lineRule="exact"/>
              <w:jc w:val="right"/>
              <w:rPr>
                <w:rFonts w:ascii="宋体" w:hAnsi="宋体" w:eastAsia="宋体" w:cs="宋体"/>
                <w:sz w:val="18"/>
                <w:szCs w:val="18"/>
              </w:rPr>
            </w:pPr>
            <w:r>
              <w:rPr>
                <w:rFonts w:ascii="宋体" w:hAnsi="宋体" w:eastAsia="宋体" w:cs="宋体"/>
                <w:sz w:val="18"/>
                <w:szCs w:val="18"/>
              </w:rPr>
              <w:t>3,800,000.00</w:t>
            </w:r>
          </w:p>
        </w:tc>
        <w:tc>
          <w:tcPr>
            <w:tcW w:w="1377" w:type="dxa"/>
            <w:tcBorders>
              <w:top w:val="single" w:color="auto" w:sz="2" w:space="0"/>
              <w:left w:val="single" w:color="auto" w:sz="2" w:space="0"/>
              <w:bottom w:val="single" w:color="auto" w:sz="2" w:space="0"/>
              <w:right w:val="single" w:color="auto" w:sz="2" w:space="0"/>
            </w:tcBorders>
            <w:vAlign w:val="center"/>
          </w:tcPr>
          <w:p w14:paraId="395FC4F9">
            <w:pPr>
              <w:spacing w:line="240" w:lineRule="exact"/>
              <w:jc w:val="right"/>
              <w:rPr>
                <w:rFonts w:ascii="宋体" w:hAnsi="宋体" w:eastAsia="宋体" w:cs="宋体"/>
                <w:sz w:val="18"/>
                <w:szCs w:val="18"/>
              </w:rPr>
            </w:pPr>
            <w:r>
              <w:rPr>
                <w:rFonts w:ascii="宋体" w:hAnsi="宋体" w:eastAsia="宋体" w:cs="宋体"/>
                <w:sz w:val="18"/>
                <w:szCs w:val="18"/>
              </w:rPr>
              <w:t>3,800,000.00</w:t>
            </w:r>
          </w:p>
        </w:tc>
        <w:tc>
          <w:tcPr>
            <w:tcW w:w="1377" w:type="dxa"/>
            <w:tcBorders>
              <w:top w:val="single" w:color="auto" w:sz="2" w:space="0"/>
              <w:left w:val="single" w:color="auto" w:sz="2" w:space="0"/>
              <w:bottom w:val="single" w:color="auto" w:sz="2" w:space="0"/>
              <w:right w:val="single" w:color="auto" w:sz="2" w:space="0"/>
            </w:tcBorders>
            <w:vAlign w:val="center"/>
          </w:tcPr>
          <w:p w14:paraId="3E594A38">
            <w:pPr>
              <w:spacing w:line="240" w:lineRule="exact"/>
              <w:jc w:val="right"/>
              <w:rPr>
                <w:rFonts w:ascii="宋体" w:hAnsi="宋体" w:eastAsia="宋体" w:cs="宋体"/>
                <w:sz w:val="18"/>
                <w:szCs w:val="18"/>
              </w:rPr>
            </w:pPr>
            <w:r>
              <w:rPr>
                <w:rFonts w:ascii="宋体" w:hAnsi="宋体" w:eastAsia="宋体" w:cs="宋体"/>
                <w:sz w:val="18"/>
                <w:szCs w:val="18"/>
              </w:rPr>
              <w:t>3,800,000.00</w:t>
            </w:r>
          </w:p>
        </w:tc>
        <w:tc>
          <w:tcPr>
            <w:tcW w:w="1377" w:type="dxa"/>
            <w:tcBorders>
              <w:top w:val="single" w:color="auto" w:sz="2" w:space="0"/>
              <w:left w:val="single" w:color="auto" w:sz="2" w:space="0"/>
              <w:bottom w:val="single" w:color="auto" w:sz="2" w:space="0"/>
              <w:right w:val="single" w:color="auto" w:sz="2" w:space="0"/>
            </w:tcBorders>
            <w:vAlign w:val="center"/>
          </w:tcPr>
          <w:p w14:paraId="38850F2E">
            <w:pPr>
              <w:spacing w:line="240" w:lineRule="exact"/>
              <w:jc w:val="right"/>
              <w:rPr>
                <w:rFonts w:ascii="宋体" w:hAnsi="宋体" w:eastAsia="宋体" w:cs="宋体"/>
                <w:sz w:val="18"/>
                <w:szCs w:val="18"/>
              </w:rPr>
            </w:pPr>
            <w:r>
              <w:rPr>
                <w:rFonts w:ascii="宋体" w:hAnsi="宋体" w:eastAsia="宋体" w:cs="宋体"/>
                <w:sz w:val="18"/>
                <w:szCs w:val="18"/>
              </w:rPr>
              <w:t>3,800,000.00</w:t>
            </w:r>
          </w:p>
        </w:tc>
        <w:tc>
          <w:tcPr>
            <w:tcW w:w="1377" w:type="dxa"/>
            <w:tcBorders>
              <w:top w:val="single" w:color="auto" w:sz="2" w:space="0"/>
              <w:left w:val="single" w:color="auto" w:sz="2" w:space="0"/>
              <w:bottom w:val="single" w:color="auto" w:sz="2" w:space="0"/>
              <w:right w:val="single" w:color="auto" w:sz="2" w:space="0"/>
            </w:tcBorders>
            <w:vAlign w:val="center"/>
          </w:tcPr>
          <w:p w14:paraId="4BE01650">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14:paraId="25AC8968">
            <w:pPr>
              <w:spacing w:line="240" w:lineRule="exact"/>
              <w:rPr>
                <w:rFonts w:ascii="宋体" w:hAnsi="宋体" w:eastAsia="宋体" w:cs="宋体"/>
                <w:sz w:val="18"/>
                <w:szCs w:val="18"/>
              </w:rPr>
            </w:pPr>
            <w:r>
              <w:rPr>
                <w:rFonts w:ascii="宋体" w:hAnsi="宋体" w:eastAsia="宋体" w:cs="宋体"/>
                <w:sz w:val="18"/>
                <w:szCs w:val="18"/>
              </w:rPr>
              <w:t>预计无法收回</w:t>
            </w:r>
          </w:p>
        </w:tc>
      </w:tr>
      <w:tr w14:paraId="76679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463B73C">
            <w:pPr>
              <w:spacing w:line="240" w:lineRule="exact"/>
              <w:rPr>
                <w:rFonts w:ascii="宋体" w:hAnsi="宋体" w:eastAsia="宋体" w:cs="宋体"/>
                <w:sz w:val="18"/>
                <w:szCs w:val="18"/>
              </w:rPr>
            </w:pPr>
            <w:r>
              <w:rPr>
                <w:rFonts w:ascii="宋体" w:hAnsi="宋体" w:eastAsia="宋体" w:cs="宋体"/>
                <w:sz w:val="18"/>
                <w:szCs w:val="18"/>
              </w:rPr>
              <w:t>青岛锦晟棉业有限公司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626840B9">
            <w:pPr>
              <w:spacing w:line="240" w:lineRule="exact"/>
              <w:jc w:val="right"/>
              <w:rPr>
                <w:rFonts w:ascii="宋体" w:hAnsi="宋体" w:eastAsia="宋体" w:cs="宋体"/>
                <w:sz w:val="18"/>
                <w:szCs w:val="18"/>
              </w:rPr>
            </w:pPr>
            <w:r>
              <w:rPr>
                <w:rFonts w:ascii="宋体" w:hAnsi="宋体" w:eastAsia="宋体" w:cs="宋体"/>
                <w:sz w:val="18"/>
                <w:szCs w:val="18"/>
              </w:rPr>
              <w:t>762,314.41</w:t>
            </w:r>
          </w:p>
        </w:tc>
        <w:tc>
          <w:tcPr>
            <w:tcW w:w="1377" w:type="dxa"/>
            <w:tcBorders>
              <w:top w:val="single" w:color="auto" w:sz="2" w:space="0"/>
              <w:left w:val="single" w:color="auto" w:sz="2" w:space="0"/>
              <w:bottom w:val="single" w:color="auto" w:sz="2" w:space="0"/>
              <w:right w:val="single" w:color="auto" w:sz="2" w:space="0"/>
            </w:tcBorders>
            <w:vAlign w:val="center"/>
          </w:tcPr>
          <w:p w14:paraId="43446199">
            <w:pPr>
              <w:spacing w:line="240" w:lineRule="exact"/>
              <w:jc w:val="right"/>
              <w:rPr>
                <w:rFonts w:ascii="宋体" w:hAnsi="宋体" w:eastAsia="宋体" w:cs="宋体"/>
                <w:sz w:val="18"/>
                <w:szCs w:val="18"/>
              </w:rPr>
            </w:pPr>
            <w:r>
              <w:rPr>
                <w:rFonts w:ascii="宋体" w:hAnsi="宋体" w:eastAsia="宋体" w:cs="宋体"/>
                <w:sz w:val="18"/>
                <w:szCs w:val="18"/>
              </w:rPr>
              <w:t>762,314.41</w:t>
            </w:r>
          </w:p>
        </w:tc>
        <w:tc>
          <w:tcPr>
            <w:tcW w:w="1377" w:type="dxa"/>
            <w:tcBorders>
              <w:top w:val="single" w:color="auto" w:sz="2" w:space="0"/>
              <w:left w:val="single" w:color="auto" w:sz="2" w:space="0"/>
              <w:bottom w:val="single" w:color="auto" w:sz="2" w:space="0"/>
              <w:right w:val="single" w:color="auto" w:sz="2" w:space="0"/>
            </w:tcBorders>
            <w:vAlign w:val="center"/>
          </w:tcPr>
          <w:p w14:paraId="612E7951">
            <w:pPr>
              <w:spacing w:line="240" w:lineRule="exact"/>
              <w:jc w:val="right"/>
              <w:rPr>
                <w:rFonts w:ascii="宋体" w:hAnsi="宋体" w:eastAsia="宋体" w:cs="宋体"/>
                <w:sz w:val="18"/>
                <w:szCs w:val="18"/>
              </w:rPr>
            </w:pPr>
            <w:r>
              <w:rPr>
                <w:rFonts w:ascii="宋体" w:hAnsi="宋体" w:eastAsia="宋体" w:cs="宋体"/>
                <w:sz w:val="18"/>
                <w:szCs w:val="18"/>
              </w:rPr>
              <w:t>762,314.41</w:t>
            </w:r>
          </w:p>
        </w:tc>
        <w:tc>
          <w:tcPr>
            <w:tcW w:w="1377" w:type="dxa"/>
            <w:tcBorders>
              <w:top w:val="single" w:color="auto" w:sz="2" w:space="0"/>
              <w:left w:val="single" w:color="auto" w:sz="2" w:space="0"/>
              <w:bottom w:val="single" w:color="auto" w:sz="2" w:space="0"/>
              <w:right w:val="single" w:color="auto" w:sz="2" w:space="0"/>
            </w:tcBorders>
            <w:vAlign w:val="center"/>
          </w:tcPr>
          <w:p w14:paraId="080EF52E">
            <w:pPr>
              <w:spacing w:line="240" w:lineRule="exact"/>
              <w:jc w:val="right"/>
              <w:rPr>
                <w:rFonts w:ascii="宋体" w:hAnsi="宋体" w:eastAsia="宋体" w:cs="宋体"/>
                <w:sz w:val="18"/>
                <w:szCs w:val="18"/>
              </w:rPr>
            </w:pPr>
            <w:r>
              <w:rPr>
                <w:rFonts w:ascii="宋体" w:hAnsi="宋体" w:eastAsia="宋体" w:cs="宋体"/>
                <w:sz w:val="18"/>
                <w:szCs w:val="18"/>
              </w:rPr>
              <w:t>762,314.41</w:t>
            </w:r>
          </w:p>
        </w:tc>
        <w:tc>
          <w:tcPr>
            <w:tcW w:w="1377" w:type="dxa"/>
            <w:tcBorders>
              <w:top w:val="single" w:color="auto" w:sz="2" w:space="0"/>
              <w:left w:val="single" w:color="auto" w:sz="2" w:space="0"/>
              <w:bottom w:val="single" w:color="auto" w:sz="2" w:space="0"/>
              <w:right w:val="single" w:color="auto" w:sz="2" w:space="0"/>
            </w:tcBorders>
            <w:vAlign w:val="center"/>
          </w:tcPr>
          <w:p w14:paraId="0C40C9DE">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14:paraId="1377A274">
            <w:pPr>
              <w:spacing w:line="240" w:lineRule="exact"/>
              <w:rPr>
                <w:rFonts w:ascii="宋体" w:hAnsi="宋体" w:eastAsia="宋体" w:cs="宋体"/>
                <w:sz w:val="18"/>
                <w:szCs w:val="18"/>
              </w:rPr>
            </w:pPr>
            <w:r>
              <w:rPr>
                <w:rFonts w:ascii="宋体" w:hAnsi="宋体" w:eastAsia="宋体" w:cs="宋体"/>
                <w:sz w:val="18"/>
                <w:szCs w:val="18"/>
              </w:rPr>
              <w:t>预计无法收回</w:t>
            </w:r>
          </w:p>
        </w:tc>
      </w:tr>
      <w:tr w14:paraId="1D0B2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E9AD51D">
            <w:pPr>
              <w:spacing w:line="240" w:lineRule="exact"/>
              <w:rPr>
                <w:rFonts w:ascii="宋体" w:hAnsi="宋体" w:eastAsia="宋体" w:cs="宋体"/>
                <w:sz w:val="18"/>
                <w:szCs w:val="18"/>
              </w:rPr>
            </w:pPr>
            <w:r>
              <w:rPr>
                <w:rFonts w:ascii="宋体" w:hAnsi="宋体" w:eastAsia="宋体" w:cs="宋体"/>
                <w:sz w:val="18"/>
                <w:szCs w:val="18"/>
              </w:rPr>
              <w:t>光通天下网络科技股份有限公司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252E85AE">
            <w:pPr>
              <w:spacing w:line="240" w:lineRule="exact"/>
              <w:jc w:val="right"/>
              <w:rPr>
                <w:rFonts w:ascii="宋体" w:hAnsi="宋体" w:eastAsia="宋体" w:cs="宋体"/>
                <w:sz w:val="18"/>
                <w:szCs w:val="18"/>
              </w:rPr>
            </w:pPr>
            <w:r>
              <w:rPr>
                <w:rFonts w:ascii="宋体" w:hAnsi="宋体" w:eastAsia="宋体" w:cs="宋体"/>
                <w:sz w:val="18"/>
                <w:szCs w:val="18"/>
              </w:rPr>
              <w:t>169,485.25</w:t>
            </w:r>
          </w:p>
        </w:tc>
        <w:tc>
          <w:tcPr>
            <w:tcW w:w="1377" w:type="dxa"/>
            <w:tcBorders>
              <w:top w:val="single" w:color="auto" w:sz="2" w:space="0"/>
              <w:left w:val="single" w:color="auto" w:sz="2" w:space="0"/>
              <w:bottom w:val="single" w:color="auto" w:sz="2" w:space="0"/>
              <w:right w:val="single" w:color="auto" w:sz="2" w:space="0"/>
            </w:tcBorders>
            <w:vAlign w:val="center"/>
          </w:tcPr>
          <w:p w14:paraId="030A871D">
            <w:pPr>
              <w:spacing w:line="240" w:lineRule="exact"/>
              <w:jc w:val="right"/>
              <w:rPr>
                <w:rFonts w:ascii="宋体" w:hAnsi="宋体" w:eastAsia="宋体" w:cs="宋体"/>
                <w:sz w:val="18"/>
                <w:szCs w:val="18"/>
              </w:rPr>
            </w:pPr>
            <w:r>
              <w:rPr>
                <w:rFonts w:ascii="宋体" w:hAnsi="宋体" w:eastAsia="宋体" w:cs="宋体"/>
                <w:sz w:val="18"/>
                <w:szCs w:val="18"/>
              </w:rPr>
              <w:t>169,485.25</w:t>
            </w:r>
          </w:p>
        </w:tc>
        <w:tc>
          <w:tcPr>
            <w:tcW w:w="1377" w:type="dxa"/>
            <w:tcBorders>
              <w:top w:val="single" w:color="auto" w:sz="2" w:space="0"/>
              <w:left w:val="single" w:color="auto" w:sz="2" w:space="0"/>
              <w:bottom w:val="single" w:color="auto" w:sz="2" w:space="0"/>
              <w:right w:val="single" w:color="auto" w:sz="2" w:space="0"/>
            </w:tcBorders>
            <w:vAlign w:val="center"/>
          </w:tcPr>
          <w:p w14:paraId="57E5150C">
            <w:pPr>
              <w:spacing w:line="240" w:lineRule="exact"/>
              <w:jc w:val="right"/>
              <w:rPr>
                <w:rFonts w:ascii="宋体" w:hAnsi="宋体" w:eastAsia="宋体" w:cs="宋体"/>
                <w:sz w:val="18"/>
                <w:szCs w:val="18"/>
              </w:rPr>
            </w:pPr>
            <w:r>
              <w:rPr>
                <w:rFonts w:ascii="宋体" w:hAnsi="宋体" w:eastAsia="宋体" w:cs="宋体"/>
                <w:sz w:val="18"/>
                <w:szCs w:val="18"/>
              </w:rPr>
              <w:t>169,485.25</w:t>
            </w:r>
          </w:p>
        </w:tc>
        <w:tc>
          <w:tcPr>
            <w:tcW w:w="1377" w:type="dxa"/>
            <w:tcBorders>
              <w:top w:val="single" w:color="auto" w:sz="2" w:space="0"/>
              <w:left w:val="single" w:color="auto" w:sz="2" w:space="0"/>
              <w:bottom w:val="single" w:color="auto" w:sz="2" w:space="0"/>
              <w:right w:val="single" w:color="auto" w:sz="2" w:space="0"/>
            </w:tcBorders>
            <w:vAlign w:val="center"/>
          </w:tcPr>
          <w:p w14:paraId="5421CCBE">
            <w:pPr>
              <w:spacing w:line="240" w:lineRule="exact"/>
              <w:jc w:val="right"/>
              <w:rPr>
                <w:rFonts w:ascii="宋体" w:hAnsi="宋体" w:eastAsia="宋体" w:cs="宋体"/>
                <w:sz w:val="18"/>
                <w:szCs w:val="18"/>
              </w:rPr>
            </w:pPr>
            <w:r>
              <w:rPr>
                <w:rFonts w:ascii="宋体" w:hAnsi="宋体" w:eastAsia="宋体" w:cs="宋体"/>
                <w:sz w:val="18"/>
                <w:szCs w:val="18"/>
              </w:rPr>
              <w:t>169,485.25</w:t>
            </w:r>
          </w:p>
        </w:tc>
        <w:tc>
          <w:tcPr>
            <w:tcW w:w="1377" w:type="dxa"/>
            <w:tcBorders>
              <w:top w:val="single" w:color="auto" w:sz="2" w:space="0"/>
              <w:left w:val="single" w:color="auto" w:sz="2" w:space="0"/>
              <w:bottom w:val="single" w:color="auto" w:sz="2" w:space="0"/>
              <w:right w:val="single" w:color="auto" w:sz="2" w:space="0"/>
            </w:tcBorders>
            <w:vAlign w:val="center"/>
          </w:tcPr>
          <w:p w14:paraId="1C233331">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14:paraId="32555047">
            <w:pPr>
              <w:spacing w:line="240" w:lineRule="exact"/>
              <w:rPr>
                <w:rFonts w:ascii="宋体" w:hAnsi="宋体" w:eastAsia="宋体" w:cs="宋体"/>
                <w:sz w:val="18"/>
                <w:szCs w:val="18"/>
              </w:rPr>
            </w:pPr>
            <w:r>
              <w:rPr>
                <w:rFonts w:ascii="宋体" w:hAnsi="宋体" w:eastAsia="宋体" w:cs="宋体"/>
                <w:sz w:val="18"/>
                <w:szCs w:val="18"/>
              </w:rPr>
              <w:t>预计无法收回</w:t>
            </w:r>
          </w:p>
        </w:tc>
      </w:tr>
      <w:tr w14:paraId="4B5DB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CA05EE9">
            <w:pPr>
              <w:spacing w:line="240" w:lineRule="exact"/>
              <w:rPr>
                <w:rFonts w:ascii="宋体" w:hAnsi="宋体" w:eastAsia="宋体" w:cs="宋体"/>
                <w:sz w:val="18"/>
                <w:szCs w:val="18"/>
              </w:rPr>
            </w:pPr>
            <w:r>
              <w:rPr>
                <w:rFonts w:ascii="宋体" w:hAnsi="宋体" w:eastAsia="宋体" w:cs="宋体"/>
                <w:sz w:val="18"/>
                <w:szCs w:val="18"/>
              </w:rPr>
              <w:t>沙雅县雅鑫农业综合开发有限公司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73792FC8">
            <w:pPr>
              <w:spacing w:line="240" w:lineRule="exact"/>
              <w:jc w:val="right"/>
              <w:rPr>
                <w:rFonts w:ascii="宋体" w:hAnsi="宋体" w:eastAsia="宋体" w:cs="宋体"/>
                <w:sz w:val="18"/>
                <w:szCs w:val="18"/>
              </w:rPr>
            </w:pPr>
            <w:r>
              <w:rPr>
                <w:rFonts w:ascii="宋体" w:hAnsi="宋体" w:eastAsia="宋体" w:cs="宋体"/>
                <w:sz w:val="18"/>
                <w:szCs w:val="18"/>
              </w:rPr>
              <w:t>50,000.00</w:t>
            </w:r>
          </w:p>
        </w:tc>
        <w:tc>
          <w:tcPr>
            <w:tcW w:w="1377" w:type="dxa"/>
            <w:tcBorders>
              <w:top w:val="single" w:color="auto" w:sz="2" w:space="0"/>
              <w:left w:val="single" w:color="auto" w:sz="2" w:space="0"/>
              <w:bottom w:val="single" w:color="auto" w:sz="2" w:space="0"/>
              <w:right w:val="single" w:color="auto" w:sz="2" w:space="0"/>
            </w:tcBorders>
            <w:vAlign w:val="center"/>
          </w:tcPr>
          <w:p w14:paraId="2376A2B2">
            <w:pPr>
              <w:spacing w:line="240" w:lineRule="exact"/>
              <w:jc w:val="right"/>
              <w:rPr>
                <w:rFonts w:ascii="宋体" w:hAnsi="宋体" w:eastAsia="宋体" w:cs="宋体"/>
                <w:sz w:val="18"/>
                <w:szCs w:val="18"/>
              </w:rPr>
            </w:pPr>
            <w:r>
              <w:rPr>
                <w:rFonts w:ascii="宋体" w:hAnsi="宋体" w:eastAsia="宋体" w:cs="宋体"/>
                <w:sz w:val="18"/>
                <w:szCs w:val="18"/>
              </w:rPr>
              <w:t>50,000.00</w:t>
            </w:r>
          </w:p>
        </w:tc>
        <w:tc>
          <w:tcPr>
            <w:tcW w:w="1377" w:type="dxa"/>
            <w:tcBorders>
              <w:top w:val="single" w:color="auto" w:sz="2" w:space="0"/>
              <w:left w:val="single" w:color="auto" w:sz="2" w:space="0"/>
              <w:bottom w:val="single" w:color="auto" w:sz="2" w:space="0"/>
              <w:right w:val="single" w:color="auto" w:sz="2" w:space="0"/>
            </w:tcBorders>
            <w:vAlign w:val="center"/>
          </w:tcPr>
          <w:p w14:paraId="01D95121">
            <w:pPr>
              <w:spacing w:line="240" w:lineRule="exact"/>
              <w:jc w:val="right"/>
              <w:rPr>
                <w:rFonts w:ascii="宋体" w:hAnsi="宋体" w:eastAsia="宋体" w:cs="宋体"/>
                <w:sz w:val="18"/>
                <w:szCs w:val="18"/>
              </w:rPr>
            </w:pPr>
            <w:r>
              <w:rPr>
                <w:rFonts w:ascii="宋体" w:hAnsi="宋体" w:eastAsia="宋体" w:cs="宋体"/>
                <w:sz w:val="18"/>
                <w:szCs w:val="18"/>
              </w:rPr>
              <w:t>50,000.00</w:t>
            </w:r>
          </w:p>
        </w:tc>
        <w:tc>
          <w:tcPr>
            <w:tcW w:w="1377" w:type="dxa"/>
            <w:tcBorders>
              <w:top w:val="single" w:color="auto" w:sz="2" w:space="0"/>
              <w:left w:val="single" w:color="auto" w:sz="2" w:space="0"/>
              <w:bottom w:val="single" w:color="auto" w:sz="2" w:space="0"/>
              <w:right w:val="single" w:color="auto" w:sz="2" w:space="0"/>
            </w:tcBorders>
            <w:vAlign w:val="center"/>
          </w:tcPr>
          <w:p w14:paraId="737C7E6B">
            <w:pPr>
              <w:spacing w:line="240" w:lineRule="exact"/>
              <w:jc w:val="right"/>
              <w:rPr>
                <w:rFonts w:ascii="宋体" w:hAnsi="宋体" w:eastAsia="宋体" w:cs="宋体"/>
                <w:sz w:val="18"/>
                <w:szCs w:val="18"/>
              </w:rPr>
            </w:pPr>
            <w:r>
              <w:rPr>
                <w:rFonts w:ascii="宋体" w:hAnsi="宋体" w:eastAsia="宋体" w:cs="宋体"/>
                <w:sz w:val="18"/>
                <w:szCs w:val="18"/>
              </w:rPr>
              <w:t>50,000.00</w:t>
            </w:r>
          </w:p>
        </w:tc>
        <w:tc>
          <w:tcPr>
            <w:tcW w:w="1377" w:type="dxa"/>
            <w:tcBorders>
              <w:top w:val="single" w:color="auto" w:sz="2" w:space="0"/>
              <w:left w:val="single" w:color="auto" w:sz="2" w:space="0"/>
              <w:bottom w:val="single" w:color="auto" w:sz="2" w:space="0"/>
              <w:right w:val="single" w:color="auto" w:sz="2" w:space="0"/>
            </w:tcBorders>
            <w:vAlign w:val="center"/>
          </w:tcPr>
          <w:p w14:paraId="36F1243F">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14:paraId="3B11ACE0">
            <w:pPr>
              <w:spacing w:line="240" w:lineRule="exact"/>
              <w:rPr>
                <w:rFonts w:ascii="宋体" w:hAnsi="宋体" w:eastAsia="宋体" w:cs="宋体"/>
                <w:sz w:val="18"/>
                <w:szCs w:val="18"/>
              </w:rPr>
            </w:pPr>
            <w:r>
              <w:rPr>
                <w:rFonts w:ascii="宋体" w:hAnsi="宋体" w:eastAsia="宋体" w:cs="宋体"/>
                <w:sz w:val="18"/>
                <w:szCs w:val="18"/>
              </w:rPr>
              <w:t>预计无法收回</w:t>
            </w:r>
          </w:p>
        </w:tc>
      </w:tr>
      <w:tr w14:paraId="06535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7679DF8">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1DA36F6A">
            <w:pPr>
              <w:spacing w:line="240" w:lineRule="exact"/>
              <w:jc w:val="right"/>
              <w:rPr>
                <w:rFonts w:ascii="宋体" w:hAnsi="宋体" w:eastAsia="宋体" w:cs="宋体"/>
                <w:sz w:val="18"/>
                <w:szCs w:val="18"/>
              </w:rPr>
            </w:pPr>
            <w:r>
              <w:rPr>
                <w:rFonts w:ascii="宋体" w:hAnsi="宋体" w:eastAsia="宋体" w:cs="宋体"/>
                <w:sz w:val="18"/>
                <w:szCs w:val="18"/>
              </w:rPr>
              <w:t>26,696,585.73</w:t>
            </w:r>
          </w:p>
        </w:tc>
        <w:tc>
          <w:tcPr>
            <w:tcW w:w="1377" w:type="dxa"/>
            <w:tcBorders>
              <w:top w:val="single" w:color="auto" w:sz="2" w:space="0"/>
              <w:left w:val="single" w:color="auto" w:sz="2" w:space="0"/>
              <w:bottom w:val="single" w:color="auto" w:sz="2" w:space="0"/>
              <w:right w:val="single" w:color="auto" w:sz="2" w:space="0"/>
            </w:tcBorders>
            <w:vAlign w:val="center"/>
          </w:tcPr>
          <w:p w14:paraId="0814A69F">
            <w:pPr>
              <w:spacing w:line="240" w:lineRule="exact"/>
              <w:jc w:val="right"/>
              <w:rPr>
                <w:rFonts w:ascii="宋体" w:hAnsi="宋体" w:eastAsia="宋体" w:cs="宋体"/>
                <w:sz w:val="18"/>
                <w:szCs w:val="18"/>
              </w:rPr>
            </w:pPr>
            <w:r>
              <w:rPr>
                <w:rFonts w:ascii="宋体" w:hAnsi="宋体" w:eastAsia="宋体" w:cs="宋体"/>
                <w:sz w:val="18"/>
                <w:szCs w:val="18"/>
              </w:rPr>
              <w:t>26,696,585.73</w:t>
            </w:r>
          </w:p>
        </w:tc>
        <w:tc>
          <w:tcPr>
            <w:tcW w:w="1377" w:type="dxa"/>
            <w:tcBorders>
              <w:top w:val="single" w:color="auto" w:sz="2" w:space="0"/>
              <w:left w:val="single" w:color="auto" w:sz="2" w:space="0"/>
              <w:bottom w:val="single" w:color="auto" w:sz="2" w:space="0"/>
              <w:right w:val="single" w:color="auto" w:sz="2" w:space="0"/>
            </w:tcBorders>
            <w:vAlign w:val="center"/>
          </w:tcPr>
          <w:p w14:paraId="1849546B">
            <w:pPr>
              <w:spacing w:line="240" w:lineRule="exact"/>
              <w:jc w:val="right"/>
              <w:rPr>
                <w:rFonts w:ascii="宋体" w:hAnsi="宋体" w:eastAsia="宋体" w:cs="宋体"/>
                <w:sz w:val="18"/>
                <w:szCs w:val="18"/>
              </w:rPr>
            </w:pPr>
            <w:r>
              <w:rPr>
                <w:rFonts w:ascii="宋体" w:hAnsi="宋体" w:eastAsia="宋体" w:cs="宋体"/>
                <w:sz w:val="18"/>
                <w:szCs w:val="18"/>
              </w:rPr>
              <w:t>26,696,585.73</w:t>
            </w:r>
          </w:p>
        </w:tc>
        <w:tc>
          <w:tcPr>
            <w:tcW w:w="1377" w:type="dxa"/>
            <w:tcBorders>
              <w:top w:val="single" w:color="auto" w:sz="2" w:space="0"/>
              <w:left w:val="single" w:color="auto" w:sz="2" w:space="0"/>
              <w:bottom w:val="single" w:color="auto" w:sz="2" w:space="0"/>
              <w:right w:val="single" w:color="auto" w:sz="2" w:space="0"/>
            </w:tcBorders>
            <w:vAlign w:val="center"/>
          </w:tcPr>
          <w:p w14:paraId="4320D889">
            <w:pPr>
              <w:spacing w:line="240" w:lineRule="exact"/>
              <w:jc w:val="right"/>
              <w:rPr>
                <w:rFonts w:ascii="宋体" w:hAnsi="宋体" w:eastAsia="宋体" w:cs="宋体"/>
                <w:sz w:val="18"/>
                <w:szCs w:val="18"/>
              </w:rPr>
            </w:pPr>
            <w:r>
              <w:rPr>
                <w:rFonts w:ascii="宋体" w:hAnsi="宋体" w:eastAsia="宋体" w:cs="宋体"/>
                <w:sz w:val="18"/>
                <w:szCs w:val="18"/>
              </w:rPr>
              <w:t>26,696,585.73</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10B042C"/>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BE20A3A"/>
        </w:tc>
      </w:tr>
    </w:tbl>
    <w:p w14:paraId="61D0F19E">
      <w:pPr>
        <w:spacing w:line="240" w:lineRule="exact"/>
        <w:rPr>
          <w:rFonts w:ascii="宋体" w:hAnsi="宋体" w:eastAsia="宋体" w:cs="宋体"/>
          <w:sz w:val="18"/>
          <w:szCs w:val="18"/>
        </w:rPr>
      </w:pPr>
      <w:r>
        <w:rPr>
          <w:rFonts w:ascii="宋体" w:hAnsi="宋体" w:eastAsia="宋体" w:cs="宋体"/>
          <w:sz w:val="18"/>
          <w:szCs w:val="18"/>
        </w:rPr>
        <w:t>按组合计提坏账准备：预期信用风险组合</w:t>
      </w:r>
    </w:p>
    <w:p w14:paraId="7077321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01FCB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C087A78">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18B759EE">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3A4DB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52FC94F"/>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DC684D0">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1A805E9">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565DECF">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14:paraId="4DABA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DEFA865">
            <w:pPr>
              <w:spacing w:line="240" w:lineRule="exact"/>
              <w:rPr>
                <w:rFonts w:ascii="宋体" w:hAnsi="宋体" w:eastAsia="宋体" w:cs="宋体"/>
                <w:sz w:val="18"/>
                <w:szCs w:val="18"/>
              </w:rPr>
            </w:pPr>
            <w:r>
              <w:rPr>
                <w:rFonts w:ascii="宋体" w:hAnsi="宋体" w:eastAsia="宋体" w:cs="宋体"/>
                <w:sz w:val="18"/>
                <w:szCs w:val="18"/>
              </w:rPr>
              <w:t>1年以内</w:t>
            </w:r>
          </w:p>
        </w:tc>
        <w:tc>
          <w:tcPr>
            <w:tcW w:w="2410" w:type="dxa"/>
            <w:tcBorders>
              <w:top w:val="single" w:color="auto" w:sz="2" w:space="0"/>
              <w:left w:val="single" w:color="auto" w:sz="2" w:space="0"/>
              <w:bottom w:val="single" w:color="auto" w:sz="2" w:space="0"/>
              <w:right w:val="single" w:color="auto" w:sz="2" w:space="0"/>
            </w:tcBorders>
            <w:vAlign w:val="center"/>
          </w:tcPr>
          <w:p w14:paraId="703D7DFD">
            <w:pPr>
              <w:spacing w:line="240" w:lineRule="exact"/>
              <w:jc w:val="right"/>
              <w:rPr>
                <w:rFonts w:ascii="宋体" w:hAnsi="宋体" w:eastAsia="宋体" w:cs="宋体"/>
                <w:sz w:val="18"/>
                <w:szCs w:val="18"/>
              </w:rPr>
            </w:pPr>
            <w:r>
              <w:rPr>
                <w:rFonts w:ascii="宋体" w:hAnsi="宋体" w:eastAsia="宋体" w:cs="宋体"/>
                <w:sz w:val="18"/>
                <w:szCs w:val="18"/>
              </w:rPr>
              <w:t>56,670,009.05</w:t>
            </w:r>
          </w:p>
        </w:tc>
        <w:tc>
          <w:tcPr>
            <w:tcW w:w="2410" w:type="dxa"/>
            <w:tcBorders>
              <w:top w:val="single" w:color="auto" w:sz="2" w:space="0"/>
              <w:left w:val="single" w:color="auto" w:sz="2" w:space="0"/>
              <w:bottom w:val="single" w:color="auto" w:sz="2" w:space="0"/>
              <w:right w:val="single" w:color="auto" w:sz="2" w:space="0"/>
            </w:tcBorders>
            <w:vAlign w:val="center"/>
          </w:tcPr>
          <w:p w14:paraId="65663256">
            <w:pPr>
              <w:spacing w:line="240" w:lineRule="exact"/>
              <w:jc w:val="right"/>
              <w:rPr>
                <w:rFonts w:ascii="宋体" w:hAnsi="宋体" w:eastAsia="宋体" w:cs="宋体"/>
                <w:sz w:val="18"/>
                <w:szCs w:val="18"/>
              </w:rPr>
            </w:pPr>
            <w:r>
              <w:rPr>
                <w:rFonts w:ascii="宋体" w:hAnsi="宋体" w:eastAsia="宋体" w:cs="宋体"/>
                <w:sz w:val="18"/>
                <w:szCs w:val="18"/>
              </w:rPr>
              <w:t>2,833,500.48</w:t>
            </w:r>
          </w:p>
        </w:tc>
        <w:tc>
          <w:tcPr>
            <w:tcW w:w="2410" w:type="dxa"/>
            <w:tcBorders>
              <w:top w:val="single" w:color="auto" w:sz="2" w:space="0"/>
              <w:left w:val="single" w:color="auto" w:sz="2" w:space="0"/>
              <w:bottom w:val="single" w:color="auto" w:sz="2" w:space="0"/>
              <w:right w:val="single" w:color="auto" w:sz="2" w:space="0"/>
            </w:tcBorders>
            <w:vAlign w:val="center"/>
          </w:tcPr>
          <w:p w14:paraId="35DDD851">
            <w:pPr>
              <w:spacing w:line="240" w:lineRule="exact"/>
              <w:jc w:val="right"/>
              <w:rPr>
                <w:rFonts w:ascii="宋体" w:hAnsi="宋体" w:eastAsia="宋体" w:cs="宋体"/>
                <w:sz w:val="18"/>
                <w:szCs w:val="18"/>
              </w:rPr>
            </w:pPr>
            <w:r>
              <w:rPr>
                <w:rFonts w:ascii="宋体" w:hAnsi="宋体" w:eastAsia="宋体" w:cs="宋体"/>
                <w:sz w:val="18"/>
                <w:szCs w:val="18"/>
              </w:rPr>
              <w:t>5.00%</w:t>
            </w:r>
          </w:p>
        </w:tc>
      </w:tr>
      <w:tr w14:paraId="5B5E9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539B8C0">
            <w:pPr>
              <w:spacing w:line="240" w:lineRule="exact"/>
              <w:rPr>
                <w:rFonts w:ascii="宋体" w:hAnsi="宋体" w:eastAsia="宋体" w:cs="宋体"/>
                <w:sz w:val="18"/>
                <w:szCs w:val="18"/>
              </w:rPr>
            </w:pPr>
            <w:r>
              <w:rPr>
                <w:rFonts w:ascii="宋体" w:hAnsi="宋体" w:eastAsia="宋体" w:cs="宋体"/>
                <w:sz w:val="18"/>
                <w:szCs w:val="18"/>
              </w:rPr>
              <w:t>1－2年</w:t>
            </w:r>
          </w:p>
        </w:tc>
        <w:tc>
          <w:tcPr>
            <w:tcW w:w="2410" w:type="dxa"/>
            <w:tcBorders>
              <w:top w:val="single" w:color="auto" w:sz="2" w:space="0"/>
              <w:left w:val="single" w:color="auto" w:sz="2" w:space="0"/>
              <w:bottom w:val="single" w:color="auto" w:sz="2" w:space="0"/>
              <w:right w:val="single" w:color="auto" w:sz="2" w:space="0"/>
            </w:tcBorders>
            <w:vAlign w:val="center"/>
          </w:tcPr>
          <w:p w14:paraId="5E1945F4">
            <w:pPr>
              <w:spacing w:line="240" w:lineRule="exact"/>
              <w:jc w:val="right"/>
              <w:rPr>
                <w:rFonts w:ascii="宋体" w:hAnsi="宋体" w:eastAsia="宋体" w:cs="宋体"/>
                <w:sz w:val="18"/>
                <w:szCs w:val="18"/>
              </w:rPr>
            </w:pPr>
            <w:r>
              <w:rPr>
                <w:rFonts w:ascii="宋体" w:hAnsi="宋体" w:eastAsia="宋体" w:cs="宋体"/>
                <w:sz w:val="18"/>
                <w:szCs w:val="18"/>
              </w:rPr>
              <w:t>8,643,918.57</w:t>
            </w:r>
          </w:p>
        </w:tc>
        <w:tc>
          <w:tcPr>
            <w:tcW w:w="2410" w:type="dxa"/>
            <w:tcBorders>
              <w:top w:val="single" w:color="auto" w:sz="2" w:space="0"/>
              <w:left w:val="single" w:color="auto" w:sz="2" w:space="0"/>
              <w:bottom w:val="single" w:color="auto" w:sz="2" w:space="0"/>
              <w:right w:val="single" w:color="auto" w:sz="2" w:space="0"/>
            </w:tcBorders>
            <w:vAlign w:val="center"/>
          </w:tcPr>
          <w:p w14:paraId="4B2043A5">
            <w:pPr>
              <w:spacing w:line="240" w:lineRule="exact"/>
              <w:jc w:val="right"/>
              <w:rPr>
                <w:rFonts w:ascii="宋体" w:hAnsi="宋体" w:eastAsia="宋体" w:cs="宋体"/>
                <w:sz w:val="18"/>
                <w:szCs w:val="18"/>
              </w:rPr>
            </w:pPr>
            <w:r>
              <w:rPr>
                <w:rFonts w:ascii="宋体" w:hAnsi="宋体" w:eastAsia="宋体" w:cs="宋体"/>
                <w:sz w:val="18"/>
                <w:szCs w:val="18"/>
              </w:rPr>
              <w:t>864,391.85</w:t>
            </w:r>
          </w:p>
        </w:tc>
        <w:tc>
          <w:tcPr>
            <w:tcW w:w="2410" w:type="dxa"/>
            <w:tcBorders>
              <w:top w:val="single" w:color="auto" w:sz="2" w:space="0"/>
              <w:left w:val="single" w:color="auto" w:sz="2" w:space="0"/>
              <w:bottom w:val="single" w:color="auto" w:sz="2" w:space="0"/>
              <w:right w:val="single" w:color="auto" w:sz="2" w:space="0"/>
            </w:tcBorders>
            <w:vAlign w:val="center"/>
          </w:tcPr>
          <w:p w14:paraId="21D52EA9">
            <w:pPr>
              <w:spacing w:line="240" w:lineRule="exact"/>
              <w:jc w:val="right"/>
              <w:rPr>
                <w:rFonts w:ascii="宋体" w:hAnsi="宋体" w:eastAsia="宋体" w:cs="宋体"/>
                <w:sz w:val="18"/>
                <w:szCs w:val="18"/>
              </w:rPr>
            </w:pPr>
            <w:r>
              <w:rPr>
                <w:rFonts w:ascii="宋体" w:hAnsi="宋体" w:eastAsia="宋体" w:cs="宋体"/>
                <w:sz w:val="18"/>
                <w:szCs w:val="18"/>
              </w:rPr>
              <w:t>10.00%</w:t>
            </w:r>
          </w:p>
        </w:tc>
      </w:tr>
      <w:tr w14:paraId="6A341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CBBB885">
            <w:pPr>
              <w:spacing w:line="240" w:lineRule="exact"/>
              <w:rPr>
                <w:rFonts w:ascii="宋体" w:hAnsi="宋体" w:eastAsia="宋体" w:cs="宋体"/>
                <w:sz w:val="18"/>
                <w:szCs w:val="18"/>
              </w:rPr>
            </w:pPr>
            <w:r>
              <w:rPr>
                <w:rFonts w:ascii="宋体" w:hAnsi="宋体" w:eastAsia="宋体" w:cs="宋体"/>
                <w:sz w:val="18"/>
                <w:szCs w:val="18"/>
              </w:rPr>
              <w:t>2－3年</w:t>
            </w:r>
          </w:p>
        </w:tc>
        <w:tc>
          <w:tcPr>
            <w:tcW w:w="2410" w:type="dxa"/>
            <w:tcBorders>
              <w:top w:val="single" w:color="auto" w:sz="2" w:space="0"/>
              <w:left w:val="single" w:color="auto" w:sz="2" w:space="0"/>
              <w:bottom w:val="single" w:color="auto" w:sz="2" w:space="0"/>
              <w:right w:val="single" w:color="auto" w:sz="2" w:space="0"/>
            </w:tcBorders>
            <w:vAlign w:val="center"/>
          </w:tcPr>
          <w:p w14:paraId="6B0AEB69">
            <w:pPr>
              <w:spacing w:line="240" w:lineRule="exact"/>
              <w:jc w:val="right"/>
              <w:rPr>
                <w:rFonts w:ascii="宋体" w:hAnsi="宋体" w:eastAsia="宋体" w:cs="宋体"/>
                <w:sz w:val="18"/>
                <w:szCs w:val="18"/>
              </w:rPr>
            </w:pPr>
            <w:r>
              <w:rPr>
                <w:rFonts w:ascii="宋体" w:hAnsi="宋体" w:eastAsia="宋体" w:cs="宋体"/>
                <w:sz w:val="18"/>
                <w:szCs w:val="18"/>
              </w:rPr>
              <w:t>18,159,800.99</w:t>
            </w:r>
          </w:p>
        </w:tc>
        <w:tc>
          <w:tcPr>
            <w:tcW w:w="2410" w:type="dxa"/>
            <w:tcBorders>
              <w:top w:val="single" w:color="auto" w:sz="2" w:space="0"/>
              <w:left w:val="single" w:color="auto" w:sz="2" w:space="0"/>
              <w:bottom w:val="single" w:color="auto" w:sz="2" w:space="0"/>
              <w:right w:val="single" w:color="auto" w:sz="2" w:space="0"/>
            </w:tcBorders>
            <w:vAlign w:val="center"/>
          </w:tcPr>
          <w:p w14:paraId="748D7C97">
            <w:pPr>
              <w:spacing w:line="240" w:lineRule="exact"/>
              <w:jc w:val="right"/>
              <w:rPr>
                <w:rFonts w:ascii="宋体" w:hAnsi="宋体" w:eastAsia="宋体" w:cs="宋体"/>
                <w:sz w:val="18"/>
                <w:szCs w:val="18"/>
              </w:rPr>
            </w:pPr>
            <w:r>
              <w:rPr>
                <w:rFonts w:ascii="宋体" w:hAnsi="宋体" w:eastAsia="宋体" w:cs="宋体"/>
                <w:sz w:val="18"/>
                <w:szCs w:val="18"/>
              </w:rPr>
              <w:t>3,631,960.20</w:t>
            </w:r>
          </w:p>
        </w:tc>
        <w:tc>
          <w:tcPr>
            <w:tcW w:w="2410" w:type="dxa"/>
            <w:tcBorders>
              <w:top w:val="single" w:color="auto" w:sz="2" w:space="0"/>
              <w:left w:val="single" w:color="auto" w:sz="2" w:space="0"/>
              <w:bottom w:val="single" w:color="auto" w:sz="2" w:space="0"/>
              <w:right w:val="single" w:color="auto" w:sz="2" w:space="0"/>
            </w:tcBorders>
            <w:vAlign w:val="center"/>
          </w:tcPr>
          <w:p w14:paraId="4F69C033">
            <w:pPr>
              <w:spacing w:line="240" w:lineRule="exact"/>
              <w:jc w:val="right"/>
              <w:rPr>
                <w:rFonts w:ascii="宋体" w:hAnsi="宋体" w:eastAsia="宋体" w:cs="宋体"/>
                <w:sz w:val="18"/>
                <w:szCs w:val="18"/>
              </w:rPr>
            </w:pPr>
            <w:r>
              <w:rPr>
                <w:rFonts w:ascii="宋体" w:hAnsi="宋体" w:eastAsia="宋体" w:cs="宋体"/>
                <w:sz w:val="18"/>
                <w:szCs w:val="18"/>
              </w:rPr>
              <w:t>20.00%</w:t>
            </w:r>
          </w:p>
        </w:tc>
      </w:tr>
      <w:tr w14:paraId="5616E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EB70D65">
            <w:pPr>
              <w:spacing w:line="240" w:lineRule="exact"/>
              <w:rPr>
                <w:rFonts w:ascii="宋体" w:hAnsi="宋体" w:eastAsia="宋体" w:cs="宋体"/>
                <w:sz w:val="18"/>
                <w:szCs w:val="18"/>
              </w:rPr>
            </w:pPr>
            <w:r>
              <w:rPr>
                <w:rFonts w:ascii="宋体" w:hAnsi="宋体" w:eastAsia="宋体" w:cs="宋体"/>
                <w:sz w:val="18"/>
                <w:szCs w:val="18"/>
              </w:rPr>
              <w:t>3－4年</w:t>
            </w:r>
          </w:p>
        </w:tc>
        <w:tc>
          <w:tcPr>
            <w:tcW w:w="2410" w:type="dxa"/>
            <w:tcBorders>
              <w:top w:val="single" w:color="auto" w:sz="2" w:space="0"/>
              <w:left w:val="single" w:color="auto" w:sz="2" w:space="0"/>
              <w:bottom w:val="single" w:color="auto" w:sz="2" w:space="0"/>
              <w:right w:val="single" w:color="auto" w:sz="2" w:space="0"/>
            </w:tcBorders>
            <w:vAlign w:val="center"/>
          </w:tcPr>
          <w:p w14:paraId="42F8505B">
            <w:pPr>
              <w:spacing w:line="240" w:lineRule="exact"/>
              <w:jc w:val="right"/>
              <w:rPr>
                <w:rFonts w:ascii="宋体" w:hAnsi="宋体" w:eastAsia="宋体" w:cs="宋体"/>
                <w:sz w:val="18"/>
                <w:szCs w:val="18"/>
              </w:rPr>
            </w:pPr>
            <w:r>
              <w:rPr>
                <w:rFonts w:ascii="宋体" w:hAnsi="宋体" w:eastAsia="宋体" w:cs="宋体"/>
                <w:sz w:val="18"/>
                <w:szCs w:val="18"/>
              </w:rPr>
              <w:t>8,934,929.76</w:t>
            </w:r>
          </w:p>
        </w:tc>
        <w:tc>
          <w:tcPr>
            <w:tcW w:w="2410" w:type="dxa"/>
            <w:tcBorders>
              <w:top w:val="single" w:color="auto" w:sz="2" w:space="0"/>
              <w:left w:val="single" w:color="auto" w:sz="2" w:space="0"/>
              <w:bottom w:val="single" w:color="auto" w:sz="2" w:space="0"/>
              <w:right w:val="single" w:color="auto" w:sz="2" w:space="0"/>
            </w:tcBorders>
            <w:vAlign w:val="center"/>
          </w:tcPr>
          <w:p w14:paraId="58B1EEF8">
            <w:pPr>
              <w:spacing w:line="240" w:lineRule="exact"/>
              <w:jc w:val="right"/>
              <w:rPr>
                <w:rFonts w:ascii="宋体" w:hAnsi="宋体" w:eastAsia="宋体" w:cs="宋体"/>
                <w:sz w:val="18"/>
                <w:szCs w:val="18"/>
              </w:rPr>
            </w:pPr>
            <w:r>
              <w:rPr>
                <w:rFonts w:ascii="宋体" w:hAnsi="宋体" w:eastAsia="宋体" w:cs="宋体"/>
                <w:sz w:val="18"/>
                <w:szCs w:val="18"/>
              </w:rPr>
              <w:t>4,467,464.89</w:t>
            </w:r>
          </w:p>
        </w:tc>
        <w:tc>
          <w:tcPr>
            <w:tcW w:w="2410" w:type="dxa"/>
            <w:tcBorders>
              <w:top w:val="single" w:color="auto" w:sz="2" w:space="0"/>
              <w:left w:val="single" w:color="auto" w:sz="2" w:space="0"/>
              <w:bottom w:val="single" w:color="auto" w:sz="2" w:space="0"/>
              <w:right w:val="single" w:color="auto" w:sz="2" w:space="0"/>
            </w:tcBorders>
            <w:vAlign w:val="center"/>
          </w:tcPr>
          <w:p w14:paraId="0367DA2E">
            <w:pPr>
              <w:spacing w:line="240" w:lineRule="exact"/>
              <w:jc w:val="right"/>
              <w:rPr>
                <w:rFonts w:ascii="宋体" w:hAnsi="宋体" w:eastAsia="宋体" w:cs="宋体"/>
                <w:sz w:val="18"/>
                <w:szCs w:val="18"/>
              </w:rPr>
            </w:pPr>
            <w:r>
              <w:rPr>
                <w:rFonts w:ascii="宋体" w:hAnsi="宋体" w:eastAsia="宋体" w:cs="宋体"/>
                <w:sz w:val="18"/>
                <w:szCs w:val="18"/>
              </w:rPr>
              <w:t>50.00%</w:t>
            </w:r>
          </w:p>
        </w:tc>
      </w:tr>
      <w:tr w14:paraId="22B60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B0187B8">
            <w:pPr>
              <w:spacing w:line="240" w:lineRule="exact"/>
              <w:rPr>
                <w:rFonts w:ascii="宋体" w:hAnsi="宋体" w:eastAsia="宋体" w:cs="宋体"/>
                <w:sz w:val="18"/>
                <w:szCs w:val="18"/>
              </w:rPr>
            </w:pPr>
            <w:r>
              <w:rPr>
                <w:rFonts w:ascii="宋体" w:hAnsi="宋体" w:eastAsia="宋体" w:cs="宋体"/>
                <w:sz w:val="18"/>
                <w:szCs w:val="18"/>
              </w:rPr>
              <w:t>4－5年</w:t>
            </w:r>
          </w:p>
        </w:tc>
        <w:tc>
          <w:tcPr>
            <w:tcW w:w="2410" w:type="dxa"/>
            <w:tcBorders>
              <w:top w:val="single" w:color="auto" w:sz="2" w:space="0"/>
              <w:left w:val="single" w:color="auto" w:sz="2" w:space="0"/>
              <w:bottom w:val="single" w:color="auto" w:sz="2" w:space="0"/>
              <w:right w:val="single" w:color="auto" w:sz="2" w:space="0"/>
            </w:tcBorders>
            <w:vAlign w:val="center"/>
          </w:tcPr>
          <w:p w14:paraId="7A4533EE">
            <w:pPr>
              <w:spacing w:line="240" w:lineRule="exact"/>
              <w:jc w:val="right"/>
              <w:rPr>
                <w:rFonts w:ascii="宋体" w:hAnsi="宋体" w:eastAsia="宋体" w:cs="宋体"/>
                <w:sz w:val="18"/>
                <w:szCs w:val="18"/>
              </w:rPr>
            </w:pPr>
            <w:r>
              <w:rPr>
                <w:rFonts w:ascii="宋体" w:hAnsi="宋体" w:eastAsia="宋体" w:cs="宋体"/>
                <w:sz w:val="18"/>
                <w:szCs w:val="18"/>
              </w:rPr>
              <w:t>1,478,587.12</w:t>
            </w:r>
          </w:p>
        </w:tc>
        <w:tc>
          <w:tcPr>
            <w:tcW w:w="2410" w:type="dxa"/>
            <w:tcBorders>
              <w:top w:val="single" w:color="auto" w:sz="2" w:space="0"/>
              <w:left w:val="single" w:color="auto" w:sz="2" w:space="0"/>
              <w:bottom w:val="single" w:color="auto" w:sz="2" w:space="0"/>
              <w:right w:val="single" w:color="auto" w:sz="2" w:space="0"/>
            </w:tcBorders>
            <w:vAlign w:val="center"/>
          </w:tcPr>
          <w:p w14:paraId="23D36399">
            <w:pPr>
              <w:spacing w:line="240" w:lineRule="exact"/>
              <w:jc w:val="right"/>
              <w:rPr>
                <w:rFonts w:ascii="宋体" w:hAnsi="宋体" w:eastAsia="宋体" w:cs="宋体"/>
                <w:sz w:val="18"/>
                <w:szCs w:val="18"/>
              </w:rPr>
            </w:pPr>
            <w:r>
              <w:rPr>
                <w:rFonts w:ascii="宋体" w:hAnsi="宋体" w:eastAsia="宋体" w:cs="宋体"/>
                <w:sz w:val="18"/>
                <w:szCs w:val="18"/>
              </w:rPr>
              <w:t>1,182,869.70</w:t>
            </w:r>
          </w:p>
        </w:tc>
        <w:tc>
          <w:tcPr>
            <w:tcW w:w="2410" w:type="dxa"/>
            <w:tcBorders>
              <w:top w:val="single" w:color="auto" w:sz="2" w:space="0"/>
              <w:left w:val="single" w:color="auto" w:sz="2" w:space="0"/>
              <w:bottom w:val="single" w:color="auto" w:sz="2" w:space="0"/>
              <w:right w:val="single" w:color="auto" w:sz="2" w:space="0"/>
            </w:tcBorders>
            <w:vAlign w:val="center"/>
          </w:tcPr>
          <w:p w14:paraId="10F1E217">
            <w:pPr>
              <w:spacing w:line="240" w:lineRule="exact"/>
              <w:jc w:val="right"/>
              <w:rPr>
                <w:rFonts w:ascii="宋体" w:hAnsi="宋体" w:eastAsia="宋体" w:cs="宋体"/>
                <w:sz w:val="18"/>
                <w:szCs w:val="18"/>
              </w:rPr>
            </w:pPr>
            <w:r>
              <w:rPr>
                <w:rFonts w:ascii="宋体" w:hAnsi="宋体" w:eastAsia="宋体" w:cs="宋体"/>
                <w:sz w:val="18"/>
                <w:szCs w:val="18"/>
              </w:rPr>
              <w:t>80.00%</w:t>
            </w:r>
          </w:p>
        </w:tc>
      </w:tr>
      <w:tr w14:paraId="3BDB8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3828450">
            <w:pPr>
              <w:spacing w:line="240" w:lineRule="exac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14:paraId="2DBE19FB">
            <w:pPr>
              <w:spacing w:line="240" w:lineRule="exact"/>
              <w:jc w:val="right"/>
              <w:rPr>
                <w:rFonts w:ascii="宋体" w:hAnsi="宋体" w:eastAsia="宋体" w:cs="宋体"/>
                <w:sz w:val="18"/>
                <w:szCs w:val="18"/>
              </w:rPr>
            </w:pPr>
            <w:r>
              <w:rPr>
                <w:rFonts w:ascii="宋体" w:hAnsi="宋体" w:eastAsia="宋体" w:cs="宋体"/>
                <w:sz w:val="18"/>
                <w:szCs w:val="18"/>
              </w:rPr>
              <w:t>11,171,259.69</w:t>
            </w:r>
          </w:p>
        </w:tc>
        <w:tc>
          <w:tcPr>
            <w:tcW w:w="2410" w:type="dxa"/>
            <w:tcBorders>
              <w:top w:val="single" w:color="auto" w:sz="2" w:space="0"/>
              <w:left w:val="single" w:color="auto" w:sz="2" w:space="0"/>
              <w:bottom w:val="single" w:color="auto" w:sz="2" w:space="0"/>
              <w:right w:val="single" w:color="auto" w:sz="2" w:space="0"/>
            </w:tcBorders>
            <w:vAlign w:val="center"/>
          </w:tcPr>
          <w:p w14:paraId="7BEF7954">
            <w:pPr>
              <w:spacing w:line="240" w:lineRule="exact"/>
              <w:jc w:val="right"/>
              <w:rPr>
                <w:rFonts w:ascii="宋体" w:hAnsi="宋体" w:eastAsia="宋体" w:cs="宋体"/>
                <w:sz w:val="18"/>
                <w:szCs w:val="18"/>
              </w:rPr>
            </w:pPr>
            <w:r>
              <w:rPr>
                <w:rFonts w:ascii="宋体" w:hAnsi="宋体" w:eastAsia="宋体" w:cs="宋体"/>
                <w:sz w:val="18"/>
                <w:szCs w:val="18"/>
              </w:rPr>
              <w:t>11,171,259.69</w:t>
            </w:r>
          </w:p>
        </w:tc>
        <w:tc>
          <w:tcPr>
            <w:tcW w:w="2410" w:type="dxa"/>
            <w:tcBorders>
              <w:top w:val="single" w:color="auto" w:sz="2" w:space="0"/>
              <w:left w:val="single" w:color="auto" w:sz="2" w:space="0"/>
              <w:bottom w:val="single" w:color="auto" w:sz="2" w:space="0"/>
              <w:right w:val="single" w:color="auto" w:sz="2" w:space="0"/>
            </w:tcBorders>
            <w:vAlign w:val="center"/>
          </w:tcPr>
          <w:p w14:paraId="3598A95D">
            <w:pPr>
              <w:spacing w:line="240" w:lineRule="exact"/>
              <w:jc w:val="right"/>
              <w:rPr>
                <w:rFonts w:ascii="宋体" w:hAnsi="宋体" w:eastAsia="宋体" w:cs="宋体"/>
                <w:sz w:val="18"/>
                <w:szCs w:val="18"/>
              </w:rPr>
            </w:pPr>
            <w:r>
              <w:rPr>
                <w:rFonts w:ascii="宋体" w:hAnsi="宋体" w:eastAsia="宋体" w:cs="宋体"/>
                <w:sz w:val="18"/>
                <w:szCs w:val="18"/>
              </w:rPr>
              <w:t>100.00%</w:t>
            </w:r>
          </w:p>
        </w:tc>
      </w:tr>
      <w:tr w14:paraId="5314E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A6298D6">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2C61FECC">
            <w:pPr>
              <w:spacing w:line="240" w:lineRule="exact"/>
              <w:jc w:val="right"/>
              <w:rPr>
                <w:rFonts w:ascii="宋体" w:hAnsi="宋体" w:eastAsia="宋体" w:cs="宋体"/>
                <w:sz w:val="18"/>
                <w:szCs w:val="18"/>
              </w:rPr>
            </w:pPr>
            <w:r>
              <w:rPr>
                <w:rFonts w:ascii="宋体" w:hAnsi="宋体" w:eastAsia="宋体" w:cs="宋体"/>
                <w:sz w:val="18"/>
                <w:szCs w:val="18"/>
              </w:rPr>
              <w:t>105,058,505.18</w:t>
            </w:r>
          </w:p>
        </w:tc>
        <w:tc>
          <w:tcPr>
            <w:tcW w:w="2410" w:type="dxa"/>
            <w:tcBorders>
              <w:top w:val="single" w:color="auto" w:sz="2" w:space="0"/>
              <w:left w:val="single" w:color="auto" w:sz="2" w:space="0"/>
              <w:bottom w:val="single" w:color="auto" w:sz="2" w:space="0"/>
              <w:right w:val="single" w:color="auto" w:sz="2" w:space="0"/>
            </w:tcBorders>
            <w:vAlign w:val="center"/>
          </w:tcPr>
          <w:p w14:paraId="6D8118E1">
            <w:pPr>
              <w:spacing w:line="240" w:lineRule="exact"/>
              <w:jc w:val="right"/>
              <w:rPr>
                <w:rFonts w:ascii="宋体" w:hAnsi="宋体" w:eastAsia="宋体" w:cs="宋体"/>
                <w:sz w:val="18"/>
                <w:szCs w:val="18"/>
              </w:rPr>
            </w:pPr>
            <w:r>
              <w:rPr>
                <w:rFonts w:ascii="宋体" w:hAnsi="宋体" w:eastAsia="宋体" w:cs="宋体"/>
                <w:sz w:val="18"/>
                <w:szCs w:val="18"/>
              </w:rPr>
              <w:t>24,151,446.81</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5179135"/>
        </w:tc>
      </w:tr>
    </w:tbl>
    <w:p w14:paraId="2390A79C">
      <w:pPr>
        <w:spacing w:before="100" w:after="100" w:line="240" w:lineRule="exact"/>
        <w:rPr>
          <w:rFonts w:ascii="宋体" w:hAnsi="宋体" w:eastAsia="宋体" w:cs="宋体"/>
          <w:sz w:val="18"/>
          <w:szCs w:val="18"/>
        </w:rPr>
      </w:pPr>
      <w:r>
        <w:rPr>
          <w:rFonts w:ascii="宋体" w:hAnsi="宋体" w:eastAsia="宋体" w:cs="宋体"/>
          <w:sz w:val="18"/>
          <w:szCs w:val="18"/>
        </w:rPr>
        <w:t>确定该组合依据的说明：</w:t>
      </w:r>
      <w:r>
        <w:rPr>
          <w:rFonts w:hint="eastAsia"/>
          <w:sz w:val="18"/>
          <w:szCs w:val="18"/>
        </w:rPr>
        <w:t>无</w:t>
      </w:r>
    </w:p>
    <w:p w14:paraId="2DE00342">
      <w:pPr>
        <w:spacing w:line="240" w:lineRule="exact"/>
        <w:rPr>
          <w:rFonts w:ascii="宋体" w:hAnsi="宋体" w:eastAsia="宋体" w:cs="宋体"/>
          <w:sz w:val="18"/>
          <w:szCs w:val="18"/>
        </w:rPr>
      </w:pPr>
      <w:r>
        <w:rPr>
          <w:rFonts w:ascii="宋体" w:hAnsi="宋体" w:eastAsia="宋体" w:cs="宋体"/>
          <w:sz w:val="18"/>
          <w:szCs w:val="18"/>
        </w:rPr>
        <w:t>按组合计提坏账准备：应收财政款组合</w:t>
      </w:r>
    </w:p>
    <w:p w14:paraId="4396B75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0DAA7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0BFAB2F">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741DD723">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380CD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679B14C"/>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F921B3B">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D798DB0">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48AC170">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14:paraId="49257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906A34F">
            <w:pPr>
              <w:spacing w:line="240" w:lineRule="exact"/>
              <w:rPr>
                <w:rFonts w:ascii="宋体" w:hAnsi="宋体" w:eastAsia="宋体" w:cs="宋体"/>
                <w:sz w:val="18"/>
                <w:szCs w:val="18"/>
              </w:rPr>
            </w:pPr>
            <w:r>
              <w:rPr>
                <w:rFonts w:ascii="宋体" w:hAnsi="宋体" w:eastAsia="宋体" w:cs="宋体"/>
                <w:sz w:val="18"/>
                <w:szCs w:val="18"/>
              </w:rPr>
              <w:t>1年以内</w:t>
            </w:r>
          </w:p>
        </w:tc>
        <w:tc>
          <w:tcPr>
            <w:tcW w:w="2410" w:type="dxa"/>
            <w:tcBorders>
              <w:top w:val="single" w:color="auto" w:sz="2" w:space="0"/>
              <w:left w:val="single" w:color="auto" w:sz="2" w:space="0"/>
              <w:bottom w:val="single" w:color="auto" w:sz="2" w:space="0"/>
              <w:right w:val="single" w:color="auto" w:sz="2" w:space="0"/>
            </w:tcBorders>
            <w:vAlign w:val="center"/>
          </w:tcPr>
          <w:p w14:paraId="381BF9CB">
            <w:pPr>
              <w:spacing w:line="240" w:lineRule="exact"/>
              <w:jc w:val="right"/>
              <w:rPr>
                <w:rFonts w:ascii="宋体" w:hAnsi="宋体" w:eastAsia="宋体" w:cs="宋体"/>
                <w:sz w:val="18"/>
                <w:szCs w:val="18"/>
              </w:rPr>
            </w:pPr>
            <w:r>
              <w:rPr>
                <w:rFonts w:ascii="宋体" w:hAnsi="宋体" w:eastAsia="宋体" w:cs="宋体"/>
                <w:sz w:val="18"/>
                <w:szCs w:val="18"/>
              </w:rPr>
              <w:t>45,177,795.27</w:t>
            </w:r>
          </w:p>
        </w:tc>
        <w:tc>
          <w:tcPr>
            <w:tcW w:w="2410" w:type="dxa"/>
            <w:tcBorders>
              <w:top w:val="single" w:color="auto" w:sz="2" w:space="0"/>
              <w:left w:val="single" w:color="auto" w:sz="2" w:space="0"/>
              <w:bottom w:val="single" w:color="auto" w:sz="2" w:space="0"/>
              <w:right w:val="single" w:color="auto" w:sz="2" w:space="0"/>
            </w:tcBorders>
            <w:vAlign w:val="center"/>
          </w:tcPr>
          <w:p w14:paraId="696AB594">
            <w:pPr>
              <w:spacing w:line="240" w:lineRule="exact"/>
              <w:jc w:val="right"/>
              <w:rPr>
                <w:rFonts w:ascii="宋体" w:hAnsi="宋体" w:eastAsia="宋体" w:cs="宋体"/>
                <w:sz w:val="18"/>
                <w:szCs w:val="18"/>
              </w:rPr>
            </w:pPr>
            <w:r>
              <w:rPr>
                <w:rFonts w:ascii="宋体" w:hAnsi="宋体" w:eastAsia="宋体" w:cs="宋体"/>
                <w:sz w:val="18"/>
                <w:szCs w:val="18"/>
              </w:rPr>
              <w:t>2,258,889.77</w:t>
            </w:r>
          </w:p>
        </w:tc>
        <w:tc>
          <w:tcPr>
            <w:tcW w:w="2410" w:type="dxa"/>
            <w:tcBorders>
              <w:top w:val="single" w:color="auto" w:sz="2" w:space="0"/>
              <w:left w:val="single" w:color="auto" w:sz="2" w:space="0"/>
              <w:bottom w:val="single" w:color="auto" w:sz="2" w:space="0"/>
              <w:right w:val="single" w:color="auto" w:sz="2" w:space="0"/>
            </w:tcBorders>
            <w:vAlign w:val="center"/>
          </w:tcPr>
          <w:p w14:paraId="73234B16">
            <w:pPr>
              <w:spacing w:line="240" w:lineRule="exact"/>
              <w:jc w:val="right"/>
              <w:rPr>
                <w:rFonts w:ascii="宋体" w:hAnsi="宋体" w:eastAsia="宋体" w:cs="宋体"/>
                <w:sz w:val="18"/>
                <w:szCs w:val="18"/>
              </w:rPr>
            </w:pPr>
            <w:r>
              <w:rPr>
                <w:rFonts w:ascii="宋体" w:hAnsi="宋体" w:eastAsia="宋体" w:cs="宋体"/>
                <w:sz w:val="18"/>
                <w:szCs w:val="18"/>
              </w:rPr>
              <w:t>5.00%</w:t>
            </w:r>
          </w:p>
        </w:tc>
      </w:tr>
      <w:tr w14:paraId="07CDC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F4D9DDF">
            <w:pPr>
              <w:spacing w:line="240" w:lineRule="exact"/>
              <w:rPr>
                <w:rFonts w:ascii="宋体" w:hAnsi="宋体" w:eastAsia="宋体" w:cs="宋体"/>
                <w:sz w:val="18"/>
                <w:szCs w:val="18"/>
              </w:rPr>
            </w:pPr>
            <w:r>
              <w:rPr>
                <w:rFonts w:ascii="宋体" w:hAnsi="宋体" w:eastAsia="宋体" w:cs="宋体"/>
                <w:sz w:val="18"/>
                <w:szCs w:val="18"/>
              </w:rPr>
              <w:t>1－2年,</w:t>
            </w:r>
          </w:p>
        </w:tc>
        <w:tc>
          <w:tcPr>
            <w:tcW w:w="2410" w:type="dxa"/>
            <w:tcBorders>
              <w:top w:val="single" w:color="auto" w:sz="2" w:space="0"/>
              <w:left w:val="single" w:color="auto" w:sz="2" w:space="0"/>
              <w:bottom w:val="single" w:color="auto" w:sz="2" w:space="0"/>
              <w:right w:val="single" w:color="auto" w:sz="2" w:space="0"/>
            </w:tcBorders>
            <w:vAlign w:val="center"/>
          </w:tcPr>
          <w:p w14:paraId="479AE0EC">
            <w:pPr>
              <w:spacing w:line="240" w:lineRule="exact"/>
              <w:jc w:val="right"/>
              <w:rPr>
                <w:rFonts w:ascii="宋体" w:hAnsi="宋体" w:eastAsia="宋体" w:cs="宋体"/>
                <w:sz w:val="18"/>
                <w:szCs w:val="18"/>
              </w:rPr>
            </w:pPr>
            <w:r>
              <w:rPr>
                <w:rFonts w:ascii="宋体" w:hAnsi="宋体" w:eastAsia="宋体" w:cs="宋体"/>
                <w:sz w:val="18"/>
                <w:szCs w:val="18"/>
              </w:rPr>
              <w:t>5,997,703.20</w:t>
            </w:r>
          </w:p>
        </w:tc>
        <w:tc>
          <w:tcPr>
            <w:tcW w:w="2410" w:type="dxa"/>
            <w:tcBorders>
              <w:top w:val="single" w:color="auto" w:sz="2" w:space="0"/>
              <w:left w:val="single" w:color="auto" w:sz="2" w:space="0"/>
              <w:bottom w:val="single" w:color="auto" w:sz="2" w:space="0"/>
              <w:right w:val="single" w:color="auto" w:sz="2" w:space="0"/>
            </w:tcBorders>
            <w:vAlign w:val="center"/>
          </w:tcPr>
          <w:p w14:paraId="352480C8">
            <w:pPr>
              <w:spacing w:line="240" w:lineRule="exact"/>
              <w:jc w:val="right"/>
              <w:rPr>
                <w:rFonts w:ascii="宋体" w:hAnsi="宋体" w:eastAsia="宋体" w:cs="宋体"/>
                <w:sz w:val="18"/>
                <w:szCs w:val="18"/>
              </w:rPr>
            </w:pPr>
            <w:r>
              <w:rPr>
                <w:rFonts w:ascii="宋体" w:hAnsi="宋体" w:eastAsia="宋体" w:cs="宋体"/>
                <w:sz w:val="18"/>
                <w:szCs w:val="18"/>
              </w:rPr>
              <w:t>599,770.32</w:t>
            </w:r>
          </w:p>
        </w:tc>
        <w:tc>
          <w:tcPr>
            <w:tcW w:w="2410" w:type="dxa"/>
            <w:tcBorders>
              <w:top w:val="single" w:color="auto" w:sz="2" w:space="0"/>
              <w:left w:val="single" w:color="auto" w:sz="2" w:space="0"/>
              <w:bottom w:val="single" w:color="auto" w:sz="2" w:space="0"/>
              <w:right w:val="single" w:color="auto" w:sz="2" w:space="0"/>
            </w:tcBorders>
            <w:vAlign w:val="center"/>
          </w:tcPr>
          <w:p w14:paraId="2C35B6F4">
            <w:pPr>
              <w:spacing w:line="240" w:lineRule="exact"/>
              <w:jc w:val="right"/>
              <w:rPr>
                <w:rFonts w:ascii="宋体" w:hAnsi="宋体" w:eastAsia="宋体" w:cs="宋体"/>
                <w:sz w:val="18"/>
                <w:szCs w:val="18"/>
              </w:rPr>
            </w:pPr>
            <w:r>
              <w:rPr>
                <w:rFonts w:ascii="宋体" w:hAnsi="宋体" w:eastAsia="宋体" w:cs="宋体"/>
                <w:sz w:val="18"/>
                <w:szCs w:val="18"/>
              </w:rPr>
              <w:t>10.00%</w:t>
            </w:r>
          </w:p>
        </w:tc>
      </w:tr>
      <w:tr w14:paraId="06FF7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13F0B67">
            <w:pPr>
              <w:spacing w:line="240" w:lineRule="exact"/>
              <w:rPr>
                <w:rFonts w:ascii="宋体" w:hAnsi="宋体" w:eastAsia="宋体" w:cs="宋体"/>
                <w:sz w:val="18"/>
                <w:szCs w:val="18"/>
              </w:rPr>
            </w:pPr>
            <w:r>
              <w:rPr>
                <w:rFonts w:ascii="宋体" w:hAnsi="宋体" w:eastAsia="宋体" w:cs="宋体"/>
                <w:sz w:val="18"/>
                <w:szCs w:val="18"/>
              </w:rPr>
              <w:t>2－3年</w:t>
            </w:r>
          </w:p>
        </w:tc>
        <w:tc>
          <w:tcPr>
            <w:tcW w:w="2410" w:type="dxa"/>
            <w:tcBorders>
              <w:top w:val="single" w:color="auto" w:sz="2" w:space="0"/>
              <w:left w:val="single" w:color="auto" w:sz="2" w:space="0"/>
              <w:bottom w:val="single" w:color="auto" w:sz="2" w:space="0"/>
              <w:right w:val="single" w:color="auto" w:sz="2" w:space="0"/>
            </w:tcBorders>
            <w:vAlign w:val="center"/>
          </w:tcPr>
          <w:p w14:paraId="69E2A29E">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00EF6B8A">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58EEC0B">
            <w:pPr>
              <w:spacing w:line="240" w:lineRule="exact"/>
              <w:jc w:val="right"/>
              <w:rPr>
                <w:rFonts w:ascii="宋体" w:hAnsi="宋体" w:eastAsia="宋体" w:cs="宋体"/>
                <w:sz w:val="18"/>
                <w:szCs w:val="18"/>
              </w:rPr>
            </w:pPr>
          </w:p>
        </w:tc>
      </w:tr>
      <w:tr w14:paraId="17217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EF10FB0">
            <w:pPr>
              <w:spacing w:line="240" w:lineRule="exact"/>
              <w:rPr>
                <w:rFonts w:ascii="宋体" w:hAnsi="宋体" w:eastAsia="宋体" w:cs="宋体"/>
                <w:sz w:val="18"/>
                <w:szCs w:val="18"/>
              </w:rPr>
            </w:pPr>
            <w:r>
              <w:rPr>
                <w:rFonts w:ascii="宋体" w:hAnsi="宋体" w:eastAsia="宋体" w:cs="宋体"/>
                <w:sz w:val="18"/>
                <w:szCs w:val="18"/>
              </w:rPr>
              <w:t>3－4年</w:t>
            </w:r>
          </w:p>
        </w:tc>
        <w:tc>
          <w:tcPr>
            <w:tcW w:w="2410" w:type="dxa"/>
            <w:tcBorders>
              <w:top w:val="single" w:color="auto" w:sz="2" w:space="0"/>
              <w:left w:val="single" w:color="auto" w:sz="2" w:space="0"/>
              <w:bottom w:val="single" w:color="auto" w:sz="2" w:space="0"/>
              <w:right w:val="single" w:color="auto" w:sz="2" w:space="0"/>
            </w:tcBorders>
            <w:vAlign w:val="center"/>
          </w:tcPr>
          <w:p w14:paraId="6C52ECC7">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0142B01">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334BFAD">
            <w:pPr>
              <w:spacing w:line="240" w:lineRule="exact"/>
              <w:jc w:val="right"/>
              <w:rPr>
                <w:rFonts w:ascii="宋体" w:hAnsi="宋体" w:eastAsia="宋体" w:cs="宋体"/>
                <w:sz w:val="18"/>
                <w:szCs w:val="18"/>
              </w:rPr>
            </w:pPr>
          </w:p>
        </w:tc>
      </w:tr>
      <w:tr w14:paraId="5642A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C9C3AA0">
            <w:pPr>
              <w:spacing w:line="240" w:lineRule="exact"/>
              <w:rPr>
                <w:rFonts w:ascii="宋体" w:hAnsi="宋体" w:eastAsia="宋体" w:cs="宋体"/>
                <w:sz w:val="18"/>
                <w:szCs w:val="18"/>
              </w:rPr>
            </w:pPr>
            <w:r>
              <w:rPr>
                <w:rFonts w:ascii="宋体" w:hAnsi="宋体" w:eastAsia="宋体" w:cs="宋体"/>
                <w:sz w:val="18"/>
                <w:szCs w:val="18"/>
              </w:rPr>
              <w:t>4－5年</w:t>
            </w:r>
          </w:p>
        </w:tc>
        <w:tc>
          <w:tcPr>
            <w:tcW w:w="2410" w:type="dxa"/>
            <w:tcBorders>
              <w:top w:val="single" w:color="auto" w:sz="2" w:space="0"/>
              <w:left w:val="single" w:color="auto" w:sz="2" w:space="0"/>
              <w:bottom w:val="single" w:color="auto" w:sz="2" w:space="0"/>
              <w:right w:val="single" w:color="auto" w:sz="2" w:space="0"/>
            </w:tcBorders>
            <w:vAlign w:val="center"/>
          </w:tcPr>
          <w:p w14:paraId="7F9C1AB8">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801B1E4">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5B4E07A">
            <w:pPr>
              <w:spacing w:line="240" w:lineRule="exact"/>
              <w:jc w:val="right"/>
              <w:rPr>
                <w:rFonts w:ascii="宋体" w:hAnsi="宋体" w:eastAsia="宋体" w:cs="宋体"/>
                <w:sz w:val="18"/>
                <w:szCs w:val="18"/>
              </w:rPr>
            </w:pPr>
          </w:p>
        </w:tc>
      </w:tr>
      <w:tr w14:paraId="1DB09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549C18E">
            <w:pPr>
              <w:spacing w:line="240" w:lineRule="exac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14:paraId="3B1C8E76">
            <w:pPr>
              <w:spacing w:line="240" w:lineRule="exact"/>
              <w:jc w:val="right"/>
              <w:rPr>
                <w:rFonts w:ascii="宋体" w:hAnsi="宋体" w:eastAsia="宋体" w:cs="宋体"/>
                <w:sz w:val="18"/>
                <w:szCs w:val="18"/>
              </w:rPr>
            </w:pPr>
            <w:r>
              <w:rPr>
                <w:rFonts w:ascii="宋体" w:hAnsi="宋体" w:eastAsia="宋体" w:cs="宋体"/>
                <w:sz w:val="18"/>
                <w:szCs w:val="18"/>
              </w:rPr>
              <w:t>37,360,604.62</w:t>
            </w:r>
          </w:p>
        </w:tc>
        <w:tc>
          <w:tcPr>
            <w:tcW w:w="2410" w:type="dxa"/>
            <w:tcBorders>
              <w:top w:val="single" w:color="auto" w:sz="2" w:space="0"/>
              <w:left w:val="single" w:color="auto" w:sz="2" w:space="0"/>
              <w:bottom w:val="single" w:color="auto" w:sz="2" w:space="0"/>
              <w:right w:val="single" w:color="auto" w:sz="2" w:space="0"/>
            </w:tcBorders>
            <w:vAlign w:val="center"/>
          </w:tcPr>
          <w:p w14:paraId="2EC41918">
            <w:pPr>
              <w:spacing w:line="240" w:lineRule="exact"/>
              <w:jc w:val="right"/>
              <w:rPr>
                <w:rFonts w:ascii="宋体" w:hAnsi="宋体" w:eastAsia="宋体" w:cs="宋体"/>
                <w:sz w:val="18"/>
                <w:szCs w:val="18"/>
              </w:rPr>
            </w:pPr>
            <w:r>
              <w:rPr>
                <w:rFonts w:ascii="宋体" w:hAnsi="宋体" w:eastAsia="宋体" w:cs="宋体"/>
                <w:sz w:val="18"/>
                <w:szCs w:val="18"/>
              </w:rPr>
              <w:t>37,360,604.62</w:t>
            </w:r>
          </w:p>
        </w:tc>
        <w:tc>
          <w:tcPr>
            <w:tcW w:w="2410" w:type="dxa"/>
            <w:tcBorders>
              <w:top w:val="single" w:color="auto" w:sz="2" w:space="0"/>
              <w:left w:val="single" w:color="auto" w:sz="2" w:space="0"/>
              <w:bottom w:val="single" w:color="auto" w:sz="2" w:space="0"/>
              <w:right w:val="single" w:color="auto" w:sz="2" w:space="0"/>
            </w:tcBorders>
            <w:vAlign w:val="center"/>
          </w:tcPr>
          <w:p w14:paraId="1E517E58">
            <w:pPr>
              <w:spacing w:line="240" w:lineRule="exact"/>
              <w:jc w:val="right"/>
              <w:rPr>
                <w:rFonts w:ascii="宋体" w:hAnsi="宋体" w:eastAsia="宋体" w:cs="宋体"/>
                <w:sz w:val="18"/>
                <w:szCs w:val="18"/>
              </w:rPr>
            </w:pPr>
            <w:r>
              <w:rPr>
                <w:rFonts w:ascii="宋体" w:hAnsi="宋体" w:eastAsia="宋体" w:cs="宋体"/>
                <w:sz w:val="18"/>
                <w:szCs w:val="18"/>
              </w:rPr>
              <w:t>100.00%</w:t>
            </w:r>
          </w:p>
        </w:tc>
      </w:tr>
      <w:tr w14:paraId="1B205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3525D9D">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45C64A35">
            <w:pPr>
              <w:spacing w:line="240" w:lineRule="exact"/>
              <w:jc w:val="right"/>
              <w:rPr>
                <w:rFonts w:ascii="宋体" w:hAnsi="宋体" w:eastAsia="宋体" w:cs="宋体"/>
                <w:sz w:val="18"/>
                <w:szCs w:val="18"/>
              </w:rPr>
            </w:pPr>
            <w:r>
              <w:rPr>
                <w:rFonts w:ascii="宋体" w:hAnsi="宋体" w:eastAsia="宋体" w:cs="宋体"/>
                <w:sz w:val="18"/>
                <w:szCs w:val="18"/>
              </w:rPr>
              <w:t>88,536,103.09</w:t>
            </w:r>
          </w:p>
        </w:tc>
        <w:tc>
          <w:tcPr>
            <w:tcW w:w="2410" w:type="dxa"/>
            <w:tcBorders>
              <w:top w:val="single" w:color="auto" w:sz="2" w:space="0"/>
              <w:left w:val="single" w:color="auto" w:sz="2" w:space="0"/>
              <w:bottom w:val="single" w:color="auto" w:sz="2" w:space="0"/>
              <w:right w:val="single" w:color="auto" w:sz="2" w:space="0"/>
            </w:tcBorders>
            <w:vAlign w:val="center"/>
          </w:tcPr>
          <w:p w14:paraId="7D91C3B9">
            <w:pPr>
              <w:spacing w:line="240" w:lineRule="exact"/>
              <w:jc w:val="right"/>
              <w:rPr>
                <w:rFonts w:ascii="宋体" w:hAnsi="宋体" w:eastAsia="宋体" w:cs="宋体"/>
                <w:sz w:val="18"/>
                <w:szCs w:val="18"/>
              </w:rPr>
            </w:pPr>
            <w:r>
              <w:rPr>
                <w:rFonts w:ascii="宋体" w:hAnsi="宋体" w:eastAsia="宋体" w:cs="宋体"/>
                <w:sz w:val="18"/>
                <w:szCs w:val="18"/>
              </w:rPr>
              <w:t>40,219,264.71</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A8DDC26"/>
        </w:tc>
      </w:tr>
    </w:tbl>
    <w:p w14:paraId="3697662F">
      <w:pPr>
        <w:spacing w:before="100" w:after="100" w:line="240" w:lineRule="exact"/>
        <w:rPr>
          <w:rFonts w:ascii="宋体" w:hAnsi="宋体" w:eastAsia="宋体" w:cs="宋体"/>
          <w:sz w:val="18"/>
          <w:szCs w:val="18"/>
        </w:rPr>
      </w:pPr>
      <w:r>
        <w:rPr>
          <w:rFonts w:ascii="宋体" w:hAnsi="宋体" w:eastAsia="宋体" w:cs="宋体"/>
          <w:sz w:val="18"/>
          <w:szCs w:val="18"/>
        </w:rPr>
        <w:t>确定该组合依据的说明：</w:t>
      </w:r>
      <w:r>
        <w:rPr>
          <w:rFonts w:hint="eastAsia"/>
          <w:sz w:val="18"/>
          <w:szCs w:val="18"/>
        </w:rPr>
        <w:t>无</w:t>
      </w:r>
    </w:p>
    <w:p w14:paraId="6D75F978">
      <w:pPr>
        <w:spacing w:line="240" w:lineRule="exact"/>
        <w:rPr>
          <w:rFonts w:ascii="宋体" w:hAnsi="宋体" w:eastAsia="宋体" w:cs="宋体"/>
          <w:sz w:val="18"/>
          <w:szCs w:val="18"/>
        </w:rPr>
      </w:pPr>
      <w:r>
        <w:rPr>
          <w:rFonts w:ascii="宋体" w:hAnsi="宋体" w:eastAsia="宋体" w:cs="宋体"/>
          <w:sz w:val="18"/>
          <w:szCs w:val="18"/>
        </w:rPr>
        <w:t>按组合计提坏账准备：性质组合</w:t>
      </w:r>
    </w:p>
    <w:p w14:paraId="5215252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4104F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B143867">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3CD68EA7">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0F1C5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57E8A9E"/>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5D95EA0">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2066893">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C31FBEA">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14:paraId="798F5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F4EAE7E">
            <w:pPr>
              <w:spacing w:line="240" w:lineRule="exact"/>
              <w:rPr>
                <w:rFonts w:ascii="宋体" w:hAnsi="宋体" w:eastAsia="宋体" w:cs="宋体"/>
                <w:sz w:val="18"/>
                <w:szCs w:val="18"/>
              </w:rPr>
            </w:pPr>
            <w:r>
              <w:rPr>
                <w:rFonts w:ascii="宋体" w:hAnsi="宋体" w:eastAsia="宋体" w:cs="宋体"/>
                <w:sz w:val="18"/>
                <w:szCs w:val="18"/>
              </w:rPr>
              <w:t>转让博忆股权款</w:t>
            </w:r>
          </w:p>
        </w:tc>
        <w:tc>
          <w:tcPr>
            <w:tcW w:w="2410" w:type="dxa"/>
            <w:tcBorders>
              <w:top w:val="single" w:color="auto" w:sz="2" w:space="0"/>
              <w:left w:val="single" w:color="auto" w:sz="2" w:space="0"/>
              <w:bottom w:val="single" w:color="auto" w:sz="2" w:space="0"/>
              <w:right w:val="single" w:color="auto" w:sz="2" w:space="0"/>
            </w:tcBorders>
            <w:vAlign w:val="center"/>
          </w:tcPr>
          <w:p w14:paraId="1BB0A9FB">
            <w:pPr>
              <w:spacing w:line="240" w:lineRule="exact"/>
              <w:jc w:val="right"/>
              <w:rPr>
                <w:rFonts w:ascii="宋体" w:hAnsi="宋体" w:eastAsia="宋体" w:cs="宋体"/>
                <w:sz w:val="18"/>
                <w:szCs w:val="18"/>
              </w:rPr>
            </w:pPr>
            <w:r>
              <w:rPr>
                <w:rFonts w:ascii="宋体" w:hAnsi="宋体" w:eastAsia="宋体" w:cs="宋体"/>
                <w:sz w:val="18"/>
                <w:szCs w:val="18"/>
              </w:rPr>
              <w:t>18,070,000.00</w:t>
            </w:r>
          </w:p>
        </w:tc>
        <w:tc>
          <w:tcPr>
            <w:tcW w:w="2410" w:type="dxa"/>
            <w:tcBorders>
              <w:top w:val="single" w:color="auto" w:sz="2" w:space="0"/>
              <w:left w:val="single" w:color="auto" w:sz="2" w:space="0"/>
              <w:bottom w:val="single" w:color="auto" w:sz="2" w:space="0"/>
              <w:right w:val="single" w:color="auto" w:sz="2" w:space="0"/>
            </w:tcBorders>
            <w:vAlign w:val="center"/>
          </w:tcPr>
          <w:p w14:paraId="69C5C410">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7365DAD">
            <w:pPr>
              <w:spacing w:line="240" w:lineRule="exact"/>
              <w:jc w:val="right"/>
              <w:rPr>
                <w:rFonts w:ascii="宋体" w:hAnsi="宋体" w:eastAsia="宋体" w:cs="宋体"/>
                <w:sz w:val="18"/>
                <w:szCs w:val="18"/>
              </w:rPr>
            </w:pPr>
          </w:p>
        </w:tc>
      </w:tr>
      <w:tr w14:paraId="72662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E4AE2C4">
            <w:pPr>
              <w:spacing w:line="240" w:lineRule="exact"/>
              <w:rPr>
                <w:rFonts w:ascii="宋体" w:hAnsi="宋体" w:eastAsia="宋体" w:cs="宋体"/>
                <w:sz w:val="18"/>
                <w:szCs w:val="18"/>
              </w:rPr>
            </w:pPr>
            <w:r>
              <w:rPr>
                <w:rFonts w:ascii="宋体" w:hAnsi="宋体" w:eastAsia="宋体" w:cs="宋体"/>
                <w:sz w:val="18"/>
                <w:szCs w:val="18"/>
              </w:rPr>
              <w:t>出口退税</w:t>
            </w:r>
          </w:p>
        </w:tc>
        <w:tc>
          <w:tcPr>
            <w:tcW w:w="2410" w:type="dxa"/>
            <w:tcBorders>
              <w:top w:val="single" w:color="auto" w:sz="2" w:space="0"/>
              <w:left w:val="single" w:color="auto" w:sz="2" w:space="0"/>
              <w:bottom w:val="single" w:color="auto" w:sz="2" w:space="0"/>
              <w:right w:val="single" w:color="auto" w:sz="2" w:space="0"/>
            </w:tcBorders>
            <w:vAlign w:val="center"/>
          </w:tcPr>
          <w:p w14:paraId="53664CDF">
            <w:pPr>
              <w:spacing w:line="240" w:lineRule="exact"/>
              <w:jc w:val="right"/>
              <w:rPr>
                <w:rFonts w:ascii="宋体" w:hAnsi="宋体" w:eastAsia="宋体" w:cs="宋体"/>
                <w:sz w:val="18"/>
                <w:szCs w:val="18"/>
              </w:rPr>
            </w:pPr>
            <w:r>
              <w:rPr>
                <w:rFonts w:ascii="宋体" w:hAnsi="宋体" w:eastAsia="宋体" w:cs="宋体"/>
                <w:sz w:val="18"/>
                <w:szCs w:val="18"/>
              </w:rPr>
              <w:t>849,285.80</w:t>
            </w:r>
          </w:p>
        </w:tc>
        <w:tc>
          <w:tcPr>
            <w:tcW w:w="2410" w:type="dxa"/>
            <w:tcBorders>
              <w:top w:val="single" w:color="auto" w:sz="2" w:space="0"/>
              <w:left w:val="single" w:color="auto" w:sz="2" w:space="0"/>
              <w:bottom w:val="single" w:color="auto" w:sz="2" w:space="0"/>
              <w:right w:val="single" w:color="auto" w:sz="2" w:space="0"/>
            </w:tcBorders>
            <w:vAlign w:val="center"/>
          </w:tcPr>
          <w:p w14:paraId="486EB56E">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1D24848">
            <w:pPr>
              <w:spacing w:line="240" w:lineRule="exact"/>
              <w:jc w:val="right"/>
              <w:rPr>
                <w:rFonts w:ascii="宋体" w:hAnsi="宋体" w:eastAsia="宋体" w:cs="宋体"/>
                <w:sz w:val="18"/>
                <w:szCs w:val="18"/>
              </w:rPr>
            </w:pPr>
          </w:p>
        </w:tc>
      </w:tr>
      <w:tr w14:paraId="3274D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C221144">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79F57054">
            <w:pPr>
              <w:spacing w:line="240" w:lineRule="exact"/>
              <w:jc w:val="right"/>
              <w:rPr>
                <w:rFonts w:ascii="宋体" w:hAnsi="宋体" w:eastAsia="宋体" w:cs="宋体"/>
                <w:sz w:val="18"/>
                <w:szCs w:val="18"/>
              </w:rPr>
            </w:pPr>
            <w:r>
              <w:rPr>
                <w:rFonts w:ascii="宋体" w:hAnsi="宋体" w:eastAsia="宋体" w:cs="宋体"/>
                <w:sz w:val="18"/>
                <w:szCs w:val="18"/>
              </w:rPr>
              <w:t>18,919,285.80</w:t>
            </w:r>
          </w:p>
        </w:tc>
        <w:tc>
          <w:tcPr>
            <w:tcW w:w="2410" w:type="dxa"/>
            <w:tcBorders>
              <w:top w:val="single" w:color="auto" w:sz="2" w:space="0"/>
              <w:left w:val="single" w:color="auto" w:sz="2" w:space="0"/>
              <w:bottom w:val="single" w:color="auto" w:sz="2" w:space="0"/>
              <w:right w:val="single" w:color="auto" w:sz="2" w:space="0"/>
            </w:tcBorders>
            <w:vAlign w:val="center"/>
          </w:tcPr>
          <w:p w14:paraId="296F55D3">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BC9FB32"/>
        </w:tc>
      </w:tr>
    </w:tbl>
    <w:p w14:paraId="4E27042C">
      <w:pPr>
        <w:spacing w:before="100" w:after="100" w:line="240" w:lineRule="exact"/>
        <w:rPr>
          <w:rFonts w:ascii="宋体" w:hAnsi="宋体" w:eastAsia="宋体" w:cs="宋体"/>
          <w:sz w:val="18"/>
          <w:szCs w:val="18"/>
        </w:rPr>
      </w:pPr>
      <w:r>
        <w:rPr>
          <w:rFonts w:ascii="宋体" w:hAnsi="宋体" w:eastAsia="宋体" w:cs="宋体"/>
          <w:sz w:val="18"/>
          <w:szCs w:val="18"/>
        </w:rPr>
        <w:t>确定该组合依据的说明：</w:t>
      </w:r>
    </w:p>
    <w:p w14:paraId="4C163CA9">
      <w:pPr>
        <w:spacing w:before="100" w:after="100" w:line="240" w:lineRule="exact"/>
        <w:rPr>
          <w:rFonts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w:t>
      </w:r>
      <w:r>
        <w:rPr>
          <w:rFonts w:ascii="宋体" w:hAnsi="宋体" w:eastAsia="宋体" w:cs="宋体"/>
          <w:sz w:val="18"/>
          <w:szCs w:val="18"/>
        </w:rPr>
        <w:t>2023</w:t>
      </w:r>
      <w:r>
        <w:rPr>
          <w:rFonts w:hint="eastAsia" w:ascii="宋体" w:hAnsi="宋体" w:eastAsia="宋体" w:cs="宋体"/>
          <w:sz w:val="18"/>
          <w:szCs w:val="18"/>
        </w:rPr>
        <w:t>年</w:t>
      </w:r>
      <w:r>
        <w:rPr>
          <w:rFonts w:ascii="宋体" w:hAnsi="宋体" w:eastAsia="宋体" w:cs="宋体"/>
          <w:sz w:val="18"/>
          <w:szCs w:val="18"/>
        </w:rPr>
        <w:t>10</w:t>
      </w:r>
      <w:r>
        <w:rPr>
          <w:rFonts w:hint="eastAsia" w:ascii="宋体" w:hAnsi="宋体" w:eastAsia="宋体" w:cs="宋体"/>
          <w:sz w:val="18"/>
          <w:szCs w:val="18"/>
        </w:rPr>
        <w:t>月</w:t>
      </w:r>
      <w:r>
        <w:rPr>
          <w:rFonts w:ascii="宋体" w:hAnsi="宋体" w:eastAsia="宋体" w:cs="宋体"/>
          <w:sz w:val="18"/>
          <w:szCs w:val="18"/>
        </w:rPr>
        <w:t>24</w:t>
      </w:r>
      <w:r>
        <w:rPr>
          <w:rFonts w:hint="eastAsia" w:ascii="宋体" w:hAnsi="宋体" w:eastAsia="宋体" w:cs="宋体"/>
          <w:sz w:val="18"/>
          <w:szCs w:val="18"/>
        </w:rPr>
        <w:t>日，子公司浙江鲲驰互联科技有限公司与许栩光、张晚霞签订股权转让协议，浙江鲲驰互联科技有限公司以</w:t>
      </w:r>
      <w:r>
        <w:rPr>
          <w:rFonts w:ascii="宋体" w:hAnsi="宋体" w:eastAsia="宋体" w:cs="宋体"/>
          <w:sz w:val="18"/>
          <w:szCs w:val="18"/>
        </w:rPr>
        <w:t>4,578.60</w:t>
      </w:r>
      <w:r>
        <w:rPr>
          <w:rFonts w:hint="eastAsia" w:ascii="宋体" w:hAnsi="宋体" w:eastAsia="宋体" w:cs="宋体"/>
          <w:sz w:val="18"/>
          <w:szCs w:val="18"/>
        </w:rPr>
        <w:t>万元将持有的浙江博忆纺织科技有限公司</w:t>
      </w:r>
      <w:r>
        <w:rPr>
          <w:rFonts w:ascii="宋体" w:hAnsi="宋体" w:eastAsia="宋体" w:cs="宋体"/>
          <w:sz w:val="18"/>
          <w:szCs w:val="18"/>
        </w:rPr>
        <w:t>51.002%</w:t>
      </w:r>
      <w:r>
        <w:rPr>
          <w:rFonts w:hint="eastAsia" w:ascii="宋体" w:hAnsi="宋体" w:eastAsia="宋体" w:cs="宋体"/>
          <w:sz w:val="18"/>
          <w:szCs w:val="18"/>
        </w:rPr>
        <w:t>股权转让给许栩光、张晚霞，约定许栩光、张晚霞分两期支付，首期</w:t>
      </w:r>
      <w:r>
        <w:rPr>
          <w:rFonts w:ascii="宋体" w:hAnsi="宋体" w:eastAsia="宋体" w:cs="宋体"/>
          <w:sz w:val="18"/>
          <w:szCs w:val="18"/>
        </w:rPr>
        <w:t>2,290</w:t>
      </w:r>
      <w:r>
        <w:rPr>
          <w:rFonts w:hint="eastAsia" w:ascii="宋体" w:hAnsi="宋体" w:eastAsia="宋体" w:cs="宋体"/>
          <w:sz w:val="18"/>
          <w:szCs w:val="18"/>
        </w:rPr>
        <w:t>万元于</w:t>
      </w:r>
      <w:r>
        <w:rPr>
          <w:rFonts w:ascii="宋体" w:hAnsi="宋体" w:eastAsia="宋体" w:cs="宋体"/>
          <w:sz w:val="18"/>
          <w:szCs w:val="18"/>
        </w:rPr>
        <w:t>2023</w:t>
      </w:r>
      <w:r>
        <w:rPr>
          <w:rFonts w:hint="eastAsia" w:ascii="宋体" w:hAnsi="宋体" w:eastAsia="宋体" w:cs="宋体"/>
          <w:sz w:val="18"/>
          <w:szCs w:val="18"/>
        </w:rPr>
        <w:t>年支付，剩余</w:t>
      </w:r>
      <w:r>
        <w:rPr>
          <w:rFonts w:ascii="宋体" w:hAnsi="宋体" w:eastAsia="宋体" w:cs="宋体"/>
          <w:sz w:val="18"/>
          <w:szCs w:val="18"/>
        </w:rPr>
        <w:t>2,288.60</w:t>
      </w:r>
      <w:r>
        <w:rPr>
          <w:rFonts w:hint="eastAsia" w:ascii="宋体" w:hAnsi="宋体" w:eastAsia="宋体" w:cs="宋体"/>
          <w:sz w:val="18"/>
          <w:szCs w:val="18"/>
        </w:rPr>
        <w:t>万元应于</w:t>
      </w:r>
      <w:r>
        <w:rPr>
          <w:rFonts w:ascii="宋体" w:hAnsi="宋体" w:eastAsia="宋体" w:cs="宋体"/>
          <w:sz w:val="18"/>
          <w:szCs w:val="18"/>
        </w:rPr>
        <w:t>2024</w:t>
      </w:r>
      <w:r>
        <w:rPr>
          <w:rFonts w:hint="eastAsia" w:ascii="宋体" w:hAnsi="宋体" w:eastAsia="宋体" w:cs="宋体"/>
          <w:sz w:val="18"/>
          <w:szCs w:val="18"/>
        </w:rPr>
        <w:t>年</w:t>
      </w:r>
      <w:r>
        <w:rPr>
          <w:rFonts w:ascii="宋体" w:hAnsi="宋体" w:eastAsia="宋体" w:cs="宋体"/>
          <w:sz w:val="18"/>
          <w:szCs w:val="18"/>
        </w:rPr>
        <w:t>-2029</w:t>
      </w:r>
      <w:r>
        <w:rPr>
          <w:rFonts w:hint="eastAsia" w:ascii="宋体" w:hAnsi="宋体" w:eastAsia="宋体" w:cs="宋体"/>
          <w:sz w:val="18"/>
          <w:szCs w:val="18"/>
        </w:rPr>
        <w:t>年的</w:t>
      </w:r>
      <w:r>
        <w:rPr>
          <w:rFonts w:ascii="宋体" w:hAnsi="宋体" w:eastAsia="宋体" w:cs="宋体"/>
          <w:sz w:val="18"/>
          <w:szCs w:val="18"/>
        </w:rPr>
        <w:t>6</w:t>
      </w:r>
      <w:r>
        <w:rPr>
          <w:rFonts w:hint="eastAsia" w:ascii="宋体" w:hAnsi="宋体" w:eastAsia="宋体" w:cs="宋体"/>
          <w:sz w:val="18"/>
          <w:szCs w:val="18"/>
        </w:rPr>
        <w:t>年内支付，同时许栩光、张晚霞以其持有的房产作抵押，截止</w:t>
      </w:r>
      <w:r>
        <w:rPr>
          <w:rFonts w:ascii="宋体" w:hAnsi="宋体" w:eastAsia="宋体" w:cs="宋体"/>
          <w:sz w:val="18"/>
          <w:szCs w:val="18"/>
        </w:rPr>
        <w:t>2025</w:t>
      </w:r>
      <w:r>
        <w:rPr>
          <w:rFonts w:hint="eastAsia" w:ascii="宋体" w:hAnsi="宋体" w:eastAsia="宋体" w:cs="宋体"/>
          <w:sz w:val="18"/>
          <w:szCs w:val="18"/>
        </w:rPr>
        <w:t>年</w:t>
      </w:r>
      <w:r>
        <w:rPr>
          <w:rFonts w:ascii="宋体" w:hAnsi="宋体" w:eastAsia="宋体" w:cs="宋体"/>
          <w:sz w:val="18"/>
          <w:szCs w:val="18"/>
        </w:rPr>
        <w:t>12</w:t>
      </w:r>
      <w:r>
        <w:rPr>
          <w:rFonts w:hint="eastAsia" w:ascii="宋体" w:hAnsi="宋体" w:eastAsia="宋体" w:cs="宋体"/>
          <w:sz w:val="18"/>
          <w:szCs w:val="18"/>
        </w:rPr>
        <w:t>月</w:t>
      </w:r>
      <w:r>
        <w:rPr>
          <w:rFonts w:ascii="宋体" w:hAnsi="宋体" w:eastAsia="宋体" w:cs="宋体"/>
          <w:sz w:val="18"/>
          <w:szCs w:val="18"/>
        </w:rPr>
        <w:t>31</w:t>
      </w:r>
      <w:r>
        <w:rPr>
          <w:rFonts w:hint="eastAsia" w:ascii="宋体" w:hAnsi="宋体" w:eastAsia="宋体" w:cs="宋体"/>
          <w:sz w:val="18"/>
          <w:szCs w:val="18"/>
        </w:rPr>
        <w:t>日，公司应收股权转让款</w:t>
      </w:r>
      <w:r>
        <w:rPr>
          <w:rFonts w:ascii="宋体" w:hAnsi="宋体" w:eastAsia="宋体" w:cs="宋体"/>
          <w:sz w:val="18"/>
          <w:szCs w:val="18"/>
        </w:rPr>
        <w:t>18,070,000.00</w:t>
      </w:r>
      <w:r>
        <w:rPr>
          <w:rFonts w:hint="eastAsia" w:ascii="宋体" w:hAnsi="宋体" w:eastAsia="宋体" w:cs="宋体"/>
          <w:sz w:val="18"/>
          <w:szCs w:val="18"/>
        </w:rPr>
        <w:t>元。</w:t>
      </w:r>
    </w:p>
    <w:p w14:paraId="082812B8">
      <w:pPr>
        <w:spacing w:line="240" w:lineRule="exact"/>
        <w:rPr>
          <w:rFonts w:ascii="宋体" w:hAnsi="宋体" w:eastAsia="宋体" w:cs="宋体"/>
          <w:sz w:val="18"/>
          <w:szCs w:val="18"/>
        </w:rPr>
      </w:pPr>
      <w:r>
        <w:rPr>
          <w:rFonts w:ascii="宋体" w:hAnsi="宋体" w:eastAsia="宋体" w:cs="宋体"/>
          <w:sz w:val="18"/>
          <w:szCs w:val="18"/>
        </w:rPr>
        <w:t>按预期信用损失一般模型计提坏账准备：</w:t>
      </w:r>
    </w:p>
    <w:p w14:paraId="2DE39C1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1714E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2A9BD35">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F394069">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B355756">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7188DC2">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A507712">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3662D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96E9B5B"/>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0B6082C">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E703324">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F15102C">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93DB1EA"/>
        </w:tc>
      </w:tr>
      <w:tr w14:paraId="47C86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4ACC793">
            <w:pPr>
              <w:spacing w:before="40" w:after="40" w:line="240" w:lineRule="exact"/>
              <w:rPr>
                <w:rFonts w:ascii="宋体" w:hAnsi="宋体" w:eastAsia="宋体" w:cs="宋体"/>
                <w:sz w:val="18"/>
                <w:szCs w:val="18"/>
              </w:rPr>
            </w:pPr>
            <w:r>
              <w:rPr>
                <w:rFonts w:ascii="宋体" w:hAnsi="宋体" w:eastAsia="宋体" w:cs="宋体"/>
                <w:sz w:val="18"/>
                <w:szCs w:val="18"/>
              </w:rPr>
              <w:t>2025年1月1日余额</w:t>
            </w:r>
          </w:p>
        </w:tc>
        <w:tc>
          <w:tcPr>
            <w:tcW w:w="1928" w:type="dxa"/>
            <w:tcBorders>
              <w:top w:val="single" w:color="auto" w:sz="2" w:space="0"/>
              <w:left w:val="single" w:color="auto" w:sz="2" w:space="0"/>
              <w:bottom w:val="single" w:color="auto" w:sz="2" w:space="0"/>
              <w:right w:val="single" w:color="auto" w:sz="2" w:space="0"/>
            </w:tcBorders>
            <w:vAlign w:val="center"/>
          </w:tcPr>
          <w:p w14:paraId="4E2A4965">
            <w:pPr>
              <w:spacing w:line="240" w:lineRule="exact"/>
              <w:jc w:val="right"/>
              <w:rPr>
                <w:rFonts w:ascii="宋体" w:hAnsi="宋体" w:eastAsia="宋体" w:cs="宋体"/>
                <w:sz w:val="18"/>
                <w:szCs w:val="18"/>
              </w:rPr>
            </w:pPr>
            <w:r>
              <w:rPr>
                <w:rFonts w:ascii="宋体" w:hAnsi="宋体" w:eastAsia="宋体" w:cs="宋体"/>
                <w:sz w:val="18"/>
                <w:szCs w:val="18"/>
              </w:rPr>
              <w:t>141,916,472.95</w:t>
            </w:r>
          </w:p>
        </w:tc>
        <w:tc>
          <w:tcPr>
            <w:tcW w:w="1928" w:type="dxa"/>
            <w:tcBorders>
              <w:top w:val="single" w:color="auto" w:sz="2" w:space="0"/>
              <w:left w:val="single" w:color="auto" w:sz="2" w:space="0"/>
              <w:bottom w:val="single" w:color="auto" w:sz="2" w:space="0"/>
              <w:right w:val="single" w:color="auto" w:sz="2" w:space="0"/>
            </w:tcBorders>
            <w:vAlign w:val="center"/>
          </w:tcPr>
          <w:p w14:paraId="7CF0CF74">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328581E">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6E32676">
            <w:pPr>
              <w:spacing w:line="240" w:lineRule="exact"/>
              <w:jc w:val="right"/>
              <w:rPr>
                <w:rFonts w:ascii="宋体" w:hAnsi="宋体" w:eastAsia="宋体" w:cs="宋体"/>
                <w:sz w:val="18"/>
                <w:szCs w:val="18"/>
              </w:rPr>
            </w:pPr>
            <w:r>
              <w:rPr>
                <w:rFonts w:ascii="宋体" w:hAnsi="宋体" w:eastAsia="宋体" w:cs="宋体"/>
                <w:sz w:val="18"/>
                <w:szCs w:val="18"/>
              </w:rPr>
              <w:t>141,916,472.95</w:t>
            </w:r>
          </w:p>
        </w:tc>
      </w:tr>
      <w:tr w14:paraId="461BC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4EDFFEC">
            <w:pPr>
              <w:spacing w:before="40" w:after="40" w:line="240" w:lineRule="exact"/>
              <w:rPr>
                <w:rFonts w:ascii="宋体" w:hAnsi="宋体" w:eastAsia="宋体" w:cs="宋体"/>
                <w:sz w:val="18"/>
                <w:szCs w:val="18"/>
              </w:rPr>
            </w:pPr>
            <w:r>
              <w:rPr>
                <w:rFonts w:ascii="宋体" w:hAnsi="宋体" w:eastAsia="宋体" w:cs="宋体"/>
                <w:sz w:val="18"/>
                <w:szCs w:val="18"/>
              </w:rPr>
              <w:t>2025年1月1日余额在本期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3A87BDB"/>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371D835"/>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AB06173"/>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599D03D"/>
        </w:tc>
      </w:tr>
      <w:tr w14:paraId="5AA41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9D7B733">
            <w:pPr>
              <w:spacing w:before="40" w:after="40" w:line="240" w:lineRule="exact"/>
              <w:rPr>
                <w:rFonts w:ascii="宋体" w:hAnsi="宋体" w:eastAsia="宋体" w:cs="宋体"/>
                <w:sz w:val="18"/>
                <w:szCs w:val="18"/>
              </w:rPr>
            </w:pPr>
            <w:r>
              <w:rPr>
                <w:rFonts w:ascii="宋体" w:hAnsi="宋体" w:eastAsia="宋体" w:cs="宋体"/>
                <w:sz w:val="18"/>
                <w:szCs w:val="18"/>
              </w:rPr>
              <w:t>——转入第三阶段</w:t>
            </w:r>
          </w:p>
        </w:tc>
        <w:tc>
          <w:tcPr>
            <w:tcW w:w="1928" w:type="dxa"/>
            <w:tcBorders>
              <w:top w:val="single" w:color="auto" w:sz="2" w:space="0"/>
              <w:left w:val="single" w:color="auto" w:sz="2" w:space="0"/>
              <w:bottom w:val="single" w:color="auto" w:sz="2" w:space="0"/>
              <w:right w:val="single" w:color="auto" w:sz="2" w:space="0"/>
            </w:tcBorders>
            <w:vAlign w:val="center"/>
          </w:tcPr>
          <w:p w14:paraId="2BB95E42">
            <w:pPr>
              <w:spacing w:line="240" w:lineRule="exact"/>
              <w:jc w:val="right"/>
              <w:rPr>
                <w:rFonts w:ascii="宋体" w:hAnsi="宋体" w:eastAsia="宋体" w:cs="宋体"/>
                <w:sz w:val="18"/>
                <w:szCs w:val="18"/>
              </w:rPr>
            </w:pPr>
            <w:r>
              <w:rPr>
                <w:rFonts w:ascii="宋体" w:hAnsi="宋体" w:eastAsia="宋体" w:cs="宋体"/>
                <w:sz w:val="18"/>
                <w:szCs w:val="18"/>
              </w:rPr>
              <w:t>-70,944,821.85</w:t>
            </w:r>
          </w:p>
        </w:tc>
        <w:tc>
          <w:tcPr>
            <w:tcW w:w="1928" w:type="dxa"/>
            <w:tcBorders>
              <w:top w:val="single" w:color="auto" w:sz="2" w:space="0"/>
              <w:left w:val="single" w:color="auto" w:sz="2" w:space="0"/>
              <w:bottom w:val="single" w:color="auto" w:sz="2" w:space="0"/>
              <w:right w:val="single" w:color="auto" w:sz="2" w:space="0"/>
            </w:tcBorders>
            <w:vAlign w:val="center"/>
          </w:tcPr>
          <w:p w14:paraId="1D6D91EB">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6BF28AB">
            <w:pPr>
              <w:spacing w:line="240" w:lineRule="exact"/>
              <w:jc w:val="right"/>
              <w:rPr>
                <w:rFonts w:ascii="宋体" w:hAnsi="宋体" w:eastAsia="宋体" w:cs="宋体"/>
                <w:sz w:val="18"/>
                <w:szCs w:val="18"/>
              </w:rPr>
            </w:pPr>
            <w:r>
              <w:rPr>
                <w:rFonts w:ascii="宋体" w:hAnsi="宋体" w:eastAsia="宋体" w:cs="宋体"/>
                <w:sz w:val="18"/>
                <w:szCs w:val="18"/>
              </w:rPr>
              <w:t>70,944,821.85</w:t>
            </w:r>
          </w:p>
        </w:tc>
        <w:tc>
          <w:tcPr>
            <w:tcW w:w="1928" w:type="dxa"/>
            <w:tcBorders>
              <w:top w:val="single" w:color="auto" w:sz="2" w:space="0"/>
              <w:left w:val="single" w:color="auto" w:sz="2" w:space="0"/>
              <w:bottom w:val="single" w:color="auto" w:sz="2" w:space="0"/>
              <w:right w:val="single" w:color="auto" w:sz="2" w:space="0"/>
            </w:tcBorders>
            <w:vAlign w:val="center"/>
          </w:tcPr>
          <w:p w14:paraId="1DE829F3">
            <w:pPr>
              <w:spacing w:line="240" w:lineRule="exact"/>
              <w:jc w:val="right"/>
              <w:rPr>
                <w:rFonts w:ascii="宋体" w:hAnsi="宋体" w:eastAsia="宋体" w:cs="宋体"/>
                <w:sz w:val="18"/>
                <w:szCs w:val="18"/>
              </w:rPr>
            </w:pPr>
          </w:p>
        </w:tc>
      </w:tr>
      <w:tr w14:paraId="0C98A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F367C93">
            <w:pPr>
              <w:spacing w:before="40" w:after="40" w:line="240" w:lineRule="exact"/>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14:paraId="3A325F2A">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09D4458">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77E83EC">
            <w:pPr>
              <w:spacing w:line="240" w:lineRule="exact"/>
              <w:jc w:val="right"/>
              <w:rPr>
                <w:rFonts w:ascii="宋体" w:hAnsi="宋体" w:eastAsia="宋体" w:cs="宋体"/>
                <w:sz w:val="18"/>
                <w:szCs w:val="18"/>
              </w:rPr>
            </w:pPr>
            <w:r>
              <w:rPr>
                <w:rFonts w:ascii="宋体" w:hAnsi="宋体" w:eastAsia="宋体" w:cs="宋体"/>
                <w:sz w:val="18"/>
                <w:szCs w:val="18"/>
              </w:rPr>
              <w:t>21,914,786.07</w:t>
            </w:r>
          </w:p>
        </w:tc>
        <w:tc>
          <w:tcPr>
            <w:tcW w:w="1928" w:type="dxa"/>
            <w:tcBorders>
              <w:top w:val="single" w:color="auto" w:sz="2" w:space="0"/>
              <w:left w:val="single" w:color="auto" w:sz="2" w:space="0"/>
              <w:bottom w:val="single" w:color="auto" w:sz="2" w:space="0"/>
              <w:right w:val="single" w:color="auto" w:sz="2" w:space="0"/>
            </w:tcBorders>
            <w:vAlign w:val="center"/>
          </w:tcPr>
          <w:p w14:paraId="0E8A788A">
            <w:pPr>
              <w:spacing w:line="240" w:lineRule="exact"/>
              <w:jc w:val="right"/>
              <w:rPr>
                <w:rFonts w:ascii="宋体" w:hAnsi="宋体" w:eastAsia="宋体" w:cs="宋体"/>
                <w:sz w:val="18"/>
                <w:szCs w:val="18"/>
              </w:rPr>
            </w:pPr>
            <w:r>
              <w:rPr>
                <w:rFonts w:ascii="宋体" w:hAnsi="宋体" w:eastAsia="宋体" w:cs="宋体"/>
                <w:sz w:val="18"/>
                <w:szCs w:val="18"/>
              </w:rPr>
              <w:t>21,914,786.07</w:t>
            </w:r>
          </w:p>
        </w:tc>
      </w:tr>
      <w:tr w14:paraId="4A3F3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46F57B2">
            <w:pPr>
              <w:spacing w:before="40" w:after="40" w:line="240" w:lineRule="exact"/>
              <w:rPr>
                <w:rFonts w:ascii="宋体" w:hAnsi="宋体" w:eastAsia="宋体" w:cs="宋体"/>
                <w:sz w:val="18"/>
                <w:szCs w:val="18"/>
              </w:rPr>
            </w:pPr>
            <w:r>
              <w:rPr>
                <w:rFonts w:ascii="宋体" w:hAnsi="宋体" w:eastAsia="宋体" w:cs="宋体"/>
                <w:sz w:val="18"/>
                <w:szCs w:val="18"/>
              </w:rPr>
              <w:t>本期转回</w:t>
            </w:r>
          </w:p>
        </w:tc>
        <w:tc>
          <w:tcPr>
            <w:tcW w:w="1928" w:type="dxa"/>
            <w:tcBorders>
              <w:top w:val="single" w:color="auto" w:sz="2" w:space="0"/>
              <w:left w:val="single" w:color="auto" w:sz="2" w:space="0"/>
              <w:bottom w:val="single" w:color="auto" w:sz="2" w:space="0"/>
              <w:right w:val="single" w:color="auto" w:sz="2" w:space="0"/>
            </w:tcBorders>
            <w:vAlign w:val="center"/>
          </w:tcPr>
          <w:p w14:paraId="53D7482F">
            <w:pPr>
              <w:spacing w:line="240" w:lineRule="exact"/>
              <w:jc w:val="right"/>
              <w:rPr>
                <w:rFonts w:ascii="宋体" w:hAnsi="宋体" w:eastAsia="宋体" w:cs="宋体"/>
                <w:sz w:val="18"/>
                <w:szCs w:val="18"/>
              </w:rPr>
            </w:pPr>
            <w:r>
              <w:rPr>
                <w:rFonts w:ascii="宋体" w:hAnsi="宋体" w:eastAsia="宋体" w:cs="宋体"/>
                <w:sz w:val="18"/>
                <w:szCs w:val="18"/>
              </w:rPr>
              <w:t>1,604,365.56</w:t>
            </w:r>
          </w:p>
        </w:tc>
        <w:tc>
          <w:tcPr>
            <w:tcW w:w="1928" w:type="dxa"/>
            <w:tcBorders>
              <w:top w:val="single" w:color="auto" w:sz="2" w:space="0"/>
              <w:left w:val="single" w:color="auto" w:sz="2" w:space="0"/>
              <w:bottom w:val="single" w:color="auto" w:sz="2" w:space="0"/>
              <w:right w:val="single" w:color="auto" w:sz="2" w:space="0"/>
            </w:tcBorders>
            <w:vAlign w:val="center"/>
          </w:tcPr>
          <w:p w14:paraId="3C2A5D39">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4D32843">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C594CEC">
            <w:pPr>
              <w:spacing w:line="240" w:lineRule="exact"/>
              <w:jc w:val="right"/>
              <w:rPr>
                <w:rFonts w:ascii="宋体" w:hAnsi="宋体" w:eastAsia="宋体" w:cs="宋体"/>
                <w:sz w:val="18"/>
                <w:szCs w:val="18"/>
              </w:rPr>
            </w:pPr>
            <w:r>
              <w:rPr>
                <w:rFonts w:ascii="宋体" w:hAnsi="宋体" w:eastAsia="宋体" w:cs="宋体"/>
                <w:sz w:val="18"/>
                <w:szCs w:val="18"/>
              </w:rPr>
              <w:t>1,604,365.56</w:t>
            </w:r>
          </w:p>
        </w:tc>
      </w:tr>
      <w:tr w14:paraId="51D53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DE9CDEF">
            <w:pPr>
              <w:spacing w:before="40" w:after="40" w:line="240" w:lineRule="exact"/>
              <w:rPr>
                <w:rFonts w:ascii="宋体" w:hAnsi="宋体" w:eastAsia="宋体" w:cs="宋体"/>
                <w:sz w:val="18"/>
                <w:szCs w:val="18"/>
              </w:rPr>
            </w:pPr>
            <w:r>
              <w:rPr>
                <w:rFonts w:ascii="宋体" w:hAnsi="宋体" w:eastAsia="宋体" w:cs="宋体"/>
                <w:sz w:val="18"/>
                <w:szCs w:val="18"/>
              </w:rPr>
              <w:t>本期核销</w:t>
            </w:r>
          </w:p>
        </w:tc>
        <w:tc>
          <w:tcPr>
            <w:tcW w:w="1928" w:type="dxa"/>
            <w:tcBorders>
              <w:top w:val="single" w:color="auto" w:sz="2" w:space="0"/>
              <w:left w:val="single" w:color="auto" w:sz="2" w:space="0"/>
              <w:bottom w:val="single" w:color="auto" w:sz="2" w:space="0"/>
              <w:right w:val="single" w:color="auto" w:sz="2" w:space="0"/>
            </w:tcBorders>
            <w:vAlign w:val="center"/>
          </w:tcPr>
          <w:p w14:paraId="12497ACE">
            <w:pPr>
              <w:spacing w:line="240" w:lineRule="exact"/>
              <w:jc w:val="right"/>
              <w:rPr>
                <w:rFonts w:ascii="宋体" w:hAnsi="宋体" w:eastAsia="宋体" w:cs="宋体"/>
                <w:sz w:val="18"/>
                <w:szCs w:val="18"/>
              </w:rPr>
            </w:pPr>
            <w:r>
              <w:rPr>
                <w:rFonts w:ascii="宋体" w:hAnsi="宋体" w:eastAsia="宋体" w:cs="宋体"/>
                <w:sz w:val="18"/>
                <w:szCs w:val="18"/>
              </w:rPr>
              <w:t>4,781,799.66</w:t>
            </w:r>
          </w:p>
        </w:tc>
        <w:tc>
          <w:tcPr>
            <w:tcW w:w="1928" w:type="dxa"/>
            <w:tcBorders>
              <w:top w:val="single" w:color="auto" w:sz="2" w:space="0"/>
              <w:left w:val="single" w:color="auto" w:sz="2" w:space="0"/>
              <w:bottom w:val="single" w:color="auto" w:sz="2" w:space="0"/>
              <w:right w:val="single" w:color="auto" w:sz="2" w:space="0"/>
            </w:tcBorders>
            <w:vAlign w:val="center"/>
          </w:tcPr>
          <w:p w14:paraId="6FF35E68">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86F393D">
            <w:pPr>
              <w:spacing w:line="240" w:lineRule="exact"/>
              <w:jc w:val="right"/>
              <w:rPr>
                <w:rFonts w:ascii="宋体" w:hAnsi="宋体" w:eastAsia="宋体" w:cs="宋体"/>
                <w:sz w:val="18"/>
                <w:szCs w:val="18"/>
              </w:rPr>
            </w:pPr>
            <w:r>
              <w:rPr>
                <w:rFonts w:ascii="宋体" w:hAnsi="宋体" w:eastAsia="宋体" w:cs="宋体"/>
                <w:sz w:val="18"/>
                <w:szCs w:val="18"/>
              </w:rPr>
              <w:t>66,163,022.19</w:t>
            </w:r>
          </w:p>
        </w:tc>
        <w:tc>
          <w:tcPr>
            <w:tcW w:w="1928" w:type="dxa"/>
            <w:tcBorders>
              <w:top w:val="single" w:color="auto" w:sz="2" w:space="0"/>
              <w:left w:val="single" w:color="auto" w:sz="2" w:space="0"/>
              <w:bottom w:val="single" w:color="auto" w:sz="2" w:space="0"/>
              <w:right w:val="single" w:color="auto" w:sz="2" w:space="0"/>
            </w:tcBorders>
            <w:vAlign w:val="center"/>
          </w:tcPr>
          <w:p w14:paraId="0298A45C">
            <w:pPr>
              <w:spacing w:line="240" w:lineRule="exact"/>
              <w:jc w:val="right"/>
              <w:rPr>
                <w:rFonts w:ascii="宋体" w:hAnsi="宋体" w:eastAsia="宋体" w:cs="宋体"/>
                <w:sz w:val="18"/>
                <w:szCs w:val="18"/>
              </w:rPr>
            </w:pPr>
            <w:r>
              <w:rPr>
                <w:rFonts w:ascii="宋体" w:hAnsi="宋体" w:eastAsia="宋体" w:cs="宋体"/>
                <w:sz w:val="18"/>
                <w:szCs w:val="18"/>
              </w:rPr>
              <w:t>70,944,821.85</w:t>
            </w:r>
          </w:p>
        </w:tc>
      </w:tr>
      <w:tr w14:paraId="2995A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DE8665F">
            <w:pPr>
              <w:spacing w:before="40" w:after="40" w:line="240" w:lineRule="exact"/>
              <w:rPr>
                <w:rFonts w:ascii="宋体" w:hAnsi="宋体" w:eastAsia="宋体" w:cs="宋体"/>
                <w:sz w:val="18"/>
                <w:szCs w:val="18"/>
              </w:rPr>
            </w:pPr>
            <w:r>
              <w:rPr>
                <w:rFonts w:ascii="宋体" w:hAnsi="宋体" w:eastAsia="宋体" w:cs="宋体"/>
                <w:sz w:val="18"/>
                <w:szCs w:val="18"/>
              </w:rPr>
              <w:t>其他变动</w:t>
            </w:r>
          </w:p>
        </w:tc>
        <w:tc>
          <w:tcPr>
            <w:tcW w:w="1928" w:type="dxa"/>
            <w:tcBorders>
              <w:top w:val="single" w:color="auto" w:sz="2" w:space="0"/>
              <w:left w:val="single" w:color="auto" w:sz="2" w:space="0"/>
              <w:bottom w:val="single" w:color="auto" w:sz="2" w:space="0"/>
              <w:right w:val="single" w:color="auto" w:sz="2" w:space="0"/>
            </w:tcBorders>
            <w:vAlign w:val="center"/>
          </w:tcPr>
          <w:p w14:paraId="7AB45591">
            <w:pPr>
              <w:spacing w:line="240" w:lineRule="exact"/>
              <w:jc w:val="right"/>
              <w:rPr>
                <w:rFonts w:ascii="宋体" w:hAnsi="宋体" w:eastAsia="宋体" w:cs="宋体"/>
                <w:sz w:val="18"/>
                <w:szCs w:val="18"/>
              </w:rPr>
            </w:pPr>
            <w:r>
              <w:rPr>
                <w:rFonts w:ascii="宋体" w:hAnsi="宋体" w:eastAsia="宋体" w:cs="宋体"/>
                <w:sz w:val="18"/>
                <w:szCs w:val="18"/>
              </w:rPr>
              <w:t>-214,774.36</w:t>
            </w:r>
          </w:p>
        </w:tc>
        <w:tc>
          <w:tcPr>
            <w:tcW w:w="1928" w:type="dxa"/>
            <w:tcBorders>
              <w:top w:val="single" w:color="auto" w:sz="2" w:space="0"/>
              <w:left w:val="single" w:color="auto" w:sz="2" w:space="0"/>
              <w:bottom w:val="single" w:color="auto" w:sz="2" w:space="0"/>
              <w:right w:val="single" w:color="auto" w:sz="2" w:space="0"/>
            </w:tcBorders>
            <w:vAlign w:val="center"/>
          </w:tcPr>
          <w:p w14:paraId="3CD62640">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747ACF7">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A1561F2">
            <w:pPr>
              <w:spacing w:line="240" w:lineRule="exact"/>
              <w:jc w:val="right"/>
              <w:rPr>
                <w:rFonts w:ascii="宋体" w:hAnsi="宋体" w:eastAsia="宋体" w:cs="宋体"/>
                <w:sz w:val="18"/>
                <w:szCs w:val="18"/>
              </w:rPr>
            </w:pPr>
            <w:r>
              <w:rPr>
                <w:rFonts w:ascii="宋体" w:hAnsi="宋体" w:eastAsia="宋体" w:cs="宋体"/>
                <w:sz w:val="18"/>
                <w:szCs w:val="18"/>
              </w:rPr>
              <w:t>-214,774.36</w:t>
            </w:r>
          </w:p>
        </w:tc>
      </w:tr>
      <w:tr w14:paraId="42458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CEE8572">
            <w:pPr>
              <w:spacing w:before="40" w:after="40" w:line="240" w:lineRule="exact"/>
              <w:rPr>
                <w:rFonts w:ascii="宋体" w:hAnsi="宋体" w:eastAsia="宋体" w:cs="宋体"/>
                <w:sz w:val="18"/>
                <w:szCs w:val="18"/>
              </w:rPr>
            </w:pPr>
            <w:r>
              <w:rPr>
                <w:rFonts w:ascii="宋体" w:hAnsi="宋体" w:eastAsia="宋体" w:cs="宋体"/>
                <w:sz w:val="18"/>
                <w:szCs w:val="18"/>
              </w:rPr>
              <w:t>2025年12月31日余额</w:t>
            </w:r>
          </w:p>
        </w:tc>
        <w:tc>
          <w:tcPr>
            <w:tcW w:w="1928" w:type="dxa"/>
            <w:tcBorders>
              <w:top w:val="single" w:color="auto" w:sz="2" w:space="0"/>
              <w:left w:val="single" w:color="auto" w:sz="2" w:space="0"/>
              <w:bottom w:val="single" w:color="auto" w:sz="2" w:space="0"/>
              <w:right w:val="single" w:color="auto" w:sz="2" w:space="0"/>
            </w:tcBorders>
            <w:vAlign w:val="center"/>
          </w:tcPr>
          <w:p w14:paraId="00C058AA">
            <w:pPr>
              <w:spacing w:line="240" w:lineRule="exact"/>
              <w:jc w:val="right"/>
              <w:rPr>
                <w:rFonts w:ascii="宋体" w:hAnsi="宋体" w:eastAsia="宋体" w:cs="宋体"/>
                <w:sz w:val="18"/>
                <w:szCs w:val="18"/>
              </w:rPr>
            </w:pPr>
            <w:r>
              <w:rPr>
                <w:rFonts w:ascii="宋体" w:hAnsi="宋体" w:eastAsia="宋体" w:cs="宋体"/>
                <w:sz w:val="18"/>
                <w:szCs w:val="18"/>
              </w:rPr>
              <w:t>64,370,711.51</w:t>
            </w:r>
          </w:p>
        </w:tc>
        <w:tc>
          <w:tcPr>
            <w:tcW w:w="1928" w:type="dxa"/>
            <w:tcBorders>
              <w:top w:val="single" w:color="auto" w:sz="2" w:space="0"/>
              <w:left w:val="single" w:color="auto" w:sz="2" w:space="0"/>
              <w:bottom w:val="single" w:color="auto" w:sz="2" w:space="0"/>
              <w:right w:val="single" w:color="auto" w:sz="2" w:space="0"/>
            </w:tcBorders>
            <w:vAlign w:val="center"/>
          </w:tcPr>
          <w:p w14:paraId="4C27048F">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5EE2D7F">
            <w:pPr>
              <w:spacing w:line="240" w:lineRule="exact"/>
              <w:jc w:val="right"/>
              <w:rPr>
                <w:rFonts w:ascii="宋体" w:hAnsi="宋体" w:eastAsia="宋体" w:cs="宋体"/>
                <w:sz w:val="18"/>
                <w:szCs w:val="18"/>
              </w:rPr>
            </w:pPr>
            <w:r>
              <w:rPr>
                <w:rFonts w:ascii="宋体" w:hAnsi="宋体" w:eastAsia="宋体" w:cs="宋体"/>
                <w:sz w:val="18"/>
                <w:szCs w:val="18"/>
              </w:rPr>
              <w:t>26,696,585.73</w:t>
            </w:r>
          </w:p>
        </w:tc>
        <w:tc>
          <w:tcPr>
            <w:tcW w:w="1928" w:type="dxa"/>
            <w:tcBorders>
              <w:top w:val="single" w:color="auto" w:sz="2" w:space="0"/>
              <w:left w:val="single" w:color="auto" w:sz="2" w:space="0"/>
              <w:bottom w:val="single" w:color="auto" w:sz="2" w:space="0"/>
              <w:right w:val="single" w:color="auto" w:sz="2" w:space="0"/>
            </w:tcBorders>
            <w:vAlign w:val="center"/>
          </w:tcPr>
          <w:p w14:paraId="15BE5E8C">
            <w:pPr>
              <w:spacing w:line="240" w:lineRule="exact"/>
              <w:jc w:val="right"/>
              <w:rPr>
                <w:rFonts w:ascii="宋体" w:hAnsi="宋体" w:eastAsia="宋体" w:cs="宋体"/>
                <w:sz w:val="18"/>
                <w:szCs w:val="18"/>
              </w:rPr>
            </w:pPr>
            <w:r>
              <w:rPr>
                <w:rFonts w:ascii="宋体" w:hAnsi="宋体" w:eastAsia="宋体" w:cs="宋体"/>
                <w:sz w:val="18"/>
                <w:szCs w:val="18"/>
              </w:rPr>
              <w:t>91,067,297.24</w:t>
            </w:r>
          </w:p>
        </w:tc>
      </w:tr>
    </w:tbl>
    <w:p w14:paraId="01E97B43">
      <w:pPr>
        <w:spacing w:before="100" w:after="100" w:line="240" w:lineRule="exact"/>
        <w:rPr>
          <w:rFonts w:ascii="宋体" w:hAnsi="宋体" w:eastAsia="宋体" w:cs="宋体"/>
          <w:sz w:val="18"/>
          <w:szCs w:val="18"/>
        </w:rPr>
      </w:pPr>
      <w:r>
        <w:rPr>
          <w:rFonts w:ascii="宋体" w:hAnsi="宋体" w:eastAsia="宋体" w:cs="宋体"/>
          <w:sz w:val="18"/>
          <w:szCs w:val="18"/>
        </w:rPr>
        <w:t>各阶段划分依据和坏账准备计提比：</w:t>
      </w:r>
      <w:r>
        <w:rPr>
          <w:rFonts w:hint="eastAsia"/>
          <w:sz w:val="18"/>
          <w:szCs w:val="18"/>
        </w:rPr>
        <w:t>无</w:t>
      </w:r>
    </w:p>
    <w:p w14:paraId="2BBE0618">
      <w:pPr>
        <w:spacing w:before="100" w:after="100" w:line="240" w:lineRule="exact"/>
        <w:rPr>
          <w:rFonts w:ascii="宋体" w:hAnsi="宋体" w:eastAsia="宋体" w:cs="宋体"/>
          <w:sz w:val="18"/>
          <w:szCs w:val="18"/>
        </w:rPr>
      </w:pPr>
      <w:r>
        <w:rPr>
          <w:rFonts w:ascii="宋体" w:hAnsi="宋体" w:eastAsia="宋体" w:cs="宋体"/>
          <w:sz w:val="18"/>
          <w:szCs w:val="18"/>
        </w:rPr>
        <w:t>损失准备本期变动金额重大的账面余额变动情况</w:t>
      </w:r>
    </w:p>
    <w:p w14:paraId="512D6A29">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3E0B792">
      <w:pPr>
        <w:keepNext/>
        <w:keepLines/>
        <w:spacing w:before="300" w:after="300" w:line="280" w:lineRule="exact"/>
        <w:outlineLvl w:val="4"/>
        <w:rPr>
          <w:rFonts w:ascii="宋体" w:hAnsi="宋体" w:eastAsia="宋体" w:cs="宋体"/>
          <w:b/>
          <w:bCs/>
          <w:szCs w:val="21"/>
        </w:rPr>
      </w:pPr>
      <w:bookmarkStart w:id="318" w:name="_Toc989170"/>
      <w:r>
        <w:rPr>
          <w:rFonts w:ascii="宋体" w:hAnsi="宋体" w:eastAsia="宋体" w:cs="宋体"/>
          <w:b/>
          <w:bCs/>
          <w:szCs w:val="21"/>
        </w:rPr>
        <w:t>4） 本期计提、收回或转回的坏账准备情况</w:t>
      </w:r>
      <w:bookmarkEnd w:id="318"/>
    </w:p>
    <w:p w14:paraId="0F681173">
      <w:pPr>
        <w:spacing w:before="100" w:after="100" w:line="240" w:lineRule="exact"/>
        <w:rPr>
          <w:rFonts w:ascii="宋体" w:hAnsi="宋体" w:eastAsia="宋体" w:cs="宋体"/>
          <w:sz w:val="18"/>
          <w:szCs w:val="18"/>
        </w:rPr>
      </w:pPr>
      <w:r>
        <w:rPr>
          <w:rFonts w:ascii="宋体" w:hAnsi="宋体" w:eastAsia="宋体" w:cs="宋体"/>
          <w:sz w:val="18"/>
          <w:szCs w:val="18"/>
        </w:rPr>
        <w:t>本期计提坏账准备情况：</w:t>
      </w:r>
    </w:p>
    <w:p w14:paraId="2AA82CED">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07E5A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CB8ECC2">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454EC2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7101E7B4">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58940C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19DBE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C61A1F6"/>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A78939B"/>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E450C39">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CF96825">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4B5158A">
            <w:pPr>
              <w:spacing w:before="40" w:after="40" w:line="240" w:lineRule="exact"/>
              <w:jc w:val="center"/>
              <w:rPr>
                <w:rFonts w:ascii="宋体" w:hAnsi="宋体" w:eastAsia="宋体" w:cs="宋体"/>
                <w:sz w:val="18"/>
                <w:szCs w:val="18"/>
              </w:rPr>
            </w:pPr>
            <w:r>
              <w:rPr>
                <w:rFonts w:ascii="宋体" w:hAnsi="宋体" w:eastAsia="宋体" w:cs="宋体"/>
                <w:sz w:val="18"/>
                <w:szCs w:val="18"/>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CF3AFA2">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C277041"/>
        </w:tc>
      </w:tr>
      <w:tr w14:paraId="04FE3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D03E649">
            <w:pPr>
              <w:spacing w:line="240" w:lineRule="exac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14:paraId="01FAC01D">
            <w:pPr>
              <w:spacing w:line="240" w:lineRule="exact"/>
              <w:jc w:val="right"/>
              <w:rPr>
                <w:rFonts w:ascii="宋体" w:hAnsi="宋体" w:eastAsia="宋体" w:cs="宋体"/>
                <w:sz w:val="18"/>
                <w:szCs w:val="18"/>
              </w:rPr>
            </w:pPr>
            <w:r>
              <w:rPr>
                <w:rFonts w:ascii="宋体" w:hAnsi="宋体" w:eastAsia="宋体" w:cs="宋体"/>
                <w:sz w:val="18"/>
                <w:szCs w:val="18"/>
              </w:rPr>
              <w:t>26,202,606.73</w:t>
            </w:r>
          </w:p>
        </w:tc>
        <w:tc>
          <w:tcPr>
            <w:tcW w:w="1377" w:type="dxa"/>
            <w:tcBorders>
              <w:top w:val="single" w:color="auto" w:sz="2" w:space="0"/>
              <w:left w:val="single" w:color="auto" w:sz="2" w:space="0"/>
              <w:bottom w:val="single" w:color="auto" w:sz="2" w:space="0"/>
              <w:right w:val="single" w:color="auto" w:sz="2" w:space="0"/>
            </w:tcBorders>
            <w:vAlign w:val="center"/>
          </w:tcPr>
          <w:p w14:paraId="506DD869">
            <w:pPr>
              <w:spacing w:line="240" w:lineRule="exact"/>
              <w:jc w:val="right"/>
              <w:rPr>
                <w:rFonts w:ascii="宋体" w:hAnsi="宋体" w:eastAsia="宋体" w:cs="宋体"/>
                <w:sz w:val="18"/>
                <w:szCs w:val="18"/>
              </w:rPr>
            </w:pPr>
            <w:r>
              <w:rPr>
                <w:rFonts w:ascii="宋体" w:hAnsi="宋体" w:eastAsia="宋体" w:cs="宋体"/>
                <w:sz w:val="18"/>
                <w:szCs w:val="18"/>
              </w:rPr>
              <w:t>21,914,786.07</w:t>
            </w:r>
          </w:p>
        </w:tc>
        <w:tc>
          <w:tcPr>
            <w:tcW w:w="1377" w:type="dxa"/>
            <w:tcBorders>
              <w:top w:val="single" w:color="auto" w:sz="2" w:space="0"/>
              <w:left w:val="single" w:color="auto" w:sz="2" w:space="0"/>
              <w:bottom w:val="single" w:color="auto" w:sz="2" w:space="0"/>
              <w:right w:val="single" w:color="auto" w:sz="2" w:space="0"/>
            </w:tcBorders>
            <w:vAlign w:val="center"/>
          </w:tcPr>
          <w:p w14:paraId="501AD2C2">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53CCAE4">
            <w:pPr>
              <w:spacing w:line="240" w:lineRule="exact"/>
              <w:jc w:val="right"/>
              <w:rPr>
                <w:rFonts w:ascii="宋体" w:hAnsi="宋体" w:eastAsia="宋体" w:cs="宋体"/>
                <w:sz w:val="18"/>
                <w:szCs w:val="18"/>
              </w:rPr>
            </w:pPr>
            <w:r>
              <w:rPr>
                <w:rFonts w:ascii="宋体" w:hAnsi="宋体" w:eastAsia="宋体" w:cs="宋体"/>
                <w:sz w:val="18"/>
                <w:szCs w:val="18"/>
              </w:rPr>
              <w:t>21,420,807.07</w:t>
            </w:r>
          </w:p>
        </w:tc>
        <w:tc>
          <w:tcPr>
            <w:tcW w:w="1377" w:type="dxa"/>
            <w:tcBorders>
              <w:top w:val="single" w:color="auto" w:sz="2" w:space="0"/>
              <w:left w:val="single" w:color="auto" w:sz="2" w:space="0"/>
              <w:bottom w:val="single" w:color="auto" w:sz="2" w:space="0"/>
              <w:right w:val="single" w:color="auto" w:sz="2" w:space="0"/>
            </w:tcBorders>
            <w:vAlign w:val="center"/>
          </w:tcPr>
          <w:p w14:paraId="281FFE78">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C0EDE08">
            <w:pPr>
              <w:spacing w:line="240" w:lineRule="exact"/>
              <w:jc w:val="right"/>
              <w:rPr>
                <w:rFonts w:ascii="宋体" w:hAnsi="宋体" w:eastAsia="宋体" w:cs="宋体"/>
                <w:sz w:val="18"/>
                <w:szCs w:val="18"/>
              </w:rPr>
            </w:pPr>
            <w:r>
              <w:rPr>
                <w:rFonts w:ascii="宋体" w:hAnsi="宋体" w:eastAsia="宋体" w:cs="宋体"/>
                <w:sz w:val="18"/>
                <w:szCs w:val="18"/>
              </w:rPr>
              <w:t>26,696,585.73</w:t>
            </w:r>
          </w:p>
        </w:tc>
      </w:tr>
      <w:tr w14:paraId="65DF0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6FC754B">
            <w:pPr>
              <w:spacing w:line="240" w:lineRule="exac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14:paraId="1C84B105">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13E7769">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7B6146C">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438CE51">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A872354">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AAE384D">
            <w:pPr>
              <w:spacing w:line="240" w:lineRule="exact"/>
              <w:jc w:val="right"/>
              <w:rPr>
                <w:rFonts w:ascii="宋体" w:hAnsi="宋体" w:eastAsia="宋体" w:cs="宋体"/>
                <w:sz w:val="18"/>
                <w:szCs w:val="18"/>
              </w:rPr>
            </w:pPr>
          </w:p>
        </w:tc>
      </w:tr>
      <w:tr w14:paraId="62F6F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D7FEE08">
            <w:pPr>
              <w:spacing w:line="240" w:lineRule="exact"/>
              <w:rPr>
                <w:rFonts w:ascii="宋体" w:hAnsi="宋体" w:eastAsia="宋体" w:cs="宋体"/>
                <w:sz w:val="18"/>
                <w:szCs w:val="18"/>
              </w:rPr>
            </w:pPr>
            <w:r>
              <w:rPr>
                <w:rFonts w:ascii="宋体" w:hAnsi="宋体" w:eastAsia="宋体" w:cs="宋体"/>
                <w:sz w:val="18"/>
                <w:szCs w:val="18"/>
              </w:rPr>
              <w:t>其中：预期信用风险组合</w:t>
            </w:r>
          </w:p>
        </w:tc>
        <w:tc>
          <w:tcPr>
            <w:tcW w:w="1377" w:type="dxa"/>
            <w:tcBorders>
              <w:top w:val="single" w:color="auto" w:sz="2" w:space="0"/>
              <w:left w:val="single" w:color="auto" w:sz="2" w:space="0"/>
              <w:bottom w:val="single" w:color="auto" w:sz="2" w:space="0"/>
              <w:right w:val="single" w:color="auto" w:sz="2" w:space="0"/>
            </w:tcBorders>
            <w:vAlign w:val="center"/>
          </w:tcPr>
          <w:p w14:paraId="528C4859">
            <w:pPr>
              <w:spacing w:line="240" w:lineRule="exact"/>
              <w:jc w:val="right"/>
              <w:rPr>
                <w:rFonts w:ascii="宋体" w:hAnsi="宋体" w:eastAsia="宋体" w:cs="宋体"/>
                <w:sz w:val="18"/>
                <w:szCs w:val="18"/>
              </w:rPr>
            </w:pPr>
            <w:r>
              <w:rPr>
                <w:rFonts w:ascii="宋体" w:hAnsi="宋体" w:eastAsia="宋体" w:cs="宋体"/>
                <w:sz w:val="18"/>
                <w:szCs w:val="18"/>
              </w:rPr>
              <w:t>32,733,760.29</w:t>
            </w:r>
          </w:p>
        </w:tc>
        <w:tc>
          <w:tcPr>
            <w:tcW w:w="1377" w:type="dxa"/>
            <w:tcBorders>
              <w:top w:val="single" w:color="auto" w:sz="2" w:space="0"/>
              <w:left w:val="single" w:color="auto" w:sz="2" w:space="0"/>
              <w:bottom w:val="single" w:color="auto" w:sz="2" w:space="0"/>
              <w:right w:val="single" w:color="auto" w:sz="2" w:space="0"/>
            </w:tcBorders>
            <w:vAlign w:val="center"/>
          </w:tcPr>
          <w:p w14:paraId="085B3557">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E290358">
            <w:pPr>
              <w:spacing w:line="240" w:lineRule="exact"/>
              <w:jc w:val="right"/>
              <w:rPr>
                <w:rFonts w:ascii="宋体" w:hAnsi="宋体" w:eastAsia="宋体" w:cs="宋体"/>
                <w:sz w:val="18"/>
                <w:szCs w:val="18"/>
              </w:rPr>
            </w:pPr>
            <w:r>
              <w:rPr>
                <w:rFonts w:ascii="宋体" w:hAnsi="宋体" w:eastAsia="宋体" w:cs="宋体"/>
                <w:sz w:val="18"/>
                <w:szCs w:val="18"/>
              </w:rPr>
              <w:t>8,273,976.32</w:t>
            </w:r>
          </w:p>
        </w:tc>
        <w:tc>
          <w:tcPr>
            <w:tcW w:w="1377" w:type="dxa"/>
            <w:tcBorders>
              <w:top w:val="single" w:color="auto" w:sz="2" w:space="0"/>
              <w:left w:val="single" w:color="auto" w:sz="2" w:space="0"/>
              <w:bottom w:val="single" w:color="auto" w:sz="2" w:space="0"/>
              <w:right w:val="single" w:color="auto" w:sz="2" w:space="0"/>
            </w:tcBorders>
            <w:vAlign w:val="center"/>
          </w:tcPr>
          <w:p w14:paraId="74A9FE73">
            <w:pPr>
              <w:spacing w:line="240" w:lineRule="exact"/>
              <w:jc w:val="right"/>
              <w:rPr>
                <w:rFonts w:ascii="宋体" w:hAnsi="宋体" w:eastAsia="宋体" w:cs="宋体"/>
                <w:sz w:val="18"/>
                <w:szCs w:val="18"/>
              </w:rPr>
            </w:pPr>
            <w:r>
              <w:rPr>
                <w:rFonts w:ascii="宋体" w:hAnsi="宋体" w:eastAsia="宋体" w:cs="宋体"/>
                <w:sz w:val="18"/>
                <w:szCs w:val="18"/>
              </w:rPr>
              <w:t>93,562.80</w:t>
            </w:r>
          </w:p>
        </w:tc>
        <w:tc>
          <w:tcPr>
            <w:tcW w:w="1377" w:type="dxa"/>
            <w:tcBorders>
              <w:top w:val="single" w:color="auto" w:sz="2" w:space="0"/>
              <w:left w:val="single" w:color="auto" w:sz="2" w:space="0"/>
              <w:bottom w:val="single" w:color="auto" w:sz="2" w:space="0"/>
              <w:right w:val="single" w:color="auto" w:sz="2" w:space="0"/>
            </w:tcBorders>
            <w:vAlign w:val="center"/>
          </w:tcPr>
          <w:p w14:paraId="08095BE8">
            <w:pPr>
              <w:spacing w:line="240" w:lineRule="exact"/>
              <w:jc w:val="right"/>
              <w:rPr>
                <w:rFonts w:ascii="宋体" w:hAnsi="宋体" w:eastAsia="宋体" w:cs="宋体"/>
                <w:sz w:val="18"/>
                <w:szCs w:val="18"/>
              </w:rPr>
            </w:pPr>
            <w:r>
              <w:rPr>
                <w:rFonts w:ascii="宋体" w:hAnsi="宋体" w:eastAsia="宋体" w:cs="宋体"/>
                <w:sz w:val="18"/>
                <w:szCs w:val="18"/>
              </w:rPr>
              <w:t>-214,774.36</w:t>
            </w:r>
          </w:p>
        </w:tc>
        <w:tc>
          <w:tcPr>
            <w:tcW w:w="1377" w:type="dxa"/>
            <w:tcBorders>
              <w:top w:val="single" w:color="auto" w:sz="2" w:space="0"/>
              <w:left w:val="single" w:color="auto" w:sz="2" w:space="0"/>
              <w:bottom w:val="single" w:color="auto" w:sz="2" w:space="0"/>
              <w:right w:val="single" w:color="auto" w:sz="2" w:space="0"/>
            </w:tcBorders>
            <w:vAlign w:val="center"/>
          </w:tcPr>
          <w:p w14:paraId="341E46F4">
            <w:pPr>
              <w:spacing w:line="240" w:lineRule="exact"/>
              <w:jc w:val="right"/>
              <w:rPr>
                <w:rFonts w:ascii="宋体" w:hAnsi="宋体" w:eastAsia="宋体" w:cs="宋体"/>
                <w:sz w:val="18"/>
                <w:szCs w:val="18"/>
              </w:rPr>
            </w:pPr>
            <w:r>
              <w:rPr>
                <w:rFonts w:ascii="宋体" w:hAnsi="宋体" w:eastAsia="宋体" w:cs="宋体"/>
                <w:sz w:val="18"/>
                <w:szCs w:val="18"/>
              </w:rPr>
              <w:t>24,151,446.81</w:t>
            </w:r>
          </w:p>
        </w:tc>
      </w:tr>
      <w:tr w14:paraId="3C8EC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8983B72">
            <w:pPr>
              <w:spacing w:line="240" w:lineRule="exact"/>
              <w:rPr>
                <w:rFonts w:ascii="宋体" w:hAnsi="宋体" w:eastAsia="宋体" w:cs="宋体"/>
                <w:sz w:val="18"/>
                <w:szCs w:val="18"/>
              </w:rPr>
            </w:pPr>
            <w:r>
              <w:rPr>
                <w:rFonts w:ascii="宋体" w:hAnsi="宋体" w:eastAsia="宋体" w:cs="宋体"/>
                <w:sz w:val="18"/>
                <w:szCs w:val="18"/>
              </w:rPr>
              <w:t>应收财政款组合</w:t>
            </w:r>
          </w:p>
        </w:tc>
        <w:tc>
          <w:tcPr>
            <w:tcW w:w="1377" w:type="dxa"/>
            <w:tcBorders>
              <w:top w:val="single" w:color="auto" w:sz="2" w:space="0"/>
              <w:left w:val="single" w:color="auto" w:sz="2" w:space="0"/>
              <w:bottom w:val="single" w:color="auto" w:sz="2" w:space="0"/>
              <w:right w:val="single" w:color="auto" w:sz="2" w:space="0"/>
            </w:tcBorders>
            <w:vAlign w:val="center"/>
          </w:tcPr>
          <w:p w14:paraId="1B69B75D">
            <w:pPr>
              <w:spacing w:line="240" w:lineRule="exact"/>
              <w:jc w:val="right"/>
              <w:rPr>
                <w:rFonts w:ascii="宋体" w:hAnsi="宋体" w:eastAsia="宋体" w:cs="宋体"/>
                <w:sz w:val="18"/>
                <w:szCs w:val="18"/>
              </w:rPr>
            </w:pPr>
            <w:r>
              <w:rPr>
                <w:rFonts w:ascii="宋体" w:hAnsi="宋体" w:eastAsia="宋体" w:cs="宋体"/>
                <w:sz w:val="18"/>
                <w:szCs w:val="18"/>
              </w:rPr>
              <w:t>82,980,105.93</w:t>
            </w:r>
          </w:p>
        </w:tc>
        <w:tc>
          <w:tcPr>
            <w:tcW w:w="1377" w:type="dxa"/>
            <w:tcBorders>
              <w:top w:val="single" w:color="auto" w:sz="2" w:space="0"/>
              <w:left w:val="single" w:color="auto" w:sz="2" w:space="0"/>
              <w:bottom w:val="single" w:color="auto" w:sz="2" w:space="0"/>
              <w:right w:val="single" w:color="auto" w:sz="2" w:space="0"/>
            </w:tcBorders>
            <w:vAlign w:val="center"/>
          </w:tcPr>
          <w:p w14:paraId="06772950">
            <w:pPr>
              <w:spacing w:line="240" w:lineRule="exact"/>
              <w:jc w:val="right"/>
              <w:rPr>
                <w:rFonts w:ascii="宋体" w:hAnsi="宋体" w:eastAsia="宋体" w:cs="宋体"/>
                <w:sz w:val="18"/>
                <w:szCs w:val="18"/>
              </w:rPr>
            </w:pPr>
            <w:r>
              <w:rPr>
                <w:rFonts w:ascii="宋体" w:hAnsi="宋体" w:eastAsia="宋体" w:cs="宋体"/>
                <w:sz w:val="18"/>
                <w:szCs w:val="18"/>
              </w:rPr>
              <w:t>6,669,610.76</w:t>
            </w:r>
          </w:p>
        </w:tc>
        <w:tc>
          <w:tcPr>
            <w:tcW w:w="1377" w:type="dxa"/>
            <w:tcBorders>
              <w:top w:val="single" w:color="auto" w:sz="2" w:space="0"/>
              <w:left w:val="single" w:color="auto" w:sz="2" w:space="0"/>
              <w:bottom w:val="single" w:color="auto" w:sz="2" w:space="0"/>
              <w:right w:val="single" w:color="auto" w:sz="2" w:space="0"/>
            </w:tcBorders>
            <w:vAlign w:val="center"/>
          </w:tcPr>
          <w:p w14:paraId="2ED9ED8A">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52BED3C">
            <w:pPr>
              <w:spacing w:line="240" w:lineRule="exact"/>
              <w:jc w:val="right"/>
              <w:rPr>
                <w:rFonts w:ascii="宋体" w:hAnsi="宋体" w:eastAsia="宋体" w:cs="宋体"/>
                <w:sz w:val="18"/>
                <w:szCs w:val="18"/>
              </w:rPr>
            </w:pPr>
            <w:r>
              <w:rPr>
                <w:rFonts w:ascii="宋体" w:hAnsi="宋体" w:eastAsia="宋体" w:cs="宋体"/>
                <w:sz w:val="18"/>
                <w:szCs w:val="18"/>
              </w:rPr>
              <w:t>49,430,451.98</w:t>
            </w:r>
          </w:p>
        </w:tc>
        <w:tc>
          <w:tcPr>
            <w:tcW w:w="1377" w:type="dxa"/>
            <w:tcBorders>
              <w:top w:val="single" w:color="auto" w:sz="2" w:space="0"/>
              <w:left w:val="single" w:color="auto" w:sz="2" w:space="0"/>
              <w:bottom w:val="single" w:color="auto" w:sz="2" w:space="0"/>
              <w:right w:val="single" w:color="auto" w:sz="2" w:space="0"/>
            </w:tcBorders>
            <w:vAlign w:val="center"/>
          </w:tcPr>
          <w:p w14:paraId="578E4C52">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B511925">
            <w:pPr>
              <w:spacing w:line="240" w:lineRule="exact"/>
              <w:jc w:val="right"/>
              <w:rPr>
                <w:rFonts w:ascii="宋体" w:hAnsi="宋体" w:eastAsia="宋体" w:cs="宋体"/>
                <w:sz w:val="18"/>
                <w:szCs w:val="18"/>
              </w:rPr>
            </w:pPr>
            <w:r>
              <w:rPr>
                <w:rFonts w:ascii="宋体" w:hAnsi="宋体" w:eastAsia="宋体" w:cs="宋体"/>
                <w:sz w:val="18"/>
                <w:szCs w:val="18"/>
              </w:rPr>
              <w:t>40,219,264.71</w:t>
            </w:r>
          </w:p>
        </w:tc>
      </w:tr>
      <w:tr w14:paraId="1B94B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4045BBA">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7693EFAE">
            <w:pPr>
              <w:spacing w:line="240" w:lineRule="exact"/>
              <w:jc w:val="right"/>
              <w:rPr>
                <w:rFonts w:ascii="宋体" w:hAnsi="宋体" w:eastAsia="宋体" w:cs="宋体"/>
                <w:sz w:val="18"/>
                <w:szCs w:val="18"/>
              </w:rPr>
            </w:pPr>
            <w:r>
              <w:rPr>
                <w:rFonts w:ascii="宋体" w:hAnsi="宋体" w:eastAsia="宋体" w:cs="宋体"/>
                <w:sz w:val="18"/>
                <w:szCs w:val="18"/>
              </w:rPr>
              <w:t>141,916,472.95</w:t>
            </w:r>
          </w:p>
        </w:tc>
        <w:tc>
          <w:tcPr>
            <w:tcW w:w="1377" w:type="dxa"/>
            <w:tcBorders>
              <w:top w:val="single" w:color="auto" w:sz="2" w:space="0"/>
              <w:left w:val="single" w:color="auto" w:sz="2" w:space="0"/>
              <w:bottom w:val="single" w:color="auto" w:sz="2" w:space="0"/>
              <w:right w:val="single" w:color="auto" w:sz="2" w:space="0"/>
            </w:tcBorders>
            <w:vAlign w:val="center"/>
          </w:tcPr>
          <w:p w14:paraId="6BB675CA">
            <w:pPr>
              <w:spacing w:line="240" w:lineRule="exact"/>
              <w:jc w:val="right"/>
              <w:rPr>
                <w:rFonts w:ascii="宋体" w:hAnsi="宋体" w:eastAsia="宋体" w:cs="宋体"/>
                <w:sz w:val="18"/>
                <w:szCs w:val="18"/>
              </w:rPr>
            </w:pPr>
            <w:r>
              <w:rPr>
                <w:rFonts w:ascii="宋体" w:hAnsi="宋体" w:eastAsia="宋体" w:cs="宋体"/>
                <w:sz w:val="18"/>
                <w:szCs w:val="18"/>
              </w:rPr>
              <w:t>28,584,396.83</w:t>
            </w:r>
          </w:p>
        </w:tc>
        <w:tc>
          <w:tcPr>
            <w:tcW w:w="1377" w:type="dxa"/>
            <w:tcBorders>
              <w:top w:val="single" w:color="auto" w:sz="2" w:space="0"/>
              <w:left w:val="single" w:color="auto" w:sz="2" w:space="0"/>
              <w:bottom w:val="single" w:color="auto" w:sz="2" w:space="0"/>
              <w:right w:val="single" w:color="auto" w:sz="2" w:space="0"/>
            </w:tcBorders>
            <w:vAlign w:val="center"/>
          </w:tcPr>
          <w:p w14:paraId="3C8CE7CC">
            <w:pPr>
              <w:spacing w:line="240" w:lineRule="exact"/>
              <w:jc w:val="right"/>
              <w:rPr>
                <w:rFonts w:ascii="宋体" w:hAnsi="宋体" w:eastAsia="宋体" w:cs="宋体"/>
                <w:sz w:val="18"/>
                <w:szCs w:val="18"/>
              </w:rPr>
            </w:pPr>
            <w:r>
              <w:rPr>
                <w:rFonts w:ascii="宋体" w:hAnsi="宋体" w:eastAsia="宋体" w:cs="宋体"/>
                <w:sz w:val="18"/>
                <w:szCs w:val="18"/>
              </w:rPr>
              <w:t>8,273,976.32</w:t>
            </w:r>
          </w:p>
        </w:tc>
        <w:tc>
          <w:tcPr>
            <w:tcW w:w="1377" w:type="dxa"/>
            <w:tcBorders>
              <w:top w:val="single" w:color="auto" w:sz="2" w:space="0"/>
              <w:left w:val="single" w:color="auto" w:sz="2" w:space="0"/>
              <w:bottom w:val="single" w:color="auto" w:sz="2" w:space="0"/>
              <w:right w:val="single" w:color="auto" w:sz="2" w:space="0"/>
            </w:tcBorders>
            <w:vAlign w:val="center"/>
          </w:tcPr>
          <w:p w14:paraId="7F3CB49F">
            <w:pPr>
              <w:spacing w:line="240" w:lineRule="exact"/>
              <w:jc w:val="right"/>
              <w:rPr>
                <w:rFonts w:ascii="宋体" w:hAnsi="宋体" w:eastAsia="宋体" w:cs="宋体"/>
                <w:sz w:val="18"/>
                <w:szCs w:val="18"/>
              </w:rPr>
            </w:pPr>
            <w:r>
              <w:rPr>
                <w:rFonts w:ascii="宋体" w:hAnsi="宋体" w:eastAsia="宋体" w:cs="宋体"/>
                <w:sz w:val="18"/>
                <w:szCs w:val="18"/>
              </w:rPr>
              <w:t>70,944,821.85</w:t>
            </w:r>
          </w:p>
        </w:tc>
        <w:tc>
          <w:tcPr>
            <w:tcW w:w="1377" w:type="dxa"/>
            <w:tcBorders>
              <w:top w:val="single" w:color="auto" w:sz="2" w:space="0"/>
              <w:left w:val="single" w:color="auto" w:sz="2" w:space="0"/>
              <w:bottom w:val="single" w:color="auto" w:sz="2" w:space="0"/>
              <w:right w:val="single" w:color="auto" w:sz="2" w:space="0"/>
            </w:tcBorders>
            <w:vAlign w:val="center"/>
          </w:tcPr>
          <w:p w14:paraId="7C00E0A3">
            <w:pPr>
              <w:spacing w:line="240" w:lineRule="exact"/>
              <w:jc w:val="right"/>
              <w:rPr>
                <w:rFonts w:ascii="宋体" w:hAnsi="宋体" w:eastAsia="宋体" w:cs="宋体"/>
                <w:sz w:val="18"/>
                <w:szCs w:val="18"/>
              </w:rPr>
            </w:pPr>
            <w:r>
              <w:rPr>
                <w:rFonts w:ascii="宋体" w:hAnsi="宋体" w:eastAsia="宋体" w:cs="宋体"/>
                <w:sz w:val="18"/>
                <w:szCs w:val="18"/>
              </w:rPr>
              <w:t>-214,774.36</w:t>
            </w:r>
          </w:p>
        </w:tc>
        <w:tc>
          <w:tcPr>
            <w:tcW w:w="1377" w:type="dxa"/>
            <w:tcBorders>
              <w:top w:val="single" w:color="auto" w:sz="2" w:space="0"/>
              <w:left w:val="single" w:color="auto" w:sz="2" w:space="0"/>
              <w:bottom w:val="single" w:color="auto" w:sz="2" w:space="0"/>
              <w:right w:val="single" w:color="auto" w:sz="2" w:space="0"/>
            </w:tcBorders>
            <w:vAlign w:val="center"/>
          </w:tcPr>
          <w:p w14:paraId="3CB74C53">
            <w:pPr>
              <w:spacing w:line="240" w:lineRule="exact"/>
              <w:jc w:val="right"/>
              <w:rPr>
                <w:rFonts w:ascii="宋体" w:hAnsi="宋体" w:eastAsia="宋体" w:cs="宋体"/>
                <w:sz w:val="18"/>
                <w:szCs w:val="18"/>
              </w:rPr>
            </w:pPr>
            <w:r>
              <w:rPr>
                <w:rFonts w:ascii="宋体" w:hAnsi="宋体" w:eastAsia="宋体" w:cs="宋体"/>
                <w:sz w:val="18"/>
                <w:szCs w:val="18"/>
              </w:rPr>
              <w:t>91,067,297.25</w:t>
            </w:r>
          </w:p>
        </w:tc>
      </w:tr>
    </w:tbl>
    <w:p w14:paraId="4AE51B8F">
      <w:pPr>
        <w:spacing w:before="100" w:after="100" w:line="240" w:lineRule="exact"/>
        <w:rPr>
          <w:rFonts w:ascii="宋体" w:hAnsi="宋体" w:eastAsia="宋体" w:cs="宋体"/>
          <w:sz w:val="18"/>
          <w:szCs w:val="18"/>
        </w:rPr>
      </w:pPr>
      <w:r>
        <w:rPr>
          <w:rFonts w:ascii="宋体" w:hAnsi="宋体" w:eastAsia="宋体" w:cs="宋体"/>
          <w:sz w:val="18"/>
          <w:szCs w:val="18"/>
        </w:rPr>
        <w:t>其中本期坏账准备转回或收回金额重要的：</w:t>
      </w:r>
      <w:r>
        <w:rPr>
          <w:rFonts w:hint="eastAsia"/>
          <w:sz w:val="18"/>
          <w:szCs w:val="18"/>
        </w:rPr>
        <w:t>无</w:t>
      </w:r>
    </w:p>
    <w:p w14:paraId="6D8BE31B">
      <w:pPr>
        <w:keepNext/>
        <w:keepLines/>
        <w:spacing w:before="300" w:after="300" w:line="280" w:lineRule="exact"/>
        <w:outlineLvl w:val="4"/>
        <w:rPr>
          <w:rFonts w:ascii="宋体" w:hAnsi="宋体" w:eastAsia="宋体" w:cs="宋体"/>
          <w:b/>
          <w:bCs/>
          <w:szCs w:val="21"/>
        </w:rPr>
      </w:pPr>
      <w:bookmarkStart w:id="319" w:name="_Toc989171"/>
      <w:r>
        <w:rPr>
          <w:rFonts w:ascii="宋体" w:hAnsi="宋体" w:eastAsia="宋体" w:cs="宋体"/>
          <w:b/>
          <w:bCs/>
          <w:szCs w:val="21"/>
        </w:rPr>
        <w:t>5） 本期实际核销的其他应收款情况</w:t>
      </w:r>
      <w:bookmarkEnd w:id="319"/>
    </w:p>
    <w:p w14:paraId="350A3C8E">
      <w:pPr>
        <w:spacing w:before="100" w:after="100" w:line="240" w:lineRule="exact"/>
        <w:rPr>
          <w:rFonts w:ascii="宋体" w:hAnsi="宋体" w:eastAsia="宋体" w:cs="宋体"/>
          <w:sz w:val="18"/>
          <w:szCs w:val="18"/>
        </w:rPr>
      </w:pPr>
      <w:r>
        <w:rPr>
          <w:rFonts w:ascii="宋体" w:hAnsi="宋体" w:eastAsia="宋体" w:cs="宋体"/>
          <w:sz w:val="18"/>
          <w:szCs w:val="18"/>
        </w:rPr>
        <w:t>其中重要的其他应收款核销情况：</w:t>
      </w:r>
    </w:p>
    <w:p w14:paraId="7B58CB99">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14:paraId="097AD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7B94A9E">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E9046D6">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3072A30">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CD14B56">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599B2C4">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2F1D071">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r w14:paraId="5869A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68E16F6">
            <w:pPr>
              <w:spacing w:line="240" w:lineRule="exact"/>
              <w:rPr>
                <w:rFonts w:ascii="宋体" w:hAnsi="宋体" w:eastAsia="宋体" w:cs="宋体"/>
                <w:sz w:val="18"/>
                <w:szCs w:val="18"/>
              </w:rPr>
            </w:pPr>
            <w:r>
              <w:rPr>
                <w:rFonts w:ascii="宋体" w:hAnsi="宋体" w:eastAsia="宋体" w:cs="宋体"/>
                <w:sz w:val="18"/>
                <w:szCs w:val="18"/>
              </w:rPr>
              <w:t>新疆生产建设兵团第六师财政局</w:t>
            </w:r>
          </w:p>
        </w:tc>
        <w:tc>
          <w:tcPr>
            <w:tcW w:w="1606" w:type="dxa"/>
            <w:tcBorders>
              <w:top w:val="single" w:color="auto" w:sz="2" w:space="0"/>
              <w:left w:val="single" w:color="auto" w:sz="2" w:space="0"/>
              <w:bottom w:val="single" w:color="auto" w:sz="2" w:space="0"/>
              <w:right w:val="single" w:color="auto" w:sz="2" w:space="0"/>
            </w:tcBorders>
            <w:vAlign w:val="center"/>
          </w:tcPr>
          <w:p w14:paraId="291E8055">
            <w:pPr>
              <w:spacing w:line="240" w:lineRule="exact"/>
              <w:rPr>
                <w:rFonts w:ascii="宋体" w:hAnsi="宋体" w:eastAsia="宋体" w:cs="宋体"/>
                <w:sz w:val="18"/>
                <w:szCs w:val="18"/>
              </w:rPr>
            </w:pPr>
            <w:r>
              <w:rPr>
                <w:rFonts w:ascii="宋体" w:hAnsi="宋体" w:eastAsia="宋体" w:cs="宋体"/>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14:paraId="4BCF5B67">
            <w:pPr>
              <w:spacing w:line="240" w:lineRule="exact"/>
              <w:jc w:val="right"/>
              <w:rPr>
                <w:rFonts w:ascii="宋体" w:hAnsi="宋体" w:eastAsia="宋体" w:cs="宋体"/>
                <w:sz w:val="18"/>
                <w:szCs w:val="18"/>
              </w:rPr>
            </w:pPr>
            <w:r>
              <w:rPr>
                <w:rFonts w:ascii="宋体" w:hAnsi="宋体" w:eastAsia="宋体" w:cs="宋体"/>
                <w:sz w:val="18"/>
                <w:szCs w:val="18"/>
              </w:rPr>
              <w:t>25,208,133.79</w:t>
            </w:r>
          </w:p>
        </w:tc>
        <w:tc>
          <w:tcPr>
            <w:tcW w:w="1606" w:type="dxa"/>
            <w:tcBorders>
              <w:top w:val="single" w:color="auto" w:sz="2" w:space="0"/>
              <w:left w:val="single" w:color="auto" w:sz="2" w:space="0"/>
              <w:bottom w:val="single" w:color="auto" w:sz="2" w:space="0"/>
              <w:right w:val="single" w:color="auto" w:sz="2" w:space="0"/>
            </w:tcBorders>
            <w:vAlign w:val="center"/>
          </w:tcPr>
          <w:p w14:paraId="649CBF98">
            <w:pPr>
              <w:spacing w:line="240" w:lineRule="exact"/>
              <w:rPr>
                <w:rFonts w:ascii="宋体" w:hAnsi="宋体" w:eastAsia="宋体" w:cs="宋体"/>
                <w:sz w:val="18"/>
                <w:szCs w:val="18"/>
              </w:rPr>
            </w:pPr>
            <w:r>
              <w:rPr>
                <w:rFonts w:ascii="宋体" w:hAnsi="宋体" w:eastAsia="宋体" w:cs="宋体"/>
                <w:sz w:val="18"/>
                <w:szCs w:val="18"/>
              </w:rPr>
              <w:t>无法收回</w:t>
            </w:r>
          </w:p>
        </w:tc>
        <w:tc>
          <w:tcPr>
            <w:tcW w:w="1606" w:type="dxa"/>
            <w:tcBorders>
              <w:top w:val="single" w:color="auto" w:sz="2" w:space="0"/>
              <w:left w:val="single" w:color="auto" w:sz="2" w:space="0"/>
              <w:bottom w:val="single" w:color="auto" w:sz="2" w:space="0"/>
              <w:right w:val="single" w:color="auto" w:sz="2" w:space="0"/>
            </w:tcBorders>
            <w:vAlign w:val="center"/>
          </w:tcPr>
          <w:p w14:paraId="17D59A37">
            <w:pPr>
              <w:spacing w:line="240" w:lineRule="exact"/>
              <w:rPr>
                <w:rFonts w:ascii="宋体" w:hAnsi="宋体" w:eastAsia="宋体" w:cs="宋体"/>
                <w:sz w:val="18"/>
                <w:szCs w:val="18"/>
              </w:rPr>
            </w:pPr>
            <w:r>
              <w:rPr>
                <w:rFonts w:ascii="宋体" w:hAnsi="宋体" w:eastAsia="宋体" w:cs="宋体"/>
                <w:sz w:val="18"/>
                <w:szCs w:val="18"/>
              </w:rPr>
              <w:t>公司财经中心核实批准清理</w:t>
            </w:r>
          </w:p>
        </w:tc>
        <w:tc>
          <w:tcPr>
            <w:tcW w:w="1606" w:type="dxa"/>
            <w:tcBorders>
              <w:top w:val="single" w:color="auto" w:sz="2" w:space="0"/>
              <w:left w:val="single" w:color="auto" w:sz="2" w:space="0"/>
              <w:bottom w:val="single" w:color="auto" w:sz="2" w:space="0"/>
              <w:right w:val="single" w:color="auto" w:sz="2" w:space="0"/>
            </w:tcBorders>
            <w:vAlign w:val="center"/>
          </w:tcPr>
          <w:p w14:paraId="76BD8D3F">
            <w:pPr>
              <w:spacing w:line="240" w:lineRule="exact"/>
              <w:rPr>
                <w:rFonts w:ascii="宋体" w:hAnsi="宋体" w:eastAsia="宋体" w:cs="宋体"/>
                <w:sz w:val="18"/>
                <w:szCs w:val="18"/>
              </w:rPr>
            </w:pPr>
            <w:r>
              <w:rPr>
                <w:rFonts w:ascii="宋体" w:hAnsi="宋体" w:eastAsia="宋体" w:cs="宋体"/>
                <w:sz w:val="18"/>
                <w:szCs w:val="18"/>
              </w:rPr>
              <w:t>否</w:t>
            </w:r>
          </w:p>
        </w:tc>
      </w:tr>
      <w:tr w14:paraId="123F8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EF0D385">
            <w:pPr>
              <w:spacing w:line="240" w:lineRule="exact"/>
              <w:rPr>
                <w:rFonts w:ascii="宋体" w:hAnsi="宋体" w:eastAsia="宋体" w:cs="宋体"/>
                <w:sz w:val="18"/>
                <w:szCs w:val="18"/>
              </w:rPr>
            </w:pPr>
            <w:r>
              <w:rPr>
                <w:rFonts w:ascii="宋体" w:hAnsi="宋体" w:eastAsia="宋体" w:cs="宋体"/>
                <w:sz w:val="18"/>
                <w:szCs w:val="18"/>
              </w:rPr>
              <w:t>宁波欧励实业有限公司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2305ACBD">
            <w:pPr>
              <w:spacing w:line="240" w:lineRule="exact"/>
              <w:rPr>
                <w:rFonts w:ascii="宋体" w:hAnsi="宋体" w:eastAsia="宋体" w:cs="宋体"/>
                <w:sz w:val="18"/>
                <w:szCs w:val="18"/>
              </w:rPr>
            </w:pPr>
            <w:r>
              <w:rPr>
                <w:rFonts w:ascii="宋体" w:hAnsi="宋体" w:eastAsia="宋体" w:cs="宋体"/>
                <w:sz w:val="18"/>
                <w:szCs w:val="18"/>
              </w:rPr>
              <w:t>货款</w:t>
            </w:r>
          </w:p>
        </w:tc>
        <w:tc>
          <w:tcPr>
            <w:tcW w:w="1606" w:type="dxa"/>
            <w:tcBorders>
              <w:top w:val="single" w:color="auto" w:sz="2" w:space="0"/>
              <w:left w:val="single" w:color="auto" w:sz="2" w:space="0"/>
              <w:bottom w:val="single" w:color="auto" w:sz="2" w:space="0"/>
              <w:right w:val="single" w:color="auto" w:sz="2" w:space="0"/>
            </w:tcBorders>
            <w:vAlign w:val="center"/>
          </w:tcPr>
          <w:p w14:paraId="681814E0">
            <w:pPr>
              <w:spacing w:line="240" w:lineRule="exact"/>
              <w:jc w:val="right"/>
              <w:rPr>
                <w:rFonts w:ascii="宋体" w:hAnsi="宋体" w:eastAsia="宋体" w:cs="宋体"/>
                <w:sz w:val="18"/>
                <w:szCs w:val="18"/>
              </w:rPr>
            </w:pPr>
            <w:r>
              <w:rPr>
                <w:rFonts w:ascii="宋体" w:hAnsi="宋体" w:eastAsia="宋体" w:cs="宋体"/>
                <w:sz w:val="18"/>
                <w:szCs w:val="18"/>
              </w:rPr>
              <w:t>21,420,807.07</w:t>
            </w:r>
          </w:p>
        </w:tc>
        <w:tc>
          <w:tcPr>
            <w:tcW w:w="1606" w:type="dxa"/>
            <w:tcBorders>
              <w:top w:val="single" w:color="auto" w:sz="2" w:space="0"/>
              <w:left w:val="single" w:color="auto" w:sz="2" w:space="0"/>
              <w:bottom w:val="single" w:color="auto" w:sz="2" w:space="0"/>
              <w:right w:val="single" w:color="auto" w:sz="2" w:space="0"/>
            </w:tcBorders>
            <w:vAlign w:val="center"/>
          </w:tcPr>
          <w:p w14:paraId="0A2DDB0D">
            <w:pPr>
              <w:spacing w:line="240" w:lineRule="exact"/>
              <w:rPr>
                <w:rFonts w:ascii="宋体" w:hAnsi="宋体" w:eastAsia="宋体" w:cs="宋体"/>
                <w:sz w:val="18"/>
                <w:szCs w:val="18"/>
              </w:rPr>
            </w:pPr>
            <w:r>
              <w:rPr>
                <w:rFonts w:ascii="宋体" w:hAnsi="宋体" w:eastAsia="宋体" w:cs="宋体"/>
                <w:sz w:val="18"/>
                <w:szCs w:val="18"/>
              </w:rPr>
              <w:t>无法收回</w:t>
            </w:r>
          </w:p>
        </w:tc>
        <w:tc>
          <w:tcPr>
            <w:tcW w:w="1606" w:type="dxa"/>
            <w:tcBorders>
              <w:top w:val="single" w:color="auto" w:sz="2" w:space="0"/>
              <w:left w:val="single" w:color="auto" w:sz="2" w:space="0"/>
              <w:bottom w:val="single" w:color="auto" w:sz="2" w:space="0"/>
              <w:right w:val="single" w:color="auto" w:sz="2" w:space="0"/>
            </w:tcBorders>
            <w:vAlign w:val="center"/>
          </w:tcPr>
          <w:p w14:paraId="098CBB5C">
            <w:pPr>
              <w:spacing w:line="240" w:lineRule="exact"/>
              <w:rPr>
                <w:rFonts w:ascii="宋体" w:hAnsi="宋体" w:eastAsia="宋体" w:cs="宋体"/>
                <w:sz w:val="18"/>
                <w:szCs w:val="18"/>
              </w:rPr>
            </w:pPr>
            <w:r>
              <w:rPr>
                <w:rFonts w:ascii="宋体" w:hAnsi="宋体" w:eastAsia="宋体" w:cs="宋体"/>
                <w:sz w:val="18"/>
                <w:szCs w:val="18"/>
              </w:rPr>
              <w:t>公司财经中心核实批准清理</w:t>
            </w:r>
          </w:p>
        </w:tc>
        <w:tc>
          <w:tcPr>
            <w:tcW w:w="1606" w:type="dxa"/>
            <w:tcBorders>
              <w:top w:val="single" w:color="auto" w:sz="2" w:space="0"/>
              <w:left w:val="single" w:color="auto" w:sz="2" w:space="0"/>
              <w:bottom w:val="single" w:color="auto" w:sz="2" w:space="0"/>
              <w:right w:val="single" w:color="auto" w:sz="2" w:space="0"/>
            </w:tcBorders>
            <w:vAlign w:val="center"/>
          </w:tcPr>
          <w:p w14:paraId="2DA1ED0F">
            <w:pPr>
              <w:spacing w:line="240" w:lineRule="exact"/>
              <w:rPr>
                <w:rFonts w:ascii="宋体" w:hAnsi="宋体" w:eastAsia="宋体" w:cs="宋体"/>
                <w:sz w:val="18"/>
                <w:szCs w:val="18"/>
              </w:rPr>
            </w:pPr>
            <w:r>
              <w:rPr>
                <w:rFonts w:ascii="宋体" w:hAnsi="宋体" w:eastAsia="宋体" w:cs="宋体"/>
                <w:sz w:val="18"/>
                <w:szCs w:val="18"/>
              </w:rPr>
              <w:t>否</w:t>
            </w:r>
          </w:p>
        </w:tc>
      </w:tr>
      <w:tr w14:paraId="285CD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FC6229D">
            <w:pPr>
              <w:spacing w:line="240" w:lineRule="exact"/>
              <w:rPr>
                <w:rFonts w:ascii="宋体" w:hAnsi="宋体" w:eastAsia="宋体" w:cs="宋体"/>
                <w:sz w:val="18"/>
                <w:szCs w:val="18"/>
              </w:rPr>
            </w:pPr>
            <w:r>
              <w:rPr>
                <w:rFonts w:ascii="宋体" w:hAnsi="宋体" w:eastAsia="宋体" w:cs="宋体"/>
                <w:sz w:val="18"/>
                <w:szCs w:val="18"/>
              </w:rPr>
              <w:t>石河子市财政局</w:t>
            </w:r>
          </w:p>
        </w:tc>
        <w:tc>
          <w:tcPr>
            <w:tcW w:w="1606" w:type="dxa"/>
            <w:tcBorders>
              <w:top w:val="single" w:color="auto" w:sz="2" w:space="0"/>
              <w:left w:val="single" w:color="auto" w:sz="2" w:space="0"/>
              <w:bottom w:val="single" w:color="auto" w:sz="2" w:space="0"/>
              <w:right w:val="single" w:color="auto" w:sz="2" w:space="0"/>
            </w:tcBorders>
            <w:vAlign w:val="center"/>
          </w:tcPr>
          <w:p w14:paraId="02696EC7">
            <w:pPr>
              <w:spacing w:line="240" w:lineRule="exact"/>
              <w:rPr>
                <w:rFonts w:ascii="宋体" w:hAnsi="宋体" w:eastAsia="宋体" w:cs="宋体"/>
                <w:sz w:val="18"/>
                <w:szCs w:val="18"/>
              </w:rPr>
            </w:pPr>
            <w:r>
              <w:rPr>
                <w:rFonts w:ascii="宋体" w:hAnsi="宋体" w:eastAsia="宋体" w:cs="宋体"/>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14:paraId="63DCE125">
            <w:pPr>
              <w:spacing w:line="240" w:lineRule="exact"/>
              <w:jc w:val="right"/>
              <w:rPr>
                <w:rFonts w:ascii="宋体" w:hAnsi="宋体" w:eastAsia="宋体" w:cs="宋体"/>
                <w:sz w:val="18"/>
                <w:szCs w:val="18"/>
              </w:rPr>
            </w:pPr>
            <w:r>
              <w:rPr>
                <w:rFonts w:ascii="宋体" w:hAnsi="宋体" w:eastAsia="宋体" w:cs="宋体"/>
                <w:sz w:val="18"/>
                <w:szCs w:val="18"/>
              </w:rPr>
              <w:t>19,390,355.10</w:t>
            </w:r>
          </w:p>
        </w:tc>
        <w:tc>
          <w:tcPr>
            <w:tcW w:w="1606" w:type="dxa"/>
            <w:tcBorders>
              <w:top w:val="single" w:color="auto" w:sz="2" w:space="0"/>
              <w:left w:val="single" w:color="auto" w:sz="2" w:space="0"/>
              <w:bottom w:val="single" w:color="auto" w:sz="2" w:space="0"/>
              <w:right w:val="single" w:color="auto" w:sz="2" w:space="0"/>
            </w:tcBorders>
            <w:vAlign w:val="center"/>
          </w:tcPr>
          <w:p w14:paraId="0CDB7B1A">
            <w:pPr>
              <w:spacing w:line="240" w:lineRule="exact"/>
              <w:rPr>
                <w:rFonts w:ascii="宋体" w:hAnsi="宋体" w:eastAsia="宋体" w:cs="宋体"/>
                <w:sz w:val="18"/>
                <w:szCs w:val="18"/>
              </w:rPr>
            </w:pPr>
            <w:r>
              <w:rPr>
                <w:rFonts w:ascii="宋体" w:hAnsi="宋体" w:eastAsia="宋体" w:cs="宋体"/>
                <w:sz w:val="18"/>
                <w:szCs w:val="18"/>
              </w:rPr>
              <w:t>无法收回</w:t>
            </w:r>
          </w:p>
        </w:tc>
        <w:tc>
          <w:tcPr>
            <w:tcW w:w="1606" w:type="dxa"/>
            <w:tcBorders>
              <w:top w:val="single" w:color="auto" w:sz="2" w:space="0"/>
              <w:left w:val="single" w:color="auto" w:sz="2" w:space="0"/>
              <w:bottom w:val="single" w:color="auto" w:sz="2" w:space="0"/>
              <w:right w:val="single" w:color="auto" w:sz="2" w:space="0"/>
            </w:tcBorders>
            <w:vAlign w:val="center"/>
          </w:tcPr>
          <w:p w14:paraId="3F9CAD31">
            <w:pPr>
              <w:spacing w:line="240" w:lineRule="exact"/>
              <w:rPr>
                <w:rFonts w:ascii="宋体" w:hAnsi="宋体" w:eastAsia="宋体" w:cs="宋体"/>
                <w:sz w:val="18"/>
                <w:szCs w:val="18"/>
              </w:rPr>
            </w:pPr>
            <w:r>
              <w:rPr>
                <w:rFonts w:ascii="宋体" w:hAnsi="宋体" w:eastAsia="宋体" w:cs="宋体"/>
                <w:sz w:val="18"/>
                <w:szCs w:val="18"/>
              </w:rPr>
              <w:t>公司财经中心核实批准清理</w:t>
            </w:r>
          </w:p>
        </w:tc>
        <w:tc>
          <w:tcPr>
            <w:tcW w:w="1606" w:type="dxa"/>
            <w:tcBorders>
              <w:top w:val="single" w:color="auto" w:sz="2" w:space="0"/>
              <w:left w:val="single" w:color="auto" w:sz="2" w:space="0"/>
              <w:bottom w:val="single" w:color="auto" w:sz="2" w:space="0"/>
              <w:right w:val="single" w:color="auto" w:sz="2" w:space="0"/>
            </w:tcBorders>
            <w:vAlign w:val="center"/>
          </w:tcPr>
          <w:p w14:paraId="36489621">
            <w:pPr>
              <w:spacing w:line="240" w:lineRule="exact"/>
              <w:rPr>
                <w:rFonts w:ascii="宋体" w:hAnsi="宋体" w:eastAsia="宋体" w:cs="宋体"/>
                <w:sz w:val="18"/>
                <w:szCs w:val="18"/>
              </w:rPr>
            </w:pPr>
            <w:r>
              <w:rPr>
                <w:rFonts w:ascii="宋体" w:hAnsi="宋体" w:eastAsia="宋体" w:cs="宋体"/>
                <w:sz w:val="18"/>
                <w:szCs w:val="18"/>
              </w:rPr>
              <w:t>否</w:t>
            </w:r>
          </w:p>
        </w:tc>
      </w:tr>
      <w:tr w14:paraId="4285C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56081AB">
            <w:pPr>
              <w:spacing w:line="240" w:lineRule="exact"/>
              <w:rPr>
                <w:rFonts w:ascii="宋体" w:hAnsi="宋体" w:eastAsia="宋体" w:cs="宋体"/>
                <w:sz w:val="18"/>
                <w:szCs w:val="18"/>
              </w:rPr>
            </w:pPr>
            <w:r>
              <w:rPr>
                <w:rFonts w:ascii="宋体" w:hAnsi="宋体" w:eastAsia="宋体" w:cs="宋体"/>
                <w:sz w:val="18"/>
                <w:szCs w:val="18"/>
              </w:rPr>
              <w:t>阿克苏纺织工业城（开发区）管理委员会</w:t>
            </w:r>
          </w:p>
        </w:tc>
        <w:tc>
          <w:tcPr>
            <w:tcW w:w="1606" w:type="dxa"/>
            <w:tcBorders>
              <w:top w:val="single" w:color="auto" w:sz="2" w:space="0"/>
              <w:left w:val="single" w:color="auto" w:sz="2" w:space="0"/>
              <w:bottom w:val="single" w:color="auto" w:sz="2" w:space="0"/>
              <w:right w:val="single" w:color="auto" w:sz="2" w:space="0"/>
            </w:tcBorders>
            <w:vAlign w:val="center"/>
          </w:tcPr>
          <w:p w14:paraId="18195D0E">
            <w:pPr>
              <w:spacing w:line="240" w:lineRule="exact"/>
              <w:rPr>
                <w:rFonts w:ascii="宋体" w:hAnsi="宋体" w:eastAsia="宋体" w:cs="宋体"/>
                <w:sz w:val="18"/>
                <w:szCs w:val="18"/>
              </w:rPr>
            </w:pPr>
            <w:r>
              <w:rPr>
                <w:rFonts w:ascii="宋体" w:hAnsi="宋体" w:eastAsia="宋体" w:cs="宋体"/>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14:paraId="63FEECB7">
            <w:pPr>
              <w:spacing w:line="240" w:lineRule="exact"/>
              <w:jc w:val="right"/>
              <w:rPr>
                <w:rFonts w:ascii="宋体" w:hAnsi="宋体" w:eastAsia="宋体" w:cs="宋体"/>
                <w:sz w:val="18"/>
                <w:szCs w:val="18"/>
              </w:rPr>
            </w:pPr>
            <w:r>
              <w:rPr>
                <w:rFonts w:ascii="宋体" w:hAnsi="宋体" w:eastAsia="宋体" w:cs="宋体"/>
                <w:sz w:val="18"/>
                <w:szCs w:val="18"/>
              </w:rPr>
              <w:t>4,592,600.00</w:t>
            </w:r>
          </w:p>
        </w:tc>
        <w:tc>
          <w:tcPr>
            <w:tcW w:w="1606" w:type="dxa"/>
            <w:tcBorders>
              <w:top w:val="single" w:color="auto" w:sz="2" w:space="0"/>
              <w:left w:val="single" w:color="auto" w:sz="2" w:space="0"/>
              <w:bottom w:val="single" w:color="auto" w:sz="2" w:space="0"/>
              <w:right w:val="single" w:color="auto" w:sz="2" w:space="0"/>
            </w:tcBorders>
            <w:vAlign w:val="center"/>
          </w:tcPr>
          <w:p w14:paraId="4A2A47ED">
            <w:pPr>
              <w:spacing w:line="240" w:lineRule="exact"/>
              <w:rPr>
                <w:rFonts w:ascii="宋体" w:hAnsi="宋体" w:eastAsia="宋体" w:cs="宋体"/>
                <w:sz w:val="18"/>
                <w:szCs w:val="18"/>
              </w:rPr>
            </w:pPr>
            <w:r>
              <w:rPr>
                <w:rFonts w:ascii="宋体" w:hAnsi="宋体" w:eastAsia="宋体" w:cs="宋体"/>
                <w:sz w:val="18"/>
                <w:szCs w:val="18"/>
              </w:rPr>
              <w:t>无法收回</w:t>
            </w:r>
          </w:p>
        </w:tc>
        <w:tc>
          <w:tcPr>
            <w:tcW w:w="1606" w:type="dxa"/>
            <w:tcBorders>
              <w:top w:val="single" w:color="auto" w:sz="2" w:space="0"/>
              <w:left w:val="single" w:color="auto" w:sz="2" w:space="0"/>
              <w:bottom w:val="single" w:color="auto" w:sz="2" w:space="0"/>
              <w:right w:val="single" w:color="auto" w:sz="2" w:space="0"/>
            </w:tcBorders>
            <w:vAlign w:val="center"/>
          </w:tcPr>
          <w:p w14:paraId="7049EC2F">
            <w:pPr>
              <w:spacing w:line="240" w:lineRule="exact"/>
              <w:rPr>
                <w:rFonts w:ascii="宋体" w:hAnsi="宋体" w:eastAsia="宋体" w:cs="宋体"/>
                <w:sz w:val="18"/>
                <w:szCs w:val="18"/>
              </w:rPr>
            </w:pPr>
            <w:r>
              <w:rPr>
                <w:rFonts w:ascii="宋体" w:hAnsi="宋体" w:eastAsia="宋体" w:cs="宋体"/>
                <w:sz w:val="18"/>
                <w:szCs w:val="18"/>
              </w:rPr>
              <w:t>公司财经中心核实批准清理</w:t>
            </w:r>
          </w:p>
        </w:tc>
        <w:tc>
          <w:tcPr>
            <w:tcW w:w="1606" w:type="dxa"/>
            <w:tcBorders>
              <w:top w:val="single" w:color="auto" w:sz="2" w:space="0"/>
              <w:left w:val="single" w:color="auto" w:sz="2" w:space="0"/>
              <w:bottom w:val="single" w:color="auto" w:sz="2" w:space="0"/>
              <w:right w:val="single" w:color="auto" w:sz="2" w:space="0"/>
            </w:tcBorders>
            <w:vAlign w:val="center"/>
          </w:tcPr>
          <w:p w14:paraId="30965275">
            <w:pPr>
              <w:spacing w:line="240" w:lineRule="exact"/>
              <w:rPr>
                <w:rFonts w:ascii="宋体" w:hAnsi="宋体" w:eastAsia="宋体" w:cs="宋体"/>
                <w:sz w:val="18"/>
                <w:szCs w:val="18"/>
              </w:rPr>
            </w:pPr>
            <w:r>
              <w:rPr>
                <w:rFonts w:ascii="宋体" w:hAnsi="宋体" w:eastAsia="宋体" w:cs="宋体"/>
                <w:sz w:val="18"/>
                <w:szCs w:val="18"/>
              </w:rPr>
              <w:t>否</w:t>
            </w:r>
          </w:p>
        </w:tc>
      </w:tr>
      <w:tr w14:paraId="107DF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E348BA0">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99B8362"/>
        </w:tc>
        <w:tc>
          <w:tcPr>
            <w:tcW w:w="1606" w:type="dxa"/>
            <w:tcBorders>
              <w:top w:val="single" w:color="auto" w:sz="2" w:space="0"/>
              <w:left w:val="single" w:color="auto" w:sz="2" w:space="0"/>
              <w:bottom w:val="single" w:color="auto" w:sz="2" w:space="0"/>
              <w:right w:val="single" w:color="auto" w:sz="2" w:space="0"/>
            </w:tcBorders>
            <w:vAlign w:val="center"/>
          </w:tcPr>
          <w:p w14:paraId="1B0CDCAE">
            <w:pPr>
              <w:spacing w:line="240" w:lineRule="exact"/>
              <w:jc w:val="right"/>
              <w:rPr>
                <w:rFonts w:ascii="宋体" w:hAnsi="宋体" w:eastAsia="宋体" w:cs="宋体"/>
                <w:sz w:val="18"/>
                <w:szCs w:val="18"/>
              </w:rPr>
            </w:pPr>
            <w:r>
              <w:rPr>
                <w:rFonts w:ascii="宋体" w:hAnsi="宋体" w:eastAsia="宋体" w:cs="宋体"/>
                <w:sz w:val="18"/>
                <w:szCs w:val="18"/>
              </w:rPr>
              <w:t>70,611,895.96</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877A7B0"/>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A4C4FC7"/>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5AAFBF8"/>
        </w:tc>
      </w:tr>
    </w:tbl>
    <w:p w14:paraId="403D3E28">
      <w:pPr>
        <w:spacing w:before="100" w:after="100" w:line="240" w:lineRule="exact"/>
        <w:rPr>
          <w:rFonts w:ascii="宋体" w:hAnsi="宋体" w:eastAsia="宋体" w:cs="宋体"/>
          <w:sz w:val="18"/>
          <w:szCs w:val="18"/>
        </w:rPr>
      </w:pPr>
      <w:r>
        <w:rPr>
          <w:rFonts w:ascii="宋体" w:hAnsi="宋体" w:eastAsia="宋体" w:cs="宋体"/>
          <w:sz w:val="18"/>
          <w:szCs w:val="18"/>
        </w:rPr>
        <w:t>其他应收款核销说明：</w:t>
      </w:r>
      <w:r>
        <w:rPr>
          <w:rFonts w:hint="eastAsia"/>
          <w:sz w:val="18"/>
          <w:szCs w:val="18"/>
        </w:rPr>
        <w:t>无</w:t>
      </w:r>
    </w:p>
    <w:p w14:paraId="4B394488">
      <w:pPr>
        <w:keepNext/>
        <w:keepLines/>
        <w:spacing w:before="300" w:after="300" w:line="280" w:lineRule="exact"/>
        <w:outlineLvl w:val="4"/>
        <w:rPr>
          <w:rFonts w:ascii="宋体" w:hAnsi="宋体" w:eastAsia="宋体" w:cs="宋体"/>
          <w:b/>
          <w:bCs/>
          <w:szCs w:val="21"/>
        </w:rPr>
      </w:pPr>
      <w:bookmarkStart w:id="320" w:name="_Toc989172"/>
      <w:r>
        <w:rPr>
          <w:rFonts w:ascii="宋体" w:hAnsi="宋体" w:eastAsia="宋体" w:cs="宋体"/>
          <w:b/>
          <w:bCs/>
          <w:szCs w:val="21"/>
        </w:rPr>
        <w:t>6） 按欠款方归集的期末余额前五名的其他应收款情况</w:t>
      </w:r>
      <w:bookmarkEnd w:id="320"/>
    </w:p>
    <w:p w14:paraId="26AC44E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14:paraId="1E024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145ECDA">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3EFD640">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E295709">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D35D3DB">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DDBB02E">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32773A6">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14:paraId="6E8DA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2727592">
            <w:pPr>
              <w:spacing w:line="240" w:lineRule="exact"/>
              <w:rPr>
                <w:rFonts w:ascii="宋体" w:hAnsi="宋体" w:eastAsia="宋体" w:cs="宋体"/>
                <w:sz w:val="18"/>
                <w:szCs w:val="18"/>
              </w:rPr>
            </w:pPr>
            <w:r>
              <w:rPr>
                <w:rFonts w:ascii="宋体" w:hAnsi="宋体" w:eastAsia="宋体" w:cs="宋体"/>
                <w:sz w:val="18"/>
                <w:szCs w:val="18"/>
              </w:rPr>
              <w:t>阿克苏纺织工业城（开发区）管理委员会</w:t>
            </w:r>
          </w:p>
        </w:tc>
        <w:tc>
          <w:tcPr>
            <w:tcW w:w="1606" w:type="dxa"/>
            <w:tcBorders>
              <w:top w:val="single" w:color="auto" w:sz="2" w:space="0"/>
              <w:left w:val="single" w:color="auto" w:sz="2" w:space="0"/>
              <w:bottom w:val="single" w:color="auto" w:sz="2" w:space="0"/>
              <w:right w:val="single" w:color="auto" w:sz="2" w:space="0"/>
            </w:tcBorders>
            <w:vAlign w:val="center"/>
          </w:tcPr>
          <w:p w14:paraId="1F46F255">
            <w:pPr>
              <w:spacing w:line="240" w:lineRule="exact"/>
              <w:rPr>
                <w:rFonts w:ascii="宋体" w:hAnsi="宋体" w:eastAsia="宋体" w:cs="宋体"/>
                <w:sz w:val="18"/>
                <w:szCs w:val="18"/>
              </w:rPr>
            </w:pPr>
            <w:r>
              <w:rPr>
                <w:rFonts w:ascii="宋体" w:hAnsi="宋体" w:eastAsia="宋体" w:cs="宋体"/>
                <w:sz w:val="18"/>
                <w:szCs w:val="18"/>
              </w:rPr>
              <w:t>运费补贴</w:t>
            </w:r>
          </w:p>
        </w:tc>
        <w:tc>
          <w:tcPr>
            <w:tcW w:w="1606" w:type="dxa"/>
            <w:tcBorders>
              <w:top w:val="single" w:color="auto" w:sz="2" w:space="0"/>
              <w:left w:val="single" w:color="auto" w:sz="2" w:space="0"/>
              <w:bottom w:val="single" w:color="auto" w:sz="2" w:space="0"/>
              <w:right w:val="single" w:color="auto" w:sz="2" w:space="0"/>
            </w:tcBorders>
            <w:vAlign w:val="center"/>
          </w:tcPr>
          <w:p w14:paraId="6F9FF18E">
            <w:pPr>
              <w:spacing w:line="240" w:lineRule="exact"/>
              <w:jc w:val="right"/>
              <w:rPr>
                <w:rFonts w:ascii="宋体" w:hAnsi="宋体" w:eastAsia="宋体" w:cs="宋体"/>
                <w:sz w:val="18"/>
                <w:szCs w:val="18"/>
              </w:rPr>
            </w:pPr>
            <w:r>
              <w:rPr>
                <w:rFonts w:ascii="宋体" w:hAnsi="宋体" w:eastAsia="宋体" w:cs="宋体"/>
                <w:sz w:val="18"/>
                <w:szCs w:val="18"/>
              </w:rPr>
              <w:t>22,864,043.08</w:t>
            </w:r>
          </w:p>
        </w:tc>
        <w:tc>
          <w:tcPr>
            <w:tcW w:w="1606" w:type="dxa"/>
            <w:tcBorders>
              <w:top w:val="single" w:color="auto" w:sz="2" w:space="0"/>
              <w:left w:val="single" w:color="auto" w:sz="2" w:space="0"/>
              <w:bottom w:val="single" w:color="auto" w:sz="2" w:space="0"/>
              <w:right w:val="single" w:color="auto" w:sz="2" w:space="0"/>
            </w:tcBorders>
            <w:vAlign w:val="center"/>
          </w:tcPr>
          <w:p w14:paraId="03C0A8F2">
            <w:pPr>
              <w:spacing w:line="240" w:lineRule="exac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14:paraId="16255C26">
            <w:pPr>
              <w:spacing w:line="240" w:lineRule="exact"/>
              <w:jc w:val="right"/>
              <w:rPr>
                <w:rFonts w:ascii="宋体" w:hAnsi="宋体" w:eastAsia="宋体" w:cs="宋体"/>
                <w:sz w:val="18"/>
                <w:szCs w:val="18"/>
              </w:rPr>
            </w:pPr>
            <w:r>
              <w:rPr>
                <w:rFonts w:ascii="宋体" w:hAnsi="宋体" w:eastAsia="宋体" w:cs="宋体"/>
                <w:sz w:val="18"/>
                <w:szCs w:val="18"/>
              </w:rPr>
              <w:t>9.56%</w:t>
            </w:r>
          </w:p>
        </w:tc>
        <w:tc>
          <w:tcPr>
            <w:tcW w:w="1606" w:type="dxa"/>
            <w:tcBorders>
              <w:top w:val="single" w:color="auto" w:sz="2" w:space="0"/>
              <w:left w:val="single" w:color="auto" w:sz="2" w:space="0"/>
              <w:bottom w:val="single" w:color="auto" w:sz="2" w:space="0"/>
              <w:right w:val="single" w:color="auto" w:sz="2" w:space="0"/>
            </w:tcBorders>
            <w:vAlign w:val="center"/>
          </w:tcPr>
          <w:p w14:paraId="7C09E979">
            <w:pPr>
              <w:spacing w:line="240" w:lineRule="exact"/>
              <w:jc w:val="right"/>
              <w:rPr>
                <w:rFonts w:ascii="宋体" w:hAnsi="宋体" w:eastAsia="宋体" w:cs="宋体"/>
                <w:sz w:val="18"/>
                <w:szCs w:val="18"/>
              </w:rPr>
            </w:pPr>
            <w:r>
              <w:rPr>
                <w:rFonts w:ascii="宋体" w:hAnsi="宋体" w:eastAsia="宋体" w:cs="宋体"/>
                <w:sz w:val="18"/>
                <w:szCs w:val="18"/>
              </w:rPr>
              <w:t>1,143,202.15</w:t>
            </w:r>
          </w:p>
        </w:tc>
      </w:tr>
      <w:tr w14:paraId="2A99F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ACF9721">
            <w:pPr>
              <w:spacing w:line="240" w:lineRule="exact"/>
              <w:rPr>
                <w:rFonts w:ascii="宋体" w:hAnsi="宋体" w:eastAsia="宋体" w:cs="宋体"/>
                <w:sz w:val="18"/>
                <w:szCs w:val="18"/>
              </w:rPr>
            </w:pPr>
            <w:r>
              <w:rPr>
                <w:rFonts w:ascii="宋体" w:hAnsi="宋体" w:eastAsia="宋体" w:cs="宋体"/>
                <w:sz w:val="18"/>
                <w:szCs w:val="18"/>
              </w:rPr>
              <w:t>阿克苏纺织工业城（开发区）管理委员会</w:t>
            </w:r>
          </w:p>
        </w:tc>
        <w:tc>
          <w:tcPr>
            <w:tcW w:w="1606" w:type="dxa"/>
            <w:tcBorders>
              <w:top w:val="single" w:color="auto" w:sz="2" w:space="0"/>
              <w:left w:val="single" w:color="auto" w:sz="2" w:space="0"/>
              <w:bottom w:val="single" w:color="auto" w:sz="2" w:space="0"/>
              <w:right w:val="single" w:color="auto" w:sz="2" w:space="0"/>
            </w:tcBorders>
            <w:vAlign w:val="center"/>
          </w:tcPr>
          <w:p w14:paraId="2C61CA71">
            <w:pPr>
              <w:spacing w:line="240" w:lineRule="exact"/>
              <w:rPr>
                <w:rFonts w:ascii="宋体" w:hAnsi="宋体" w:eastAsia="宋体" w:cs="宋体"/>
                <w:sz w:val="18"/>
                <w:szCs w:val="18"/>
              </w:rPr>
            </w:pPr>
            <w:r>
              <w:rPr>
                <w:rFonts w:ascii="宋体" w:hAnsi="宋体" w:eastAsia="宋体" w:cs="宋体"/>
                <w:sz w:val="18"/>
                <w:szCs w:val="18"/>
              </w:rPr>
              <w:t>税收奖补</w:t>
            </w:r>
          </w:p>
        </w:tc>
        <w:tc>
          <w:tcPr>
            <w:tcW w:w="1606" w:type="dxa"/>
            <w:tcBorders>
              <w:top w:val="single" w:color="auto" w:sz="2" w:space="0"/>
              <w:left w:val="single" w:color="auto" w:sz="2" w:space="0"/>
              <w:bottom w:val="single" w:color="auto" w:sz="2" w:space="0"/>
              <w:right w:val="single" w:color="auto" w:sz="2" w:space="0"/>
            </w:tcBorders>
            <w:vAlign w:val="center"/>
          </w:tcPr>
          <w:p w14:paraId="1137C22F">
            <w:pPr>
              <w:spacing w:line="240" w:lineRule="exact"/>
              <w:jc w:val="right"/>
              <w:rPr>
                <w:rFonts w:ascii="宋体" w:hAnsi="宋体" w:eastAsia="宋体" w:cs="宋体"/>
                <w:sz w:val="18"/>
                <w:szCs w:val="18"/>
              </w:rPr>
            </w:pPr>
            <w:r>
              <w:rPr>
                <w:rFonts w:ascii="宋体" w:hAnsi="宋体" w:eastAsia="宋体" w:cs="宋体"/>
                <w:sz w:val="18"/>
                <w:szCs w:val="18"/>
              </w:rPr>
              <w:t>37,360,604.62</w:t>
            </w:r>
          </w:p>
        </w:tc>
        <w:tc>
          <w:tcPr>
            <w:tcW w:w="1606" w:type="dxa"/>
            <w:tcBorders>
              <w:top w:val="single" w:color="auto" w:sz="2" w:space="0"/>
              <w:left w:val="single" w:color="auto" w:sz="2" w:space="0"/>
              <w:bottom w:val="single" w:color="auto" w:sz="2" w:space="0"/>
              <w:right w:val="single" w:color="auto" w:sz="2" w:space="0"/>
            </w:tcBorders>
            <w:vAlign w:val="center"/>
          </w:tcPr>
          <w:p w14:paraId="6374557C">
            <w:pPr>
              <w:spacing w:line="240" w:lineRule="exac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14:paraId="636E6D1C">
            <w:pPr>
              <w:spacing w:line="240" w:lineRule="exact"/>
              <w:jc w:val="right"/>
              <w:rPr>
                <w:rFonts w:ascii="宋体" w:hAnsi="宋体" w:eastAsia="宋体" w:cs="宋体"/>
                <w:sz w:val="18"/>
                <w:szCs w:val="18"/>
              </w:rPr>
            </w:pPr>
            <w:r>
              <w:rPr>
                <w:rFonts w:ascii="宋体" w:hAnsi="宋体" w:eastAsia="宋体" w:cs="宋体"/>
                <w:sz w:val="18"/>
                <w:szCs w:val="18"/>
              </w:rPr>
              <w:t>15.62%</w:t>
            </w:r>
          </w:p>
        </w:tc>
        <w:tc>
          <w:tcPr>
            <w:tcW w:w="1606" w:type="dxa"/>
            <w:tcBorders>
              <w:top w:val="single" w:color="auto" w:sz="2" w:space="0"/>
              <w:left w:val="single" w:color="auto" w:sz="2" w:space="0"/>
              <w:bottom w:val="single" w:color="auto" w:sz="2" w:space="0"/>
              <w:right w:val="single" w:color="auto" w:sz="2" w:space="0"/>
            </w:tcBorders>
            <w:vAlign w:val="center"/>
          </w:tcPr>
          <w:p w14:paraId="01D79800">
            <w:pPr>
              <w:spacing w:line="240" w:lineRule="exact"/>
              <w:jc w:val="right"/>
              <w:rPr>
                <w:rFonts w:ascii="宋体" w:hAnsi="宋体" w:eastAsia="宋体" w:cs="宋体"/>
                <w:sz w:val="18"/>
                <w:szCs w:val="18"/>
              </w:rPr>
            </w:pPr>
            <w:r>
              <w:rPr>
                <w:rFonts w:ascii="宋体" w:hAnsi="宋体" w:eastAsia="宋体" w:cs="宋体"/>
                <w:sz w:val="18"/>
                <w:szCs w:val="18"/>
              </w:rPr>
              <w:t>37,360,604.62</w:t>
            </w:r>
          </w:p>
        </w:tc>
      </w:tr>
      <w:tr w14:paraId="44E45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8151B6D">
            <w:pPr>
              <w:spacing w:line="240" w:lineRule="exact"/>
              <w:rPr>
                <w:rFonts w:ascii="宋体" w:hAnsi="宋体" w:eastAsia="宋体" w:cs="宋体"/>
                <w:sz w:val="18"/>
                <w:szCs w:val="18"/>
              </w:rPr>
            </w:pPr>
            <w:r>
              <w:rPr>
                <w:rFonts w:ascii="宋体" w:hAnsi="宋体" w:eastAsia="宋体" w:cs="宋体"/>
                <w:sz w:val="18"/>
                <w:szCs w:val="18"/>
              </w:rPr>
              <w:t>淮北高新低碳数字产业园运营有限公司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3FA3C10F">
            <w:pPr>
              <w:spacing w:line="240" w:lineRule="exact"/>
              <w:rPr>
                <w:rFonts w:ascii="宋体" w:hAnsi="宋体" w:eastAsia="宋体" w:cs="宋体"/>
                <w:sz w:val="18"/>
                <w:szCs w:val="18"/>
              </w:rPr>
            </w:pPr>
            <w:r>
              <w:rPr>
                <w:rFonts w:ascii="宋体" w:hAnsi="宋体" w:eastAsia="宋体" w:cs="宋体"/>
                <w:sz w:val="18"/>
                <w:szCs w:val="18"/>
              </w:rPr>
              <w:t>资产收购款</w:t>
            </w:r>
          </w:p>
        </w:tc>
        <w:tc>
          <w:tcPr>
            <w:tcW w:w="1606" w:type="dxa"/>
            <w:tcBorders>
              <w:top w:val="single" w:color="auto" w:sz="2" w:space="0"/>
              <w:left w:val="single" w:color="auto" w:sz="2" w:space="0"/>
              <w:bottom w:val="single" w:color="auto" w:sz="2" w:space="0"/>
              <w:right w:val="single" w:color="auto" w:sz="2" w:space="0"/>
            </w:tcBorders>
            <w:vAlign w:val="center"/>
          </w:tcPr>
          <w:p w14:paraId="6ED7B131">
            <w:pPr>
              <w:spacing w:line="240" w:lineRule="exact"/>
              <w:jc w:val="right"/>
              <w:rPr>
                <w:rFonts w:ascii="宋体" w:hAnsi="宋体" w:eastAsia="宋体" w:cs="宋体"/>
                <w:sz w:val="18"/>
                <w:szCs w:val="18"/>
              </w:rPr>
            </w:pPr>
            <w:r>
              <w:rPr>
                <w:rFonts w:ascii="宋体" w:hAnsi="宋体" w:eastAsia="宋体" w:cs="宋体"/>
                <w:sz w:val="18"/>
                <w:szCs w:val="18"/>
              </w:rPr>
              <w:t>40,000,000.00</w:t>
            </w:r>
          </w:p>
        </w:tc>
        <w:tc>
          <w:tcPr>
            <w:tcW w:w="1606" w:type="dxa"/>
            <w:tcBorders>
              <w:top w:val="single" w:color="auto" w:sz="2" w:space="0"/>
              <w:left w:val="single" w:color="auto" w:sz="2" w:space="0"/>
              <w:bottom w:val="single" w:color="auto" w:sz="2" w:space="0"/>
              <w:right w:val="single" w:color="auto" w:sz="2" w:space="0"/>
            </w:tcBorders>
            <w:vAlign w:val="center"/>
          </w:tcPr>
          <w:p w14:paraId="3FEE64F8">
            <w:pPr>
              <w:spacing w:line="240" w:lineRule="exac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14:paraId="5C81A036">
            <w:pPr>
              <w:spacing w:line="240" w:lineRule="exact"/>
              <w:jc w:val="right"/>
              <w:rPr>
                <w:rFonts w:ascii="宋体" w:hAnsi="宋体" w:eastAsia="宋体" w:cs="宋体"/>
                <w:sz w:val="18"/>
                <w:szCs w:val="18"/>
              </w:rPr>
            </w:pPr>
            <w:r>
              <w:rPr>
                <w:rFonts w:ascii="宋体" w:hAnsi="宋体" w:eastAsia="宋体" w:cs="宋体"/>
                <w:sz w:val="18"/>
                <w:szCs w:val="18"/>
              </w:rPr>
              <w:t>16.72%</w:t>
            </w:r>
          </w:p>
        </w:tc>
        <w:tc>
          <w:tcPr>
            <w:tcW w:w="1606" w:type="dxa"/>
            <w:tcBorders>
              <w:top w:val="single" w:color="auto" w:sz="2" w:space="0"/>
              <w:left w:val="single" w:color="auto" w:sz="2" w:space="0"/>
              <w:bottom w:val="single" w:color="auto" w:sz="2" w:space="0"/>
              <w:right w:val="single" w:color="auto" w:sz="2" w:space="0"/>
            </w:tcBorders>
            <w:vAlign w:val="center"/>
          </w:tcPr>
          <w:p w14:paraId="6906A41E">
            <w:pPr>
              <w:spacing w:line="240" w:lineRule="exact"/>
              <w:jc w:val="right"/>
              <w:rPr>
                <w:rFonts w:ascii="宋体" w:hAnsi="宋体" w:eastAsia="宋体" w:cs="宋体"/>
                <w:sz w:val="18"/>
                <w:szCs w:val="18"/>
              </w:rPr>
            </w:pPr>
            <w:r>
              <w:rPr>
                <w:rFonts w:ascii="宋体" w:hAnsi="宋体" w:eastAsia="宋体" w:cs="宋体"/>
                <w:sz w:val="18"/>
                <w:szCs w:val="18"/>
              </w:rPr>
              <w:t>2,000,000.00</w:t>
            </w:r>
          </w:p>
        </w:tc>
      </w:tr>
      <w:tr w14:paraId="4F009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15AD1B5">
            <w:pPr>
              <w:spacing w:line="240" w:lineRule="exact"/>
              <w:rPr>
                <w:rFonts w:ascii="宋体" w:hAnsi="宋体" w:eastAsia="宋体" w:cs="宋体"/>
                <w:sz w:val="18"/>
                <w:szCs w:val="18"/>
              </w:rPr>
            </w:pPr>
            <w:r>
              <w:rPr>
                <w:rFonts w:ascii="宋体" w:hAnsi="宋体" w:eastAsia="宋体" w:cs="宋体"/>
                <w:sz w:val="18"/>
                <w:szCs w:val="18"/>
              </w:rPr>
              <w:t>许栩光</w:t>
            </w:r>
          </w:p>
        </w:tc>
        <w:tc>
          <w:tcPr>
            <w:tcW w:w="1606" w:type="dxa"/>
            <w:tcBorders>
              <w:top w:val="single" w:color="auto" w:sz="2" w:space="0"/>
              <w:left w:val="single" w:color="auto" w:sz="2" w:space="0"/>
              <w:bottom w:val="single" w:color="auto" w:sz="2" w:space="0"/>
              <w:right w:val="single" w:color="auto" w:sz="2" w:space="0"/>
            </w:tcBorders>
            <w:vAlign w:val="center"/>
          </w:tcPr>
          <w:p w14:paraId="6279F4F3">
            <w:pPr>
              <w:spacing w:line="240" w:lineRule="exact"/>
              <w:rPr>
                <w:rFonts w:ascii="宋体" w:hAnsi="宋体" w:eastAsia="宋体" w:cs="宋体"/>
                <w:sz w:val="18"/>
                <w:szCs w:val="18"/>
              </w:rPr>
            </w:pPr>
            <w:r>
              <w:rPr>
                <w:rFonts w:ascii="宋体" w:hAnsi="宋体" w:eastAsia="宋体" w:cs="宋体"/>
                <w:sz w:val="18"/>
                <w:szCs w:val="18"/>
              </w:rPr>
              <w:t>股权转让款</w:t>
            </w:r>
          </w:p>
        </w:tc>
        <w:tc>
          <w:tcPr>
            <w:tcW w:w="1606" w:type="dxa"/>
            <w:tcBorders>
              <w:top w:val="single" w:color="auto" w:sz="2" w:space="0"/>
              <w:left w:val="single" w:color="auto" w:sz="2" w:space="0"/>
              <w:bottom w:val="single" w:color="auto" w:sz="2" w:space="0"/>
              <w:right w:val="single" w:color="auto" w:sz="2" w:space="0"/>
            </w:tcBorders>
            <w:vAlign w:val="center"/>
          </w:tcPr>
          <w:p w14:paraId="6F6E3669">
            <w:pPr>
              <w:spacing w:line="240" w:lineRule="exact"/>
              <w:jc w:val="right"/>
              <w:rPr>
                <w:rFonts w:ascii="宋体" w:hAnsi="宋体" w:eastAsia="宋体" w:cs="宋体"/>
                <w:sz w:val="18"/>
                <w:szCs w:val="18"/>
              </w:rPr>
            </w:pPr>
            <w:r>
              <w:rPr>
                <w:rFonts w:ascii="宋体" w:hAnsi="宋体" w:eastAsia="宋体" w:cs="宋体"/>
                <w:sz w:val="18"/>
                <w:szCs w:val="18"/>
              </w:rPr>
              <w:t>18,070,000.00</w:t>
            </w:r>
          </w:p>
        </w:tc>
        <w:tc>
          <w:tcPr>
            <w:tcW w:w="1606" w:type="dxa"/>
            <w:tcBorders>
              <w:top w:val="single" w:color="auto" w:sz="2" w:space="0"/>
              <w:left w:val="single" w:color="auto" w:sz="2" w:space="0"/>
              <w:bottom w:val="single" w:color="auto" w:sz="2" w:space="0"/>
              <w:right w:val="single" w:color="auto" w:sz="2" w:space="0"/>
            </w:tcBorders>
            <w:vAlign w:val="center"/>
          </w:tcPr>
          <w:p w14:paraId="52CE7360">
            <w:pPr>
              <w:spacing w:line="240" w:lineRule="exac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14:paraId="7A6666A7">
            <w:pPr>
              <w:spacing w:line="240" w:lineRule="exact"/>
              <w:jc w:val="right"/>
              <w:rPr>
                <w:rFonts w:ascii="宋体" w:hAnsi="宋体" w:eastAsia="宋体" w:cs="宋体"/>
                <w:sz w:val="18"/>
                <w:szCs w:val="18"/>
              </w:rPr>
            </w:pPr>
            <w:r>
              <w:rPr>
                <w:rFonts w:ascii="宋体" w:hAnsi="宋体" w:eastAsia="宋体" w:cs="宋体"/>
                <w:sz w:val="18"/>
                <w:szCs w:val="18"/>
              </w:rPr>
              <w:t>7.55%</w:t>
            </w:r>
          </w:p>
        </w:tc>
        <w:tc>
          <w:tcPr>
            <w:tcW w:w="1606" w:type="dxa"/>
            <w:tcBorders>
              <w:top w:val="single" w:color="auto" w:sz="2" w:space="0"/>
              <w:left w:val="single" w:color="auto" w:sz="2" w:space="0"/>
              <w:bottom w:val="single" w:color="auto" w:sz="2" w:space="0"/>
              <w:right w:val="single" w:color="auto" w:sz="2" w:space="0"/>
            </w:tcBorders>
            <w:vAlign w:val="center"/>
          </w:tcPr>
          <w:p w14:paraId="5C75E3EC">
            <w:pPr>
              <w:spacing w:line="240" w:lineRule="exact"/>
              <w:jc w:val="right"/>
              <w:rPr>
                <w:rFonts w:ascii="宋体" w:hAnsi="宋体" w:eastAsia="宋体" w:cs="宋体"/>
                <w:sz w:val="18"/>
                <w:szCs w:val="18"/>
              </w:rPr>
            </w:pPr>
          </w:p>
        </w:tc>
      </w:tr>
      <w:tr w14:paraId="6E1C6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9E5FFC7">
            <w:pPr>
              <w:spacing w:line="240" w:lineRule="exact"/>
              <w:rPr>
                <w:rFonts w:ascii="宋体" w:hAnsi="宋体" w:eastAsia="宋体" w:cs="宋体"/>
                <w:sz w:val="18"/>
                <w:szCs w:val="18"/>
              </w:rPr>
            </w:pPr>
            <w:r>
              <w:rPr>
                <w:rFonts w:ascii="宋体" w:hAnsi="宋体" w:eastAsia="宋体" w:cs="宋体"/>
                <w:sz w:val="18"/>
                <w:szCs w:val="18"/>
              </w:rPr>
              <w:t>新疆维吾尔自治区财政厅</w:t>
            </w:r>
          </w:p>
        </w:tc>
        <w:tc>
          <w:tcPr>
            <w:tcW w:w="1606" w:type="dxa"/>
            <w:tcBorders>
              <w:top w:val="single" w:color="auto" w:sz="2" w:space="0"/>
              <w:left w:val="single" w:color="auto" w:sz="2" w:space="0"/>
              <w:bottom w:val="single" w:color="auto" w:sz="2" w:space="0"/>
              <w:right w:val="single" w:color="auto" w:sz="2" w:space="0"/>
            </w:tcBorders>
            <w:vAlign w:val="center"/>
          </w:tcPr>
          <w:p w14:paraId="1C9FEE8F">
            <w:pPr>
              <w:spacing w:line="240" w:lineRule="exact"/>
              <w:rPr>
                <w:rFonts w:ascii="宋体" w:hAnsi="宋体" w:eastAsia="宋体" w:cs="宋体"/>
                <w:sz w:val="18"/>
                <w:szCs w:val="18"/>
              </w:rPr>
            </w:pPr>
            <w:r>
              <w:rPr>
                <w:rFonts w:ascii="宋体" w:hAnsi="宋体" w:eastAsia="宋体" w:cs="宋体"/>
                <w:sz w:val="18"/>
                <w:szCs w:val="18"/>
              </w:rPr>
              <w:t>运费补贴</w:t>
            </w:r>
          </w:p>
        </w:tc>
        <w:tc>
          <w:tcPr>
            <w:tcW w:w="1606" w:type="dxa"/>
            <w:tcBorders>
              <w:top w:val="single" w:color="auto" w:sz="2" w:space="0"/>
              <w:left w:val="single" w:color="auto" w:sz="2" w:space="0"/>
              <w:bottom w:val="single" w:color="auto" w:sz="2" w:space="0"/>
              <w:right w:val="single" w:color="auto" w:sz="2" w:space="0"/>
            </w:tcBorders>
            <w:vAlign w:val="center"/>
          </w:tcPr>
          <w:p w14:paraId="13CE752F">
            <w:pPr>
              <w:spacing w:line="240" w:lineRule="exact"/>
              <w:jc w:val="right"/>
              <w:rPr>
                <w:rFonts w:ascii="宋体" w:hAnsi="宋体" w:eastAsia="宋体" w:cs="宋体"/>
                <w:sz w:val="18"/>
                <w:szCs w:val="18"/>
              </w:rPr>
            </w:pPr>
            <w:r>
              <w:rPr>
                <w:rFonts w:ascii="宋体" w:hAnsi="宋体" w:eastAsia="宋体" w:cs="宋体"/>
                <w:sz w:val="18"/>
                <w:szCs w:val="18"/>
              </w:rPr>
              <w:t>11,986,508.00</w:t>
            </w:r>
          </w:p>
        </w:tc>
        <w:tc>
          <w:tcPr>
            <w:tcW w:w="1606" w:type="dxa"/>
            <w:tcBorders>
              <w:top w:val="single" w:color="auto" w:sz="2" w:space="0"/>
              <w:left w:val="single" w:color="auto" w:sz="2" w:space="0"/>
              <w:bottom w:val="single" w:color="auto" w:sz="2" w:space="0"/>
              <w:right w:val="single" w:color="auto" w:sz="2" w:space="0"/>
            </w:tcBorders>
            <w:vAlign w:val="center"/>
          </w:tcPr>
          <w:p w14:paraId="2B516DC1">
            <w:pPr>
              <w:spacing w:line="240" w:lineRule="exac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14:paraId="624DFCF5">
            <w:pPr>
              <w:spacing w:line="240" w:lineRule="exact"/>
              <w:jc w:val="right"/>
              <w:rPr>
                <w:rFonts w:ascii="宋体" w:hAnsi="宋体" w:eastAsia="宋体" w:cs="宋体"/>
                <w:sz w:val="18"/>
                <w:szCs w:val="18"/>
              </w:rPr>
            </w:pPr>
            <w:r>
              <w:rPr>
                <w:rFonts w:ascii="宋体" w:hAnsi="宋体" w:eastAsia="宋体" w:cs="宋体"/>
                <w:sz w:val="18"/>
                <w:szCs w:val="18"/>
              </w:rPr>
              <w:t>5.01%</w:t>
            </w:r>
          </w:p>
        </w:tc>
        <w:tc>
          <w:tcPr>
            <w:tcW w:w="1606" w:type="dxa"/>
            <w:tcBorders>
              <w:top w:val="single" w:color="auto" w:sz="2" w:space="0"/>
              <w:left w:val="single" w:color="auto" w:sz="2" w:space="0"/>
              <w:bottom w:val="single" w:color="auto" w:sz="2" w:space="0"/>
              <w:right w:val="single" w:color="auto" w:sz="2" w:space="0"/>
            </w:tcBorders>
            <w:vAlign w:val="center"/>
          </w:tcPr>
          <w:p w14:paraId="5FB6C03E">
            <w:pPr>
              <w:spacing w:line="240" w:lineRule="exact"/>
              <w:jc w:val="right"/>
              <w:rPr>
                <w:rFonts w:ascii="宋体" w:hAnsi="宋体" w:eastAsia="宋体" w:cs="宋体"/>
                <w:sz w:val="18"/>
                <w:szCs w:val="18"/>
              </w:rPr>
            </w:pPr>
            <w:r>
              <w:rPr>
                <w:rFonts w:ascii="宋体" w:hAnsi="宋体" w:eastAsia="宋体" w:cs="宋体"/>
                <w:sz w:val="18"/>
                <w:szCs w:val="18"/>
              </w:rPr>
              <w:t>599,325.40</w:t>
            </w:r>
          </w:p>
        </w:tc>
      </w:tr>
      <w:tr w14:paraId="6B206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0BE0814">
            <w:pPr>
              <w:spacing w:line="240" w:lineRule="exact"/>
              <w:rPr>
                <w:rFonts w:ascii="宋体" w:hAnsi="宋体" w:eastAsia="宋体" w:cs="宋体"/>
                <w:sz w:val="18"/>
                <w:szCs w:val="18"/>
              </w:rPr>
            </w:pPr>
            <w:r>
              <w:rPr>
                <w:rFonts w:ascii="宋体" w:hAnsi="宋体" w:eastAsia="宋体" w:cs="宋体"/>
                <w:sz w:val="18"/>
                <w:szCs w:val="18"/>
              </w:rPr>
              <w:t>新疆维吾尔自治区财政厅</w:t>
            </w:r>
          </w:p>
        </w:tc>
        <w:tc>
          <w:tcPr>
            <w:tcW w:w="1606" w:type="dxa"/>
            <w:tcBorders>
              <w:top w:val="single" w:color="auto" w:sz="2" w:space="0"/>
              <w:left w:val="single" w:color="auto" w:sz="2" w:space="0"/>
              <w:bottom w:val="single" w:color="auto" w:sz="2" w:space="0"/>
              <w:right w:val="single" w:color="auto" w:sz="2" w:space="0"/>
            </w:tcBorders>
            <w:vAlign w:val="center"/>
          </w:tcPr>
          <w:p w14:paraId="5AFB8FE3">
            <w:pPr>
              <w:spacing w:line="240" w:lineRule="exact"/>
              <w:rPr>
                <w:rFonts w:ascii="宋体" w:hAnsi="宋体" w:eastAsia="宋体" w:cs="宋体"/>
                <w:sz w:val="18"/>
                <w:szCs w:val="18"/>
              </w:rPr>
            </w:pPr>
            <w:r>
              <w:rPr>
                <w:rFonts w:ascii="宋体" w:hAnsi="宋体" w:eastAsia="宋体" w:cs="宋体"/>
                <w:sz w:val="18"/>
                <w:szCs w:val="18"/>
              </w:rPr>
              <w:t>运费补贴</w:t>
            </w:r>
          </w:p>
        </w:tc>
        <w:tc>
          <w:tcPr>
            <w:tcW w:w="1606" w:type="dxa"/>
            <w:tcBorders>
              <w:top w:val="single" w:color="auto" w:sz="2" w:space="0"/>
              <w:left w:val="single" w:color="auto" w:sz="2" w:space="0"/>
              <w:bottom w:val="single" w:color="auto" w:sz="2" w:space="0"/>
              <w:right w:val="single" w:color="auto" w:sz="2" w:space="0"/>
            </w:tcBorders>
            <w:vAlign w:val="center"/>
          </w:tcPr>
          <w:p w14:paraId="41FBE5A0">
            <w:pPr>
              <w:spacing w:line="240" w:lineRule="exact"/>
              <w:jc w:val="right"/>
              <w:rPr>
                <w:rFonts w:ascii="宋体" w:hAnsi="宋体" w:eastAsia="宋体" w:cs="宋体"/>
                <w:sz w:val="18"/>
                <w:szCs w:val="18"/>
              </w:rPr>
            </w:pPr>
            <w:r>
              <w:rPr>
                <w:rFonts w:ascii="宋体" w:hAnsi="宋体" w:eastAsia="宋体" w:cs="宋体"/>
                <w:sz w:val="18"/>
                <w:szCs w:val="18"/>
              </w:rPr>
              <w:t>5,997,703.20</w:t>
            </w:r>
          </w:p>
        </w:tc>
        <w:tc>
          <w:tcPr>
            <w:tcW w:w="1606" w:type="dxa"/>
            <w:tcBorders>
              <w:top w:val="single" w:color="auto" w:sz="2" w:space="0"/>
              <w:left w:val="single" w:color="auto" w:sz="2" w:space="0"/>
              <w:bottom w:val="single" w:color="auto" w:sz="2" w:space="0"/>
              <w:right w:val="single" w:color="auto" w:sz="2" w:space="0"/>
            </w:tcBorders>
            <w:vAlign w:val="center"/>
          </w:tcPr>
          <w:p w14:paraId="32BBD1DA">
            <w:pPr>
              <w:spacing w:line="240" w:lineRule="exact"/>
              <w:rPr>
                <w:rFonts w:ascii="宋体" w:hAnsi="宋体" w:eastAsia="宋体" w:cs="宋体"/>
                <w:sz w:val="18"/>
                <w:szCs w:val="18"/>
              </w:rPr>
            </w:pPr>
            <w:r>
              <w:rPr>
                <w:rFonts w:ascii="宋体" w:hAnsi="宋体" w:eastAsia="宋体" w:cs="宋体"/>
                <w:sz w:val="18"/>
                <w:szCs w:val="18"/>
              </w:rPr>
              <w:t>1-2年</w:t>
            </w:r>
          </w:p>
        </w:tc>
        <w:tc>
          <w:tcPr>
            <w:tcW w:w="1606" w:type="dxa"/>
            <w:tcBorders>
              <w:top w:val="single" w:color="auto" w:sz="2" w:space="0"/>
              <w:left w:val="single" w:color="auto" w:sz="2" w:space="0"/>
              <w:bottom w:val="single" w:color="auto" w:sz="2" w:space="0"/>
              <w:right w:val="single" w:color="auto" w:sz="2" w:space="0"/>
            </w:tcBorders>
            <w:vAlign w:val="center"/>
          </w:tcPr>
          <w:p w14:paraId="55F0FCFE">
            <w:pPr>
              <w:spacing w:line="240" w:lineRule="exact"/>
              <w:jc w:val="right"/>
              <w:rPr>
                <w:rFonts w:ascii="宋体" w:hAnsi="宋体" w:eastAsia="宋体" w:cs="宋体"/>
                <w:sz w:val="18"/>
                <w:szCs w:val="18"/>
              </w:rPr>
            </w:pPr>
            <w:r>
              <w:rPr>
                <w:rFonts w:ascii="宋体" w:hAnsi="宋体" w:eastAsia="宋体" w:cs="宋体"/>
                <w:sz w:val="18"/>
                <w:szCs w:val="18"/>
              </w:rPr>
              <w:t>2.51%</w:t>
            </w:r>
          </w:p>
        </w:tc>
        <w:tc>
          <w:tcPr>
            <w:tcW w:w="1606" w:type="dxa"/>
            <w:tcBorders>
              <w:top w:val="single" w:color="auto" w:sz="2" w:space="0"/>
              <w:left w:val="single" w:color="auto" w:sz="2" w:space="0"/>
              <w:bottom w:val="single" w:color="auto" w:sz="2" w:space="0"/>
              <w:right w:val="single" w:color="auto" w:sz="2" w:space="0"/>
            </w:tcBorders>
            <w:vAlign w:val="center"/>
          </w:tcPr>
          <w:p w14:paraId="0B673A0C">
            <w:pPr>
              <w:spacing w:line="240" w:lineRule="exact"/>
              <w:jc w:val="right"/>
              <w:rPr>
                <w:rFonts w:ascii="宋体" w:hAnsi="宋体" w:eastAsia="宋体" w:cs="宋体"/>
                <w:sz w:val="18"/>
                <w:szCs w:val="18"/>
              </w:rPr>
            </w:pPr>
            <w:r>
              <w:rPr>
                <w:rFonts w:ascii="宋体" w:hAnsi="宋体" w:eastAsia="宋体" w:cs="宋体"/>
                <w:sz w:val="18"/>
                <w:szCs w:val="18"/>
              </w:rPr>
              <w:t>599,770.32</w:t>
            </w:r>
          </w:p>
        </w:tc>
      </w:tr>
      <w:tr w14:paraId="6A166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A94A67F">
            <w:pPr>
              <w:spacing w:line="240" w:lineRule="exact"/>
              <w:rPr>
                <w:rFonts w:ascii="宋体" w:hAnsi="宋体" w:eastAsia="宋体" w:cs="宋体"/>
                <w:sz w:val="18"/>
                <w:szCs w:val="18"/>
              </w:rPr>
            </w:pPr>
            <w:r>
              <w:rPr>
                <w:rFonts w:ascii="宋体" w:hAnsi="宋体" w:eastAsia="宋体" w:cs="宋体"/>
                <w:sz w:val="18"/>
                <w:szCs w:val="18"/>
              </w:rPr>
              <w:t>江苏传澄文化传播有限公司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0E524DBB">
            <w:pPr>
              <w:spacing w:line="240" w:lineRule="exact"/>
              <w:rPr>
                <w:rFonts w:ascii="宋体" w:hAnsi="宋体" w:eastAsia="宋体" w:cs="宋体"/>
                <w:sz w:val="18"/>
                <w:szCs w:val="18"/>
              </w:rPr>
            </w:pPr>
            <w:r>
              <w:rPr>
                <w:rFonts w:ascii="宋体" w:hAnsi="宋体" w:eastAsia="宋体" w:cs="宋体"/>
                <w:sz w:val="18"/>
                <w:szCs w:val="18"/>
              </w:rPr>
              <w:t>关联方往来</w:t>
            </w:r>
          </w:p>
        </w:tc>
        <w:tc>
          <w:tcPr>
            <w:tcW w:w="1606" w:type="dxa"/>
            <w:tcBorders>
              <w:top w:val="single" w:color="auto" w:sz="2" w:space="0"/>
              <w:left w:val="single" w:color="auto" w:sz="2" w:space="0"/>
              <w:bottom w:val="single" w:color="auto" w:sz="2" w:space="0"/>
              <w:right w:val="single" w:color="auto" w:sz="2" w:space="0"/>
            </w:tcBorders>
            <w:vAlign w:val="center"/>
          </w:tcPr>
          <w:p w14:paraId="2A062DE4">
            <w:pPr>
              <w:spacing w:line="240" w:lineRule="exact"/>
              <w:jc w:val="right"/>
              <w:rPr>
                <w:rFonts w:ascii="宋体" w:hAnsi="宋体" w:eastAsia="宋体" w:cs="宋体"/>
                <w:sz w:val="18"/>
                <w:szCs w:val="18"/>
              </w:rPr>
            </w:pPr>
            <w:r>
              <w:rPr>
                <w:rFonts w:ascii="宋体" w:hAnsi="宋体" w:eastAsia="宋体" w:cs="宋体"/>
                <w:sz w:val="18"/>
                <w:szCs w:val="18"/>
              </w:rPr>
              <w:t>1,129,444.44</w:t>
            </w:r>
          </w:p>
        </w:tc>
        <w:tc>
          <w:tcPr>
            <w:tcW w:w="1606" w:type="dxa"/>
            <w:tcBorders>
              <w:top w:val="single" w:color="auto" w:sz="2" w:space="0"/>
              <w:left w:val="single" w:color="auto" w:sz="2" w:space="0"/>
              <w:bottom w:val="single" w:color="auto" w:sz="2" w:space="0"/>
              <w:right w:val="single" w:color="auto" w:sz="2" w:space="0"/>
            </w:tcBorders>
            <w:vAlign w:val="center"/>
          </w:tcPr>
          <w:p w14:paraId="09A5E19D">
            <w:pPr>
              <w:spacing w:line="240" w:lineRule="exact"/>
              <w:rPr>
                <w:rFonts w:ascii="宋体" w:hAnsi="宋体" w:eastAsia="宋体" w:cs="宋体"/>
                <w:sz w:val="18"/>
                <w:szCs w:val="18"/>
              </w:rPr>
            </w:pPr>
            <w:r>
              <w:rPr>
                <w:rFonts w:ascii="宋体" w:hAnsi="宋体" w:eastAsia="宋体" w:cs="宋体"/>
                <w:sz w:val="18"/>
                <w:szCs w:val="18"/>
              </w:rPr>
              <w:t>3-4年</w:t>
            </w:r>
          </w:p>
        </w:tc>
        <w:tc>
          <w:tcPr>
            <w:tcW w:w="1606" w:type="dxa"/>
            <w:tcBorders>
              <w:top w:val="single" w:color="auto" w:sz="2" w:space="0"/>
              <w:left w:val="single" w:color="auto" w:sz="2" w:space="0"/>
              <w:bottom w:val="single" w:color="auto" w:sz="2" w:space="0"/>
              <w:right w:val="single" w:color="auto" w:sz="2" w:space="0"/>
            </w:tcBorders>
            <w:vAlign w:val="center"/>
          </w:tcPr>
          <w:p w14:paraId="2D24B857">
            <w:pPr>
              <w:spacing w:line="240" w:lineRule="exact"/>
              <w:jc w:val="right"/>
              <w:rPr>
                <w:rFonts w:ascii="宋体" w:hAnsi="宋体" w:eastAsia="宋体" w:cs="宋体"/>
                <w:sz w:val="18"/>
                <w:szCs w:val="18"/>
              </w:rPr>
            </w:pPr>
            <w:r>
              <w:rPr>
                <w:rFonts w:ascii="宋体" w:hAnsi="宋体" w:eastAsia="宋体" w:cs="宋体"/>
                <w:sz w:val="18"/>
                <w:szCs w:val="18"/>
              </w:rPr>
              <w:t>0.47%</w:t>
            </w:r>
          </w:p>
        </w:tc>
        <w:tc>
          <w:tcPr>
            <w:tcW w:w="1606" w:type="dxa"/>
            <w:tcBorders>
              <w:top w:val="single" w:color="auto" w:sz="2" w:space="0"/>
              <w:left w:val="single" w:color="auto" w:sz="2" w:space="0"/>
              <w:bottom w:val="single" w:color="auto" w:sz="2" w:space="0"/>
              <w:right w:val="single" w:color="auto" w:sz="2" w:space="0"/>
            </w:tcBorders>
            <w:vAlign w:val="center"/>
          </w:tcPr>
          <w:p w14:paraId="53683ACE">
            <w:pPr>
              <w:spacing w:line="240" w:lineRule="exact"/>
              <w:jc w:val="right"/>
              <w:rPr>
                <w:rFonts w:ascii="宋体" w:hAnsi="宋体" w:eastAsia="宋体" w:cs="宋体"/>
                <w:sz w:val="18"/>
                <w:szCs w:val="18"/>
              </w:rPr>
            </w:pPr>
            <w:r>
              <w:rPr>
                <w:rFonts w:ascii="宋体" w:hAnsi="宋体" w:eastAsia="宋体" w:cs="宋体"/>
                <w:sz w:val="18"/>
                <w:szCs w:val="18"/>
              </w:rPr>
              <w:t>1,129,444.44</w:t>
            </w:r>
          </w:p>
        </w:tc>
      </w:tr>
      <w:tr w14:paraId="4DB48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8E2E466">
            <w:pPr>
              <w:spacing w:line="240" w:lineRule="exact"/>
              <w:rPr>
                <w:rFonts w:ascii="宋体" w:hAnsi="宋体" w:eastAsia="宋体" w:cs="宋体"/>
                <w:sz w:val="18"/>
                <w:szCs w:val="18"/>
              </w:rPr>
            </w:pPr>
            <w:r>
              <w:rPr>
                <w:rFonts w:ascii="宋体" w:hAnsi="宋体" w:eastAsia="宋体" w:cs="宋体"/>
                <w:sz w:val="18"/>
                <w:szCs w:val="18"/>
              </w:rPr>
              <w:t>江苏传澄文化传播有限公司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14C4610C">
            <w:pPr>
              <w:spacing w:line="240" w:lineRule="exact"/>
              <w:rPr>
                <w:rFonts w:ascii="宋体" w:hAnsi="宋体" w:eastAsia="宋体" w:cs="宋体"/>
                <w:sz w:val="18"/>
                <w:szCs w:val="18"/>
              </w:rPr>
            </w:pPr>
            <w:r>
              <w:rPr>
                <w:rFonts w:ascii="宋体" w:hAnsi="宋体" w:eastAsia="宋体" w:cs="宋体"/>
                <w:sz w:val="18"/>
                <w:szCs w:val="18"/>
              </w:rPr>
              <w:t>关联方往来</w:t>
            </w:r>
          </w:p>
        </w:tc>
        <w:tc>
          <w:tcPr>
            <w:tcW w:w="1606" w:type="dxa"/>
            <w:tcBorders>
              <w:top w:val="single" w:color="auto" w:sz="2" w:space="0"/>
              <w:left w:val="single" w:color="auto" w:sz="2" w:space="0"/>
              <w:bottom w:val="single" w:color="auto" w:sz="2" w:space="0"/>
              <w:right w:val="single" w:color="auto" w:sz="2" w:space="0"/>
            </w:tcBorders>
            <w:vAlign w:val="center"/>
          </w:tcPr>
          <w:p w14:paraId="0EE47DBC">
            <w:pPr>
              <w:spacing w:line="240" w:lineRule="exact"/>
              <w:jc w:val="right"/>
              <w:rPr>
                <w:rFonts w:ascii="宋体" w:hAnsi="宋体" w:eastAsia="宋体" w:cs="宋体"/>
                <w:sz w:val="18"/>
                <w:szCs w:val="18"/>
              </w:rPr>
            </w:pPr>
            <w:r>
              <w:rPr>
                <w:rFonts w:ascii="宋体" w:hAnsi="宋体" w:eastAsia="宋体" w:cs="宋体"/>
                <w:sz w:val="18"/>
                <w:szCs w:val="18"/>
              </w:rPr>
              <w:t>1,016,666.66</w:t>
            </w:r>
          </w:p>
        </w:tc>
        <w:tc>
          <w:tcPr>
            <w:tcW w:w="1606" w:type="dxa"/>
            <w:tcBorders>
              <w:top w:val="single" w:color="auto" w:sz="2" w:space="0"/>
              <w:left w:val="single" w:color="auto" w:sz="2" w:space="0"/>
              <w:bottom w:val="single" w:color="auto" w:sz="2" w:space="0"/>
              <w:right w:val="single" w:color="auto" w:sz="2" w:space="0"/>
            </w:tcBorders>
            <w:vAlign w:val="center"/>
          </w:tcPr>
          <w:p w14:paraId="1C00D1E4">
            <w:pPr>
              <w:spacing w:line="240" w:lineRule="exact"/>
              <w:rPr>
                <w:rFonts w:ascii="宋体" w:hAnsi="宋体" w:eastAsia="宋体" w:cs="宋体"/>
                <w:sz w:val="18"/>
                <w:szCs w:val="18"/>
              </w:rPr>
            </w:pPr>
            <w:r>
              <w:rPr>
                <w:rFonts w:ascii="宋体" w:hAnsi="宋体" w:eastAsia="宋体" w:cs="宋体"/>
                <w:sz w:val="18"/>
                <w:szCs w:val="18"/>
              </w:rPr>
              <w:t>4-5年</w:t>
            </w:r>
          </w:p>
        </w:tc>
        <w:tc>
          <w:tcPr>
            <w:tcW w:w="1606" w:type="dxa"/>
            <w:tcBorders>
              <w:top w:val="single" w:color="auto" w:sz="2" w:space="0"/>
              <w:left w:val="single" w:color="auto" w:sz="2" w:space="0"/>
              <w:bottom w:val="single" w:color="auto" w:sz="2" w:space="0"/>
              <w:right w:val="single" w:color="auto" w:sz="2" w:space="0"/>
            </w:tcBorders>
            <w:vAlign w:val="center"/>
          </w:tcPr>
          <w:p w14:paraId="10299144">
            <w:pPr>
              <w:spacing w:line="240" w:lineRule="exact"/>
              <w:jc w:val="right"/>
              <w:rPr>
                <w:rFonts w:ascii="宋体" w:hAnsi="宋体" w:eastAsia="宋体" w:cs="宋体"/>
                <w:sz w:val="18"/>
                <w:szCs w:val="18"/>
              </w:rPr>
            </w:pPr>
            <w:r>
              <w:rPr>
                <w:rFonts w:ascii="宋体" w:hAnsi="宋体" w:eastAsia="宋体" w:cs="宋体"/>
                <w:sz w:val="18"/>
                <w:szCs w:val="18"/>
              </w:rPr>
              <w:t>0.43%</w:t>
            </w:r>
          </w:p>
        </w:tc>
        <w:tc>
          <w:tcPr>
            <w:tcW w:w="1606" w:type="dxa"/>
            <w:tcBorders>
              <w:top w:val="single" w:color="auto" w:sz="2" w:space="0"/>
              <w:left w:val="single" w:color="auto" w:sz="2" w:space="0"/>
              <w:bottom w:val="single" w:color="auto" w:sz="2" w:space="0"/>
              <w:right w:val="single" w:color="auto" w:sz="2" w:space="0"/>
            </w:tcBorders>
            <w:vAlign w:val="center"/>
          </w:tcPr>
          <w:p w14:paraId="2D6EA376">
            <w:pPr>
              <w:spacing w:line="240" w:lineRule="exact"/>
              <w:jc w:val="right"/>
              <w:rPr>
                <w:rFonts w:ascii="宋体" w:hAnsi="宋体" w:eastAsia="宋体" w:cs="宋体"/>
                <w:sz w:val="18"/>
                <w:szCs w:val="18"/>
              </w:rPr>
            </w:pPr>
            <w:r>
              <w:rPr>
                <w:rFonts w:ascii="宋体" w:hAnsi="宋体" w:eastAsia="宋体" w:cs="宋体"/>
                <w:sz w:val="18"/>
                <w:szCs w:val="18"/>
              </w:rPr>
              <w:t>1,016,666.66</w:t>
            </w:r>
          </w:p>
        </w:tc>
      </w:tr>
      <w:tr w14:paraId="6781E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A2B79D4">
            <w:pPr>
              <w:spacing w:line="240" w:lineRule="exact"/>
              <w:rPr>
                <w:rFonts w:ascii="宋体" w:hAnsi="宋体" w:eastAsia="宋体" w:cs="宋体"/>
                <w:sz w:val="18"/>
                <w:szCs w:val="18"/>
              </w:rPr>
            </w:pPr>
            <w:r>
              <w:rPr>
                <w:rFonts w:ascii="宋体" w:hAnsi="宋体" w:eastAsia="宋体" w:cs="宋体"/>
                <w:sz w:val="18"/>
                <w:szCs w:val="18"/>
              </w:rPr>
              <w:t>江苏传澄文化传播有限公司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4206BD2E">
            <w:pPr>
              <w:spacing w:line="240" w:lineRule="exact"/>
              <w:rPr>
                <w:rFonts w:ascii="宋体" w:hAnsi="宋体" w:eastAsia="宋体" w:cs="宋体"/>
                <w:sz w:val="18"/>
                <w:szCs w:val="18"/>
              </w:rPr>
            </w:pPr>
            <w:r>
              <w:rPr>
                <w:rFonts w:ascii="宋体" w:hAnsi="宋体" w:eastAsia="宋体" w:cs="宋体"/>
                <w:sz w:val="18"/>
                <w:szCs w:val="18"/>
              </w:rPr>
              <w:t>关联方往来</w:t>
            </w:r>
          </w:p>
        </w:tc>
        <w:tc>
          <w:tcPr>
            <w:tcW w:w="1606" w:type="dxa"/>
            <w:tcBorders>
              <w:top w:val="single" w:color="auto" w:sz="2" w:space="0"/>
              <w:left w:val="single" w:color="auto" w:sz="2" w:space="0"/>
              <w:bottom w:val="single" w:color="auto" w:sz="2" w:space="0"/>
              <w:right w:val="single" w:color="auto" w:sz="2" w:space="0"/>
            </w:tcBorders>
            <w:vAlign w:val="center"/>
          </w:tcPr>
          <w:p w14:paraId="64AC6AE4">
            <w:pPr>
              <w:spacing w:line="240" w:lineRule="exact"/>
              <w:jc w:val="right"/>
              <w:rPr>
                <w:rFonts w:ascii="宋体" w:hAnsi="宋体" w:eastAsia="宋体" w:cs="宋体"/>
                <w:sz w:val="18"/>
                <w:szCs w:val="18"/>
              </w:rPr>
            </w:pPr>
            <w:r>
              <w:rPr>
                <w:rFonts w:ascii="宋体" w:hAnsi="宋体" w:eastAsia="宋体" w:cs="宋体"/>
                <w:sz w:val="18"/>
                <w:szCs w:val="18"/>
              </w:rPr>
              <w:t>9,700,000.00</w:t>
            </w:r>
          </w:p>
        </w:tc>
        <w:tc>
          <w:tcPr>
            <w:tcW w:w="1606" w:type="dxa"/>
            <w:tcBorders>
              <w:top w:val="single" w:color="auto" w:sz="2" w:space="0"/>
              <w:left w:val="single" w:color="auto" w:sz="2" w:space="0"/>
              <w:bottom w:val="single" w:color="auto" w:sz="2" w:space="0"/>
              <w:right w:val="single" w:color="auto" w:sz="2" w:space="0"/>
            </w:tcBorders>
            <w:vAlign w:val="center"/>
          </w:tcPr>
          <w:p w14:paraId="4B824902">
            <w:pPr>
              <w:spacing w:line="240" w:lineRule="exac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14:paraId="2A840B69">
            <w:pPr>
              <w:spacing w:line="240" w:lineRule="exact"/>
              <w:jc w:val="right"/>
              <w:rPr>
                <w:rFonts w:ascii="宋体" w:hAnsi="宋体" w:eastAsia="宋体" w:cs="宋体"/>
                <w:sz w:val="18"/>
                <w:szCs w:val="18"/>
              </w:rPr>
            </w:pPr>
            <w:r>
              <w:rPr>
                <w:rFonts w:ascii="宋体" w:hAnsi="宋体" w:eastAsia="宋体" w:cs="宋体"/>
                <w:sz w:val="18"/>
                <w:szCs w:val="18"/>
              </w:rPr>
              <w:t>4.06%</w:t>
            </w:r>
          </w:p>
        </w:tc>
        <w:tc>
          <w:tcPr>
            <w:tcW w:w="1606" w:type="dxa"/>
            <w:tcBorders>
              <w:top w:val="single" w:color="auto" w:sz="2" w:space="0"/>
              <w:left w:val="single" w:color="auto" w:sz="2" w:space="0"/>
              <w:bottom w:val="single" w:color="auto" w:sz="2" w:space="0"/>
              <w:right w:val="single" w:color="auto" w:sz="2" w:space="0"/>
            </w:tcBorders>
            <w:vAlign w:val="center"/>
          </w:tcPr>
          <w:p w14:paraId="306D6810">
            <w:pPr>
              <w:spacing w:line="240" w:lineRule="exact"/>
              <w:jc w:val="right"/>
              <w:rPr>
                <w:rFonts w:ascii="宋体" w:hAnsi="宋体" w:eastAsia="宋体" w:cs="宋体"/>
                <w:sz w:val="18"/>
                <w:szCs w:val="18"/>
              </w:rPr>
            </w:pPr>
            <w:r>
              <w:rPr>
                <w:rFonts w:ascii="宋体" w:hAnsi="宋体" w:eastAsia="宋体" w:cs="宋体"/>
                <w:sz w:val="18"/>
                <w:szCs w:val="18"/>
              </w:rPr>
              <w:t>9,700,000.00</w:t>
            </w:r>
          </w:p>
        </w:tc>
      </w:tr>
      <w:tr w14:paraId="26123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DA36278">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FBEDCF9"/>
        </w:tc>
        <w:tc>
          <w:tcPr>
            <w:tcW w:w="1606" w:type="dxa"/>
            <w:tcBorders>
              <w:top w:val="single" w:color="auto" w:sz="2" w:space="0"/>
              <w:left w:val="single" w:color="auto" w:sz="2" w:space="0"/>
              <w:bottom w:val="single" w:color="auto" w:sz="2" w:space="0"/>
              <w:right w:val="single" w:color="auto" w:sz="2" w:space="0"/>
            </w:tcBorders>
            <w:vAlign w:val="center"/>
          </w:tcPr>
          <w:p w14:paraId="7536AFF6">
            <w:pPr>
              <w:spacing w:line="240" w:lineRule="exact"/>
              <w:jc w:val="right"/>
              <w:rPr>
                <w:rFonts w:ascii="宋体" w:hAnsi="宋体" w:eastAsia="宋体" w:cs="宋体"/>
                <w:sz w:val="18"/>
                <w:szCs w:val="18"/>
              </w:rPr>
            </w:pPr>
            <w:r>
              <w:rPr>
                <w:rFonts w:ascii="宋体" w:hAnsi="宋体" w:eastAsia="宋体" w:cs="宋体"/>
                <w:sz w:val="18"/>
                <w:szCs w:val="18"/>
              </w:rPr>
              <w:t>148,124,970.00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BB45FC8"/>
        </w:tc>
        <w:tc>
          <w:tcPr>
            <w:tcW w:w="1606" w:type="dxa"/>
            <w:tcBorders>
              <w:top w:val="single" w:color="auto" w:sz="2" w:space="0"/>
              <w:left w:val="single" w:color="auto" w:sz="2" w:space="0"/>
              <w:bottom w:val="single" w:color="auto" w:sz="2" w:space="0"/>
              <w:right w:val="single" w:color="auto" w:sz="2" w:space="0"/>
            </w:tcBorders>
            <w:vAlign w:val="center"/>
          </w:tcPr>
          <w:p w14:paraId="2205BA9C">
            <w:pPr>
              <w:spacing w:line="240" w:lineRule="exact"/>
              <w:jc w:val="right"/>
              <w:rPr>
                <w:rFonts w:ascii="宋体" w:hAnsi="宋体" w:eastAsia="宋体" w:cs="宋体"/>
                <w:sz w:val="18"/>
                <w:szCs w:val="18"/>
              </w:rPr>
            </w:pPr>
            <w:r>
              <w:rPr>
                <w:rFonts w:ascii="宋体" w:hAnsi="宋体" w:eastAsia="宋体" w:cs="宋体"/>
                <w:sz w:val="18"/>
                <w:szCs w:val="18"/>
              </w:rPr>
              <w:t>61.93%</w:t>
            </w:r>
          </w:p>
        </w:tc>
        <w:tc>
          <w:tcPr>
            <w:tcW w:w="1606" w:type="dxa"/>
            <w:tcBorders>
              <w:top w:val="single" w:color="auto" w:sz="2" w:space="0"/>
              <w:left w:val="single" w:color="auto" w:sz="2" w:space="0"/>
              <w:bottom w:val="single" w:color="auto" w:sz="2" w:space="0"/>
              <w:right w:val="single" w:color="auto" w:sz="2" w:space="0"/>
            </w:tcBorders>
            <w:vAlign w:val="center"/>
          </w:tcPr>
          <w:p w14:paraId="3264BB74">
            <w:pPr>
              <w:spacing w:line="240" w:lineRule="exact"/>
              <w:jc w:val="right"/>
              <w:rPr>
                <w:rFonts w:ascii="宋体" w:hAnsi="宋体" w:eastAsia="宋体" w:cs="宋体"/>
                <w:sz w:val="18"/>
                <w:szCs w:val="18"/>
              </w:rPr>
            </w:pPr>
            <w:r>
              <w:rPr>
                <w:rFonts w:ascii="宋体" w:hAnsi="宋体" w:eastAsia="宋体" w:cs="宋体"/>
                <w:sz w:val="18"/>
                <w:szCs w:val="18"/>
              </w:rPr>
              <w:t>53,549,013.59</w:t>
            </w:r>
          </w:p>
        </w:tc>
      </w:tr>
    </w:tbl>
    <w:p w14:paraId="0CAC7310">
      <w:pPr>
        <w:keepNext/>
        <w:keepLines/>
        <w:spacing w:before="300" w:after="300" w:line="280" w:lineRule="exact"/>
        <w:outlineLvl w:val="4"/>
        <w:rPr>
          <w:rFonts w:ascii="宋体" w:hAnsi="宋体" w:eastAsia="宋体" w:cs="宋体"/>
          <w:b/>
          <w:bCs/>
          <w:szCs w:val="21"/>
        </w:rPr>
      </w:pPr>
      <w:bookmarkStart w:id="321" w:name="_Toc989173"/>
      <w:r>
        <w:rPr>
          <w:rFonts w:ascii="宋体" w:hAnsi="宋体" w:eastAsia="宋体" w:cs="宋体"/>
          <w:b/>
          <w:bCs/>
          <w:szCs w:val="21"/>
        </w:rPr>
        <w:t>7） 因资金集中管理而列报于其他应收款</w:t>
      </w:r>
      <w:bookmarkEnd w:id="321"/>
    </w:p>
    <w:p w14:paraId="67644DCD">
      <w:pPr>
        <w:pStyle w:val="3"/>
        <w:spacing w:line="280" w:lineRule="exact"/>
        <w:jc w:val="left"/>
        <w:rPr>
          <w:rFonts w:ascii="宋体" w:hAnsi="宋体" w:cs="宋体"/>
          <w:b/>
          <w:bCs/>
        </w:rPr>
      </w:pPr>
      <w:bookmarkStart w:id="322" w:name="_Toc989174"/>
      <w:r>
        <w:rPr>
          <w:rFonts w:ascii="宋体" w:hAnsi="宋体" w:cs="宋体"/>
          <w:b/>
          <w:bCs/>
        </w:rPr>
        <w:t>9、预付款项</w:t>
      </w:r>
      <w:bookmarkEnd w:id="322"/>
    </w:p>
    <w:p w14:paraId="1F57218C">
      <w:pPr>
        <w:keepNext/>
        <w:keepLines/>
        <w:spacing w:before="300" w:after="300" w:line="280" w:lineRule="exact"/>
        <w:outlineLvl w:val="3"/>
        <w:rPr>
          <w:rFonts w:ascii="宋体" w:hAnsi="宋体" w:eastAsia="宋体" w:cs="宋体"/>
          <w:b/>
          <w:bCs/>
          <w:szCs w:val="21"/>
        </w:rPr>
      </w:pPr>
      <w:bookmarkStart w:id="323" w:name="_Toc989175"/>
      <w:r>
        <w:rPr>
          <w:rFonts w:ascii="宋体" w:hAnsi="宋体" w:eastAsia="宋体" w:cs="宋体"/>
          <w:b/>
          <w:bCs/>
          <w:szCs w:val="21"/>
        </w:rPr>
        <w:t>（1） 预付款项按账龄列示</w:t>
      </w:r>
      <w:bookmarkEnd w:id="323"/>
    </w:p>
    <w:p w14:paraId="0923D98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046C1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DEA1125">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495241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612BB87">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7F1D0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CE688A4"/>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8D3C052">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E0C7097">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12070DB">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7D2A919">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14:paraId="410D2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FEE5894">
            <w:pPr>
              <w:spacing w:before="40" w:after="40" w:line="240" w:lineRule="exact"/>
              <w:rPr>
                <w:rFonts w:ascii="宋体" w:hAnsi="宋体" w:eastAsia="宋体" w:cs="宋体"/>
                <w:sz w:val="18"/>
                <w:szCs w:val="18"/>
              </w:rPr>
            </w:pPr>
            <w:r>
              <w:rPr>
                <w:rFonts w:ascii="宋体" w:hAnsi="宋体" w:eastAsia="宋体" w:cs="宋体"/>
                <w:sz w:val="18"/>
                <w:szCs w:val="18"/>
              </w:rPr>
              <w:t>1年以内</w:t>
            </w:r>
          </w:p>
        </w:tc>
        <w:tc>
          <w:tcPr>
            <w:tcW w:w="1928" w:type="dxa"/>
            <w:tcBorders>
              <w:top w:val="single" w:color="auto" w:sz="2" w:space="0"/>
              <w:left w:val="single" w:color="auto" w:sz="2" w:space="0"/>
              <w:bottom w:val="single" w:color="auto" w:sz="2" w:space="0"/>
              <w:right w:val="single" w:color="auto" w:sz="2" w:space="0"/>
            </w:tcBorders>
            <w:vAlign w:val="center"/>
          </w:tcPr>
          <w:p w14:paraId="71FF106C">
            <w:pPr>
              <w:spacing w:line="240" w:lineRule="exact"/>
              <w:jc w:val="right"/>
              <w:rPr>
                <w:rFonts w:ascii="宋体" w:hAnsi="宋体" w:eastAsia="宋体" w:cs="宋体"/>
                <w:sz w:val="18"/>
                <w:szCs w:val="18"/>
              </w:rPr>
            </w:pPr>
            <w:r>
              <w:rPr>
                <w:rFonts w:ascii="宋体" w:hAnsi="宋体" w:eastAsia="宋体" w:cs="宋体"/>
                <w:sz w:val="18"/>
                <w:szCs w:val="18"/>
              </w:rPr>
              <w:t>723,214,158.18</w:t>
            </w:r>
          </w:p>
        </w:tc>
        <w:tc>
          <w:tcPr>
            <w:tcW w:w="1928" w:type="dxa"/>
            <w:tcBorders>
              <w:top w:val="single" w:color="auto" w:sz="2" w:space="0"/>
              <w:left w:val="single" w:color="auto" w:sz="2" w:space="0"/>
              <w:bottom w:val="single" w:color="auto" w:sz="2" w:space="0"/>
              <w:right w:val="single" w:color="auto" w:sz="2" w:space="0"/>
            </w:tcBorders>
            <w:vAlign w:val="center"/>
          </w:tcPr>
          <w:p w14:paraId="2C19DF93">
            <w:pPr>
              <w:spacing w:line="240" w:lineRule="exact"/>
              <w:jc w:val="right"/>
              <w:rPr>
                <w:rFonts w:ascii="宋体" w:hAnsi="宋体" w:eastAsia="宋体" w:cs="宋体"/>
                <w:sz w:val="18"/>
                <w:szCs w:val="18"/>
              </w:rPr>
            </w:pPr>
            <w:r>
              <w:rPr>
                <w:rFonts w:ascii="宋体" w:hAnsi="宋体" w:eastAsia="宋体" w:cs="宋体"/>
                <w:sz w:val="18"/>
                <w:szCs w:val="18"/>
              </w:rPr>
              <w:t>98.99%</w:t>
            </w:r>
          </w:p>
        </w:tc>
        <w:tc>
          <w:tcPr>
            <w:tcW w:w="1928" w:type="dxa"/>
            <w:tcBorders>
              <w:top w:val="single" w:color="auto" w:sz="2" w:space="0"/>
              <w:left w:val="single" w:color="auto" w:sz="2" w:space="0"/>
              <w:bottom w:val="single" w:color="auto" w:sz="2" w:space="0"/>
              <w:right w:val="single" w:color="auto" w:sz="2" w:space="0"/>
            </w:tcBorders>
            <w:vAlign w:val="center"/>
          </w:tcPr>
          <w:p w14:paraId="327DC3BD">
            <w:pPr>
              <w:spacing w:line="240" w:lineRule="exact"/>
              <w:jc w:val="right"/>
              <w:rPr>
                <w:rFonts w:ascii="宋体" w:hAnsi="宋体" w:eastAsia="宋体" w:cs="宋体"/>
                <w:sz w:val="18"/>
                <w:szCs w:val="18"/>
              </w:rPr>
            </w:pPr>
            <w:r>
              <w:rPr>
                <w:rFonts w:ascii="宋体" w:hAnsi="宋体" w:eastAsia="宋体" w:cs="宋体"/>
                <w:sz w:val="18"/>
                <w:szCs w:val="18"/>
              </w:rPr>
              <w:t>786,963,582.97</w:t>
            </w:r>
          </w:p>
        </w:tc>
        <w:tc>
          <w:tcPr>
            <w:tcW w:w="1928" w:type="dxa"/>
            <w:tcBorders>
              <w:top w:val="single" w:color="auto" w:sz="2" w:space="0"/>
              <w:left w:val="single" w:color="auto" w:sz="2" w:space="0"/>
              <w:bottom w:val="single" w:color="auto" w:sz="2" w:space="0"/>
              <w:right w:val="single" w:color="auto" w:sz="2" w:space="0"/>
            </w:tcBorders>
            <w:vAlign w:val="center"/>
          </w:tcPr>
          <w:p w14:paraId="383FCCC5">
            <w:pPr>
              <w:spacing w:line="240" w:lineRule="exact"/>
              <w:jc w:val="right"/>
              <w:rPr>
                <w:rFonts w:ascii="宋体" w:hAnsi="宋体" w:eastAsia="宋体" w:cs="宋体"/>
                <w:sz w:val="18"/>
                <w:szCs w:val="18"/>
              </w:rPr>
            </w:pPr>
            <w:r>
              <w:rPr>
                <w:rFonts w:ascii="宋体" w:hAnsi="宋体" w:eastAsia="宋体" w:cs="宋体"/>
                <w:sz w:val="18"/>
                <w:szCs w:val="18"/>
              </w:rPr>
              <w:t>98.82%</w:t>
            </w:r>
          </w:p>
        </w:tc>
      </w:tr>
      <w:tr w14:paraId="0A64A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56E73FD">
            <w:pPr>
              <w:spacing w:before="40" w:after="40" w:line="240" w:lineRule="exact"/>
              <w:rPr>
                <w:rFonts w:ascii="宋体" w:hAnsi="宋体" w:eastAsia="宋体" w:cs="宋体"/>
                <w:sz w:val="18"/>
                <w:szCs w:val="18"/>
              </w:rPr>
            </w:pPr>
            <w:r>
              <w:rPr>
                <w:rFonts w:ascii="宋体" w:hAnsi="宋体" w:eastAsia="宋体" w:cs="宋体"/>
                <w:sz w:val="18"/>
                <w:szCs w:val="18"/>
              </w:rPr>
              <w:t>1至2年</w:t>
            </w:r>
          </w:p>
        </w:tc>
        <w:tc>
          <w:tcPr>
            <w:tcW w:w="1928" w:type="dxa"/>
            <w:tcBorders>
              <w:top w:val="single" w:color="auto" w:sz="2" w:space="0"/>
              <w:left w:val="single" w:color="auto" w:sz="2" w:space="0"/>
              <w:bottom w:val="single" w:color="auto" w:sz="2" w:space="0"/>
              <w:right w:val="single" w:color="auto" w:sz="2" w:space="0"/>
            </w:tcBorders>
            <w:vAlign w:val="center"/>
          </w:tcPr>
          <w:p w14:paraId="17C979BA">
            <w:pPr>
              <w:spacing w:line="240" w:lineRule="exact"/>
              <w:jc w:val="right"/>
              <w:rPr>
                <w:rFonts w:ascii="宋体" w:hAnsi="宋体" w:eastAsia="宋体" w:cs="宋体"/>
                <w:sz w:val="18"/>
                <w:szCs w:val="18"/>
              </w:rPr>
            </w:pPr>
            <w:r>
              <w:rPr>
                <w:rFonts w:ascii="宋体" w:hAnsi="宋体" w:eastAsia="宋体" w:cs="宋体"/>
                <w:sz w:val="18"/>
                <w:szCs w:val="18"/>
              </w:rPr>
              <w:t>5,831,159.10</w:t>
            </w:r>
          </w:p>
        </w:tc>
        <w:tc>
          <w:tcPr>
            <w:tcW w:w="1928" w:type="dxa"/>
            <w:tcBorders>
              <w:top w:val="single" w:color="auto" w:sz="2" w:space="0"/>
              <w:left w:val="single" w:color="auto" w:sz="2" w:space="0"/>
              <w:bottom w:val="single" w:color="auto" w:sz="2" w:space="0"/>
              <w:right w:val="single" w:color="auto" w:sz="2" w:space="0"/>
            </w:tcBorders>
            <w:vAlign w:val="center"/>
          </w:tcPr>
          <w:p w14:paraId="3189DC4B">
            <w:pPr>
              <w:spacing w:line="240" w:lineRule="exact"/>
              <w:jc w:val="right"/>
              <w:rPr>
                <w:rFonts w:ascii="宋体" w:hAnsi="宋体" w:eastAsia="宋体" w:cs="宋体"/>
                <w:sz w:val="18"/>
                <w:szCs w:val="18"/>
              </w:rPr>
            </w:pPr>
            <w:r>
              <w:rPr>
                <w:rFonts w:ascii="宋体" w:hAnsi="宋体" w:eastAsia="宋体" w:cs="宋体"/>
                <w:sz w:val="18"/>
                <w:szCs w:val="18"/>
              </w:rPr>
              <w:t>0.80%</w:t>
            </w:r>
          </w:p>
        </w:tc>
        <w:tc>
          <w:tcPr>
            <w:tcW w:w="1928" w:type="dxa"/>
            <w:tcBorders>
              <w:top w:val="single" w:color="auto" w:sz="2" w:space="0"/>
              <w:left w:val="single" w:color="auto" w:sz="2" w:space="0"/>
              <w:bottom w:val="single" w:color="auto" w:sz="2" w:space="0"/>
              <w:right w:val="single" w:color="auto" w:sz="2" w:space="0"/>
            </w:tcBorders>
            <w:vAlign w:val="center"/>
          </w:tcPr>
          <w:p w14:paraId="2309763D">
            <w:pPr>
              <w:spacing w:line="240" w:lineRule="exact"/>
              <w:jc w:val="right"/>
              <w:rPr>
                <w:rFonts w:ascii="宋体" w:hAnsi="宋体" w:eastAsia="宋体" w:cs="宋体"/>
                <w:sz w:val="18"/>
                <w:szCs w:val="18"/>
              </w:rPr>
            </w:pPr>
            <w:r>
              <w:rPr>
                <w:rFonts w:ascii="宋体" w:hAnsi="宋体" w:eastAsia="宋体" w:cs="宋体"/>
                <w:sz w:val="18"/>
                <w:szCs w:val="18"/>
              </w:rPr>
              <w:t>6,934,112.74</w:t>
            </w:r>
          </w:p>
        </w:tc>
        <w:tc>
          <w:tcPr>
            <w:tcW w:w="1928" w:type="dxa"/>
            <w:tcBorders>
              <w:top w:val="single" w:color="auto" w:sz="2" w:space="0"/>
              <w:left w:val="single" w:color="auto" w:sz="2" w:space="0"/>
              <w:bottom w:val="single" w:color="auto" w:sz="2" w:space="0"/>
              <w:right w:val="single" w:color="auto" w:sz="2" w:space="0"/>
            </w:tcBorders>
            <w:vAlign w:val="center"/>
          </w:tcPr>
          <w:p w14:paraId="219046A6">
            <w:pPr>
              <w:spacing w:line="240" w:lineRule="exact"/>
              <w:jc w:val="right"/>
              <w:rPr>
                <w:rFonts w:ascii="宋体" w:hAnsi="宋体" w:eastAsia="宋体" w:cs="宋体"/>
                <w:sz w:val="18"/>
                <w:szCs w:val="18"/>
              </w:rPr>
            </w:pPr>
            <w:r>
              <w:rPr>
                <w:rFonts w:ascii="宋体" w:hAnsi="宋体" w:eastAsia="宋体" w:cs="宋体"/>
                <w:sz w:val="18"/>
                <w:szCs w:val="18"/>
              </w:rPr>
              <w:t>0.87%</w:t>
            </w:r>
          </w:p>
        </w:tc>
      </w:tr>
      <w:tr w14:paraId="7F44A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920DE82">
            <w:pPr>
              <w:spacing w:before="40" w:after="40" w:line="240" w:lineRule="exact"/>
              <w:rPr>
                <w:rFonts w:ascii="宋体" w:hAnsi="宋体" w:eastAsia="宋体" w:cs="宋体"/>
                <w:sz w:val="18"/>
                <w:szCs w:val="18"/>
              </w:rPr>
            </w:pPr>
            <w:r>
              <w:rPr>
                <w:rFonts w:ascii="宋体" w:hAnsi="宋体" w:eastAsia="宋体" w:cs="宋体"/>
                <w:sz w:val="18"/>
                <w:szCs w:val="18"/>
              </w:rPr>
              <w:t>2至3年</w:t>
            </w:r>
          </w:p>
        </w:tc>
        <w:tc>
          <w:tcPr>
            <w:tcW w:w="1928" w:type="dxa"/>
            <w:tcBorders>
              <w:top w:val="single" w:color="auto" w:sz="2" w:space="0"/>
              <w:left w:val="single" w:color="auto" w:sz="2" w:space="0"/>
              <w:bottom w:val="single" w:color="auto" w:sz="2" w:space="0"/>
              <w:right w:val="single" w:color="auto" w:sz="2" w:space="0"/>
            </w:tcBorders>
            <w:vAlign w:val="center"/>
          </w:tcPr>
          <w:p w14:paraId="1C362AEF">
            <w:pPr>
              <w:spacing w:line="240" w:lineRule="exact"/>
              <w:jc w:val="right"/>
              <w:rPr>
                <w:rFonts w:ascii="宋体" w:hAnsi="宋体" w:eastAsia="宋体" w:cs="宋体"/>
                <w:sz w:val="18"/>
                <w:szCs w:val="18"/>
              </w:rPr>
            </w:pPr>
            <w:r>
              <w:rPr>
                <w:rFonts w:ascii="宋体" w:hAnsi="宋体" w:eastAsia="宋体" w:cs="宋体"/>
                <w:sz w:val="18"/>
                <w:szCs w:val="18"/>
              </w:rPr>
              <w:t>819,575.93</w:t>
            </w:r>
          </w:p>
        </w:tc>
        <w:tc>
          <w:tcPr>
            <w:tcW w:w="1928" w:type="dxa"/>
            <w:tcBorders>
              <w:top w:val="single" w:color="auto" w:sz="2" w:space="0"/>
              <w:left w:val="single" w:color="auto" w:sz="2" w:space="0"/>
              <w:bottom w:val="single" w:color="auto" w:sz="2" w:space="0"/>
              <w:right w:val="single" w:color="auto" w:sz="2" w:space="0"/>
            </w:tcBorders>
            <w:vAlign w:val="center"/>
          </w:tcPr>
          <w:p w14:paraId="485C8879">
            <w:pPr>
              <w:spacing w:line="240" w:lineRule="exact"/>
              <w:jc w:val="right"/>
              <w:rPr>
                <w:rFonts w:ascii="宋体" w:hAnsi="宋体" w:eastAsia="宋体" w:cs="宋体"/>
                <w:sz w:val="18"/>
                <w:szCs w:val="18"/>
              </w:rPr>
            </w:pPr>
            <w:r>
              <w:rPr>
                <w:rFonts w:ascii="宋体" w:hAnsi="宋体" w:eastAsia="宋体" w:cs="宋体"/>
                <w:sz w:val="18"/>
                <w:szCs w:val="18"/>
              </w:rPr>
              <w:t>0.11%</w:t>
            </w:r>
          </w:p>
        </w:tc>
        <w:tc>
          <w:tcPr>
            <w:tcW w:w="1928" w:type="dxa"/>
            <w:tcBorders>
              <w:top w:val="single" w:color="auto" w:sz="2" w:space="0"/>
              <w:left w:val="single" w:color="auto" w:sz="2" w:space="0"/>
              <w:bottom w:val="single" w:color="auto" w:sz="2" w:space="0"/>
              <w:right w:val="single" w:color="auto" w:sz="2" w:space="0"/>
            </w:tcBorders>
            <w:vAlign w:val="center"/>
          </w:tcPr>
          <w:p w14:paraId="5AAEEB13">
            <w:pPr>
              <w:spacing w:line="240" w:lineRule="exact"/>
              <w:jc w:val="right"/>
              <w:rPr>
                <w:rFonts w:ascii="宋体" w:hAnsi="宋体" w:eastAsia="宋体" w:cs="宋体"/>
                <w:sz w:val="18"/>
                <w:szCs w:val="18"/>
              </w:rPr>
            </w:pPr>
            <w:r>
              <w:rPr>
                <w:rFonts w:ascii="宋体" w:hAnsi="宋体" w:eastAsia="宋体" w:cs="宋体"/>
                <w:sz w:val="18"/>
                <w:szCs w:val="18"/>
              </w:rPr>
              <w:t>2,193,999.96</w:t>
            </w:r>
          </w:p>
        </w:tc>
        <w:tc>
          <w:tcPr>
            <w:tcW w:w="1928" w:type="dxa"/>
            <w:tcBorders>
              <w:top w:val="single" w:color="auto" w:sz="2" w:space="0"/>
              <w:left w:val="single" w:color="auto" w:sz="2" w:space="0"/>
              <w:bottom w:val="single" w:color="auto" w:sz="2" w:space="0"/>
              <w:right w:val="single" w:color="auto" w:sz="2" w:space="0"/>
            </w:tcBorders>
            <w:vAlign w:val="center"/>
          </w:tcPr>
          <w:p w14:paraId="230F1AF6">
            <w:pPr>
              <w:spacing w:line="240" w:lineRule="exact"/>
              <w:jc w:val="right"/>
              <w:rPr>
                <w:rFonts w:ascii="宋体" w:hAnsi="宋体" w:eastAsia="宋体" w:cs="宋体"/>
                <w:sz w:val="18"/>
                <w:szCs w:val="18"/>
              </w:rPr>
            </w:pPr>
            <w:r>
              <w:rPr>
                <w:rFonts w:ascii="宋体" w:hAnsi="宋体" w:eastAsia="宋体" w:cs="宋体"/>
                <w:sz w:val="18"/>
                <w:szCs w:val="18"/>
              </w:rPr>
              <w:t>0.28%</w:t>
            </w:r>
          </w:p>
        </w:tc>
      </w:tr>
      <w:tr w14:paraId="37F83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3FEB1AD">
            <w:pPr>
              <w:spacing w:before="40" w:after="40" w:line="240" w:lineRule="exact"/>
              <w:rPr>
                <w:rFonts w:ascii="宋体" w:hAnsi="宋体" w:eastAsia="宋体" w:cs="宋体"/>
                <w:sz w:val="18"/>
                <w:szCs w:val="18"/>
              </w:rPr>
            </w:pPr>
            <w:r>
              <w:rPr>
                <w:rFonts w:ascii="宋体" w:hAnsi="宋体" w:eastAsia="宋体" w:cs="宋体"/>
                <w:sz w:val="18"/>
                <w:szCs w:val="18"/>
              </w:rPr>
              <w:t>3年以上</w:t>
            </w:r>
          </w:p>
        </w:tc>
        <w:tc>
          <w:tcPr>
            <w:tcW w:w="1928" w:type="dxa"/>
            <w:tcBorders>
              <w:top w:val="single" w:color="auto" w:sz="2" w:space="0"/>
              <w:left w:val="single" w:color="auto" w:sz="2" w:space="0"/>
              <w:bottom w:val="single" w:color="auto" w:sz="2" w:space="0"/>
              <w:right w:val="single" w:color="auto" w:sz="2" w:space="0"/>
            </w:tcBorders>
            <w:vAlign w:val="center"/>
          </w:tcPr>
          <w:p w14:paraId="7E9A1564">
            <w:pPr>
              <w:spacing w:line="240" w:lineRule="exact"/>
              <w:jc w:val="right"/>
              <w:rPr>
                <w:rFonts w:ascii="宋体" w:hAnsi="宋体" w:eastAsia="宋体" w:cs="宋体"/>
                <w:sz w:val="18"/>
                <w:szCs w:val="18"/>
              </w:rPr>
            </w:pPr>
            <w:r>
              <w:rPr>
                <w:rFonts w:ascii="宋体" w:hAnsi="宋体" w:eastAsia="宋体" w:cs="宋体"/>
                <w:sz w:val="18"/>
                <w:szCs w:val="18"/>
              </w:rPr>
              <w:t>726,093.67</w:t>
            </w:r>
          </w:p>
        </w:tc>
        <w:tc>
          <w:tcPr>
            <w:tcW w:w="1928" w:type="dxa"/>
            <w:tcBorders>
              <w:top w:val="single" w:color="auto" w:sz="2" w:space="0"/>
              <w:left w:val="single" w:color="auto" w:sz="2" w:space="0"/>
              <w:bottom w:val="single" w:color="auto" w:sz="2" w:space="0"/>
              <w:right w:val="single" w:color="auto" w:sz="2" w:space="0"/>
            </w:tcBorders>
            <w:vAlign w:val="center"/>
          </w:tcPr>
          <w:p w14:paraId="13CD4C9C">
            <w:pPr>
              <w:spacing w:line="240" w:lineRule="exact"/>
              <w:jc w:val="right"/>
              <w:rPr>
                <w:rFonts w:ascii="宋体" w:hAnsi="宋体" w:eastAsia="宋体" w:cs="宋体"/>
                <w:sz w:val="18"/>
                <w:szCs w:val="18"/>
              </w:rPr>
            </w:pPr>
            <w:r>
              <w:rPr>
                <w:rFonts w:ascii="宋体" w:hAnsi="宋体" w:eastAsia="宋体" w:cs="宋体"/>
                <w:sz w:val="18"/>
                <w:szCs w:val="18"/>
              </w:rPr>
              <w:t>0.10%</w:t>
            </w:r>
          </w:p>
        </w:tc>
        <w:tc>
          <w:tcPr>
            <w:tcW w:w="1928" w:type="dxa"/>
            <w:tcBorders>
              <w:top w:val="single" w:color="auto" w:sz="2" w:space="0"/>
              <w:left w:val="single" w:color="auto" w:sz="2" w:space="0"/>
              <w:bottom w:val="single" w:color="auto" w:sz="2" w:space="0"/>
              <w:right w:val="single" w:color="auto" w:sz="2" w:space="0"/>
            </w:tcBorders>
            <w:vAlign w:val="center"/>
          </w:tcPr>
          <w:p w14:paraId="5A692667">
            <w:pPr>
              <w:spacing w:line="240" w:lineRule="exact"/>
              <w:jc w:val="right"/>
              <w:rPr>
                <w:rFonts w:ascii="宋体" w:hAnsi="宋体" w:eastAsia="宋体" w:cs="宋体"/>
                <w:sz w:val="18"/>
                <w:szCs w:val="18"/>
              </w:rPr>
            </w:pPr>
            <w:r>
              <w:rPr>
                <w:rFonts w:ascii="宋体" w:hAnsi="宋体" w:eastAsia="宋体" w:cs="宋体"/>
                <w:sz w:val="18"/>
                <w:szCs w:val="18"/>
              </w:rPr>
              <w:t>271,483.80</w:t>
            </w:r>
          </w:p>
        </w:tc>
        <w:tc>
          <w:tcPr>
            <w:tcW w:w="1928" w:type="dxa"/>
            <w:tcBorders>
              <w:top w:val="single" w:color="auto" w:sz="2" w:space="0"/>
              <w:left w:val="single" w:color="auto" w:sz="2" w:space="0"/>
              <w:bottom w:val="single" w:color="auto" w:sz="2" w:space="0"/>
              <w:right w:val="single" w:color="auto" w:sz="2" w:space="0"/>
            </w:tcBorders>
            <w:vAlign w:val="center"/>
          </w:tcPr>
          <w:p w14:paraId="44D54866">
            <w:pPr>
              <w:spacing w:line="240" w:lineRule="exact"/>
              <w:jc w:val="right"/>
              <w:rPr>
                <w:rFonts w:ascii="宋体" w:hAnsi="宋体" w:eastAsia="宋体" w:cs="宋体"/>
                <w:sz w:val="18"/>
                <w:szCs w:val="18"/>
              </w:rPr>
            </w:pPr>
            <w:r>
              <w:rPr>
                <w:rFonts w:ascii="宋体" w:hAnsi="宋体" w:eastAsia="宋体" w:cs="宋体"/>
                <w:sz w:val="18"/>
                <w:szCs w:val="18"/>
              </w:rPr>
              <w:t>0.03%</w:t>
            </w:r>
          </w:p>
        </w:tc>
      </w:tr>
      <w:tr w14:paraId="2DD3C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A4D2537">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568D7AE8">
            <w:pPr>
              <w:spacing w:line="240" w:lineRule="exact"/>
              <w:jc w:val="right"/>
              <w:rPr>
                <w:rFonts w:ascii="宋体" w:hAnsi="宋体" w:eastAsia="宋体" w:cs="宋体"/>
                <w:sz w:val="18"/>
                <w:szCs w:val="18"/>
              </w:rPr>
            </w:pPr>
            <w:r>
              <w:rPr>
                <w:rFonts w:ascii="宋体" w:hAnsi="宋体" w:eastAsia="宋体" w:cs="宋体"/>
                <w:sz w:val="18"/>
                <w:szCs w:val="18"/>
              </w:rPr>
              <w:t>730,590,986.88</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9BDA74A"/>
        </w:tc>
        <w:tc>
          <w:tcPr>
            <w:tcW w:w="1928" w:type="dxa"/>
            <w:tcBorders>
              <w:top w:val="single" w:color="auto" w:sz="2" w:space="0"/>
              <w:left w:val="single" w:color="auto" w:sz="2" w:space="0"/>
              <w:bottom w:val="single" w:color="auto" w:sz="2" w:space="0"/>
              <w:right w:val="single" w:color="auto" w:sz="2" w:space="0"/>
            </w:tcBorders>
            <w:vAlign w:val="center"/>
          </w:tcPr>
          <w:p w14:paraId="00B02906">
            <w:pPr>
              <w:spacing w:line="240" w:lineRule="exact"/>
              <w:jc w:val="right"/>
              <w:rPr>
                <w:rFonts w:ascii="宋体" w:hAnsi="宋体" w:eastAsia="宋体" w:cs="宋体"/>
                <w:sz w:val="18"/>
                <w:szCs w:val="18"/>
              </w:rPr>
            </w:pPr>
            <w:r>
              <w:rPr>
                <w:rFonts w:ascii="宋体" w:hAnsi="宋体" w:eastAsia="宋体" w:cs="宋体"/>
                <w:sz w:val="18"/>
                <w:szCs w:val="18"/>
              </w:rPr>
              <w:t>796,363,179.47</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07DC815"/>
        </w:tc>
      </w:tr>
    </w:tbl>
    <w:p w14:paraId="096C5D61">
      <w:pPr>
        <w:spacing w:before="100" w:after="100" w:line="240" w:lineRule="exact"/>
        <w:rPr>
          <w:rFonts w:ascii="宋体" w:hAnsi="宋体" w:eastAsia="宋体" w:cs="宋体"/>
          <w:sz w:val="18"/>
          <w:szCs w:val="18"/>
        </w:rPr>
      </w:pPr>
      <w:r>
        <w:rPr>
          <w:rFonts w:ascii="宋体" w:hAnsi="宋体" w:eastAsia="宋体" w:cs="宋体"/>
          <w:sz w:val="18"/>
          <w:szCs w:val="18"/>
        </w:rPr>
        <w:t>账龄超过1年且金额重要的预付款项未及时结算原因的说明：无</w:t>
      </w:r>
    </w:p>
    <w:p w14:paraId="0CFEA9BB">
      <w:pPr>
        <w:keepNext/>
        <w:keepLines/>
        <w:spacing w:before="300" w:after="300" w:line="280" w:lineRule="exact"/>
        <w:outlineLvl w:val="3"/>
        <w:rPr>
          <w:rFonts w:ascii="宋体" w:hAnsi="宋体" w:eastAsia="宋体" w:cs="宋体"/>
          <w:b/>
          <w:bCs/>
          <w:szCs w:val="21"/>
        </w:rPr>
      </w:pPr>
      <w:bookmarkStart w:id="324" w:name="_Toc989176"/>
      <w:r>
        <w:rPr>
          <w:rFonts w:ascii="宋体" w:hAnsi="宋体" w:eastAsia="宋体" w:cs="宋体"/>
          <w:b/>
          <w:bCs/>
          <w:szCs w:val="21"/>
        </w:rPr>
        <w:t>（2） 按预付对象归集的期末余额前五名的预付款情况</w:t>
      </w:r>
      <w:bookmarkEnd w:id="324"/>
    </w:p>
    <w:tbl>
      <w:tblPr>
        <w:tblStyle w:val="10"/>
        <w:tblW w:w="9747" w:type="dxa"/>
        <w:tblInd w:w="0" w:type="dxa"/>
        <w:tblLayout w:type="autofit"/>
        <w:tblCellMar>
          <w:top w:w="0" w:type="dxa"/>
          <w:left w:w="0" w:type="dxa"/>
          <w:bottom w:w="0" w:type="dxa"/>
          <w:right w:w="0" w:type="dxa"/>
        </w:tblCellMar>
      </w:tblPr>
      <w:tblGrid>
        <w:gridCol w:w="1951"/>
        <w:gridCol w:w="1559"/>
        <w:gridCol w:w="2268"/>
        <w:gridCol w:w="1985"/>
        <w:gridCol w:w="1984"/>
      </w:tblGrid>
      <w:tr w14:paraId="2D55506A">
        <w:tblPrEx>
          <w:tblCellMar>
            <w:top w:w="0" w:type="dxa"/>
            <w:left w:w="0" w:type="dxa"/>
            <w:bottom w:w="0" w:type="dxa"/>
            <w:right w:w="0" w:type="dxa"/>
          </w:tblCellMar>
        </w:tblPrEx>
        <w:trPr>
          <w:trHeight w:val="340" w:hRule="atLeast"/>
          <w:tblHeader/>
        </w:trPr>
        <w:tc>
          <w:tcPr>
            <w:tcW w:w="19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200815">
            <w:pPr>
              <w:pStyle w:val="9"/>
              <w:spacing w:before="0" w:beforeAutospacing="0" w:after="0" w:afterAutospacing="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18"/>
                <w:szCs w:val="18"/>
              </w:rPr>
              <w:t>单位名称</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5E54107">
            <w:pPr>
              <w:pStyle w:val="9"/>
              <w:spacing w:before="0" w:beforeAutospacing="0" w:after="0" w:afterAutospacing="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18"/>
                <w:szCs w:val="18"/>
              </w:rPr>
              <w:t>期末余额</w:t>
            </w:r>
          </w:p>
        </w:tc>
        <w:tc>
          <w:tcPr>
            <w:tcW w:w="22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7F657E">
            <w:pPr>
              <w:pStyle w:val="9"/>
              <w:spacing w:before="0" w:beforeAutospacing="0" w:after="0" w:afterAutospacing="0"/>
              <w:ind w:left="-53" w:right="-53"/>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18"/>
                <w:szCs w:val="18"/>
              </w:rPr>
              <w:t>占预付款项总额的比例</w:t>
            </w:r>
            <w:r>
              <w:rPr>
                <w:rFonts w:cs="Times New Roman" w:asciiTheme="minorEastAsia" w:hAnsiTheme="minorEastAsia" w:eastAsiaTheme="minorEastAsia"/>
                <w:sz w:val="18"/>
                <w:szCs w:val="18"/>
              </w:rPr>
              <w:t>(%)</w:t>
            </w:r>
          </w:p>
        </w:tc>
        <w:tc>
          <w:tcPr>
            <w:tcW w:w="19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72285E9">
            <w:pPr>
              <w:pStyle w:val="9"/>
              <w:spacing w:before="0" w:beforeAutospacing="0" w:after="0" w:afterAutospacing="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18"/>
                <w:szCs w:val="18"/>
              </w:rPr>
              <w:t>预付款时间</w:t>
            </w:r>
          </w:p>
        </w:tc>
        <w:tc>
          <w:tcPr>
            <w:tcW w:w="19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C1594F">
            <w:pPr>
              <w:pStyle w:val="9"/>
              <w:spacing w:before="0" w:beforeAutospacing="0" w:after="0" w:afterAutospacing="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18"/>
                <w:szCs w:val="18"/>
              </w:rPr>
              <w:t>未结算原因</w:t>
            </w:r>
          </w:p>
        </w:tc>
      </w:tr>
      <w:tr w14:paraId="4B0ED171">
        <w:tblPrEx>
          <w:tblCellMar>
            <w:top w:w="0" w:type="dxa"/>
            <w:left w:w="0" w:type="dxa"/>
            <w:bottom w:w="0" w:type="dxa"/>
            <w:right w:w="0" w:type="dxa"/>
          </w:tblCellMar>
        </w:tblPrEx>
        <w:trPr>
          <w:trHeight w:val="340"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E15804">
            <w:pPr>
              <w:pStyle w:val="9"/>
              <w:spacing w:before="0" w:beforeAutospacing="0" w:after="0" w:afterAutospacing="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18"/>
                <w:szCs w:val="18"/>
              </w:rPr>
              <w:t>第一名</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14:paraId="6F3927CE">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74,796,494.22</w:t>
            </w:r>
          </w:p>
        </w:tc>
        <w:tc>
          <w:tcPr>
            <w:tcW w:w="2268" w:type="dxa"/>
            <w:tcBorders>
              <w:top w:val="nil"/>
              <w:left w:val="nil"/>
              <w:bottom w:val="single" w:color="auto" w:sz="8" w:space="0"/>
              <w:right w:val="single" w:color="auto" w:sz="8" w:space="0"/>
            </w:tcBorders>
            <w:tcMar>
              <w:top w:w="0" w:type="dxa"/>
              <w:left w:w="108" w:type="dxa"/>
              <w:bottom w:w="0" w:type="dxa"/>
              <w:right w:w="108" w:type="dxa"/>
            </w:tcMar>
            <w:vAlign w:val="center"/>
          </w:tcPr>
          <w:p w14:paraId="46F8206A">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10.24</w:t>
            </w:r>
          </w:p>
        </w:tc>
        <w:tc>
          <w:tcPr>
            <w:tcW w:w="19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EBFCB9B">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 xml:space="preserve">1 </w:t>
            </w:r>
            <w:r>
              <w:rPr>
                <w:rFonts w:hint="eastAsia" w:cs="Times New Roman" w:asciiTheme="minorEastAsia" w:hAnsiTheme="minorEastAsia" w:eastAsiaTheme="minorEastAsia"/>
                <w:sz w:val="18"/>
                <w:szCs w:val="18"/>
              </w:rPr>
              <w:t>年以内</w:t>
            </w:r>
            <w:r>
              <w:rPr>
                <w:rFonts w:cs="Times New Roman" w:asciiTheme="minorEastAsia" w:hAnsiTheme="minorEastAsia" w:eastAsiaTheme="minorEastAsia"/>
                <w:sz w:val="18"/>
                <w:szCs w:val="18"/>
              </w:rPr>
              <w:t xml:space="preserve"> </w:t>
            </w:r>
          </w:p>
        </w:tc>
        <w:tc>
          <w:tcPr>
            <w:tcW w:w="1984" w:type="dxa"/>
            <w:tcBorders>
              <w:top w:val="nil"/>
              <w:left w:val="nil"/>
              <w:bottom w:val="single" w:color="auto" w:sz="8" w:space="0"/>
              <w:right w:val="single" w:color="auto" w:sz="8" w:space="0"/>
            </w:tcBorders>
            <w:tcMar>
              <w:top w:w="0" w:type="dxa"/>
              <w:left w:w="108" w:type="dxa"/>
              <w:bottom w:w="0" w:type="dxa"/>
              <w:right w:w="108" w:type="dxa"/>
            </w:tcMar>
            <w:vAlign w:val="center"/>
          </w:tcPr>
          <w:p w14:paraId="49B1C716">
            <w:pPr>
              <w:pStyle w:val="9"/>
              <w:spacing w:before="0" w:beforeAutospacing="0" w:after="0" w:afterAutospacing="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18"/>
                <w:szCs w:val="18"/>
              </w:rPr>
              <w:t>合同未执行完毕</w:t>
            </w:r>
          </w:p>
        </w:tc>
      </w:tr>
      <w:tr w14:paraId="7AD71D29">
        <w:tblPrEx>
          <w:tblCellMar>
            <w:top w:w="0" w:type="dxa"/>
            <w:left w:w="0" w:type="dxa"/>
            <w:bottom w:w="0" w:type="dxa"/>
            <w:right w:w="0" w:type="dxa"/>
          </w:tblCellMar>
        </w:tblPrEx>
        <w:trPr>
          <w:trHeight w:val="340"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ED71FA">
            <w:pPr>
              <w:pStyle w:val="9"/>
              <w:spacing w:before="0" w:beforeAutospacing="0" w:after="0" w:afterAutospacing="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18"/>
                <w:szCs w:val="18"/>
              </w:rPr>
              <w:t>第二名</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14:paraId="28278245">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71,955,800.00</w:t>
            </w:r>
          </w:p>
        </w:tc>
        <w:tc>
          <w:tcPr>
            <w:tcW w:w="2268" w:type="dxa"/>
            <w:tcBorders>
              <w:top w:val="nil"/>
              <w:left w:val="nil"/>
              <w:bottom w:val="single" w:color="auto" w:sz="8" w:space="0"/>
              <w:right w:val="single" w:color="auto" w:sz="8" w:space="0"/>
            </w:tcBorders>
            <w:tcMar>
              <w:top w:w="0" w:type="dxa"/>
              <w:left w:w="108" w:type="dxa"/>
              <w:bottom w:w="0" w:type="dxa"/>
              <w:right w:w="108" w:type="dxa"/>
            </w:tcMar>
            <w:vAlign w:val="center"/>
          </w:tcPr>
          <w:p w14:paraId="02D0B91A">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9.85</w:t>
            </w:r>
          </w:p>
        </w:tc>
        <w:tc>
          <w:tcPr>
            <w:tcW w:w="198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AF2193">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 xml:space="preserve">1 </w:t>
            </w:r>
            <w:r>
              <w:rPr>
                <w:rFonts w:hint="eastAsia" w:cs="Times New Roman" w:asciiTheme="minorEastAsia" w:hAnsiTheme="minorEastAsia" w:eastAsiaTheme="minorEastAsia"/>
                <w:sz w:val="18"/>
                <w:szCs w:val="18"/>
              </w:rPr>
              <w:t>年以内</w:t>
            </w:r>
            <w:r>
              <w:rPr>
                <w:rFonts w:cs="Times New Roman" w:asciiTheme="minorEastAsia" w:hAnsiTheme="minorEastAsia" w:eastAsiaTheme="minorEastAsia"/>
                <w:sz w:val="18"/>
                <w:szCs w:val="18"/>
              </w:rPr>
              <w:t xml:space="preserve"> </w:t>
            </w:r>
          </w:p>
        </w:tc>
        <w:tc>
          <w:tcPr>
            <w:tcW w:w="1984" w:type="dxa"/>
            <w:tcBorders>
              <w:top w:val="nil"/>
              <w:left w:val="nil"/>
              <w:bottom w:val="single" w:color="auto" w:sz="8" w:space="0"/>
              <w:right w:val="single" w:color="auto" w:sz="8" w:space="0"/>
            </w:tcBorders>
            <w:tcMar>
              <w:top w:w="0" w:type="dxa"/>
              <w:left w:w="108" w:type="dxa"/>
              <w:bottom w:w="0" w:type="dxa"/>
              <w:right w:w="108" w:type="dxa"/>
            </w:tcMar>
            <w:vAlign w:val="center"/>
          </w:tcPr>
          <w:p w14:paraId="09C9E4DF">
            <w:pPr>
              <w:pStyle w:val="9"/>
              <w:spacing w:before="0" w:beforeAutospacing="0" w:after="0" w:afterAutospacing="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18"/>
                <w:szCs w:val="18"/>
              </w:rPr>
              <w:t>合同未执行完毕</w:t>
            </w:r>
          </w:p>
        </w:tc>
      </w:tr>
      <w:tr w14:paraId="441A552D">
        <w:tblPrEx>
          <w:tblCellMar>
            <w:top w:w="0" w:type="dxa"/>
            <w:left w:w="0" w:type="dxa"/>
            <w:bottom w:w="0" w:type="dxa"/>
            <w:right w:w="0" w:type="dxa"/>
          </w:tblCellMar>
        </w:tblPrEx>
        <w:trPr>
          <w:trHeight w:val="340"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CE8547">
            <w:pPr>
              <w:pStyle w:val="9"/>
              <w:spacing w:before="0" w:beforeAutospacing="0" w:after="0" w:afterAutospacing="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18"/>
                <w:szCs w:val="18"/>
              </w:rPr>
              <w:t>第三名</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14:paraId="002510DD">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54,532,800.00</w:t>
            </w:r>
          </w:p>
        </w:tc>
        <w:tc>
          <w:tcPr>
            <w:tcW w:w="2268" w:type="dxa"/>
            <w:tcBorders>
              <w:top w:val="nil"/>
              <w:left w:val="nil"/>
              <w:bottom w:val="single" w:color="auto" w:sz="8" w:space="0"/>
              <w:right w:val="single" w:color="auto" w:sz="8" w:space="0"/>
            </w:tcBorders>
            <w:tcMar>
              <w:top w:w="0" w:type="dxa"/>
              <w:left w:w="108" w:type="dxa"/>
              <w:bottom w:w="0" w:type="dxa"/>
              <w:right w:w="108" w:type="dxa"/>
            </w:tcMar>
            <w:vAlign w:val="center"/>
          </w:tcPr>
          <w:p w14:paraId="63DBDD22">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7.46</w:t>
            </w:r>
          </w:p>
        </w:tc>
        <w:tc>
          <w:tcPr>
            <w:tcW w:w="198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DC59DE">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 xml:space="preserve">1 </w:t>
            </w:r>
            <w:r>
              <w:rPr>
                <w:rFonts w:hint="eastAsia" w:cs="Times New Roman" w:asciiTheme="minorEastAsia" w:hAnsiTheme="minorEastAsia" w:eastAsiaTheme="minorEastAsia"/>
                <w:sz w:val="18"/>
                <w:szCs w:val="18"/>
              </w:rPr>
              <w:t>年以内</w:t>
            </w:r>
            <w:r>
              <w:rPr>
                <w:rFonts w:cs="Times New Roman" w:asciiTheme="minorEastAsia" w:hAnsiTheme="minorEastAsia" w:eastAsiaTheme="minorEastAsia"/>
                <w:sz w:val="18"/>
                <w:szCs w:val="18"/>
              </w:rPr>
              <w:t xml:space="preserve"> </w:t>
            </w:r>
          </w:p>
        </w:tc>
        <w:tc>
          <w:tcPr>
            <w:tcW w:w="1984" w:type="dxa"/>
            <w:tcBorders>
              <w:top w:val="nil"/>
              <w:left w:val="nil"/>
              <w:bottom w:val="single" w:color="auto" w:sz="8" w:space="0"/>
              <w:right w:val="single" w:color="auto" w:sz="8" w:space="0"/>
            </w:tcBorders>
            <w:tcMar>
              <w:top w:w="0" w:type="dxa"/>
              <w:left w:w="108" w:type="dxa"/>
              <w:bottom w:w="0" w:type="dxa"/>
              <w:right w:w="108" w:type="dxa"/>
            </w:tcMar>
            <w:vAlign w:val="center"/>
          </w:tcPr>
          <w:p w14:paraId="1AAE9584">
            <w:pPr>
              <w:pStyle w:val="9"/>
              <w:spacing w:before="0" w:beforeAutospacing="0" w:after="0" w:afterAutospacing="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18"/>
                <w:szCs w:val="18"/>
              </w:rPr>
              <w:t>合同未执行完毕</w:t>
            </w:r>
          </w:p>
        </w:tc>
      </w:tr>
      <w:tr w14:paraId="27F682CC">
        <w:tblPrEx>
          <w:tblCellMar>
            <w:top w:w="0" w:type="dxa"/>
            <w:left w:w="0" w:type="dxa"/>
            <w:bottom w:w="0" w:type="dxa"/>
            <w:right w:w="0" w:type="dxa"/>
          </w:tblCellMar>
        </w:tblPrEx>
        <w:trPr>
          <w:trHeight w:val="340"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9175108">
            <w:pPr>
              <w:pStyle w:val="9"/>
              <w:spacing w:before="0" w:beforeAutospacing="0" w:after="0" w:afterAutospacing="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18"/>
                <w:szCs w:val="18"/>
              </w:rPr>
              <w:t>第四名</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14:paraId="0681CCDA">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47,250,000.00</w:t>
            </w:r>
          </w:p>
        </w:tc>
        <w:tc>
          <w:tcPr>
            <w:tcW w:w="2268" w:type="dxa"/>
            <w:tcBorders>
              <w:top w:val="nil"/>
              <w:left w:val="nil"/>
              <w:bottom w:val="single" w:color="auto" w:sz="8" w:space="0"/>
              <w:right w:val="single" w:color="auto" w:sz="8" w:space="0"/>
            </w:tcBorders>
            <w:tcMar>
              <w:top w:w="0" w:type="dxa"/>
              <w:left w:w="108" w:type="dxa"/>
              <w:bottom w:w="0" w:type="dxa"/>
              <w:right w:w="108" w:type="dxa"/>
            </w:tcMar>
            <w:vAlign w:val="center"/>
          </w:tcPr>
          <w:p w14:paraId="789B5372">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6.47</w:t>
            </w:r>
          </w:p>
        </w:tc>
        <w:tc>
          <w:tcPr>
            <w:tcW w:w="19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20E9CC">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 xml:space="preserve">1 </w:t>
            </w:r>
            <w:r>
              <w:rPr>
                <w:rFonts w:hint="eastAsia" w:cs="Times New Roman" w:asciiTheme="minorEastAsia" w:hAnsiTheme="minorEastAsia" w:eastAsiaTheme="minorEastAsia"/>
                <w:sz w:val="18"/>
                <w:szCs w:val="18"/>
              </w:rPr>
              <w:t>年以内</w:t>
            </w:r>
            <w:r>
              <w:rPr>
                <w:rFonts w:cs="Times New Roman" w:asciiTheme="minorEastAsia" w:hAnsiTheme="minorEastAsia" w:eastAsiaTheme="minorEastAsia"/>
                <w:sz w:val="18"/>
                <w:szCs w:val="18"/>
              </w:rPr>
              <w:t xml:space="preserve"> </w:t>
            </w:r>
          </w:p>
        </w:tc>
        <w:tc>
          <w:tcPr>
            <w:tcW w:w="1984" w:type="dxa"/>
            <w:tcBorders>
              <w:top w:val="nil"/>
              <w:left w:val="nil"/>
              <w:bottom w:val="single" w:color="auto" w:sz="8" w:space="0"/>
              <w:right w:val="single" w:color="auto" w:sz="8" w:space="0"/>
            </w:tcBorders>
            <w:tcMar>
              <w:top w:w="0" w:type="dxa"/>
              <w:left w:w="108" w:type="dxa"/>
              <w:bottom w:w="0" w:type="dxa"/>
              <w:right w:w="108" w:type="dxa"/>
            </w:tcMar>
            <w:vAlign w:val="center"/>
          </w:tcPr>
          <w:p w14:paraId="52ACE267">
            <w:pPr>
              <w:pStyle w:val="9"/>
              <w:spacing w:before="0" w:beforeAutospacing="0" w:after="0" w:afterAutospacing="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18"/>
                <w:szCs w:val="18"/>
              </w:rPr>
              <w:t>合同未执行完毕</w:t>
            </w:r>
          </w:p>
        </w:tc>
      </w:tr>
      <w:tr w14:paraId="25DC0A64">
        <w:tblPrEx>
          <w:tblCellMar>
            <w:top w:w="0" w:type="dxa"/>
            <w:left w:w="0" w:type="dxa"/>
            <w:bottom w:w="0" w:type="dxa"/>
            <w:right w:w="0" w:type="dxa"/>
          </w:tblCellMar>
        </w:tblPrEx>
        <w:trPr>
          <w:trHeight w:val="340"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D784D74">
            <w:pPr>
              <w:pStyle w:val="9"/>
              <w:spacing w:before="0" w:beforeAutospacing="0" w:after="0" w:afterAutospacing="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18"/>
                <w:szCs w:val="18"/>
              </w:rPr>
              <w:t>第五名</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14:paraId="2DA75C78">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46,270,000.00</w:t>
            </w:r>
          </w:p>
        </w:tc>
        <w:tc>
          <w:tcPr>
            <w:tcW w:w="2268" w:type="dxa"/>
            <w:tcBorders>
              <w:top w:val="nil"/>
              <w:left w:val="nil"/>
              <w:bottom w:val="single" w:color="auto" w:sz="8" w:space="0"/>
              <w:right w:val="single" w:color="auto" w:sz="8" w:space="0"/>
            </w:tcBorders>
            <w:tcMar>
              <w:top w:w="0" w:type="dxa"/>
              <w:left w:w="108" w:type="dxa"/>
              <w:bottom w:w="0" w:type="dxa"/>
              <w:right w:w="108" w:type="dxa"/>
            </w:tcMar>
            <w:vAlign w:val="center"/>
          </w:tcPr>
          <w:p w14:paraId="13E4FE0C">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6.33</w:t>
            </w:r>
          </w:p>
        </w:tc>
        <w:tc>
          <w:tcPr>
            <w:tcW w:w="1985" w:type="dxa"/>
            <w:tcBorders>
              <w:top w:val="nil"/>
              <w:left w:val="nil"/>
              <w:bottom w:val="single" w:color="auto" w:sz="8" w:space="0"/>
              <w:right w:val="single" w:color="auto" w:sz="8" w:space="0"/>
            </w:tcBorders>
            <w:tcMar>
              <w:top w:w="0" w:type="dxa"/>
              <w:left w:w="108" w:type="dxa"/>
              <w:bottom w:w="0" w:type="dxa"/>
              <w:right w:w="108" w:type="dxa"/>
            </w:tcMar>
            <w:vAlign w:val="center"/>
          </w:tcPr>
          <w:p w14:paraId="37552412">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 xml:space="preserve">1 </w:t>
            </w:r>
            <w:r>
              <w:rPr>
                <w:rFonts w:hint="eastAsia" w:cs="Times New Roman" w:asciiTheme="minorEastAsia" w:hAnsiTheme="minorEastAsia" w:eastAsiaTheme="minorEastAsia"/>
                <w:sz w:val="18"/>
                <w:szCs w:val="18"/>
              </w:rPr>
              <w:t>年以内</w:t>
            </w:r>
            <w:r>
              <w:rPr>
                <w:rFonts w:cs="Times New Roman" w:asciiTheme="minorEastAsia" w:hAnsiTheme="minorEastAsia" w:eastAsiaTheme="minorEastAsia"/>
                <w:sz w:val="18"/>
                <w:szCs w:val="18"/>
              </w:rPr>
              <w:t xml:space="preserve"> </w:t>
            </w:r>
          </w:p>
        </w:tc>
        <w:tc>
          <w:tcPr>
            <w:tcW w:w="198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62428E">
            <w:pPr>
              <w:pStyle w:val="9"/>
              <w:spacing w:before="0" w:beforeAutospacing="0" w:after="0" w:afterAutospacing="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18"/>
                <w:szCs w:val="18"/>
              </w:rPr>
              <w:t>合同未执行完毕</w:t>
            </w:r>
          </w:p>
        </w:tc>
      </w:tr>
      <w:tr w14:paraId="13607B84">
        <w:tblPrEx>
          <w:tblCellMar>
            <w:top w:w="0" w:type="dxa"/>
            <w:left w:w="0" w:type="dxa"/>
            <w:bottom w:w="0" w:type="dxa"/>
            <w:right w:w="0" w:type="dxa"/>
          </w:tblCellMar>
        </w:tblPrEx>
        <w:trPr>
          <w:trHeight w:val="340" w:hRule="atLeast"/>
        </w:trPr>
        <w:tc>
          <w:tcPr>
            <w:tcW w:w="19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8FEF37">
            <w:pPr>
              <w:pStyle w:val="9"/>
              <w:spacing w:before="0" w:beforeAutospacing="0" w:after="0" w:afterAutospacing="0"/>
              <w:jc w:val="center"/>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18"/>
                <w:szCs w:val="18"/>
              </w:rPr>
              <w:t>合计</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14:paraId="090765E3">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294,805,094.22</w:t>
            </w:r>
          </w:p>
        </w:tc>
        <w:tc>
          <w:tcPr>
            <w:tcW w:w="2268" w:type="dxa"/>
            <w:tcBorders>
              <w:top w:val="nil"/>
              <w:left w:val="nil"/>
              <w:bottom w:val="single" w:color="auto" w:sz="8" w:space="0"/>
              <w:right w:val="single" w:color="auto" w:sz="8" w:space="0"/>
            </w:tcBorders>
            <w:tcMar>
              <w:top w:w="0" w:type="dxa"/>
              <w:left w:w="108" w:type="dxa"/>
              <w:bottom w:w="0" w:type="dxa"/>
              <w:right w:w="108" w:type="dxa"/>
            </w:tcMar>
            <w:vAlign w:val="center"/>
          </w:tcPr>
          <w:p w14:paraId="3F5BA72B">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40.35</w:t>
            </w:r>
          </w:p>
        </w:tc>
        <w:tc>
          <w:tcPr>
            <w:tcW w:w="1985" w:type="dxa"/>
            <w:tcBorders>
              <w:top w:val="nil"/>
              <w:left w:val="nil"/>
              <w:bottom w:val="single" w:color="auto" w:sz="8" w:space="0"/>
              <w:right w:val="single" w:color="auto" w:sz="8" w:space="0"/>
            </w:tcBorders>
            <w:tcMar>
              <w:top w:w="0" w:type="dxa"/>
              <w:left w:w="108" w:type="dxa"/>
              <w:bottom w:w="0" w:type="dxa"/>
              <w:right w:w="108" w:type="dxa"/>
            </w:tcMar>
            <w:vAlign w:val="center"/>
          </w:tcPr>
          <w:p w14:paraId="1A043FE8">
            <w:pPr>
              <w:pStyle w:val="9"/>
              <w:spacing w:before="0" w:beforeAutospacing="0" w:after="0" w:afterAutospacing="0"/>
              <w:jc w:val="right"/>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 </w:t>
            </w:r>
          </w:p>
        </w:tc>
        <w:tc>
          <w:tcPr>
            <w:tcW w:w="1984" w:type="dxa"/>
            <w:tcBorders>
              <w:top w:val="nil"/>
              <w:left w:val="nil"/>
              <w:bottom w:val="single" w:color="auto" w:sz="8" w:space="0"/>
              <w:right w:val="single" w:color="auto" w:sz="8" w:space="0"/>
            </w:tcBorders>
            <w:tcMar>
              <w:top w:w="0" w:type="dxa"/>
              <w:left w:w="108" w:type="dxa"/>
              <w:bottom w:w="0" w:type="dxa"/>
              <w:right w:w="108" w:type="dxa"/>
            </w:tcMar>
            <w:vAlign w:val="center"/>
          </w:tcPr>
          <w:p w14:paraId="0B268D7A">
            <w:pPr>
              <w:pStyle w:val="9"/>
              <w:spacing w:before="0" w:beforeAutospacing="0" w:after="0" w:afterAutospacing="0"/>
              <w:rPr>
                <w:rFonts w:cs="Times New Roman" w:asciiTheme="minorEastAsia" w:hAnsiTheme="minorEastAsia" w:eastAsiaTheme="minorEastAsia"/>
                <w:sz w:val="21"/>
                <w:szCs w:val="21"/>
              </w:rPr>
            </w:pPr>
            <w:r>
              <w:rPr>
                <w:rFonts w:cs="Times New Roman" w:asciiTheme="minorEastAsia" w:hAnsiTheme="minorEastAsia" w:eastAsiaTheme="minorEastAsia"/>
                <w:sz w:val="18"/>
                <w:szCs w:val="18"/>
              </w:rPr>
              <w:t> </w:t>
            </w:r>
          </w:p>
        </w:tc>
      </w:tr>
    </w:tbl>
    <w:p w14:paraId="08985AF6">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00597715">
      <w:pPr>
        <w:pStyle w:val="3"/>
        <w:spacing w:line="280" w:lineRule="exact"/>
        <w:jc w:val="left"/>
        <w:rPr>
          <w:rFonts w:ascii="宋体" w:hAnsi="宋体" w:cs="宋体"/>
          <w:b/>
          <w:bCs/>
        </w:rPr>
      </w:pPr>
      <w:bookmarkStart w:id="325" w:name="_Toc989177"/>
      <w:r>
        <w:rPr>
          <w:rFonts w:ascii="宋体" w:hAnsi="宋体" w:cs="宋体"/>
          <w:b/>
          <w:bCs/>
        </w:rPr>
        <w:t>10、存货</w:t>
      </w:r>
      <w:bookmarkEnd w:id="325"/>
    </w:p>
    <w:p w14:paraId="73A6B1EC">
      <w:pPr>
        <w:spacing w:before="100" w:after="100" w:line="240" w:lineRule="exact"/>
        <w:rPr>
          <w:rFonts w:ascii="宋体" w:hAnsi="宋体" w:eastAsia="宋体" w:cs="宋体"/>
          <w:sz w:val="18"/>
          <w:szCs w:val="18"/>
        </w:rPr>
      </w:pPr>
      <w:r>
        <w:rPr>
          <w:rFonts w:ascii="宋体" w:hAnsi="宋体" w:eastAsia="宋体" w:cs="宋体"/>
          <w:sz w:val="18"/>
          <w:szCs w:val="18"/>
        </w:rPr>
        <w:t>公司是否需要遵守房地产行业的披露要求</w:t>
      </w:r>
    </w:p>
    <w:p w14:paraId="25E5B3E4">
      <w:pPr>
        <w:spacing w:line="240" w:lineRule="exact"/>
        <w:rPr>
          <w:rFonts w:ascii="宋体" w:hAnsi="宋体" w:eastAsia="宋体" w:cs="宋体"/>
          <w:sz w:val="18"/>
          <w:szCs w:val="18"/>
        </w:rPr>
      </w:pPr>
      <w:r>
        <w:rPr>
          <w:rFonts w:ascii="宋体" w:hAnsi="宋体" w:eastAsia="宋体" w:cs="宋体"/>
          <w:sz w:val="18"/>
          <w:szCs w:val="18"/>
        </w:rPr>
        <w:t>否</w:t>
      </w:r>
    </w:p>
    <w:p w14:paraId="4662FD44">
      <w:pPr>
        <w:keepNext/>
        <w:keepLines/>
        <w:spacing w:before="300" w:after="300" w:line="280" w:lineRule="exact"/>
        <w:outlineLvl w:val="3"/>
        <w:rPr>
          <w:rFonts w:ascii="宋体" w:hAnsi="宋体" w:eastAsia="宋体" w:cs="宋体"/>
          <w:b/>
          <w:bCs/>
          <w:szCs w:val="21"/>
        </w:rPr>
      </w:pPr>
      <w:bookmarkStart w:id="326" w:name="_Toc989178"/>
      <w:r>
        <w:rPr>
          <w:rFonts w:ascii="宋体" w:hAnsi="宋体" w:eastAsia="宋体" w:cs="宋体"/>
          <w:b/>
          <w:bCs/>
          <w:szCs w:val="21"/>
        </w:rPr>
        <w:t>（1） 存货分类</w:t>
      </w:r>
      <w:bookmarkEnd w:id="326"/>
    </w:p>
    <w:p w14:paraId="53FA04C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6F5E5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F7C00C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21A9B8D6">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08B4B05F">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7758E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A18E3FA"/>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BCE8072">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4D3C754">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DE7A6E7">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94F1BC8">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0DB5FCD">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E29D7C7">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2BE56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03CFF8C">
            <w:pPr>
              <w:spacing w:before="40" w:after="40" w:line="240" w:lineRule="exac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14:paraId="1FA04541">
            <w:pPr>
              <w:spacing w:line="240" w:lineRule="exact"/>
              <w:jc w:val="right"/>
              <w:rPr>
                <w:rFonts w:ascii="宋体" w:hAnsi="宋体" w:eastAsia="宋体" w:cs="宋体"/>
                <w:sz w:val="18"/>
                <w:szCs w:val="18"/>
              </w:rPr>
            </w:pPr>
            <w:r>
              <w:rPr>
                <w:rFonts w:ascii="宋体" w:hAnsi="宋体" w:eastAsia="宋体" w:cs="宋体"/>
                <w:sz w:val="18"/>
                <w:szCs w:val="18"/>
              </w:rPr>
              <w:t>2,676,675,739.51</w:t>
            </w:r>
          </w:p>
        </w:tc>
        <w:tc>
          <w:tcPr>
            <w:tcW w:w="1377" w:type="dxa"/>
            <w:tcBorders>
              <w:top w:val="single" w:color="auto" w:sz="2" w:space="0"/>
              <w:left w:val="single" w:color="auto" w:sz="2" w:space="0"/>
              <w:bottom w:val="single" w:color="auto" w:sz="2" w:space="0"/>
              <w:right w:val="single" w:color="auto" w:sz="2" w:space="0"/>
            </w:tcBorders>
            <w:vAlign w:val="center"/>
          </w:tcPr>
          <w:p w14:paraId="7BAFB3B5">
            <w:pPr>
              <w:spacing w:line="240" w:lineRule="exact"/>
              <w:jc w:val="right"/>
              <w:rPr>
                <w:rFonts w:ascii="宋体" w:hAnsi="宋体" w:eastAsia="宋体" w:cs="宋体"/>
                <w:sz w:val="18"/>
                <w:szCs w:val="18"/>
              </w:rPr>
            </w:pPr>
            <w:r>
              <w:rPr>
                <w:rFonts w:ascii="宋体" w:hAnsi="宋体" w:eastAsia="宋体" w:cs="宋体"/>
                <w:sz w:val="18"/>
                <w:szCs w:val="18"/>
              </w:rPr>
              <w:t>558,571.94</w:t>
            </w:r>
          </w:p>
        </w:tc>
        <w:tc>
          <w:tcPr>
            <w:tcW w:w="1377" w:type="dxa"/>
            <w:tcBorders>
              <w:top w:val="single" w:color="auto" w:sz="2" w:space="0"/>
              <w:left w:val="single" w:color="auto" w:sz="2" w:space="0"/>
              <w:bottom w:val="single" w:color="auto" w:sz="2" w:space="0"/>
              <w:right w:val="single" w:color="auto" w:sz="2" w:space="0"/>
            </w:tcBorders>
            <w:vAlign w:val="center"/>
          </w:tcPr>
          <w:p w14:paraId="1DC10B9B">
            <w:pPr>
              <w:spacing w:line="240" w:lineRule="exact"/>
              <w:jc w:val="right"/>
              <w:rPr>
                <w:rFonts w:ascii="宋体" w:hAnsi="宋体" w:eastAsia="宋体" w:cs="宋体"/>
                <w:sz w:val="18"/>
                <w:szCs w:val="18"/>
              </w:rPr>
            </w:pPr>
            <w:r>
              <w:rPr>
                <w:rFonts w:ascii="宋体" w:hAnsi="宋体" w:eastAsia="宋体" w:cs="宋体"/>
                <w:sz w:val="18"/>
                <w:szCs w:val="18"/>
              </w:rPr>
              <w:t>2,676,117,167.57</w:t>
            </w:r>
          </w:p>
        </w:tc>
        <w:tc>
          <w:tcPr>
            <w:tcW w:w="1377" w:type="dxa"/>
            <w:tcBorders>
              <w:top w:val="single" w:color="auto" w:sz="2" w:space="0"/>
              <w:left w:val="single" w:color="auto" w:sz="2" w:space="0"/>
              <w:bottom w:val="single" w:color="auto" w:sz="2" w:space="0"/>
              <w:right w:val="single" w:color="auto" w:sz="2" w:space="0"/>
            </w:tcBorders>
            <w:vAlign w:val="center"/>
          </w:tcPr>
          <w:p w14:paraId="0188125E">
            <w:pPr>
              <w:spacing w:line="240" w:lineRule="exact"/>
              <w:jc w:val="right"/>
              <w:rPr>
                <w:rFonts w:ascii="宋体" w:hAnsi="宋体" w:eastAsia="宋体" w:cs="宋体"/>
                <w:sz w:val="18"/>
                <w:szCs w:val="18"/>
              </w:rPr>
            </w:pPr>
            <w:r>
              <w:rPr>
                <w:rFonts w:ascii="宋体" w:hAnsi="宋体" w:eastAsia="宋体" w:cs="宋体"/>
                <w:sz w:val="18"/>
                <w:szCs w:val="18"/>
              </w:rPr>
              <w:t>2,705,612,661.75</w:t>
            </w:r>
          </w:p>
        </w:tc>
        <w:tc>
          <w:tcPr>
            <w:tcW w:w="1377" w:type="dxa"/>
            <w:tcBorders>
              <w:top w:val="single" w:color="auto" w:sz="2" w:space="0"/>
              <w:left w:val="single" w:color="auto" w:sz="2" w:space="0"/>
              <w:bottom w:val="single" w:color="auto" w:sz="2" w:space="0"/>
              <w:right w:val="single" w:color="auto" w:sz="2" w:space="0"/>
            </w:tcBorders>
            <w:vAlign w:val="center"/>
          </w:tcPr>
          <w:p w14:paraId="73DE20C1">
            <w:pPr>
              <w:spacing w:line="240" w:lineRule="exact"/>
              <w:jc w:val="right"/>
              <w:rPr>
                <w:rFonts w:ascii="宋体" w:hAnsi="宋体" w:eastAsia="宋体" w:cs="宋体"/>
                <w:sz w:val="18"/>
                <w:szCs w:val="18"/>
              </w:rPr>
            </w:pPr>
            <w:r>
              <w:rPr>
                <w:rFonts w:ascii="宋体" w:hAnsi="宋体" w:eastAsia="宋体" w:cs="宋体"/>
                <w:sz w:val="18"/>
                <w:szCs w:val="18"/>
              </w:rPr>
              <w:t>5,738,451.24</w:t>
            </w:r>
          </w:p>
        </w:tc>
        <w:tc>
          <w:tcPr>
            <w:tcW w:w="1377" w:type="dxa"/>
            <w:tcBorders>
              <w:top w:val="single" w:color="auto" w:sz="2" w:space="0"/>
              <w:left w:val="single" w:color="auto" w:sz="2" w:space="0"/>
              <w:bottom w:val="single" w:color="auto" w:sz="2" w:space="0"/>
              <w:right w:val="single" w:color="auto" w:sz="2" w:space="0"/>
            </w:tcBorders>
            <w:vAlign w:val="center"/>
          </w:tcPr>
          <w:p w14:paraId="6D25F3DD">
            <w:pPr>
              <w:spacing w:line="240" w:lineRule="exact"/>
              <w:jc w:val="right"/>
              <w:rPr>
                <w:rFonts w:ascii="宋体" w:hAnsi="宋体" w:eastAsia="宋体" w:cs="宋体"/>
                <w:sz w:val="18"/>
                <w:szCs w:val="18"/>
              </w:rPr>
            </w:pPr>
            <w:r>
              <w:rPr>
                <w:rFonts w:ascii="宋体" w:hAnsi="宋体" w:eastAsia="宋体" w:cs="宋体"/>
                <w:sz w:val="18"/>
                <w:szCs w:val="18"/>
              </w:rPr>
              <w:t>2,699,874,210.51</w:t>
            </w:r>
          </w:p>
        </w:tc>
      </w:tr>
      <w:tr w14:paraId="48591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DF1C1A4">
            <w:pPr>
              <w:spacing w:before="40" w:after="40" w:line="240" w:lineRule="exac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14:paraId="1F9240FB">
            <w:pPr>
              <w:spacing w:line="240" w:lineRule="exact"/>
              <w:jc w:val="right"/>
              <w:rPr>
                <w:rFonts w:ascii="宋体" w:hAnsi="宋体" w:eastAsia="宋体" w:cs="宋体"/>
                <w:sz w:val="18"/>
                <w:szCs w:val="18"/>
              </w:rPr>
            </w:pPr>
            <w:r>
              <w:rPr>
                <w:rFonts w:ascii="宋体" w:hAnsi="宋体" w:eastAsia="宋体" w:cs="宋体"/>
                <w:sz w:val="18"/>
                <w:szCs w:val="18"/>
              </w:rPr>
              <w:t>145,268,906.06</w:t>
            </w:r>
          </w:p>
        </w:tc>
        <w:tc>
          <w:tcPr>
            <w:tcW w:w="1377" w:type="dxa"/>
            <w:tcBorders>
              <w:top w:val="single" w:color="auto" w:sz="2" w:space="0"/>
              <w:left w:val="single" w:color="auto" w:sz="2" w:space="0"/>
              <w:bottom w:val="single" w:color="auto" w:sz="2" w:space="0"/>
              <w:right w:val="single" w:color="auto" w:sz="2" w:space="0"/>
            </w:tcBorders>
            <w:vAlign w:val="center"/>
          </w:tcPr>
          <w:p w14:paraId="6F425D6D">
            <w:pPr>
              <w:spacing w:line="240" w:lineRule="exact"/>
              <w:jc w:val="right"/>
              <w:rPr>
                <w:rFonts w:ascii="宋体" w:hAnsi="宋体" w:eastAsia="宋体" w:cs="宋体"/>
                <w:sz w:val="18"/>
                <w:szCs w:val="18"/>
              </w:rPr>
            </w:pPr>
            <w:r>
              <w:rPr>
                <w:rFonts w:ascii="宋体" w:hAnsi="宋体" w:eastAsia="宋体" w:cs="宋体"/>
                <w:sz w:val="18"/>
                <w:szCs w:val="18"/>
              </w:rPr>
              <w:t>5,855,294.62</w:t>
            </w:r>
          </w:p>
        </w:tc>
        <w:tc>
          <w:tcPr>
            <w:tcW w:w="1377" w:type="dxa"/>
            <w:tcBorders>
              <w:top w:val="single" w:color="auto" w:sz="2" w:space="0"/>
              <w:left w:val="single" w:color="auto" w:sz="2" w:space="0"/>
              <w:bottom w:val="single" w:color="auto" w:sz="2" w:space="0"/>
              <w:right w:val="single" w:color="auto" w:sz="2" w:space="0"/>
            </w:tcBorders>
            <w:vAlign w:val="center"/>
          </w:tcPr>
          <w:p w14:paraId="14EE64BB">
            <w:pPr>
              <w:spacing w:line="240" w:lineRule="exact"/>
              <w:jc w:val="right"/>
              <w:rPr>
                <w:rFonts w:ascii="宋体" w:hAnsi="宋体" w:eastAsia="宋体" w:cs="宋体"/>
                <w:sz w:val="18"/>
                <w:szCs w:val="18"/>
              </w:rPr>
            </w:pPr>
            <w:r>
              <w:rPr>
                <w:rFonts w:ascii="宋体" w:hAnsi="宋体" w:eastAsia="宋体" w:cs="宋体"/>
                <w:sz w:val="18"/>
                <w:szCs w:val="18"/>
              </w:rPr>
              <w:t>139,413,611.44</w:t>
            </w:r>
          </w:p>
        </w:tc>
        <w:tc>
          <w:tcPr>
            <w:tcW w:w="1377" w:type="dxa"/>
            <w:tcBorders>
              <w:top w:val="single" w:color="auto" w:sz="2" w:space="0"/>
              <w:left w:val="single" w:color="auto" w:sz="2" w:space="0"/>
              <w:bottom w:val="single" w:color="auto" w:sz="2" w:space="0"/>
              <w:right w:val="single" w:color="auto" w:sz="2" w:space="0"/>
            </w:tcBorders>
            <w:vAlign w:val="center"/>
          </w:tcPr>
          <w:p w14:paraId="6B687448">
            <w:pPr>
              <w:spacing w:line="240" w:lineRule="exact"/>
              <w:jc w:val="right"/>
              <w:rPr>
                <w:rFonts w:ascii="宋体" w:hAnsi="宋体" w:eastAsia="宋体" w:cs="宋体"/>
                <w:sz w:val="18"/>
                <w:szCs w:val="18"/>
              </w:rPr>
            </w:pPr>
            <w:r>
              <w:rPr>
                <w:rFonts w:ascii="宋体" w:hAnsi="宋体" w:eastAsia="宋体" w:cs="宋体"/>
                <w:sz w:val="18"/>
                <w:szCs w:val="18"/>
              </w:rPr>
              <w:t>146,343,834.95</w:t>
            </w:r>
          </w:p>
        </w:tc>
        <w:tc>
          <w:tcPr>
            <w:tcW w:w="1377" w:type="dxa"/>
            <w:tcBorders>
              <w:top w:val="single" w:color="auto" w:sz="2" w:space="0"/>
              <w:left w:val="single" w:color="auto" w:sz="2" w:space="0"/>
              <w:bottom w:val="single" w:color="auto" w:sz="2" w:space="0"/>
              <w:right w:val="single" w:color="auto" w:sz="2" w:space="0"/>
            </w:tcBorders>
            <w:vAlign w:val="center"/>
          </w:tcPr>
          <w:p w14:paraId="2955BF3A">
            <w:pPr>
              <w:spacing w:line="240" w:lineRule="exact"/>
              <w:jc w:val="right"/>
              <w:rPr>
                <w:rFonts w:ascii="宋体" w:hAnsi="宋体" w:eastAsia="宋体" w:cs="宋体"/>
                <w:sz w:val="18"/>
                <w:szCs w:val="18"/>
              </w:rPr>
            </w:pPr>
            <w:r>
              <w:rPr>
                <w:rFonts w:ascii="宋体" w:hAnsi="宋体" w:eastAsia="宋体" w:cs="宋体"/>
                <w:sz w:val="18"/>
                <w:szCs w:val="18"/>
              </w:rPr>
              <w:t>4,868,046.91</w:t>
            </w:r>
          </w:p>
        </w:tc>
        <w:tc>
          <w:tcPr>
            <w:tcW w:w="1377" w:type="dxa"/>
            <w:tcBorders>
              <w:top w:val="single" w:color="auto" w:sz="2" w:space="0"/>
              <w:left w:val="single" w:color="auto" w:sz="2" w:space="0"/>
              <w:bottom w:val="single" w:color="auto" w:sz="2" w:space="0"/>
              <w:right w:val="single" w:color="auto" w:sz="2" w:space="0"/>
            </w:tcBorders>
            <w:vAlign w:val="center"/>
          </w:tcPr>
          <w:p w14:paraId="4FDDDF28">
            <w:pPr>
              <w:spacing w:line="240" w:lineRule="exact"/>
              <w:jc w:val="right"/>
              <w:rPr>
                <w:rFonts w:ascii="宋体" w:hAnsi="宋体" w:eastAsia="宋体" w:cs="宋体"/>
                <w:sz w:val="18"/>
                <w:szCs w:val="18"/>
              </w:rPr>
            </w:pPr>
            <w:r>
              <w:rPr>
                <w:rFonts w:ascii="宋体" w:hAnsi="宋体" w:eastAsia="宋体" w:cs="宋体"/>
                <w:sz w:val="18"/>
                <w:szCs w:val="18"/>
              </w:rPr>
              <w:t>141,475,788.04</w:t>
            </w:r>
          </w:p>
        </w:tc>
      </w:tr>
      <w:tr w14:paraId="294F6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B7F69B1">
            <w:pPr>
              <w:spacing w:before="40" w:after="40" w:line="240" w:lineRule="exac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14:paraId="06E61A05">
            <w:pPr>
              <w:spacing w:line="240" w:lineRule="exact"/>
              <w:jc w:val="right"/>
              <w:rPr>
                <w:rFonts w:ascii="宋体" w:hAnsi="宋体" w:eastAsia="宋体" w:cs="宋体"/>
                <w:sz w:val="18"/>
                <w:szCs w:val="18"/>
              </w:rPr>
            </w:pPr>
            <w:r>
              <w:rPr>
                <w:rFonts w:ascii="宋体" w:hAnsi="宋体" w:eastAsia="宋体" w:cs="宋体"/>
                <w:sz w:val="18"/>
                <w:szCs w:val="18"/>
              </w:rPr>
              <w:t>1,390,210,566.10</w:t>
            </w:r>
          </w:p>
        </w:tc>
        <w:tc>
          <w:tcPr>
            <w:tcW w:w="1377" w:type="dxa"/>
            <w:tcBorders>
              <w:top w:val="single" w:color="auto" w:sz="2" w:space="0"/>
              <w:left w:val="single" w:color="auto" w:sz="2" w:space="0"/>
              <w:bottom w:val="single" w:color="auto" w:sz="2" w:space="0"/>
              <w:right w:val="single" w:color="auto" w:sz="2" w:space="0"/>
            </w:tcBorders>
            <w:vAlign w:val="center"/>
          </w:tcPr>
          <w:p w14:paraId="1BC5569C">
            <w:pPr>
              <w:spacing w:line="240" w:lineRule="exact"/>
              <w:jc w:val="right"/>
              <w:rPr>
                <w:rFonts w:ascii="宋体" w:hAnsi="宋体" w:eastAsia="宋体" w:cs="宋体"/>
                <w:sz w:val="18"/>
                <w:szCs w:val="18"/>
              </w:rPr>
            </w:pPr>
            <w:r>
              <w:rPr>
                <w:rFonts w:ascii="宋体" w:hAnsi="宋体" w:eastAsia="宋体" w:cs="宋体"/>
                <w:sz w:val="18"/>
                <w:szCs w:val="18"/>
              </w:rPr>
              <w:t>76,147,794.27</w:t>
            </w:r>
          </w:p>
        </w:tc>
        <w:tc>
          <w:tcPr>
            <w:tcW w:w="1377" w:type="dxa"/>
            <w:tcBorders>
              <w:top w:val="single" w:color="auto" w:sz="2" w:space="0"/>
              <w:left w:val="single" w:color="auto" w:sz="2" w:space="0"/>
              <w:bottom w:val="single" w:color="auto" w:sz="2" w:space="0"/>
              <w:right w:val="single" w:color="auto" w:sz="2" w:space="0"/>
            </w:tcBorders>
            <w:vAlign w:val="center"/>
          </w:tcPr>
          <w:p w14:paraId="41C4FF6B">
            <w:pPr>
              <w:spacing w:line="240" w:lineRule="exact"/>
              <w:jc w:val="right"/>
              <w:rPr>
                <w:rFonts w:ascii="宋体" w:hAnsi="宋体" w:eastAsia="宋体" w:cs="宋体"/>
                <w:sz w:val="18"/>
                <w:szCs w:val="18"/>
              </w:rPr>
            </w:pPr>
            <w:r>
              <w:rPr>
                <w:rFonts w:ascii="宋体" w:hAnsi="宋体" w:eastAsia="宋体" w:cs="宋体"/>
                <w:sz w:val="18"/>
                <w:szCs w:val="18"/>
              </w:rPr>
              <w:t>1,314,062,771.83</w:t>
            </w:r>
          </w:p>
        </w:tc>
        <w:tc>
          <w:tcPr>
            <w:tcW w:w="1377" w:type="dxa"/>
            <w:tcBorders>
              <w:top w:val="single" w:color="auto" w:sz="2" w:space="0"/>
              <w:left w:val="single" w:color="auto" w:sz="2" w:space="0"/>
              <w:bottom w:val="single" w:color="auto" w:sz="2" w:space="0"/>
              <w:right w:val="single" w:color="auto" w:sz="2" w:space="0"/>
            </w:tcBorders>
            <w:vAlign w:val="center"/>
          </w:tcPr>
          <w:p w14:paraId="4939C353">
            <w:pPr>
              <w:spacing w:line="240" w:lineRule="exact"/>
              <w:jc w:val="right"/>
              <w:rPr>
                <w:rFonts w:ascii="宋体" w:hAnsi="宋体" w:eastAsia="宋体" w:cs="宋体"/>
                <w:sz w:val="18"/>
                <w:szCs w:val="18"/>
              </w:rPr>
            </w:pPr>
            <w:r>
              <w:rPr>
                <w:rFonts w:ascii="宋体" w:hAnsi="宋体" w:eastAsia="宋体" w:cs="宋体"/>
                <w:sz w:val="18"/>
                <w:szCs w:val="18"/>
              </w:rPr>
              <w:t>1,488,174,468.49</w:t>
            </w:r>
          </w:p>
        </w:tc>
        <w:tc>
          <w:tcPr>
            <w:tcW w:w="1377" w:type="dxa"/>
            <w:tcBorders>
              <w:top w:val="single" w:color="auto" w:sz="2" w:space="0"/>
              <w:left w:val="single" w:color="auto" w:sz="2" w:space="0"/>
              <w:bottom w:val="single" w:color="auto" w:sz="2" w:space="0"/>
              <w:right w:val="single" w:color="auto" w:sz="2" w:space="0"/>
            </w:tcBorders>
            <w:vAlign w:val="center"/>
          </w:tcPr>
          <w:p w14:paraId="04CF5B7A">
            <w:pPr>
              <w:spacing w:line="240" w:lineRule="exact"/>
              <w:jc w:val="right"/>
              <w:rPr>
                <w:rFonts w:ascii="宋体" w:hAnsi="宋体" w:eastAsia="宋体" w:cs="宋体"/>
                <w:sz w:val="18"/>
                <w:szCs w:val="18"/>
              </w:rPr>
            </w:pPr>
            <w:r>
              <w:rPr>
                <w:rFonts w:ascii="宋体" w:hAnsi="宋体" w:eastAsia="宋体" w:cs="宋体"/>
                <w:sz w:val="18"/>
                <w:szCs w:val="18"/>
              </w:rPr>
              <w:t>75,380,632.68</w:t>
            </w:r>
          </w:p>
        </w:tc>
        <w:tc>
          <w:tcPr>
            <w:tcW w:w="1377" w:type="dxa"/>
            <w:tcBorders>
              <w:top w:val="single" w:color="auto" w:sz="2" w:space="0"/>
              <w:left w:val="single" w:color="auto" w:sz="2" w:space="0"/>
              <w:bottom w:val="single" w:color="auto" w:sz="2" w:space="0"/>
              <w:right w:val="single" w:color="auto" w:sz="2" w:space="0"/>
            </w:tcBorders>
            <w:vAlign w:val="center"/>
          </w:tcPr>
          <w:p w14:paraId="059D4498">
            <w:pPr>
              <w:spacing w:line="240" w:lineRule="exact"/>
              <w:jc w:val="right"/>
              <w:rPr>
                <w:rFonts w:ascii="宋体" w:hAnsi="宋体" w:eastAsia="宋体" w:cs="宋体"/>
                <w:sz w:val="18"/>
                <w:szCs w:val="18"/>
              </w:rPr>
            </w:pPr>
            <w:r>
              <w:rPr>
                <w:rFonts w:ascii="宋体" w:hAnsi="宋体" w:eastAsia="宋体" w:cs="宋体"/>
                <w:sz w:val="18"/>
                <w:szCs w:val="18"/>
              </w:rPr>
              <w:t>1,412,793,835.81</w:t>
            </w:r>
          </w:p>
        </w:tc>
      </w:tr>
      <w:tr w14:paraId="2D5A8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9FBD74C">
            <w:pPr>
              <w:spacing w:before="40" w:after="40" w:line="240" w:lineRule="exact"/>
              <w:rPr>
                <w:rFonts w:ascii="宋体" w:hAnsi="宋体" w:eastAsia="宋体" w:cs="宋体"/>
                <w:sz w:val="18"/>
                <w:szCs w:val="18"/>
              </w:rPr>
            </w:pPr>
            <w:r>
              <w:rPr>
                <w:rFonts w:ascii="宋体" w:hAnsi="宋体" w:eastAsia="宋体" w:cs="宋体"/>
                <w:sz w:val="18"/>
                <w:szCs w:val="18"/>
              </w:rPr>
              <w:t>周转材料</w:t>
            </w:r>
          </w:p>
        </w:tc>
        <w:tc>
          <w:tcPr>
            <w:tcW w:w="1377" w:type="dxa"/>
            <w:tcBorders>
              <w:top w:val="single" w:color="auto" w:sz="2" w:space="0"/>
              <w:left w:val="single" w:color="auto" w:sz="2" w:space="0"/>
              <w:bottom w:val="single" w:color="auto" w:sz="2" w:space="0"/>
              <w:right w:val="single" w:color="auto" w:sz="2" w:space="0"/>
            </w:tcBorders>
            <w:vAlign w:val="center"/>
          </w:tcPr>
          <w:p w14:paraId="13A6DCF0">
            <w:pPr>
              <w:spacing w:line="240" w:lineRule="exact"/>
              <w:jc w:val="right"/>
              <w:rPr>
                <w:rFonts w:ascii="宋体" w:hAnsi="宋体" w:eastAsia="宋体" w:cs="宋体"/>
                <w:sz w:val="18"/>
                <w:szCs w:val="18"/>
              </w:rPr>
            </w:pPr>
            <w:r>
              <w:rPr>
                <w:rFonts w:ascii="宋体" w:hAnsi="宋体" w:eastAsia="宋体" w:cs="宋体"/>
                <w:sz w:val="18"/>
                <w:szCs w:val="18"/>
              </w:rPr>
              <w:t>12,851,469.92</w:t>
            </w:r>
          </w:p>
        </w:tc>
        <w:tc>
          <w:tcPr>
            <w:tcW w:w="1377" w:type="dxa"/>
            <w:tcBorders>
              <w:top w:val="single" w:color="auto" w:sz="2" w:space="0"/>
              <w:left w:val="single" w:color="auto" w:sz="2" w:space="0"/>
              <w:bottom w:val="single" w:color="auto" w:sz="2" w:space="0"/>
              <w:right w:val="single" w:color="auto" w:sz="2" w:space="0"/>
            </w:tcBorders>
            <w:vAlign w:val="center"/>
          </w:tcPr>
          <w:p w14:paraId="522F7D73">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BAC6932">
            <w:pPr>
              <w:spacing w:line="240" w:lineRule="exact"/>
              <w:jc w:val="right"/>
              <w:rPr>
                <w:rFonts w:ascii="宋体" w:hAnsi="宋体" w:eastAsia="宋体" w:cs="宋体"/>
                <w:sz w:val="18"/>
                <w:szCs w:val="18"/>
              </w:rPr>
            </w:pPr>
            <w:r>
              <w:rPr>
                <w:rFonts w:ascii="宋体" w:hAnsi="宋体" w:eastAsia="宋体" w:cs="宋体"/>
                <w:sz w:val="18"/>
                <w:szCs w:val="18"/>
              </w:rPr>
              <w:t>12,851,469.92</w:t>
            </w:r>
          </w:p>
        </w:tc>
        <w:tc>
          <w:tcPr>
            <w:tcW w:w="1377" w:type="dxa"/>
            <w:tcBorders>
              <w:top w:val="single" w:color="auto" w:sz="2" w:space="0"/>
              <w:left w:val="single" w:color="auto" w:sz="2" w:space="0"/>
              <w:bottom w:val="single" w:color="auto" w:sz="2" w:space="0"/>
              <w:right w:val="single" w:color="auto" w:sz="2" w:space="0"/>
            </w:tcBorders>
            <w:vAlign w:val="center"/>
          </w:tcPr>
          <w:p w14:paraId="5E6A984B">
            <w:pPr>
              <w:spacing w:line="240" w:lineRule="exact"/>
              <w:jc w:val="right"/>
              <w:rPr>
                <w:rFonts w:ascii="宋体" w:hAnsi="宋体" w:eastAsia="宋体" w:cs="宋体"/>
                <w:sz w:val="18"/>
                <w:szCs w:val="18"/>
              </w:rPr>
            </w:pPr>
            <w:r>
              <w:rPr>
                <w:rFonts w:ascii="宋体" w:hAnsi="宋体" w:eastAsia="宋体" w:cs="宋体"/>
                <w:sz w:val="18"/>
                <w:szCs w:val="18"/>
              </w:rPr>
              <w:t>6,686,765.80</w:t>
            </w:r>
          </w:p>
        </w:tc>
        <w:tc>
          <w:tcPr>
            <w:tcW w:w="1377" w:type="dxa"/>
            <w:tcBorders>
              <w:top w:val="single" w:color="auto" w:sz="2" w:space="0"/>
              <w:left w:val="single" w:color="auto" w:sz="2" w:space="0"/>
              <w:bottom w:val="single" w:color="auto" w:sz="2" w:space="0"/>
              <w:right w:val="single" w:color="auto" w:sz="2" w:space="0"/>
            </w:tcBorders>
            <w:vAlign w:val="center"/>
          </w:tcPr>
          <w:p w14:paraId="5730352F">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2E14071">
            <w:pPr>
              <w:spacing w:line="240" w:lineRule="exact"/>
              <w:jc w:val="right"/>
              <w:rPr>
                <w:rFonts w:ascii="宋体" w:hAnsi="宋体" w:eastAsia="宋体" w:cs="宋体"/>
                <w:sz w:val="18"/>
                <w:szCs w:val="18"/>
              </w:rPr>
            </w:pPr>
            <w:r>
              <w:rPr>
                <w:rFonts w:ascii="宋体" w:hAnsi="宋体" w:eastAsia="宋体" w:cs="宋体"/>
                <w:sz w:val="18"/>
                <w:szCs w:val="18"/>
              </w:rPr>
              <w:t>6,686,765.80</w:t>
            </w:r>
          </w:p>
        </w:tc>
      </w:tr>
      <w:tr w14:paraId="6C5F9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9F30754">
            <w:pPr>
              <w:spacing w:before="40" w:after="40" w:line="240" w:lineRule="exact"/>
              <w:rPr>
                <w:rFonts w:ascii="宋体" w:hAnsi="宋体" w:eastAsia="宋体" w:cs="宋体"/>
                <w:sz w:val="18"/>
                <w:szCs w:val="18"/>
              </w:rPr>
            </w:pPr>
            <w:r>
              <w:rPr>
                <w:rFonts w:ascii="宋体" w:hAnsi="宋体" w:eastAsia="宋体" w:cs="宋体"/>
                <w:sz w:val="18"/>
                <w:szCs w:val="18"/>
              </w:rPr>
              <w:t>发出商品</w:t>
            </w:r>
          </w:p>
        </w:tc>
        <w:tc>
          <w:tcPr>
            <w:tcW w:w="1377" w:type="dxa"/>
            <w:tcBorders>
              <w:top w:val="single" w:color="auto" w:sz="2" w:space="0"/>
              <w:left w:val="single" w:color="auto" w:sz="2" w:space="0"/>
              <w:bottom w:val="single" w:color="auto" w:sz="2" w:space="0"/>
              <w:right w:val="single" w:color="auto" w:sz="2" w:space="0"/>
            </w:tcBorders>
            <w:vAlign w:val="center"/>
          </w:tcPr>
          <w:p w14:paraId="5B729F0A">
            <w:pPr>
              <w:spacing w:line="240" w:lineRule="exact"/>
              <w:jc w:val="right"/>
              <w:rPr>
                <w:rFonts w:ascii="宋体" w:hAnsi="宋体" w:eastAsia="宋体" w:cs="宋体"/>
                <w:sz w:val="18"/>
                <w:szCs w:val="18"/>
              </w:rPr>
            </w:pPr>
            <w:r>
              <w:rPr>
                <w:rFonts w:ascii="宋体" w:hAnsi="宋体" w:eastAsia="宋体" w:cs="宋体"/>
                <w:sz w:val="18"/>
                <w:szCs w:val="18"/>
              </w:rPr>
              <w:t>46,244,843.15</w:t>
            </w:r>
          </w:p>
        </w:tc>
        <w:tc>
          <w:tcPr>
            <w:tcW w:w="1377" w:type="dxa"/>
            <w:tcBorders>
              <w:top w:val="single" w:color="auto" w:sz="2" w:space="0"/>
              <w:left w:val="single" w:color="auto" w:sz="2" w:space="0"/>
              <w:bottom w:val="single" w:color="auto" w:sz="2" w:space="0"/>
              <w:right w:val="single" w:color="auto" w:sz="2" w:space="0"/>
            </w:tcBorders>
            <w:vAlign w:val="center"/>
          </w:tcPr>
          <w:p w14:paraId="4D7CDDB1">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4CD6B57">
            <w:pPr>
              <w:spacing w:line="240" w:lineRule="exact"/>
              <w:jc w:val="right"/>
              <w:rPr>
                <w:rFonts w:ascii="宋体" w:hAnsi="宋体" w:eastAsia="宋体" w:cs="宋体"/>
                <w:sz w:val="18"/>
                <w:szCs w:val="18"/>
              </w:rPr>
            </w:pPr>
            <w:r>
              <w:rPr>
                <w:rFonts w:ascii="宋体" w:hAnsi="宋体" w:eastAsia="宋体" w:cs="宋体"/>
                <w:sz w:val="18"/>
                <w:szCs w:val="18"/>
              </w:rPr>
              <w:t>46,244,843.15</w:t>
            </w:r>
          </w:p>
        </w:tc>
        <w:tc>
          <w:tcPr>
            <w:tcW w:w="1377" w:type="dxa"/>
            <w:tcBorders>
              <w:top w:val="single" w:color="auto" w:sz="2" w:space="0"/>
              <w:left w:val="single" w:color="auto" w:sz="2" w:space="0"/>
              <w:bottom w:val="single" w:color="auto" w:sz="2" w:space="0"/>
              <w:right w:val="single" w:color="auto" w:sz="2" w:space="0"/>
            </w:tcBorders>
            <w:vAlign w:val="center"/>
          </w:tcPr>
          <w:p w14:paraId="718F1710">
            <w:pPr>
              <w:spacing w:line="240" w:lineRule="exact"/>
              <w:jc w:val="right"/>
              <w:rPr>
                <w:rFonts w:ascii="宋体" w:hAnsi="宋体" w:eastAsia="宋体" w:cs="宋体"/>
                <w:sz w:val="18"/>
                <w:szCs w:val="18"/>
              </w:rPr>
            </w:pPr>
            <w:r>
              <w:rPr>
                <w:rFonts w:ascii="宋体" w:hAnsi="宋体" w:eastAsia="宋体" w:cs="宋体"/>
                <w:sz w:val="18"/>
                <w:szCs w:val="18"/>
              </w:rPr>
              <w:t>305,675,692.91</w:t>
            </w:r>
          </w:p>
        </w:tc>
        <w:tc>
          <w:tcPr>
            <w:tcW w:w="1377" w:type="dxa"/>
            <w:tcBorders>
              <w:top w:val="single" w:color="auto" w:sz="2" w:space="0"/>
              <w:left w:val="single" w:color="auto" w:sz="2" w:space="0"/>
              <w:bottom w:val="single" w:color="auto" w:sz="2" w:space="0"/>
              <w:right w:val="single" w:color="auto" w:sz="2" w:space="0"/>
            </w:tcBorders>
            <w:vAlign w:val="center"/>
          </w:tcPr>
          <w:p w14:paraId="1AD9C3CF">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B5FF8D6">
            <w:pPr>
              <w:spacing w:line="240" w:lineRule="exact"/>
              <w:jc w:val="right"/>
              <w:rPr>
                <w:rFonts w:ascii="宋体" w:hAnsi="宋体" w:eastAsia="宋体" w:cs="宋体"/>
                <w:sz w:val="18"/>
                <w:szCs w:val="18"/>
              </w:rPr>
            </w:pPr>
            <w:r>
              <w:rPr>
                <w:rFonts w:ascii="宋体" w:hAnsi="宋体" w:eastAsia="宋体" w:cs="宋体"/>
                <w:sz w:val="18"/>
                <w:szCs w:val="18"/>
              </w:rPr>
              <w:t>305,675,692.91</w:t>
            </w:r>
          </w:p>
        </w:tc>
      </w:tr>
      <w:tr w14:paraId="4CC61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ACB46E0">
            <w:pPr>
              <w:spacing w:line="240" w:lineRule="exact"/>
              <w:rPr>
                <w:rFonts w:ascii="宋体" w:hAnsi="宋体" w:eastAsia="宋体" w:cs="宋体"/>
                <w:sz w:val="18"/>
                <w:szCs w:val="18"/>
              </w:rPr>
            </w:pPr>
            <w:r>
              <w:rPr>
                <w:rFonts w:ascii="宋体" w:hAnsi="宋体" w:eastAsia="宋体" w:cs="宋体"/>
                <w:sz w:val="18"/>
                <w:szCs w:val="18"/>
              </w:rPr>
              <w:t>委托加工物资</w:t>
            </w:r>
          </w:p>
        </w:tc>
        <w:tc>
          <w:tcPr>
            <w:tcW w:w="1377" w:type="dxa"/>
            <w:tcBorders>
              <w:top w:val="single" w:color="auto" w:sz="2" w:space="0"/>
              <w:left w:val="single" w:color="auto" w:sz="2" w:space="0"/>
              <w:bottom w:val="single" w:color="auto" w:sz="2" w:space="0"/>
              <w:right w:val="single" w:color="auto" w:sz="2" w:space="0"/>
            </w:tcBorders>
            <w:vAlign w:val="center"/>
          </w:tcPr>
          <w:p w14:paraId="0DA24BA0">
            <w:pPr>
              <w:spacing w:line="240" w:lineRule="exact"/>
              <w:jc w:val="right"/>
              <w:rPr>
                <w:rFonts w:ascii="宋体" w:hAnsi="宋体" w:eastAsia="宋体" w:cs="宋体"/>
                <w:sz w:val="18"/>
                <w:szCs w:val="18"/>
              </w:rPr>
            </w:pPr>
            <w:r>
              <w:rPr>
                <w:rFonts w:ascii="宋体" w:hAnsi="宋体" w:eastAsia="宋体" w:cs="宋体"/>
                <w:sz w:val="18"/>
                <w:szCs w:val="18"/>
              </w:rPr>
              <w:t>453,615.33</w:t>
            </w:r>
          </w:p>
        </w:tc>
        <w:tc>
          <w:tcPr>
            <w:tcW w:w="1377" w:type="dxa"/>
            <w:tcBorders>
              <w:top w:val="single" w:color="auto" w:sz="2" w:space="0"/>
              <w:left w:val="single" w:color="auto" w:sz="2" w:space="0"/>
              <w:bottom w:val="single" w:color="auto" w:sz="2" w:space="0"/>
              <w:right w:val="single" w:color="auto" w:sz="2" w:space="0"/>
            </w:tcBorders>
            <w:vAlign w:val="center"/>
          </w:tcPr>
          <w:p w14:paraId="1BE24883">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A121E46">
            <w:pPr>
              <w:spacing w:line="240" w:lineRule="exact"/>
              <w:jc w:val="right"/>
              <w:rPr>
                <w:rFonts w:ascii="宋体" w:hAnsi="宋体" w:eastAsia="宋体" w:cs="宋体"/>
                <w:sz w:val="18"/>
                <w:szCs w:val="18"/>
              </w:rPr>
            </w:pPr>
            <w:r>
              <w:rPr>
                <w:rFonts w:ascii="宋体" w:hAnsi="宋体" w:eastAsia="宋体" w:cs="宋体"/>
                <w:sz w:val="18"/>
                <w:szCs w:val="18"/>
              </w:rPr>
              <w:t>453,615.33</w:t>
            </w:r>
          </w:p>
        </w:tc>
        <w:tc>
          <w:tcPr>
            <w:tcW w:w="1377" w:type="dxa"/>
            <w:tcBorders>
              <w:top w:val="single" w:color="auto" w:sz="2" w:space="0"/>
              <w:left w:val="single" w:color="auto" w:sz="2" w:space="0"/>
              <w:bottom w:val="single" w:color="auto" w:sz="2" w:space="0"/>
              <w:right w:val="single" w:color="auto" w:sz="2" w:space="0"/>
            </w:tcBorders>
            <w:vAlign w:val="center"/>
          </w:tcPr>
          <w:p w14:paraId="59BADCEC">
            <w:pPr>
              <w:spacing w:line="240" w:lineRule="exact"/>
              <w:jc w:val="right"/>
              <w:rPr>
                <w:rFonts w:ascii="宋体" w:hAnsi="宋体" w:eastAsia="宋体" w:cs="宋体"/>
                <w:sz w:val="18"/>
                <w:szCs w:val="18"/>
              </w:rPr>
            </w:pPr>
            <w:r>
              <w:rPr>
                <w:rFonts w:ascii="宋体" w:hAnsi="宋体" w:eastAsia="宋体" w:cs="宋体"/>
                <w:sz w:val="18"/>
                <w:szCs w:val="18"/>
              </w:rPr>
              <w:t>430,190.78</w:t>
            </w:r>
          </w:p>
        </w:tc>
        <w:tc>
          <w:tcPr>
            <w:tcW w:w="1377" w:type="dxa"/>
            <w:tcBorders>
              <w:top w:val="single" w:color="auto" w:sz="2" w:space="0"/>
              <w:left w:val="single" w:color="auto" w:sz="2" w:space="0"/>
              <w:bottom w:val="single" w:color="auto" w:sz="2" w:space="0"/>
              <w:right w:val="single" w:color="auto" w:sz="2" w:space="0"/>
            </w:tcBorders>
            <w:vAlign w:val="center"/>
          </w:tcPr>
          <w:p w14:paraId="4FB0B79A">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89EB9E2">
            <w:pPr>
              <w:spacing w:line="240" w:lineRule="exact"/>
              <w:jc w:val="right"/>
              <w:rPr>
                <w:rFonts w:ascii="宋体" w:hAnsi="宋体" w:eastAsia="宋体" w:cs="宋体"/>
                <w:sz w:val="18"/>
                <w:szCs w:val="18"/>
              </w:rPr>
            </w:pPr>
            <w:r>
              <w:rPr>
                <w:rFonts w:ascii="宋体" w:hAnsi="宋体" w:eastAsia="宋体" w:cs="宋体"/>
                <w:sz w:val="18"/>
                <w:szCs w:val="18"/>
              </w:rPr>
              <w:t>430,190.78</w:t>
            </w:r>
          </w:p>
        </w:tc>
      </w:tr>
      <w:tr w14:paraId="0B5FF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8CE4662">
            <w:pPr>
              <w:spacing w:line="240" w:lineRule="exact"/>
              <w:rPr>
                <w:rFonts w:ascii="宋体" w:hAnsi="宋体" w:eastAsia="宋体" w:cs="宋体"/>
                <w:sz w:val="18"/>
                <w:szCs w:val="18"/>
              </w:rPr>
            </w:pPr>
            <w:r>
              <w:rPr>
                <w:rFonts w:ascii="宋体" w:hAnsi="宋体" w:eastAsia="宋体" w:cs="宋体"/>
                <w:sz w:val="18"/>
                <w:szCs w:val="18"/>
              </w:rPr>
              <w:t>自制半成品</w:t>
            </w:r>
          </w:p>
        </w:tc>
        <w:tc>
          <w:tcPr>
            <w:tcW w:w="1377" w:type="dxa"/>
            <w:tcBorders>
              <w:top w:val="single" w:color="auto" w:sz="2" w:space="0"/>
              <w:left w:val="single" w:color="auto" w:sz="2" w:space="0"/>
              <w:bottom w:val="single" w:color="auto" w:sz="2" w:space="0"/>
              <w:right w:val="single" w:color="auto" w:sz="2" w:space="0"/>
            </w:tcBorders>
            <w:vAlign w:val="center"/>
          </w:tcPr>
          <w:p w14:paraId="63E36E46">
            <w:pPr>
              <w:spacing w:line="240" w:lineRule="exact"/>
              <w:jc w:val="right"/>
              <w:rPr>
                <w:rFonts w:ascii="宋体" w:hAnsi="宋体" w:eastAsia="宋体" w:cs="宋体"/>
                <w:sz w:val="18"/>
                <w:szCs w:val="18"/>
              </w:rPr>
            </w:pPr>
            <w:r>
              <w:rPr>
                <w:rFonts w:ascii="宋体" w:hAnsi="宋体" w:eastAsia="宋体" w:cs="宋体"/>
                <w:sz w:val="18"/>
                <w:szCs w:val="18"/>
              </w:rPr>
              <w:t>197,608,641.04</w:t>
            </w:r>
          </w:p>
        </w:tc>
        <w:tc>
          <w:tcPr>
            <w:tcW w:w="1377" w:type="dxa"/>
            <w:tcBorders>
              <w:top w:val="single" w:color="auto" w:sz="2" w:space="0"/>
              <w:left w:val="single" w:color="auto" w:sz="2" w:space="0"/>
              <w:bottom w:val="single" w:color="auto" w:sz="2" w:space="0"/>
              <w:right w:val="single" w:color="auto" w:sz="2" w:space="0"/>
            </w:tcBorders>
            <w:vAlign w:val="center"/>
          </w:tcPr>
          <w:p w14:paraId="5E904A9C">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E478B33">
            <w:pPr>
              <w:spacing w:line="240" w:lineRule="exact"/>
              <w:jc w:val="right"/>
              <w:rPr>
                <w:rFonts w:ascii="宋体" w:hAnsi="宋体" w:eastAsia="宋体" w:cs="宋体"/>
                <w:sz w:val="18"/>
                <w:szCs w:val="18"/>
              </w:rPr>
            </w:pPr>
            <w:r>
              <w:rPr>
                <w:rFonts w:ascii="宋体" w:hAnsi="宋体" w:eastAsia="宋体" w:cs="宋体"/>
                <w:sz w:val="18"/>
                <w:szCs w:val="18"/>
              </w:rPr>
              <w:t>197,608,641.04</w:t>
            </w:r>
          </w:p>
        </w:tc>
        <w:tc>
          <w:tcPr>
            <w:tcW w:w="1377" w:type="dxa"/>
            <w:tcBorders>
              <w:top w:val="single" w:color="auto" w:sz="2" w:space="0"/>
              <w:left w:val="single" w:color="auto" w:sz="2" w:space="0"/>
              <w:bottom w:val="single" w:color="auto" w:sz="2" w:space="0"/>
              <w:right w:val="single" w:color="auto" w:sz="2" w:space="0"/>
            </w:tcBorders>
            <w:vAlign w:val="center"/>
          </w:tcPr>
          <w:p w14:paraId="4A358AD7">
            <w:pPr>
              <w:spacing w:line="240" w:lineRule="exact"/>
              <w:jc w:val="right"/>
              <w:rPr>
                <w:rFonts w:ascii="宋体" w:hAnsi="宋体" w:eastAsia="宋体" w:cs="宋体"/>
                <w:sz w:val="18"/>
                <w:szCs w:val="18"/>
              </w:rPr>
            </w:pPr>
            <w:r>
              <w:rPr>
                <w:rFonts w:ascii="宋体" w:hAnsi="宋体" w:eastAsia="宋体" w:cs="宋体"/>
                <w:sz w:val="18"/>
                <w:szCs w:val="18"/>
              </w:rPr>
              <w:t>195,038,238.31</w:t>
            </w:r>
          </w:p>
        </w:tc>
        <w:tc>
          <w:tcPr>
            <w:tcW w:w="1377" w:type="dxa"/>
            <w:tcBorders>
              <w:top w:val="single" w:color="auto" w:sz="2" w:space="0"/>
              <w:left w:val="single" w:color="auto" w:sz="2" w:space="0"/>
              <w:bottom w:val="single" w:color="auto" w:sz="2" w:space="0"/>
              <w:right w:val="single" w:color="auto" w:sz="2" w:space="0"/>
            </w:tcBorders>
            <w:vAlign w:val="center"/>
          </w:tcPr>
          <w:p w14:paraId="4F0D1586">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D18AFD6">
            <w:pPr>
              <w:spacing w:line="240" w:lineRule="exact"/>
              <w:jc w:val="right"/>
              <w:rPr>
                <w:rFonts w:ascii="宋体" w:hAnsi="宋体" w:eastAsia="宋体" w:cs="宋体"/>
                <w:sz w:val="18"/>
                <w:szCs w:val="18"/>
              </w:rPr>
            </w:pPr>
            <w:r>
              <w:rPr>
                <w:rFonts w:ascii="宋体" w:hAnsi="宋体" w:eastAsia="宋体" w:cs="宋体"/>
                <w:sz w:val="18"/>
                <w:szCs w:val="18"/>
              </w:rPr>
              <w:t>195,038,238.31</w:t>
            </w:r>
          </w:p>
        </w:tc>
      </w:tr>
      <w:tr w14:paraId="50D78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3D620AD">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45E3BEF9">
            <w:pPr>
              <w:spacing w:line="240" w:lineRule="exact"/>
              <w:jc w:val="right"/>
              <w:rPr>
                <w:rFonts w:ascii="宋体" w:hAnsi="宋体" w:eastAsia="宋体" w:cs="宋体"/>
                <w:sz w:val="18"/>
                <w:szCs w:val="18"/>
              </w:rPr>
            </w:pPr>
            <w:r>
              <w:rPr>
                <w:rFonts w:ascii="宋体" w:hAnsi="宋体" w:eastAsia="宋体" w:cs="宋体"/>
                <w:sz w:val="18"/>
                <w:szCs w:val="18"/>
              </w:rPr>
              <w:t>4,469,313,781.11</w:t>
            </w:r>
          </w:p>
        </w:tc>
        <w:tc>
          <w:tcPr>
            <w:tcW w:w="1377" w:type="dxa"/>
            <w:tcBorders>
              <w:top w:val="single" w:color="auto" w:sz="2" w:space="0"/>
              <w:left w:val="single" w:color="auto" w:sz="2" w:space="0"/>
              <w:bottom w:val="single" w:color="auto" w:sz="2" w:space="0"/>
              <w:right w:val="single" w:color="auto" w:sz="2" w:space="0"/>
            </w:tcBorders>
            <w:vAlign w:val="center"/>
          </w:tcPr>
          <w:p w14:paraId="790214ED">
            <w:pPr>
              <w:spacing w:line="240" w:lineRule="exact"/>
              <w:jc w:val="right"/>
              <w:rPr>
                <w:rFonts w:ascii="宋体" w:hAnsi="宋体" w:eastAsia="宋体" w:cs="宋体"/>
                <w:sz w:val="18"/>
                <w:szCs w:val="18"/>
              </w:rPr>
            </w:pPr>
            <w:r>
              <w:rPr>
                <w:rFonts w:ascii="宋体" w:hAnsi="宋体" w:eastAsia="宋体" w:cs="宋体"/>
                <w:sz w:val="18"/>
                <w:szCs w:val="18"/>
              </w:rPr>
              <w:t>82,561,660.83</w:t>
            </w:r>
          </w:p>
        </w:tc>
        <w:tc>
          <w:tcPr>
            <w:tcW w:w="1377" w:type="dxa"/>
            <w:tcBorders>
              <w:top w:val="single" w:color="auto" w:sz="2" w:space="0"/>
              <w:left w:val="single" w:color="auto" w:sz="2" w:space="0"/>
              <w:bottom w:val="single" w:color="auto" w:sz="2" w:space="0"/>
              <w:right w:val="single" w:color="auto" w:sz="2" w:space="0"/>
            </w:tcBorders>
            <w:vAlign w:val="center"/>
          </w:tcPr>
          <w:p w14:paraId="425E7A0F">
            <w:pPr>
              <w:spacing w:line="240" w:lineRule="exact"/>
              <w:jc w:val="right"/>
              <w:rPr>
                <w:rFonts w:ascii="宋体" w:hAnsi="宋体" w:eastAsia="宋体" w:cs="宋体"/>
                <w:sz w:val="18"/>
                <w:szCs w:val="18"/>
              </w:rPr>
            </w:pPr>
            <w:r>
              <w:rPr>
                <w:rFonts w:ascii="宋体" w:hAnsi="宋体" w:eastAsia="宋体" w:cs="宋体"/>
                <w:sz w:val="18"/>
                <w:szCs w:val="18"/>
              </w:rPr>
              <w:t>4,386,752,120.28</w:t>
            </w:r>
          </w:p>
        </w:tc>
        <w:tc>
          <w:tcPr>
            <w:tcW w:w="1377" w:type="dxa"/>
            <w:tcBorders>
              <w:top w:val="single" w:color="auto" w:sz="2" w:space="0"/>
              <w:left w:val="single" w:color="auto" w:sz="2" w:space="0"/>
              <w:bottom w:val="single" w:color="auto" w:sz="2" w:space="0"/>
              <w:right w:val="single" w:color="auto" w:sz="2" w:space="0"/>
            </w:tcBorders>
            <w:vAlign w:val="center"/>
          </w:tcPr>
          <w:p w14:paraId="374448C7">
            <w:pPr>
              <w:spacing w:line="240" w:lineRule="exact"/>
              <w:jc w:val="right"/>
              <w:rPr>
                <w:rFonts w:ascii="宋体" w:hAnsi="宋体" w:eastAsia="宋体" w:cs="宋体"/>
                <w:sz w:val="18"/>
                <w:szCs w:val="18"/>
              </w:rPr>
            </w:pPr>
            <w:r>
              <w:rPr>
                <w:rFonts w:ascii="宋体" w:hAnsi="宋体" w:eastAsia="宋体" w:cs="宋体"/>
                <w:sz w:val="18"/>
                <w:szCs w:val="18"/>
              </w:rPr>
              <w:t>4,847,961,852.99</w:t>
            </w:r>
          </w:p>
        </w:tc>
        <w:tc>
          <w:tcPr>
            <w:tcW w:w="1377" w:type="dxa"/>
            <w:tcBorders>
              <w:top w:val="single" w:color="auto" w:sz="2" w:space="0"/>
              <w:left w:val="single" w:color="auto" w:sz="2" w:space="0"/>
              <w:bottom w:val="single" w:color="auto" w:sz="2" w:space="0"/>
              <w:right w:val="single" w:color="auto" w:sz="2" w:space="0"/>
            </w:tcBorders>
            <w:vAlign w:val="center"/>
          </w:tcPr>
          <w:p w14:paraId="324DFFF4">
            <w:pPr>
              <w:spacing w:line="240" w:lineRule="exact"/>
              <w:jc w:val="right"/>
              <w:rPr>
                <w:rFonts w:ascii="宋体" w:hAnsi="宋体" w:eastAsia="宋体" w:cs="宋体"/>
                <w:sz w:val="18"/>
                <w:szCs w:val="18"/>
              </w:rPr>
            </w:pPr>
            <w:r>
              <w:rPr>
                <w:rFonts w:ascii="宋体" w:hAnsi="宋体" w:eastAsia="宋体" w:cs="宋体"/>
                <w:sz w:val="18"/>
                <w:szCs w:val="18"/>
              </w:rPr>
              <w:t>85,987,130.83</w:t>
            </w:r>
          </w:p>
        </w:tc>
        <w:tc>
          <w:tcPr>
            <w:tcW w:w="1377" w:type="dxa"/>
            <w:tcBorders>
              <w:top w:val="single" w:color="auto" w:sz="2" w:space="0"/>
              <w:left w:val="single" w:color="auto" w:sz="2" w:space="0"/>
              <w:bottom w:val="single" w:color="auto" w:sz="2" w:space="0"/>
              <w:right w:val="single" w:color="auto" w:sz="2" w:space="0"/>
            </w:tcBorders>
            <w:vAlign w:val="center"/>
          </w:tcPr>
          <w:p w14:paraId="19951FFF">
            <w:pPr>
              <w:spacing w:line="240" w:lineRule="exact"/>
              <w:jc w:val="right"/>
              <w:rPr>
                <w:rFonts w:ascii="宋体" w:hAnsi="宋体" w:eastAsia="宋体" w:cs="宋体"/>
                <w:sz w:val="18"/>
                <w:szCs w:val="18"/>
              </w:rPr>
            </w:pPr>
            <w:r>
              <w:rPr>
                <w:rFonts w:ascii="宋体" w:hAnsi="宋体" w:eastAsia="宋体" w:cs="宋体"/>
                <w:sz w:val="18"/>
                <w:szCs w:val="18"/>
              </w:rPr>
              <w:t>4,761,974,722.16</w:t>
            </w:r>
          </w:p>
        </w:tc>
      </w:tr>
    </w:tbl>
    <w:p w14:paraId="597E8D36">
      <w:pPr>
        <w:keepNext/>
        <w:keepLines/>
        <w:spacing w:before="300" w:after="300" w:line="280" w:lineRule="exact"/>
        <w:outlineLvl w:val="3"/>
        <w:rPr>
          <w:sz w:val="18"/>
          <w:szCs w:val="18"/>
        </w:rPr>
      </w:pPr>
      <w:bookmarkStart w:id="327" w:name="_Toc989179"/>
      <w:r>
        <w:rPr>
          <w:rFonts w:ascii="宋体" w:hAnsi="宋体" w:eastAsia="宋体" w:cs="宋体"/>
          <w:b/>
          <w:bCs/>
          <w:szCs w:val="21"/>
        </w:rPr>
        <w:t>（2） 确认为存货的数据资源</w:t>
      </w:r>
      <w:bookmarkEnd w:id="327"/>
    </w:p>
    <w:p w14:paraId="475D5714">
      <w:pPr>
        <w:keepNext/>
        <w:keepLines/>
        <w:spacing w:before="300" w:after="300" w:line="280" w:lineRule="exact"/>
        <w:outlineLvl w:val="3"/>
        <w:rPr>
          <w:rFonts w:ascii="宋体" w:hAnsi="宋体" w:eastAsia="宋体" w:cs="宋体"/>
          <w:b/>
          <w:bCs/>
          <w:szCs w:val="21"/>
        </w:rPr>
      </w:pPr>
      <w:bookmarkStart w:id="328" w:name="_Toc989180"/>
      <w:r>
        <w:rPr>
          <w:rFonts w:ascii="宋体" w:hAnsi="宋体" w:eastAsia="宋体" w:cs="宋体"/>
          <w:b/>
          <w:bCs/>
          <w:szCs w:val="21"/>
        </w:rPr>
        <w:t>（3） 存货跌价准备和合同履约成本减值准备</w:t>
      </w:r>
      <w:bookmarkEnd w:id="328"/>
    </w:p>
    <w:p w14:paraId="6D9C4C1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322E1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517B3B5">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D37F0A0">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54E0E31">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1416904">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8C91DA3">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24D06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E9D8B0C"/>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1A376E1"/>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B556E0C">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C79F85D">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809ECF2">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转回或转销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01DF923">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644B76C"/>
        </w:tc>
      </w:tr>
      <w:tr w14:paraId="44D55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AF5031C">
            <w:pPr>
              <w:spacing w:before="40" w:after="40" w:line="240" w:lineRule="exac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14:paraId="067C32CE">
            <w:pPr>
              <w:spacing w:line="240" w:lineRule="exact"/>
              <w:jc w:val="right"/>
              <w:rPr>
                <w:rFonts w:ascii="宋体" w:hAnsi="宋体" w:eastAsia="宋体" w:cs="宋体"/>
                <w:sz w:val="18"/>
                <w:szCs w:val="18"/>
              </w:rPr>
            </w:pPr>
            <w:r>
              <w:rPr>
                <w:rFonts w:ascii="宋体" w:hAnsi="宋体" w:eastAsia="宋体" w:cs="宋体"/>
                <w:sz w:val="18"/>
                <w:szCs w:val="18"/>
              </w:rPr>
              <w:t>5,738,451.24</w:t>
            </w:r>
          </w:p>
        </w:tc>
        <w:tc>
          <w:tcPr>
            <w:tcW w:w="1377" w:type="dxa"/>
            <w:tcBorders>
              <w:top w:val="single" w:color="auto" w:sz="2" w:space="0"/>
              <w:left w:val="single" w:color="auto" w:sz="2" w:space="0"/>
              <w:bottom w:val="single" w:color="auto" w:sz="2" w:space="0"/>
              <w:right w:val="single" w:color="auto" w:sz="2" w:space="0"/>
            </w:tcBorders>
            <w:vAlign w:val="center"/>
          </w:tcPr>
          <w:p w14:paraId="03CB92EF">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326A1DF">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E07D6E8">
            <w:pPr>
              <w:spacing w:line="240" w:lineRule="exact"/>
              <w:jc w:val="right"/>
              <w:rPr>
                <w:rFonts w:ascii="宋体" w:hAnsi="宋体" w:eastAsia="宋体" w:cs="宋体"/>
                <w:sz w:val="18"/>
                <w:szCs w:val="18"/>
              </w:rPr>
            </w:pPr>
            <w:r>
              <w:rPr>
                <w:rFonts w:ascii="宋体" w:hAnsi="宋体" w:eastAsia="宋体" w:cs="宋体"/>
                <w:sz w:val="18"/>
                <w:szCs w:val="18"/>
              </w:rPr>
              <w:t>5,179,609.33</w:t>
            </w:r>
          </w:p>
        </w:tc>
        <w:tc>
          <w:tcPr>
            <w:tcW w:w="1377" w:type="dxa"/>
            <w:tcBorders>
              <w:top w:val="single" w:color="auto" w:sz="2" w:space="0"/>
              <w:left w:val="single" w:color="auto" w:sz="2" w:space="0"/>
              <w:bottom w:val="single" w:color="auto" w:sz="2" w:space="0"/>
              <w:right w:val="single" w:color="auto" w:sz="2" w:space="0"/>
            </w:tcBorders>
            <w:vAlign w:val="center"/>
          </w:tcPr>
          <w:p w14:paraId="264F1405">
            <w:pPr>
              <w:spacing w:line="240" w:lineRule="exact"/>
              <w:jc w:val="right"/>
              <w:rPr>
                <w:rFonts w:ascii="宋体" w:hAnsi="宋体" w:eastAsia="宋体" w:cs="宋体"/>
                <w:sz w:val="18"/>
                <w:szCs w:val="18"/>
              </w:rPr>
            </w:pPr>
            <w:r>
              <w:rPr>
                <w:rFonts w:ascii="宋体" w:hAnsi="宋体" w:eastAsia="宋体" w:cs="宋体"/>
                <w:sz w:val="18"/>
                <w:szCs w:val="18"/>
              </w:rPr>
              <w:t>269.97</w:t>
            </w:r>
          </w:p>
        </w:tc>
        <w:tc>
          <w:tcPr>
            <w:tcW w:w="1377" w:type="dxa"/>
            <w:tcBorders>
              <w:top w:val="single" w:color="auto" w:sz="2" w:space="0"/>
              <w:left w:val="single" w:color="auto" w:sz="2" w:space="0"/>
              <w:bottom w:val="single" w:color="auto" w:sz="2" w:space="0"/>
              <w:right w:val="single" w:color="auto" w:sz="2" w:space="0"/>
            </w:tcBorders>
            <w:vAlign w:val="center"/>
          </w:tcPr>
          <w:p w14:paraId="23450209">
            <w:pPr>
              <w:spacing w:line="240" w:lineRule="exact"/>
              <w:jc w:val="right"/>
              <w:rPr>
                <w:rFonts w:ascii="宋体" w:hAnsi="宋体" w:eastAsia="宋体" w:cs="宋体"/>
                <w:sz w:val="18"/>
                <w:szCs w:val="18"/>
              </w:rPr>
            </w:pPr>
            <w:r>
              <w:rPr>
                <w:rFonts w:ascii="宋体" w:hAnsi="宋体" w:eastAsia="宋体" w:cs="宋体"/>
                <w:sz w:val="18"/>
                <w:szCs w:val="18"/>
              </w:rPr>
              <w:t>558,571.94</w:t>
            </w:r>
          </w:p>
        </w:tc>
      </w:tr>
      <w:tr w14:paraId="0D74A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EDE8680">
            <w:pPr>
              <w:spacing w:before="40" w:after="40" w:line="240" w:lineRule="exac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14:paraId="043E07FA">
            <w:pPr>
              <w:spacing w:line="240" w:lineRule="exact"/>
              <w:jc w:val="right"/>
              <w:rPr>
                <w:rFonts w:ascii="宋体" w:hAnsi="宋体" w:eastAsia="宋体" w:cs="宋体"/>
                <w:sz w:val="18"/>
                <w:szCs w:val="18"/>
              </w:rPr>
            </w:pPr>
            <w:r>
              <w:rPr>
                <w:rFonts w:ascii="宋体" w:hAnsi="宋体" w:eastAsia="宋体" w:cs="宋体"/>
                <w:sz w:val="18"/>
                <w:szCs w:val="18"/>
              </w:rPr>
              <w:t>4,868,046.91</w:t>
            </w:r>
          </w:p>
        </w:tc>
        <w:tc>
          <w:tcPr>
            <w:tcW w:w="1377" w:type="dxa"/>
            <w:tcBorders>
              <w:top w:val="single" w:color="auto" w:sz="2" w:space="0"/>
              <w:left w:val="single" w:color="auto" w:sz="2" w:space="0"/>
              <w:bottom w:val="single" w:color="auto" w:sz="2" w:space="0"/>
              <w:right w:val="single" w:color="auto" w:sz="2" w:space="0"/>
            </w:tcBorders>
            <w:vAlign w:val="center"/>
          </w:tcPr>
          <w:p w14:paraId="701F71BA">
            <w:pPr>
              <w:spacing w:line="240" w:lineRule="exact"/>
              <w:jc w:val="right"/>
              <w:rPr>
                <w:rFonts w:ascii="宋体" w:hAnsi="宋体" w:eastAsia="宋体" w:cs="宋体"/>
                <w:sz w:val="18"/>
                <w:szCs w:val="18"/>
              </w:rPr>
            </w:pPr>
            <w:r>
              <w:rPr>
                <w:rFonts w:ascii="宋体" w:hAnsi="宋体" w:eastAsia="宋体" w:cs="宋体"/>
                <w:sz w:val="18"/>
                <w:szCs w:val="18"/>
              </w:rPr>
              <w:t>1,501,479.51</w:t>
            </w:r>
          </w:p>
        </w:tc>
        <w:tc>
          <w:tcPr>
            <w:tcW w:w="1377" w:type="dxa"/>
            <w:tcBorders>
              <w:top w:val="single" w:color="auto" w:sz="2" w:space="0"/>
              <w:left w:val="single" w:color="auto" w:sz="2" w:space="0"/>
              <w:bottom w:val="single" w:color="auto" w:sz="2" w:space="0"/>
              <w:right w:val="single" w:color="auto" w:sz="2" w:space="0"/>
            </w:tcBorders>
            <w:vAlign w:val="center"/>
          </w:tcPr>
          <w:p w14:paraId="28B61849">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E091F43">
            <w:pPr>
              <w:spacing w:line="240" w:lineRule="exact"/>
              <w:jc w:val="right"/>
              <w:rPr>
                <w:rFonts w:ascii="宋体" w:hAnsi="宋体" w:eastAsia="宋体" w:cs="宋体"/>
                <w:sz w:val="18"/>
                <w:szCs w:val="18"/>
              </w:rPr>
            </w:pPr>
            <w:r>
              <w:rPr>
                <w:rFonts w:ascii="宋体" w:hAnsi="宋体" w:eastAsia="宋体" w:cs="宋体"/>
                <w:sz w:val="18"/>
                <w:szCs w:val="18"/>
              </w:rPr>
              <w:t>499,409.57</w:t>
            </w:r>
          </w:p>
        </w:tc>
        <w:tc>
          <w:tcPr>
            <w:tcW w:w="1377" w:type="dxa"/>
            <w:tcBorders>
              <w:top w:val="single" w:color="auto" w:sz="2" w:space="0"/>
              <w:left w:val="single" w:color="auto" w:sz="2" w:space="0"/>
              <w:bottom w:val="single" w:color="auto" w:sz="2" w:space="0"/>
              <w:right w:val="single" w:color="auto" w:sz="2" w:space="0"/>
            </w:tcBorders>
            <w:vAlign w:val="center"/>
          </w:tcPr>
          <w:p w14:paraId="20DA8F16">
            <w:pPr>
              <w:spacing w:line="240" w:lineRule="exact"/>
              <w:jc w:val="right"/>
              <w:rPr>
                <w:rFonts w:ascii="宋体" w:hAnsi="宋体" w:eastAsia="宋体" w:cs="宋体"/>
                <w:sz w:val="18"/>
                <w:szCs w:val="18"/>
              </w:rPr>
            </w:pPr>
            <w:r>
              <w:rPr>
                <w:rFonts w:ascii="宋体" w:hAnsi="宋体" w:eastAsia="宋体" w:cs="宋体"/>
                <w:sz w:val="18"/>
                <w:szCs w:val="18"/>
              </w:rPr>
              <w:t>14,822.23</w:t>
            </w:r>
          </w:p>
        </w:tc>
        <w:tc>
          <w:tcPr>
            <w:tcW w:w="1377" w:type="dxa"/>
            <w:tcBorders>
              <w:top w:val="single" w:color="auto" w:sz="2" w:space="0"/>
              <w:left w:val="single" w:color="auto" w:sz="2" w:space="0"/>
              <w:bottom w:val="single" w:color="auto" w:sz="2" w:space="0"/>
              <w:right w:val="single" w:color="auto" w:sz="2" w:space="0"/>
            </w:tcBorders>
            <w:vAlign w:val="center"/>
          </w:tcPr>
          <w:p w14:paraId="3F0E1DD6">
            <w:pPr>
              <w:spacing w:line="240" w:lineRule="exact"/>
              <w:jc w:val="right"/>
              <w:rPr>
                <w:rFonts w:ascii="宋体" w:hAnsi="宋体" w:eastAsia="宋体" w:cs="宋体"/>
                <w:sz w:val="18"/>
                <w:szCs w:val="18"/>
              </w:rPr>
            </w:pPr>
            <w:r>
              <w:rPr>
                <w:rFonts w:ascii="宋体" w:hAnsi="宋体" w:eastAsia="宋体" w:cs="宋体"/>
                <w:sz w:val="18"/>
                <w:szCs w:val="18"/>
              </w:rPr>
              <w:t>5,855,294.62</w:t>
            </w:r>
          </w:p>
        </w:tc>
      </w:tr>
      <w:tr w14:paraId="0D3B5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4ACCD78">
            <w:pPr>
              <w:spacing w:before="40" w:after="40" w:line="240" w:lineRule="exac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14:paraId="0A2977C8">
            <w:pPr>
              <w:spacing w:line="240" w:lineRule="exact"/>
              <w:jc w:val="right"/>
              <w:rPr>
                <w:rFonts w:ascii="宋体" w:hAnsi="宋体" w:eastAsia="宋体" w:cs="宋体"/>
                <w:sz w:val="18"/>
                <w:szCs w:val="18"/>
              </w:rPr>
            </w:pPr>
            <w:r>
              <w:rPr>
                <w:rFonts w:ascii="宋体" w:hAnsi="宋体" w:eastAsia="宋体" w:cs="宋体"/>
                <w:sz w:val="18"/>
                <w:szCs w:val="18"/>
              </w:rPr>
              <w:t>75,380,632.68</w:t>
            </w:r>
          </w:p>
        </w:tc>
        <w:tc>
          <w:tcPr>
            <w:tcW w:w="1377" w:type="dxa"/>
            <w:tcBorders>
              <w:top w:val="single" w:color="auto" w:sz="2" w:space="0"/>
              <w:left w:val="single" w:color="auto" w:sz="2" w:space="0"/>
              <w:bottom w:val="single" w:color="auto" w:sz="2" w:space="0"/>
              <w:right w:val="single" w:color="auto" w:sz="2" w:space="0"/>
            </w:tcBorders>
            <w:vAlign w:val="center"/>
          </w:tcPr>
          <w:p w14:paraId="2735442C">
            <w:pPr>
              <w:spacing w:line="240" w:lineRule="exact"/>
              <w:jc w:val="right"/>
              <w:rPr>
                <w:rFonts w:ascii="宋体" w:hAnsi="宋体" w:eastAsia="宋体" w:cs="宋体"/>
                <w:sz w:val="18"/>
                <w:szCs w:val="18"/>
              </w:rPr>
            </w:pPr>
            <w:r>
              <w:rPr>
                <w:rFonts w:ascii="宋体" w:hAnsi="宋体" w:eastAsia="宋体" w:cs="宋体"/>
                <w:sz w:val="18"/>
                <w:szCs w:val="18"/>
              </w:rPr>
              <w:t>8,820,000.90</w:t>
            </w:r>
          </w:p>
        </w:tc>
        <w:tc>
          <w:tcPr>
            <w:tcW w:w="1377" w:type="dxa"/>
            <w:tcBorders>
              <w:top w:val="single" w:color="auto" w:sz="2" w:space="0"/>
              <w:left w:val="single" w:color="auto" w:sz="2" w:space="0"/>
              <w:bottom w:val="single" w:color="auto" w:sz="2" w:space="0"/>
              <w:right w:val="single" w:color="auto" w:sz="2" w:space="0"/>
            </w:tcBorders>
            <w:vAlign w:val="center"/>
          </w:tcPr>
          <w:p w14:paraId="14517581">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486E826">
            <w:pPr>
              <w:spacing w:line="240" w:lineRule="exact"/>
              <w:jc w:val="right"/>
              <w:rPr>
                <w:rFonts w:ascii="宋体" w:hAnsi="宋体" w:eastAsia="宋体" w:cs="宋体"/>
                <w:sz w:val="18"/>
                <w:szCs w:val="18"/>
              </w:rPr>
            </w:pPr>
            <w:r>
              <w:rPr>
                <w:rFonts w:ascii="宋体" w:hAnsi="宋体" w:eastAsia="宋体" w:cs="宋体"/>
                <w:sz w:val="18"/>
                <w:szCs w:val="18"/>
              </w:rPr>
              <w:t>7,401,563.61</w:t>
            </w:r>
          </w:p>
        </w:tc>
        <w:tc>
          <w:tcPr>
            <w:tcW w:w="1377" w:type="dxa"/>
            <w:tcBorders>
              <w:top w:val="single" w:color="auto" w:sz="2" w:space="0"/>
              <w:left w:val="single" w:color="auto" w:sz="2" w:space="0"/>
              <w:bottom w:val="single" w:color="auto" w:sz="2" w:space="0"/>
              <w:right w:val="single" w:color="auto" w:sz="2" w:space="0"/>
            </w:tcBorders>
            <w:vAlign w:val="center"/>
          </w:tcPr>
          <w:p w14:paraId="54A66788">
            <w:pPr>
              <w:spacing w:line="240" w:lineRule="exact"/>
              <w:jc w:val="right"/>
              <w:rPr>
                <w:rFonts w:ascii="宋体" w:hAnsi="宋体" w:eastAsia="宋体" w:cs="宋体"/>
                <w:sz w:val="18"/>
                <w:szCs w:val="18"/>
              </w:rPr>
            </w:pPr>
            <w:r>
              <w:rPr>
                <w:rFonts w:ascii="宋体" w:hAnsi="宋体" w:eastAsia="宋体" w:cs="宋体"/>
                <w:sz w:val="18"/>
                <w:szCs w:val="18"/>
              </w:rPr>
              <w:t>651,275.70</w:t>
            </w:r>
          </w:p>
        </w:tc>
        <w:tc>
          <w:tcPr>
            <w:tcW w:w="1377" w:type="dxa"/>
            <w:tcBorders>
              <w:top w:val="single" w:color="auto" w:sz="2" w:space="0"/>
              <w:left w:val="single" w:color="auto" w:sz="2" w:space="0"/>
              <w:bottom w:val="single" w:color="auto" w:sz="2" w:space="0"/>
              <w:right w:val="single" w:color="auto" w:sz="2" w:space="0"/>
            </w:tcBorders>
            <w:vAlign w:val="center"/>
          </w:tcPr>
          <w:p w14:paraId="3E2986CF">
            <w:pPr>
              <w:spacing w:line="240" w:lineRule="exact"/>
              <w:jc w:val="right"/>
              <w:rPr>
                <w:rFonts w:ascii="宋体" w:hAnsi="宋体" w:eastAsia="宋体" w:cs="宋体"/>
                <w:sz w:val="18"/>
                <w:szCs w:val="18"/>
              </w:rPr>
            </w:pPr>
            <w:r>
              <w:rPr>
                <w:rFonts w:ascii="宋体" w:hAnsi="宋体" w:eastAsia="宋体" w:cs="宋体"/>
                <w:sz w:val="18"/>
                <w:szCs w:val="18"/>
              </w:rPr>
              <w:t>76,147,794.27</w:t>
            </w:r>
          </w:p>
        </w:tc>
      </w:tr>
      <w:tr w14:paraId="156BF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03DA971">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03474CA6">
            <w:pPr>
              <w:spacing w:line="240" w:lineRule="exact"/>
              <w:jc w:val="right"/>
              <w:rPr>
                <w:rFonts w:ascii="宋体" w:hAnsi="宋体" w:eastAsia="宋体" w:cs="宋体"/>
                <w:sz w:val="18"/>
                <w:szCs w:val="18"/>
              </w:rPr>
            </w:pPr>
            <w:r>
              <w:rPr>
                <w:rFonts w:ascii="宋体" w:hAnsi="宋体" w:eastAsia="宋体" w:cs="宋体"/>
                <w:sz w:val="18"/>
                <w:szCs w:val="18"/>
              </w:rPr>
              <w:t>85,987,130.83</w:t>
            </w:r>
          </w:p>
        </w:tc>
        <w:tc>
          <w:tcPr>
            <w:tcW w:w="1377" w:type="dxa"/>
            <w:tcBorders>
              <w:top w:val="single" w:color="auto" w:sz="2" w:space="0"/>
              <w:left w:val="single" w:color="auto" w:sz="2" w:space="0"/>
              <w:bottom w:val="single" w:color="auto" w:sz="2" w:space="0"/>
              <w:right w:val="single" w:color="auto" w:sz="2" w:space="0"/>
            </w:tcBorders>
            <w:vAlign w:val="center"/>
          </w:tcPr>
          <w:p w14:paraId="4EAC1491">
            <w:pPr>
              <w:spacing w:line="240" w:lineRule="exact"/>
              <w:jc w:val="right"/>
              <w:rPr>
                <w:rFonts w:ascii="宋体" w:hAnsi="宋体" w:eastAsia="宋体" w:cs="宋体"/>
                <w:sz w:val="18"/>
                <w:szCs w:val="18"/>
              </w:rPr>
            </w:pPr>
            <w:r>
              <w:rPr>
                <w:rFonts w:ascii="宋体" w:hAnsi="宋体" w:eastAsia="宋体" w:cs="宋体"/>
                <w:sz w:val="18"/>
                <w:szCs w:val="18"/>
              </w:rPr>
              <w:t>10,321,480.41</w:t>
            </w:r>
          </w:p>
        </w:tc>
        <w:tc>
          <w:tcPr>
            <w:tcW w:w="1377" w:type="dxa"/>
            <w:tcBorders>
              <w:top w:val="single" w:color="auto" w:sz="2" w:space="0"/>
              <w:left w:val="single" w:color="auto" w:sz="2" w:space="0"/>
              <w:bottom w:val="single" w:color="auto" w:sz="2" w:space="0"/>
              <w:right w:val="single" w:color="auto" w:sz="2" w:space="0"/>
            </w:tcBorders>
            <w:vAlign w:val="center"/>
          </w:tcPr>
          <w:p w14:paraId="26EE93B9">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6B660F0">
            <w:pPr>
              <w:spacing w:line="240" w:lineRule="exact"/>
              <w:jc w:val="right"/>
              <w:rPr>
                <w:rFonts w:ascii="宋体" w:hAnsi="宋体" w:eastAsia="宋体" w:cs="宋体"/>
                <w:sz w:val="18"/>
                <w:szCs w:val="18"/>
              </w:rPr>
            </w:pPr>
            <w:r>
              <w:rPr>
                <w:rFonts w:ascii="宋体" w:hAnsi="宋体" w:eastAsia="宋体" w:cs="宋体"/>
                <w:sz w:val="18"/>
                <w:szCs w:val="18"/>
              </w:rPr>
              <w:t>13,080,582.51</w:t>
            </w:r>
          </w:p>
        </w:tc>
        <w:tc>
          <w:tcPr>
            <w:tcW w:w="1377" w:type="dxa"/>
            <w:tcBorders>
              <w:top w:val="single" w:color="auto" w:sz="2" w:space="0"/>
              <w:left w:val="single" w:color="auto" w:sz="2" w:space="0"/>
              <w:bottom w:val="single" w:color="auto" w:sz="2" w:space="0"/>
              <w:right w:val="single" w:color="auto" w:sz="2" w:space="0"/>
            </w:tcBorders>
            <w:vAlign w:val="center"/>
          </w:tcPr>
          <w:p w14:paraId="1F87EC9B">
            <w:pPr>
              <w:spacing w:line="240" w:lineRule="exact"/>
              <w:jc w:val="right"/>
              <w:rPr>
                <w:rFonts w:ascii="宋体" w:hAnsi="宋体" w:eastAsia="宋体" w:cs="宋体"/>
                <w:sz w:val="18"/>
                <w:szCs w:val="18"/>
              </w:rPr>
            </w:pPr>
            <w:r>
              <w:rPr>
                <w:rFonts w:ascii="宋体" w:hAnsi="宋体" w:eastAsia="宋体" w:cs="宋体"/>
                <w:sz w:val="18"/>
                <w:szCs w:val="18"/>
              </w:rPr>
              <w:t>666,367.90</w:t>
            </w:r>
          </w:p>
        </w:tc>
        <w:tc>
          <w:tcPr>
            <w:tcW w:w="1377" w:type="dxa"/>
            <w:tcBorders>
              <w:top w:val="single" w:color="auto" w:sz="2" w:space="0"/>
              <w:left w:val="single" w:color="auto" w:sz="2" w:space="0"/>
              <w:bottom w:val="single" w:color="auto" w:sz="2" w:space="0"/>
              <w:right w:val="single" w:color="auto" w:sz="2" w:space="0"/>
            </w:tcBorders>
            <w:vAlign w:val="center"/>
          </w:tcPr>
          <w:p w14:paraId="7F964250">
            <w:pPr>
              <w:spacing w:line="240" w:lineRule="exact"/>
              <w:jc w:val="right"/>
              <w:rPr>
                <w:rFonts w:ascii="宋体" w:hAnsi="宋体" w:eastAsia="宋体" w:cs="宋体"/>
                <w:sz w:val="18"/>
                <w:szCs w:val="18"/>
              </w:rPr>
            </w:pPr>
            <w:r>
              <w:rPr>
                <w:rFonts w:ascii="宋体" w:hAnsi="宋体" w:eastAsia="宋体" w:cs="宋体"/>
                <w:sz w:val="18"/>
                <w:szCs w:val="18"/>
              </w:rPr>
              <w:t>82,561,660.83</w:t>
            </w:r>
          </w:p>
        </w:tc>
      </w:tr>
    </w:tbl>
    <w:p w14:paraId="10B717E4">
      <w:pPr>
        <w:spacing w:before="100" w:after="100" w:line="240" w:lineRule="exact"/>
        <w:rPr>
          <w:rFonts w:ascii="宋体" w:hAnsi="宋体" w:eastAsia="宋体" w:cs="宋体"/>
          <w:sz w:val="18"/>
          <w:szCs w:val="18"/>
        </w:rPr>
      </w:pPr>
      <w:r>
        <w:rPr>
          <w:rFonts w:ascii="宋体" w:hAnsi="宋体" w:eastAsia="宋体" w:cs="宋体"/>
          <w:sz w:val="18"/>
          <w:szCs w:val="18"/>
        </w:rPr>
        <w:t>按组合计提存货跌价准备</w:t>
      </w:r>
    </w:p>
    <w:p w14:paraId="2058B9F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11ECA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0D9641D">
            <w:pPr>
              <w:spacing w:before="40" w:after="40" w:line="240" w:lineRule="exact"/>
              <w:jc w:val="center"/>
              <w:rPr>
                <w:rFonts w:ascii="宋体" w:hAnsi="宋体" w:eastAsia="宋体" w:cs="宋体"/>
                <w:sz w:val="18"/>
                <w:szCs w:val="18"/>
              </w:rPr>
            </w:pPr>
            <w:r>
              <w:rPr>
                <w:rFonts w:ascii="宋体" w:hAnsi="宋体" w:eastAsia="宋体" w:cs="宋体"/>
                <w:sz w:val="18"/>
                <w:szCs w:val="18"/>
              </w:rPr>
              <w:t>组合名称</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03150B83">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4E5A2942">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r>
      <w:tr w14:paraId="67C94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31C968D"/>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17D28C7">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703D748">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DF81946">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D47CD29">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972CE3A">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6CDF58B">
            <w:pPr>
              <w:spacing w:before="40" w:after="40" w:line="240" w:lineRule="exact"/>
              <w:jc w:val="center"/>
              <w:rPr>
                <w:rFonts w:ascii="宋体" w:hAnsi="宋体" w:eastAsia="宋体" w:cs="宋体"/>
                <w:sz w:val="18"/>
                <w:szCs w:val="18"/>
              </w:rPr>
            </w:pPr>
            <w:r>
              <w:rPr>
                <w:rFonts w:ascii="宋体" w:hAnsi="宋体" w:eastAsia="宋体" w:cs="宋体"/>
                <w:sz w:val="18"/>
                <w:szCs w:val="18"/>
              </w:rPr>
              <w:t>跌价准备计提比例</w:t>
            </w:r>
          </w:p>
        </w:tc>
      </w:tr>
    </w:tbl>
    <w:p w14:paraId="6DDB0BAC">
      <w:pPr>
        <w:spacing w:before="100" w:after="100" w:line="240" w:lineRule="exact"/>
        <w:rPr>
          <w:rFonts w:ascii="宋体" w:hAnsi="宋体" w:eastAsia="宋体" w:cs="宋体"/>
          <w:sz w:val="18"/>
          <w:szCs w:val="18"/>
        </w:rPr>
      </w:pPr>
      <w:r>
        <w:rPr>
          <w:rFonts w:ascii="宋体" w:hAnsi="宋体" w:eastAsia="宋体" w:cs="宋体"/>
          <w:sz w:val="18"/>
          <w:szCs w:val="18"/>
        </w:rPr>
        <w:t>按组合计提存货跌价准备的计提标准</w:t>
      </w:r>
    </w:p>
    <w:p w14:paraId="017857A2">
      <w:pPr>
        <w:keepNext/>
        <w:keepLines/>
        <w:spacing w:before="300" w:after="300" w:line="280" w:lineRule="exact"/>
        <w:outlineLvl w:val="3"/>
        <w:rPr>
          <w:rFonts w:ascii="宋体" w:hAnsi="宋体" w:eastAsia="宋体" w:cs="宋体"/>
          <w:b/>
          <w:bCs/>
          <w:szCs w:val="21"/>
        </w:rPr>
      </w:pPr>
      <w:bookmarkStart w:id="329" w:name="_Toc989181"/>
      <w:r>
        <w:rPr>
          <w:rFonts w:ascii="宋体" w:hAnsi="宋体" w:eastAsia="宋体" w:cs="宋体"/>
          <w:b/>
          <w:bCs/>
          <w:szCs w:val="21"/>
        </w:rPr>
        <w:t>（4） 存货期末余额含有借款费用资本化金额的说明</w:t>
      </w:r>
      <w:bookmarkEnd w:id="329"/>
    </w:p>
    <w:p w14:paraId="70AC7B3E">
      <w:pPr>
        <w:pStyle w:val="9"/>
        <w:rPr>
          <w:sz w:val="18"/>
          <w:szCs w:val="18"/>
        </w:rPr>
      </w:pPr>
      <w:r>
        <w:rPr>
          <w:rFonts w:hint="eastAsia"/>
          <w:sz w:val="18"/>
          <w:szCs w:val="18"/>
        </w:rPr>
        <w:t>无</w:t>
      </w:r>
    </w:p>
    <w:p w14:paraId="77EC37B3">
      <w:pPr>
        <w:keepNext/>
        <w:keepLines/>
        <w:spacing w:before="300" w:after="300" w:line="280" w:lineRule="exact"/>
        <w:outlineLvl w:val="3"/>
        <w:rPr>
          <w:rFonts w:ascii="宋体" w:hAnsi="宋体" w:eastAsia="宋体" w:cs="宋体"/>
          <w:b/>
          <w:bCs/>
          <w:szCs w:val="21"/>
        </w:rPr>
      </w:pPr>
      <w:bookmarkStart w:id="330" w:name="_Toc989182"/>
      <w:r>
        <w:rPr>
          <w:rFonts w:ascii="宋体" w:hAnsi="宋体" w:eastAsia="宋体" w:cs="宋体"/>
          <w:b/>
          <w:bCs/>
          <w:szCs w:val="21"/>
        </w:rPr>
        <w:t>（5） 合同履约成本本期摊销金额的说明</w:t>
      </w:r>
      <w:bookmarkEnd w:id="330"/>
    </w:p>
    <w:p w14:paraId="149070BA">
      <w:pPr>
        <w:pStyle w:val="9"/>
        <w:rPr>
          <w:sz w:val="18"/>
          <w:szCs w:val="18"/>
        </w:rPr>
      </w:pPr>
      <w:r>
        <w:rPr>
          <w:rFonts w:hint="eastAsia"/>
          <w:sz w:val="18"/>
          <w:szCs w:val="18"/>
        </w:rPr>
        <w:t>无</w:t>
      </w:r>
    </w:p>
    <w:p w14:paraId="004B23C5">
      <w:pPr>
        <w:pStyle w:val="3"/>
        <w:spacing w:line="280" w:lineRule="exact"/>
        <w:jc w:val="left"/>
        <w:rPr>
          <w:rFonts w:ascii="宋体" w:hAnsi="宋体" w:cs="宋体"/>
          <w:b/>
          <w:bCs/>
        </w:rPr>
      </w:pPr>
      <w:bookmarkStart w:id="331" w:name="_Toc989183"/>
      <w:r>
        <w:rPr>
          <w:rFonts w:ascii="宋体" w:hAnsi="宋体" w:cs="宋体"/>
          <w:b/>
          <w:bCs/>
        </w:rPr>
        <w:t>11、持有待售资产</w:t>
      </w:r>
      <w:bookmarkEnd w:id="331"/>
    </w:p>
    <w:p w14:paraId="3BFF46E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1DE89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4D6A38E">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B8378FE">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CF108DB">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4A65AF6">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20FCA98">
            <w:pPr>
              <w:spacing w:before="40" w:after="40" w:line="240" w:lineRule="exact"/>
              <w:jc w:val="center"/>
              <w:rPr>
                <w:rFonts w:ascii="宋体" w:hAnsi="宋体" w:eastAsia="宋体" w:cs="宋体"/>
                <w:sz w:val="18"/>
                <w:szCs w:val="18"/>
              </w:rPr>
            </w:pPr>
            <w:r>
              <w:rPr>
                <w:rFonts w:ascii="宋体" w:hAnsi="宋体" w:eastAsia="宋体" w:cs="宋体"/>
                <w:sz w:val="18"/>
                <w:szCs w:val="18"/>
              </w:rPr>
              <w:t>公允价值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0E95CB7">
            <w:pPr>
              <w:spacing w:before="40" w:after="40" w:line="240" w:lineRule="exact"/>
              <w:jc w:val="center"/>
              <w:rPr>
                <w:rFonts w:ascii="宋体" w:hAnsi="宋体" w:eastAsia="宋体" w:cs="宋体"/>
                <w:sz w:val="18"/>
                <w:szCs w:val="18"/>
              </w:rPr>
            </w:pPr>
            <w:r>
              <w:rPr>
                <w:rFonts w:ascii="宋体" w:hAnsi="宋体" w:eastAsia="宋体" w:cs="宋体"/>
                <w:sz w:val="18"/>
                <w:szCs w:val="18"/>
              </w:rPr>
              <w:t>预计处置费用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4BEC47A">
            <w:pPr>
              <w:spacing w:before="40" w:after="40" w:line="240" w:lineRule="exact"/>
              <w:jc w:val="center"/>
              <w:rPr>
                <w:rFonts w:ascii="宋体" w:hAnsi="宋体" w:eastAsia="宋体" w:cs="宋体"/>
                <w:sz w:val="18"/>
                <w:szCs w:val="18"/>
              </w:rPr>
            </w:pPr>
            <w:r>
              <w:rPr>
                <w:rFonts w:ascii="宋体" w:hAnsi="宋体" w:eastAsia="宋体" w:cs="宋体"/>
                <w:sz w:val="18"/>
                <w:szCs w:val="18"/>
              </w:rPr>
              <w:t>预计处置时间</w:t>
            </w:r>
          </w:p>
        </w:tc>
      </w:tr>
    </w:tbl>
    <w:p w14:paraId="275C7579">
      <w:pPr>
        <w:spacing w:before="100" w:after="100" w:line="240" w:lineRule="exact"/>
        <w:rPr>
          <w:rFonts w:ascii="宋体" w:hAnsi="宋体" w:eastAsia="宋体" w:cs="宋体"/>
          <w:sz w:val="18"/>
          <w:szCs w:val="18"/>
        </w:rPr>
      </w:pPr>
      <w:r>
        <w:rPr>
          <w:rFonts w:ascii="宋体" w:hAnsi="宋体" w:eastAsia="宋体" w:cs="宋体"/>
          <w:sz w:val="18"/>
          <w:szCs w:val="18"/>
        </w:rPr>
        <w:t>其他说明：</w:t>
      </w:r>
    </w:p>
    <w:p w14:paraId="0D8F7CF1">
      <w:pPr>
        <w:pStyle w:val="3"/>
        <w:spacing w:line="280" w:lineRule="exact"/>
        <w:jc w:val="left"/>
        <w:rPr>
          <w:rFonts w:ascii="宋体" w:hAnsi="宋体" w:cs="宋体"/>
          <w:b/>
          <w:bCs/>
        </w:rPr>
      </w:pPr>
      <w:bookmarkStart w:id="332" w:name="_Toc989184"/>
      <w:r>
        <w:rPr>
          <w:rFonts w:ascii="宋体" w:hAnsi="宋体" w:cs="宋体"/>
          <w:b/>
          <w:bCs/>
        </w:rPr>
        <w:t>12、一年内到期的非流动资产</w:t>
      </w:r>
      <w:bookmarkEnd w:id="332"/>
    </w:p>
    <w:p w14:paraId="604A6FE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D7AB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0CFBC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1ED89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E8711E">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6BAC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76C95C9">
            <w:pPr>
              <w:spacing w:line="240" w:lineRule="exact"/>
              <w:rPr>
                <w:rFonts w:ascii="宋体" w:hAnsi="宋体" w:eastAsia="宋体" w:cs="宋体"/>
                <w:sz w:val="18"/>
                <w:szCs w:val="18"/>
              </w:rPr>
            </w:pPr>
            <w:r>
              <w:rPr>
                <w:rFonts w:ascii="宋体" w:hAnsi="宋体" w:eastAsia="宋体" w:cs="宋体"/>
                <w:sz w:val="18"/>
                <w:szCs w:val="18"/>
              </w:rPr>
              <w:t>一年内到期的长期应收款</w:t>
            </w:r>
          </w:p>
        </w:tc>
        <w:tc>
          <w:tcPr>
            <w:tcW w:w="3213" w:type="dxa"/>
            <w:tcBorders>
              <w:top w:val="single" w:color="auto" w:sz="2" w:space="0"/>
              <w:left w:val="single" w:color="auto" w:sz="2" w:space="0"/>
              <w:bottom w:val="single" w:color="auto" w:sz="2" w:space="0"/>
              <w:right w:val="single" w:color="auto" w:sz="2" w:space="0"/>
            </w:tcBorders>
            <w:vAlign w:val="center"/>
          </w:tcPr>
          <w:p w14:paraId="34BC2FF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8285CF1">
            <w:pPr>
              <w:spacing w:line="240" w:lineRule="exact"/>
              <w:jc w:val="right"/>
              <w:rPr>
                <w:rFonts w:ascii="宋体" w:hAnsi="宋体" w:eastAsia="宋体" w:cs="宋体"/>
                <w:sz w:val="18"/>
                <w:szCs w:val="18"/>
              </w:rPr>
            </w:pPr>
            <w:r>
              <w:rPr>
                <w:rFonts w:ascii="宋体" w:hAnsi="宋体" w:eastAsia="宋体" w:cs="宋体"/>
                <w:sz w:val="18"/>
                <w:szCs w:val="18"/>
              </w:rPr>
              <w:t>3,042,054.56</w:t>
            </w:r>
          </w:p>
        </w:tc>
      </w:tr>
      <w:tr w14:paraId="4297B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EB43AE">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06733DB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99003C3">
            <w:pPr>
              <w:spacing w:line="240" w:lineRule="exact"/>
              <w:jc w:val="right"/>
              <w:rPr>
                <w:rFonts w:ascii="宋体" w:hAnsi="宋体" w:eastAsia="宋体" w:cs="宋体"/>
                <w:sz w:val="18"/>
                <w:szCs w:val="18"/>
              </w:rPr>
            </w:pPr>
            <w:r>
              <w:rPr>
                <w:rFonts w:ascii="宋体" w:hAnsi="宋体" w:eastAsia="宋体" w:cs="宋体"/>
                <w:sz w:val="18"/>
                <w:szCs w:val="18"/>
              </w:rPr>
              <w:t>3,042,054.56</w:t>
            </w:r>
          </w:p>
        </w:tc>
      </w:tr>
    </w:tbl>
    <w:p w14:paraId="3C014AD1">
      <w:pPr>
        <w:keepNext/>
        <w:keepLines/>
        <w:spacing w:before="300" w:after="300" w:line="280" w:lineRule="exact"/>
        <w:outlineLvl w:val="3"/>
        <w:rPr>
          <w:rFonts w:ascii="宋体" w:hAnsi="宋体" w:eastAsia="宋体" w:cs="宋体"/>
          <w:b/>
          <w:bCs/>
          <w:szCs w:val="21"/>
        </w:rPr>
      </w:pPr>
      <w:bookmarkStart w:id="333" w:name="_Toc989185"/>
      <w:r>
        <w:rPr>
          <w:rFonts w:ascii="宋体" w:hAnsi="宋体" w:eastAsia="宋体" w:cs="宋体"/>
          <w:b/>
          <w:bCs/>
          <w:szCs w:val="21"/>
        </w:rPr>
        <w:t>（1） 一年内到期的债权投资</w:t>
      </w:r>
      <w:bookmarkEnd w:id="333"/>
    </w:p>
    <w:p w14:paraId="7847EEA4">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6E84DFE">
      <w:pPr>
        <w:keepNext/>
        <w:keepLines/>
        <w:spacing w:before="300" w:after="300" w:line="280" w:lineRule="exact"/>
        <w:outlineLvl w:val="3"/>
        <w:rPr>
          <w:rFonts w:ascii="宋体" w:hAnsi="宋体" w:eastAsia="宋体" w:cs="宋体"/>
          <w:b/>
          <w:bCs/>
          <w:szCs w:val="21"/>
        </w:rPr>
      </w:pPr>
      <w:bookmarkStart w:id="334" w:name="_Toc989186"/>
      <w:r>
        <w:rPr>
          <w:rFonts w:ascii="宋体" w:hAnsi="宋体" w:eastAsia="宋体" w:cs="宋体"/>
          <w:b/>
          <w:bCs/>
          <w:szCs w:val="21"/>
        </w:rPr>
        <w:t>（2） 一年内到期的其他债权投资</w:t>
      </w:r>
      <w:bookmarkEnd w:id="334"/>
    </w:p>
    <w:p w14:paraId="1F2B342F">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1256195">
      <w:pPr>
        <w:pStyle w:val="3"/>
        <w:spacing w:line="280" w:lineRule="exact"/>
        <w:jc w:val="left"/>
        <w:rPr>
          <w:rFonts w:ascii="宋体" w:hAnsi="宋体" w:cs="宋体"/>
          <w:b/>
          <w:bCs/>
        </w:rPr>
      </w:pPr>
      <w:bookmarkStart w:id="335" w:name="_Toc989187"/>
      <w:r>
        <w:rPr>
          <w:rFonts w:ascii="宋体" w:hAnsi="宋体" w:cs="宋体"/>
          <w:b/>
          <w:bCs/>
        </w:rPr>
        <w:t>13、其他流动资产</w:t>
      </w:r>
      <w:bookmarkEnd w:id="335"/>
    </w:p>
    <w:p w14:paraId="3138373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2C0F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E7EB1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00799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A5BB6E">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58238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C48F372">
            <w:pPr>
              <w:spacing w:line="240" w:lineRule="exact"/>
              <w:rPr>
                <w:rFonts w:ascii="宋体" w:hAnsi="宋体" w:eastAsia="宋体" w:cs="宋体"/>
                <w:sz w:val="18"/>
                <w:szCs w:val="18"/>
              </w:rPr>
            </w:pPr>
            <w:r>
              <w:rPr>
                <w:rFonts w:ascii="宋体" w:hAnsi="宋体" w:eastAsia="宋体" w:cs="宋体"/>
                <w:sz w:val="18"/>
                <w:szCs w:val="18"/>
              </w:rPr>
              <w:t>增值税留抵扣额</w:t>
            </w:r>
          </w:p>
        </w:tc>
        <w:tc>
          <w:tcPr>
            <w:tcW w:w="3213" w:type="dxa"/>
            <w:tcBorders>
              <w:top w:val="single" w:color="auto" w:sz="2" w:space="0"/>
              <w:left w:val="single" w:color="auto" w:sz="2" w:space="0"/>
              <w:bottom w:val="single" w:color="auto" w:sz="2" w:space="0"/>
              <w:right w:val="single" w:color="auto" w:sz="2" w:space="0"/>
            </w:tcBorders>
            <w:vAlign w:val="center"/>
          </w:tcPr>
          <w:p w14:paraId="444F4212">
            <w:pPr>
              <w:spacing w:line="240" w:lineRule="exact"/>
              <w:jc w:val="right"/>
              <w:rPr>
                <w:rFonts w:ascii="宋体" w:hAnsi="宋体" w:eastAsia="宋体" w:cs="宋体"/>
                <w:sz w:val="18"/>
                <w:szCs w:val="18"/>
              </w:rPr>
            </w:pPr>
            <w:r>
              <w:rPr>
                <w:rFonts w:ascii="宋体" w:hAnsi="宋体" w:eastAsia="宋体" w:cs="宋体"/>
                <w:sz w:val="18"/>
                <w:szCs w:val="18"/>
              </w:rPr>
              <w:t>224,307,168.85</w:t>
            </w:r>
          </w:p>
        </w:tc>
        <w:tc>
          <w:tcPr>
            <w:tcW w:w="3213" w:type="dxa"/>
            <w:tcBorders>
              <w:top w:val="single" w:color="auto" w:sz="2" w:space="0"/>
              <w:left w:val="single" w:color="auto" w:sz="2" w:space="0"/>
              <w:bottom w:val="single" w:color="auto" w:sz="2" w:space="0"/>
              <w:right w:val="single" w:color="auto" w:sz="2" w:space="0"/>
            </w:tcBorders>
            <w:vAlign w:val="center"/>
          </w:tcPr>
          <w:p w14:paraId="3EE7842E">
            <w:pPr>
              <w:spacing w:line="240" w:lineRule="exact"/>
              <w:jc w:val="right"/>
              <w:rPr>
                <w:rFonts w:ascii="宋体" w:hAnsi="宋体" w:eastAsia="宋体" w:cs="宋体"/>
                <w:sz w:val="18"/>
                <w:szCs w:val="18"/>
              </w:rPr>
            </w:pPr>
            <w:r>
              <w:rPr>
                <w:rFonts w:ascii="宋体" w:hAnsi="宋体" w:eastAsia="宋体" w:cs="宋体"/>
                <w:sz w:val="18"/>
                <w:szCs w:val="18"/>
              </w:rPr>
              <w:t>185,034,897.34</w:t>
            </w:r>
          </w:p>
        </w:tc>
      </w:tr>
      <w:tr w14:paraId="755DC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DC8A3D9">
            <w:pPr>
              <w:spacing w:line="240" w:lineRule="exact"/>
              <w:rPr>
                <w:rFonts w:ascii="宋体" w:hAnsi="宋体" w:eastAsia="宋体" w:cs="宋体"/>
                <w:sz w:val="18"/>
                <w:szCs w:val="18"/>
              </w:rPr>
            </w:pPr>
            <w:r>
              <w:rPr>
                <w:rFonts w:ascii="宋体" w:hAnsi="宋体" w:eastAsia="宋体" w:cs="宋体"/>
                <w:sz w:val="18"/>
                <w:szCs w:val="18"/>
              </w:rPr>
              <w:t>以抵销后净额列示的所得税预缴税额</w:t>
            </w:r>
          </w:p>
        </w:tc>
        <w:tc>
          <w:tcPr>
            <w:tcW w:w="3213" w:type="dxa"/>
            <w:tcBorders>
              <w:top w:val="single" w:color="auto" w:sz="2" w:space="0"/>
              <w:left w:val="single" w:color="auto" w:sz="2" w:space="0"/>
              <w:bottom w:val="single" w:color="auto" w:sz="2" w:space="0"/>
              <w:right w:val="single" w:color="auto" w:sz="2" w:space="0"/>
            </w:tcBorders>
            <w:vAlign w:val="center"/>
          </w:tcPr>
          <w:p w14:paraId="20380304">
            <w:pPr>
              <w:spacing w:line="240" w:lineRule="exact"/>
              <w:jc w:val="right"/>
              <w:rPr>
                <w:rFonts w:ascii="宋体" w:hAnsi="宋体" w:eastAsia="宋体" w:cs="宋体"/>
                <w:sz w:val="18"/>
                <w:szCs w:val="18"/>
              </w:rPr>
            </w:pPr>
            <w:r>
              <w:rPr>
                <w:rFonts w:ascii="宋体" w:hAnsi="宋体" w:eastAsia="宋体" w:cs="宋体"/>
                <w:sz w:val="18"/>
                <w:szCs w:val="18"/>
              </w:rPr>
              <w:t>3,255,521.93</w:t>
            </w:r>
          </w:p>
        </w:tc>
        <w:tc>
          <w:tcPr>
            <w:tcW w:w="3213" w:type="dxa"/>
            <w:tcBorders>
              <w:top w:val="single" w:color="auto" w:sz="2" w:space="0"/>
              <w:left w:val="single" w:color="auto" w:sz="2" w:space="0"/>
              <w:bottom w:val="single" w:color="auto" w:sz="2" w:space="0"/>
              <w:right w:val="single" w:color="auto" w:sz="2" w:space="0"/>
            </w:tcBorders>
            <w:vAlign w:val="center"/>
          </w:tcPr>
          <w:p w14:paraId="4B3FBFC5">
            <w:pPr>
              <w:spacing w:line="240" w:lineRule="exact"/>
              <w:jc w:val="right"/>
              <w:rPr>
                <w:rFonts w:ascii="宋体" w:hAnsi="宋体" w:eastAsia="宋体" w:cs="宋体"/>
                <w:sz w:val="18"/>
                <w:szCs w:val="18"/>
              </w:rPr>
            </w:pPr>
            <w:r>
              <w:rPr>
                <w:rFonts w:ascii="宋体" w:hAnsi="宋体" w:eastAsia="宋体" w:cs="宋体"/>
                <w:sz w:val="18"/>
                <w:szCs w:val="18"/>
              </w:rPr>
              <w:t>8,491,460.74</w:t>
            </w:r>
          </w:p>
        </w:tc>
      </w:tr>
      <w:tr w14:paraId="1E5D0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224580">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042DB2CA">
            <w:pPr>
              <w:spacing w:line="240" w:lineRule="exact"/>
              <w:jc w:val="right"/>
              <w:rPr>
                <w:rFonts w:ascii="宋体" w:hAnsi="宋体" w:eastAsia="宋体" w:cs="宋体"/>
                <w:sz w:val="18"/>
                <w:szCs w:val="18"/>
              </w:rPr>
            </w:pPr>
            <w:r>
              <w:rPr>
                <w:rFonts w:ascii="宋体" w:hAnsi="宋体" w:eastAsia="宋体" w:cs="宋体"/>
                <w:sz w:val="18"/>
                <w:szCs w:val="18"/>
              </w:rPr>
              <w:t>227,562,690.78</w:t>
            </w:r>
          </w:p>
        </w:tc>
        <w:tc>
          <w:tcPr>
            <w:tcW w:w="3213" w:type="dxa"/>
            <w:tcBorders>
              <w:top w:val="single" w:color="auto" w:sz="2" w:space="0"/>
              <w:left w:val="single" w:color="auto" w:sz="2" w:space="0"/>
              <w:bottom w:val="single" w:color="auto" w:sz="2" w:space="0"/>
              <w:right w:val="single" w:color="auto" w:sz="2" w:space="0"/>
            </w:tcBorders>
            <w:vAlign w:val="center"/>
          </w:tcPr>
          <w:p w14:paraId="6E22A162">
            <w:pPr>
              <w:spacing w:line="240" w:lineRule="exact"/>
              <w:jc w:val="right"/>
              <w:rPr>
                <w:rFonts w:ascii="宋体" w:hAnsi="宋体" w:eastAsia="宋体" w:cs="宋体"/>
                <w:sz w:val="18"/>
                <w:szCs w:val="18"/>
              </w:rPr>
            </w:pPr>
            <w:r>
              <w:rPr>
                <w:rFonts w:ascii="宋体" w:hAnsi="宋体" w:eastAsia="宋体" w:cs="宋体"/>
                <w:sz w:val="18"/>
                <w:szCs w:val="18"/>
              </w:rPr>
              <w:t>193,526,358.08</w:t>
            </w:r>
          </w:p>
        </w:tc>
      </w:tr>
    </w:tbl>
    <w:p w14:paraId="5010BBE1">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22BCE194">
      <w:pPr>
        <w:pStyle w:val="3"/>
        <w:spacing w:line="280" w:lineRule="exact"/>
        <w:jc w:val="left"/>
        <w:rPr>
          <w:rFonts w:ascii="宋体" w:hAnsi="宋体" w:cs="宋体"/>
          <w:b/>
          <w:bCs/>
        </w:rPr>
      </w:pPr>
      <w:bookmarkStart w:id="336" w:name="_Toc989188"/>
      <w:r>
        <w:rPr>
          <w:rFonts w:ascii="宋体" w:hAnsi="宋体" w:cs="宋体"/>
          <w:b/>
          <w:bCs/>
        </w:rPr>
        <w:t>14、债权投资</w:t>
      </w:r>
      <w:bookmarkEnd w:id="336"/>
    </w:p>
    <w:p w14:paraId="043E8D94">
      <w:pPr>
        <w:keepNext/>
        <w:keepLines/>
        <w:spacing w:before="300" w:after="300" w:line="280" w:lineRule="exact"/>
        <w:outlineLvl w:val="3"/>
        <w:rPr>
          <w:rFonts w:ascii="宋体" w:hAnsi="宋体" w:eastAsia="宋体" w:cs="宋体"/>
          <w:b/>
          <w:bCs/>
          <w:szCs w:val="21"/>
        </w:rPr>
      </w:pPr>
      <w:bookmarkStart w:id="337" w:name="_Toc989189"/>
      <w:r>
        <w:rPr>
          <w:rFonts w:ascii="宋体" w:hAnsi="宋体" w:eastAsia="宋体" w:cs="宋体"/>
          <w:b/>
          <w:bCs/>
          <w:szCs w:val="21"/>
        </w:rPr>
        <w:t>（1） 债权投资的情况</w:t>
      </w:r>
      <w:bookmarkEnd w:id="337"/>
    </w:p>
    <w:p w14:paraId="7F9B4C9D">
      <w:pPr>
        <w:keepNext/>
        <w:keepLines/>
        <w:spacing w:before="300" w:after="300" w:line="280" w:lineRule="exact"/>
        <w:outlineLvl w:val="3"/>
        <w:rPr>
          <w:rFonts w:ascii="宋体" w:hAnsi="宋体" w:eastAsia="宋体" w:cs="宋体"/>
          <w:sz w:val="18"/>
          <w:szCs w:val="18"/>
        </w:rPr>
      </w:pPr>
      <w:bookmarkStart w:id="338" w:name="_Toc989191"/>
      <w:r>
        <w:rPr>
          <w:rFonts w:ascii="宋体" w:hAnsi="宋体" w:eastAsia="宋体" w:cs="宋体"/>
          <w:b/>
          <w:bCs/>
          <w:szCs w:val="21"/>
        </w:rPr>
        <w:t>（3） 减值准备计提情况</w:t>
      </w:r>
      <w:bookmarkEnd w:id="338"/>
    </w:p>
    <w:p w14:paraId="57EEB659">
      <w:pPr>
        <w:keepNext/>
        <w:keepLines/>
        <w:spacing w:before="300" w:after="300" w:line="280" w:lineRule="exact"/>
        <w:outlineLvl w:val="3"/>
        <w:rPr>
          <w:rFonts w:ascii="宋体" w:hAnsi="宋体" w:eastAsia="宋体" w:cs="宋体"/>
          <w:b/>
          <w:bCs/>
          <w:szCs w:val="21"/>
        </w:rPr>
      </w:pPr>
      <w:bookmarkStart w:id="339" w:name="_Toc989192"/>
      <w:r>
        <w:rPr>
          <w:rFonts w:ascii="宋体" w:hAnsi="宋体" w:eastAsia="宋体" w:cs="宋体"/>
          <w:b/>
          <w:bCs/>
          <w:szCs w:val="21"/>
        </w:rPr>
        <w:t>（4） 本期实际核销的债权投资情况</w:t>
      </w:r>
      <w:bookmarkEnd w:id="339"/>
    </w:p>
    <w:p w14:paraId="53C6BDAC">
      <w:pPr>
        <w:spacing w:before="100" w:after="100" w:line="240" w:lineRule="exact"/>
        <w:rPr>
          <w:rFonts w:ascii="宋体" w:hAnsi="宋体" w:eastAsia="宋体" w:cs="宋体"/>
          <w:sz w:val="18"/>
          <w:szCs w:val="18"/>
        </w:rPr>
      </w:pPr>
      <w:r>
        <w:rPr>
          <w:rFonts w:ascii="宋体" w:hAnsi="宋体" w:eastAsia="宋体" w:cs="宋体"/>
          <w:sz w:val="18"/>
          <w:szCs w:val="18"/>
        </w:rPr>
        <w:t>损失准备本期变动金额重大的账面余额变动情况</w:t>
      </w:r>
    </w:p>
    <w:p w14:paraId="3D182BD9">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81C99CD">
      <w:pPr>
        <w:spacing w:before="100" w:after="100" w:line="240" w:lineRule="exact"/>
        <w:rPr>
          <w:rFonts w:ascii="宋体" w:hAnsi="宋体" w:eastAsia="宋体" w:cs="宋体"/>
          <w:sz w:val="18"/>
          <w:szCs w:val="18"/>
        </w:rPr>
      </w:pPr>
      <w:r>
        <w:rPr>
          <w:rFonts w:ascii="宋体" w:hAnsi="宋体" w:eastAsia="宋体" w:cs="宋体"/>
          <w:sz w:val="18"/>
          <w:szCs w:val="18"/>
        </w:rPr>
        <w:t>其他说明：</w:t>
      </w:r>
    </w:p>
    <w:p w14:paraId="28236A72">
      <w:pPr>
        <w:rPr>
          <w:sz w:val="18"/>
          <w:szCs w:val="18"/>
        </w:rPr>
      </w:pPr>
    </w:p>
    <w:p w14:paraId="21A1BD3A">
      <w:pPr>
        <w:pStyle w:val="3"/>
        <w:spacing w:line="280" w:lineRule="exact"/>
        <w:jc w:val="left"/>
        <w:rPr>
          <w:rFonts w:ascii="宋体" w:hAnsi="宋体" w:cs="宋体"/>
          <w:b/>
          <w:bCs/>
        </w:rPr>
      </w:pPr>
      <w:bookmarkStart w:id="340" w:name="_Toc989193"/>
      <w:r>
        <w:rPr>
          <w:rFonts w:ascii="宋体" w:hAnsi="宋体" w:cs="宋体"/>
          <w:b/>
          <w:bCs/>
        </w:rPr>
        <w:t>15、其他债权投资</w:t>
      </w:r>
      <w:bookmarkEnd w:id="340"/>
    </w:p>
    <w:p w14:paraId="281417C3">
      <w:pPr>
        <w:keepNext/>
        <w:keepLines/>
        <w:spacing w:before="300" w:after="300" w:line="280" w:lineRule="exact"/>
        <w:outlineLvl w:val="3"/>
        <w:rPr>
          <w:rFonts w:ascii="宋体" w:hAnsi="宋体" w:eastAsia="宋体" w:cs="宋体"/>
          <w:b/>
          <w:bCs/>
          <w:szCs w:val="21"/>
        </w:rPr>
      </w:pPr>
      <w:bookmarkStart w:id="341" w:name="_Toc989194"/>
      <w:r>
        <w:rPr>
          <w:rFonts w:ascii="宋体" w:hAnsi="宋体" w:eastAsia="宋体" w:cs="宋体"/>
          <w:b/>
          <w:bCs/>
          <w:szCs w:val="21"/>
        </w:rPr>
        <w:t>（1） 其他债权投资的情况</w:t>
      </w:r>
      <w:bookmarkEnd w:id="341"/>
    </w:p>
    <w:p w14:paraId="712B59D7">
      <w:pPr>
        <w:keepNext/>
        <w:keepLines/>
        <w:spacing w:before="300" w:after="300" w:line="280" w:lineRule="exact"/>
        <w:outlineLvl w:val="3"/>
        <w:rPr>
          <w:rFonts w:ascii="宋体" w:hAnsi="宋体" w:eastAsia="宋体" w:cs="宋体"/>
          <w:b/>
          <w:bCs/>
          <w:szCs w:val="21"/>
        </w:rPr>
      </w:pPr>
      <w:bookmarkStart w:id="342" w:name="_Toc989195"/>
      <w:r>
        <w:rPr>
          <w:rFonts w:ascii="宋体" w:hAnsi="宋体" w:eastAsia="宋体" w:cs="宋体"/>
          <w:b/>
          <w:bCs/>
          <w:szCs w:val="21"/>
        </w:rPr>
        <w:t>（2） 期末重要的其他债权投资</w:t>
      </w:r>
      <w:bookmarkEnd w:id="342"/>
    </w:p>
    <w:p w14:paraId="2E52BA71">
      <w:pPr>
        <w:keepNext/>
        <w:keepLines/>
        <w:spacing w:before="300" w:after="300" w:line="280" w:lineRule="exact"/>
        <w:outlineLvl w:val="3"/>
        <w:rPr>
          <w:rFonts w:ascii="宋体" w:hAnsi="宋体" w:eastAsia="宋体" w:cs="宋体"/>
          <w:b/>
          <w:bCs/>
          <w:szCs w:val="21"/>
        </w:rPr>
      </w:pPr>
      <w:bookmarkStart w:id="343" w:name="_Toc989196"/>
      <w:r>
        <w:rPr>
          <w:rFonts w:ascii="宋体" w:hAnsi="宋体" w:eastAsia="宋体" w:cs="宋体"/>
          <w:b/>
          <w:bCs/>
          <w:szCs w:val="21"/>
        </w:rPr>
        <w:t>（3） 减值准备计提情况</w:t>
      </w:r>
      <w:bookmarkEnd w:id="343"/>
    </w:p>
    <w:p w14:paraId="35DD52C7">
      <w:pPr>
        <w:keepNext/>
        <w:keepLines/>
        <w:spacing w:before="300" w:after="300" w:line="280" w:lineRule="exact"/>
        <w:outlineLvl w:val="3"/>
        <w:rPr>
          <w:rFonts w:ascii="宋体" w:hAnsi="宋体" w:eastAsia="宋体" w:cs="宋体"/>
          <w:b/>
          <w:bCs/>
          <w:szCs w:val="21"/>
        </w:rPr>
      </w:pPr>
      <w:bookmarkStart w:id="344" w:name="_Toc989197"/>
      <w:r>
        <w:rPr>
          <w:rFonts w:ascii="宋体" w:hAnsi="宋体" w:eastAsia="宋体" w:cs="宋体"/>
          <w:b/>
          <w:bCs/>
          <w:szCs w:val="21"/>
        </w:rPr>
        <w:t>（4） 本期实际核销的其他债权投资情况</w:t>
      </w:r>
      <w:bookmarkEnd w:id="344"/>
    </w:p>
    <w:p w14:paraId="65CEF204">
      <w:pPr>
        <w:spacing w:before="100" w:after="100" w:line="240" w:lineRule="exact"/>
        <w:rPr>
          <w:rFonts w:ascii="宋体" w:hAnsi="宋体" w:eastAsia="宋体" w:cs="宋体"/>
          <w:sz w:val="18"/>
          <w:szCs w:val="18"/>
        </w:rPr>
      </w:pPr>
      <w:r>
        <w:rPr>
          <w:rFonts w:ascii="宋体" w:hAnsi="宋体" w:eastAsia="宋体" w:cs="宋体"/>
          <w:sz w:val="18"/>
          <w:szCs w:val="18"/>
        </w:rPr>
        <w:t>其他债权投资核销说明：无</w:t>
      </w:r>
    </w:p>
    <w:p w14:paraId="1DC058A1">
      <w:pPr>
        <w:spacing w:before="100" w:after="100" w:line="240" w:lineRule="exact"/>
        <w:rPr>
          <w:rFonts w:ascii="宋体" w:hAnsi="宋体" w:eastAsia="宋体" w:cs="宋体"/>
          <w:sz w:val="18"/>
          <w:szCs w:val="18"/>
        </w:rPr>
      </w:pPr>
      <w:r>
        <w:rPr>
          <w:rFonts w:ascii="宋体" w:hAnsi="宋体" w:eastAsia="宋体" w:cs="宋体"/>
          <w:sz w:val="18"/>
          <w:szCs w:val="18"/>
        </w:rPr>
        <w:t>损失准备本期变动金额重大的账面余额变动情况</w:t>
      </w:r>
    </w:p>
    <w:p w14:paraId="2E217C13">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A50F7CD">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589EB544">
      <w:pPr>
        <w:pStyle w:val="3"/>
        <w:spacing w:line="280" w:lineRule="exact"/>
        <w:jc w:val="left"/>
        <w:rPr>
          <w:rFonts w:ascii="宋体" w:hAnsi="宋体" w:cs="宋体"/>
          <w:b/>
          <w:bCs/>
        </w:rPr>
      </w:pPr>
      <w:bookmarkStart w:id="345" w:name="_Toc989198"/>
      <w:r>
        <w:rPr>
          <w:rFonts w:ascii="宋体" w:hAnsi="宋体" w:cs="宋体"/>
          <w:b/>
          <w:bCs/>
        </w:rPr>
        <w:t>16、其他权益工具投资</w:t>
      </w:r>
      <w:bookmarkEnd w:id="345"/>
    </w:p>
    <w:p w14:paraId="6E84391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7435F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0AF9EBB">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2249B29">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E9955A6">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4CCA423">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本期计入其他综合收益的利得</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4AF57ED">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本期计入其他综合收益的损失</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61FC0A3">
            <w:pPr>
              <w:spacing w:before="40" w:after="40" w:line="240" w:lineRule="exact"/>
              <w:jc w:val="center"/>
              <w:rPr>
                <w:rFonts w:ascii="宋体" w:hAnsi="宋体" w:eastAsia="宋体" w:cs="宋体"/>
                <w:sz w:val="18"/>
                <w:szCs w:val="18"/>
              </w:rPr>
            </w:pPr>
            <w:r>
              <w:rPr>
                <w:rFonts w:ascii="宋体" w:hAnsi="宋体" w:eastAsia="宋体" w:cs="宋体"/>
                <w:sz w:val="18"/>
                <w:szCs w:val="18"/>
              </w:rPr>
              <w:t>本期末累计计入其他综合收益的利得</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F3EC547">
            <w:pPr>
              <w:spacing w:before="40" w:after="40" w:line="240" w:lineRule="exact"/>
              <w:jc w:val="center"/>
              <w:rPr>
                <w:rFonts w:ascii="宋体" w:hAnsi="宋体" w:eastAsia="宋体" w:cs="宋体"/>
                <w:sz w:val="18"/>
                <w:szCs w:val="18"/>
              </w:rPr>
            </w:pPr>
            <w:r>
              <w:rPr>
                <w:rFonts w:ascii="宋体" w:hAnsi="宋体" w:eastAsia="宋体" w:cs="宋体"/>
                <w:sz w:val="18"/>
                <w:szCs w:val="18"/>
              </w:rPr>
              <w:t>本期末累计计入其他综合收益的损失</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06C852B">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本期确认的股利收入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056EF98">
            <w:pPr>
              <w:spacing w:before="40" w:after="40" w:line="240" w:lineRule="exact"/>
              <w:jc w:val="center"/>
              <w:rPr>
                <w:rFonts w:ascii="宋体" w:hAnsi="宋体" w:eastAsia="宋体" w:cs="宋体"/>
                <w:sz w:val="18"/>
                <w:szCs w:val="18"/>
              </w:rPr>
            </w:pPr>
            <w:r>
              <w:rPr>
                <w:rFonts w:ascii="宋体" w:hAnsi="宋体" w:eastAsia="宋体" w:cs="宋体"/>
                <w:sz w:val="18"/>
                <w:szCs w:val="18"/>
              </w:rPr>
              <w:t>指定为以公允价值计量且其变动计入其他综合收益的原因</w:t>
            </w:r>
          </w:p>
        </w:tc>
      </w:tr>
      <w:tr w14:paraId="75639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00F05E9">
            <w:pPr>
              <w:spacing w:line="240" w:lineRule="exact"/>
              <w:rPr>
                <w:rFonts w:ascii="宋体" w:hAnsi="宋体" w:eastAsia="宋体" w:cs="宋体"/>
                <w:sz w:val="18"/>
                <w:szCs w:val="18"/>
              </w:rPr>
            </w:pPr>
            <w:r>
              <w:rPr>
                <w:rFonts w:ascii="宋体" w:hAnsi="宋体" w:eastAsia="宋体" w:cs="宋体"/>
                <w:sz w:val="18"/>
                <w:szCs w:val="18"/>
              </w:rPr>
              <w:t>浙江八达股份有限公司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108EC667">
            <w:pPr>
              <w:spacing w:line="240" w:lineRule="exact"/>
              <w:jc w:val="right"/>
              <w:rPr>
                <w:rFonts w:ascii="宋体" w:hAnsi="宋体" w:eastAsia="宋体" w:cs="宋体"/>
                <w:sz w:val="18"/>
                <w:szCs w:val="18"/>
              </w:rPr>
            </w:pPr>
            <w:r>
              <w:rPr>
                <w:rFonts w:ascii="宋体" w:hAnsi="宋体" w:eastAsia="宋体" w:cs="宋体"/>
                <w:sz w:val="18"/>
                <w:szCs w:val="18"/>
              </w:rPr>
              <w:t>66,000.00</w:t>
            </w:r>
          </w:p>
        </w:tc>
        <w:tc>
          <w:tcPr>
            <w:tcW w:w="1071" w:type="dxa"/>
            <w:tcBorders>
              <w:top w:val="single" w:color="auto" w:sz="2" w:space="0"/>
              <w:left w:val="single" w:color="auto" w:sz="2" w:space="0"/>
              <w:bottom w:val="single" w:color="auto" w:sz="2" w:space="0"/>
              <w:right w:val="single" w:color="auto" w:sz="2" w:space="0"/>
            </w:tcBorders>
            <w:vAlign w:val="center"/>
          </w:tcPr>
          <w:p w14:paraId="47319B39">
            <w:pPr>
              <w:spacing w:line="240" w:lineRule="exact"/>
              <w:jc w:val="right"/>
              <w:rPr>
                <w:rFonts w:ascii="宋体" w:hAnsi="宋体" w:eastAsia="宋体" w:cs="宋体"/>
                <w:sz w:val="18"/>
                <w:szCs w:val="18"/>
              </w:rPr>
            </w:pPr>
            <w:r>
              <w:rPr>
                <w:rFonts w:ascii="宋体" w:hAnsi="宋体" w:eastAsia="宋体" w:cs="宋体"/>
                <w:sz w:val="18"/>
                <w:szCs w:val="18"/>
              </w:rPr>
              <w:t>66,000.00</w:t>
            </w:r>
          </w:p>
        </w:tc>
        <w:tc>
          <w:tcPr>
            <w:tcW w:w="1071" w:type="dxa"/>
            <w:tcBorders>
              <w:top w:val="single" w:color="auto" w:sz="2" w:space="0"/>
              <w:left w:val="single" w:color="auto" w:sz="2" w:space="0"/>
              <w:bottom w:val="single" w:color="auto" w:sz="2" w:space="0"/>
              <w:right w:val="single" w:color="auto" w:sz="2" w:space="0"/>
            </w:tcBorders>
            <w:vAlign w:val="center"/>
          </w:tcPr>
          <w:p w14:paraId="2FB2C621">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AB1CC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114E629">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222171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83C94E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FC2AB9B">
            <w:pPr>
              <w:spacing w:line="240" w:lineRule="exact"/>
              <w:rPr>
                <w:rFonts w:ascii="宋体" w:hAnsi="宋体" w:eastAsia="宋体" w:cs="宋体"/>
                <w:sz w:val="18"/>
                <w:szCs w:val="18"/>
              </w:rPr>
            </w:pPr>
          </w:p>
        </w:tc>
      </w:tr>
      <w:tr w14:paraId="79D6D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F502699">
            <w:pPr>
              <w:spacing w:line="240" w:lineRule="exact"/>
              <w:rPr>
                <w:rFonts w:ascii="宋体" w:hAnsi="宋体" w:eastAsia="宋体" w:cs="宋体"/>
                <w:sz w:val="18"/>
                <w:szCs w:val="18"/>
              </w:rPr>
            </w:pPr>
            <w:r>
              <w:rPr>
                <w:rFonts w:ascii="宋体" w:hAnsi="宋体" w:eastAsia="宋体" w:cs="宋体"/>
                <w:sz w:val="18"/>
                <w:szCs w:val="18"/>
              </w:rPr>
              <w:t>浙江凯旋股份有限公司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37A8C3B7">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14:paraId="3388A7D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2EFE254">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CB81E0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0FFB93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68BF9B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471C39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9D0D4A6">
            <w:pPr>
              <w:spacing w:line="240" w:lineRule="exact"/>
              <w:rPr>
                <w:rFonts w:ascii="宋体" w:hAnsi="宋体" w:eastAsia="宋体" w:cs="宋体"/>
                <w:sz w:val="18"/>
                <w:szCs w:val="18"/>
              </w:rPr>
            </w:pPr>
          </w:p>
        </w:tc>
      </w:tr>
      <w:tr w14:paraId="3308A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C0DB67A">
            <w:pPr>
              <w:spacing w:line="240" w:lineRule="exact"/>
              <w:rPr>
                <w:rFonts w:ascii="宋体" w:hAnsi="宋体" w:eastAsia="宋体" w:cs="宋体"/>
                <w:sz w:val="18"/>
                <w:szCs w:val="18"/>
              </w:rPr>
            </w:pPr>
            <w:r>
              <w:rPr>
                <w:rFonts w:ascii="宋体" w:hAnsi="宋体" w:eastAsia="宋体" w:cs="宋体"/>
                <w:sz w:val="18"/>
                <w:szCs w:val="18"/>
              </w:rPr>
              <w:t>石河子国民村镇银行有限责任公司</w:t>
            </w:r>
          </w:p>
        </w:tc>
        <w:tc>
          <w:tcPr>
            <w:tcW w:w="1071" w:type="dxa"/>
            <w:tcBorders>
              <w:top w:val="single" w:color="auto" w:sz="2" w:space="0"/>
              <w:left w:val="single" w:color="auto" w:sz="2" w:space="0"/>
              <w:bottom w:val="single" w:color="auto" w:sz="2" w:space="0"/>
              <w:right w:val="single" w:color="auto" w:sz="2" w:space="0"/>
            </w:tcBorders>
            <w:vAlign w:val="center"/>
          </w:tcPr>
          <w:p w14:paraId="1019C243">
            <w:pPr>
              <w:spacing w:line="240" w:lineRule="exact"/>
              <w:jc w:val="right"/>
              <w:rPr>
                <w:rFonts w:ascii="宋体" w:hAnsi="宋体" w:eastAsia="宋体" w:cs="宋体"/>
                <w:sz w:val="18"/>
                <w:szCs w:val="18"/>
              </w:rPr>
            </w:pPr>
            <w:r>
              <w:rPr>
                <w:rFonts w:ascii="宋体" w:hAnsi="宋体" w:eastAsia="宋体" w:cs="宋体"/>
                <w:sz w:val="18"/>
                <w:szCs w:val="18"/>
              </w:rPr>
              <w:t>25,436,300.00</w:t>
            </w:r>
          </w:p>
        </w:tc>
        <w:tc>
          <w:tcPr>
            <w:tcW w:w="1071" w:type="dxa"/>
            <w:tcBorders>
              <w:top w:val="single" w:color="auto" w:sz="2" w:space="0"/>
              <w:left w:val="single" w:color="auto" w:sz="2" w:space="0"/>
              <w:bottom w:val="single" w:color="auto" w:sz="2" w:space="0"/>
              <w:right w:val="single" w:color="auto" w:sz="2" w:space="0"/>
            </w:tcBorders>
            <w:vAlign w:val="center"/>
          </w:tcPr>
          <w:p w14:paraId="270F7E33">
            <w:pPr>
              <w:spacing w:line="240" w:lineRule="exact"/>
              <w:jc w:val="right"/>
              <w:rPr>
                <w:rFonts w:ascii="宋体" w:hAnsi="宋体" w:eastAsia="宋体" w:cs="宋体"/>
                <w:sz w:val="18"/>
                <w:szCs w:val="18"/>
              </w:rPr>
            </w:pPr>
            <w:r>
              <w:rPr>
                <w:rFonts w:ascii="宋体" w:hAnsi="宋体" w:eastAsia="宋体" w:cs="宋体"/>
                <w:sz w:val="18"/>
                <w:szCs w:val="18"/>
              </w:rPr>
              <w:t>5,000,000.00</w:t>
            </w:r>
          </w:p>
        </w:tc>
        <w:tc>
          <w:tcPr>
            <w:tcW w:w="1071" w:type="dxa"/>
            <w:tcBorders>
              <w:top w:val="single" w:color="auto" w:sz="2" w:space="0"/>
              <w:left w:val="single" w:color="auto" w:sz="2" w:space="0"/>
              <w:bottom w:val="single" w:color="auto" w:sz="2" w:space="0"/>
              <w:right w:val="single" w:color="auto" w:sz="2" w:space="0"/>
            </w:tcBorders>
            <w:vAlign w:val="center"/>
          </w:tcPr>
          <w:p w14:paraId="18B26B0B">
            <w:pPr>
              <w:spacing w:line="240" w:lineRule="exact"/>
              <w:jc w:val="right"/>
              <w:rPr>
                <w:rFonts w:ascii="宋体" w:hAnsi="宋体" w:eastAsia="宋体" w:cs="宋体"/>
                <w:sz w:val="18"/>
                <w:szCs w:val="18"/>
              </w:rPr>
            </w:pPr>
            <w:r>
              <w:rPr>
                <w:rFonts w:ascii="宋体" w:hAnsi="宋体" w:eastAsia="宋体" w:cs="宋体"/>
                <w:sz w:val="18"/>
                <w:szCs w:val="18"/>
              </w:rPr>
              <w:t>20,436,300.00</w:t>
            </w:r>
          </w:p>
        </w:tc>
        <w:tc>
          <w:tcPr>
            <w:tcW w:w="1071" w:type="dxa"/>
            <w:tcBorders>
              <w:top w:val="single" w:color="auto" w:sz="2" w:space="0"/>
              <w:left w:val="single" w:color="auto" w:sz="2" w:space="0"/>
              <w:bottom w:val="single" w:color="auto" w:sz="2" w:space="0"/>
              <w:right w:val="single" w:color="auto" w:sz="2" w:space="0"/>
            </w:tcBorders>
            <w:vAlign w:val="center"/>
          </w:tcPr>
          <w:p w14:paraId="39E2CC8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0A00D51">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9CE145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C7FE9B5">
            <w:pPr>
              <w:spacing w:line="240" w:lineRule="exact"/>
              <w:jc w:val="right"/>
              <w:rPr>
                <w:rFonts w:ascii="宋体" w:hAnsi="宋体" w:eastAsia="宋体" w:cs="宋体"/>
                <w:sz w:val="18"/>
                <w:szCs w:val="18"/>
              </w:rPr>
            </w:pPr>
            <w:r>
              <w:rPr>
                <w:rFonts w:ascii="宋体" w:hAnsi="宋体" w:eastAsia="宋体" w:cs="宋体"/>
                <w:sz w:val="18"/>
                <w:szCs w:val="18"/>
              </w:rPr>
              <w:t>892,500.00</w:t>
            </w:r>
          </w:p>
        </w:tc>
        <w:tc>
          <w:tcPr>
            <w:tcW w:w="1071" w:type="dxa"/>
            <w:tcBorders>
              <w:top w:val="single" w:color="auto" w:sz="2" w:space="0"/>
              <w:left w:val="single" w:color="auto" w:sz="2" w:space="0"/>
              <w:bottom w:val="single" w:color="auto" w:sz="2" w:space="0"/>
              <w:right w:val="single" w:color="auto" w:sz="2" w:space="0"/>
            </w:tcBorders>
            <w:vAlign w:val="center"/>
          </w:tcPr>
          <w:p w14:paraId="7D4C0DEF">
            <w:pPr>
              <w:spacing w:line="240" w:lineRule="exact"/>
              <w:rPr>
                <w:rFonts w:ascii="宋体" w:hAnsi="宋体" w:eastAsia="宋体" w:cs="宋体"/>
                <w:sz w:val="18"/>
                <w:szCs w:val="18"/>
              </w:rPr>
            </w:pPr>
          </w:p>
        </w:tc>
      </w:tr>
      <w:tr w14:paraId="3D78C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786DBAF">
            <w:pPr>
              <w:spacing w:line="240" w:lineRule="exact"/>
              <w:rPr>
                <w:rFonts w:ascii="宋体" w:hAnsi="宋体" w:eastAsia="宋体" w:cs="宋体"/>
                <w:sz w:val="18"/>
                <w:szCs w:val="18"/>
              </w:rPr>
            </w:pPr>
            <w:r>
              <w:rPr>
                <w:rFonts w:ascii="宋体" w:hAnsi="宋体" w:eastAsia="宋体" w:cs="宋体"/>
                <w:sz w:val="18"/>
                <w:szCs w:val="18"/>
              </w:rPr>
              <w:t>杭州英涉时装有限公司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10AFABEE">
            <w:pPr>
              <w:spacing w:line="240" w:lineRule="exact"/>
              <w:jc w:val="right"/>
              <w:rPr>
                <w:rFonts w:ascii="宋体" w:hAnsi="宋体" w:eastAsia="宋体" w:cs="宋体"/>
                <w:sz w:val="18"/>
                <w:szCs w:val="18"/>
              </w:rPr>
            </w:pPr>
            <w:r>
              <w:rPr>
                <w:rFonts w:ascii="宋体" w:hAnsi="宋体" w:eastAsia="宋体" w:cs="宋体"/>
                <w:sz w:val="18"/>
                <w:szCs w:val="18"/>
              </w:rPr>
              <w:t>7,830,000.00</w:t>
            </w:r>
          </w:p>
        </w:tc>
        <w:tc>
          <w:tcPr>
            <w:tcW w:w="1071" w:type="dxa"/>
            <w:tcBorders>
              <w:top w:val="single" w:color="auto" w:sz="2" w:space="0"/>
              <w:left w:val="single" w:color="auto" w:sz="2" w:space="0"/>
              <w:bottom w:val="single" w:color="auto" w:sz="2" w:space="0"/>
              <w:right w:val="single" w:color="auto" w:sz="2" w:space="0"/>
            </w:tcBorders>
            <w:vAlign w:val="center"/>
          </w:tcPr>
          <w:p w14:paraId="08A4210D">
            <w:pPr>
              <w:spacing w:line="240" w:lineRule="exact"/>
              <w:jc w:val="right"/>
              <w:rPr>
                <w:rFonts w:ascii="宋体" w:hAnsi="宋体" w:eastAsia="宋体" w:cs="宋体"/>
                <w:sz w:val="18"/>
                <w:szCs w:val="18"/>
              </w:rPr>
            </w:pPr>
            <w:r>
              <w:rPr>
                <w:rFonts w:ascii="宋体" w:hAnsi="宋体" w:eastAsia="宋体" w:cs="宋体"/>
                <w:sz w:val="18"/>
                <w:szCs w:val="18"/>
              </w:rPr>
              <w:t>7,830,000.00</w:t>
            </w:r>
          </w:p>
        </w:tc>
        <w:tc>
          <w:tcPr>
            <w:tcW w:w="1071" w:type="dxa"/>
            <w:tcBorders>
              <w:top w:val="single" w:color="auto" w:sz="2" w:space="0"/>
              <w:left w:val="single" w:color="auto" w:sz="2" w:space="0"/>
              <w:bottom w:val="single" w:color="auto" w:sz="2" w:space="0"/>
              <w:right w:val="single" w:color="auto" w:sz="2" w:space="0"/>
            </w:tcBorders>
            <w:vAlign w:val="center"/>
          </w:tcPr>
          <w:p w14:paraId="4AB91FA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B21B88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038BDE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4E0CF74">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8E1B5B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210C436">
            <w:pPr>
              <w:spacing w:line="240" w:lineRule="exact"/>
              <w:rPr>
                <w:rFonts w:ascii="宋体" w:hAnsi="宋体" w:eastAsia="宋体" w:cs="宋体"/>
                <w:sz w:val="18"/>
                <w:szCs w:val="18"/>
              </w:rPr>
            </w:pPr>
          </w:p>
        </w:tc>
      </w:tr>
      <w:tr w14:paraId="3650D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F5D89CE">
            <w:pPr>
              <w:spacing w:line="240" w:lineRule="exact"/>
              <w:rPr>
                <w:rFonts w:ascii="宋体" w:hAnsi="宋体" w:eastAsia="宋体" w:cs="宋体"/>
                <w:sz w:val="18"/>
                <w:szCs w:val="18"/>
              </w:rPr>
            </w:pPr>
            <w:r>
              <w:rPr>
                <w:rFonts w:ascii="宋体" w:hAnsi="宋体" w:eastAsia="宋体" w:cs="宋体"/>
                <w:sz w:val="18"/>
                <w:szCs w:val="18"/>
              </w:rPr>
              <w:t>徽商银行股份有限公司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464A8EC1">
            <w:pPr>
              <w:spacing w:line="240" w:lineRule="exact"/>
              <w:jc w:val="right"/>
              <w:rPr>
                <w:rFonts w:ascii="宋体" w:hAnsi="宋体" w:eastAsia="宋体" w:cs="宋体"/>
                <w:sz w:val="18"/>
                <w:szCs w:val="18"/>
              </w:rPr>
            </w:pPr>
            <w:r>
              <w:rPr>
                <w:rFonts w:ascii="宋体" w:hAnsi="宋体" w:eastAsia="宋体" w:cs="宋体"/>
                <w:sz w:val="18"/>
                <w:szCs w:val="18"/>
              </w:rPr>
              <w:t>73,685,716.55</w:t>
            </w:r>
          </w:p>
        </w:tc>
        <w:tc>
          <w:tcPr>
            <w:tcW w:w="1071" w:type="dxa"/>
            <w:tcBorders>
              <w:top w:val="single" w:color="auto" w:sz="2" w:space="0"/>
              <w:left w:val="single" w:color="auto" w:sz="2" w:space="0"/>
              <w:bottom w:val="single" w:color="auto" w:sz="2" w:space="0"/>
              <w:right w:val="single" w:color="auto" w:sz="2" w:space="0"/>
            </w:tcBorders>
            <w:vAlign w:val="center"/>
          </w:tcPr>
          <w:p w14:paraId="1C3133FA">
            <w:pPr>
              <w:spacing w:line="240" w:lineRule="exact"/>
              <w:jc w:val="right"/>
              <w:rPr>
                <w:rFonts w:ascii="宋体" w:hAnsi="宋体" w:eastAsia="宋体" w:cs="宋体"/>
                <w:sz w:val="18"/>
                <w:szCs w:val="18"/>
              </w:rPr>
            </w:pPr>
            <w:r>
              <w:rPr>
                <w:rFonts w:ascii="宋体" w:hAnsi="宋体" w:eastAsia="宋体" w:cs="宋体"/>
                <w:sz w:val="18"/>
                <w:szCs w:val="18"/>
              </w:rPr>
              <w:t>58,313,147.94</w:t>
            </w:r>
          </w:p>
        </w:tc>
        <w:tc>
          <w:tcPr>
            <w:tcW w:w="1071" w:type="dxa"/>
            <w:tcBorders>
              <w:top w:val="single" w:color="auto" w:sz="2" w:space="0"/>
              <w:left w:val="single" w:color="auto" w:sz="2" w:space="0"/>
              <w:bottom w:val="single" w:color="auto" w:sz="2" w:space="0"/>
              <w:right w:val="single" w:color="auto" w:sz="2" w:space="0"/>
            </w:tcBorders>
            <w:vAlign w:val="center"/>
          </w:tcPr>
          <w:p w14:paraId="061A99E9">
            <w:pPr>
              <w:spacing w:line="240" w:lineRule="exact"/>
              <w:jc w:val="right"/>
              <w:rPr>
                <w:rFonts w:ascii="宋体" w:hAnsi="宋体" w:eastAsia="宋体" w:cs="宋体"/>
                <w:sz w:val="18"/>
                <w:szCs w:val="18"/>
              </w:rPr>
            </w:pPr>
            <w:r>
              <w:rPr>
                <w:rFonts w:ascii="宋体" w:hAnsi="宋体" w:eastAsia="宋体" w:cs="宋体"/>
                <w:sz w:val="18"/>
                <w:szCs w:val="18"/>
              </w:rPr>
              <w:t>15,372,568.61</w:t>
            </w:r>
          </w:p>
        </w:tc>
        <w:tc>
          <w:tcPr>
            <w:tcW w:w="1071" w:type="dxa"/>
            <w:tcBorders>
              <w:top w:val="single" w:color="auto" w:sz="2" w:space="0"/>
              <w:left w:val="single" w:color="auto" w:sz="2" w:space="0"/>
              <w:bottom w:val="single" w:color="auto" w:sz="2" w:space="0"/>
              <w:right w:val="single" w:color="auto" w:sz="2" w:space="0"/>
            </w:tcBorders>
            <w:vAlign w:val="center"/>
          </w:tcPr>
          <w:p w14:paraId="152DDE1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A2C47F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7FC184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09CFE27">
            <w:pPr>
              <w:spacing w:line="240" w:lineRule="exact"/>
              <w:jc w:val="right"/>
              <w:rPr>
                <w:rFonts w:ascii="宋体" w:hAnsi="宋体" w:eastAsia="宋体" w:cs="宋体"/>
                <w:sz w:val="18"/>
                <w:szCs w:val="18"/>
              </w:rPr>
            </w:pPr>
            <w:r>
              <w:rPr>
                <w:rFonts w:ascii="宋体" w:hAnsi="宋体" w:eastAsia="宋体" w:cs="宋体"/>
                <w:sz w:val="18"/>
                <w:szCs w:val="18"/>
              </w:rPr>
              <w:t>5,353,762.26</w:t>
            </w:r>
          </w:p>
        </w:tc>
        <w:tc>
          <w:tcPr>
            <w:tcW w:w="1071" w:type="dxa"/>
            <w:tcBorders>
              <w:top w:val="single" w:color="auto" w:sz="2" w:space="0"/>
              <w:left w:val="single" w:color="auto" w:sz="2" w:space="0"/>
              <w:bottom w:val="single" w:color="auto" w:sz="2" w:space="0"/>
              <w:right w:val="single" w:color="auto" w:sz="2" w:space="0"/>
            </w:tcBorders>
            <w:vAlign w:val="center"/>
          </w:tcPr>
          <w:p w14:paraId="525C35F2">
            <w:pPr>
              <w:spacing w:line="240" w:lineRule="exact"/>
              <w:rPr>
                <w:rFonts w:ascii="宋体" w:hAnsi="宋体" w:eastAsia="宋体" w:cs="宋体"/>
                <w:sz w:val="18"/>
                <w:szCs w:val="18"/>
              </w:rPr>
            </w:pPr>
          </w:p>
        </w:tc>
      </w:tr>
      <w:tr w14:paraId="5FC00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561A159">
            <w:pPr>
              <w:spacing w:line="240" w:lineRule="exact"/>
              <w:rPr>
                <w:rFonts w:ascii="宋体" w:hAnsi="宋体" w:eastAsia="宋体" w:cs="宋体"/>
                <w:sz w:val="18"/>
                <w:szCs w:val="18"/>
              </w:rPr>
            </w:pPr>
            <w:r>
              <w:rPr>
                <w:rFonts w:ascii="宋体" w:hAnsi="宋体" w:eastAsia="宋体" w:cs="宋体"/>
                <w:sz w:val="18"/>
                <w:szCs w:val="18"/>
              </w:rPr>
              <w:t>广州思立德供应链管理有限公司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2499DD60">
            <w:pPr>
              <w:spacing w:line="240" w:lineRule="exact"/>
              <w:jc w:val="right"/>
              <w:rPr>
                <w:rFonts w:ascii="宋体" w:hAnsi="宋体" w:eastAsia="宋体" w:cs="宋体"/>
                <w:sz w:val="18"/>
                <w:szCs w:val="18"/>
              </w:rPr>
            </w:pPr>
            <w:r>
              <w:rPr>
                <w:rFonts w:ascii="宋体" w:hAnsi="宋体" w:eastAsia="宋体" w:cs="宋体"/>
                <w:sz w:val="18"/>
                <w:szCs w:val="18"/>
              </w:rPr>
              <w:t>500,000.00</w:t>
            </w:r>
          </w:p>
        </w:tc>
        <w:tc>
          <w:tcPr>
            <w:tcW w:w="1071" w:type="dxa"/>
            <w:tcBorders>
              <w:top w:val="single" w:color="auto" w:sz="2" w:space="0"/>
              <w:left w:val="single" w:color="auto" w:sz="2" w:space="0"/>
              <w:bottom w:val="single" w:color="auto" w:sz="2" w:space="0"/>
              <w:right w:val="single" w:color="auto" w:sz="2" w:space="0"/>
            </w:tcBorders>
            <w:vAlign w:val="center"/>
          </w:tcPr>
          <w:p w14:paraId="127A9C43">
            <w:pPr>
              <w:spacing w:line="240" w:lineRule="exact"/>
              <w:jc w:val="right"/>
              <w:rPr>
                <w:rFonts w:ascii="宋体" w:hAnsi="宋体" w:eastAsia="宋体" w:cs="宋体"/>
                <w:sz w:val="18"/>
                <w:szCs w:val="18"/>
              </w:rPr>
            </w:pPr>
            <w:r>
              <w:rPr>
                <w:rFonts w:ascii="宋体" w:hAnsi="宋体" w:eastAsia="宋体" w:cs="宋体"/>
                <w:sz w:val="18"/>
                <w:szCs w:val="18"/>
              </w:rPr>
              <w:t>500,000.00</w:t>
            </w:r>
          </w:p>
        </w:tc>
        <w:tc>
          <w:tcPr>
            <w:tcW w:w="1071" w:type="dxa"/>
            <w:tcBorders>
              <w:top w:val="single" w:color="auto" w:sz="2" w:space="0"/>
              <w:left w:val="single" w:color="auto" w:sz="2" w:space="0"/>
              <w:bottom w:val="single" w:color="auto" w:sz="2" w:space="0"/>
              <w:right w:val="single" w:color="auto" w:sz="2" w:space="0"/>
            </w:tcBorders>
            <w:vAlign w:val="center"/>
          </w:tcPr>
          <w:p w14:paraId="578CF5E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CF4C559">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3C211E9">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B16D96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6D379C8">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CBE9007">
            <w:pPr>
              <w:spacing w:line="240" w:lineRule="exact"/>
              <w:rPr>
                <w:rFonts w:ascii="宋体" w:hAnsi="宋体" w:eastAsia="宋体" w:cs="宋体"/>
                <w:sz w:val="18"/>
                <w:szCs w:val="18"/>
              </w:rPr>
            </w:pPr>
          </w:p>
        </w:tc>
      </w:tr>
      <w:tr w14:paraId="51FF9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448B3D9">
            <w:pPr>
              <w:spacing w:line="240" w:lineRule="exact"/>
              <w:rPr>
                <w:rFonts w:ascii="宋体" w:hAnsi="宋体" w:eastAsia="宋体" w:cs="宋体"/>
                <w:sz w:val="18"/>
                <w:szCs w:val="18"/>
              </w:rPr>
            </w:pPr>
            <w:r>
              <w:rPr>
                <w:rFonts w:ascii="宋体" w:hAnsi="宋体" w:eastAsia="宋体" w:cs="宋体"/>
                <w:sz w:val="18"/>
                <w:szCs w:val="18"/>
              </w:rPr>
              <w:t>共青城龙芯创零创业投资基金合伙企业（有限合伙）</w:t>
            </w:r>
          </w:p>
        </w:tc>
        <w:tc>
          <w:tcPr>
            <w:tcW w:w="1071" w:type="dxa"/>
            <w:tcBorders>
              <w:top w:val="single" w:color="auto" w:sz="2" w:space="0"/>
              <w:left w:val="single" w:color="auto" w:sz="2" w:space="0"/>
              <w:bottom w:val="single" w:color="auto" w:sz="2" w:space="0"/>
              <w:right w:val="single" w:color="auto" w:sz="2" w:space="0"/>
            </w:tcBorders>
            <w:vAlign w:val="center"/>
          </w:tcPr>
          <w:p w14:paraId="3E6AD5A0">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071" w:type="dxa"/>
            <w:tcBorders>
              <w:top w:val="single" w:color="auto" w:sz="2" w:space="0"/>
              <w:left w:val="single" w:color="auto" w:sz="2" w:space="0"/>
              <w:bottom w:val="single" w:color="auto" w:sz="2" w:space="0"/>
              <w:right w:val="single" w:color="auto" w:sz="2" w:space="0"/>
            </w:tcBorders>
            <w:vAlign w:val="center"/>
          </w:tcPr>
          <w:p w14:paraId="6E4CE11E">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071" w:type="dxa"/>
            <w:tcBorders>
              <w:top w:val="single" w:color="auto" w:sz="2" w:space="0"/>
              <w:left w:val="single" w:color="auto" w:sz="2" w:space="0"/>
              <w:bottom w:val="single" w:color="auto" w:sz="2" w:space="0"/>
              <w:right w:val="single" w:color="auto" w:sz="2" w:space="0"/>
            </w:tcBorders>
            <w:vAlign w:val="center"/>
          </w:tcPr>
          <w:p w14:paraId="0771EF0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1DDCFB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24B5F5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10C457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DEB4448">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11261C9">
            <w:pPr>
              <w:spacing w:line="240" w:lineRule="exact"/>
              <w:rPr>
                <w:rFonts w:ascii="宋体" w:hAnsi="宋体" w:eastAsia="宋体" w:cs="宋体"/>
                <w:sz w:val="18"/>
                <w:szCs w:val="18"/>
              </w:rPr>
            </w:pPr>
          </w:p>
        </w:tc>
      </w:tr>
      <w:tr w14:paraId="27581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00D63E7">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14:paraId="0D51F45A">
            <w:pPr>
              <w:spacing w:line="240" w:lineRule="exact"/>
              <w:jc w:val="right"/>
              <w:rPr>
                <w:rFonts w:ascii="宋体" w:hAnsi="宋体" w:eastAsia="宋体" w:cs="宋体"/>
                <w:sz w:val="18"/>
                <w:szCs w:val="18"/>
              </w:rPr>
            </w:pPr>
            <w:r>
              <w:rPr>
                <w:rFonts w:ascii="宋体" w:hAnsi="宋体" w:eastAsia="宋体" w:cs="宋体"/>
                <w:sz w:val="18"/>
                <w:szCs w:val="18"/>
              </w:rPr>
              <w:t>117,518,016.55</w:t>
            </w:r>
          </w:p>
        </w:tc>
        <w:tc>
          <w:tcPr>
            <w:tcW w:w="1071" w:type="dxa"/>
            <w:tcBorders>
              <w:top w:val="single" w:color="auto" w:sz="2" w:space="0"/>
              <w:left w:val="single" w:color="auto" w:sz="2" w:space="0"/>
              <w:bottom w:val="single" w:color="auto" w:sz="2" w:space="0"/>
              <w:right w:val="single" w:color="auto" w:sz="2" w:space="0"/>
            </w:tcBorders>
            <w:vAlign w:val="center"/>
          </w:tcPr>
          <w:p w14:paraId="7AA1568B">
            <w:pPr>
              <w:spacing w:line="240" w:lineRule="exact"/>
              <w:jc w:val="right"/>
              <w:rPr>
                <w:rFonts w:ascii="宋体" w:hAnsi="宋体" w:eastAsia="宋体" w:cs="宋体"/>
                <w:sz w:val="18"/>
                <w:szCs w:val="18"/>
              </w:rPr>
            </w:pPr>
            <w:r>
              <w:rPr>
                <w:rFonts w:ascii="宋体" w:hAnsi="宋体" w:eastAsia="宋体" w:cs="宋体"/>
                <w:sz w:val="18"/>
                <w:szCs w:val="18"/>
              </w:rPr>
              <w:t>81,709,147.94</w:t>
            </w:r>
          </w:p>
        </w:tc>
        <w:tc>
          <w:tcPr>
            <w:tcW w:w="1071" w:type="dxa"/>
            <w:tcBorders>
              <w:top w:val="single" w:color="auto" w:sz="2" w:space="0"/>
              <w:left w:val="single" w:color="auto" w:sz="2" w:space="0"/>
              <w:bottom w:val="single" w:color="auto" w:sz="2" w:space="0"/>
              <w:right w:val="single" w:color="auto" w:sz="2" w:space="0"/>
            </w:tcBorders>
            <w:vAlign w:val="center"/>
          </w:tcPr>
          <w:p w14:paraId="084217E6">
            <w:pPr>
              <w:spacing w:line="240" w:lineRule="exact"/>
              <w:jc w:val="right"/>
              <w:rPr>
                <w:rFonts w:ascii="宋体" w:hAnsi="宋体" w:eastAsia="宋体" w:cs="宋体"/>
                <w:sz w:val="18"/>
                <w:szCs w:val="18"/>
              </w:rPr>
            </w:pPr>
            <w:r>
              <w:rPr>
                <w:rFonts w:ascii="宋体" w:hAnsi="宋体" w:eastAsia="宋体" w:cs="宋体"/>
                <w:sz w:val="18"/>
                <w:szCs w:val="18"/>
              </w:rPr>
              <w:t>35,808,868.61</w:t>
            </w:r>
          </w:p>
        </w:tc>
        <w:tc>
          <w:tcPr>
            <w:tcW w:w="1071" w:type="dxa"/>
            <w:tcBorders>
              <w:top w:val="single" w:color="auto" w:sz="2" w:space="0"/>
              <w:left w:val="single" w:color="auto" w:sz="2" w:space="0"/>
              <w:bottom w:val="single" w:color="auto" w:sz="2" w:space="0"/>
              <w:right w:val="single" w:color="auto" w:sz="2" w:space="0"/>
            </w:tcBorders>
            <w:vAlign w:val="center"/>
          </w:tcPr>
          <w:p w14:paraId="534BD9F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892F6A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84EFBB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7EE10CF">
            <w:pPr>
              <w:spacing w:line="240" w:lineRule="exact"/>
              <w:jc w:val="right"/>
              <w:rPr>
                <w:rFonts w:ascii="宋体" w:hAnsi="宋体" w:eastAsia="宋体" w:cs="宋体"/>
                <w:sz w:val="18"/>
                <w:szCs w:val="18"/>
              </w:rPr>
            </w:pPr>
            <w:r>
              <w:rPr>
                <w:rFonts w:ascii="宋体" w:hAnsi="宋体" w:eastAsia="宋体" w:cs="宋体"/>
                <w:sz w:val="18"/>
                <w:szCs w:val="18"/>
              </w:rPr>
              <w:t>6,246,262.26</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C4DDA2C"/>
        </w:tc>
      </w:tr>
    </w:tbl>
    <w:p w14:paraId="53949DA6">
      <w:pPr>
        <w:spacing w:before="100" w:after="100" w:line="240" w:lineRule="exact"/>
        <w:rPr>
          <w:rFonts w:ascii="宋体" w:hAnsi="宋体" w:eastAsia="宋体" w:cs="宋体"/>
          <w:sz w:val="18"/>
          <w:szCs w:val="18"/>
        </w:rPr>
      </w:pPr>
      <w:r>
        <w:rPr>
          <w:rFonts w:ascii="宋体" w:hAnsi="宋体" w:eastAsia="宋体" w:cs="宋体"/>
          <w:sz w:val="18"/>
          <w:szCs w:val="18"/>
        </w:rPr>
        <w:t>本期存在终止确认</w:t>
      </w:r>
    </w:p>
    <w:p w14:paraId="7DDC5E6F">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30998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DBD25AA">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B0E6E7C">
            <w:pPr>
              <w:spacing w:before="40" w:after="40" w:line="240" w:lineRule="exact"/>
              <w:jc w:val="center"/>
              <w:rPr>
                <w:rFonts w:ascii="宋体" w:hAnsi="宋体" w:eastAsia="宋体" w:cs="宋体"/>
                <w:sz w:val="18"/>
                <w:szCs w:val="18"/>
              </w:rPr>
            </w:pPr>
            <w:r>
              <w:rPr>
                <w:rFonts w:ascii="宋体" w:hAnsi="宋体" w:eastAsia="宋体" w:cs="宋体"/>
                <w:sz w:val="18"/>
                <w:szCs w:val="18"/>
              </w:rPr>
              <w:t>转入留存收益的累计利得</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4A4E581">
            <w:pPr>
              <w:spacing w:before="40" w:after="40" w:line="240" w:lineRule="exact"/>
              <w:jc w:val="center"/>
              <w:rPr>
                <w:rFonts w:ascii="宋体" w:hAnsi="宋体" w:eastAsia="宋体" w:cs="宋体"/>
                <w:sz w:val="18"/>
                <w:szCs w:val="18"/>
              </w:rPr>
            </w:pPr>
            <w:r>
              <w:rPr>
                <w:rFonts w:ascii="宋体" w:hAnsi="宋体" w:eastAsia="宋体" w:cs="宋体"/>
                <w:sz w:val="18"/>
                <w:szCs w:val="18"/>
              </w:rPr>
              <w:t>转入留存收益的累计损失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AF26602">
            <w:pPr>
              <w:spacing w:before="40" w:after="40" w:line="240" w:lineRule="exact"/>
              <w:jc w:val="center"/>
              <w:rPr>
                <w:rFonts w:ascii="宋体" w:hAnsi="宋体" w:eastAsia="宋体" w:cs="宋体"/>
                <w:sz w:val="18"/>
                <w:szCs w:val="18"/>
              </w:rPr>
            </w:pPr>
            <w:r>
              <w:rPr>
                <w:rFonts w:ascii="宋体" w:hAnsi="宋体" w:eastAsia="宋体" w:cs="宋体"/>
                <w:sz w:val="18"/>
                <w:szCs w:val="18"/>
              </w:rPr>
              <w:t>终止确认的原因</w:t>
            </w:r>
          </w:p>
        </w:tc>
      </w:tr>
    </w:tbl>
    <w:p w14:paraId="196877D1">
      <w:pPr>
        <w:spacing w:before="100" w:after="100" w:line="240" w:lineRule="exact"/>
        <w:rPr>
          <w:rFonts w:ascii="宋体" w:hAnsi="宋体" w:eastAsia="宋体" w:cs="宋体"/>
          <w:sz w:val="18"/>
          <w:szCs w:val="18"/>
        </w:rPr>
      </w:pPr>
      <w:r>
        <w:rPr>
          <w:rFonts w:ascii="宋体" w:hAnsi="宋体" w:eastAsia="宋体" w:cs="宋体"/>
          <w:sz w:val="18"/>
          <w:szCs w:val="18"/>
        </w:rPr>
        <w:t>分项披露本期非交易性权益工具投资</w:t>
      </w:r>
    </w:p>
    <w:p w14:paraId="3F43B759">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59CE3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47BA678">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ACD1843">
            <w:pPr>
              <w:spacing w:before="40" w:after="40" w:line="240" w:lineRule="exact"/>
              <w:jc w:val="center"/>
              <w:rPr>
                <w:rFonts w:ascii="宋体" w:hAnsi="宋体" w:eastAsia="宋体" w:cs="宋体"/>
                <w:sz w:val="18"/>
                <w:szCs w:val="18"/>
              </w:rPr>
            </w:pPr>
            <w:r>
              <w:rPr>
                <w:rFonts w:ascii="宋体" w:hAnsi="宋体" w:eastAsia="宋体" w:cs="宋体"/>
                <w:sz w:val="18"/>
                <w:szCs w:val="18"/>
              </w:rPr>
              <w:t>确认的股利收入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8F1BA90">
            <w:pPr>
              <w:spacing w:before="40" w:after="40" w:line="240" w:lineRule="exact"/>
              <w:jc w:val="center"/>
              <w:rPr>
                <w:rFonts w:ascii="宋体" w:hAnsi="宋体" w:eastAsia="宋体" w:cs="宋体"/>
                <w:sz w:val="18"/>
                <w:szCs w:val="18"/>
              </w:rPr>
            </w:pPr>
            <w:r>
              <w:rPr>
                <w:rFonts w:ascii="宋体" w:hAnsi="宋体" w:eastAsia="宋体" w:cs="宋体"/>
                <w:sz w:val="18"/>
                <w:szCs w:val="18"/>
              </w:rPr>
              <w:t>累计利得</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E0DA71C">
            <w:pPr>
              <w:spacing w:before="40" w:after="40" w:line="240" w:lineRule="exact"/>
              <w:jc w:val="center"/>
              <w:rPr>
                <w:rFonts w:ascii="宋体" w:hAnsi="宋体" w:eastAsia="宋体" w:cs="宋体"/>
                <w:sz w:val="18"/>
                <w:szCs w:val="18"/>
              </w:rPr>
            </w:pPr>
            <w:r>
              <w:rPr>
                <w:rFonts w:ascii="宋体" w:hAnsi="宋体" w:eastAsia="宋体" w:cs="宋体"/>
                <w:sz w:val="18"/>
                <w:szCs w:val="18"/>
              </w:rPr>
              <w:t>累计损失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8D418D1">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9B99952">
            <w:pPr>
              <w:spacing w:before="40" w:after="40" w:line="240" w:lineRule="exact"/>
              <w:jc w:val="center"/>
              <w:rPr>
                <w:rFonts w:ascii="宋体" w:hAnsi="宋体" w:eastAsia="宋体" w:cs="宋体"/>
                <w:sz w:val="18"/>
                <w:szCs w:val="18"/>
              </w:rPr>
            </w:pPr>
            <w:r>
              <w:rPr>
                <w:rFonts w:ascii="宋体" w:hAnsi="宋体" w:eastAsia="宋体" w:cs="宋体"/>
                <w:sz w:val="18"/>
                <w:szCs w:val="18"/>
              </w:rPr>
              <w:t>指定为以公允价值计量且其变动计入其他综合收益的原因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D0623A2">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其他综合收益转入留存收益的原因</w:t>
            </w:r>
          </w:p>
        </w:tc>
      </w:tr>
      <w:tr w14:paraId="5C407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8B7F8E9">
            <w:pPr>
              <w:spacing w:line="240" w:lineRule="exact"/>
              <w:rPr>
                <w:rFonts w:ascii="宋体" w:hAnsi="宋体" w:eastAsia="宋体" w:cs="宋体"/>
                <w:sz w:val="18"/>
                <w:szCs w:val="18"/>
              </w:rPr>
            </w:pPr>
            <w:r>
              <w:rPr>
                <w:rFonts w:ascii="宋体" w:hAnsi="宋体" w:eastAsia="宋体" w:cs="宋体"/>
                <w:sz w:val="18"/>
                <w:szCs w:val="18"/>
              </w:rPr>
              <w:t>徽商银行股份有限公司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7880484A">
            <w:pPr>
              <w:spacing w:line="240" w:lineRule="exact"/>
              <w:jc w:val="right"/>
              <w:rPr>
                <w:rFonts w:ascii="宋体" w:hAnsi="宋体" w:eastAsia="宋体" w:cs="宋体"/>
                <w:sz w:val="18"/>
                <w:szCs w:val="18"/>
              </w:rPr>
            </w:pPr>
            <w:r>
              <w:rPr>
                <w:rFonts w:ascii="宋体" w:hAnsi="宋体" w:eastAsia="宋体" w:cs="宋体"/>
                <w:sz w:val="18"/>
                <w:szCs w:val="18"/>
              </w:rPr>
              <w:t>5,353,762.26</w:t>
            </w:r>
          </w:p>
        </w:tc>
        <w:tc>
          <w:tcPr>
            <w:tcW w:w="1377" w:type="dxa"/>
            <w:tcBorders>
              <w:top w:val="single" w:color="auto" w:sz="2" w:space="0"/>
              <w:left w:val="single" w:color="auto" w:sz="2" w:space="0"/>
              <w:bottom w:val="single" w:color="auto" w:sz="2" w:space="0"/>
              <w:right w:val="single" w:color="auto" w:sz="2" w:space="0"/>
            </w:tcBorders>
            <w:vAlign w:val="center"/>
          </w:tcPr>
          <w:p w14:paraId="4AD775F8">
            <w:pPr>
              <w:spacing w:line="240" w:lineRule="exact"/>
              <w:jc w:val="right"/>
              <w:rPr>
                <w:rFonts w:ascii="宋体" w:hAnsi="宋体" w:eastAsia="宋体" w:cs="宋体"/>
                <w:sz w:val="18"/>
                <w:szCs w:val="18"/>
              </w:rPr>
            </w:pPr>
            <w:r>
              <w:rPr>
                <w:rFonts w:ascii="宋体" w:hAnsi="宋体" w:eastAsia="宋体" w:cs="宋体"/>
                <w:sz w:val="18"/>
                <w:szCs w:val="18"/>
              </w:rPr>
              <w:t>17,794,885.99</w:t>
            </w:r>
          </w:p>
        </w:tc>
        <w:tc>
          <w:tcPr>
            <w:tcW w:w="1377" w:type="dxa"/>
            <w:tcBorders>
              <w:top w:val="single" w:color="auto" w:sz="2" w:space="0"/>
              <w:left w:val="single" w:color="auto" w:sz="2" w:space="0"/>
              <w:bottom w:val="single" w:color="auto" w:sz="2" w:space="0"/>
              <w:right w:val="single" w:color="auto" w:sz="2" w:space="0"/>
            </w:tcBorders>
            <w:vAlign w:val="center"/>
          </w:tcPr>
          <w:p w14:paraId="099AA5A6">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76E1969">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E9FF5CC">
            <w:pPr>
              <w:spacing w:line="240" w:lineRule="exact"/>
              <w:rPr>
                <w:rFonts w:ascii="宋体" w:hAnsi="宋体" w:eastAsia="宋体" w:cs="宋体"/>
                <w:sz w:val="18"/>
                <w:szCs w:val="18"/>
              </w:rPr>
            </w:pPr>
            <w:r>
              <w:rPr>
                <w:rFonts w:ascii="宋体" w:hAnsi="宋体" w:eastAsia="宋体" w:cs="宋体"/>
                <w:sz w:val="18"/>
                <w:szCs w:val="18"/>
              </w:rPr>
              <w:t>“三无”投资</w:t>
            </w:r>
          </w:p>
        </w:tc>
        <w:tc>
          <w:tcPr>
            <w:tcW w:w="1377" w:type="dxa"/>
            <w:tcBorders>
              <w:top w:val="single" w:color="auto" w:sz="2" w:space="0"/>
              <w:left w:val="single" w:color="auto" w:sz="2" w:space="0"/>
              <w:bottom w:val="single" w:color="auto" w:sz="2" w:space="0"/>
              <w:right w:val="single" w:color="auto" w:sz="2" w:space="0"/>
            </w:tcBorders>
            <w:vAlign w:val="center"/>
          </w:tcPr>
          <w:p w14:paraId="12048EB5">
            <w:pPr>
              <w:spacing w:line="240" w:lineRule="exact"/>
              <w:rPr>
                <w:rFonts w:ascii="宋体" w:hAnsi="宋体" w:eastAsia="宋体" w:cs="宋体"/>
                <w:sz w:val="18"/>
                <w:szCs w:val="18"/>
              </w:rPr>
            </w:pPr>
          </w:p>
        </w:tc>
      </w:tr>
    </w:tbl>
    <w:p w14:paraId="32B76907">
      <w:pPr>
        <w:spacing w:before="100" w:after="100" w:line="240" w:lineRule="exact"/>
        <w:rPr>
          <w:rFonts w:ascii="宋体" w:hAnsi="宋体" w:eastAsia="宋体" w:cs="宋体"/>
          <w:sz w:val="18"/>
          <w:szCs w:val="18"/>
        </w:rPr>
      </w:pPr>
      <w:r>
        <w:rPr>
          <w:rFonts w:ascii="宋体" w:hAnsi="宋体" w:eastAsia="宋体" w:cs="宋体"/>
          <w:sz w:val="18"/>
          <w:szCs w:val="18"/>
        </w:rPr>
        <w:t>其他说明：</w:t>
      </w:r>
    </w:p>
    <w:p w14:paraId="07D174E9">
      <w:pPr>
        <w:spacing w:before="100" w:after="100" w:line="240" w:lineRule="exact"/>
        <w:rPr>
          <w:rFonts w:ascii="宋体" w:hAnsi="宋体" w:eastAsia="宋体" w:cs="宋体"/>
          <w:sz w:val="18"/>
          <w:szCs w:val="18"/>
        </w:rPr>
      </w:pPr>
      <w:r>
        <w:rPr>
          <w:rFonts w:hint="eastAsia" w:ascii="宋体" w:hAnsi="宋体" w:eastAsia="宋体" w:cs="宋体"/>
          <w:sz w:val="18"/>
          <w:szCs w:val="18"/>
        </w:rPr>
        <w:t>（1）徽商银行(03698，HK)于2013年11月12日在香港联交所挂牌交易，本公司所持有徽商银行股份有限公司的投资拟长期持有，以资产负债表日收盘计算公允价值，公允价值变动计入其他综合收益。</w:t>
      </w:r>
    </w:p>
    <w:p w14:paraId="60A3677B">
      <w:pPr>
        <w:spacing w:before="100" w:after="100" w:line="240" w:lineRule="exact"/>
        <w:rPr>
          <w:rFonts w:ascii="宋体" w:hAnsi="宋体" w:eastAsia="宋体" w:cs="宋体"/>
          <w:sz w:val="18"/>
          <w:szCs w:val="18"/>
        </w:rPr>
      </w:pPr>
      <w:r>
        <w:rPr>
          <w:rFonts w:hint="eastAsia" w:ascii="宋体" w:hAnsi="宋体" w:eastAsia="宋体" w:cs="宋体"/>
          <w:sz w:val="18"/>
          <w:szCs w:val="18"/>
        </w:rPr>
        <w:t>（2）其他公司的其他权益工具投资的公允价值可能估计金额分布范围很广，成本代表了该范围内对公允价值的最佳估计，该成本可代表其在该分布范围内对公允价值的恰当估计。  </w:t>
      </w:r>
    </w:p>
    <w:p w14:paraId="6D353662">
      <w:pPr>
        <w:pStyle w:val="3"/>
        <w:spacing w:line="280" w:lineRule="exact"/>
        <w:jc w:val="left"/>
        <w:rPr>
          <w:rFonts w:ascii="宋体" w:hAnsi="宋体" w:cs="宋体"/>
          <w:b/>
          <w:bCs/>
        </w:rPr>
      </w:pPr>
      <w:bookmarkStart w:id="346" w:name="_Toc989199"/>
      <w:r>
        <w:rPr>
          <w:rFonts w:ascii="宋体" w:hAnsi="宋体" w:cs="宋体"/>
          <w:b/>
          <w:bCs/>
        </w:rPr>
        <w:t>17、长期应收款</w:t>
      </w:r>
      <w:bookmarkEnd w:id="346"/>
    </w:p>
    <w:p w14:paraId="41BFE230">
      <w:pPr>
        <w:keepNext/>
        <w:keepLines/>
        <w:spacing w:before="300" w:after="300" w:line="280" w:lineRule="exact"/>
        <w:outlineLvl w:val="3"/>
        <w:rPr>
          <w:rFonts w:ascii="宋体" w:hAnsi="宋体" w:eastAsia="宋体" w:cs="宋体"/>
          <w:b/>
          <w:bCs/>
          <w:szCs w:val="21"/>
        </w:rPr>
      </w:pPr>
      <w:bookmarkStart w:id="347" w:name="_Toc989200"/>
      <w:r>
        <w:rPr>
          <w:rFonts w:ascii="宋体" w:hAnsi="宋体" w:eastAsia="宋体" w:cs="宋体"/>
          <w:b/>
          <w:bCs/>
          <w:szCs w:val="21"/>
        </w:rPr>
        <w:t>（1） 长期应收款情况</w:t>
      </w:r>
      <w:bookmarkEnd w:id="347"/>
    </w:p>
    <w:p w14:paraId="6136179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14:paraId="0968A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22ECAF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7E021AB7">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2CF1C5C2">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5F29EE9">
            <w:pPr>
              <w:spacing w:before="40" w:after="40" w:line="240" w:lineRule="exact"/>
              <w:jc w:val="center"/>
              <w:rPr>
                <w:rFonts w:ascii="宋体" w:hAnsi="宋体" w:eastAsia="宋体" w:cs="宋体"/>
                <w:sz w:val="18"/>
                <w:szCs w:val="18"/>
              </w:rPr>
            </w:pPr>
            <w:r>
              <w:rPr>
                <w:rFonts w:ascii="宋体" w:hAnsi="宋体" w:eastAsia="宋体" w:cs="宋体"/>
                <w:sz w:val="18"/>
                <w:szCs w:val="18"/>
              </w:rPr>
              <w:t>折现率区间</w:t>
            </w:r>
          </w:p>
        </w:tc>
      </w:tr>
      <w:tr w14:paraId="4D8BC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2AB9A24"/>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700B6E5">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CE248E7">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CED96DC">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96C29DC">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4C1A386">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2C4D51C">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DC5F5A1"/>
        </w:tc>
      </w:tr>
      <w:tr w14:paraId="24439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BA74DB7">
            <w:pPr>
              <w:spacing w:before="40" w:after="40" w:line="240" w:lineRule="exact"/>
              <w:rPr>
                <w:rFonts w:ascii="宋体" w:hAnsi="宋体" w:eastAsia="宋体" w:cs="宋体"/>
                <w:sz w:val="18"/>
                <w:szCs w:val="18"/>
              </w:rPr>
            </w:pPr>
            <w:r>
              <w:rPr>
                <w:rFonts w:ascii="宋体" w:hAnsi="宋体" w:eastAsia="宋体" w:cs="宋体"/>
                <w:sz w:val="18"/>
                <w:szCs w:val="18"/>
              </w:rPr>
              <w:t>融资租赁款</w:t>
            </w:r>
          </w:p>
        </w:tc>
        <w:tc>
          <w:tcPr>
            <w:tcW w:w="1205" w:type="dxa"/>
            <w:tcBorders>
              <w:top w:val="single" w:color="auto" w:sz="2" w:space="0"/>
              <w:left w:val="single" w:color="auto" w:sz="2" w:space="0"/>
              <w:bottom w:val="single" w:color="auto" w:sz="2" w:space="0"/>
              <w:right w:val="single" w:color="auto" w:sz="2" w:space="0"/>
            </w:tcBorders>
            <w:vAlign w:val="center"/>
          </w:tcPr>
          <w:p w14:paraId="4A2F6108">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F8022C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86DA6E1">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66D3C46">
            <w:pPr>
              <w:spacing w:line="240" w:lineRule="exact"/>
              <w:jc w:val="right"/>
              <w:rPr>
                <w:rFonts w:ascii="宋体" w:hAnsi="宋体" w:eastAsia="宋体" w:cs="宋体"/>
                <w:sz w:val="18"/>
                <w:szCs w:val="18"/>
              </w:rPr>
            </w:pPr>
            <w:r>
              <w:rPr>
                <w:rFonts w:ascii="宋体" w:hAnsi="宋体" w:eastAsia="宋体" w:cs="宋体"/>
                <w:sz w:val="18"/>
                <w:szCs w:val="18"/>
              </w:rPr>
              <w:t>3,580,581.72</w:t>
            </w:r>
          </w:p>
        </w:tc>
        <w:tc>
          <w:tcPr>
            <w:tcW w:w="1205" w:type="dxa"/>
            <w:tcBorders>
              <w:top w:val="single" w:color="auto" w:sz="2" w:space="0"/>
              <w:left w:val="single" w:color="auto" w:sz="2" w:space="0"/>
              <w:bottom w:val="single" w:color="auto" w:sz="2" w:space="0"/>
              <w:right w:val="single" w:color="auto" w:sz="2" w:space="0"/>
            </w:tcBorders>
            <w:vAlign w:val="center"/>
          </w:tcPr>
          <w:p w14:paraId="274EA3A9">
            <w:pPr>
              <w:spacing w:line="240" w:lineRule="exact"/>
              <w:jc w:val="right"/>
              <w:rPr>
                <w:rFonts w:ascii="宋体" w:hAnsi="宋体" w:eastAsia="宋体" w:cs="宋体"/>
                <w:sz w:val="18"/>
                <w:szCs w:val="18"/>
              </w:rPr>
            </w:pPr>
            <w:r>
              <w:rPr>
                <w:rFonts w:ascii="宋体" w:hAnsi="宋体" w:eastAsia="宋体" w:cs="宋体"/>
                <w:sz w:val="18"/>
                <w:szCs w:val="18"/>
              </w:rPr>
              <w:t>309,217.37</w:t>
            </w:r>
          </w:p>
        </w:tc>
        <w:tc>
          <w:tcPr>
            <w:tcW w:w="1205" w:type="dxa"/>
            <w:tcBorders>
              <w:top w:val="single" w:color="auto" w:sz="2" w:space="0"/>
              <w:left w:val="single" w:color="auto" w:sz="2" w:space="0"/>
              <w:bottom w:val="single" w:color="auto" w:sz="2" w:space="0"/>
              <w:right w:val="single" w:color="auto" w:sz="2" w:space="0"/>
            </w:tcBorders>
            <w:vAlign w:val="center"/>
          </w:tcPr>
          <w:p w14:paraId="28829690">
            <w:pPr>
              <w:spacing w:line="240" w:lineRule="exact"/>
              <w:jc w:val="right"/>
              <w:rPr>
                <w:rFonts w:ascii="宋体" w:hAnsi="宋体" w:eastAsia="宋体" w:cs="宋体"/>
                <w:sz w:val="18"/>
                <w:szCs w:val="18"/>
              </w:rPr>
            </w:pPr>
            <w:r>
              <w:rPr>
                <w:rFonts w:ascii="宋体" w:hAnsi="宋体" w:eastAsia="宋体" w:cs="宋体"/>
                <w:sz w:val="18"/>
                <w:szCs w:val="18"/>
              </w:rPr>
              <w:t>3,271,364.35</w:t>
            </w:r>
          </w:p>
        </w:tc>
        <w:tc>
          <w:tcPr>
            <w:tcW w:w="1205" w:type="dxa"/>
            <w:tcBorders>
              <w:top w:val="single" w:color="auto" w:sz="2" w:space="0"/>
              <w:left w:val="single" w:color="auto" w:sz="2" w:space="0"/>
              <w:bottom w:val="single" w:color="auto" w:sz="2" w:space="0"/>
              <w:right w:val="single" w:color="auto" w:sz="2" w:space="0"/>
            </w:tcBorders>
            <w:vAlign w:val="center"/>
          </w:tcPr>
          <w:p w14:paraId="6EEB89B7">
            <w:pPr>
              <w:spacing w:line="240" w:lineRule="exact"/>
              <w:rPr>
                <w:rFonts w:ascii="宋体" w:hAnsi="宋体" w:eastAsia="宋体" w:cs="宋体"/>
                <w:sz w:val="18"/>
                <w:szCs w:val="18"/>
              </w:rPr>
            </w:pPr>
          </w:p>
        </w:tc>
      </w:tr>
      <w:tr w14:paraId="2C6B5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34BF69A">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其中：未实现融资收益</w:t>
            </w:r>
          </w:p>
        </w:tc>
        <w:tc>
          <w:tcPr>
            <w:tcW w:w="1205" w:type="dxa"/>
            <w:tcBorders>
              <w:top w:val="single" w:color="auto" w:sz="2" w:space="0"/>
              <w:left w:val="single" w:color="auto" w:sz="2" w:space="0"/>
              <w:bottom w:val="single" w:color="auto" w:sz="2" w:space="0"/>
              <w:right w:val="single" w:color="auto" w:sz="2" w:space="0"/>
            </w:tcBorders>
            <w:vAlign w:val="center"/>
          </w:tcPr>
          <w:p w14:paraId="0E760FB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EACAC0E">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9C66E7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1B04793">
            <w:pPr>
              <w:spacing w:line="240" w:lineRule="exact"/>
              <w:jc w:val="right"/>
              <w:rPr>
                <w:rFonts w:ascii="宋体" w:hAnsi="宋体" w:eastAsia="宋体" w:cs="宋体"/>
                <w:sz w:val="18"/>
                <w:szCs w:val="18"/>
              </w:rPr>
            </w:pPr>
            <w:r>
              <w:rPr>
                <w:rFonts w:ascii="宋体" w:hAnsi="宋体" w:eastAsia="宋体" w:cs="宋体"/>
                <w:sz w:val="18"/>
                <w:szCs w:val="18"/>
              </w:rPr>
              <w:t>15,720.40</w:t>
            </w:r>
          </w:p>
        </w:tc>
        <w:tc>
          <w:tcPr>
            <w:tcW w:w="1205" w:type="dxa"/>
            <w:tcBorders>
              <w:top w:val="single" w:color="auto" w:sz="2" w:space="0"/>
              <w:left w:val="single" w:color="auto" w:sz="2" w:space="0"/>
              <w:bottom w:val="single" w:color="auto" w:sz="2" w:space="0"/>
              <w:right w:val="single" w:color="auto" w:sz="2" w:space="0"/>
            </w:tcBorders>
            <w:vAlign w:val="center"/>
          </w:tcPr>
          <w:p w14:paraId="6C45AFB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AD4C2F1">
            <w:pPr>
              <w:spacing w:line="240" w:lineRule="exact"/>
              <w:jc w:val="right"/>
              <w:rPr>
                <w:rFonts w:ascii="宋体" w:hAnsi="宋体" w:eastAsia="宋体" w:cs="宋体"/>
                <w:sz w:val="18"/>
                <w:szCs w:val="18"/>
              </w:rPr>
            </w:pPr>
            <w:r>
              <w:rPr>
                <w:rFonts w:ascii="宋体" w:hAnsi="宋体" w:eastAsia="宋体" w:cs="宋体"/>
                <w:sz w:val="18"/>
                <w:szCs w:val="18"/>
              </w:rPr>
              <w:t>6,422.53</w:t>
            </w:r>
          </w:p>
        </w:tc>
        <w:tc>
          <w:tcPr>
            <w:tcW w:w="1205" w:type="dxa"/>
            <w:tcBorders>
              <w:top w:val="single" w:color="auto" w:sz="2" w:space="0"/>
              <w:left w:val="single" w:color="auto" w:sz="2" w:space="0"/>
              <w:bottom w:val="single" w:color="auto" w:sz="2" w:space="0"/>
              <w:right w:val="single" w:color="auto" w:sz="2" w:space="0"/>
            </w:tcBorders>
            <w:vAlign w:val="center"/>
          </w:tcPr>
          <w:p w14:paraId="47D18DFA">
            <w:pPr>
              <w:spacing w:line="240" w:lineRule="exact"/>
              <w:rPr>
                <w:rFonts w:ascii="宋体" w:hAnsi="宋体" w:eastAsia="宋体" w:cs="宋体"/>
                <w:sz w:val="18"/>
                <w:szCs w:val="18"/>
              </w:rPr>
            </w:pPr>
          </w:p>
        </w:tc>
      </w:tr>
      <w:tr w14:paraId="1880E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19E1A69">
            <w:pPr>
              <w:spacing w:line="240" w:lineRule="exact"/>
              <w:rPr>
                <w:rFonts w:ascii="宋体" w:hAnsi="宋体" w:eastAsia="宋体" w:cs="宋体"/>
                <w:sz w:val="18"/>
                <w:szCs w:val="18"/>
              </w:rPr>
            </w:pPr>
            <w:r>
              <w:rPr>
                <w:rFonts w:ascii="宋体" w:hAnsi="宋体" w:eastAsia="宋体" w:cs="宋体"/>
                <w:sz w:val="18"/>
                <w:szCs w:val="18"/>
              </w:rPr>
              <w:t>一年内到期的长期应收款</w:t>
            </w:r>
          </w:p>
        </w:tc>
        <w:tc>
          <w:tcPr>
            <w:tcW w:w="1205" w:type="dxa"/>
            <w:tcBorders>
              <w:top w:val="single" w:color="auto" w:sz="2" w:space="0"/>
              <w:left w:val="single" w:color="auto" w:sz="2" w:space="0"/>
              <w:bottom w:val="single" w:color="auto" w:sz="2" w:space="0"/>
              <w:right w:val="single" w:color="auto" w:sz="2" w:space="0"/>
            </w:tcBorders>
            <w:vAlign w:val="center"/>
          </w:tcPr>
          <w:p w14:paraId="4B393C0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451161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0D0F73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1758B98">
            <w:pPr>
              <w:spacing w:line="240" w:lineRule="exact"/>
              <w:jc w:val="right"/>
              <w:rPr>
                <w:rFonts w:ascii="宋体" w:hAnsi="宋体" w:eastAsia="宋体" w:cs="宋体"/>
                <w:sz w:val="18"/>
                <w:szCs w:val="18"/>
              </w:rPr>
            </w:pPr>
            <w:r>
              <w:rPr>
                <w:rFonts w:ascii="宋体" w:hAnsi="宋体" w:eastAsia="宋体" w:cs="宋体"/>
                <w:sz w:val="18"/>
                <w:szCs w:val="18"/>
              </w:rPr>
              <w:t>-3,351,271.93</w:t>
            </w:r>
          </w:p>
        </w:tc>
        <w:tc>
          <w:tcPr>
            <w:tcW w:w="1205" w:type="dxa"/>
            <w:tcBorders>
              <w:top w:val="single" w:color="auto" w:sz="2" w:space="0"/>
              <w:left w:val="single" w:color="auto" w:sz="2" w:space="0"/>
              <w:bottom w:val="single" w:color="auto" w:sz="2" w:space="0"/>
              <w:right w:val="single" w:color="auto" w:sz="2" w:space="0"/>
            </w:tcBorders>
            <w:vAlign w:val="center"/>
          </w:tcPr>
          <w:p w14:paraId="346B34A7">
            <w:pPr>
              <w:spacing w:line="240" w:lineRule="exact"/>
              <w:jc w:val="right"/>
              <w:rPr>
                <w:rFonts w:ascii="宋体" w:hAnsi="宋体" w:eastAsia="宋体" w:cs="宋体"/>
                <w:sz w:val="18"/>
                <w:szCs w:val="18"/>
              </w:rPr>
            </w:pPr>
            <w:r>
              <w:rPr>
                <w:rFonts w:ascii="宋体" w:hAnsi="宋体" w:eastAsia="宋体" w:cs="宋体"/>
                <w:sz w:val="18"/>
                <w:szCs w:val="18"/>
              </w:rPr>
              <w:t>-309,217.37</w:t>
            </w:r>
          </w:p>
        </w:tc>
        <w:tc>
          <w:tcPr>
            <w:tcW w:w="1205" w:type="dxa"/>
            <w:tcBorders>
              <w:top w:val="single" w:color="auto" w:sz="2" w:space="0"/>
              <w:left w:val="single" w:color="auto" w:sz="2" w:space="0"/>
              <w:bottom w:val="single" w:color="auto" w:sz="2" w:space="0"/>
              <w:right w:val="single" w:color="auto" w:sz="2" w:space="0"/>
            </w:tcBorders>
            <w:vAlign w:val="center"/>
          </w:tcPr>
          <w:p w14:paraId="7154D520">
            <w:pPr>
              <w:spacing w:line="240" w:lineRule="exact"/>
              <w:jc w:val="right"/>
              <w:rPr>
                <w:rFonts w:ascii="宋体" w:hAnsi="宋体" w:eastAsia="宋体" w:cs="宋体"/>
                <w:sz w:val="18"/>
                <w:szCs w:val="18"/>
              </w:rPr>
            </w:pPr>
            <w:r>
              <w:rPr>
                <w:rFonts w:ascii="宋体" w:hAnsi="宋体" w:eastAsia="宋体" w:cs="宋体"/>
                <w:sz w:val="18"/>
                <w:szCs w:val="18"/>
              </w:rPr>
              <w:t>-3,042,054.56</w:t>
            </w:r>
          </w:p>
        </w:tc>
        <w:tc>
          <w:tcPr>
            <w:tcW w:w="1205" w:type="dxa"/>
            <w:tcBorders>
              <w:top w:val="single" w:color="auto" w:sz="2" w:space="0"/>
              <w:left w:val="single" w:color="auto" w:sz="2" w:space="0"/>
              <w:bottom w:val="single" w:color="auto" w:sz="2" w:space="0"/>
              <w:right w:val="single" w:color="auto" w:sz="2" w:space="0"/>
            </w:tcBorders>
            <w:vAlign w:val="center"/>
          </w:tcPr>
          <w:p w14:paraId="21F25467">
            <w:pPr>
              <w:spacing w:line="240" w:lineRule="exact"/>
              <w:rPr>
                <w:rFonts w:ascii="宋体" w:hAnsi="宋体" w:eastAsia="宋体" w:cs="宋体"/>
                <w:sz w:val="18"/>
                <w:szCs w:val="18"/>
              </w:rPr>
            </w:pPr>
          </w:p>
        </w:tc>
      </w:tr>
      <w:tr w14:paraId="69547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F57C10E">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205" w:type="dxa"/>
            <w:tcBorders>
              <w:top w:val="single" w:color="auto" w:sz="2" w:space="0"/>
              <w:left w:val="single" w:color="auto" w:sz="2" w:space="0"/>
              <w:bottom w:val="single" w:color="auto" w:sz="2" w:space="0"/>
              <w:right w:val="single" w:color="auto" w:sz="2" w:space="0"/>
            </w:tcBorders>
            <w:vAlign w:val="center"/>
          </w:tcPr>
          <w:p w14:paraId="16427661">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77540E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B4D252D">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52CA726">
            <w:pPr>
              <w:spacing w:line="240" w:lineRule="exact"/>
              <w:jc w:val="right"/>
              <w:rPr>
                <w:rFonts w:ascii="宋体" w:hAnsi="宋体" w:eastAsia="宋体" w:cs="宋体"/>
                <w:sz w:val="18"/>
                <w:szCs w:val="18"/>
              </w:rPr>
            </w:pPr>
            <w:r>
              <w:rPr>
                <w:rFonts w:ascii="宋体" w:hAnsi="宋体" w:eastAsia="宋体" w:cs="宋体"/>
                <w:sz w:val="18"/>
                <w:szCs w:val="18"/>
              </w:rPr>
              <w:t>229,309.79</w:t>
            </w:r>
          </w:p>
        </w:tc>
        <w:tc>
          <w:tcPr>
            <w:tcW w:w="1205" w:type="dxa"/>
            <w:tcBorders>
              <w:top w:val="single" w:color="auto" w:sz="2" w:space="0"/>
              <w:left w:val="single" w:color="auto" w:sz="2" w:space="0"/>
              <w:bottom w:val="single" w:color="auto" w:sz="2" w:space="0"/>
              <w:right w:val="single" w:color="auto" w:sz="2" w:space="0"/>
            </w:tcBorders>
            <w:vAlign w:val="center"/>
          </w:tcPr>
          <w:p w14:paraId="5E36005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D78B3E5">
            <w:pPr>
              <w:spacing w:line="240" w:lineRule="exact"/>
              <w:jc w:val="right"/>
              <w:rPr>
                <w:rFonts w:ascii="宋体" w:hAnsi="宋体" w:eastAsia="宋体" w:cs="宋体"/>
                <w:sz w:val="18"/>
                <w:szCs w:val="18"/>
              </w:rPr>
            </w:pPr>
            <w:r>
              <w:rPr>
                <w:rFonts w:ascii="宋体" w:hAnsi="宋体" w:eastAsia="宋体" w:cs="宋体"/>
                <w:sz w:val="18"/>
                <w:szCs w:val="18"/>
              </w:rPr>
              <w:t>229,309.79</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17F498A2"/>
        </w:tc>
      </w:tr>
    </w:tbl>
    <w:p w14:paraId="159FF117">
      <w:pPr>
        <w:keepNext/>
        <w:keepLines/>
        <w:spacing w:before="300" w:after="300" w:line="280" w:lineRule="exact"/>
        <w:outlineLvl w:val="3"/>
        <w:rPr>
          <w:rFonts w:ascii="宋体" w:hAnsi="宋体" w:eastAsia="宋体" w:cs="宋体"/>
          <w:b/>
          <w:bCs/>
          <w:szCs w:val="21"/>
        </w:rPr>
      </w:pPr>
      <w:bookmarkStart w:id="348" w:name="_Toc989201"/>
      <w:r>
        <w:rPr>
          <w:rFonts w:ascii="宋体" w:hAnsi="宋体" w:eastAsia="宋体" w:cs="宋体"/>
          <w:b/>
          <w:bCs/>
          <w:szCs w:val="21"/>
        </w:rPr>
        <w:t>（2） 按坏账计提方法分类披露</w:t>
      </w:r>
      <w:bookmarkEnd w:id="348"/>
    </w:p>
    <w:p w14:paraId="5CBBD195">
      <w:pPr>
        <w:spacing w:before="100" w:after="100" w:line="240" w:lineRule="exact"/>
        <w:rPr>
          <w:rFonts w:ascii="宋体" w:hAnsi="宋体" w:eastAsia="宋体" w:cs="宋体"/>
          <w:sz w:val="18"/>
          <w:szCs w:val="18"/>
        </w:rPr>
      </w:pPr>
      <w:r>
        <w:rPr>
          <w:rFonts w:ascii="宋体" w:hAnsi="宋体" w:eastAsia="宋体" w:cs="宋体"/>
          <w:sz w:val="18"/>
          <w:szCs w:val="18"/>
        </w:rPr>
        <w:t>按预期信用损失一般模型计提坏账准备各阶段划分依据和坏账准备计提比例</w:t>
      </w:r>
    </w:p>
    <w:p w14:paraId="24754F34">
      <w:pPr>
        <w:keepNext/>
        <w:keepLines/>
        <w:spacing w:before="300" w:after="300" w:line="280" w:lineRule="exact"/>
        <w:outlineLvl w:val="3"/>
        <w:rPr>
          <w:rFonts w:ascii="宋体" w:hAnsi="宋体" w:eastAsia="宋体" w:cs="宋体"/>
          <w:b/>
          <w:bCs/>
          <w:szCs w:val="21"/>
        </w:rPr>
      </w:pPr>
      <w:bookmarkStart w:id="349" w:name="_Toc989202"/>
      <w:r>
        <w:rPr>
          <w:rFonts w:ascii="宋体" w:hAnsi="宋体" w:eastAsia="宋体" w:cs="宋体"/>
          <w:b/>
          <w:bCs/>
          <w:szCs w:val="21"/>
        </w:rPr>
        <w:t>（3） 本期计提、收回或转回的坏账准备的情况</w:t>
      </w:r>
      <w:bookmarkEnd w:id="349"/>
    </w:p>
    <w:p w14:paraId="1A58CF79">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546808FB">
      <w:pPr>
        <w:keepNext/>
        <w:keepLines/>
        <w:spacing w:before="300" w:after="300" w:line="280" w:lineRule="exact"/>
        <w:outlineLvl w:val="3"/>
        <w:rPr>
          <w:rFonts w:ascii="宋体" w:hAnsi="宋体" w:eastAsia="宋体" w:cs="宋体"/>
          <w:b/>
          <w:bCs/>
          <w:szCs w:val="21"/>
        </w:rPr>
      </w:pPr>
      <w:bookmarkStart w:id="350" w:name="_Toc989203"/>
      <w:r>
        <w:rPr>
          <w:rFonts w:ascii="宋体" w:hAnsi="宋体" w:eastAsia="宋体" w:cs="宋体"/>
          <w:b/>
          <w:bCs/>
          <w:szCs w:val="21"/>
        </w:rPr>
        <w:t>（4） 本期实际核销的长期应收款情况</w:t>
      </w:r>
      <w:bookmarkEnd w:id="350"/>
    </w:p>
    <w:p w14:paraId="2300A4F8">
      <w:pPr>
        <w:spacing w:before="100" w:after="100" w:line="240" w:lineRule="exact"/>
        <w:rPr>
          <w:rFonts w:ascii="宋体" w:hAnsi="宋体" w:eastAsia="宋体" w:cs="宋体"/>
          <w:sz w:val="18"/>
          <w:szCs w:val="18"/>
        </w:rPr>
      </w:pPr>
      <w:r>
        <w:rPr>
          <w:rFonts w:ascii="宋体" w:hAnsi="宋体" w:eastAsia="宋体" w:cs="宋体"/>
          <w:sz w:val="18"/>
          <w:szCs w:val="18"/>
        </w:rPr>
        <w:t>长期应收款核销说明：无</w:t>
      </w:r>
    </w:p>
    <w:p w14:paraId="349982DF">
      <w:pPr>
        <w:rPr>
          <w:sz w:val="18"/>
          <w:szCs w:val="18"/>
        </w:rPr>
      </w:pPr>
    </w:p>
    <w:p w14:paraId="24B140A3">
      <w:pPr>
        <w:pStyle w:val="3"/>
        <w:spacing w:line="280" w:lineRule="exact"/>
        <w:jc w:val="left"/>
        <w:rPr>
          <w:rFonts w:ascii="宋体" w:hAnsi="宋体" w:cs="宋体"/>
          <w:b/>
          <w:bCs/>
        </w:rPr>
      </w:pPr>
      <w:bookmarkStart w:id="351" w:name="_Toc989204"/>
      <w:r>
        <w:rPr>
          <w:rFonts w:ascii="宋体" w:hAnsi="宋体" w:cs="宋体"/>
          <w:b/>
          <w:bCs/>
        </w:rPr>
        <w:t>18、长期股权投资</w:t>
      </w:r>
      <w:bookmarkEnd w:id="351"/>
    </w:p>
    <w:p w14:paraId="0BE9091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5"/>
        <w:gridCol w:w="741"/>
        <w:gridCol w:w="743"/>
      </w:tblGrid>
      <w:tr w14:paraId="716DF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3697E92">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2A29DE5">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9E8B9B8">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14:paraId="16EB3063">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F61531A">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C494BB2">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14:paraId="14C4F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1456BD1"/>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188F66D"/>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6DD42E9"/>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1A5E634">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B690141">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6306875">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E5B6A1F">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71458CD">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0CF8C368">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282C679">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155783B">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77E707E"/>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A026E57"/>
        </w:tc>
      </w:tr>
      <w:tr w14:paraId="15E08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561D0068">
            <w:pPr>
              <w:spacing w:before="40" w:after="40" w:line="240" w:lineRule="exact"/>
              <w:rPr>
                <w:rFonts w:ascii="宋体" w:hAnsi="宋体" w:eastAsia="宋体" w:cs="宋体"/>
                <w:sz w:val="18"/>
                <w:szCs w:val="18"/>
              </w:rPr>
            </w:pPr>
            <w:r>
              <w:rPr>
                <w:rFonts w:ascii="宋体" w:hAnsi="宋体" w:eastAsia="宋体" w:cs="宋体"/>
                <w:sz w:val="18"/>
                <w:szCs w:val="18"/>
              </w:rPr>
              <w:t>一、合营企业</w:t>
            </w:r>
          </w:p>
        </w:tc>
      </w:tr>
      <w:tr w14:paraId="251E0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5C3BF12A">
            <w:pPr>
              <w:spacing w:before="40" w:after="40" w:line="240" w:lineRule="exact"/>
              <w:rPr>
                <w:rFonts w:ascii="宋体" w:hAnsi="宋体" w:eastAsia="宋体" w:cs="宋体"/>
                <w:sz w:val="18"/>
                <w:szCs w:val="18"/>
              </w:rPr>
            </w:pPr>
            <w:r>
              <w:rPr>
                <w:rFonts w:ascii="宋体" w:hAnsi="宋体" w:eastAsia="宋体" w:cs="宋体"/>
                <w:sz w:val="18"/>
                <w:szCs w:val="18"/>
              </w:rPr>
              <w:t>二、联营企业</w:t>
            </w:r>
          </w:p>
        </w:tc>
      </w:tr>
      <w:tr w14:paraId="1206E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7C0C860A">
            <w:pPr>
              <w:spacing w:line="240" w:lineRule="exact"/>
              <w:rPr>
                <w:rFonts w:ascii="宋体" w:hAnsi="宋体" w:eastAsia="宋体" w:cs="宋体"/>
                <w:sz w:val="18"/>
                <w:szCs w:val="18"/>
              </w:rPr>
            </w:pPr>
            <w:r>
              <w:rPr>
                <w:rFonts w:ascii="宋体" w:hAnsi="宋体" w:eastAsia="宋体" w:cs="宋体"/>
                <w:sz w:val="18"/>
                <w:szCs w:val="18"/>
              </w:rPr>
              <w:t>江苏科孚纺织品贸易有限公司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18B5CB6A">
            <w:pPr>
              <w:spacing w:line="240" w:lineRule="exact"/>
              <w:jc w:val="right"/>
              <w:rPr>
                <w:rFonts w:ascii="宋体" w:hAnsi="宋体" w:eastAsia="宋体" w:cs="宋体"/>
                <w:sz w:val="18"/>
                <w:szCs w:val="18"/>
              </w:rPr>
            </w:pPr>
            <w:r>
              <w:rPr>
                <w:rFonts w:ascii="宋体" w:hAnsi="宋体" w:eastAsia="宋体" w:cs="宋体"/>
                <w:sz w:val="18"/>
                <w:szCs w:val="18"/>
              </w:rPr>
              <w:t>45,046,641.47</w:t>
            </w:r>
          </w:p>
        </w:tc>
        <w:tc>
          <w:tcPr>
            <w:tcW w:w="741" w:type="dxa"/>
            <w:tcBorders>
              <w:top w:val="single" w:color="auto" w:sz="2" w:space="0"/>
              <w:left w:val="single" w:color="auto" w:sz="2" w:space="0"/>
              <w:bottom w:val="single" w:color="auto" w:sz="2" w:space="0"/>
              <w:right w:val="single" w:color="auto" w:sz="2" w:space="0"/>
            </w:tcBorders>
            <w:vAlign w:val="center"/>
          </w:tcPr>
          <w:p w14:paraId="0866301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6C20BD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70CA430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96FB676">
            <w:pPr>
              <w:spacing w:line="240" w:lineRule="exact"/>
              <w:jc w:val="right"/>
              <w:rPr>
                <w:rFonts w:ascii="宋体" w:hAnsi="宋体" w:eastAsia="宋体" w:cs="宋体"/>
                <w:sz w:val="18"/>
                <w:szCs w:val="18"/>
              </w:rPr>
            </w:pPr>
            <w:r>
              <w:rPr>
                <w:rFonts w:ascii="宋体" w:hAnsi="宋体" w:eastAsia="宋体" w:cs="宋体"/>
                <w:sz w:val="18"/>
                <w:szCs w:val="18"/>
              </w:rPr>
              <w:t>137,201.55</w:t>
            </w:r>
          </w:p>
        </w:tc>
        <w:tc>
          <w:tcPr>
            <w:tcW w:w="741" w:type="dxa"/>
            <w:tcBorders>
              <w:top w:val="single" w:color="auto" w:sz="2" w:space="0"/>
              <w:left w:val="single" w:color="auto" w:sz="2" w:space="0"/>
              <w:bottom w:val="single" w:color="auto" w:sz="2" w:space="0"/>
              <w:right w:val="single" w:color="auto" w:sz="2" w:space="0"/>
            </w:tcBorders>
            <w:vAlign w:val="center"/>
          </w:tcPr>
          <w:p w14:paraId="64CA9800">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195E01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650B2B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4E906A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DB73E6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EF450DF">
            <w:pPr>
              <w:spacing w:line="240" w:lineRule="exact"/>
              <w:jc w:val="right"/>
              <w:rPr>
                <w:rFonts w:ascii="宋体" w:hAnsi="宋体" w:eastAsia="宋体" w:cs="宋体"/>
                <w:sz w:val="18"/>
                <w:szCs w:val="18"/>
              </w:rPr>
            </w:pPr>
            <w:r>
              <w:rPr>
                <w:rFonts w:ascii="宋体" w:hAnsi="宋体" w:eastAsia="宋体" w:cs="宋体"/>
                <w:sz w:val="18"/>
                <w:szCs w:val="18"/>
              </w:rPr>
              <w:t>45,183,843.02</w:t>
            </w:r>
          </w:p>
        </w:tc>
        <w:tc>
          <w:tcPr>
            <w:tcW w:w="741" w:type="dxa"/>
            <w:tcBorders>
              <w:top w:val="single" w:color="auto" w:sz="2" w:space="0"/>
              <w:left w:val="single" w:color="auto" w:sz="2" w:space="0"/>
              <w:bottom w:val="single" w:color="auto" w:sz="2" w:space="0"/>
              <w:right w:val="single" w:color="auto" w:sz="2" w:space="0"/>
            </w:tcBorders>
            <w:vAlign w:val="center"/>
          </w:tcPr>
          <w:p w14:paraId="1649BC52">
            <w:pPr>
              <w:spacing w:line="240" w:lineRule="exact"/>
              <w:jc w:val="right"/>
              <w:rPr>
                <w:rFonts w:ascii="宋体" w:hAnsi="宋体" w:eastAsia="宋体" w:cs="宋体"/>
                <w:sz w:val="18"/>
                <w:szCs w:val="18"/>
              </w:rPr>
            </w:pPr>
          </w:p>
        </w:tc>
      </w:tr>
      <w:tr w14:paraId="3296D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36E6A9C4">
            <w:pPr>
              <w:spacing w:line="240" w:lineRule="exact"/>
              <w:rPr>
                <w:rFonts w:ascii="宋体" w:hAnsi="宋体" w:eastAsia="宋体" w:cs="宋体"/>
                <w:sz w:val="18"/>
                <w:szCs w:val="18"/>
              </w:rPr>
            </w:pPr>
            <w:r>
              <w:rPr>
                <w:rFonts w:ascii="宋体" w:hAnsi="宋体" w:eastAsia="宋体" w:cs="宋体"/>
                <w:sz w:val="18"/>
                <w:szCs w:val="18"/>
              </w:rPr>
              <w:t>福田实业（集团）有限公司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216D1648">
            <w:pPr>
              <w:spacing w:line="240" w:lineRule="exact"/>
              <w:jc w:val="right"/>
              <w:rPr>
                <w:rFonts w:ascii="宋体" w:hAnsi="宋体" w:eastAsia="宋体" w:cs="宋体"/>
                <w:sz w:val="18"/>
                <w:szCs w:val="18"/>
              </w:rPr>
            </w:pPr>
            <w:r>
              <w:rPr>
                <w:rFonts w:ascii="宋体" w:hAnsi="宋体" w:eastAsia="宋体" w:cs="宋体"/>
                <w:sz w:val="18"/>
                <w:szCs w:val="18"/>
              </w:rPr>
              <w:t>247,997,146.26</w:t>
            </w:r>
          </w:p>
        </w:tc>
        <w:tc>
          <w:tcPr>
            <w:tcW w:w="741" w:type="dxa"/>
            <w:tcBorders>
              <w:top w:val="single" w:color="auto" w:sz="2" w:space="0"/>
              <w:left w:val="single" w:color="auto" w:sz="2" w:space="0"/>
              <w:bottom w:val="single" w:color="auto" w:sz="2" w:space="0"/>
              <w:right w:val="single" w:color="auto" w:sz="2" w:space="0"/>
            </w:tcBorders>
            <w:vAlign w:val="center"/>
          </w:tcPr>
          <w:p w14:paraId="7655AB5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48F2C9D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BB0D77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B74F09A">
            <w:pPr>
              <w:spacing w:line="240" w:lineRule="exact"/>
              <w:jc w:val="right"/>
              <w:rPr>
                <w:rFonts w:ascii="宋体" w:hAnsi="宋体" w:eastAsia="宋体" w:cs="宋体"/>
                <w:sz w:val="18"/>
                <w:szCs w:val="18"/>
              </w:rPr>
            </w:pPr>
            <w:r>
              <w:rPr>
                <w:rFonts w:ascii="宋体" w:hAnsi="宋体" w:eastAsia="宋体" w:cs="宋体"/>
                <w:sz w:val="18"/>
                <w:szCs w:val="18"/>
              </w:rPr>
              <w:t>11,301,182.33</w:t>
            </w:r>
          </w:p>
        </w:tc>
        <w:tc>
          <w:tcPr>
            <w:tcW w:w="741" w:type="dxa"/>
            <w:tcBorders>
              <w:top w:val="single" w:color="auto" w:sz="2" w:space="0"/>
              <w:left w:val="single" w:color="auto" w:sz="2" w:space="0"/>
              <w:bottom w:val="single" w:color="auto" w:sz="2" w:space="0"/>
              <w:right w:val="single" w:color="auto" w:sz="2" w:space="0"/>
            </w:tcBorders>
            <w:vAlign w:val="center"/>
          </w:tcPr>
          <w:p w14:paraId="54FDEBD3">
            <w:pPr>
              <w:spacing w:line="240" w:lineRule="exact"/>
              <w:jc w:val="right"/>
              <w:rPr>
                <w:rFonts w:ascii="宋体" w:hAnsi="宋体" w:eastAsia="宋体" w:cs="宋体"/>
                <w:sz w:val="18"/>
                <w:szCs w:val="18"/>
              </w:rPr>
            </w:pPr>
            <w:r>
              <w:rPr>
                <w:rFonts w:ascii="宋体" w:hAnsi="宋体" w:eastAsia="宋体" w:cs="宋体"/>
                <w:sz w:val="18"/>
                <w:szCs w:val="18"/>
              </w:rPr>
              <w:t>1,274,276.32</w:t>
            </w:r>
          </w:p>
        </w:tc>
        <w:tc>
          <w:tcPr>
            <w:tcW w:w="741" w:type="dxa"/>
            <w:tcBorders>
              <w:top w:val="single" w:color="auto" w:sz="2" w:space="0"/>
              <w:left w:val="single" w:color="auto" w:sz="2" w:space="0"/>
              <w:bottom w:val="single" w:color="auto" w:sz="2" w:space="0"/>
              <w:right w:val="single" w:color="auto" w:sz="2" w:space="0"/>
            </w:tcBorders>
            <w:vAlign w:val="center"/>
          </w:tcPr>
          <w:p w14:paraId="2890215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6A9EF79">
            <w:pPr>
              <w:spacing w:line="240" w:lineRule="exact"/>
              <w:jc w:val="right"/>
              <w:rPr>
                <w:rFonts w:ascii="宋体" w:hAnsi="宋体" w:eastAsia="宋体" w:cs="宋体"/>
                <w:sz w:val="18"/>
                <w:szCs w:val="18"/>
              </w:rPr>
            </w:pPr>
            <w:r>
              <w:rPr>
                <w:rFonts w:ascii="宋体" w:hAnsi="宋体" w:eastAsia="宋体" w:cs="宋体"/>
                <w:sz w:val="18"/>
                <w:szCs w:val="18"/>
              </w:rPr>
              <w:t>10,644,581.58</w:t>
            </w:r>
          </w:p>
        </w:tc>
        <w:tc>
          <w:tcPr>
            <w:tcW w:w="741" w:type="dxa"/>
            <w:tcBorders>
              <w:top w:val="single" w:color="auto" w:sz="2" w:space="0"/>
              <w:left w:val="single" w:color="auto" w:sz="2" w:space="0"/>
              <w:bottom w:val="single" w:color="auto" w:sz="2" w:space="0"/>
              <w:right w:val="single" w:color="auto" w:sz="2" w:space="0"/>
            </w:tcBorders>
            <w:vAlign w:val="center"/>
          </w:tcPr>
          <w:p w14:paraId="0433BAB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DCF1AD5">
            <w:pPr>
              <w:spacing w:line="240" w:lineRule="exact"/>
              <w:jc w:val="right"/>
              <w:rPr>
                <w:rFonts w:ascii="宋体" w:hAnsi="宋体" w:eastAsia="宋体" w:cs="宋体"/>
                <w:sz w:val="18"/>
                <w:szCs w:val="18"/>
              </w:rPr>
            </w:pPr>
            <w:r>
              <w:rPr>
                <w:rFonts w:ascii="宋体" w:hAnsi="宋体" w:eastAsia="宋体" w:cs="宋体"/>
                <w:sz w:val="18"/>
                <w:szCs w:val="18"/>
              </w:rPr>
              <w:t>-6,136,344.44</w:t>
            </w:r>
          </w:p>
        </w:tc>
        <w:tc>
          <w:tcPr>
            <w:tcW w:w="741" w:type="dxa"/>
            <w:tcBorders>
              <w:top w:val="single" w:color="auto" w:sz="2" w:space="0"/>
              <w:left w:val="single" w:color="auto" w:sz="2" w:space="0"/>
              <w:bottom w:val="single" w:color="auto" w:sz="2" w:space="0"/>
              <w:right w:val="single" w:color="auto" w:sz="2" w:space="0"/>
            </w:tcBorders>
            <w:vAlign w:val="center"/>
          </w:tcPr>
          <w:p w14:paraId="1B46BE89">
            <w:pPr>
              <w:spacing w:line="240" w:lineRule="exact"/>
              <w:jc w:val="right"/>
              <w:rPr>
                <w:rFonts w:ascii="宋体" w:hAnsi="宋体" w:eastAsia="宋体" w:cs="宋体"/>
                <w:sz w:val="18"/>
                <w:szCs w:val="18"/>
              </w:rPr>
            </w:pPr>
            <w:r>
              <w:rPr>
                <w:rFonts w:ascii="宋体" w:hAnsi="宋体" w:eastAsia="宋体" w:cs="宋体"/>
                <w:sz w:val="18"/>
                <w:szCs w:val="18"/>
              </w:rPr>
              <w:t>243,791,678.89</w:t>
            </w:r>
          </w:p>
        </w:tc>
        <w:tc>
          <w:tcPr>
            <w:tcW w:w="741" w:type="dxa"/>
            <w:tcBorders>
              <w:top w:val="single" w:color="auto" w:sz="2" w:space="0"/>
              <w:left w:val="single" w:color="auto" w:sz="2" w:space="0"/>
              <w:bottom w:val="single" w:color="auto" w:sz="2" w:space="0"/>
              <w:right w:val="single" w:color="auto" w:sz="2" w:space="0"/>
            </w:tcBorders>
            <w:vAlign w:val="center"/>
          </w:tcPr>
          <w:p w14:paraId="583C1ABC">
            <w:pPr>
              <w:spacing w:line="240" w:lineRule="exact"/>
              <w:jc w:val="right"/>
              <w:rPr>
                <w:rFonts w:ascii="宋体" w:hAnsi="宋体" w:eastAsia="宋体" w:cs="宋体"/>
                <w:sz w:val="18"/>
                <w:szCs w:val="18"/>
              </w:rPr>
            </w:pPr>
          </w:p>
        </w:tc>
      </w:tr>
      <w:tr w14:paraId="798DA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22081252">
            <w:pPr>
              <w:spacing w:line="240" w:lineRule="exact"/>
              <w:rPr>
                <w:rFonts w:ascii="宋体" w:hAnsi="宋体" w:eastAsia="宋体" w:cs="宋体"/>
                <w:sz w:val="18"/>
                <w:szCs w:val="18"/>
              </w:rPr>
            </w:pPr>
            <w:r>
              <w:rPr>
                <w:rFonts w:ascii="宋体" w:hAnsi="宋体" w:eastAsia="宋体" w:cs="宋体"/>
                <w:sz w:val="18"/>
                <w:szCs w:val="18"/>
              </w:rPr>
              <w:t>浙江华尚产业运营有限公司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426D273A">
            <w:pPr>
              <w:spacing w:line="240" w:lineRule="exact"/>
              <w:jc w:val="right"/>
              <w:rPr>
                <w:rFonts w:ascii="宋体" w:hAnsi="宋体" w:eastAsia="宋体" w:cs="宋体"/>
                <w:sz w:val="18"/>
                <w:szCs w:val="18"/>
              </w:rPr>
            </w:pPr>
            <w:r>
              <w:rPr>
                <w:rFonts w:ascii="宋体" w:hAnsi="宋体" w:eastAsia="宋体" w:cs="宋体"/>
                <w:sz w:val="18"/>
                <w:szCs w:val="18"/>
              </w:rPr>
              <w:t>38,588,747.98</w:t>
            </w:r>
          </w:p>
        </w:tc>
        <w:tc>
          <w:tcPr>
            <w:tcW w:w="741" w:type="dxa"/>
            <w:tcBorders>
              <w:top w:val="single" w:color="auto" w:sz="2" w:space="0"/>
              <w:left w:val="single" w:color="auto" w:sz="2" w:space="0"/>
              <w:bottom w:val="single" w:color="auto" w:sz="2" w:space="0"/>
              <w:right w:val="single" w:color="auto" w:sz="2" w:space="0"/>
            </w:tcBorders>
            <w:vAlign w:val="center"/>
          </w:tcPr>
          <w:p w14:paraId="0217645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1362141">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BD3B88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CFBC5E1">
            <w:pPr>
              <w:spacing w:line="240" w:lineRule="exact"/>
              <w:jc w:val="right"/>
              <w:rPr>
                <w:rFonts w:ascii="宋体" w:hAnsi="宋体" w:eastAsia="宋体" w:cs="宋体"/>
                <w:sz w:val="18"/>
                <w:szCs w:val="18"/>
              </w:rPr>
            </w:pPr>
            <w:r>
              <w:rPr>
                <w:rFonts w:ascii="宋体" w:hAnsi="宋体" w:eastAsia="宋体" w:cs="宋体"/>
                <w:sz w:val="18"/>
                <w:szCs w:val="18"/>
              </w:rPr>
              <w:t>-1,848,627.72</w:t>
            </w:r>
          </w:p>
        </w:tc>
        <w:tc>
          <w:tcPr>
            <w:tcW w:w="741" w:type="dxa"/>
            <w:tcBorders>
              <w:top w:val="single" w:color="auto" w:sz="2" w:space="0"/>
              <w:left w:val="single" w:color="auto" w:sz="2" w:space="0"/>
              <w:bottom w:val="single" w:color="auto" w:sz="2" w:space="0"/>
              <w:right w:val="single" w:color="auto" w:sz="2" w:space="0"/>
            </w:tcBorders>
            <w:vAlign w:val="center"/>
          </w:tcPr>
          <w:p w14:paraId="3072ECA2">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E3B315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0166A0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27D3C6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27340B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1123AC6">
            <w:pPr>
              <w:spacing w:line="240" w:lineRule="exact"/>
              <w:jc w:val="right"/>
              <w:rPr>
                <w:rFonts w:ascii="宋体" w:hAnsi="宋体" w:eastAsia="宋体" w:cs="宋体"/>
                <w:sz w:val="18"/>
                <w:szCs w:val="18"/>
              </w:rPr>
            </w:pPr>
            <w:r>
              <w:rPr>
                <w:rFonts w:ascii="宋体" w:hAnsi="宋体" w:eastAsia="宋体" w:cs="宋体"/>
                <w:sz w:val="18"/>
                <w:szCs w:val="18"/>
              </w:rPr>
              <w:t>36,740,120.26</w:t>
            </w:r>
          </w:p>
        </w:tc>
        <w:tc>
          <w:tcPr>
            <w:tcW w:w="741" w:type="dxa"/>
            <w:tcBorders>
              <w:top w:val="single" w:color="auto" w:sz="2" w:space="0"/>
              <w:left w:val="single" w:color="auto" w:sz="2" w:space="0"/>
              <w:bottom w:val="single" w:color="auto" w:sz="2" w:space="0"/>
              <w:right w:val="single" w:color="auto" w:sz="2" w:space="0"/>
            </w:tcBorders>
            <w:vAlign w:val="center"/>
          </w:tcPr>
          <w:p w14:paraId="0B6041E6">
            <w:pPr>
              <w:spacing w:line="240" w:lineRule="exact"/>
              <w:jc w:val="right"/>
              <w:rPr>
                <w:rFonts w:ascii="宋体" w:hAnsi="宋体" w:eastAsia="宋体" w:cs="宋体"/>
                <w:sz w:val="18"/>
                <w:szCs w:val="18"/>
              </w:rPr>
            </w:pPr>
          </w:p>
        </w:tc>
      </w:tr>
      <w:tr w14:paraId="33F83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451FB79">
            <w:pPr>
              <w:spacing w:before="40" w:after="40" w:line="240" w:lineRule="exact"/>
              <w:rPr>
                <w:rFonts w:ascii="宋体" w:hAnsi="宋体" w:eastAsia="宋体" w:cs="宋体"/>
                <w:sz w:val="18"/>
                <w:szCs w:val="18"/>
              </w:rPr>
            </w:pPr>
            <w:r>
              <w:rPr>
                <w:rFonts w:ascii="宋体" w:hAnsi="宋体" w:eastAsia="宋体" w:cs="宋体"/>
                <w:sz w:val="18"/>
                <w:szCs w:val="18"/>
              </w:rPr>
              <w:t>小计</w:t>
            </w:r>
          </w:p>
        </w:tc>
        <w:tc>
          <w:tcPr>
            <w:tcW w:w="741" w:type="dxa"/>
            <w:tcBorders>
              <w:top w:val="single" w:color="auto" w:sz="2" w:space="0"/>
              <w:left w:val="single" w:color="auto" w:sz="2" w:space="0"/>
              <w:bottom w:val="single" w:color="auto" w:sz="2" w:space="0"/>
              <w:right w:val="single" w:color="auto" w:sz="2" w:space="0"/>
            </w:tcBorders>
            <w:vAlign w:val="center"/>
          </w:tcPr>
          <w:p w14:paraId="57ED9CB1">
            <w:pPr>
              <w:spacing w:line="240" w:lineRule="exact"/>
              <w:jc w:val="right"/>
              <w:rPr>
                <w:rFonts w:ascii="宋体" w:hAnsi="宋体" w:eastAsia="宋体" w:cs="宋体"/>
                <w:sz w:val="18"/>
                <w:szCs w:val="18"/>
              </w:rPr>
            </w:pPr>
            <w:r>
              <w:rPr>
                <w:rFonts w:ascii="宋体" w:hAnsi="宋体" w:eastAsia="宋体" w:cs="宋体"/>
                <w:sz w:val="18"/>
                <w:szCs w:val="18"/>
              </w:rPr>
              <w:t>331,632,535.71</w:t>
            </w:r>
          </w:p>
        </w:tc>
        <w:tc>
          <w:tcPr>
            <w:tcW w:w="741" w:type="dxa"/>
            <w:tcBorders>
              <w:top w:val="single" w:color="auto" w:sz="2" w:space="0"/>
              <w:left w:val="single" w:color="auto" w:sz="2" w:space="0"/>
              <w:bottom w:val="single" w:color="auto" w:sz="2" w:space="0"/>
              <w:right w:val="single" w:color="auto" w:sz="2" w:space="0"/>
            </w:tcBorders>
            <w:vAlign w:val="center"/>
          </w:tcPr>
          <w:p w14:paraId="020F38E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57DC99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2B3B719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00609CA">
            <w:pPr>
              <w:spacing w:line="240" w:lineRule="exact"/>
              <w:jc w:val="right"/>
              <w:rPr>
                <w:rFonts w:ascii="宋体" w:hAnsi="宋体" w:eastAsia="宋体" w:cs="宋体"/>
                <w:sz w:val="18"/>
                <w:szCs w:val="18"/>
              </w:rPr>
            </w:pPr>
            <w:r>
              <w:rPr>
                <w:rFonts w:ascii="宋体" w:hAnsi="宋体" w:eastAsia="宋体" w:cs="宋体"/>
                <w:sz w:val="18"/>
                <w:szCs w:val="18"/>
              </w:rPr>
              <w:t>9,589,756.16</w:t>
            </w:r>
          </w:p>
        </w:tc>
        <w:tc>
          <w:tcPr>
            <w:tcW w:w="741" w:type="dxa"/>
            <w:tcBorders>
              <w:top w:val="single" w:color="auto" w:sz="2" w:space="0"/>
              <w:left w:val="single" w:color="auto" w:sz="2" w:space="0"/>
              <w:bottom w:val="single" w:color="auto" w:sz="2" w:space="0"/>
              <w:right w:val="single" w:color="auto" w:sz="2" w:space="0"/>
            </w:tcBorders>
            <w:vAlign w:val="center"/>
          </w:tcPr>
          <w:p w14:paraId="15C9D726">
            <w:pPr>
              <w:spacing w:line="240" w:lineRule="exact"/>
              <w:jc w:val="right"/>
              <w:rPr>
                <w:rFonts w:ascii="宋体" w:hAnsi="宋体" w:eastAsia="宋体" w:cs="宋体"/>
                <w:sz w:val="18"/>
                <w:szCs w:val="18"/>
              </w:rPr>
            </w:pPr>
            <w:r>
              <w:rPr>
                <w:rFonts w:ascii="宋体" w:hAnsi="宋体" w:eastAsia="宋体" w:cs="宋体"/>
                <w:sz w:val="18"/>
                <w:szCs w:val="18"/>
              </w:rPr>
              <w:t>1,274,276.32</w:t>
            </w:r>
          </w:p>
        </w:tc>
        <w:tc>
          <w:tcPr>
            <w:tcW w:w="741" w:type="dxa"/>
            <w:tcBorders>
              <w:top w:val="single" w:color="auto" w:sz="2" w:space="0"/>
              <w:left w:val="single" w:color="auto" w:sz="2" w:space="0"/>
              <w:bottom w:val="single" w:color="auto" w:sz="2" w:space="0"/>
              <w:right w:val="single" w:color="auto" w:sz="2" w:space="0"/>
            </w:tcBorders>
            <w:vAlign w:val="center"/>
          </w:tcPr>
          <w:p w14:paraId="768E5CFE">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83A7455">
            <w:pPr>
              <w:spacing w:line="240" w:lineRule="exact"/>
              <w:jc w:val="right"/>
              <w:rPr>
                <w:rFonts w:ascii="宋体" w:hAnsi="宋体" w:eastAsia="宋体" w:cs="宋体"/>
                <w:sz w:val="18"/>
                <w:szCs w:val="18"/>
              </w:rPr>
            </w:pPr>
            <w:r>
              <w:rPr>
                <w:rFonts w:ascii="宋体" w:hAnsi="宋体" w:eastAsia="宋体" w:cs="宋体"/>
                <w:sz w:val="18"/>
                <w:szCs w:val="18"/>
              </w:rPr>
              <w:t>10,644,581.58</w:t>
            </w:r>
          </w:p>
        </w:tc>
        <w:tc>
          <w:tcPr>
            <w:tcW w:w="741" w:type="dxa"/>
            <w:tcBorders>
              <w:top w:val="single" w:color="auto" w:sz="2" w:space="0"/>
              <w:left w:val="single" w:color="auto" w:sz="2" w:space="0"/>
              <w:bottom w:val="single" w:color="auto" w:sz="2" w:space="0"/>
              <w:right w:val="single" w:color="auto" w:sz="2" w:space="0"/>
            </w:tcBorders>
            <w:vAlign w:val="center"/>
          </w:tcPr>
          <w:p w14:paraId="47EF77B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553EBB1">
            <w:pPr>
              <w:spacing w:line="240" w:lineRule="exact"/>
              <w:jc w:val="right"/>
              <w:rPr>
                <w:rFonts w:ascii="宋体" w:hAnsi="宋体" w:eastAsia="宋体" w:cs="宋体"/>
                <w:sz w:val="18"/>
                <w:szCs w:val="18"/>
              </w:rPr>
            </w:pPr>
            <w:r>
              <w:rPr>
                <w:rFonts w:ascii="宋体" w:hAnsi="宋体" w:eastAsia="宋体" w:cs="宋体"/>
                <w:sz w:val="18"/>
                <w:szCs w:val="18"/>
              </w:rPr>
              <w:t>-6,136,344.44</w:t>
            </w:r>
          </w:p>
        </w:tc>
        <w:tc>
          <w:tcPr>
            <w:tcW w:w="741" w:type="dxa"/>
            <w:tcBorders>
              <w:top w:val="single" w:color="auto" w:sz="2" w:space="0"/>
              <w:left w:val="single" w:color="auto" w:sz="2" w:space="0"/>
              <w:bottom w:val="single" w:color="auto" w:sz="2" w:space="0"/>
              <w:right w:val="single" w:color="auto" w:sz="2" w:space="0"/>
            </w:tcBorders>
            <w:vAlign w:val="center"/>
          </w:tcPr>
          <w:p w14:paraId="1CCDCBFC">
            <w:pPr>
              <w:spacing w:line="240" w:lineRule="exact"/>
              <w:jc w:val="right"/>
              <w:rPr>
                <w:rFonts w:ascii="宋体" w:hAnsi="宋体" w:eastAsia="宋体" w:cs="宋体"/>
                <w:sz w:val="18"/>
                <w:szCs w:val="18"/>
              </w:rPr>
            </w:pPr>
            <w:r>
              <w:rPr>
                <w:rFonts w:ascii="宋体" w:hAnsi="宋体" w:eastAsia="宋体" w:cs="宋体"/>
                <w:sz w:val="18"/>
                <w:szCs w:val="18"/>
              </w:rPr>
              <w:t>325,715,642.17</w:t>
            </w:r>
          </w:p>
        </w:tc>
        <w:tc>
          <w:tcPr>
            <w:tcW w:w="741" w:type="dxa"/>
            <w:tcBorders>
              <w:top w:val="single" w:color="auto" w:sz="2" w:space="0"/>
              <w:left w:val="single" w:color="auto" w:sz="2" w:space="0"/>
              <w:bottom w:val="single" w:color="auto" w:sz="2" w:space="0"/>
              <w:right w:val="single" w:color="auto" w:sz="2" w:space="0"/>
            </w:tcBorders>
            <w:vAlign w:val="center"/>
          </w:tcPr>
          <w:p w14:paraId="627FF679">
            <w:pPr>
              <w:spacing w:line="240" w:lineRule="exact"/>
              <w:jc w:val="right"/>
              <w:rPr>
                <w:rFonts w:ascii="宋体" w:hAnsi="宋体" w:eastAsia="宋体" w:cs="宋体"/>
                <w:sz w:val="18"/>
                <w:szCs w:val="18"/>
              </w:rPr>
            </w:pPr>
          </w:p>
        </w:tc>
      </w:tr>
      <w:tr w14:paraId="559A9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6D89337">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14:paraId="67775574">
            <w:pPr>
              <w:spacing w:line="240" w:lineRule="exact"/>
              <w:jc w:val="right"/>
              <w:rPr>
                <w:rFonts w:ascii="宋体" w:hAnsi="宋体" w:eastAsia="宋体" w:cs="宋体"/>
                <w:sz w:val="18"/>
                <w:szCs w:val="18"/>
              </w:rPr>
            </w:pPr>
            <w:r>
              <w:rPr>
                <w:rFonts w:ascii="宋体" w:hAnsi="宋体" w:eastAsia="宋体" w:cs="宋体"/>
                <w:sz w:val="18"/>
                <w:szCs w:val="18"/>
              </w:rPr>
              <w:t>331,632,535.71</w:t>
            </w:r>
          </w:p>
        </w:tc>
        <w:tc>
          <w:tcPr>
            <w:tcW w:w="741" w:type="dxa"/>
            <w:tcBorders>
              <w:top w:val="single" w:color="auto" w:sz="2" w:space="0"/>
              <w:left w:val="single" w:color="auto" w:sz="2" w:space="0"/>
              <w:bottom w:val="single" w:color="auto" w:sz="2" w:space="0"/>
              <w:right w:val="single" w:color="auto" w:sz="2" w:space="0"/>
            </w:tcBorders>
            <w:vAlign w:val="center"/>
          </w:tcPr>
          <w:p w14:paraId="5CEF71EB">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FFEFA5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7E99418">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0AFAF4DE">
            <w:pPr>
              <w:spacing w:line="240" w:lineRule="exact"/>
              <w:jc w:val="right"/>
              <w:rPr>
                <w:rFonts w:ascii="宋体" w:hAnsi="宋体" w:eastAsia="宋体" w:cs="宋体"/>
                <w:sz w:val="18"/>
                <w:szCs w:val="18"/>
              </w:rPr>
            </w:pPr>
            <w:r>
              <w:rPr>
                <w:rFonts w:ascii="宋体" w:hAnsi="宋体" w:eastAsia="宋体" w:cs="宋体"/>
                <w:sz w:val="18"/>
                <w:szCs w:val="18"/>
              </w:rPr>
              <w:t>9,589,756.16</w:t>
            </w:r>
          </w:p>
        </w:tc>
        <w:tc>
          <w:tcPr>
            <w:tcW w:w="741" w:type="dxa"/>
            <w:tcBorders>
              <w:top w:val="single" w:color="auto" w:sz="2" w:space="0"/>
              <w:left w:val="single" w:color="auto" w:sz="2" w:space="0"/>
              <w:bottom w:val="single" w:color="auto" w:sz="2" w:space="0"/>
              <w:right w:val="single" w:color="auto" w:sz="2" w:space="0"/>
            </w:tcBorders>
            <w:vAlign w:val="center"/>
          </w:tcPr>
          <w:p w14:paraId="6EA92F9D">
            <w:pPr>
              <w:spacing w:line="240" w:lineRule="exact"/>
              <w:jc w:val="right"/>
              <w:rPr>
                <w:rFonts w:ascii="宋体" w:hAnsi="宋体" w:eastAsia="宋体" w:cs="宋体"/>
                <w:sz w:val="18"/>
                <w:szCs w:val="18"/>
              </w:rPr>
            </w:pPr>
            <w:r>
              <w:rPr>
                <w:rFonts w:ascii="宋体" w:hAnsi="宋体" w:eastAsia="宋体" w:cs="宋体"/>
                <w:sz w:val="18"/>
                <w:szCs w:val="18"/>
              </w:rPr>
              <w:t>1,274,276.32</w:t>
            </w:r>
          </w:p>
        </w:tc>
        <w:tc>
          <w:tcPr>
            <w:tcW w:w="741" w:type="dxa"/>
            <w:tcBorders>
              <w:top w:val="single" w:color="auto" w:sz="2" w:space="0"/>
              <w:left w:val="single" w:color="auto" w:sz="2" w:space="0"/>
              <w:bottom w:val="single" w:color="auto" w:sz="2" w:space="0"/>
              <w:right w:val="single" w:color="auto" w:sz="2" w:space="0"/>
            </w:tcBorders>
            <w:vAlign w:val="center"/>
          </w:tcPr>
          <w:p w14:paraId="7765DA86">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97917BD">
            <w:pPr>
              <w:spacing w:line="240" w:lineRule="exact"/>
              <w:jc w:val="right"/>
              <w:rPr>
                <w:rFonts w:ascii="宋体" w:hAnsi="宋体" w:eastAsia="宋体" w:cs="宋体"/>
                <w:sz w:val="18"/>
                <w:szCs w:val="18"/>
              </w:rPr>
            </w:pPr>
            <w:r>
              <w:rPr>
                <w:rFonts w:ascii="宋体" w:hAnsi="宋体" w:eastAsia="宋体" w:cs="宋体"/>
                <w:sz w:val="18"/>
                <w:szCs w:val="18"/>
              </w:rPr>
              <w:t>10,644,581.58</w:t>
            </w:r>
          </w:p>
        </w:tc>
        <w:tc>
          <w:tcPr>
            <w:tcW w:w="741" w:type="dxa"/>
            <w:tcBorders>
              <w:top w:val="single" w:color="auto" w:sz="2" w:space="0"/>
              <w:left w:val="single" w:color="auto" w:sz="2" w:space="0"/>
              <w:bottom w:val="single" w:color="auto" w:sz="2" w:space="0"/>
              <w:right w:val="single" w:color="auto" w:sz="2" w:space="0"/>
            </w:tcBorders>
            <w:vAlign w:val="center"/>
          </w:tcPr>
          <w:p w14:paraId="3581C04A">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C7A2681">
            <w:pPr>
              <w:spacing w:line="240" w:lineRule="exact"/>
              <w:jc w:val="right"/>
              <w:rPr>
                <w:rFonts w:ascii="宋体" w:hAnsi="宋体" w:eastAsia="宋体" w:cs="宋体"/>
                <w:sz w:val="18"/>
                <w:szCs w:val="18"/>
              </w:rPr>
            </w:pPr>
            <w:r>
              <w:rPr>
                <w:rFonts w:ascii="宋体" w:hAnsi="宋体" w:eastAsia="宋体" w:cs="宋体"/>
                <w:sz w:val="18"/>
                <w:szCs w:val="18"/>
              </w:rPr>
              <w:t>-6,136,344.44</w:t>
            </w:r>
          </w:p>
        </w:tc>
        <w:tc>
          <w:tcPr>
            <w:tcW w:w="741" w:type="dxa"/>
            <w:tcBorders>
              <w:top w:val="single" w:color="auto" w:sz="2" w:space="0"/>
              <w:left w:val="single" w:color="auto" w:sz="2" w:space="0"/>
              <w:bottom w:val="single" w:color="auto" w:sz="2" w:space="0"/>
              <w:right w:val="single" w:color="auto" w:sz="2" w:space="0"/>
            </w:tcBorders>
            <w:vAlign w:val="center"/>
          </w:tcPr>
          <w:p w14:paraId="16A0D0B8">
            <w:pPr>
              <w:spacing w:line="240" w:lineRule="exact"/>
              <w:jc w:val="right"/>
              <w:rPr>
                <w:rFonts w:ascii="宋体" w:hAnsi="宋体" w:eastAsia="宋体" w:cs="宋体"/>
                <w:sz w:val="18"/>
                <w:szCs w:val="18"/>
              </w:rPr>
            </w:pPr>
            <w:r>
              <w:rPr>
                <w:rFonts w:ascii="宋体" w:hAnsi="宋体" w:eastAsia="宋体" w:cs="宋体"/>
                <w:sz w:val="18"/>
                <w:szCs w:val="18"/>
              </w:rPr>
              <w:t>325,715,642.17</w:t>
            </w:r>
          </w:p>
        </w:tc>
        <w:tc>
          <w:tcPr>
            <w:tcW w:w="741" w:type="dxa"/>
            <w:tcBorders>
              <w:top w:val="single" w:color="auto" w:sz="2" w:space="0"/>
              <w:left w:val="single" w:color="auto" w:sz="2" w:space="0"/>
              <w:bottom w:val="single" w:color="auto" w:sz="2" w:space="0"/>
              <w:right w:val="single" w:color="auto" w:sz="2" w:space="0"/>
            </w:tcBorders>
            <w:vAlign w:val="center"/>
          </w:tcPr>
          <w:p w14:paraId="4C5EE324">
            <w:pPr>
              <w:spacing w:line="240" w:lineRule="exact"/>
              <w:jc w:val="right"/>
              <w:rPr>
                <w:rFonts w:ascii="宋体" w:hAnsi="宋体" w:eastAsia="宋体" w:cs="宋体"/>
                <w:sz w:val="18"/>
                <w:szCs w:val="18"/>
              </w:rPr>
            </w:pPr>
          </w:p>
        </w:tc>
      </w:tr>
    </w:tbl>
    <w:p w14:paraId="1A32CB1C">
      <w:pPr>
        <w:spacing w:before="100" w:after="100" w:line="240" w:lineRule="exact"/>
        <w:rPr>
          <w:rFonts w:ascii="宋体" w:hAnsi="宋体" w:eastAsia="宋体" w:cs="宋体"/>
          <w:sz w:val="18"/>
          <w:szCs w:val="18"/>
        </w:rPr>
      </w:pPr>
      <w:r>
        <w:rPr>
          <w:rFonts w:ascii="宋体" w:hAnsi="宋体" w:eastAsia="宋体" w:cs="宋体"/>
          <w:sz w:val="18"/>
          <w:szCs w:val="18"/>
        </w:rPr>
        <w:t>可收回金额按公允价值减去处置费用后的净额确定</w:t>
      </w:r>
    </w:p>
    <w:p w14:paraId="5C7AF07F">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AE3BDFF">
      <w:pPr>
        <w:spacing w:before="100" w:after="100" w:line="240" w:lineRule="exact"/>
        <w:rPr>
          <w:rFonts w:ascii="宋体" w:hAnsi="宋体" w:eastAsia="宋体" w:cs="宋体"/>
          <w:sz w:val="18"/>
          <w:szCs w:val="18"/>
        </w:rPr>
      </w:pPr>
      <w:r>
        <w:rPr>
          <w:rFonts w:ascii="宋体" w:hAnsi="宋体" w:eastAsia="宋体" w:cs="宋体"/>
          <w:sz w:val="18"/>
          <w:szCs w:val="18"/>
        </w:rPr>
        <w:t>可收回金额按预计未来现金流量的现值确定</w:t>
      </w:r>
    </w:p>
    <w:p w14:paraId="0A46B0F1">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285E6CB">
      <w:pPr>
        <w:spacing w:before="100" w:after="100" w:line="240" w:lineRule="exact"/>
        <w:rPr>
          <w:rFonts w:ascii="宋体" w:hAnsi="宋体" w:eastAsia="宋体" w:cs="宋体"/>
          <w:sz w:val="18"/>
          <w:szCs w:val="18"/>
        </w:rPr>
      </w:pPr>
      <w:r>
        <w:rPr>
          <w:rFonts w:ascii="宋体" w:hAnsi="宋体" w:eastAsia="宋体" w:cs="宋体"/>
          <w:sz w:val="18"/>
          <w:szCs w:val="18"/>
        </w:rPr>
        <w:t>前述信息与以前年度减值测试采用的信息或外部信息明显不一致的差异原因</w:t>
      </w:r>
    </w:p>
    <w:p w14:paraId="794BDAF1">
      <w:pPr>
        <w:pStyle w:val="9"/>
        <w:rPr>
          <w:sz w:val="18"/>
          <w:szCs w:val="18"/>
        </w:rPr>
      </w:pPr>
      <w:r>
        <w:rPr>
          <w:rFonts w:hint="eastAsia"/>
          <w:sz w:val="18"/>
          <w:szCs w:val="18"/>
        </w:rPr>
        <w:t>无</w:t>
      </w:r>
    </w:p>
    <w:p w14:paraId="5B5E0B5E">
      <w:pPr>
        <w:spacing w:before="100" w:after="100" w:line="240" w:lineRule="exact"/>
        <w:rPr>
          <w:rFonts w:ascii="宋体" w:hAnsi="宋体" w:eastAsia="宋体" w:cs="宋体"/>
          <w:sz w:val="18"/>
          <w:szCs w:val="18"/>
        </w:rPr>
      </w:pPr>
      <w:r>
        <w:rPr>
          <w:rFonts w:ascii="宋体" w:hAnsi="宋体" w:eastAsia="宋体" w:cs="宋体"/>
          <w:sz w:val="18"/>
          <w:szCs w:val="18"/>
        </w:rPr>
        <w:t>公司以前年度减值测试采用信息与当年实际情况明显不一致的差异原因</w:t>
      </w:r>
    </w:p>
    <w:p w14:paraId="2329C770">
      <w:pPr>
        <w:pStyle w:val="9"/>
        <w:rPr>
          <w:sz w:val="18"/>
          <w:szCs w:val="18"/>
        </w:rPr>
      </w:pPr>
      <w:r>
        <w:rPr>
          <w:rFonts w:hint="eastAsia"/>
          <w:sz w:val="18"/>
          <w:szCs w:val="18"/>
        </w:rPr>
        <w:t>无</w:t>
      </w:r>
    </w:p>
    <w:p w14:paraId="07B072F5">
      <w:pPr>
        <w:spacing w:before="100" w:after="100" w:line="240" w:lineRule="exact"/>
        <w:rPr>
          <w:rFonts w:ascii="宋体" w:hAnsi="宋体" w:eastAsia="宋体" w:cs="宋体"/>
          <w:sz w:val="18"/>
          <w:szCs w:val="18"/>
        </w:rPr>
      </w:pPr>
      <w:r>
        <w:rPr>
          <w:rFonts w:ascii="宋体" w:hAnsi="宋体" w:eastAsia="宋体" w:cs="宋体"/>
          <w:sz w:val="18"/>
          <w:szCs w:val="18"/>
        </w:rPr>
        <w:t>其他说明：</w:t>
      </w:r>
    </w:p>
    <w:p w14:paraId="20010A89">
      <w:pPr>
        <w:spacing w:before="100" w:after="100" w:line="240" w:lineRule="exact"/>
        <w:rPr>
          <w:rFonts w:ascii="宋体" w:hAnsi="宋体" w:eastAsia="宋体" w:cs="宋体"/>
          <w:sz w:val="18"/>
          <w:szCs w:val="18"/>
        </w:rPr>
      </w:pPr>
      <w:r>
        <w:rPr>
          <w:rFonts w:hint="eastAsia" w:ascii="宋体" w:hAnsi="宋体" w:eastAsia="宋体" w:cs="宋体"/>
          <w:sz w:val="18"/>
          <w:szCs w:val="18"/>
        </w:rPr>
        <w:t>本公司子公司香港天成持有福田实业（集团）有限公司（以下简称福田实业，股票代码：</w:t>
      </w:r>
      <w:r>
        <w:rPr>
          <w:rFonts w:ascii="宋体" w:hAnsi="宋体" w:eastAsia="宋体" w:cs="宋体"/>
          <w:sz w:val="18"/>
          <w:szCs w:val="18"/>
        </w:rPr>
        <w:t>HK0420</w:t>
      </w:r>
      <w:r>
        <w:rPr>
          <w:rFonts w:hint="eastAsia" w:ascii="宋体" w:hAnsi="宋体" w:eastAsia="宋体" w:cs="宋体"/>
          <w:sz w:val="18"/>
          <w:szCs w:val="18"/>
        </w:rPr>
        <w:t>）</w:t>
      </w:r>
      <w:r>
        <w:rPr>
          <w:rFonts w:ascii="宋体" w:hAnsi="宋体" w:eastAsia="宋体" w:cs="宋体"/>
          <w:sz w:val="18"/>
          <w:szCs w:val="18"/>
        </w:rPr>
        <w:t>17.30%</w:t>
      </w:r>
      <w:r>
        <w:rPr>
          <w:rFonts w:hint="eastAsia" w:ascii="宋体" w:hAnsi="宋体" w:eastAsia="宋体" w:cs="宋体"/>
          <w:sz w:val="18"/>
          <w:szCs w:val="18"/>
        </w:rPr>
        <w:t>的股权及表决权。虽然该比例低于</w:t>
      </w:r>
      <w:r>
        <w:rPr>
          <w:rFonts w:ascii="宋体" w:hAnsi="宋体" w:eastAsia="宋体" w:cs="宋体"/>
          <w:sz w:val="18"/>
          <w:szCs w:val="18"/>
        </w:rPr>
        <w:t>20%</w:t>
      </w:r>
      <w:r>
        <w:rPr>
          <w:rFonts w:hint="eastAsia" w:ascii="宋体" w:hAnsi="宋体" w:eastAsia="宋体" w:cs="宋体"/>
          <w:sz w:val="18"/>
          <w:szCs w:val="18"/>
        </w:rPr>
        <w:t>，但由于本公司在福田实业董事会中派有代表并参与财务和经营政策的决策，所以本公司能够对福田实业施加重大影响。</w:t>
      </w:r>
    </w:p>
    <w:p w14:paraId="164EC4DE">
      <w:pPr>
        <w:pStyle w:val="3"/>
        <w:spacing w:line="280" w:lineRule="exact"/>
        <w:jc w:val="left"/>
        <w:rPr>
          <w:rFonts w:ascii="宋体" w:hAnsi="宋体" w:cs="宋体"/>
          <w:b/>
          <w:bCs/>
        </w:rPr>
      </w:pPr>
      <w:bookmarkStart w:id="352" w:name="_Toc989205"/>
      <w:r>
        <w:rPr>
          <w:rFonts w:ascii="宋体" w:hAnsi="宋体" w:cs="宋体"/>
          <w:b/>
          <w:bCs/>
        </w:rPr>
        <w:t>19、其他非流动金融资产</w:t>
      </w:r>
      <w:bookmarkEnd w:id="352"/>
    </w:p>
    <w:p w14:paraId="7309B30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AB34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7D6D9A">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93F69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7554B8">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78E2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C1490C4">
            <w:pPr>
              <w:spacing w:line="240" w:lineRule="exact"/>
              <w:rPr>
                <w:rFonts w:ascii="宋体" w:hAnsi="宋体" w:eastAsia="宋体" w:cs="宋体"/>
                <w:sz w:val="18"/>
                <w:szCs w:val="18"/>
              </w:rPr>
            </w:pPr>
            <w:r>
              <w:rPr>
                <w:rFonts w:ascii="宋体" w:hAnsi="宋体" w:eastAsia="宋体" w:cs="宋体"/>
                <w:sz w:val="18"/>
                <w:szCs w:val="18"/>
              </w:rPr>
              <w:t>权益工具投资</w:t>
            </w:r>
          </w:p>
        </w:tc>
        <w:tc>
          <w:tcPr>
            <w:tcW w:w="3213" w:type="dxa"/>
            <w:tcBorders>
              <w:top w:val="single" w:color="auto" w:sz="2" w:space="0"/>
              <w:left w:val="single" w:color="auto" w:sz="2" w:space="0"/>
              <w:bottom w:val="single" w:color="auto" w:sz="2" w:space="0"/>
              <w:right w:val="single" w:color="auto" w:sz="2" w:space="0"/>
            </w:tcBorders>
            <w:vAlign w:val="center"/>
          </w:tcPr>
          <w:p w14:paraId="1030F219">
            <w:pPr>
              <w:spacing w:line="240" w:lineRule="exact"/>
              <w:jc w:val="right"/>
              <w:rPr>
                <w:rFonts w:ascii="宋体" w:hAnsi="宋体" w:eastAsia="宋体" w:cs="宋体"/>
                <w:sz w:val="18"/>
                <w:szCs w:val="18"/>
              </w:rPr>
            </w:pPr>
            <w:r>
              <w:rPr>
                <w:rFonts w:ascii="宋体" w:hAnsi="宋体" w:eastAsia="宋体" w:cs="宋体"/>
                <w:sz w:val="18"/>
                <w:szCs w:val="18"/>
              </w:rPr>
              <w:t>12,713,514.33</w:t>
            </w:r>
          </w:p>
        </w:tc>
        <w:tc>
          <w:tcPr>
            <w:tcW w:w="3213" w:type="dxa"/>
            <w:tcBorders>
              <w:top w:val="single" w:color="auto" w:sz="2" w:space="0"/>
              <w:left w:val="single" w:color="auto" w:sz="2" w:space="0"/>
              <w:bottom w:val="single" w:color="auto" w:sz="2" w:space="0"/>
              <w:right w:val="single" w:color="auto" w:sz="2" w:space="0"/>
            </w:tcBorders>
            <w:vAlign w:val="center"/>
          </w:tcPr>
          <w:p w14:paraId="63046379">
            <w:pPr>
              <w:spacing w:line="240" w:lineRule="exact"/>
              <w:jc w:val="right"/>
              <w:rPr>
                <w:rFonts w:ascii="宋体" w:hAnsi="宋体" w:eastAsia="宋体" w:cs="宋体"/>
                <w:sz w:val="18"/>
                <w:szCs w:val="18"/>
              </w:rPr>
            </w:pPr>
          </w:p>
        </w:tc>
      </w:tr>
      <w:tr w14:paraId="6D663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DD1ADE">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2217D179">
            <w:pPr>
              <w:spacing w:line="240" w:lineRule="exact"/>
              <w:jc w:val="right"/>
              <w:rPr>
                <w:rFonts w:ascii="宋体" w:hAnsi="宋体" w:eastAsia="宋体" w:cs="宋体"/>
                <w:sz w:val="18"/>
                <w:szCs w:val="18"/>
              </w:rPr>
            </w:pPr>
            <w:r>
              <w:rPr>
                <w:rFonts w:ascii="宋体" w:hAnsi="宋体" w:eastAsia="宋体" w:cs="宋体"/>
                <w:sz w:val="18"/>
                <w:szCs w:val="18"/>
              </w:rPr>
              <w:t>12,713,514.33</w:t>
            </w:r>
          </w:p>
        </w:tc>
        <w:tc>
          <w:tcPr>
            <w:tcW w:w="3213" w:type="dxa"/>
            <w:tcBorders>
              <w:top w:val="single" w:color="auto" w:sz="2" w:space="0"/>
              <w:left w:val="single" w:color="auto" w:sz="2" w:space="0"/>
              <w:bottom w:val="single" w:color="auto" w:sz="2" w:space="0"/>
              <w:right w:val="single" w:color="auto" w:sz="2" w:space="0"/>
            </w:tcBorders>
            <w:vAlign w:val="center"/>
          </w:tcPr>
          <w:p w14:paraId="570DD85D">
            <w:pPr>
              <w:spacing w:line="240" w:lineRule="exact"/>
              <w:jc w:val="right"/>
              <w:rPr>
                <w:rFonts w:ascii="宋体" w:hAnsi="宋体" w:eastAsia="宋体" w:cs="宋体"/>
                <w:sz w:val="18"/>
                <w:szCs w:val="18"/>
              </w:rPr>
            </w:pPr>
          </w:p>
        </w:tc>
      </w:tr>
    </w:tbl>
    <w:p w14:paraId="504C8522">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73F6EB28">
      <w:pPr>
        <w:pStyle w:val="3"/>
        <w:spacing w:line="280" w:lineRule="exact"/>
        <w:jc w:val="left"/>
        <w:rPr>
          <w:rFonts w:ascii="宋体" w:hAnsi="宋体" w:cs="宋体"/>
          <w:b/>
          <w:bCs/>
        </w:rPr>
      </w:pPr>
      <w:bookmarkStart w:id="353" w:name="_Toc989206"/>
      <w:r>
        <w:rPr>
          <w:rFonts w:ascii="宋体" w:hAnsi="宋体" w:cs="宋体"/>
          <w:b/>
          <w:bCs/>
        </w:rPr>
        <w:t>20、投资性房地产</w:t>
      </w:r>
      <w:bookmarkEnd w:id="353"/>
    </w:p>
    <w:p w14:paraId="640CB110">
      <w:pPr>
        <w:keepNext/>
        <w:keepLines/>
        <w:spacing w:before="300" w:after="300" w:line="280" w:lineRule="exact"/>
        <w:outlineLvl w:val="3"/>
        <w:rPr>
          <w:rFonts w:ascii="宋体" w:hAnsi="宋体" w:eastAsia="宋体" w:cs="宋体"/>
          <w:b/>
          <w:bCs/>
          <w:sz w:val="18"/>
          <w:szCs w:val="18"/>
        </w:rPr>
      </w:pPr>
      <w:bookmarkStart w:id="354" w:name="_Toc989207"/>
      <w:r>
        <w:rPr>
          <w:rFonts w:ascii="宋体" w:hAnsi="宋体" w:eastAsia="宋体" w:cs="宋体"/>
          <w:b/>
          <w:bCs/>
          <w:sz w:val="18"/>
          <w:szCs w:val="18"/>
        </w:rPr>
        <w:t>（1） 采用成本计量模式的投资性房地产</w:t>
      </w:r>
      <w:bookmarkEnd w:id="354"/>
    </w:p>
    <w:p w14:paraId="49381AB0">
      <w:pPr>
        <w:spacing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442220B2">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6D22B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87B7F0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BEC7903">
            <w:pPr>
              <w:spacing w:before="40" w:after="40" w:line="240" w:lineRule="exact"/>
              <w:jc w:val="center"/>
              <w:rPr>
                <w:rFonts w:ascii="宋体" w:hAnsi="宋体" w:eastAsia="宋体" w:cs="宋体"/>
                <w:sz w:val="18"/>
                <w:szCs w:val="18"/>
              </w:rPr>
            </w:pPr>
            <w:r>
              <w:rPr>
                <w:rFonts w:ascii="宋体" w:hAnsi="宋体" w:eastAsia="宋体" w:cs="宋体"/>
                <w:sz w:val="18"/>
                <w:szCs w:val="18"/>
              </w:rPr>
              <w:t>房屋、建筑物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0720369">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6484E08">
            <w:pPr>
              <w:spacing w:before="40" w:after="40" w:line="240" w:lineRule="exact"/>
              <w:jc w:val="center"/>
              <w:rPr>
                <w:rFonts w:ascii="宋体" w:hAnsi="宋体" w:eastAsia="宋体" w:cs="宋体"/>
                <w:sz w:val="18"/>
                <w:szCs w:val="18"/>
              </w:rPr>
            </w:pPr>
            <w:r>
              <w:rPr>
                <w:rFonts w:ascii="宋体" w:hAnsi="宋体" w:eastAsia="宋体" w:cs="宋体"/>
                <w:sz w:val="18"/>
                <w:szCs w:val="18"/>
              </w:rPr>
              <w:t>在建工程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A31B798">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30234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F5D0BEB">
            <w:pPr>
              <w:spacing w:before="40" w:after="40" w:line="240" w:lineRule="exact"/>
              <w:rPr>
                <w:rFonts w:ascii="宋体" w:hAnsi="宋体" w:eastAsia="宋体" w:cs="宋体"/>
                <w:sz w:val="18"/>
                <w:szCs w:val="18"/>
              </w:rPr>
            </w:pPr>
            <w:r>
              <w:rPr>
                <w:rFonts w:ascii="宋体" w:hAnsi="宋体" w:eastAsia="宋体" w:cs="宋体"/>
                <w:sz w:val="18"/>
                <w:szCs w:val="18"/>
              </w:rPr>
              <w:t>一、账面原值</w:t>
            </w:r>
          </w:p>
        </w:tc>
        <w:tc>
          <w:tcPr>
            <w:tcW w:w="1928" w:type="dxa"/>
            <w:tcBorders>
              <w:top w:val="single" w:color="auto" w:sz="2" w:space="0"/>
              <w:left w:val="single" w:color="auto" w:sz="2" w:space="0"/>
              <w:bottom w:val="single" w:color="auto" w:sz="2" w:space="0"/>
              <w:right w:val="single" w:color="auto" w:sz="2" w:space="0"/>
            </w:tcBorders>
            <w:vAlign w:val="center"/>
          </w:tcPr>
          <w:p w14:paraId="19DB997B">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1791F72">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5DD25C8">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F7963B1">
            <w:pPr>
              <w:spacing w:line="240" w:lineRule="exact"/>
              <w:jc w:val="right"/>
              <w:rPr>
                <w:rFonts w:ascii="宋体" w:hAnsi="宋体" w:eastAsia="宋体" w:cs="宋体"/>
                <w:sz w:val="18"/>
                <w:szCs w:val="18"/>
              </w:rPr>
            </w:pPr>
          </w:p>
        </w:tc>
      </w:tr>
      <w:tr w14:paraId="637F5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EF93FA5">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14:paraId="5E399CFE">
            <w:pPr>
              <w:spacing w:line="240" w:lineRule="exact"/>
              <w:jc w:val="right"/>
              <w:rPr>
                <w:rFonts w:ascii="宋体" w:hAnsi="宋体" w:eastAsia="宋体" w:cs="宋体"/>
                <w:sz w:val="18"/>
                <w:szCs w:val="18"/>
              </w:rPr>
            </w:pPr>
            <w:r>
              <w:rPr>
                <w:rFonts w:ascii="宋体" w:hAnsi="宋体" w:eastAsia="宋体" w:cs="宋体"/>
                <w:sz w:val="18"/>
                <w:szCs w:val="18"/>
              </w:rPr>
              <w:t>201,662,136.52</w:t>
            </w:r>
          </w:p>
        </w:tc>
        <w:tc>
          <w:tcPr>
            <w:tcW w:w="1928" w:type="dxa"/>
            <w:tcBorders>
              <w:top w:val="single" w:color="auto" w:sz="2" w:space="0"/>
              <w:left w:val="single" w:color="auto" w:sz="2" w:space="0"/>
              <w:bottom w:val="single" w:color="auto" w:sz="2" w:space="0"/>
              <w:right w:val="single" w:color="auto" w:sz="2" w:space="0"/>
            </w:tcBorders>
            <w:vAlign w:val="center"/>
          </w:tcPr>
          <w:p w14:paraId="2987EF20">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0F01E87">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1841521">
            <w:pPr>
              <w:spacing w:line="240" w:lineRule="exact"/>
              <w:jc w:val="right"/>
              <w:rPr>
                <w:rFonts w:ascii="宋体" w:hAnsi="宋体" w:eastAsia="宋体" w:cs="宋体"/>
                <w:sz w:val="18"/>
                <w:szCs w:val="18"/>
              </w:rPr>
            </w:pPr>
            <w:r>
              <w:rPr>
                <w:rFonts w:ascii="宋体" w:hAnsi="宋体" w:eastAsia="宋体" w:cs="宋体"/>
                <w:sz w:val="18"/>
                <w:szCs w:val="18"/>
              </w:rPr>
              <w:t>201,662,136.52</w:t>
            </w:r>
          </w:p>
        </w:tc>
      </w:tr>
      <w:tr w14:paraId="0752A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A94313A">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14:paraId="59E8B6C7">
            <w:pPr>
              <w:spacing w:line="240" w:lineRule="exact"/>
              <w:jc w:val="right"/>
              <w:rPr>
                <w:rFonts w:ascii="宋体" w:hAnsi="宋体" w:eastAsia="宋体" w:cs="宋体"/>
                <w:sz w:val="18"/>
                <w:szCs w:val="18"/>
              </w:rPr>
            </w:pPr>
            <w:r>
              <w:rPr>
                <w:rFonts w:ascii="宋体" w:hAnsi="宋体" w:eastAsia="宋体" w:cs="宋体"/>
                <w:sz w:val="18"/>
                <w:szCs w:val="18"/>
              </w:rPr>
              <w:t>3,219,009.12</w:t>
            </w:r>
          </w:p>
        </w:tc>
        <w:tc>
          <w:tcPr>
            <w:tcW w:w="1928" w:type="dxa"/>
            <w:tcBorders>
              <w:top w:val="single" w:color="auto" w:sz="2" w:space="0"/>
              <w:left w:val="single" w:color="auto" w:sz="2" w:space="0"/>
              <w:bottom w:val="single" w:color="auto" w:sz="2" w:space="0"/>
              <w:right w:val="single" w:color="auto" w:sz="2" w:space="0"/>
            </w:tcBorders>
            <w:vAlign w:val="center"/>
          </w:tcPr>
          <w:p w14:paraId="26E8FB63">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995215F">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4B66879">
            <w:pPr>
              <w:spacing w:line="240" w:lineRule="exact"/>
              <w:jc w:val="right"/>
              <w:rPr>
                <w:rFonts w:ascii="宋体" w:hAnsi="宋体" w:eastAsia="宋体" w:cs="宋体"/>
                <w:sz w:val="18"/>
                <w:szCs w:val="18"/>
              </w:rPr>
            </w:pPr>
            <w:r>
              <w:rPr>
                <w:rFonts w:ascii="宋体" w:hAnsi="宋体" w:eastAsia="宋体" w:cs="宋体"/>
                <w:sz w:val="18"/>
                <w:szCs w:val="18"/>
              </w:rPr>
              <w:t>3,219,009.12</w:t>
            </w:r>
          </w:p>
        </w:tc>
      </w:tr>
      <w:tr w14:paraId="33C28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A80FF3F">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（1）外购</w:t>
            </w:r>
          </w:p>
        </w:tc>
        <w:tc>
          <w:tcPr>
            <w:tcW w:w="1928" w:type="dxa"/>
            <w:tcBorders>
              <w:top w:val="single" w:color="auto" w:sz="2" w:space="0"/>
              <w:left w:val="single" w:color="auto" w:sz="2" w:space="0"/>
              <w:bottom w:val="single" w:color="auto" w:sz="2" w:space="0"/>
              <w:right w:val="single" w:color="auto" w:sz="2" w:space="0"/>
            </w:tcBorders>
            <w:vAlign w:val="center"/>
          </w:tcPr>
          <w:p w14:paraId="7C4D8BD4">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EF73CA0">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0B61BC2">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A0B78B1">
            <w:pPr>
              <w:spacing w:line="240" w:lineRule="exact"/>
              <w:jc w:val="right"/>
              <w:rPr>
                <w:rFonts w:ascii="宋体" w:hAnsi="宋体" w:eastAsia="宋体" w:cs="宋体"/>
                <w:sz w:val="18"/>
                <w:szCs w:val="18"/>
              </w:rPr>
            </w:pPr>
          </w:p>
        </w:tc>
      </w:tr>
      <w:tr w14:paraId="2F8F0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7F4484F">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（2）存货\固定资产\在建工程转入</w:t>
            </w:r>
          </w:p>
        </w:tc>
        <w:tc>
          <w:tcPr>
            <w:tcW w:w="1928" w:type="dxa"/>
            <w:tcBorders>
              <w:top w:val="single" w:color="auto" w:sz="2" w:space="0"/>
              <w:left w:val="single" w:color="auto" w:sz="2" w:space="0"/>
              <w:bottom w:val="single" w:color="auto" w:sz="2" w:space="0"/>
              <w:right w:val="single" w:color="auto" w:sz="2" w:space="0"/>
            </w:tcBorders>
            <w:vAlign w:val="center"/>
          </w:tcPr>
          <w:p w14:paraId="04EC0617">
            <w:pPr>
              <w:spacing w:line="240" w:lineRule="exact"/>
              <w:jc w:val="right"/>
              <w:rPr>
                <w:rFonts w:ascii="宋体" w:hAnsi="宋体" w:eastAsia="宋体" w:cs="宋体"/>
                <w:sz w:val="18"/>
                <w:szCs w:val="18"/>
              </w:rPr>
            </w:pPr>
            <w:r>
              <w:rPr>
                <w:rFonts w:ascii="宋体" w:hAnsi="宋体" w:eastAsia="宋体" w:cs="宋体"/>
                <w:sz w:val="18"/>
                <w:szCs w:val="18"/>
              </w:rPr>
              <w:t>3,573,968.94</w:t>
            </w:r>
          </w:p>
        </w:tc>
        <w:tc>
          <w:tcPr>
            <w:tcW w:w="1928" w:type="dxa"/>
            <w:tcBorders>
              <w:top w:val="single" w:color="auto" w:sz="2" w:space="0"/>
              <w:left w:val="single" w:color="auto" w:sz="2" w:space="0"/>
              <w:bottom w:val="single" w:color="auto" w:sz="2" w:space="0"/>
              <w:right w:val="single" w:color="auto" w:sz="2" w:space="0"/>
            </w:tcBorders>
            <w:vAlign w:val="center"/>
          </w:tcPr>
          <w:p w14:paraId="446E3DA8">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EBB78D4">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DFDCBCB">
            <w:pPr>
              <w:spacing w:line="240" w:lineRule="exact"/>
              <w:jc w:val="right"/>
              <w:rPr>
                <w:rFonts w:ascii="宋体" w:hAnsi="宋体" w:eastAsia="宋体" w:cs="宋体"/>
                <w:sz w:val="18"/>
                <w:szCs w:val="18"/>
              </w:rPr>
            </w:pPr>
            <w:r>
              <w:rPr>
                <w:rFonts w:ascii="宋体" w:hAnsi="宋体" w:eastAsia="宋体" w:cs="宋体"/>
                <w:sz w:val="18"/>
                <w:szCs w:val="18"/>
              </w:rPr>
              <w:t>3,573,968.94</w:t>
            </w:r>
          </w:p>
        </w:tc>
      </w:tr>
      <w:tr w14:paraId="4C309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EEB1545">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（3）企业合并增加</w:t>
            </w:r>
          </w:p>
        </w:tc>
        <w:tc>
          <w:tcPr>
            <w:tcW w:w="1928" w:type="dxa"/>
            <w:tcBorders>
              <w:top w:val="single" w:color="auto" w:sz="2" w:space="0"/>
              <w:left w:val="single" w:color="auto" w:sz="2" w:space="0"/>
              <w:bottom w:val="single" w:color="auto" w:sz="2" w:space="0"/>
              <w:right w:val="single" w:color="auto" w:sz="2" w:space="0"/>
            </w:tcBorders>
            <w:vAlign w:val="center"/>
          </w:tcPr>
          <w:p w14:paraId="29B8E5B5">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C5497AA">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EB31267">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6802B30">
            <w:pPr>
              <w:spacing w:line="240" w:lineRule="exact"/>
              <w:jc w:val="right"/>
              <w:rPr>
                <w:rFonts w:ascii="宋体" w:hAnsi="宋体" w:eastAsia="宋体" w:cs="宋体"/>
                <w:sz w:val="18"/>
                <w:szCs w:val="18"/>
              </w:rPr>
            </w:pPr>
          </w:p>
        </w:tc>
      </w:tr>
      <w:tr w14:paraId="2ADDE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656E96D3">
            <w:pPr>
              <w:spacing w:line="240" w:lineRule="exact"/>
              <w:rPr>
                <w:rFonts w:ascii="宋体" w:hAnsi="宋体" w:eastAsia="宋体" w:cs="宋体"/>
                <w:sz w:val="18"/>
                <w:szCs w:val="18"/>
              </w:rPr>
            </w:pPr>
            <w:r>
              <w:rPr>
                <w:rFonts w:ascii="宋体" w:hAnsi="宋体" w:eastAsia="宋体" w:cs="宋体"/>
                <w:sz w:val="18"/>
                <w:szCs w:val="18"/>
              </w:rPr>
              <w:t>外币报表折算差额</w:t>
            </w:r>
          </w:p>
        </w:tc>
        <w:tc>
          <w:tcPr>
            <w:tcW w:w="1928" w:type="dxa"/>
            <w:tcBorders>
              <w:top w:val="single" w:color="auto" w:sz="2" w:space="0"/>
              <w:left w:val="single" w:color="auto" w:sz="2" w:space="0"/>
              <w:bottom w:val="single" w:color="auto" w:sz="2" w:space="0"/>
              <w:right w:val="single" w:color="auto" w:sz="2" w:space="0"/>
            </w:tcBorders>
            <w:vAlign w:val="center"/>
          </w:tcPr>
          <w:p w14:paraId="767859D5">
            <w:pPr>
              <w:spacing w:line="240" w:lineRule="exact"/>
              <w:jc w:val="right"/>
              <w:rPr>
                <w:rFonts w:ascii="宋体" w:hAnsi="宋体" w:eastAsia="宋体" w:cs="宋体"/>
                <w:sz w:val="18"/>
                <w:szCs w:val="18"/>
              </w:rPr>
            </w:pPr>
            <w:r>
              <w:rPr>
                <w:rFonts w:ascii="宋体" w:hAnsi="宋体" w:eastAsia="宋体" w:cs="宋体"/>
                <w:sz w:val="18"/>
                <w:szCs w:val="18"/>
              </w:rPr>
              <w:t>-354,959.82</w:t>
            </w:r>
          </w:p>
        </w:tc>
        <w:tc>
          <w:tcPr>
            <w:tcW w:w="1928" w:type="dxa"/>
            <w:tcBorders>
              <w:top w:val="single" w:color="auto" w:sz="2" w:space="0"/>
              <w:left w:val="single" w:color="auto" w:sz="2" w:space="0"/>
              <w:bottom w:val="single" w:color="auto" w:sz="2" w:space="0"/>
              <w:right w:val="single" w:color="auto" w:sz="2" w:space="0"/>
            </w:tcBorders>
            <w:vAlign w:val="center"/>
          </w:tcPr>
          <w:p w14:paraId="0541E305">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28C4C59">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092E767">
            <w:pPr>
              <w:spacing w:line="240" w:lineRule="exact"/>
              <w:jc w:val="right"/>
              <w:rPr>
                <w:rFonts w:ascii="宋体" w:hAnsi="宋体" w:eastAsia="宋体" w:cs="宋体"/>
                <w:sz w:val="18"/>
                <w:szCs w:val="18"/>
              </w:rPr>
            </w:pPr>
            <w:r>
              <w:rPr>
                <w:rFonts w:ascii="宋体" w:hAnsi="宋体" w:eastAsia="宋体" w:cs="宋体"/>
                <w:sz w:val="18"/>
                <w:szCs w:val="18"/>
              </w:rPr>
              <w:t>-354,959.82</w:t>
            </w:r>
          </w:p>
        </w:tc>
      </w:tr>
      <w:tr w14:paraId="357A6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D0A1A0E">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14:paraId="4D228916">
            <w:pPr>
              <w:spacing w:line="240" w:lineRule="exact"/>
              <w:jc w:val="right"/>
              <w:rPr>
                <w:rFonts w:ascii="宋体" w:hAnsi="宋体" w:eastAsia="宋体" w:cs="宋体"/>
                <w:sz w:val="18"/>
                <w:szCs w:val="18"/>
              </w:rPr>
            </w:pPr>
            <w:r>
              <w:rPr>
                <w:rFonts w:ascii="宋体" w:hAnsi="宋体" w:eastAsia="宋体" w:cs="宋体"/>
                <w:sz w:val="18"/>
                <w:szCs w:val="18"/>
              </w:rPr>
              <w:t>27,290,084.76</w:t>
            </w:r>
          </w:p>
        </w:tc>
        <w:tc>
          <w:tcPr>
            <w:tcW w:w="1928" w:type="dxa"/>
            <w:tcBorders>
              <w:top w:val="single" w:color="auto" w:sz="2" w:space="0"/>
              <w:left w:val="single" w:color="auto" w:sz="2" w:space="0"/>
              <w:bottom w:val="single" w:color="auto" w:sz="2" w:space="0"/>
              <w:right w:val="single" w:color="auto" w:sz="2" w:space="0"/>
            </w:tcBorders>
            <w:vAlign w:val="center"/>
          </w:tcPr>
          <w:p w14:paraId="5D84A98A">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9C7FE0F">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96F33CF">
            <w:pPr>
              <w:spacing w:line="240" w:lineRule="exact"/>
              <w:jc w:val="right"/>
              <w:rPr>
                <w:rFonts w:ascii="宋体" w:hAnsi="宋体" w:eastAsia="宋体" w:cs="宋体"/>
                <w:sz w:val="18"/>
                <w:szCs w:val="18"/>
              </w:rPr>
            </w:pPr>
            <w:r>
              <w:rPr>
                <w:rFonts w:ascii="宋体" w:hAnsi="宋体" w:eastAsia="宋体" w:cs="宋体"/>
                <w:sz w:val="18"/>
                <w:szCs w:val="18"/>
              </w:rPr>
              <w:t>27,290,084.76</w:t>
            </w:r>
          </w:p>
        </w:tc>
      </w:tr>
      <w:tr w14:paraId="2F5E5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5FDC298">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14:paraId="15057883">
            <w:pPr>
              <w:spacing w:line="240" w:lineRule="exact"/>
              <w:jc w:val="right"/>
              <w:rPr>
                <w:rFonts w:ascii="宋体" w:hAnsi="宋体" w:eastAsia="宋体" w:cs="宋体"/>
                <w:sz w:val="18"/>
                <w:szCs w:val="18"/>
              </w:rPr>
            </w:pPr>
            <w:r>
              <w:rPr>
                <w:rFonts w:ascii="宋体" w:hAnsi="宋体" w:eastAsia="宋体" w:cs="宋体"/>
                <w:sz w:val="18"/>
                <w:szCs w:val="18"/>
              </w:rPr>
              <w:t>111,607.45</w:t>
            </w:r>
          </w:p>
        </w:tc>
        <w:tc>
          <w:tcPr>
            <w:tcW w:w="1928" w:type="dxa"/>
            <w:tcBorders>
              <w:top w:val="single" w:color="auto" w:sz="2" w:space="0"/>
              <w:left w:val="single" w:color="auto" w:sz="2" w:space="0"/>
              <w:bottom w:val="single" w:color="auto" w:sz="2" w:space="0"/>
              <w:right w:val="single" w:color="auto" w:sz="2" w:space="0"/>
            </w:tcBorders>
            <w:vAlign w:val="center"/>
          </w:tcPr>
          <w:p w14:paraId="68CC79D7">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2F3E8F1">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906534D">
            <w:pPr>
              <w:spacing w:line="240" w:lineRule="exact"/>
              <w:jc w:val="right"/>
              <w:rPr>
                <w:rFonts w:ascii="宋体" w:hAnsi="宋体" w:eastAsia="宋体" w:cs="宋体"/>
                <w:sz w:val="18"/>
                <w:szCs w:val="18"/>
              </w:rPr>
            </w:pPr>
            <w:r>
              <w:rPr>
                <w:rFonts w:ascii="宋体" w:hAnsi="宋体" w:eastAsia="宋体" w:cs="宋体"/>
                <w:sz w:val="18"/>
                <w:szCs w:val="18"/>
              </w:rPr>
              <w:t>111,607.45</w:t>
            </w:r>
          </w:p>
        </w:tc>
      </w:tr>
      <w:tr w14:paraId="5BFDF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0ABFA8C">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14:paraId="4CDDFC5E">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6569ADD">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CCED2B8">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4202B84">
            <w:pPr>
              <w:spacing w:line="240" w:lineRule="exact"/>
              <w:jc w:val="right"/>
              <w:rPr>
                <w:rFonts w:ascii="宋体" w:hAnsi="宋体" w:eastAsia="宋体" w:cs="宋体"/>
                <w:sz w:val="18"/>
                <w:szCs w:val="18"/>
              </w:rPr>
            </w:pPr>
          </w:p>
        </w:tc>
      </w:tr>
      <w:tr w14:paraId="63858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0A213CE">
            <w:pPr>
              <w:spacing w:line="240" w:lineRule="exact"/>
              <w:rPr>
                <w:rFonts w:ascii="宋体" w:hAnsi="宋体" w:eastAsia="宋体" w:cs="宋体"/>
                <w:sz w:val="18"/>
                <w:szCs w:val="18"/>
              </w:rPr>
            </w:pPr>
            <w:r>
              <w:rPr>
                <w:rFonts w:ascii="宋体" w:hAnsi="宋体" w:eastAsia="宋体" w:cs="宋体"/>
                <w:sz w:val="18"/>
                <w:szCs w:val="18"/>
              </w:rPr>
              <w:t>转自用房地产</w:t>
            </w:r>
          </w:p>
        </w:tc>
        <w:tc>
          <w:tcPr>
            <w:tcW w:w="1928" w:type="dxa"/>
            <w:tcBorders>
              <w:top w:val="single" w:color="auto" w:sz="2" w:space="0"/>
              <w:left w:val="single" w:color="auto" w:sz="2" w:space="0"/>
              <w:bottom w:val="single" w:color="auto" w:sz="2" w:space="0"/>
              <w:right w:val="single" w:color="auto" w:sz="2" w:space="0"/>
            </w:tcBorders>
            <w:vAlign w:val="center"/>
          </w:tcPr>
          <w:p w14:paraId="05E31072">
            <w:pPr>
              <w:spacing w:line="240" w:lineRule="exact"/>
              <w:jc w:val="right"/>
              <w:rPr>
                <w:rFonts w:ascii="宋体" w:hAnsi="宋体" w:eastAsia="宋体" w:cs="宋体"/>
                <w:sz w:val="18"/>
                <w:szCs w:val="18"/>
              </w:rPr>
            </w:pPr>
            <w:r>
              <w:rPr>
                <w:rFonts w:ascii="宋体" w:hAnsi="宋体" w:eastAsia="宋体" w:cs="宋体"/>
                <w:sz w:val="18"/>
                <w:szCs w:val="18"/>
              </w:rPr>
              <w:t>27,178,477.31</w:t>
            </w:r>
          </w:p>
        </w:tc>
        <w:tc>
          <w:tcPr>
            <w:tcW w:w="1928" w:type="dxa"/>
            <w:tcBorders>
              <w:top w:val="single" w:color="auto" w:sz="2" w:space="0"/>
              <w:left w:val="single" w:color="auto" w:sz="2" w:space="0"/>
              <w:bottom w:val="single" w:color="auto" w:sz="2" w:space="0"/>
              <w:right w:val="single" w:color="auto" w:sz="2" w:space="0"/>
            </w:tcBorders>
            <w:vAlign w:val="center"/>
          </w:tcPr>
          <w:p w14:paraId="0877B7DC">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99A30BD">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4C8B0DC">
            <w:pPr>
              <w:spacing w:line="240" w:lineRule="exact"/>
              <w:jc w:val="right"/>
              <w:rPr>
                <w:rFonts w:ascii="宋体" w:hAnsi="宋体" w:eastAsia="宋体" w:cs="宋体"/>
                <w:sz w:val="18"/>
                <w:szCs w:val="18"/>
              </w:rPr>
            </w:pPr>
            <w:r>
              <w:rPr>
                <w:rFonts w:ascii="宋体" w:hAnsi="宋体" w:eastAsia="宋体" w:cs="宋体"/>
                <w:sz w:val="18"/>
                <w:szCs w:val="18"/>
              </w:rPr>
              <w:t>27,178,477.31</w:t>
            </w:r>
          </w:p>
        </w:tc>
      </w:tr>
      <w:tr w14:paraId="2B116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F170FE6">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14:paraId="380651D1">
            <w:pPr>
              <w:spacing w:line="240" w:lineRule="exact"/>
              <w:jc w:val="right"/>
              <w:rPr>
                <w:rFonts w:ascii="宋体" w:hAnsi="宋体" w:eastAsia="宋体" w:cs="宋体"/>
                <w:sz w:val="18"/>
                <w:szCs w:val="18"/>
              </w:rPr>
            </w:pPr>
            <w:r>
              <w:rPr>
                <w:rFonts w:ascii="宋体" w:hAnsi="宋体" w:eastAsia="宋体" w:cs="宋体"/>
                <w:sz w:val="18"/>
                <w:szCs w:val="18"/>
              </w:rPr>
              <w:t>177,591,060.88</w:t>
            </w:r>
          </w:p>
        </w:tc>
        <w:tc>
          <w:tcPr>
            <w:tcW w:w="1928" w:type="dxa"/>
            <w:tcBorders>
              <w:top w:val="single" w:color="auto" w:sz="2" w:space="0"/>
              <w:left w:val="single" w:color="auto" w:sz="2" w:space="0"/>
              <w:bottom w:val="single" w:color="auto" w:sz="2" w:space="0"/>
              <w:right w:val="single" w:color="auto" w:sz="2" w:space="0"/>
            </w:tcBorders>
            <w:vAlign w:val="center"/>
          </w:tcPr>
          <w:p w14:paraId="3AA5944F">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F5F36EE">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7337D3B">
            <w:pPr>
              <w:spacing w:line="240" w:lineRule="exact"/>
              <w:jc w:val="right"/>
              <w:rPr>
                <w:rFonts w:ascii="宋体" w:hAnsi="宋体" w:eastAsia="宋体" w:cs="宋体"/>
                <w:sz w:val="18"/>
                <w:szCs w:val="18"/>
              </w:rPr>
            </w:pPr>
            <w:r>
              <w:rPr>
                <w:rFonts w:ascii="宋体" w:hAnsi="宋体" w:eastAsia="宋体" w:cs="宋体"/>
                <w:sz w:val="18"/>
                <w:szCs w:val="18"/>
              </w:rPr>
              <w:t>177,591,060.88</w:t>
            </w:r>
          </w:p>
        </w:tc>
      </w:tr>
      <w:tr w14:paraId="42B3A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8F3029B">
            <w:pPr>
              <w:spacing w:before="40" w:after="40" w:line="240" w:lineRule="exact"/>
              <w:rPr>
                <w:rFonts w:ascii="宋体" w:hAnsi="宋体" w:eastAsia="宋体" w:cs="宋体"/>
                <w:sz w:val="18"/>
                <w:szCs w:val="18"/>
              </w:rPr>
            </w:pPr>
            <w:r>
              <w:rPr>
                <w:rFonts w:ascii="宋体" w:hAnsi="宋体" w:eastAsia="宋体" w:cs="宋体"/>
                <w:sz w:val="18"/>
                <w:szCs w:val="18"/>
              </w:rPr>
              <w:t>二、累计折旧和累计摊销</w:t>
            </w:r>
          </w:p>
        </w:tc>
        <w:tc>
          <w:tcPr>
            <w:tcW w:w="1928" w:type="dxa"/>
            <w:tcBorders>
              <w:top w:val="single" w:color="auto" w:sz="2" w:space="0"/>
              <w:left w:val="single" w:color="auto" w:sz="2" w:space="0"/>
              <w:bottom w:val="single" w:color="auto" w:sz="2" w:space="0"/>
              <w:right w:val="single" w:color="auto" w:sz="2" w:space="0"/>
            </w:tcBorders>
            <w:vAlign w:val="center"/>
          </w:tcPr>
          <w:p w14:paraId="589809D8">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39B9B34">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0758F41">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F84D392">
            <w:pPr>
              <w:spacing w:line="240" w:lineRule="exact"/>
              <w:jc w:val="right"/>
              <w:rPr>
                <w:rFonts w:ascii="宋体" w:hAnsi="宋体" w:eastAsia="宋体" w:cs="宋体"/>
                <w:sz w:val="18"/>
                <w:szCs w:val="18"/>
              </w:rPr>
            </w:pPr>
          </w:p>
        </w:tc>
      </w:tr>
      <w:tr w14:paraId="2D6F9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CFF25A3">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14:paraId="65155A04">
            <w:pPr>
              <w:spacing w:line="240" w:lineRule="exact"/>
              <w:jc w:val="right"/>
              <w:rPr>
                <w:rFonts w:ascii="宋体" w:hAnsi="宋体" w:eastAsia="宋体" w:cs="宋体"/>
                <w:sz w:val="18"/>
                <w:szCs w:val="18"/>
              </w:rPr>
            </w:pPr>
            <w:r>
              <w:rPr>
                <w:rFonts w:ascii="宋体" w:hAnsi="宋体" w:eastAsia="宋体" w:cs="宋体"/>
                <w:sz w:val="18"/>
                <w:szCs w:val="18"/>
              </w:rPr>
              <w:t>67,452,299.80</w:t>
            </w:r>
          </w:p>
        </w:tc>
        <w:tc>
          <w:tcPr>
            <w:tcW w:w="1928" w:type="dxa"/>
            <w:tcBorders>
              <w:top w:val="single" w:color="auto" w:sz="2" w:space="0"/>
              <w:left w:val="single" w:color="auto" w:sz="2" w:space="0"/>
              <w:bottom w:val="single" w:color="auto" w:sz="2" w:space="0"/>
              <w:right w:val="single" w:color="auto" w:sz="2" w:space="0"/>
            </w:tcBorders>
            <w:vAlign w:val="center"/>
          </w:tcPr>
          <w:p w14:paraId="6DC6C296">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B289E50">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23A72BD">
            <w:pPr>
              <w:spacing w:line="240" w:lineRule="exact"/>
              <w:jc w:val="right"/>
              <w:rPr>
                <w:rFonts w:ascii="宋体" w:hAnsi="宋体" w:eastAsia="宋体" w:cs="宋体"/>
                <w:sz w:val="18"/>
                <w:szCs w:val="18"/>
              </w:rPr>
            </w:pPr>
            <w:r>
              <w:rPr>
                <w:rFonts w:ascii="宋体" w:hAnsi="宋体" w:eastAsia="宋体" w:cs="宋体"/>
                <w:sz w:val="18"/>
                <w:szCs w:val="18"/>
              </w:rPr>
              <w:t>67,452,299.80</w:t>
            </w:r>
          </w:p>
        </w:tc>
      </w:tr>
      <w:tr w14:paraId="4BCDD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C58B7D1">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14:paraId="0FBC7FBF">
            <w:pPr>
              <w:spacing w:line="240" w:lineRule="exact"/>
              <w:jc w:val="right"/>
              <w:rPr>
                <w:rFonts w:ascii="宋体" w:hAnsi="宋体" w:eastAsia="宋体" w:cs="宋体"/>
                <w:sz w:val="18"/>
                <w:szCs w:val="18"/>
              </w:rPr>
            </w:pPr>
            <w:r>
              <w:rPr>
                <w:rFonts w:ascii="宋体" w:hAnsi="宋体" w:eastAsia="宋体" w:cs="宋体"/>
                <w:sz w:val="18"/>
                <w:szCs w:val="18"/>
              </w:rPr>
              <w:t>6,615,817.76</w:t>
            </w:r>
          </w:p>
        </w:tc>
        <w:tc>
          <w:tcPr>
            <w:tcW w:w="1928" w:type="dxa"/>
            <w:tcBorders>
              <w:top w:val="single" w:color="auto" w:sz="2" w:space="0"/>
              <w:left w:val="single" w:color="auto" w:sz="2" w:space="0"/>
              <w:bottom w:val="single" w:color="auto" w:sz="2" w:space="0"/>
              <w:right w:val="single" w:color="auto" w:sz="2" w:space="0"/>
            </w:tcBorders>
            <w:vAlign w:val="center"/>
          </w:tcPr>
          <w:p w14:paraId="43C1DF3B">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565D6EB">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BA34193">
            <w:pPr>
              <w:spacing w:line="240" w:lineRule="exact"/>
              <w:jc w:val="right"/>
              <w:rPr>
                <w:rFonts w:ascii="宋体" w:hAnsi="宋体" w:eastAsia="宋体" w:cs="宋体"/>
                <w:sz w:val="18"/>
                <w:szCs w:val="18"/>
              </w:rPr>
            </w:pPr>
            <w:r>
              <w:rPr>
                <w:rFonts w:ascii="宋体" w:hAnsi="宋体" w:eastAsia="宋体" w:cs="宋体"/>
                <w:sz w:val="18"/>
                <w:szCs w:val="18"/>
              </w:rPr>
              <w:t>6,615,817.76</w:t>
            </w:r>
          </w:p>
        </w:tc>
      </w:tr>
      <w:tr w14:paraId="4E491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7247228">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（1）计提或摊销</w:t>
            </w:r>
          </w:p>
        </w:tc>
        <w:tc>
          <w:tcPr>
            <w:tcW w:w="1928" w:type="dxa"/>
            <w:tcBorders>
              <w:top w:val="single" w:color="auto" w:sz="2" w:space="0"/>
              <w:left w:val="single" w:color="auto" w:sz="2" w:space="0"/>
              <w:bottom w:val="single" w:color="auto" w:sz="2" w:space="0"/>
              <w:right w:val="single" w:color="auto" w:sz="2" w:space="0"/>
            </w:tcBorders>
            <w:vAlign w:val="center"/>
          </w:tcPr>
          <w:p w14:paraId="482ED89F">
            <w:pPr>
              <w:spacing w:line="240" w:lineRule="exact"/>
              <w:jc w:val="right"/>
              <w:rPr>
                <w:rFonts w:ascii="宋体" w:hAnsi="宋体" w:eastAsia="宋体" w:cs="宋体"/>
                <w:sz w:val="18"/>
                <w:szCs w:val="18"/>
              </w:rPr>
            </w:pPr>
            <w:r>
              <w:rPr>
                <w:rFonts w:ascii="宋体" w:hAnsi="宋体" w:eastAsia="宋体" w:cs="宋体"/>
                <w:sz w:val="18"/>
                <w:szCs w:val="18"/>
              </w:rPr>
              <w:t>5,779,509.02</w:t>
            </w:r>
          </w:p>
        </w:tc>
        <w:tc>
          <w:tcPr>
            <w:tcW w:w="1928" w:type="dxa"/>
            <w:tcBorders>
              <w:top w:val="single" w:color="auto" w:sz="2" w:space="0"/>
              <w:left w:val="single" w:color="auto" w:sz="2" w:space="0"/>
              <w:bottom w:val="single" w:color="auto" w:sz="2" w:space="0"/>
              <w:right w:val="single" w:color="auto" w:sz="2" w:space="0"/>
            </w:tcBorders>
            <w:vAlign w:val="center"/>
          </w:tcPr>
          <w:p w14:paraId="283FD898">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A10AD9D">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78F642B">
            <w:pPr>
              <w:spacing w:line="240" w:lineRule="exact"/>
              <w:jc w:val="right"/>
              <w:rPr>
                <w:rFonts w:ascii="宋体" w:hAnsi="宋体" w:eastAsia="宋体" w:cs="宋体"/>
                <w:sz w:val="18"/>
                <w:szCs w:val="18"/>
              </w:rPr>
            </w:pPr>
            <w:r>
              <w:rPr>
                <w:rFonts w:ascii="宋体" w:hAnsi="宋体" w:eastAsia="宋体" w:cs="宋体"/>
                <w:sz w:val="18"/>
                <w:szCs w:val="18"/>
              </w:rPr>
              <w:t>5,779,509.02</w:t>
            </w:r>
          </w:p>
        </w:tc>
      </w:tr>
      <w:tr w14:paraId="0F5A5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10179E73">
            <w:pPr>
              <w:spacing w:line="240" w:lineRule="exact"/>
              <w:rPr>
                <w:rFonts w:ascii="宋体" w:hAnsi="宋体" w:eastAsia="宋体" w:cs="宋体"/>
                <w:sz w:val="18"/>
                <w:szCs w:val="18"/>
              </w:rPr>
            </w:pPr>
            <w:r>
              <w:rPr>
                <w:rFonts w:ascii="宋体" w:hAnsi="宋体" w:eastAsia="宋体" w:cs="宋体"/>
                <w:sz w:val="18"/>
                <w:szCs w:val="18"/>
              </w:rPr>
              <w:t>固定资产转入</w:t>
            </w:r>
          </w:p>
        </w:tc>
        <w:tc>
          <w:tcPr>
            <w:tcW w:w="1928" w:type="dxa"/>
            <w:tcBorders>
              <w:top w:val="single" w:color="auto" w:sz="2" w:space="0"/>
              <w:left w:val="single" w:color="auto" w:sz="2" w:space="0"/>
              <w:bottom w:val="single" w:color="auto" w:sz="2" w:space="0"/>
              <w:right w:val="single" w:color="auto" w:sz="2" w:space="0"/>
            </w:tcBorders>
            <w:vAlign w:val="center"/>
          </w:tcPr>
          <w:p w14:paraId="0F157722">
            <w:pPr>
              <w:spacing w:line="240" w:lineRule="exact"/>
              <w:jc w:val="right"/>
              <w:rPr>
                <w:rFonts w:ascii="宋体" w:hAnsi="宋体" w:eastAsia="宋体" w:cs="宋体"/>
                <w:sz w:val="18"/>
                <w:szCs w:val="18"/>
              </w:rPr>
            </w:pPr>
            <w:r>
              <w:rPr>
                <w:rFonts w:ascii="宋体" w:hAnsi="宋体" w:eastAsia="宋体" w:cs="宋体"/>
                <w:sz w:val="18"/>
                <w:szCs w:val="18"/>
              </w:rPr>
              <w:t>836,308.74</w:t>
            </w:r>
          </w:p>
        </w:tc>
        <w:tc>
          <w:tcPr>
            <w:tcW w:w="1928" w:type="dxa"/>
            <w:tcBorders>
              <w:top w:val="single" w:color="auto" w:sz="2" w:space="0"/>
              <w:left w:val="single" w:color="auto" w:sz="2" w:space="0"/>
              <w:bottom w:val="single" w:color="auto" w:sz="2" w:space="0"/>
              <w:right w:val="single" w:color="auto" w:sz="2" w:space="0"/>
            </w:tcBorders>
            <w:vAlign w:val="center"/>
          </w:tcPr>
          <w:p w14:paraId="3DDFDAAC">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77BD639">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2715CAE">
            <w:pPr>
              <w:spacing w:line="240" w:lineRule="exact"/>
              <w:jc w:val="right"/>
              <w:rPr>
                <w:rFonts w:ascii="宋体" w:hAnsi="宋体" w:eastAsia="宋体" w:cs="宋体"/>
                <w:sz w:val="18"/>
                <w:szCs w:val="18"/>
              </w:rPr>
            </w:pPr>
            <w:r>
              <w:rPr>
                <w:rFonts w:ascii="宋体" w:hAnsi="宋体" w:eastAsia="宋体" w:cs="宋体"/>
                <w:sz w:val="18"/>
                <w:szCs w:val="18"/>
              </w:rPr>
              <w:t>836,308.74</w:t>
            </w:r>
          </w:p>
        </w:tc>
      </w:tr>
      <w:tr w14:paraId="40C56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0D398D8">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14:paraId="23824CBC">
            <w:pPr>
              <w:spacing w:line="240" w:lineRule="exact"/>
              <w:jc w:val="right"/>
              <w:rPr>
                <w:rFonts w:ascii="宋体" w:hAnsi="宋体" w:eastAsia="宋体" w:cs="宋体"/>
                <w:sz w:val="18"/>
                <w:szCs w:val="18"/>
              </w:rPr>
            </w:pPr>
            <w:r>
              <w:rPr>
                <w:rFonts w:ascii="宋体" w:hAnsi="宋体" w:eastAsia="宋体" w:cs="宋体"/>
                <w:sz w:val="18"/>
                <w:szCs w:val="18"/>
              </w:rPr>
              <w:t>17,831,237.35</w:t>
            </w:r>
          </w:p>
        </w:tc>
        <w:tc>
          <w:tcPr>
            <w:tcW w:w="1928" w:type="dxa"/>
            <w:tcBorders>
              <w:top w:val="single" w:color="auto" w:sz="2" w:space="0"/>
              <w:left w:val="single" w:color="auto" w:sz="2" w:space="0"/>
              <w:bottom w:val="single" w:color="auto" w:sz="2" w:space="0"/>
              <w:right w:val="single" w:color="auto" w:sz="2" w:space="0"/>
            </w:tcBorders>
            <w:vAlign w:val="center"/>
          </w:tcPr>
          <w:p w14:paraId="400FF752">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1BB0DD1">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72762A0">
            <w:pPr>
              <w:spacing w:line="240" w:lineRule="exact"/>
              <w:jc w:val="right"/>
              <w:rPr>
                <w:rFonts w:ascii="宋体" w:hAnsi="宋体" w:eastAsia="宋体" w:cs="宋体"/>
                <w:sz w:val="18"/>
                <w:szCs w:val="18"/>
              </w:rPr>
            </w:pPr>
            <w:r>
              <w:rPr>
                <w:rFonts w:ascii="宋体" w:hAnsi="宋体" w:eastAsia="宋体" w:cs="宋体"/>
                <w:sz w:val="18"/>
                <w:szCs w:val="18"/>
              </w:rPr>
              <w:t>17,831,237.35</w:t>
            </w:r>
          </w:p>
        </w:tc>
      </w:tr>
      <w:tr w14:paraId="1B882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DFA0207">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14:paraId="41B932B2">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4392945">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C244D40">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31D7319">
            <w:pPr>
              <w:spacing w:line="240" w:lineRule="exact"/>
              <w:jc w:val="right"/>
              <w:rPr>
                <w:rFonts w:ascii="宋体" w:hAnsi="宋体" w:eastAsia="宋体" w:cs="宋体"/>
                <w:sz w:val="18"/>
                <w:szCs w:val="18"/>
              </w:rPr>
            </w:pPr>
          </w:p>
        </w:tc>
      </w:tr>
      <w:tr w14:paraId="69E92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7CF8C4E">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14:paraId="04FB1648">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A6A7E40">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1E3E659">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E83C463">
            <w:pPr>
              <w:spacing w:line="240" w:lineRule="exact"/>
              <w:jc w:val="right"/>
              <w:rPr>
                <w:rFonts w:ascii="宋体" w:hAnsi="宋体" w:eastAsia="宋体" w:cs="宋体"/>
                <w:sz w:val="18"/>
                <w:szCs w:val="18"/>
              </w:rPr>
            </w:pPr>
          </w:p>
        </w:tc>
      </w:tr>
      <w:tr w14:paraId="6A71A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E015708">
            <w:pPr>
              <w:spacing w:line="240" w:lineRule="exact"/>
              <w:rPr>
                <w:rFonts w:ascii="宋体" w:hAnsi="宋体" w:eastAsia="宋体" w:cs="宋体"/>
                <w:sz w:val="18"/>
                <w:szCs w:val="18"/>
              </w:rPr>
            </w:pPr>
            <w:r>
              <w:rPr>
                <w:rFonts w:ascii="宋体" w:hAnsi="宋体" w:eastAsia="宋体" w:cs="宋体"/>
                <w:sz w:val="18"/>
                <w:szCs w:val="18"/>
              </w:rPr>
              <w:t>转自用房地产</w:t>
            </w:r>
          </w:p>
        </w:tc>
        <w:tc>
          <w:tcPr>
            <w:tcW w:w="1928" w:type="dxa"/>
            <w:tcBorders>
              <w:top w:val="single" w:color="auto" w:sz="2" w:space="0"/>
              <w:left w:val="single" w:color="auto" w:sz="2" w:space="0"/>
              <w:bottom w:val="single" w:color="auto" w:sz="2" w:space="0"/>
              <w:right w:val="single" w:color="auto" w:sz="2" w:space="0"/>
            </w:tcBorders>
            <w:vAlign w:val="center"/>
          </w:tcPr>
          <w:p w14:paraId="3CD7101C">
            <w:pPr>
              <w:spacing w:line="240" w:lineRule="exact"/>
              <w:jc w:val="right"/>
              <w:rPr>
                <w:rFonts w:ascii="宋体" w:hAnsi="宋体" w:eastAsia="宋体" w:cs="宋体"/>
                <w:sz w:val="18"/>
                <w:szCs w:val="18"/>
              </w:rPr>
            </w:pPr>
            <w:r>
              <w:rPr>
                <w:rFonts w:ascii="宋体" w:hAnsi="宋体" w:eastAsia="宋体" w:cs="宋体"/>
                <w:sz w:val="18"/>
                <w:szCs w:val="18"/>
              </w:rPr>
              <w:t>17,831,237.35</w:t>
            </w:r>
          </w:p>
        </w:tc>
        <w:tc>
          <w:tcPr>
            <w:tcW w:w="1928" w:type="dxa"/>
            <w:tcBorders>
              <w:top w:val="single" w:color="auto" w:sz="2" w:space="0"/>
              <w:left w:val="single" w:color="auto" w:sz="2" w:space="0"/>
              <w:bottom w:val="single" w:color="auto" w:sz="2" w:space="0"/>
              <w:right w:val="single" w:color="auto" w:sz="2" w:space="0"/>
            </w:tcBorders>
            <w:vAlign w:val="center"/>
          </w:tcPr>
          <w:p w14:paraId="0071DB31">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F8E3417">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613D067">
            <w:pPr>
              <w:spacing w:line="240" w:lineRule="exact"/>
              <w:jc w:val="right"/>
              <w:rPr>
                <w:rFonts w:ascii="宋体" w:hAnsi="宋体" w:eastAsia="宋体" w:cs="宋体"/>
                <w:sz w:val="18"/>
                <w:szCs w:val="18"/>
              </w:rPr>
            </w:pPr>
            <w:r>
              <w:rPr>
                <w:rFonts w:ascii="宋体" w:hAnsi="宋体" w:eastAsia="宋体" w:cs="宋体"/>
                <w:sz w:val="18"/>
                <w:szCs w:val="18"/>
              </w:rPr>
              <w:t>17,831,237.35</w:t>
            </w:r>
          </w:p>
        </w:tc>
      </w:tr>
      <w:tr w14:paraId="4195F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E382A28">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14:paraId="01C94684">
            <w:pPr>
              <w:spacing w:line="240" w:lineRule="exact"/>
              <w:jc w:val="right"/>
              <w:rPr>
                <w:rFonts w:ascii="宋体" w:hAnsi="宋体" w:eastAsia="宋体" w:cs="宋体"/>
                <w:sz w:val="18"/>
                <w:szCs w:val="18"/>
              </w:rPr>
            </w:pPr>
            <w:r>
              <w:rPr>
                <w:rFonts w:ascii="宋体" w:hAnsi="宋体" w:eastAsia="宋体" w:cs="宋体"/>
                <w:sz w:val="18"/>
                <w:szCs w:val="18"/>
              </w:rPr>
              <w:t>56,236,880.21</w:t>
            </w:r>
          </w:p>
        </w:tc>
        <w:tc>
          <w:tcPr>
            <w:tcW w:w="1928" w:type="dxa"/>
            <w:tcBorders>
              <w:top w:val="single" w:color="auto" w:sz="2" w:space="0"/>
              <w:left w:val="single" w:color="auto" w:sz="2" w:space="0"/>
              <w:bottom w:val="single" w:color="auto" w:sz="2" w:space="0"/>
              <w:right w:val="single" w:color="auto" w:sz="2" w:space="0"/>
            </w:tcBorders>
            <w:vAlign w:val="center"/>
          </w:tcPr>
          <w:p w14:paraId="42488F02">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89932B2">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C789944">
            <w:pPr>
              <w:spacing w:line="240" w:lineRule="exact"/>
              <w:jc w:val="right"/>
              <w:rPr>
                <w:rFonts w:ascii="宋体" w:hAnsi="宋体" w:eastAsia="宋体" w:cs="宋体"/>
                <w:sz w:val="18"/>
                <w:szCs w:val="18"/>
              </w:rPr>
            </w:pPr>
            <w:r>
              <w:rPr>
                <w:rFonts w:ascii="宋体" w:hAnsi="宋体" w:eastAsia="宋体" w:cs="宋体"/>
                <w:sz w:val="18"/>
                <w:szCs w:val="18"/>
              </w:rPr>
              <w:t>56,236,880.21</w:t>
            </w:r>
          </w:p>
        </w:tc>
      </w:tr>
      <w:tr w14:paraId="4D1FC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E0D20ED">
            <w:pPr>
              <w:spacing w:before="40" w:after="40" w:line="240" w:lineRule="exact"/>
              <w:rPr>
                <w:rFonts w:ascii="宋体" w:hAnsi="宋体" w:eastAsia="宋体" w:cs="宋体"/>
                <w:sz w:val="18"/>
                <w:szCs w:val="18"/>
              </w:rPr>
            </w:pPr>
            <w:r>
              <w:rPr>
                <w:rFonts w:ascii="宋体" w:hAnsi="宋体" w:eastAsia="宋体" w:cs="宋体"/>
                <w:sz w:val="18"/>
                <w:szCs w:val="18"/>
              </w:rPr>
              <w:t>三、减值准备</w:t>
            </w:r>
          </w:p>
        </w:tc>
        <w:tc>
          <w:tcPr>
            <w:tcW w:w="1928" w:type="dxa"/>
            <w:tcBorders>
              <w:top w:val="single" w:color="auto" w:sz="2" w:space="0"/>
              <w:left w:val="single" w:color="auto" w:sz="2" w:space="0"/>
              <w:bottom w:val="single" w:color="auto" w:sz="2" w:space="0"/>
              <w:right w:val="single" w:color="auto" w:sz="2" w:space="0"/>
            </w:tcBorders>
            <w:vAlign w:val="center"/>
          </w:tcPr>
          <w:p w14:paraId="0A20FCED">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6E298E0">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56E86CE">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49E929F">
            <w:pPr>
              <w:spacing w:line="240" w:lineRule="exact"/>
              <w:jc w:val="right"/>
              <w:rPr>
                <w:rFonts w:ascii="宋体" w:hAnsi="宋体" w:eastAsia="宋体" w:cs="宋体"/>
                <w:sz w:val="18"/>
                <w:szCs w:val="18"/>
              </w:rPr>
            </w:pPr>
          </w:p>
        </w:tc>
      </w:tr>
      <w:tr w14:paraId="6DB6D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9596A51">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14:paraId="0FE44961">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C72DFA1">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E34312E">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C5E3EED">
            <w:pPr>
              <w:spacing w:line="240" w:lineRule="exact"/>
              <w:jc w:val="right"/>
              <w:rPr>
                <w:rFonts w:ascii="宋体" w:hAnsi="宋体" w:eastAsia="宋体" w:cs="宋体"/>
                <w:sz w:val="18"/>
                <w:szCs w:val="18"/>
              </w:rPr>
            </w:pPr>
          </w:p>
        </w:tc>
      </w:tr>
      <w:tr w14:paraId="68E5B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2255A59">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14:paraId="19287EBD">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0518517">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4FF0133">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9FD1CB0">
            <w:pPr>
              <w:spacing w:line="240" w:lineRule="exact"/>
              <w:jc w:val="right"/>
              <w:rPr>
                <w:rFonts w:ascii="宋体" w:hAnsi="宋体" w:eastAsia="宋体" w:cs="宋体"/>
                <w:sz w:val="18"/>
                <w:szCs w:val="18"/>
              </w:rPr>
            </w:pPr>
          </w:p>
        </w:tc>
      </w:tr>
      <w:tr w14:paraId="7DF46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3FC94B6">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（1）计提</w:t>
            </w:r>
          </w:p>
        </w:tc>
        <w:tc>
          <w:tcPr>
            <w:tcW w:w="1928" w:type="dxa"/>
            <w:tcBorders>
              <w:top w:val="single" w:color="auto" w:sz="2" w:space="0"/>
              <w:left w:val="single" w:color="auto" w:sz="2" w:space="0"/>
              <w:bottom w:val="single" w:color="auto" w:sz="2" w:space="0"/>
              <w:right w:val="single" w:color="auto" w:sz="2" w:space="0"/>
            </w:tcBorders>
            <w:vAlign w:val="center"/>
          </w:tcPr>
          <w:p w14:paraId="496F64E2">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8E4E757">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2970FF3">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F6B82BB">
            <w:pPr>
              <w:spacing w:line="240" w:lineRule="exact"/>
              <w:jc w:val="right"/>
              <w:rPr>
                <w:rFonts w:ascii="宋体" w:hAnsi="宋体" w:eastAsia="宋体" w:cs="宋体"/>
                <w:sz w:val="18"/>
                <w:szCs w:val="18"/>
              </w:rPr>
            </w:pPr>
          </w:p>
        </w:tc>
      </w:tr>
      <w:tr w14:paraId="45DD4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353D91D4">
            <w:pPr>
              <w:spacing w:line="240" w:lineRule="exac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4C4335C">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C55361F">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DF88906">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95271E1">
            <w:pPr>
              <w:spacing w:line="240" w:lineRule="exact"/>
              <w:jc w:val="right"/>
              <w:rPr>
                <w:rFonts w:ascii="宋体" w:hAnsi="宋体" w:eastAsia="宋体" w:cs="宋体"/>
                <w:sz w:val="18"/>
                <w:szCs w:val="18"/>
              </w:rPr>
            </w:pPr>
          </w:p>
        </w:tc>
      </w:tr>
      <w:tr w14:paraId="6B62C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6810569">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14:paraId="616B1268">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BCF8AD4">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12E4062">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934DC49">
            <w:pPr>
              <w:spacing w:line="240" w:lineRule="exact"/>
              <w:jc w:val="right"/>
              <w:rPr>
                <w:rFonts w:ascii="宋体" w:hAnsi="宋体" w:eastAsia="宋体" w:cs="宋体"/>
                <w:sz w:val="18"/>
                <w:szCs w:val="18"/>
              </w:rPr>
            </w:pPr>
          </w:p>
        </w:tc>
      </w:tr>
      <w:tr w14:paraId="6AB41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6ED6B9D">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14:paraId="3AB189C8">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296C07C">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49B8493">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55A7288">
            <w:pPr>
              <w:spacing w:line="240" w:lineRule="exact"/>
              <w:jc w:val="right"/>
              <w:rPr>
                <w:rFonts w:ascii="宋体" w:hAnsi="宋体" w:eastAsia="宋体" w:cs="宋体"/>
                <w:sz w:val="18"/>
                <w:szCs w:val="18"/>
              </w:rPr>
            </w:pPr>
          </w:p>
        </w:tc>
      </w:tr>
      <w:tr w14:paraId="67401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DCD2FB6">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14:paraId="1418BC7F">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6A65933">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F7CF35B">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316FF6C">
            <w:pPr>
              <w:spacing w:line="240" w:lineRule="exact"/>
              <w:jc w:val="right"/>
              <w:rPr>
                <w:rFonts w:ascii="宋体" w:hAnsi="宋体" w:eastAsia="宋体" w:cs="宋体"/>
                <w:sz w:val="18"/>
                <w:szCs w:val="18"/>
              </w:rPr>
            </w:pPr>
          </w:p>
        </w:tc>
      </w:tr>
      <w:tr w14:paraId="42C38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CF9A845">
            <w:pPr>
              <w:spacing w:line="240" w:lineRule="exac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3971C0C">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C91DDC7">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A5A05AA">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D47ACCF">
            <w:pPr>
              <w:spacing w:line="240" w:lineRule="exact"/>
              <w:jc w:val="right"/>
              <w:rPr>
                <w:rFonts w:ascii="宋体" w:hAnsi="宋体" w:eastAsia="宋体" w:cs="宋体"/>
                <w:sz w:val="18"/>
                <w:szCs w:val="18"/>
              </w:rPr>
            </w:pPr>
          </w:p>
        </w:tc>
      </w:tr>
      <w:tr w14:paraId="25641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3AEDE64">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14:paraId="3C0F7DB3">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5CFDDC0">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8962F46">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E666F63">
            <w:pPr>
              <w:spacing w:line="240" w:lineRule="exact"/>
              <w:jc w:val="right"/>
              <w:rPr>
                <w:rFonts w:ascii="宋体" w:hAnsi="宋体" w:eastAsia="宋体" w:cs="宋体"/>
                <w:sz w:val="18"/>
                <w:szCs w:val="18"/>
              </w:rPr>
            </w:pPr>
          </w:p>
        </w:tc>
      </w:tr>
      <w:tr w14:paraId="747C7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F21C4CC">
            <w:pPr>
              <w:spacing w:before="40" w:after="40" w:line="240" w:lineRule="exact"/>
              <w:rPr>
                <w:rFonts w:ascii="宋体" w:hAnsi="宋体" w:eastAsia="宋体" w:cs="宋体"/>
                <w:sz w:val="18"/>
                <w:szCs w:val="18"/>
              </w:rPr>
            </w:pPr>
            <w:r>
              <w:rPr>
                <w:rFonts w:ascii="宋体" w:hAnsi="宋体" w:eastAsia="宋体" w:cs="宋体"/>
                <w:sz w:val="18"/>
                <w:szCs w:val="18"/>
              </w:rPr>
              <w:t>四、账面价值</w:t>
            </w:r>
          </w:p>
        </w:tc>
        <w:tc>
          <w:tcPr>
            <w:tcW w:w="1928" w:type="dxa"/>
            <w:tcBorders>
              <w:top w:val="single" w:color="auto" w:sz="2" w:space="0"/>
              <w:left w:val="single" w:color="auto" w:sz="2" w:space="0"/>
              <w:bottom w:val="single" w:color="auto" w:sz="2" w:space="0"/>
              <w:right w:val="single" w:color="auto" w:sz="2" w:space="0"/>
            </w:tcBorders>
            <w:vAlign w:val="center"/>
          </w:tcPr>
          <w:p w14:paraId="396910D3">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4F04DB4">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D0365CA">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EC2447C">
            <w:pPr>
              <w:spacing w:line="240" w:lineRule="exact"/>
              <w:jc w:val="right"/>
              <w:rPr>
                <w:rFonts w:ascii="宋体" w:hAnsi="宋体" w:eastAsia="宋体" w:cs="宋体"/>
                <w:sz w:val="18"/>
                <w:szCs w:val="18"/>
              </w:rPr>
            </w:pPr>
          </w:p>
        </w:tc>
      </w:tr>
      <w:tr w14:paraId="6AB87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E724C31">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1.期末账面价值</w:t>
            </w:r>
          </w:p>
        </w:tc>
        <w:tc>
          <w:tcPr>
            <w:tcW w:w="1928" w:type="dxa"/>
            <w:tcBorders>
              <w:top w:val="single" w:color="auto" w:sz="2" w:space="0"/>
              <w:left w:val="single" w:color="auto" w:sz="2" w:space="0"/>
              <w:bottom w:val="single" w:color="auto" w:sz="2" w:space="0"/>
              <w:right w:val="single" w:color="auto" w:sz="2" w:space="0"/>
            </w:tcBorders>
            <w:vAlign w:val="center"/>
          </w:tcPr>
          <w:p w14:paraId="5E42641C">
            <w:pPr>
              <w:spacing w:line="240" w:lineRule="exact"/>
              <w:jc w:val="right"/>
              <w:rPr>
                <w:rFonts w:ascii="宋体" w:hAnsi="宋体" w:eastAsia="宋体" w:cs="宋体"/>
                <w:sz w:val="18"/>
                <w:szCs w:val="18"/>
              </w:rPr>
            </w:pPr>
            <w:r>
              <w:rPr>
                <w:rFonts w:ascii="宋体" w:hAnsi="宋体" w:eastAsia="宋体" w:cs="宋体"/>
                <w:sz w:val="18"/>
                <w:szCs w:val="18"/>
              </w:rPr>
              <w:t>121,354,180.67</w:t>
            </w:r>
          </w:p>
        </w:tc>
        <w:tc>
          <w:tcPr>
            <w:tcW w:w="1928" w:type="dxa"/>
            <w:tcBorders>
              <w:top w:val="single" w:color="auto" w:sz="2" w:space="0"/>
              <w:left w:val="single" w:color="auto" w:sz="2" w:space="0"/>
              <w:bottom w:val="single" w:color="auto" w:sz="2" w:space="0"/>
              <w:right w:val="single" w:color="auto" w:sz="2" w:space="0"/>
            </w:tcBorders>
            <w:vAlign w:val="center"/>
          </w:tcPr>
          <w:p w14:paraId="05562EA9">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893B286">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0A4DEF3">
            <w:pPr>
              <w:spacing w:line="240" w:lineRule="exact"/>
              <w:jc w:val="right"/>
              <w:rPr>
                <w:rFonts w:ascii="宋体" w:hAnsi="宋体" w:eastAsia="宋体" w:cs="宋体"/>
                <w:sz w:val="18"/>
                <w:szCs w:val="18"/>
              </w:rPr>
            </w:pPr>
            <w:r>
              <w:rPr>
                <w:rFonts w:ascii="宋体" w:hAnsi="宋体" w:eastAsia="宋体" w:cs="宋体"/>
                <w:sz w:val="18"/>
                <w:szCs w:val="18"/>
              </w:rPr>
              <w:t>121,354,180.67</w:t>
            </w:r>
          </w:p>
        </w:tc>
      </w:tr>
      <w:tr w14:paraId="195E3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2ED4F51">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2.期初账面价值</w:t>
            </w:r>
          </w:p>
        </w:tc>
        <w:tc>
          <w:tcPr>
            <w:tcW w:w="1928" w:type="dxa"/>
            <w:tcBorders>
              <w:top w:val="single" w:color="auto" w:sz="2" w:space="0"/>
              <w:left w:val="single" w:color="auto" w:sz="2" w:space="0"/>
              <w:bottom w:val="single" w:color="auto" w:sz="2" w:space="0"/>
              <w:right w:val="single" w:color="auto" w:sz="2" w:space="0"/>
            </w:tcBorders>
            <w:vAlign w:val="center"/>
          </w:tcPr>
          <w:p w14:paraId="4948E978">
            <w:pPr>
              <w:spacing w:line="240" w:lineRule="exact"/>
              <w:jc w:val="right"/>
              <w:rPr>
                <w:rFonts w:ascii="宋体" w:hAnsi="宋体" w:eastAsia="宋体" w:cs="宋体"/>
                <w:sz w:val="18"/>
                <w:szCs w:val="18"/>
              </w:rPr>
            </w:pPr>
            <w:r>
              <w:rPr>
                <w:rFonts w:ascii="宋体" w:hAnsi="宋体" w:eastAsia="宋体" w:cs="宋体"/>
                <w:sz w:val="18"/>
                <w:szCs w:val="18"/>
              </w:rPr>
              <w:t>134,209,836.72</w:t>
            </w:r>
          </w:p>
        </w:tc>
        <w:tc>
          <w:tcPr>
            <w:tcW w:w="1928" w:type="dxa"/>
            <w:tcBorders>
              <w:top w:val="single" w:color="auto" w:sz="2" w:space="0"/>
              <w:left w:val="single" w:color="auto" w:sz="2" w:space="0"/>
              <w:bottom w:val="single" w:color="auto" w:sz="2" w:space="0"/>
              <w:right w:val="single" w:color="auto" w:sz="2" w:space="0"/>
            </w:tcBorders>
            <w:vAlign w:val="center"/>
          </w:tcPr>
          <w:p w14:paraId="445F7E0A">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52EA81C">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04000BF">
            <w:pPr>
              <w:spacing w:line="240" w:lineRule="exact"/>
              <w:jc w:val="right"/>
              <w:rPr>
                <w:rFonts w:ascii="宋体" w:hAnsi="宋体" w:eastAsia="宋体" w:cs="宋体"/>
                <w:sz w:val="18"/>
                <w:szCs w:val="18"/>
              </w:rPr>
            </w:pPr>
            <w:r>
              <w:rPr>
                <w:rFonts w:ascii="宋体" w:hAnsi="宋体" w:eastAsia="宋体" w:cs="宋体"/>
                <w:sz w:val="18"/>
                <w:szCs w:val="18"/>
              </w:rPr>
              <w:t>134,209,836.72</w:t>
            </w:r>
          </w:p>
        </w:tc>
      </w:tr>
    </w:tbl>
    <w:p w14:paraId="477811FA">
      <w:pPr>
        <w:spacing w:before="100" w:after="100" w:line="240" w:lineRule="exact"/>
        <w:rPr>
          <w:rFonts w:ascii="宋体" w:hAnsi="宋体" w:eastAsia="宋体" w:cs="宋体"/>
          <w:sz w:val="18"/>
          <w:szCs w:val="18"/>
        </w:rPr>
      </w:pPr>
      <w:r>
        <w:rPr>
          <w:rFonts w:ascii="宋体" w:hAnsi="宋体" w:eastAsia="宋体" w:cs="宋体"/>
          <w:sz w:val="18"/>
          <w:szCs w:val="18"/>
        </w:rPr>
        <w:t>可收回金额按公允价值减去处置费用后的净额确定</w:t>
      </w:r>
    </w:p>
    <w:p w14:paraId="5F4392C7">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B044A63">
      <w:pPr>
        <w:spacing w:before="100" w:after="100" w:line="240" w:lineRule="exact"/>
        <w:rPr>
          <w:rFonts w:ascii="宋体" w:hAnsi="宋体" w:eastAsia="宋体" w:cs="宋体"/>
          <w:sz w:val="18"/>
          <w:szCs w:val="18"/>
        </w:rPr>
      </w:pPr>
      <w:r>
        <w:rPr>
          <w:rFonts w:ascii="宋体" w:hAnsi="宋体" w:eastAsia="宋体" w:cs="宋体"/>
          <w:sz w:val="18"/>
          <w:szCs w:val="18"/>
        </w:rPr>
        <w:t>可收回金额按预计未来现金流量的现值确定</w:t>
      </w:r>
    </w:p>
    <w:p w14:paraId="1F3C79F0">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C67B437">
      <w:pPr>
        <w:spacing w:before="100" w:after="100" w:line="240" w:lineRule="exact"/>
        <w:rPr>
          <w:rFonts w:ascii="宋体" w:hAnsi="宋体" w:eastAsia="宋体" w:cs="宋体"/>
          <w:sz w:val="18"/>
          <w:szCs w:val="18"/>
        </w:rPr>
      </w:pPr>
      <w:r>
        <w:rPr>
          <w:rFonts w:ascii="宋体" w:hAnsi="宋体" w:eastAsia="宋体" w:cs="宋体"/>
          <w:sz w:val="18"/>
          <w:szCs w:val="18"/>
        </w:rPr>
        <w:t>前述信息与以前年度减值测试采用的信息或外部信息明显不一致的差异原因</w:t>
      </w:r>
    </w:p>
    <w:p w14:paraId="79AF78B2">
      <w:pPr>
        <w:pStyle w:val="9"/>
        <w:rPr>
          <w:sz w:val="18"/>
          <w:szCs w:val="18"/>
        </w:rPr>
      </w:pPr>
      <w:r>
        <w:rPr>
          <w:rFonts w:hint="eastAsia"/>
          <w:sz w:val="18"/>
          <w:szCs w:val="18"/>
        </w:rPr>
        <w:t>无</w:t>
      </w:r>
    </w:p>
    <w:p w14:paraId="444758BB">
      <w:pPr>
        <w:spacing w:before="100" w:after="100" w:line="240" w:lineRule="exact"/>
        <w:rPr>
          <w:rFonts w:ascii="宋体" w:hAnsi="宋体" w:eastAsia="宋体" w:cs="宋体"/>
          <w:sz w:val="18"/>
          <w:szCs w:val="18"/>
        </w:rPr>
      </w:pPr>
      <w:r>
        <w:rPr>
          <w:rFonts w:ascii="宋体" w:hAnsi="宋体" w:eastAsia="宋体" w:cs="宋体"/>
          <w:sz w:val="18"/>
          <w:szCs w:val="18"/>
        </w:rPr>
        <w:t>公司以前年度减值测试采用信息与当年实际情况明显不一致的差异原因</w:t>
      </w:r>
    </w:p>
    <w:p w14:paraId="3CCA2DB0">
      <w:pPr>
        <w:pStyle w:val="9"/>
        <w:rPr>
          <w:sz w:val="18"/>
          <w:szCs w:val="18"/>
        </w:rPr>
      </w:pPr>
      <w:r>
        <w:rPr>
          <w:rFonts w:hint="eastAsia"/>
          <w:sz w:val="18"/>
          <w:szCs w:val="18"/>
        </w:rPr>
        <w:t>无</w:t>
      </w:r>
    </w:p>
    <w:p w14:paraId="2800C2D9">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69143B4F">
      <w:pPr>
        <w:keepNext/>
        <w:keepLines/>
        <w:spacing w:before="300" w:after="300" w:line="280" w:lineRule="exact"/>
        <w:outlineLvl w:val="3"/>
        <w:rPr>
          <w:rFonts w:ascii="宋体" w:hAnsi="宋体" w:eastAsia="宋体" w:cs="宋体"/>
          <w:b/>
          <w:bCs/>
          <w:sz w:val="18"/>
          <w:szCs w:val="18"/>
        </w:rPr>
      </w:pPr>
      <w:bookmarkStart w:id="355" w:name="_Toc989208"/>
      <w:r>
        <w:rPr>
          <w:rFonts w:ascii="宋体" w:hAnsi="宋体" w:eastAsia="宋体" w:cs="宋体"/>
          <w:b/>
          <w:bCs/>
          <w:sz w:val="18"/>
          <w:szCs w:val="18"/>
        </w:rPr>
        <w:t>（2） 采用公允价值计量模式的投资性房地产</w:t>
      </w:r>
      <w:bookmarkEnd w:id="355"/>
    </w:p>
    <w:p w14:paraId="2D88A4A4">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26F317E">
      <w:pPr>
        <w:keepNext/>
        <w:keepLines/>
        <w:spacing w:before="300" w:after="300" w:line="280" w:lineRule="exact"/>
        <w:outlineLvl w:val="3"/>
        <w:rPr>
          <w:rFonts w:ascii="宋体" w:hAnsi="宋体" w:eastAsia="宋体" w:cs="宋体"/>
          <w:b/>
          <w:bCs/>
          <w:sz w:val="18"/>
          <w:szCs w:val="18"/>
        </w:rPr>
      </w:pPr>
      <w:bookmarkStart w:id="356" w:name="_Toc989209"/>
      <w:r>
        <w:rPr>
          <w:rFonts w:ascii="宋体" w:hAnsi="宋体" w:eastAsia="宋体" w:cs="宋体"/>
          <w:b/>
          <w:bCs/>
          <w:sz w:val="18"/>
          <w:szCs w:val="18"/>
        </w:rPr>
        <w:t>（3） 转换为投资性房地产并采用公允价值计量</w:t>
      </w:r>
      <w:bookmarkEnd w:id="356"/>
    </w:p>
    <w:p w14:paraId="528351A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6E883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FC93CF7">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DDEE3FB">
            <w:pPr>
              <w:spacing w:before="40" w:after="40" w:line="240" w:lineRule="exact"/>
              <w:jc w:val="center"/>
              <w:rPr>
                <w:rFonts w:ascii="宋体" w:hAnsi="宋体" w:eastAsia="宋体" w:cs="宋体"/>
                <w:sz w:val="18"/>
                <w:szCs w:val="18"/>
              </w:rPr>
            </w:pPr>
            <w:r>
              <w:rPr>
                <w:rFonts w:ascii="宋体" w:hAnsi="宋体" w:eastAsia="宋体" w:cs="宋体"/>
                <w:sz w:val="18"/>
                <w:szCs w:val="18"/>
              </w:rPr>
              <w:t>转换前核算科目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F119944">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A8F7E52">
            <w:pPr>
              <w:spacing w:before="40" w:after="40" w:line="240" w:lineRule="exact"/>
              <w:jc w:val="center"/>
              <w:rPr>
                <w:rFonts w:ascii="宋体" w:hAnsi="宋体" w:eastAsia="宋体" w:cs="宋体"/>
                <w:sz w:val="18"/>
                <w:szCs w:val="18"/>
              </w:rPr>
            </w:pPr>
            <w:r>
              <w:rPr>
                <w:rFonts w:ascii="宋体" w:hAnsi="宋体" w:eastAsia="宋体" w:cs="宋体"/>
                <w:sz w:val="18"/>
                <w:szCs w:val="18"/>
              </w:rPr>
              <w:t>转换理由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17F35B4">
            <w:pPr>
              <w:spacing w:before="40" w:after="40" w:line="240" w:lineRule="exact"/>
              <w:jc w:val="center"/>
              <w:rPr>
                <w:rFonts w:ascii="宋体" w:hAnsi="宋体" w:eastAsia="宋体" w:cs="宋体"/>
                <w:sz w:val="18"/>
                <w:szCs w:val="18"/>
              </w:rPr>
            </w:pPr>
            <w:r>
              <w:rPr>
                <w:rFonts w:ascii="宋体" w:hAnsi="宋体" w:eastAsia="宋体" w:cs="宋体"/>
                <w:sz w:val="18"/>
                <w:szCs w:val="18"/>
              </w:rPr>
              <w:t>审批程序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1D8B5B4">
            <w:pPr>
              <w:spacing w:before="40" w:after="40" w:line="240" w:lineRule="exact"/>
              <w:jc w:val="center"/>
              <w:rPr>
                <w:rFonts w:ascii="宋体" w:hAnsi="宋体" w:eastAsia="宋体" w:cs="宋体"/>
                <w:sz w:val="18"/>
                <w:szCs w:val="18"/>
              </w:rPr>
            </w:pPr>
            <w:r>
              <w:rPr>
                <w:rFonts w:ascii="宋体" w:hAnsi="宋体" w:eastAsia="宋体" w:cs="宋体"/>
                <w:sz w:val="18"/>
                <w:szCs w:val="18"/>
              </w:rPr>
              <w:t>对损益的影响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58C63AA">
            <w:pPr>
              <w:spacing w:before="40" w:after="40" w:line="240" w:lineRule="exact"/>
              <w:jc w:val="center"/>
              <w:rPr>
                <w:rFonts w:ascii="宋体" w:hAnsi="宋体" w:eastAsia="宋体" w:cs="宋体"/>
                <w:sz w:val="18"/>
                <w:szCs w:val="18"/>
              </w:rPr>
            </w:pPr>
            <w:r>
              <w:rPr>
                <w:rFonts w:ascii="宋体" w:hAnsi="宋体" w:eastAsia="宋体" w:cs="宋体"/>
                <w:sz w:val="18"/>
                <w:szCs w:val="18"/>
              </w:rPr>
              <w:t>对其他综合收益的影响</w:t>
            </w:r>
          </w:p>
        </w:tc>
      </w:tr>
    </w:tbl>
    <w:p w14:paraId="3B06F392">
      <w:pPr>
        <w:keepNext/>
        <w:keepLines/>
        <w:spacing w:before="300" w:after="300" w:line="280" w:lineRule="exact"/>
        <w:outlineLvl w:val="3"/>
        <w:rPr>
          <w:rFonts w:ascii="宋体" w:hAnsi="宋体" w:eastAsia="宋体" w:cs="宋体"/>
          <w:b/>
          <w:bCs/>
          <w:sz w:val="18"/>
          <w:szCs w:val="18"/>
        </w:rPr>
      </w:pPr>
      <w:bookmarkStart w:id="357" w:name="_Toc989210"/>
      <w:r>
        <w:rPr>
          <w:rFonts w:ascii="宋体" w:hAnsi="宋体" w:eastAsia="宋体" w:cs="宋体"/>
          <w:b/>
          <w:bCs/>
          <w:sz w:val="18"/>
          <w:szCs w:val="18"/>
        </w:rPr>
        <w:t>（4） 未办妥产权证书的投资性房地产情况</w:t>
      </w:r>
      <w:bookmarkEnd w:id="357"/>
    </w:p>
    <w:p w14:paraId="0E3D77B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96B6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CB5DE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627C19">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27813A">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未办妥产权证书原因</w:t>
            </w:r>
          </w:p>
        </w:tc>
      </w:tr>
    </w:tbl>
    <w:p w14:paraId="6D38F184">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5F897F03">
      <w:pPr>
        <w:pStyle w:val="3"/>
        <w:spacing w:line="280" w:lineRule="exact"/>
        <w:jc w:val="left"/>
        <w:rPr>
          <w:rFonts w:ascii="宋体" w:hAnsi="宋体" w:cs="宋体"/>
          <w:b/>
          <w:bCs/>
        </w:rPr>
      </w:pPr>
      <w:bookmarkStart w:id="358" w:name="_Toc989211"/>
      <w:r>
        <w:rPr>
          <w:rFonts w:ascii="宋体" w:hAnsi="宋体" w:cs="宋体"/>
          <w:b/>
          <w:bCs/>
        </w:rPr>
        <w:t>21、固定资产</w:t>
      </w:r>
      <w:bookmarkEnd w:id="358"/>
    </w:p>
    <w:p w14:paraId="005E161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850F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61DF6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CE576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1CCC7B0">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16310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609A52">
            <w:pPr>
              <w:spacing w:before="40" w:after="40" w:line="240" w:lineRule="exac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2AB4EB7B">
            <w:pPr>
              <w:spacing w:line="240" w:lineRule="exact"/>
              <w:jc w:val="right"/>
              <w:rPr>
                <w:rFonts w:ascii="宋体" w:hAnsi="宋体" w:eastAsia="宋体" w:cs="宋体"/>
                <w:sz w:val="18"/>
                <w:szCs w:val="18"/>
              </w:rPr>
            </w:pPr>
            <w:r>
              <w:rPr>
                <w:rFonts w:ascii="宋体" w:hAnsi="宋体" w:eastAsia="宋体" w:cs="宋体"/>
                <w:sz w:val="18"/>
                <w:szCs w:val="18"/>
              </w:rPr>
              <w:t>4,572,717,111.74</w:t>
            </w:r>
          </w:p>
        </w:tc>
        <w:tc>
          <w:tcPr>
            <w:tcW w:w="3213" w:type="dxa"/>
            <w:tcBorders>
              <w:top w:val="single" w:color="auto" w:sz="2" w:space="0"/>
              <w:left w:val="single" w:color="auto" w:sz="2" w:space="0"/>
              <w:bottom w:val="single" w:color="auto" w:sz="2" w:space="0"/>
              <w:right w:val="single" w:color="auto" w:sz="2" w:space="0"/>
            </w:tcBorders>
            <w:vAlign w:val="center"/>
          </w:tcPr>
          <w:p w14:paraId="05C21069">
            <w:pPr>
              <w:spacing w:line="240" w:lineRule="exact"/>
              <w:jc w:val="right"/>
              <w:rPr>
                <w:rFonts w:ascii="宋体" w:hAnsi="宋体" w:eastAsia="宋体" w:cs="宋体"/>
                <w:sz w:val="18"/>
                <w:szCs w:val="18"/>
              </w:rPr>
            </w:pPr>
            <w:r>
              <w:rPr>
                <w:rFonts w:ascii="宋体" w:hAnsi="宋体" w:eastAsia="宋体" w:cs="宋体"/>
                <w:sz w:val="18"/>
                <w:szCs w:val="18"/>
              </w:rPr>
              <w:t>4,700,798,389.13</w:t>
            </w:r>
          </w:p>
        </w:tc>
      </w:tr>
      <w:tr w14:paraId="76A43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EB8600">
            <w:pPr>
              <w:spacing w:before="40" w:after="40" w:line="240" w:lineRule="exact"/>
              <w:rPr>
                <w:rFonts w:ascii="宋体" w:hAnsi="宋体" w:eastAsia="宋体" w:cs="宋体"/>
                <w:sz w:val="18"/>
                <w:szCs w:val="18"/>
              </w:rPr>
            </w:pPr>
            <w:r>
              <w:rPr>
                <w:rFonts w:ascii="宋体" w:hAnsi="宋体" w:eastAsia="宋体" w:cs="宋体"/>
                <w:sz w:val="18"/>
                <w:szCs w:val="18"/>
              </w:rPr>
              <w:t>固定资产清理</w:t>
            </w:r>
          </w:p>
        </w:tc>
        <w:tc>
          <w:tcPr>
            <w:tcW w:w="3213" w:type="dxa"/>
            <w:tcBorders>
              <w:top w:val="single" w:color="auto" w:sz="2" w:space="0"/>
              <w:left w:val="single" w:color="auto" w:sz="2" w:space="0"/>
              <w:bottom w:val="single" w:color="auto" w:sz="2" w:space="0"/>
              <w:right w:val="single" w:color="auto" w:sz="2" w:space="0"/>
            </w:tcBorders>
            <w:vAlign w:val="center"/>
          </w:tcPr>
          <w:p w14:paraId="65B394F3">
            <w:pPr>
              <w:spacing w:line="240" w:lineRule="exact"/>
              <w:jc w:val="right"/>
              <w:rPr>
                <w:rFonts w:ascii="宋体" w:hAnsi="宋体" w:eastAsia="宋体" w:cs="宋体"/>
                <w:sz w:val="18"/>
                <w:szCs w:val="18"/>
              </w:rPr>
            </w:pPr>
            <w:r>
              <w:rPr>
                <w:rFonts w:ascii="宋体" w:hAnsi="宋体" w:eastAsia="宋体" w:cs="宋体"/>
                <w:sz w:val="18"/>
                <w:szCs w:val="18"/>
              </w:rPr>
              <w:t>1,513,688.61</w:t>
            </w:r>
          </w:p>
        </w:tc>
        <w:tc>
          <w:tcPr>
            <w:tcW w:w="3213" w:type="dxa"/>
            <w:tcBorders>
              <w:top w:val="single" w:color="auto" w:sz="2" w:space="0"/>
              <w:left w:val="single" w:color="auto" w:sz="2" w:space="0"/>
              <w:bottom w:val="single" w:color="auto" w:sz="2" w:space="0"/>
              <w:right w:val="single" w:color="auto" w:sz="2" w:space="0"/>
            </w:tcBorders>
            <w:vAlign w:val="center"/>
          </w:tcPr>
          <w:p w14:paraId="69645EA7">
            <w:pPr>
              <w:spacing w:line="240" w:lineRule="exact"/>
              <w:jc w:val="right"/>
              <w:rPr>
                <w:rFonts w:ascii="宋体" w:hAnsi="宋体" w:eastAsia="宋体" w:cs="宋体"/>
                <w:sz w:val="18"/>
                <w:szCs w:val="18"/>
              </w:rPr>
            </w:pPr>
          </w:p>
        </w:tc>
      </w:tr>
      <w:tr w14:paraId="1F520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21AF91">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0F9A927A">
            <w:pPr>
              <w:spacing w:line="240" w:lineRule="exact"/>
              <w:jc w:val="right"/>
              <w:rPr>
                <w:rFonts w:ascii="宋体" w:hAnsi="宋体" w:eastAsia="宋体" w:cs="宋体"/>
                <w:sz w:val="18"/>
                <w:szCs w:val="18"/>
              </w:rPr>
            </w:pPr>
            <w:r>
              <w:rPr>
                <w:rFonts w:ascii="宋体" w:hAnsi="宋体" w:eastAsia="宋体" w:cs="宋体"/>
                <w:sz w:val="18"/>
                <w:szCs w:val="18"/>
              </w:rPr>
              <w:t>4,574,230,800.35</w:t>
            </w:r>
          </w:p>
        </w:tc>
        <w:tc>
          <w:tcPr>
            <w:tcW w:w="3213" w:type="dxa"/>
            <w:tcBorders>
              <w:top w:val="single" w:color="auto" w:sz="2" w:space="0"/>
              <w:left w:val="single" w:color="auto" w:sz="2" w:space="0"/>
              <w:bottom w:val="single" w:color="auto" w:sz="2" w:space="0"/>
              <w:right w:val="single" w:color="auto" w:sz="2" w:space="0"/>
            </w:tcBorders>
            <w:vAlign w:val="center"/>
          </w:tcPr>
          <w:p w14:paraId="4F0B6CC4">
            <w:pPr>
              <w:spacing w:line="240" w:lineRule="exact"/>
              <w:jc w:val="right"/>
              <w:rPr>
                <w:rFonts w:ascii="宋体" w:hAnsi="宋体" w:eastAsia="宋体" w:cs="宋体"/>
                <w:sz w:val="18"/>
                <w:szCs w:val="18"/>
              </w:rPr>
            </w:pPr>
            <w:r>
              <w:rPr>
                <w:rFonts w:ascii="宋体" w:hAnsi="宋体" w:eastAsia="宋体" w:cs="宋体"/>
                <w:sz w:val="18"/>
                <w:szCs w:val="18"/>
              </w:rPr>
              <w:t>4,700,798,389.13</w:t>
            </w:r>
          </w:p>
        </w:tc>
      </w:tr>
    </w:tbl>
    <w:p w14:paraId="06F1F726">
      <w:pPr>
        <w:keepNext/>
        <w:keepLines/>
        <w:spacing w:before="300" w:after="300" w:line="280" w:lineRule="exact"/>
        <w:outlineLvl w:val="3"/>
        <w:rPr>
          <w:rFonts w:ascii="宋体" w:hAnsi="宋体" w:eastAsia="宋体" w:cs="宋体"/>
          <w:b/>
          <w:bCs/>
          <w:szCs w:val="21"/>
        </w:rPr>
      </w:pPr>
      <w:bookmarkStart w:id="359" w:name="_Toc989212"/>
      <w:r>
        <w:rPr>
          <w:rFonts w:ascii="宋体" w:hAnsi="宋体" w:eastAsia="宋体" w:cs="宋体"/>
          <w:b/>
          <w:bCs/>
          <w:szCs w:val="21"/>
        </w:rPr>
        <w:t>（1） 固定资产情况</w:t>
      </w:r>
      <w:bookmarkEnd w:id="359"/>
    </w:p>
    <w:p w14:paraId="3CC1221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14:paraId="330DF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B2FFC1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vAlign w:val="center"/>
          </w:tcPr>
          <w:p w14:paraId="53CD8442">
            <w:pPr>
              <w:spacing w:line="240" w:lineRule="exact"/>
              <w:jc w:val="center"/>
              <w:rPr>
                <w:rFonts w:ascii="宋体" w:hAnsi="宋体" w:eastAsia="宋体" w:cs="宋体"/>
                <w:sz w:val="18"/>
                <w:szCs w:val="18"/>
              </w:rPr>
            </w:pPr>
            <w:r>
              <w:rPr>
                <w:rFonts w:ascii="宋体" w:hAnsi="宋体" w:eastAsia="宋体" w:cs="宋体"/>
                <w:sz w:val="18"/>
                <w:szCs w:val="18"/>
              </w:rPr>
              <w:t>房屋及建筑物</w:t>
            </w:r>
          </w:p>
        </w:tc>
        <w:tc>
          <w:tcPr>
            <w:tcW w:w="1606" w:type="dxa"/>
            <w:tcBorders>
              <w:top w:val="single" w:color="auto" w:sz="2" w:space="0"/>
              <w:left w:val="single" w:color="auto" w:sz="2" w:space="0"/>
              <w:bottom w:val="single" w:color="auto" w:sz="2" w:space="0"/>
              <w:right w:val="single" w:color="auto" w:sz="2" w:space="0"/>
            </w:tcBorders>
            <w:vAlign w:val="center"/>
          </w:tcPr>
          <w:p w14:paraId="07DE79B3">
            <w:pPr>
              <w:spacing w:line="240" w:lineRule="exact"/>
              <w:jc w:val="center"/>
              <w:rPr>
                <w:rFonts w:ascii="宋体" w:hAnsi="宋体" w:eastAsia="宋体" w:cs="宋体"/>
                <w:sz w:val="18"/>
                <w:szCs w:val="18"/>
              </w:rPr>
            </w:pPr>
            <w:r>
              <w:rPr>
                <w:rFonts w:ascii="宋体" w:hAnsi="宋体" w:eastAsia="宋体" w:cs="宋体"/>
                <w:sz w:val="18"/>
                <w:szCs w:val="18"/>
              </w:rPr>
              <w:t>机器设备</w:t>
            </w:r>
          </w:p>
        </w:tc>
        <w:tc>
          <w:tcPr>
            <w:tcW w:w="1606" w:type="dxa"/>
            <w:tcBorders>
              <w:top w:val="single" w:color="auto" w:sz="2" w:space="0"/>
              <w:left w:val="single" w:color="auto" w:sz="2" w:space="0"/>
              <w:bottom w:val="single" w:color="auto" w:sz="2" w:space="0"/>
              <w:right w:val="single" w:color="auto" w:sz="2" w:space="0"/>
            </w:tcBorders>
            <w:vAlign w:val="center"/>
          </w:tcPr>
          <w:p w14:paraId="486CC7FA">
            <w:pPr>
              <w:spacing w:line="240" w:lineRule="exact"/>
              <w:jc w:val="center"/>
              <w:rPr>
                <w:rFonts w:ascii="宋体" w:hAnsi="宋体" w:eastAsia="宋体" w:cs="宋体"/>
                <w:sz w:val="18"/>
                <w:szCs w:val="18"/>
              </w:rPr>
            </w:pPr>
            <w:r>
              <w:rPr>
                <w:rFonts w:ascii="宋体" w:hAnsi="宋体" w:eastAsia="宋体" w:cs="宋体"/>
                <w:sz w:val="18"/>
                <w:szCs w:val="18"/>
              </w:rPr>
              <w:t>运输工具</w:t>
            </w:r>
          </w:p>
        </w:tc>
        <w:tc>
          <w:tcPr>
            <w:tcW w:w="1606" w:type="dxa"/>
            <w:tcBorders>
              <w:top w:val="single" w:color="auto" w:sz="2" w:space="0"/>
              <w:left w:val="single" w:color="auto" w:sz="2" w:space="0"/>
              <w:bottom w:val="single" w:color="auto" w:sz="2" w:space="0"/>
              <w:right w:val="single" w:color="auto" w:sz="2" w:space="0"/>
            </w:tcBorders>
            <w:vAlign w:val="center"/>
          </w:tcPr>
          <w:p w14:paraId="5191EFBB">
            <w:pPr>
              <w:spacing w:line="240" w:lineRule="exact"/>
              <w:jc w:val="center"/>
              <w:rPr>
                <w:rFonts w:ascii="宋体" w:hAnsi="宋体" w:eastAsia="宋体" w:cs="宋体"/>
                <w:sz w:val="18"/>
                <w:szCs w:val="18"/>
              </w:rPr>
            </w:pPr>
            <w:r>
              <w:rPr>
                <w:rFonts w:ascii="宋体" w:hAnsi="宋体" w:eastAsia="宋体" w:cs="宋体"/>
                <w:sz w:val="18"/>
                <w:szCs w:val="18"/>
              </w:rPr>
              <w:t>电子及其他设备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8463789">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7C287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6B5676A">
            <w:pPr>
              <w:spacing w:before="40" w:after="40" w:line="240" w:lineRule="exact"/>
              <w:rPr>
                <w:rFonts w:ascii="宋体" w:hAnsi="宋体" w:eastAsia="宋体" w:cs="宋体"/>
                <w:sz w:val="18"/>
                <w:szCs w:val="18"/>
              </w:rPr>
            </w:pPr>
            <w:r>
              <w:rPr>
                <w:rFonts w:ascii="宋体" w:hAnsi="宋体" w:eastAsia="宋体" w:cs="宋体"/>
                <w:sz w:val="18"/>
                <w:szCs w:val="18"/>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14:paraId="0078CBC6">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195D054">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22A3A1B">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D8C5E90">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351342C">
            <w:pPr>
              <w:spacing w:line="240" w:lineRule="exact"/>
              <w:jc w:val="right"/>
              <w:rPr>
                <w:rFonts w:ascii="宋体" w:hAnsi="宋体" w:eastAsia="宋体" w:cs="宋体"/>
                <w:sz w:val="18"/>
                <w:szCs w:val="18"/>
              </w:rPr>
            </w:pPr>
          </w:p>
        </w:tc>
      </w:tr>
      <w:tr w14:paraId="020AF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83997B7">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14:paraId="61C396C1">
            <w:pPr>
              <w:spacing w:line="240" w:lineRule="exact"/>
              <w:jc w:val="right"/>
              <w:rPr>
                <w:rFonts w:ascii="宋体" w:hAnsi="宋体" w:eastAsia="宋体" w:cs="宋体"/>
                <w:sz w:val="18"/>
                <w:szCs w:val="18"/>
              </w:rPr>
            </w:pPr>
            <w:r>
              <w:rPr>
                <w:rFonts w:ascii="宋体" w:hAnsi="宋体" w:eastAsia="宋体" w:cs="宋体"/>
                <w:sz w:val="18"/>
                <w:szCs w:val="18"/>
              </w:rPr>
              <w:t>3,697,409,214.62</w:t>
            </w:r>
          </w:p>
        </w:tc>
        <w:tc>
          <w:tcPr>
            <w:tcW w:w="1606" w:type="dxa"/>
            <w:tcBorders>
              <w:top w:val="single" w:color="auto" w:sz="2" w:space="0"/>
              <w:left w:val="single" w:color="auto" w:sz="2" w:space="0"/>
              <w:bottom w:val="single" w:color="auto" w:sz="2" w:space="0"/>
              <w:right w:val="single" w:color="auto" w:sz="2" w:space="0"/>
            </w:tcBorders>
            <w:vAlign w:val="center"/>
          </w:tcPr>
          <w:p w14:paraId="7D11ACFF">
            <w:pPr>
              <w:spacing w:line="240" w:lineRule="exact"/>
              <w:jc w:val="right"/>
              <w:rPr>
                <w:rFonts w:ascii="宋体" w:hAnsi="宋体" w:eastAsia="宋体" w:cs="宋体"/>
                <w:sz w:val="18"/>
                <w:szCs w:val="18"/>
              </w:rPr>
            </w:pPr>
            <w:r>
              <w:rPr>
                <w:rFonts w:ascii="宋体" w:hAnsi="宋体" w:eastAsia="宋体" w:cs="宋体"/>
                <w:sz w:val="18"/>
                <w:szCs w:val="18"/>
              </w:rPr>
              <w:t>5,151,246,616.82</w:t>
            </w:r>
          </w:p>
        </w:tc>
        <w:tc>
          <w:tcPr>
            <w:tcW w:w="1606" w:type="dxa"/>
            <w:tcBorders>
              <w:top w:val="single" w:color="auto" w:sz="2" w:space="0"/>
              <w:left w:val="single" w:color="auto" w:sz="2" w:space="0"/>
              <w:bottom w:val="single" w:color="auto" w:sz="2" w:space="0"/>
              <w:right w:val="single" w:color="auto" w:sz="2" w:space="0"/>
            </w:tcBorders>
            <w:vAlign w:val="center"/>
          </w:tcPr>
          <w:p w14:paraId="1B257240">
            <w:pPr>
              <w:spacing w:line="240" w:lineRule="exact"/>
              <w:jc w:val="right"/>
              <w:rPr>
                <w:rFonts w:ascii="宋体" w:hAnsi="宋体" w:eastAsia="宋体" w:cs="宋体"/>
                <w:sz w:val="18"/>
                <w:szCs w:val="18"/>
              </w:rPr>
            </w:pPr>
            <w:r>
              <w:rPr>
                <w:rFonts w:ascii="宋体" w:hAnsi="宋体" w:eastAsia="宋体" w:cs="宋体"/>
                <w:sz w:val="18"/>
                <w:szCs w:val="18"/>
              </w:rPr>
              <w:t>53,893,735.20</w:t>
            </w:r>
          </w:p>
        </w:tc>
        <w:tc>
          <w:tcPr>
            <w:tcW w:w="1606" w:type="dxa"/>
            <w:tcBorders>
              <w:top w:val="single" w:color="auto" w:sz="2" w:space="0"/>
              <w:left w:val="single" w:color="auto" w:sz="2" w:space="0"/>
              <w:bottom w:val="single" w:color="auto" w:sz="2" w:space="0"/>
              <w:right w:val="single" w:color="auto" w:sz="2" w:space="0"/>
            </w:tcBorders>
            <w:vAlign w:val="center"/>
          </w:tcPr>
          <w:p w14:paraId="66271BE8">
            <w:pPr>
              <w:spacing w:line="240" w:lineRule="exact"/>
              <w:jc w:val="right"/>
              <w:rPr>
                <w:rFonts w:ascii="宋体" w:hAnsi="宋体" w:eastAsia="宋体" w:cs="宋体"/>
                <w:sz w:val="18"/>
                <w:szCs w:val="18"/>
              </w:rPr>
            </w:pPr>
            <w:r>
              <w:rPr>
                <w:rFonts w:ascii="宋体" w:hAnsi="宋体" w:eastAsia="宋体" w:cs="宋体"/>
                <w:sz w:val="18"/>
                <w:szCs w:val="18"/>
              </w:rPr>
              <w:t>221,367,947.69</w:t>
            </w:r>
          </w:p>
        </w:tc>
        <w:tc>
          <w:tcPr>
            <w:tcW w:w="1606" w:type="dxa"/>
            <w:tcBorders>
              <w:top w:val="single" w:color="auto" w:sz="2" w:space="0"/>
              <w:left w:val="single" w:color="auto" w:sz="2" w:space="0"/>
              <w:bottom w:val="single" w:color="auto" w:sz="2" w:space="0"/>
              <w:right w:val="single" w:color="auto" w:sz="2" w:space="0"/>
            </w:tcBorders>
            <w:vAlign w:val="center"/>
          </w:tcPr>
          <w:p w14:paraId="38717D4B">
            <w:pPr>
              <w:spacing w:line="240" w:lineRule="exact"/>
              <w:jc w:val="right"/>
              <w:rPr>
                <w:rFonts w:ascii="宋体" w:hAnsi="宋体" w:eastAsia="宋体" w:cs="宋体"/>
                <w:sz w:val="18"/>
                <w:szCs w:val="18"/>
              </w:rPr>
            </w:pPr>
            <w:r>
              <w:rPr>
                <w:rFonts w:ascii="宋体" w:hAnsi="宋体" w:eastAsia="宋体" w:cs="宋体"/>
                <w:sz w:val="18"/>
                <w:szCs w:val="18"/>
              </w:rPr>
              <w:t>9,123,917,514.33</w:t>
            </w:r>
          </w:p>
        </w:tc>
      </w:tr>
      <w:tr w14:paraId="7428E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C0C9C69">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14:paraId="20D0473E">
            <w:pPr>
              <w:spacing w:line="240" w:lineRule="exact"/>
              <w:jc w:val="right"/>
              <w:rPr>
                <w:rFonts w:ascii="宋体" w:hAnsi="宋体" w:eastAsia="宋体" w:cs="宋体"/>
                <w:sz w:val="18"/>
                <w:szCs w:val="18"/>
              </w:rPr>
            </w:pPr>
            <w:r>
              <w:rPr>
                <w:rFonts w:ascii="宋体" w:hAnsi="宋体" w:eastAsia="宋体" w:cs="宋体"/>
                <w:sz w:val="18"/>
                <w:szCs w:val="18"/>
              </w:rPr>
              <w:t>249,287,039.70</w:t>
            </w:r>
          </w:p>
        </w:tc>
        <w:tc>
          <w:tcPr>
            <w:tcW w:w="1606" w:type="dxa"/>
            <w:tcBorders>
              <w:top w:val="single" w:color="auto" w:sz="2" w:space="0"/>
              <w:left w:val="single" w:color="auto" w:sz="2" w:space="0"/>
              <w:bottom w:val="single" w:color="auto" w:sz="2" w:space="0"/>
              <w:right w:val="single" w:color="auto" w:sz="2" w:space="0"/>
            </w:tcBorders>
            <w:vAlign w:val="center"/>
          </w:tcPr>
          <w:p w14:paraId="633B8752">
            <w:pPr>
              <w:spacing w:line="240" w:lineRule="exact"/>
              <w:jc w:val="right"/>
              <w:rPr>
                <w:rFonts w:ascii="宋体" w:hAnsi="宋体" w:eastAsia="宋体" w:cs="宋体"/>
                <w:sz w:val="18"/>
                <w:szCs w:val="18"/>
              </w:rPr>
            </w:pPr>
            <w:r>
              <w:rPr>
                <w:rFonts w:ascii="宋体" w:hAnsi="宋体" w:eastAsia="宋体" w:cs="宋体"/>
                <w:sz w:val="18"/>
                <w:szCs w:val="18"/>
              </w:rPr>
              <w:t>252,465,381.89</w:t>
            </w:r>
          </w:p>
        </w:tc>
        <w:tc>
          <w:tcPr>
            <w:tcW w:w="1606" w:type="dxa"/>
            <w:tcBorders>
              <w:top w:val="single" w:color="auto" w:sz="2" w:space="0"/>
              <w:left w:val="single" w:color="auto" w:sz="2" w:space="0"/>
              <w:bottom w:val="single" w:color="auto" w:sz="2" w:space="0"/>
              <w:right w:val="single" w:color="auto" w:sz="2" w:space="0"/>
            </w:tcBorders>
            <w:vAlign w:val="center"/>
          </w:tcPr>
          <w:p w14:paraId="41C2C4DC">
            <w:pPr>
              <w:spacing w:line="240" w:lineRule="exact"/>
              <w:jc w:val="right"/>
              <w:rPr>
                <w:rFonts w:ascii="宋体" w:hAnsi="宋体" w:eastAsia="宋体" w:cs="宋体"/>
                <w:sz w:val="18"/>
                <w:szCs w:val="18"/>
              </w:rPr>
            </w:pPr>
            <w:r>
              <w:rPr>
                <w:rFonts w:ascii="宋体" w:hAnsi="宋体" w:eastAsia="宋体" w:cs="宋体"/>
                <w:sz w:val="18"/>
                <w:szCs w:val="18"/>
              </w:rPr>
              <w:t>1,467,816.28</w:t>
            </w:r>
          </w:p>
        </w:tc>
        <w:tc>
          <w:tcPr>
            <w:tcW w:w="1606" w:type="dxa"/>
            <w:tcBorders>
              <w:top w:val="single" w:color="auto" w:sz="2" w:space="0"/>
              <w:left w:val="single" w:color="auto" w:sz="2" w:space="0"/>
              <w:bottom w:val="single" w:color="auto" w:sz="2" w:space="0"/>
              <w:right w:val="single" w:color="auto" w:sz="2" w:space="0"/>
            </w:tcBorders>
            <w:vAlign w:val="center"/>
          </w:tcPr>
          <w:p w14:paraId="1F555312">
            <w:pPr>
              <w:spacing w:line="240" w:lineRule="exact"/>
              <w:jc w:val="right"/>
              <w:rPr>
                <w:rFonts w:ascii="宋体" w:hAnsi="宋体" w:eastAsia="宋体" w:cs="宋体"/>
                <w:sz w:val="18"/>
                <w:szCs w:val="18"/>
              </w:rPr>
            </w:pPr>
            <w:r>
              <w:rPr>
                <w:rFonts w:ascii="宋体" w:hAnsi="宋体" w:eastAsia="宋体" w:cs="宋体"/>
                <w:sz w:val="18"/>
                <w:szCs w:val="18"/>
              </w:rPr>
              <w:t>3,668,140.53</w:t>
            </w:r>
          </w:p>
        </w:tc>
        <w:tc>
          <w:tcPr>
            <w:tcW w:w="1606" w:type="dxa"/>
            <w:tcBorders>
              <w:top w:val="single" w:color="auto" w:sz="2" w:space="0"/>
              <w:left w:val="single" w:color="auto" w:sz="2" w:space="0"/>
              <w:bottom w:val="single" w:color="auto" w:sz="2" w:space="0"/>
              <w:right w:val="single" w:color="auto" w:sz="2" w:space="0"/>
            </w:tcBorders>
            <w:vAlign w:val="center"/>
          </w:tcPr>
          <w:p w14:paraId="7B3AED5C">
            <w:pPr>
              <w:spacing w:line="240" w:lineRule="exact"/>
              <w:jc w:val="right"/>
              <w:rPr>
                <w:rFonts w:ascii="宋体" w:hAnsi="宋体" w:eastAsia="宋体" w:cs="宋体"/>
                <w:sz w:val="18"/>
                <w:szCs w:val="18"/>
              </w:rPr>
            </w:pPr>
            <w:r>
              <w:rPr>
                <w:rFonts w:ascii="宋体" w:hAnsi="宋体" w:eastAsia="宋体" w:cs="宋体"/>
                <w:sz w:val="18"/>
                <w:szCs w:val="18"/>
              </w:rPr>
              <w:t>506,888,378.40</w:t>
            </w:r>
          </w:p>
        </w:tc>
      </w:tr>
      <w:tr w14:paraId="0FBB8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54B4ECA">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（1）购置</w:t>
            </w:r>
          </w:p>
        </w:tc>
        <w:tc>
          <w:tcPr>
            <w:tcW w:w="1606" w:type="dxa"/>
            <w:tcBorders>
              <w:top w:val="single" w:color="auto" w:sz="2" w:space="0"/>
              <w:left w:val="single" w:color="auto" w:sz="2" w:space="0"/>
              <w:bottom w:val="single" w:color="auto" w:sz="2" w:space="0"/>
              <w:right w:val="single" w:color="auto" w:sz="2" w:space="0"/>
            </w:tcBorders>
            <w:vAlign w:val="center"/>
          </w:tcPr>
          <w:p w14:paraId="41762AE4">
            <w:pPr>
              <w:spacing w:line="240" w:lineRule="exact"/>
              <w:jc w:val="right"/>
              <w:rPr>
                <w:rFonts w:ascii="宋体" w:hAnsi="宋体" w:eastAsia="宋体" w:cs="宋体"/>
                <w:sz w:val="18"/>
                <w:szCs w:val="18"/>
              </w:rPr>
            </w:pPr>
            <w:r>
              <w:rPr>
                <w:rFonts w:ascii="宋体" w:hAnsi="宋体" w:eastAsia="宋体" w:cs="宋体"/>
                <w:sz w:val="18"/>
                <w:szCs w:val="18"/>
              </w:rPr>
              <w:t>7,480,491.18</w:t>
            </w:r>
          </w:p>
        </w:tc>
        <w:tc>
          <w:tcPr>
            <w:tcW w:w="1606" w:type="dxa"/>
            <w:tcBorders>
              <w:top w:val="single" w:color="auto" w:sz="2" w:space="0"/>
              <w:left w:val="single" w:color="auto" w:sz="2" w:space="0"/>
              <w:bottom w:val="single" w:color="auto" w:sz="2" w:space="0"/>
              <w:right w:val="single" w:color="auto" w:sz="2" w:space="0"/>
            </w:tcBorders>
            <w:vAlign w:val="center"/>
          </w:tcPr>
          <w:p w14:paraId="4012B200">
            <w:pPr>
              <w:spacing w:line="240" w:lineRule="exact"/>
              <w:jc w:val="right"/>
              <w:rPr>
                <w:rFonts w:ascii="宋体" w:hAnsi="宋体" w:eastAsia="宋体" w:cs="宋体"/>
                <w:sz w:val="18"/>
                <w:szCs w:val="18"/>
              </w:rPr>
            </w:pPr>
            <w:r>
              <w:rPr>
                <w:rFonts w:ascii="宋体" w:hAnsi="宋体" w:eastAsia="宋体" w:cs="宋体"/>
                <w:sz w:val="18"/>
                <w:szCs w:val="18"/>
              </w:rPr>
              <w:t>26,981,958.38</w:t>
            </w:r>
          </w:p>
        </w:tc>
        <w:tc>
          <w:tcPr>
            <w:tcW w:w="1606" w:type="dxa"/>
            <w:tcBorders>
              <w:top w:val="single" w:color="auto" w:sz="2" w:space="0"/>
              <w:left w:val="single" w:color="auto" w:sz="2" w:space="0"/>
              <w:bottom w:val="single" w:color="auto" w:sz="2" w:space="0"/>
              <w:right w:val="single" w:color="auto" w:sz="2" w:space="0"/>
            </w:tcBorders>
            <w:vAlign w:val="center"/>
          </w:tcPr>
          <w:p w14:paraId="6D083473">
            <w:pPr>
              <w:spacing w:line="240" w:lineRule="exact"/>
              <w:jc w:val="right"/>
              <w:rPr>
                <w:rFonts w:ascii="宋体" w:hAnsi="宋体" w:eastAsia="宋体" w:cs="宋体"/>
                <w:sz w:val="18"/>
                <w:szCs w:val="18"/>
              </w:rPr>
            </w:pPr>
            <w:r>
              <w:rPr>
                <w:rFonts w:ascii="宋体" w:hAnsi="宋体" w:eastAsia="宋体" w:cs="宋体"/>
                <w:sz w:val="18"/>
                <w:szCs w:val="18"/>
              </w:rPr>
              <w:t>1,899,924.97</w:t>
            </w:r>
          </w:p>
        </w:tc>
        <w:tc>
          <w:tcPr>
            <w:tcW w:w="1606" w:type="dxa"/>
            <w:tcBorders>
              <w:top w:val="single" w:color="auto" w:sz="2" w:space="0"/>
              <w:left w:val="single" w:color="auto" w:sz="2" w:space="0"/>
              <w:bottom w:val="single" w:color="auto" w:sz="2" w:space="0"/>
              <w:right w:val="single" w:color="auto" w:sz="2" w:space="0"/>
            </w:tcBorders>
            <w:vAlign w:val="center"/>
          </w:tcPr>
          <w:p w14:paraId="6EFE92EC">
            <w:pPr>
              <w:spacing w:line="240" w:lineRule="exact"/>
              <w:jc w:val="right"/>
              <w:rPr>
                <w:rFonts w:ascii="宋体" w:hAnsi="宋体" w:eastAsia="宋体" w:cs="宋体"/>
                <w:sz w:val="18"/>
                <w:szCs w:val="18"/>
              </w:rPr>
            </w:pPr>
            <w:r>
              <w:rPr>
                <w:rFonts w:ascii="宋体" w:hAnsi="宋体" w:eastAsia="宋体" w:cs="宋体"/>
                <w:sz w:val="18"/>
                <w:szCs w:val="18"/>
              </w:rPr>
              <w:t>3,408,502.35</w:t>
            </w:r>
          </w:p>
        </w:tc>
        <w:tc>
          <w:tcPr>
            <w:tcW w:w="1606" w:type="dxa"/>
            <w:tcBorders>
              <w:top w:val="single" w:color="auto" w:sz="2" w:space="0"/>
              <w:left w:val="single" w:color="auto" w:sz="2" w:space="0"/>
              <w:bottom w:val="single" w:color="auto" w:sz="2" w:space="0"/>
              <w:right w:val="single" w:color="auto" w:sz="2" w:space="0"/>
            </w:tcBorders>
            <w:vAlign w:val="center"/>
          </w:tcPr>
          <w:p w14:paraId="7E72B341">
            <w:pPr>
              <w:spacing w:line="240" w:lineRule="exact"/>
              <w:jc w:val="right"/>
              <w:rPr>
                <w:rFonts w:ascii="宋体" w:hAnsi="宋体" w:eastAsia="宋体" w:cs="宋体"/>
                <w:sz w:val="18"/>
                <w:szCs w:val="18"/>
              </w:rPr>
            </w:pPr>
            <w:r>
              <w:rPr>
                <w:rFonts w:ascii="宋体" w:hAnsi="宋体" w:eastAsia="宋体" w:cs="宋体"/>
                <w:sz w:val="18"/>
                <w:szCs w:val="18"/>
              </w:rPr>
              <w:t>39,770,876.88</w:t>
            </w:r>
          </w:p>
        </w:tc>
      </w:tr>
      <w:tr w14:paraId="157E8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4B0A0CB">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（2）在建工程转入</w:t>
            </w:r>
          </w:p>
        </w:tc>
        <w:tc>
          <w:tcPr>
            <w:tcW w:w="1606" w:type="dxa"/>
            <w:tcBorders>
              <w:top w:val="single" w:color="auto" w:sz="2" w:space="0"/>
              <w:left w:val="single" w:color="auto" w:sz="2" w:space="0"/>
              <w:bottom w:val="single" w:color="auto" w:sz="2" w:space="0"/>
              <w:right w:val="single" w:color="auto" w:sz="2" w:space="0"/>
            </w:tcBorders>
            <w:vAlign w:val="center"/>
          </w:tcPr>
          <w:p w14:paraId="08295830">
            <w:pPr>
              <w:spacing w:line="240" w:lineRule="exact"/>
              <w:jc w:val="right"/>
              <w:rPr>
                <w:rFonts w:ascii="宋体" w:hAnsi="宋体" w:eastAsia="宋体" w:cs="宋体"/>
                <w:sz w:val="18"/>
                <w:szCs w:val="18"/>
              </w:rPr>
            </w:pPr>
            <w:r>
              <w:rPr>
                <w:rFonts w:ascii="宋体" w:hAnsi="宋体" w:eastAsia="宋体" w:cs="宋体"/>
                <w:sz w:val="18"/>
                <w:szCs w:val="18"/>
              </w:rPr>
              <w:t>241,048,695.20</w:t>
            </w:r>
          </w:p>
        </w:tc>
        <w:tc>
          <w:tcPr>
            <w:tcW w:w="1606" w:type="dxa"/>
            <w:tcBorders>
              <w:top w:val="single" w:color="auto" w:sz="2" w:space="0"/>
              <w:left w:val="single" w:color="auto" w:sz="2" w:space="0"/>
              <w:bottom w:val="single" w:color="auto" w:sz="2" w:space="0"/>
              <w:right w:val="single" w:color="auto" w:sz="2" w:space="0"/>
            </w:tcBorders>
            <w:vAlign w:val="center"/>
          </w:tcPr>
          <w:p w14:paraId="50AEF9C2">
            <w:pPr>
              <w:spacing w:line="240" w:lineRule="exact"/>
              <w:jc w:val="right"/>
              <w:rPr>
                <w:rFonts w:ascii="宋体" w:hAnsi="宋体" w:eastAsia="宋体" w:cs="宋体"/>
                <w:sz w:val="18"/>
                <w:szCs w:val="18"/>
              </w:rPr>
            </w:pPr>
            <w:r>
              <w:rPr>
                <w:rFonts w:ascii="宋体" w:hAnsi="宋体" w:eastAsia="宋体" w:cs="宋体"/>
                <w:sz w:val="18"/>
                <w:szCs w:val="18"/>
              </w:rPr>
              <w:t>265,495,145.39</w:t>
            </w:r>
          </w:p>
        </w:tc>
        <w:tc>
          <w:tcPr>
            <w:tcW w:w="1606" w:type="dxa"/>
            <w:tcBorders>
              <w:top w:val="single" w:color="auto" w:sz="2" w:space="0"/>
              <w:left w:val="single" w:color="auto" w:sz="2" w:space="0"/>
              <w:bottom w:val="single" w:color="auto" w:sz="2" w:space="0"/>
              <w:right w:val="single" w:color="auto" w:sz="2" w:space="0"/>
            </w:tcBorders>
            <w:vAlign w:val="center"/>
          </w:tcPr>
          <w:p w14:paraId="39D4AA84">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14:paraId="0A46B399">
            <w:pPr>
              <w:spacing w:line="240" w:lineRule="exact"/>
              <w:jc w:val="right"/>
              <w:rPr>
                <w:rFonts w:ascii="宋体" w:hAnsi="宋体" w:eastAsia="宋体" w:cs="宋体"/>
                <w:sz w:val="18"/>
                <w:szCs w:val="18"/>
              </w:rPr>
            </w:pPr>
            <w:r>
              <w:rPr>
                <w:rFonts w:ascii="宋体" w:hAnsi="宋体" w:eastAsia="宋体" w:cs="宋体"/>
                <w:sz w:val="18"/>
                <w:szCs w:val="18"/>
              </w:rPr>
              <w:t>1,396,686.13</w:t>
            </w:r>
          </w:p>
        </w:tc>
        <w:tc>
          <w:tcPr>
            <w:tcW w:w="1606" w:type="dxa"/>
            <w:tcBorders>
              <w:top w:val="single" w:color="auto" w:sz="2" w:space="0"/>
              <w:left w:val="single" w:color="auto" w:sz="2" w:space="0"/>
              <w:bottom w:val="single" w:color="auto" w:sz="2" w:space="0"/>
              <w:right w:val="single" w:color="auto" w:sz="2" w:space="0"/>
            </w:tcBorders>
            <w:vAlign w:val="center"/>
          </w:tcPr>
          <w:p w14:paraId="01A2AAE1">
            <w:pPr>
              <w:spacing w:line="240" w:lineRule="exact"/>
              <w:jc w:val="right"/>
              <w:rPr>
                <w:rFonts w:ascii="宋体" w:hAnsi="宋体" w:eastAsia="宋体" w:cs="宋体"/>
                <w:sz w:val="18"/>
                <w:szCs w:val="18"/>
              </w:rPr>
            </w:pPr>
            <w:r>
              <w:rPr>
                <w:rFonts w:ascii="宋体" w:hAnsi="宋体" w:eastAsia="宋体" w:cs="宋体"/>
                <w:sz w:val="18"/>
                <w:szCs w:val="18"/>
              </w:rPr>
              <w:t>507,940,526.72</w:t>
            </w:r>
          </w:p>
        </w:tc>
      </w:tr>
      <w:tr w14:paraId="69933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D9CDF3E">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14:paraId="10904709">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CB0E4C9">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29EBAA8">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6449EF9">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DF975E9">
            <w:pPr>
              <w:spacing w:line="240" w:lineRule="exact"/>
              <w:jc w:val="right"/>
              <w:rPr>
                <w:rFonts w:ascii="宋体" w:hAnsi="宋体" w:eastAsia="宋体" w:cs="宋体"/>
                <w:sz w:val="18"/>
                <w:szCs w:val="18"/>
              </w:rPr>
            </w:pPr>
          </w:p>
        </w:tc>
      </w:tr>
      <w:tr w14:paraId="34669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9ED849F">
            <w:pPr>
              <w:spacing w:line="240" w:lineRule="exact"/>
              <w:rPr>
                <w:rFonts w:ascii="宋体" w:hAnsi="宋体" w:eastAsia="宋体" w:cs="宋体"/>
                <w:sz w:val="18"/>
                <w:szCs w:val="18"/>
              </w:rPr>
            </w:pPr>
            <w:r>
              <w:rPr>
                <w:rFonts w:ascii="宋体" w:hAnsi="宋体" w:eastAsia="宋体" w:cs="宋体"/>
                <w:sz w:val="18"/>
                <w:szCs w:val="18"/>
              </w:rPr>
              <w:t>投资性房地产转入</w:t>
            </w:r>
          </w:p>
        </w:tc>
        <w:tc>
          <w:tcPr>
            <w:tcW w:w="1606" w:type="dxa"/>
            <w:tcBorders>
              <w:top w:val="single" w:color="auto" w:sz="2" w:space="0"/>
              <w:left w:val="single" w:color="auto" w:sz="2" w:space="0"/>
              <w:bottom w:val="single" w:color="auto" w:sz="2" w:space="0"/>
              <w:right w:val="single" w:color="auto" w:sz="2" w:space="0"/>
            </w:tcBorders>
            <w:vAlign w:val="center"/>
          </w:tcPr>
          <w:p w14:paraId="04820A9F">
            <w:pPr>
              <w:spacing w:line="240" w:lineRule="exact"/>
              <w:jc w:val="right"/>
              <w:rPr>
                <w:rFonts w:ascii="宋体" w:hAnsi="宋体" w:eastAsia="宋体" w:cs="宋体"/>
                <w:sz w:val="18"/>
                <w:szCs w:val="18"/>
              </w:rPr>
            </w:pPr>
            <w:r>
              <w:rPr>
                <w:rFonts w:ascii="宋体" w:hAnsi="宋体" w:eastAsia="宋体" w:cs="宋体"/>
                <w:sz w:val="18"/>
                <w:szCs w:val="18"/>
              </w:rPr>
              <w:t>27,178,477.31</w:t>
            </w:r>
          </w:p>
        </w:tc>
        <w:tc>
          <w:tcPr>
            <w:tcW w:w="1606" w:type="dxa"/>
            <w:tcBorders>
              <w:top w:val="single" w:color="auto" w:sz="2" w:space="0"/>
              <w:left w:val="single" w:color="auto" w:sz="2" w:space="0"/>
              <w:bottom w:val="single" w:color="auto" w:sz="2" w:space="0"/>
              <w:right w:val="single" w:color="auto" w:sz="2" w:space="0"/>
            </w:tcBorders>
            <w:vAlign w:val="center"/>
          </w:tcPr>
          <w:p w14:paraId="4CA021FD">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2CCBBB4">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3C55548">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E0048C1">
            <w:pPr>
              <w:spacing w:line="240" w:lineRule="exact"/>
              <w:jc w:val="right"/>
              <w:rPr>
                <w:rFonts w:ascii="宋体" w:hAnsi="宋体" w:eastAsia="宋体" w:cs="宋体"/>
                <w:sz w:val="18"/>
                <w:szCs w:val="18"/>
              </w:rPr>
            </w:pPr>
            <w:r>
              <w:rPr>
                <w:rFonts w:ascii="宋体" w:hAnsi="宋体" w:eastAsia="宋体" w:cs="宋体"/>
                <w:sz w:val="18"/>
                <w:szCs w:val="18"/>
              </w:rPr>
              <w:t>27,178,477.31</w:t>
            </w:r>
          </w:p>
        </w:tc>
      </w:tr>
      <w:tr w14:paraId="74C83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C13BF4E">
            <w:pPr>
              <w:spacing w:line="240" w:lineRule="exact"/>
              <w:rPr>
                <w:rFonts w:ascii="宋体" w:hAnsi="宋体" w:eastAsia="宋体" w:cs="宋体"/>
                <w:sz w:val="18"/>
                <w:szCs w:val="18"/>
              </w:rPr>
            </w:pPr>
            <w:r>
              <w:rPr>
                <w:rFonts w:ascii="宋体" w:hAnsi="宋体" w:eastAsia="宋体" w:cs="宋体"/>
                <w:sz w:val="18"/>
                <w:szCs w:val="18"/>
              </w:rPr>
              <w:t>外币报表折算差额</w:t>
            </w:r>
          </w:p>
        </w:tc>
        <w:tc>
          <w:tcPr>
            <w:tcW w:w="1606" w:type="dxa"/>
            <w:tcBorders>
              <w:top w:val="single" w:color="auto" w:sz="2" w:space="0"/>
              <w:left w:val="single" w:color="auto" w:sz="2" w:space="0"/>
              <w:bottom w:val="single" w:color="auto" w:sz="2" w:space="0"/>
              <w:right w:val="single" w:color="auto" w:sz="2" w:space="0"/>
            </w:tcBorders>
            <w:vAlign w:val="center"/>
          </w:tcPr>
          <w:p w14:paraId="44D7926F">
            <w:pPr>
              <w:spacing w:line="240" w:lineRule="exact"/>
              <w:jc w:val="right"/>
              <w:rPr>
                <w:rFonts w:ascii="宋体" w:hAnsi="宋体" w:eastAsia="宋体" w:cs="宋体"/>
                <w:sz w:val="18"/>
                <w:szCs w:val="18"/>
              </w:rPr>
            </w:pPr>
            <w:r>
              <w:rPr>
                <w:rFonts w:ascii="宋体" w:hAnsi="宋体" w:eastAsia="宋体" w:cs="宋体"/>
                <w:sz w:val="18"/>
                <w:szCs w:val="18"/>
              </w:rPr>
              <w:t>-26,420,623.99</w:t>
            </w:r>
          </w:p>
        </w:tc>
        <w:tc>
          <w:tcPr>
            <w:tcW w:w="1606" w:type="dxa"/>
            <w:tcBorders>
              <w:top w:val="single" w:color="auto" w:sz="2" w:space="0"/>
              <w:left w:val="single" w:color="auto" w:sz="2" w:space="0"/>
              <w:bottom w:val="single" w:color="auto" w:sz="2" w:space="0"/>
              <w:right w:val="single" w:color="auto" w:sz="2" w:space="0"/>
            </w:tcBorders>
            <w:vAlign w:val="center"/>
          </w:tcPr>
          <w:p w14:paraId="7492D684">
            <w:pPr>
              <w:spacing w:line="240" w:lineRule="exact"/>
              <w:jc w:val="right"/>
              <w:rPr>
                <w:rFonts w:ascii="宋体" w:hAnsi="宋体" w:eastAsia="宋体" w:cs="宋体"/>
                <w:sz w:val="18"/>
                <w:szCs w:val="18"/>
              </w:rPr>
            </w:pPr>
            <w:r>
              <w:rPr>
                <w:rFonts w:ascii="宋体" w:hAnsi="宋体" w:eastAsia="宋体" w:cs="宋体"/>
                <w:sz w:val="18"/>
                <w:szCs w:val="18"/>
              </w:rPr>
              <w:t>-40,011,721.88</w:t>
            </w:r>
          </w:p>
        </w:tc>
        <w:tc>
          <w:tcPr>
            <w:tcW w:w="1606" w:type="dxa"/>
            <w:tcBorders>
              <w:top w:val="single" w:color="auto" w:sz="2" w:space="0"/>
              <w:left w:val="single" w:color="auto" w:sz="2" w:space="0"/>
              <w:bottom w:val="single" w:color="auto" w:sz="2" w:space="0"/>
              <w:right w:val="single" w:color="auto" w:sz="2" w:space="0"/>
            </w:tcBorders>
            <w:vAlign w:val="center"/>
          </w:tcPr>
          <w:p w14:paraId="6804871F">
            <w:pPr>
              <w:spacing w:line="240" w:lineRule="exact"/>
              <w:jc w:val="right"/>
              <w:rPr>
                <w:rFonts w:ascii="宋体" w:hAnsi="宋体" w:eastAsia="宋体" w:cs="宋体"/>
                <w:sz w:val="18"/>
                <w:szCs w:val="18"/>
              </w:rPr>
            </w:pPr>
            <w:r>
              <w:rPr>
                <w:rFonts w:ascii="宋体" w:hAnsi="宋体" w:eastAsia="宋体" w:cs="宋体"/>
                <w:sz w:val="18"/>
                <w:szCs w:val="18"/>
              </w:rPr>
              <w:t>-432,108.69</w:t>
            </w:r>
          </w:p>
        </w:tc>
        <w:tc>
          <w:tcPr>
            <w:tcW w:w="1606" w:type="dxa"/>
            <w:tcBorders>
              <w:top w:val="single" w:color="auto" w:sz="2" w:space="0"/>
              <w:left w:val="single" w:color="auto" w:sz="2" w:space="0"/>
              <w:bottom w:val="single" w:color="auto" w:sz="2" w:space="0"/>
              <w:right w:val="single" w:color="auto" w:sz="2" w:space="0"/>
            </w:tcBorders>
            <w:vAlign w:val="center"/>
          </w:tcPr>
          <w:p w14:paraId="0B27CD7C">
            <w:pPr>
              <w:spacing w:line="240" w:lineRule="exact"/>
              <w:jc w:val="right"/>
              <w:rPr>
                <w:rFonts w:ascii="宋体" w:hAnsi="宋体" w:eastAsia="宋体" w:cs="宋体"/>
                <w:sz w:val="18"/>
                <w:szCs w:val="18"/>
              </w:rPr>
            </w:pPr>
            <w:r>
              <w:rPr>
                <w:rFonts w:ascii="宋体" w:hAnsi="宋体" w:eastAsia="宋体" w:cs="宋体"/>
                <w:sz w:val="18"/>
                <w:szCs w:val="18"/>
              </w:rPr>
              <w:t>-1,137,047.95</w:t>
            </w:r>
          </w:p>
        </w:tc>
        <w:tc>
          <w:tcPr>
            <w:tcW w:w="1606" w:type="dxa"/>
            <w:tcBorders>
              <w:top w:val="single" w:color="auto" w:sz="2" w:space="0"/>
              <w:left w:val="single" w:color="auto" w:sz="2" w:space="0"/>
              <w:bottom w:val="single" w:color="auto" w:sz="2" w:space="0"/>
              <w:right w:val="single" w:color="auto" w:sz="2" w:space="0"/>
            </w:tcBorders>
            <w:vAlign w:val="center"/>
          </w:tcPr>
          <w:p w14:paraId="0F958A42">
            <w:pPr>
              <w:spacing w:line="240" w:lineRule="exact"/>
              <w:jc w:val="right"/>
              <w:rPr>
                <w:rFonts w:ascii="宋体" w:hAnsi="宋体" w:eastAsia="宋体" w:cs="宋体"/>
                <w:sz w:val="18"/>
                <w:szCs w:val="18"/>
              </w:rPr>
            </w:pPr>
            <w:r>
              <w:rPr>
                <w:rFonts w:ascii="宋体" w:hAnsi="宋体" w:eastAsia="宋体" w:cs="宋体"/>
                <w:sz w:val="18"/>
                <w:szCs w:val="18"/>
              </w:rPr>
              <w:t>-68,001,502.51</w:t>
            </w:r>
          </w:p>
        </w:tc>
      </w:tr>
      <w:tr w14:paraId="5C1B1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07A82FE">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14:paraId="7C783B84">
            <w:pPr>
              <w:spacing w:line="240" w:lineRule="exact"/>
              <w:jc w:val="right"/>
              <w:rPr>
                <w:rFonts w:ascii="宋体" w:hAnsi="宋体" w:eastAsia="宋体" w:cs="宋体"/>
                <w:sz w:val="18"/>
                <w:szCs w:val="18"/>
              </w:rPr>
            </w:pPr>
            <w:r>
              <w:rPr>
                <w:rFonts w:ascii="宋体" w:hAnsi="宋体" w:eastAsia="宋体" w:cs="宋体"/>
                <w:sz w:val="18"/>
                <w:szCs w:val="18"/>
              </w:rPr>
              <w:t>127,800,582.24</w:t>
            </w:r>
          </w:p>
        </w:tc>
        <w:tc>
          <w:tcPr>
            <w:tcW w:w="1606" w:type="dxa"/>
            <w:tcBorders>
              <w:top w:val="single" w:color="auto" w:sz="2" w:space="0"/>
              <w:left w:val="single" w:color="auto" w:sz="2" w:space="0"/>
              <w:bottom w:val="single" w:color="auto" w:sz="2" w:space="0"/>
              <w:right w:val="single" w:color="auto" w:sz="2" w:space="0"/>
            </w:tcBorders>
            <w:vAlign w:val="center"/>
          </w:tcPr>
          <w:p w14:paraId="7E1B5700">
            <w:pPr>
              <w:spacing w:line="240" w:lineRule="exact"/>
              <w:jc w:val="right"/>
              <w:rPr>
                <w:rFonts w:ascii="宋体" w:hAnsi="宋体" w:eastAsia="宋体" w:cs="宋体"/>
                <w:sz w:val="18"/>
                <w:szCs w:val="18"/>
              </w:rPr>
            </w:pPr>
            <w:r>
              <w:rPr>
                <w:rFonts w:ascii="宋体" w:hAnsi="宋体" w:eastAsia="宋体" w:cs="宋体"/>
                <w:sz w:val="18"/>
                <w:szCs w:val="18"/>
              </w:rPr>
              <w:t>223,071,560.82</w:t>
            </w:r>
          </w:p>
        </w:tc>
        <w:tc>
          <w:tcPr>
            <w:tcW w:w="1606" w:type="dxa"/>
            <w:tcBorders>
              <w:top w:val="single" w:color="auto" w:sz="2" w:space="0"/>
              <w:left w:val="single" w:color="auto" w:sz="2" w:space="0"/>
              <w:bottom w:val="single" w:color="auto" w:sz="2" w:space="0"/>
              <w:right w:val="single" w:color="auto" w:sz="2" w:space="0"/>
            </w:tcBorders>
            <w:vAlign w:val="center"/>
          </w:tcPr>
          <w:p w14:paraId="69D84D90">
            <w:pPr>
              <w:spacing w:line="240" w:lineRule="exact"/>
              <w:jc w:val="right"/>
              <w:rPr>
                <w:rFonts w:ascii="宋体" w:hAnsi="宋体" w:eastAsia="宋体" w:cs="宋体"/>
                <w:sz w:val="18"/>
                <w:szCs w:val="18"/>
              </w:rPr>
            </w:pPr>
            <w:r>
              <w:rPr>
                <w:rFonts w:ascii="宋体" w:hAnsi="宋体" w:eastAsia="宋体" w:cs="宋体"/>
                <w:sz w:val="18"/>
                <w:szCs w:val="18"/>
              </w:rPr>
              <w:t>9,201,493.36</w:t>
            </w:r>
          </w:p>
        </w:tc>
        <w:tc>
          <w:tcPr>
            <w:tcW w:w="1606" w:type="dxa"/>
            <w:tcBorders>
              <w:top w:val="single" w:color="auto" w:sz="2" w:space="0"/>
              <w:left w:val="single" w:color="auto" w:sz="2" w:space="0"/>
              <w:bottom w:val="single" w:color="auto" w:sz="2" w:space="0"/>
              <w:right w:val="single" w:color="auto" w:sz="2" w:space="0"/>
            </w:tcBorders>
            <w:vAlign w:val="center"/>
          </w:tcPr>
          <w:p w14:paraId="0A218D31">
            <w:pPr>
              <w:spacing w:line="240" w:lineRule="exact"/>
              <w:jc w:val="right"/>
              <w:rPr>
                <w:rFonts w:ascii="宋体" w:hAnsi="宋体" w:eastAsia="宋体" w:cs="宋体"/>
                <w:sz w:val="18"/>
                <w:szCs w:val="18"/>
              </w:rPr>
            </w:pPr>
            <w:r>
              <w:rPr>
                <w:rFonts w:ascii="宋体" w:hAnsi="宋体" w:eastAsia="宋体" w:cs="宋体"/>
                <w:sz w:val="18"/>
                <w:szCs w:val="18"/>
              </w:rPr>
              <w:t>21,489,216.02</w:t>
            </w:r>
          </w:p>
        </w:tc>
        <w:tc>
          <w:tcPr>
            <w:tcW w:w="1606" w:type="dxa"/>
            <w:tcBorders>
              <w:top w:val="single" w:color="auto" w:sz="2" w:space="0"/>
              <w:left w:val="single" w:color="auto" w:sz="2" w:space="0"/>
              <w:bottom w:val="single" w:color="auto" w:sz="2" w:space="0"/>
              <w:right w:val="single" w:color="auto" w:sz="2" w:space="0"/>
            </w:tcBorders>
            <w:vAlign w:val="center"/>
          </w:tcPr>
          <w:p w14:paraId="00F2D0A9">
            <w:pPr>
              <w:spacing w:line="240" w:lineRule="exact"/>
              <w:jc w:val="right"/>
              <w:rPr>
                <w:rFonts w:ascii="宋体" w:hAnsi="宋体" w:eastAsia="宋体" w:cs="宋体"/>
                <w:sz w:val="18"/>
                <w:szCs w:val="18"/>
              </w:rPr>
            </w:pPr>
            <w:r>
              <w:rPr>
                <w:rFonts w:ascii="宋体" w:hAnsi="宋体" w:eastAsia="宋体" w:cs="宋体"/>
                <w:sz w:val="18"/>
                <w:szCs w:val="18"/>
              </w:rPr>
              <w:t>381,562,852.44</w:t>
            </w:r>
          </w:p>
        </w:tc>
      </w:tr>
      <w:tr w14:paraId="56110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7ED90DB">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14:paraId="5A8200A4">
            <w:pPr>
              <w:spacing w:line="240" w:lineRule="exact"/>
              <w:jc w:val="right"/>
              <w:rPr>
                <w:rFonts w:ascii="宋体" w:hAnsi="宋体" w:eastAsia="宋体" w:cs="宋体"/>
                <w:sz w:val="18"/>
                <w:szCs w:val="18"/>
              </w:rPr>
            </w:pPr>
            <w:r>
              <w:rPr>
                <w:rFonts w:ascii="宋体" w:hAnsi="宋体" w:eastAsia="宋体" w:cs="宋体"/>
                <w:sz w:val="18"/>
                <w:szCs w:val="18"/>
              </w:rPr>
              <w:t>124,226,613.30</w:t>
            </w:r>
          </w:p>
        </w:tc>
        <w:tc>
          <w:tcPr>
            <w:tcW w:w="1606" w:type="dxa"/>
            <w:tcBorders>
              <w:top w:val="single" w:color="auto" w:sz="2" w:space="0"/>
              <w:left w:val="single" w:color="auto" w:sz="2" w:space="0"/>
              <w:bottom w:val="single" w:color="auto" w:sz="2" w:space="0"/>
              <w:right w:val="single" w:color="auto" w:sz="2" w:space="0"/>
            </w:tcBorders>
            <w:vAlign w:val="center"/>
          </w:tcPr>
          <w:p w14:paraId="11CAEB77">
            <w:pPr>
              <w:spacing w:line="240" w:lineRule="exact"/>
              <w:jc w:val="right"/>
              <w:rPr>
                <w:rFonts w:ascii="宋体" w:hAnsi="宋体" w:eastAsia="宋体" w:cs="宋体"/>
                <w:sz w:val="18"/>
                <w:szCs w:val="18"/>
              </w:rPr>
            </w:pPr>
            <w:r>
              <w:rPr>
                <w:rFonts w:ascii="宋体" w:hAnsi="宋体" w:eastAsia="宋体" w:cs="宋体"/>
                <w:sz w:val="18"/>
                <w:szCs w:val="18"/>
              </w:rPr>
              <w:t>223,071,560.82</w:t>
            </w:r>
          </w:p>
        </w:tc>
        <w:tc>
          <w:tcPr>
            <w:tcW w:w="1606" w:type="dxa"/>
            <w:tcBorders>
              <w:top w:val="single" w:color="auto" w:sz="2" w:space="0"/>
              <w:left w:val="single" w:color="auto" w:sz="2" w:space="0"/>
              <w:bottom w:val="single" w:color="auto" w:sz="2" w:space="0"/>
              <w:right w:val="single" w:color="auto" w:sz="2" w:space="0"/>
            </w:tcBorders>
            <w:vAlign w:val="center"/>
          </w:tcPr>
          <w:p w14:paraId="29756178">
            <w:pPr>
              <w:spacing w:line="240" w:lineRule="exact"/>
              <w:jc w:val="right"/>
              <w:rPr>
                <w:rFonts w:ascii="宋体" w:hAnsi="宋体" w:eastAsia="宋体" w:cs="宋体"/>
                <w:sz w:val="18"/>
                <w:szCs w:val="18"/>
              </w:rPr>
            </w:pPr>
            <w:r>
              <w:rPr>
                <w:rFonts w:ascii="宋体" w:hAnsi="宋体" w:eastAsia="宋体" w:cs="宋体"/>
                <w:sz w:val="18"/>
                <w:szCs w:val="18"/>
              </w:rPr>
              <w:t>9,201,493.36</w:t>
            </w:r>
          </w:p>
        </w:tc>
        <w:tc>
          <w:tcPr>
            <w:tcW w:w="1606" w:type="dxa"/>
            <w:tcBorders>
              <w:top w:val="single" w:color="auto" w:sz="2" w:space="0"/>
              <w:left w:val="single" w:color="auto" w:sz="2" w:space="0"/>
              <w:bottom w:val="single" w:color="auto" w:sz="2" w:space="0"/>
              <w:right w:val="single" w:color="auto" w:sz="2" w:space="0"/>
            </w:tcBorders>
            <w:vAlign w:val="center"/>
          </w:tcPr>
          <w:p w14:paraId="7E664A44">
            <w:pPr>
              <w:spacing w:line="240" w:lineRule="exact"/>
              <w:jc w:val="right"/>
              <w:rPr>
                <w:rFonts w:ascii="宋体" w:hAnsi="宋体" w:eastAsia="宋体" w:cs="宋体"/>
                <w:sz w:val="18"/>
                <w:szCs w:val="18"/>
              </w:rPr>
            </w:pPr>
            <w:r>
              <w:rPr>
                <w:rFonts w:ascii="宋体" w:hAnsi="宋体" w:eastAsia="宋体" w:cs="宋体"/>
                <w:sz w:val="18"/>
                <w:szCs w:val="18"/>
              </w:rPr>
              <w:t>21,489,216.02</w:t>
            </w:r>
          </w:p>
        </w:tc>
        <w:tc>
          <w:tcPr>
            <w:tcW w:w="1606" w:type="dxa"/>
            <w:tcBorders>
              <w:top w:val="single" w:color="auto" w:sz="2" w:space="0"/>
              <w:left w:val="single" w:color="auto" w:sz="2" w:space="0"/>
              <w:bottom w:val="single" w:color="auto" w:sz="2" w:space="0"/>
              <w:right w:val="single" w:color="auto" w:sz="2" w:space="0"/>
            </w:tcBorders>
            <w:vAlign w:val="center"/>
          </w:tcPr>
          <w:p w14:paraId="319238CD">
            <w:pPr>
              <w:spacing w:line="240" w:lineRule="exact"/>
              <w:jc w:val="right"/>
              <w:rPr>
                <w:rFonts w:ascii="宋体" w:hAnsi="宋体" w:eastAsia="宋体" w:cs="宋体"/>
                <w:sz w:val="18"/>
                <w:szCs w:val="18"/>
              </w:rPr>
            </w:pPr>
            <w:r>
              <w:rPr>
                <w:rFonts w:ascii="宋体" w:hAnsi="宋体" w:eastAsia="宋体" w:cs="宋体"/>
                <w:sz w:val="18"/>
                <w:szCs w:val="18"/>
              </w:rPr>
              <w:t>377,988,883.50</w:t>
            </w:r>
          </w:p>
        </w:tc>
      </w:tr>
      <w:tr w14:paraId="535AC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88B8171">
            <w:pPr>
              <w:spacing w:line="240" w:lineRule="exact"/>
              <w:rPr>
                <w:rFonts w:ascii="宋体" w:hAnsi="宋体" w:eastAsia="宋体" w:cs="宋体"/>
                <w:sz w:val="18"/>
                <w:szCs w:val="18"/>
              </w:rPr>
            </w:pPr>
            <w:r>
              <w:rPr>
                <w:rFonts w:ascii="宋体" w:hAnsi="宋体" w:eastAsia="宋体" w:cs="宋体"/>
                <w:sz w:val="18"/>
                <w:szCs w:val="18"/>
              </w:rPr>
              <w:t>转入投资性房地产</w:t>
            </w:r>
          </w:p>
        </w:tc>
        <w:tc>
          <w:tcPr>
            <w:tcW w:w="1606" w:type="dxa"/>
            <w:tcBorders>
              <w:top w:val="single" w:color="auto" w:sz="2" w:space="0"/>
              <w:left w:val="single" w:color="auto" w:sz="2" w:space="0"/>
              <w:bottom w:val="single" w:color="auto" w:sz="2" w:space="0"/>
              <w:right w:val="single" w:color="auto" w:sz="2" w:space="0"/>
            </w:tcBorders>
            <w:vAlign w:val="center"/>
          </w:tcPr>
          <w:p w14:paraId="4EB5B431">
            <w:pPr>
              <w:spacing w:line="240" w:lineRule="exact"/>
              <w:jc w:val="right"/>
              <w:rPr>
                <w:rFonts w:ascii="宋体" w:hAnsi="宋体" w:eastAsia="宋体" w:cs="宋体"/>
                <w:sz w:val="18"/>
                <w:szCs w:val="18"/>
              </w:rPr>
            </w:pPr>
            <w:r>
              <w:rPr>
                <w:rFonts w:ascii="宋体" w:hAnsi="宋体" w:eastAsia="宋体" w:cs="宋体"/>
                <w:sz w:val="18"/>
                <w:szCs w:val="18"/>
              </w:rPr>
              <w:t>3,573,968.94</w:t>
            </w:r>
          </w:p>
        </w:tc>
        <w:tc>
          <w:tcPr>
            <w:tcW w:w="1606" w:type="dxa"/>
            <w:tcBorders>
              <w:top w:val="single" w:color="auto" w:sz="2" w:space="0"/>
              <w:left w:val="single" w:color="auto" w:sz="2" w:space="0"/>
              <w:bottom w:val="single" w:color="auto" w:sz="2" w:space="0"/>
              <w:right w:val="single" w:color="auto" w:sz="2" w:space="0"/>
            </w:tcBorders>
            <w:vAlign w:val="center"/>
          </w:tcPr>
          <w:p w14:paraId="28B022F9">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6EB8753">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14:paraId="2CAF0B25">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DEED29D">
            <w:pPr>
              <w:spacing w:line="240" w:lineRule="exact"/>
              <w:jc w:val="right"/>
              <w:rPr>
                <w:rFonts w:ascii="宋体" w:hAnsi="宋体" w:eastAsia="宋体" w:cs="宋体"/>
                <w:sz w:val="18"/>
                <w:szCs w:val="18"/>
              </w:rPr>
            </w:pPr>
            <w:r>
              <w:rPr>
                <w:rFonts w:ascii="宋体" w:hAnsi="宋体" w:eastAsia="宋体" w:cs="宋体"/>
                <w:sz w:val="18"/>
                <w:szCs w:val="18"/>
              </w:rPr>
              <w:t>3,573,968.94</w:t>
            </w:r>
          </w:p>
        </w:tc>
      </w:tr>
      <w:tr w14:paraId="56C5F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9DF9563">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14:paraId="079774BF">
            <w:pPr>
              <w:spacing w:line="240" w:lineRule="exact"/>
              <w:jc w:val="right"/>
              <w:rPr>
                <w:rFonts w:ascii="宋体" w:hAnsi="宋体" w:eastAsia="宋体" w:cs="宋体"/>
                <w:sz w:val="18"/>
                <w:szCs w:val="18"/>
              </w:rPr>
            </w:pPr>
            <w:r>
              <w:rPr>
                <w:rFonts w:ascii="宋体" w:hAnsi="宋体" w:eastAsia="宋体" w:cs="宋体"/>
                <w:sz w:val="18"/>
                <w:szCs w:val="18"/>
              </w:rPr>
              <w:t>3,818,895,672.08</w:t>
            </w:r>
          </w:p>
        </w:tc>
        <w:tc>
          <w:tcPr>
            <w:tcW w:w="1606" w:type="dxa"/>
            <w:tcBorders>
              <w:top w:val="single" w:color="auto" w:sz="2" w:space="0"/>
              <w:left w:val="single" w:color="auto" w:sz="2" w:space="0"/>
              <w:bottom w:val="single" w:color="auto" w:sz="2" w:space="0"/>
              <w:right w:val="single" w:color="auto" w:sz="2" w:space="0"/>
            </w:tcBorders>
            <w:vAlign w:val="center"/>
          </w:tcPr>
          <w:p w14:paraId="03229C78">
            <w:pPr>
              <w:spacing w:line="240" w:lineRule="exact"/>
              <w:jc w:val="right"/>
              <w:rPr>
                <w:rFonts w:ascii="宋体" w:hAnsi="宋体" w:eastAsia="宋体" w:cs="宋体"/>
                <w:sz w:val="18"/>
                <w:szCs w:val="18"/>
              </w:rPr>
            </w:pPr>
            <w:r>
              <w:rPr>
                <w:rFonts w:ascii="宋体" w:hAnsi="宋体" w:eastAsia="宋体" w:cs="宋体"/>
                <w:sz w:val="18"/>
                <w:szCs w:val="18"/>
              </w:rPr>
              <w:t>5,180,640,437.89</w:t>
            </w:r>
          </w:p>
        </w:tc>
        <w:tc>
          <w:tcPr>
            <w:tcW w:w="1606" w:type="dxa"/>
            <w:tcBorders>
              <w:top w:val="single" w:color="auto" w:sz="2" w:space="0"/>
              <w:left w:val="single" w:color="auto" w:sz="2" w:space="0"/>
              <w:bottom w:val="single" w:color="auto" w:sz="2" w:space="0"/>
              <w:right w:val="single" w:color="auto" w:sz="2" w:space="0"/>
            </w:tcBorders>
            <w:vAlign w:val="center"/>
          </w:tcPr>
          <w:p w14:paraId="62F00544">
            <w:pPr>
              <w:spacing w:line="240" w:lineRule="exact"/>
              <w:jc w:val="right"/>
              <w:rPr>
                <w:rFonts w:ascii="宋体" w:hAnsi="宋体" w:eastAsia="宋体" w:cs="宋体"/>
                <w:sz w:val="18"/>
                <w:szCs w:val="18"/>
              </w:rPr>
            </w:pPr>
            <w:r>
              <w:rPr>
                <w:rFonts w:ascii="宋体" w:hAnsi="宋体" w:eastAsia="宋体" w:cs="宋体"/>
                <w:sz w:val="18"/>
                <w:szCs w:val="18"/>
              </w:rPr>
              <w:t>46,160,058.12</w:t>
            </w:r>
          </w:p>
        </w:tc>
        <w:tc>
          <w:tcPr>
            <w:tcW w:w="1606" w:type="dxa"/>
            <w:tcBorders>
              <w:top w:val="single" w:color="auto" w:sz="2" w:space="0"/>
              <w:left w:val="single" w:color="auto" w:sz="2" w:space="0"/>
              <w:bottom w:val="single" w:color="auto" w:sz="2" w:space="0"/>
              <w:right w:val="single" w:color="auto" w:sz="2" w:space="0"/>
            </w:tcBorders>
            <w:vAlign w:val="center"/>
          </w:tcPr>
          <w:p w14:paraId="773A2A33">
            <w:pPr>
              <w:spacing w:line="240" w:lineRule="exact"/>
              <w:jc w:val="right"/>
              <w:rPr>
                <w:rFonts w:ascii="宋体" w:hAnsi="宋体" w:eastAsia="宋体" w:cs="宋体"/>
                <w:sz w:val="18"/>
                <w:szCs w:val="18"/>
              </w:rPr>
            </w:pPr>
            <w:r>
              <w:rPr>
                <w:rFonts w:ascii="宋体" w:hAnsi="宋体" w:eastAsia="宋体" w:cs="宋体"/>
                <w:sz w:val="18"/>
                <w:szCs w:val="18"/>
              </w:rPr>
              <w:t>203,546,872.20</w:t>
            </w:r>
          </w:p>
        </w:tc>
        <w:tc>
          <w:tcPr>
            <w:tcW w:w="1606" w:type="dxa"/>
            <w:tcBorders>
              <w:top w:val="single" w:color="auto" w:sz="2" w:space="0"/>
              <w:left w:val="single" w:color="auto" w:sz="2" w:space="0"/>
              <w:bottom w:val="single" w:color="auto" w:sz="2" w:space="0"/>
              <w:right w:val="single" w:color="auto" w:sz="2" w:space="0"/>
            </w:tcBorders>
            <w:vAlign w:val="center"/>
          </w:tcPr>
          <w:p w14:paraId="67F4F41C">
            <w:pPr>
              <w:spacing w:line="240" w:lineRule="exact"/>
              <w:jc w:val="right"/>
              <w:rPr>
                <w:rFonts w:ascii="宋体" w:hAnsi="宋体" w:eastAsia="宋体" w:cs="宋体"/>
                <w:sz w:val="18"/>
                <w:szCs w:val="18"/>
              </w:rPr>
            </w:pPr>
            <w:r>
              <w:rPr>
                <w:rFonts w:ascii="宋体" w:hAnsi="宋体" w:eastAsia="宋体" w:cs="宋体"/>
                <w:sz w:val="18"/>
                <w:szCs w:val="18"/>
              </w:rPr>
              <w:t>9,249,243,040.29</w:t>
            </w:r>
          </w:p>
        </w:tc>
      </w:tr>
      <w:tr w14:paraId="372A6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88ADA7B">
            <w:pPr>
              <w:spacing w:before="40" w:after="40" w:line="240" w:lineRule="exact"/>
              <w:rPr>
                <w:rFonts w:ascii="宋体" w:hAnsi="宋体" w:eastAsia="宋体" w:cs="宋体"/>
                <w:sz w:val="18"/>
                <w:szCs w:val="18"/>
              </w:rPr>
            </w:pPr>
            <w:r>
              <w:rPr>
                <w:rFonts w:ascii="宋体" w:hAnsi="宋体" w:eastAsia="宋体" w:cs="宋体"/>
                <w:sz w:val="18"/>
                <w:szCs w:val="18"/>
              </w:rPr>
              <w:t>二、累计折旧</w:t>
            </w:r>
          </w:p>
        </w:tc>
        <w:tc>
          <w:tcPr>
            <w:tcW w:w="1606" w:type="dxa"/>
            <w:tcBorders>
              <w:top w:val="single" w:color="auto" w:sz="2" w:space="0"/>
              <w:left w:val="single" w:color="auto" w:sz="2" w:space="0"/>
              <w:bottom w:val="single" w:color="auto" w:sz="2" w:space="0"/>
              <w:right w:val="single" w:color="auto" w:sz="2" w:space="0"/>
            </w:tcBorders>
            <w:vAlign w:val="center"/>
          </w:tcPr>
          <w:p w14:paraId="162F75FC">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4F9B0B9">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A4E9747">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DF1484B">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CAFBB83">
            <w:pPr>
              <w:spacing w:line="240" w:lineRule="exact"/>
              <w:jc w:val="right"/>
              <w:rPr>
                <w:rFonts w:ascii="宋体" w:hAnsi="宋体" w:eastAsia="宋体" w:cs="宋体"/>
                <w:sz w:val="18"/>
                <w:szCs w:val="18"/>
              </w:rPr>
            </w:pPr>
          </w:p>
        </w:tc>
      </w:tr>
      <w:tr w14:paraId="03F90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2D2A825">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14:paraId="382B0D15">
            <w:pPr>
              <w:spacing w:line="240" w:lineRule="exact"/>
              <w:jc w:val="right"/>
              <w:rPr>
                <w:rFonts w:ascii="宋体" w:hAnsi="宋体" w:eastAsia="宋体" w:cs="宋体"/>
                <w:sz w:val="18"/>
                <w:szCs w:val="18"/>
              </w:rPr>
            </w:pPr>
            <w:r>
              <w:rPr>
                <w:rFonts w:ascii="宋体" w:hAnsi="宋体" w:eastAsia="宋体" w:cs="宋体"/>
                <w:sz w:val="18"/>
                <w:szCs w:val="18"/>
              </w:rPr>
              <w:t>1,191,839,066.54</w:t>
            </w:r>
          </w:p>
        </w:tc>
        <w:tc>
          <w:tcPr>
            <w:tcW w:w="1606" w:type="dxa"/>
            <w:tcBorders>
              <w:top w:val="single" w:color="auto" w:sz="2" w:space="0"/>
              <w:left w:val="single" w:color="auto" w:sz="2" w:space="0"/>
              <w:bottom w:val="single" w:color="auto" w:sz="2" w:space="0"/>
              <w:right w:val="single" w:color="auto" w:sz="2" w:space="0"/>
            </w:tcBorders>
            <w:vAlign w:val="center"/>
          </w:tcPr>
          <w:p w14:paraId="3254886E">
            <w:pPr>
              <w:spacing w:line="240" w:lineRule="exact"/>
              <w:jc w:val="right"/>
              <w:rPr>
                <w:rFonts w:ascii="宋体" w:hAnsi="宋体" w:eastAsia="宋体" w:cs="宋体"/>
                <w:sz w:val="18"/>
                <w:szCs w:val="18"/>
              </w:rPr>
            </w:pPr>
            <w:r>
              <w:rPr>
                <w:rFonts w:ascii="宋体" w:hAnsi="宋体" w:eastAsia="宋体" w:cs="宋体"/>
                <w:sz w:val="18"/>
                <w:szCs w:val="18"/>
              </w:rPr>
              <w:t>2,953,771,993.44</w:t>
            </w:r>
          </w:p>
        </w:tc>
        <w:tc>
          <w:tcPr>
            <w:tcW w:w="1606" w:type="dxa"/>
            <w:tcBorders>
              <w:top w:val="single" w:color="auto" w:sz="2" w:space="0"/>
              <w:left w:val="single" w:color="auto" w:sz="2" w:space="0"/>
              <w:bottom w:val="single" w:color="auto" w:sz="2" w:space="0"/>
              <w:right w:val="single" w:color="auto" w:sz="2" w:space="0"/>
            </w:tcBorders>
            <w:vAlign w:val="center"/>
          </w:tcPr>
          <w:p w14:paraId="7EE0B533">
            <w:pPr>
              <w:spacing w:line="240" w:lineRule="exact"/>
              <w:jc w:val="right"/>
              <w:rPr>
                <w:rFonts w:ascii="宋体" w:hAnsi="宋体" w:eastAsia="宋体" w:cs="宋体"/>
                <w:sz w:val="18"/>
                <w:szCs w:val="18"/>
              </w:rPr>
            </w:pPr>
            <w:r>
              <w:rPr>
                <w:rFonts w:ascii="宋体" w:hAnsi="宋体" w:eastAsia="宋体" w:cs="宋体"/>
                <w:sz w:val="18"/>
                <w:szCs w:val="18"/>
              </w:rPr>
              <w:t>41,585,559.06</w:t>
            </w:r>
          </w:p>
        </w:tc>
        <w:tc>
          <w:tcPr>
            <w:tcW w:w="1606" w:type="dxa"/>
            <w:tcBorders>
              <w:top w:val="single" w:color="auto" w:sz="2" w:space="0"/>
              <w:left w:val="single" w:color="auto" w:sz="2" w:space="0"/>
              <w:bottom w:val="single" w:color="auto" w:sz="2" w:space="0"/>
              <w:right w:val="single" w:color="auto" w:sz="2" w:space="0"/>
            </w:tcBorders>
            <w:vAlign w:val="center"/>
          </w:tcPr>
          <w:p w14:paraId="2A086EAA">
            <w:pPr>
              <w:spacing w:line="240" w:lineRule="exact"/>
              <w:jc w:val="right"/>
              <w:rPr>
                <w:rFonts w:ascii="宋体" w:hAnsi="宋体" w:eastAsia="宋体" w:cs="宋体"/>
                <w:sz w:val="18"/>
                <w:szCs w:val="18"/>
              </w:rPr>
            </w:pPr>
            <w:r>
              <w:rPr>
                <w:rFonts w:ascii="宋体" w:hAnsi="宋体" w:eastAsia="宋体" w:cs="宋体"/>
                <w:sz w:val="18"/>
                <w:szCs w:val="18"/>
              </w:rPr>
              <w:t>202,004,156.37</w:t>
            </w:r>
          </w:p>
        </w:tc>
        <w:tc>
          <w:tcPr>
            <w:tcW w:w="1606" w:type="dxa"/>
            <w:tcBorders>
              <w:top w:val="single" w:color="auto" w:sz="2" w:space="0"/>
              <w:left w:val="single" w:color="auto" w:sz="2" w:space="0"/>
              <w:bottom w:val="single" w:color="auto" w:sz="2" w:space="0"/>
              <w:right w:val="single" w:color="auto" w:sz="2" w:space="0"/>
            </w:tcBorders>
            <w:vAlign w:val="center"/>
          </w:tcPr>
          <w:p w14:paraId="52312A45">
            <w:pPr>
              <w:spacing w:line="240" w:lineRule="exact"/>
              <w:jc w:val="right"/>
              <w:rPr>
                <w:rFonts w:ascii="宋体" w:hAnsi="宋体" w:eastAsia="宋体" w:cs="宋体"/>
                <w:sz w:val="18"/>
                <w:szCs w:val="18"/>
              </w:rPr>
            </w:pPr>
            <w:r>
              <w:rPr>
                <w:rFonts w:ascii="宋体" w:hAnsi="宋体" w:eastAsia="宋体" w:cs="宋体"/>
                <w:sz w:val="18"/>
                <w:szCs w:val="18"/>
              </w:rPr>
              <w:t>4,389,200,775.41</w:t>
            </w:r>
          </w:p>
        </w:tc>
      </w:tr>
      <w:tr w14:paraId="7B283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E28C59E">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14:paraId="2047442D">
            <w:pPr>
              <w:spacing w:line="240" w:lineRule="exact"/>
              <w:jc w:val="right"/>
              <w:rPr>
                <w:rFonts w:ascii="宋体" w:hAnsi="宋体" w:eastAsia="宋体" w:cs="宋体"/>
                <w:sz w:val="18"/>
                <w:szCs w:val="18"/>
              </w:rPr>
            </w:pPr>
            <w:r>
              <w:rPr>
                <w:rFonts w:ascii="宋体" w:hAnsi="宋体" w:eastAsia="宋体" w:cs="宋体"/>
                <w:sz w:val="18"/>
                <w:szCs w:val="18"/>
              </w:rPr>
              <w:t>142,317,948.98</w:t>
            </w:r>
          </w:p>
        </w:tc>
        <w:tc>
          <w:tcPr>
            <w:tcW w:w="1606" w:type="dxa"/>
            <w:tcBorders>
              <w:top w:val="single" w:color="auto" w:sz="2" w:space="0"/>
              <w:left w:val="single" w:color="auto" w:sz="2" w:space="0"/>
              <w:bottom w:val="single" w:color="auto" w:sz="2" w:space="0"/>
              <w:right w:val="single" w:color="auto" w:sz="2" w:space="0"/>
            </w:tcBorders>
            <w:vAlign w:val="center"/>
          </w:tcPr>
          <w:p w14:paraId="3276F308">
            <w:pPr>
              <w:spacing w:line="240" w:lineRule="exact"/>
              <w:jc w:val="right"/>
              <w:rPr>
                <w:rFonts w:ascii="宋体" w:hAnsi="宋体" w:eastAsia="宋体" w:cs="宋体"/>
                <w:sz w:val="18"/>
                <w:szCs w:val="18"/>
              </w:rPr>
            </w:pPr>
            <w:r>
              <w:rPr>
                <w:rFonts w:ascii="宋体" w:hAnsi="宋体" w:eastAsia="宋体" w:cs="宋体"/>
                <w:sz w:val="18"/>
                <w:szCs w:val="18"/>
              </w:rPr>
              <w:t>324,210,402.63</w:t>
            </w:r>
          </w:p>
        </w:tc>
        <w:tc>
          <w:tcPr>
            <w:tcW w:w="1606" w:type="dxa"/>
            <w:tcBorders>
              <w:top w:val="single" w:color="auto" w:sz="2" w:space="0"/>
              <w:left w:val="single" w:color="auto" w:sz="2" w:space="0"/>
              <w:bottom w:val="single" w:color="auto" w:sz="2" w:space="0"/>
              <w:right w:val="single" w:color="auto" w:sz="2" w:space="0"/>
            </w:tcBorders>
            <w:vAlign w:val="center"/>
          </w:tcPr>
          <w:p w14:paraId="6B83A7DB">
            <w:pPr>
              <w:spacing w:line="240" w:lineRule="exact"/>
              <w:jc w:val="right"/>
              <w:rPr>
                <w:rFonts w:ascii="宋体" w:hAnsi="宋体" w:eastAsia="宋体" w:cs="宋体"/>
                <w:sz w:val="18"/>
                <w:szCs w:val="18"/>
              </w:rPr>
            </w:pPr>
            <w:r>
              <w:rPr>
                <w:rFonts w:ascii="宋体" w:hAnsi="宋体" w:eastAsia="宋体" w:cs="宋体"/>
                <w:sz w:val="18"/>
                <w:szCs w:val="18"/>
              </w:rPr>
              <w:t>2,468,584.86</w:t>
            </w:r>
          </w:p>
        </w:tc>
        <w:tc>
          <w:tcPr>
            <w:tcW w:w="1606" w:type="dxa"/>
            <w:tcBorders>
              <w:top w:val="single" w:color="auto" w:sz="2" w:space="0"/>
              <w:left w:val="single" w:color="auto" w:sz="2" w:space="0"/>
              <w:bottom w:val="single" w:color="auto" w:sz="2" w:space="0"/>
              <w:right w:val="single" w:color="auto" w:sz="2" w:space="0"/>
            </w:tcBorders>
            <w:vAlign w:val="center"/>
          </w:tcPr>
          <w:p w14:paraId="0C33E18F">
            <w:pPr>
              <w:spacing w:line="240" w:lineRule="exact"/>
              <w:jc w:val="right"/>
              <w:rPr>
                <w:rFonts w:ascii="宋体" w:hAnsi="宋体" w:eastAsia="宋体" w:cs="宋体"/>
                <w:sz w:val="18"/>
                <w:szCs w:val="18"/>
              </w:rPr>
            </w:pPr>
            <w:r>
              <w:rPr>
                <w:rFonts w:ascii="宋体" w:hAnsi="宋体" w:eastAsia="宋体" w:cs="宋体"/>
                <w:sz w:val="18"/>
                <w:szCs w:val="18"/>
              </w:rPr>
              <w:t>4,576,726.74</w:t>
            </w:r>
          </w:p>
        </w:tc>
        <w:tc>
          <w:tcPr>
            <w:tcW w:w="1606" w:type="dxa"/>
            <w:tcBorders>
              <w:top w:val="single" w:color="auto" w:sz="2" w:space="0"/>
              <w:left w:val="single" w:color="auto" w:sz="2" w:space="0"/>
              <w:bottom w:val="single" w:color="auto" w:sz="2" w:space="0"/>
              <w:right w:val="single" w:color="auto" w:sz="2" w:space="0"/>
            </w:tcBorders>
            <w:vAlign w:val="center"/>
          </w:tcPr>
          <w:p w14:paraId="270E566E">
            <w:pPr>
              <w:spacing w:line="240" w:lineRule="exact"/>
              <w:jc w:val="right"/>
              <w:rPr>
                <w:rFonts w:ascii="宋体" w:hAnsi="宋体" w:eastAsia="宋体" w:cs="宋体"/>
                <w:sz w:val="18"/>
                <w:szCs w:val="18"/>
              </w:rPr>
            </w:pPr>
            <w:r>
              <w:rPr>
                <w:rFonts w:ascii="宋体" w:hAnsi="宋体" w:eastAsia="宋体" w:cs="宋体"/>
                <w:sz w:val="18"/>
                <w:szCs w:val="18"/>
              </w:rPr>
              <w:t>473,573,663.21</w:t>
            </w:r>
          </w:p>
        </w:tc>
      </w:tr>
      <w:tr w14:paraId="5D819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FC49E6E">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14:paraId="1FD19E4D">
            <w:pPr>
              <w:spacing w:line="240" w:lineRule="exact"/>
              <w:jc w:val="right"/>
              <w:rPr>
                <w:rFonts w:ascii="宋体" w:hAnsi="宋体" w:eastAsia="宋体" w:cs="宋体"/>
                <w:sz w:val="18"/>
                <w:szCs w:val="18"/>
              </w:rPr>
            </w:pPr>
            <w:r>
              <w:rPr>
                <w:rFonts w:ascii="宋体" w:hAnsi="宋体" w:eastAsia="宋体" w:cs="宋体"/>
                <w:sz w:val="18"/>
                <w:szCs w:val="18"/>
              </w:rPr>
              <w:t>136,164,154.55</w:t>
            </w:r>
          </w:p>
        </w:tc>
        <w:tc>
          <w:tcPr>
            <w:tcW w:w="1606" w:type="dxa"/>
            <w:tcBorders>
              <w:top w:val="single" w:color="auto" w:sz="2" w:space="0"/>
              <w:left w:val="single" w:color="auto" w:sz="2" w:space="0"/>
              <w:bottom w:val="single" w:color="auto" w:sz="2" w:space="0"/>
              <w:right w:val="single" w:color="auto" w:sz="2" w:space="0"/>
            </w:tcBorders>
            <w:vAlign w:val="center"/>
          </w:tcPr>
          <w:p w14:paraId="1A4F10C1">
            <w:pPr>
              <w:spacing w:line="240" w:lineRule="exact"/>
              <w:jc w:val="right"/>
              <w:rPr>
                <w:rFonts w:ascii="宋体" w:hAnsi="宋体" w:eastAsia="宋体" w:cs="宋体"/>
                <w:sz w:val="18"/>
                <w:szCs w:val="18"/>
              </w:rPr>
            </w:pPr>
            <w:r>
              <w:rPr>
                <w:rFonts w:ascii="宋体" w:hAnsi="宋体" w:eastAsia="宋体" w:cs="宋体"/>
                <w:sz w:val="18"/>
                <w:szCs w:val="18"/>
              </w:rPr>
              <w:t>352,702,338.87</w:t>
            </w:r>
          </w:p>
        </w:tc>
        <w:tc>
          <w:tcPr>
            <w:tcW w:w="1606" w:type="dxa"/>
            <w:tcBorders>
              <w:top w:val="single" w:color="auto" w:sz="2" w:space="0"/>
              <w:left w:val="single" w:color="auto" w:sz="2" w:space="0"/>
              <w:bottom w:val="single" w:color="auto" w:sz="2" w:space="0"/>
              <w:right w:val="single" w:color="auto" w:sz="2" w:space="0"/>
            </w:tcBorders>
            <w:vAlign w:val="center"/>
          </w:tcPr>
          <w:p w14:paraId="4BAD270E">
            <w:pPr>
              <w:spacing w:line="240" w:lineRule="exact"/>
              <w:jc w:val="right"/>
              <w:rPr>
                <w:rFonts w:ascii="宋体" w:hAnsi="宋体" w:eastAsia="宋体" w:cs="宋体"/>
                <w:sz w:val="18"/>
                <w:szCs w:val="18"/>
              </w:rPr>
            </w:pPr>
            <w:r>
              <w:rPr>
                <w:rFonts w:ascii="宋体" w:hAnsi="宋体" w:eastAsia="宋体" w:cs="宋体"/>
                <w:sz w:val="18"/>
                <w:szCs w:val="18"/>
              </w:rPr>
              <w:t>2,798,058.59</w:t>
            </w:r>
          </w:p>
        </w:tc>
        <w:tc>
          <w:tcPr>
            <w:tcW w:w="1606" w:type="dxa"/>
            <w:tcBorders>
              <w:top w:val="single" w:color="auto" w:sz="2" w:space="0"/>
              <w:left w:val="single" w:color="auto" w:sz="2" w:space="0"/>
              <w:bottom w:val="single" w:color="auto" w:sz="2" w:space="0"/>
              <w:right w:val="single" w:color="auto" w:sz="2" w:space="0"/>
            </w:tcBorders>
            <w:vAlign w:val="center"/>
          </w:tcPr>
          <w:p w14:paraId="1F8DF848">
            <w:pPr>
              <w:spacing w:line="240" w:lineRule="exact"/>
              <w:jc w:val="right"/>
              <w:rPr>
                <w:rFonts w:ascii="宋体" w:hAnsi="宋体" w:eastAsia="宋体" w:cs="宋体"/>
                <w:sz w:val="18"/>
                <w:szCs w:val="18"/>
              </w:rPr>
            </w:pPr>
            <w:r>
              <w:rPr>
                <w:rFonts w:ascii="宋体" w:hAnsi="宋体" w:eastAsia="宋体" w:cs="宋体"/>
                <w:sz w:val="18"/>
                <w:szCs w:val="18"/>
              </w:rPr>
              <w:t>8,477,430.90</w:t>
            </w:r>
          </w:p>
        </w:tc>
        <w:tc>
          <w:tcPr>
            <w:tcW w:w="1606" w:type="dxa"/>
            <w:tcBorders>
              <w:top w:val="single" w:color="auto" w:sz="2" w:space="0"/>
              <w:left w:val="single" w:color="auto" w:sz="2" w:space="0"/>
              <w:bottom w:val="single" w:color="auto" w:sz="2" w:space="0"/>
              <w:right w:val="single" w:color="auto" w:sz="2" w:space="0"/>
            </w:tcBorders>
            <w:vAlign w:val="center"/>
          </w:tcPr>
          <w:p w14:paraId="6A751A04">
            <w:pPr>
              <w:spacing w:line="240" w:lineRule="exact"/>
              <w:jc w:val="right"/>
              <w:rPr>
                <w:rFonts w:ascii="宋体" w:hAnsi="宋体" w:eastAsia="宋体" w:cs="宋体"/>
                <w:sz w:val="18"/>
                <w:szCs w:val="18"/>
              </w:rPr>
            </w:pPr>
            <w:r>
              <w:rPr>
                <w:rFonts w:ascii="宋体" w:hAnsi="宋体" w:eastAsia="宋体" w:cs="宋体"/>
                <w:sz w:val="18"/>
                <w:szCs w:val="18"/>
              </w:rPr>
              <w:t>500,141,982.91</w:t>
            </w:r>
          </w:p>
        </w:tc>
      </w:tr>
      <w:tr w14:paraId="4C782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904C32F">
            <w:pPr>
              <w:spacing w:line="240" w:lineRule="exact"/>
              <w:rPr>
                <w:rFonts w:ascii="宋体" w:hAnsi="宋体" w:eastAsia="宋体" w:cs="宋体"/>
                <w:sz w:val="18"/>
                <w:szCs w:val="18"/>
              </w:rPr>
            </w:pPr>
            <w:r>
              <w:rPr>
                <w:rFonts w:ascii="宋体" w:hAnsi="宋体" w:eastAsia="宋体" w:cs="宋体"/>
                <w:sz w:val="18"/>
                <w:szCs w:val="18"/>
              </w:rPr>
              <w:t>投资性房地产转入</w:t>
            </w:r>
          </w:p>
        </w:tc>
        <w:tc>
          <w:tcPr>
            <w:tcW w:w="1606" w:type="dxa"/>
            <w:tcBorders>
              <w:top w:val="single" w:color="auto" w:sz="2" w:space="0"/>
              <w:left w:val="single" w:color="auto" w:sz="2" w:space="0"/>
              <w:bottom w:val="single" w:color="auto" w:sz="2" w:space="0"/>
              <w:right w:val="single" w:color="auto" w:sz="2" w:space="0"/>
            </w:tcBorders>
            <w:vAlign w:val="center"/>
          </w:tcPr>
          <w:p w14:paraId="77364F92">
            <w:pPr>
              <w:spacing w:line="240" w:lineRule="exact"/>
              <w:jc w:val="right"/>
              <w:rPr>
                <w:rFonts w:ascii="宋体" w:hAnsi="宋体" w:eastAsia="宋体" w:cs="宋体"/>
                <w:sz w:val="18"/>
                <w:szCs w:val="18"/>
              </w:rPr>
            </w:pPr>
            <w:r>
              <w:rPr>
                <w:rFonts w:ascii="宋体" w:hAnsi="宋体" w:eastAsia="宋体" w:cs="宋体"/>
                <w:sz w:val="18"/>
                <w:szCs w:val="18"/>
              </w:rPr>
              <w:t>17,831,237.35</w:t>
            </w:r>
          </w:p>
        </w:tc>
        <w:tc>
          <w:tcPr>
            <w:tcW w:w="1606" w:type="dxa"/>
            <w:tcBorders>
              <w:top w:val="single" w:color="auto" w:sz="2" w:space="0"/>
              <w:left w:val="single" w:color="auto" w:sz="2" w:space="0"/>
              <w:bottom w:val="single" w:color="auto" w:sz="2" w:space="0"/>
              <w:right w:val="single" w:color="auto" w:sz="2" w:space="0"/>
            </w:tcBorders>
            <w:vAlign w:val="center"/>
          </w:tcPr>
          <w:p w14:paraId="2041BB75">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3A190E3">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3221C19">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53DC1A7">
            <w:pPr>
              <w:spacing w:line="240" w:lineRule="exact"/>
              <w:jc w:val="right"/>
              <w:rPr>
                <w:rFonts w:ascii="宋体" w:hAnsi="宋体" w:eastAsia="宋体" w:cs="宋体"/>
                <w:sz w:val="18"/>
                <w:szCs w:val="18"/>
              </w:rPr>
            </w:pPr>
            <w:r>
              <w:rPr>
                <w:rFonts w:ascii="宋体" w:hAnsi="宋体" w:eastAsia="宋体" w:cs="宋体"/>
                <w:sz w:val="18"/>
                <w:szCs w:val="18"/>
              </w:rPr>
              <w:t>17,831,237.35</w:t>
            </w:r>
          </w:p>
        </w:tc>
      </w:tr>
      <w:tr w14:paraId="366C2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01224E9">
            <w:pPr>
              <w:spacing w:line="240" w:lineRule="exact"/>
              <w:rPr>
                <w:rFonts w:ascii="宋体" w:hAnsi="宋体" w:eastAsia="宋体" w:cs="宋体"/>
                <w:sz w:val="18"/>
                <w:szCs w:val="18"/>
              </w:rPr>
            </w:pPr>
            <w:r>
              <w:rPr>
                <w:rFonts w:ascii="宋体" w:hAnsi="宋体" w:eastAsia="宋体" w:cs="宋体"/>
                <w:sz w:val="18"/>
                <w:szCs w:val="18"/>
              </w:rPr>
              <w:t>外币报表折算差额</w:t>
            </w:r>
          </w:p>
        </w:tc>
        <w:tc>
          <w:tcPr>
            <w:tcW w:w="1606" w:type="dxa"/>
            <w:tcBorders>
              <w:top w:val="single" w:color="auto" w:sz="2" w:space="0"/>
              <w:left w:val="single" w:color="auto" w:sz="2" w:space="0"/>
              <w:bottom w:val="single" w:color="auto" w:sz="2" w:space="0"/>
              <w:right w:val="single" w:color="auto" w:sz="2" w:space="0"/>
            </w:tcBorders>
            <w:vAlign w:val="center"/>
          </w:tcPr>
          <w:p w14:paraId="36794723">
            <w:pPr>
              <w:spacing w:line="240" w:lineRule="exact"/>
              <w:jc w:val="right"/>
              <w:rPr>
                <w:rFonts w:ascii="宋体" w:hAnsi="宋体" w:eastAsia="宋体" w:cs="宋体"/>
                <w:sz w:val="18"/>
                <w:szCs w:val="18"/>
              </w:rPr>
            </w:pPr>
            <w:r>
              <w:rPr>
                <w:rFonts w:ascii="宋体" w:hAnsi="宋体" w:eastAsia="宋体" w:cs="宋体"/>
                <w:sz w:val="18"/>
                <w:szCs w:val="18"/>
              </w:rPr>
              <w:t>-11,677,442.92</w:t>
            </w:r>
          </w:p>
        </w:tc>
        <w:tc>
          <w:tcPr>
            <w:tcW w:w="1606" w:type="dxa"/>
            <w:tcBorders>
              <w:top w:val="single" w:color="auto" w:sz="2" w:space="0"/>
              <w:left w:val="single" w:color="auto" w:sz="2" w:space="0"/>
              <w:bottom w:val="single" w:color="auto" w:sz="2" w:space="0"/>
              <w:right w:val="single" w:color="auto" w:sz="2" w:space="0"/>
            </w:tcBorders>
            <w:vAlign w:val="center"/>
          </w:tcPr>
          <w:p w14:paraId="3CFD0588">
            <w:pPr>
              <w:spacing w:line="240" w:lineRule="exact"/>
              <w:jc w:val="right"/>
              <w:rPr>
                <w:rFonts w:ascii="宋体" w:hAnsi="宋体" w:eastAsia="宋体" w:cs="宋体"/>
                <w:sz w:val="18"/>
                <w:szCs w:val="18"/>
              </w:rPr>
            </w:pPr>
            <w:r>
              <w:rPr>
                <w:rFonts w:ascii="宋体" w:hAnsi="宋体" w:eastAsia="宋体" w:cs="宋体"/>
                <w:sz w:val="18"/>
                <w:szCs w:val="18"/>
              </w:rPr>
              <w:t>-28,491,936.24</w:t>
            </w:r>
          </w:p>
        </w:tc>
        <w:tc>
          <w:tcPr>
            <w:tcW w:w="1606" w:type="dxa"/>
            <w:tcBorders>
              <w:top w:val="single" w:color="auto" w:sz="2" w:space="0"/>
              <w:left w:val="single" w:color="auto" w:sz="2" w:space="0"/>
              <w:bottom w:val="single" w:color="auto" w:sz="2" w:space="0"/>
              <w:right w:val="single" w:color="auto" w:sz="2" w:space="0"/>
            </w:tcBorders>
            <w:vAlign w:val="center"/>
          </w:tcPr>
          <w:p w14:paraId="53829901">
            <w:pPr>
              <w:spacing w:line="240" w:lineRule="exact"/>
              <w:jc w:val="right"/>
              <w:rPr>
                <w:rFonts w:ascii="宋体" w:hAnsi="宋体" w:eastAsia="宋体" w:cs="宋体"/>
                <w:sz w:val="18"/>
                <w:szCs w:val="18"/>
              </w:rPr>
            </w:pPr>
            <w:r>
              <w:rPr>
                <w:rFonts w:ascii="宋体" w:hAnsi="宋体" w:eastAsia="宋体" w:cs="宋体"/>
                <w:sz w:val="18"/>
                <w:szCs w:val="18"/>
              </w:rPr>
              <w:t>-329,473.73</w:t>
            </w:r>
          </w:p>
        </w:tc>
        <w:tc>
          <w:tcPr>
            <w:tcW w:w="1606" w:type="dxa"/>
            <w:tcBorders>
              <w:top w:val="single" w:color="auto" w:sz="2" w:space="0"/>
              <w:left w:val="single" w:color="auto" w:sz="2" w:space="0"/>
              <w:bottom w:val="single" w:color="auto" w:sz="2" w:space="0"/>
              <w:right w:val="single" w:color="auto" w:sz="2" w:space="0"/>
            </w:tcBorders>
            <w:vAlign w:val="center"/>
          </w:tcPr>
          <w:p w14:paraId="13EA900E">
            <w:pPr>
              <w:spacing w:line="240" w:lineRule="exact"/>
              <w:jc w:val="right"/>
              <w:rPr>
                <w:rFonts w:ascii="宋体" w:hAnsi="宋体" w:eastAsia="宋体" w:cs="宋体"/>
                <w:sz w:val="18"/>
                <w:szCs w:val="18"/>
              </w:rPr>
            </w:pPr>
            <w:r>
              <w:rPr>
                <w:rFonts w:ascii="宋体" w:hAnsi="宋体" w:eastAsia="宋体" w:cs="宋体"/>
                <w:sz w:val="18"/>
                <w:szCs w:val="18"/>
              </w:rPr>
              <w:t>-3,900,704.16</w:t>
            </w:r>
          </w:p>
        </w:tc>
        <w:tc>
          <w:tcPr>
            <w:tcW w:w="1606" w:type="dxa"/>
            <w:tcBorders>
              <w:top w:val="single" w:color="auto" w:sz="2" w:space="0"/>
              <w:left w:val="single" w:color="auto" w:sz="2" w:space="0"/>
              <w:bottom w:val="single" w:color="auto" w:sz="2" w:space="0"/>
              <w:right w:val="single" w:color="auto" w:sz="2" w:space="0"/>
            </w:tcBorders>
            <w:vAlign w:val="center"/>
          </w:tcPr>
          <w:p w14:paraId="34B47A2C">
            <w:pPr>
              <w:spacing w:line="240" w:lineRule="exact"/>
              <w:jc w:val="right"/>
              <w:rPr>
                <w:rFonts w:ascii="宋体" w:hAnsi="宋体" w:eastAsia="宋体" w:cs="宋体"/>
                <w:sz w:val="18"/>
                <w:szCs w:val="18"/>
              </w:rPr>
            </w:pPr>
            <w:r>
              <w:rPr>
                <w:rFonts w:ascii="宋体" w:hAnsi="宋体" w:eastAsia="宋体" w:cs="宋体"/>
                <w:sz w:val="18"/>
                <w:szCs w:val="18"/>
              </w:rPr>
              <w:t>-44,399,557.05</w:t>
            </w:r>
          </w:p>
        </w:tc>
      </w:tr>
      <w:tr w14:paraId="5AC15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881EE6D">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14:paraId="6F84EFD9">
            <w:pPr>
              <w:spacing w:line="240" w:lineRule="exact"/>
              <w:jc w:val="right"/>
              <w:rPr>
                <w:rFonts w:ascii="宋体" w:hAnsi="宋体" w:eastAsia="宋体" w:cs="宋体"/>
                <w:sz w:val="18"/>
                <w:szCs w:val="18"/>
              </w:rPr>
            </w:pPr>
            <w:r>
              <w:rPr>
                <w:rFonts w:ascii="宋体" w:hAnsi="宋体" w:eastAsia="宋体" w:cs="宋体"/>
                <w:sz w:val="18"/>
                <w:szCs w:val="18"/>
              </w:rPr>
              <w:t>37,655,722.38</w:t>
            </w:r>
          </w:p>
        </w:tc>
        <w:tc>
          <w:tcPr>
            <w:tcW w:w="1606" w:type="dxa"/>
            <w:tcBorders>
              <w:top w:val="single" w:color="auto" w:sz="2" w:space="0"/>
              <w:left w:val="single" w:color="auto" w:sz="2" w:space="0"/>
              <w:bottom w:val="single" w:color="auto" w:sz="2" w:space="0"/>
              <w:right w:val="single" w:color="auto" w:sz="2" w:space="0"/>
            </w:tcBorders>
            <w:vAlign w:val="center"/>
          </w:tcPr>
          <w:p w14:paraId="06B62912">
            <w:pPr>
              <w:spacing w:line="240" w:lineRule="exact"/>
              <w:jc w:val="right"/>
              <w:rPr>
                <w:rFonts w:ascii="宋体" w:hAnsi="宋体" w:eastAsia="宋体" w:cs="宋体"/>
                <w:sz w:val="18"/>
                <w:szCs w:val="18"/>
              </w:rPr>
            </w:pPr>
            <w:r>
              <w:rPr>
                <w:rFonts w:ascii="宋体" w:hAnsi="宋体" w:eastAsia="宋体" w:cs="宋体"/>
                <w:sz w:val="18"/>
                <w:szCs w:val="18"/>
              </w:rPr>
              <w:t>155,663,427.93</w:t>
            </w:r>
          </w:p>
        </w:tc>
        <w:tc>
          <w:tcPr>
            <w:tcW w:w="1606" w:type="dxa"/>
            <w:tcBorders>
              <w:top w:val="single" w:color="auto" w:sz="2" w:space="0"/>
              <w:left w:val="single" w:color="auto" w:sz="2" w:space="0"/>
              <w:bottom w:val="single" w:color="auto" w:sz="2" w:space="0"/>
              <w:right w:val="single" w:color="auto" w:sz="2" w:space="0"/>
            </w:tcBorders>
            <w:vAlign w:val="center"/>
          </w:tcPr>
          <w:p w14:paraId="72DF345C">
            <w:pPr>
              <w:spacing w:line="240" w:lineRule="exact"/>
              <w:jc w:val="right"/>
              <w:rPr>
                <w:rFonts w:ascii="宋体" w:hAnsi="宋体" w:eastAsia="宋体" w:cs="宋体"/>
                <w:sz w:val="18"/>
                <w:szCs w:val="18"/>
              </w:rPr>
            </w:pPr>
            <w:r>
              <w:rPr>
                <w:rFonts w:ascii="宋体" w:hAnsi="宋体" w:eastAsia="宋体" w:cs="宋体"/>
                <w:sz w:val="18"/>
                <w:szCs w:val="18"/>
              </w:rPr>
              <w:t>7,998,242.29</w:t>
            </w:r>
          </w:p>
        </w:tc>
        <w:tc>
          <w:tcPr>
            <w:tcW w:w="1606" w:type="dxa"/>
            <w:tcBorders>
              <w:top w:val="single" w:color="auto" w:sz="2" w:space="0"/>
              <w:left w:val="single" w:color="auto" w:sz="2" w:space="0"/>
              <w:bottom w:val="single" w:color="auto" w:sz="2" w:space="0"/>
              <w:right w:val="single" w:color="auto" w:sz="2" w:space="0"/>
            </w:tcBorders>
            <w:vAlign w:val="center"/>
          </w:tcPr>
          <w:p w14:paraId="3DAFFBD0">
            <w:pPr>
              <w:spacing w:line="240" w:lineRule="exact"/>
              <w:jc w:val="right"/>
              <w:rPr>
                <w:rFonts w:ascii="宋体" w:hAnsi="宋体" w:eastAsia="宋体" w:cs="宋体"/>
                <w:sz w:val="18"/>
                <w:szCs w:val="18"/>
              </w:rPr>
            </w:pPr>
            <w:r>
              <w:rPr>
                <w:rFonts w:ascii="宋体" w:hAnsi="宋体" w:eastAsia="宋体" w:cs="宋体"/>
                <w:sz w:val="18"/>
                <w:szCs w:val="18"/>
              </w:rPr>
              <w:t>18,641,977.46</w:t>
            </w:r>
          </w:p>
        </w:tc>
        <w:tc>
          <w:tcPr>
            <w:tcW w:w="1606" w:type="dxa"/>
            <w:tcBorders>
              <w:top w:val="single" w:color="auto" w:sz="2" w:space="0"/>
              <w:left w:val="single" w:color="auto" w:sz="2" w:space="0"/>
              <w:bottom w:val="single" w:color="auto" w:sz="2" w:space="0"/>
              <w:right w:val="single" w:color="auto" w:sz="2" w:space="0"/>
            </w:tcBorders>
            <w:vAlign w:val="center"/>
          </w:tcPr>
          <w:p w14:paraId="2C7AC29D">
            <w:pPr>
              <w:spacing w:line="240" w:lineRule="exact"/>
              <w:jc w:val="right"/>
              <w:rPr>
                <w:rFonts w:ascii="宋体" w:hAnsi="宋体" w:eastAsia="宋体" w:cs="宋体"/>
                <w:sz w:val="18"/>
                <w:szCs w:val="18"/>
              </w:rPr>
            </w:pPr>
            <w:r>
              <w:rPr>
                <w:rFonts w:ascii="宋体" w:hAnsi="宋体" w:eastAsia="宋体" w:cs="宋体"/>
                <w:sz w:val="18"/>
                <w:szCs w:val="18"/>
              </w:rPr>
              <w:t>219,959,370.06</w:t>
            </w:r>
          </w:p>
        </w:tc>
      </w:tr>
      <w:tr w14:paraId="3586C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5494A86">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14:paraId="2E57ECBF">
            <w:pPr>
              <w:spacing w:line="240" w:lineRule="exact"/>
              <w:jc w:val="right"/>
              <w:rPr>
                <w:rFonts w:ascii="宋体" w:hAnsi="宋体" w:eastAsia="宋体" w:cs="宋体"/>
                <w:sz w:val="18"/>
                <w:szCs w:val="18"/>
              </w:rPr>
            </w:pPr>
            <w:r>
              <w:rPr>
                <w:rFonts w:ascii="宋体" w:hAnsi="宋体" w:eastAsia="宋体" w:cs="宋体"/>
                <w:sz w:val="18"/>
                <w:szCs w:val="18"/>
              </w:rPr>
              <w:t>36,819,413.64</w:t>
            </w:r>
          </w:p>
        </w:tc>
        <w:tc>
          <w:tcPr>
            <w:tcW w:w="1606" w:type="dxa"/>
            <w:tcBorders>
              <w:top w:val="single" w:color="auto" w:sz="2" w:space="0"/>
              <w:left w:val="single" w:color="auto" w:sz="2" w:space="0"/>
              <w:bottom w:val="single" w:color="auto" w:sz="2" w:space="0"/>
              <w:right w:val="single" w:color="auto" w:sz="2" w:space="0"/>
            </w:tcBorders>
            <w:vAlign w:val="center"/>
          </w:tcPr>
          <w:p w14:paraId="60FD1311">
            <w:pPr>
              <w:spacing w:line="240" w:lineRule="exact"/>
              <w:jc w:val="right"/>
              <w:rPr>
                <w:rFonts w:ascii="宋体" w:hAnsi="宋体" w:eastAsia="宋体" w:cs="宋体"/>
                <w:sz w:val="18"/>
                <w:szCs w:val="18"/>
              </w:rPr>
            </w:pPr>
            <w:r>
              <w:rPr>
                <w:rFonts w:ascii="宋体" w:hAnsi="宋体" w:eastAsia="宋体" w:cs="宋体"/>
                <w:sz w:val="18"/>
                <w:szCs w:val="18"/>
              </w:rPr>
              <w:t>155,663,427.93</w:t>
            </w:r>
          </w:p>
        </w:tc>
        <w:tc>
          <w:tcPr>
            <w:tcW w:w="1606" w:type="dxa"/>
            <w:tcBorders>
              <w:top w:val="single" w:color="auto" w:sz="2" w:space="0"/>
              <w:left w:val="single" w:color="auto" w:sz="2" w:space="0"/>
              <w:bottom w:val="single" w:color="auto" w:sz="2" w:space="0"/>
              <w:right w:val="single" w:color="auto" w:sz="2" w:space="0"/>
            </w:tcBorders>
            <w:vAlign w:val="center"/>
          </w:tcPr>
          <w:p w14:paraId="5DAA9CEA">
            <w:pPr>
              <w:spacing w:line="240" w:lineRule="exact"/>
              <w:jc w:val="right"/>
              <w:rPr>
                <w:rFonts w:ascii="宋体" w:hAnsi="宋体" w:eastAsia="宋体" w:cs="宋体"/>
                <w:sz w:val="18"/>
                <w:szCs w:val="18"/>
              </w:rPr>
            </w:pPr>
            <w:r>
              <w:rPr>
                <w:rFonts w:ascii="宋体" w:hAnsi="宋体" w:eastAsia="宋体" w:cs="宋体"/>
                <w:sz w:val="18"/>
                <w:szCs w:val="18"/>
              </w:rPr>
              <w:t>7,998,242.29</w:t>
            </w:r>
          </w:p>
        </w:tc>
        <w:tc>
          <w:tcPr>
            <w:tcW w:w="1606" w:type="dxa"/>
            <w:tcBorders>
              <w:top w:val="single" w:color="auto" w:sz="2" w:space="0"/>
              <w:left w:val="single" w:color="auto" w:sz="2" w:space="0"/>
              <w:bottom w:val="single" w:color="auto" w:sz="2" w:space="0"/>
              <w:right w:val="single" w:color="auto" w:sz="2" w:space="0"/>
            </w:tcBorders>
            <w:vAlign w:val="center"/>
          </w:tcPr>
          <w:p w14:paraId="28B241E8">
            <w:pPr>
              <w:spacing w:line="240" w:lineRule="exact"/>
              <w:jc w:val="right"/>
              <w:rPr>
                <w:rFonts w:ascii="宋体" w:hAnsi="宋体" w:eastAsia="宋体" w:cs="宋体"/>
                <w:sz w:val="18"/>
                <w:szCs w:val="18"/>
              </w:rPr>
            </w:pPr>
            <w:r>
              <w:rPr>
                <w:rFonts w:ascii="宋体" w:hAnsi="宋体" w:eastAsia="宋体" w:cs="宋体"/>
                <w:sz w:val="18"/>
                <w:szCs w:val="18"/>
              </w:rPr>
              <w:t>18,641,977.46</w:t>
            </w:r>
          </w:p>
        </w:tc>
        <w:tc>
          <w:tcPr>
            <w:tcW w:w="1606" w:type="dxa"/>
            <w:tcBorders>
              <w:top w:val="single" w:color="auto" w:sz="2" w:space="0"/>
              <w:left w:val="single" w:color="auto" w:sz="2" w:space="0"/>
              <w:bottom w:val="single" w:color="auto" w:sz="2" w:space="0"/>
              <w:right w:val="single" w:color="auto" w:sz="2" w:space="0"/>
            </w:tcBorders>
            <w:vAlign w:val="center"/>
          </w:tcPr>
          <w:p w14:paraId="5F4E90FE">
            <w:pPr>
              <w:spacing w:line="240" w:lineRule="exact"/>
              <w:jc w:val="right"/>
              <w:rPr>
                <w:rFonts w:ascii="宋体" w:hAnsi="宋体" w:eastAsia="宋体" w:cs="宋体"/>
                <w:sz w:val="18"/>
                <w:szCs w:val="18"/>
              </w:rPr>
            </w:pPr>
            <w:r>
              <w:rPr>
                <w:rFonts w:ascii="宋体" w:hAnsi="宋体" w:eastAsia="宋体" w:cs="宋体"/>
                <w:sz w:val="18"/>
                <w:szCs w:val="18"/>
              </w:rPr>
              <w:t>219,123,061.32</w:t>
            </w:r>
          </w:p>
        </w:tc>
      </w:tr>
      <w:tr w14:paraId="40E8B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730B33A">
            <w:pPr>
              <w:spacing w:line="240" w:lineRule="exact"/>
              <w:rPr>
                <w:rFonts w:ascii="宋体" w:hAnsi="宋体" w:eastAsia="宋体" w:cs="宋体"/>
                <w:sz w:val="18"/>
                <w:szCs w:val="18"/>
              </w:rPr>
            </w:pPr>
            <w:r>
              <w:rPr>
                <w:rFonts w:ascii="宋体" w:hAnsi="宋体" w:eastAsia="宋体" w:cs="宋体"/>
                <w:sz w:val="18"/>
                <w:szCs w:val="18"/>
              </w:rPr>
              <w:t>转入投资性房地产</w:t>
            </w:r>
          </w:p>
        </w:tc>
        <w:tc>
          <w:tcPr>
            <w:tcW w:w="1606" w:type="dxa"/>
            <w:tcBorders>
              <w:top w:val="single" w:color="auto" w:sz="2" w:space="0"/>
              <w:left w:val="single" w:color="auto" w:sz="2" w:space="0"/>
              <w:bottom w:val="single" w:color="auto" w:sz="2" w:space="0"/>
              <w:right w:val="single" w:color="auto" w:sz="2" w:space="0"/>
            </w:tcBorders>
            <w:vAlign w:val="center"/>
          </w:tcPr>
          <w:p w14:paraId="786B4C5F">
            <w:pPr>
              <w:spacing w:line="240" w:lineRule="exact"/>
              <w:jc w:val="right"/>
              <w:rPr>
                <w:rFonts w:ascii="宋体" w:hAnsi="宋体" w:eastAsia="宋体" w:cs="宋体"/>
                <w:sz w:val="18"/>
                <w:szCs w:val="18"/>
              </w:rPr>
            </w:pPr>
            <w:r>
              <w:rPr>
                <w:rFonts w:ascii="宋体" w:hAnsi="宋体" w:eastAsia="宋体" w:cs="宋体"/>
                <w:sz w:val="18"/>
                <w:szCs w:val="18"/>
              </w:rPr>
              <w:t>836,308.74</w:t>
            </w:r>
          </w:p>
        </w:tc>
        <w:tc>
          <w:tcPr>
            <w:tcW w:w="1606" w:type="dxa"/>
            <w:tcBorders>
              <w:top w:val="single" w:color="auto" w:sz="2" w:space="0"/>
              <w:left w:val="single" w:color="auto" w:sz="2" w:space="0"/>
              <w:bottom w:val="single" w:color="auto" w:sz="2" w:space="0"/>
              <w:right w:val="single" w:color="auto" w:sz="2" w:space="0"/>
            </w:tcBorders>
            <w:vAlign w:val="center"/>
          </w:tcPr>
          <w:p w14:paraId="24040DD1">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14:paraId="5BE853FC">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1456335">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14:paraId="652BB9E4">
            <w:pPr>
              <w:spacing w:line="240" w:lineRule="exact"/>
              <w:jc w:val="right"/>
              <w:rPr>
                <w:rFonts w:ascii="宋体" w:hAnsi="宋体" w:eastAsia="宋体" w:cs="宋体"/>
                <w:sz w:val="18"/>
                <w:szCs w:val="18"/>
              </w:rPr>
            </w:pPr>
            <w:r>
              <w:rPr>
                <w:rFonts w:ascii="宋体" w:hAnsi="宋体" w:eastAsia="宋体" w:cs="宋体"/>
                <w:sz w:val="18"/>
                <w:szCs w:val="18"/>
              </w:rPr>
              <w:t>836,308.74</w:t>
            </w:r>
          </w:p>
        </w:tc>
      </w:tr>
      <w:tr w14:paraId="0363D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C003C01">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14:paraId="57C3D6B0">
            <w:pPr>
              <w:spacing w:line="240" w:lineRule="exact"/>
              <w:jc w:val="right"/>
              <w:rPr>
                <w:rFonts w:ascii="宋体" w:hAnsi="宋体" w:eastAsia="宋体" w:cs="宋体"/>
                <w:sz w:val="18"/>
                <w:szCs w:val="18"/>
              </w:rPr>
            </w:pPr>
            <w:r>
              <w:rPr>
                <w:rFonts w:ascii="宋体" w:hAnsi="宋体" w:eastAsia="宋体" w:cs="宋体"/>
                <w:sz w:val="18"/>
                <w:szCs w:val="18"/>
              </w:rPr>
              <w:t>1,296,501,293.14</w:t>
            </w:r>
          </w:p>
        </w:tc>
        <w:tc>
          <w:tcPr>
            <w:tcW w:w="1606" w:type="dxa"/>
            <w:tcBorders>
              <w:top w:val="single" w:color="auto" w:sz="2" w:space="0"/>
              <w:left w:val="single" w:color="auto" w:sz="2" w:space="0"/>
              <w:bottom w:val="single" w:color="auto" w:sz="2" w:space="0"/>
              <w:right w:val="single" w:color="auto" w:sz="2" w:space="0"/>
            </w:tcBorders>
            <w:vAlign w:val="center"/>
          </w:tcPr>
          <w:p w14:paraId="6E8E1E0E">
            <w:pPr>
              <w:spacing w:line="240" w:lineRule="exact"/>
              <w:jc w:val="right"/>
              <w:rPr>
                <w:rFonts w:ascii="宋体" w:hAnsi="宋体" w:eastAsia="宋体" w:cs="宋体"/>
                <w:sz w:val="18"/>
                <w:szCs w:val="18"/>
              </w:rPr>
            </w:pPr>
            <w:r>
              <w:rPr>
                <w:rFonts w:ascii="宋体" w:hAnsi="宋体" w:eastAsia="宋体" w:cs="宋体"/>
                <w:sz w:val="18"/>
                <w:szCs w:val="18"/>
              </w:rPr>
              <w:t>3,122,318,968.14</w:t>
            </w:r>
          </w:p>
        </w:tc>
        <w:tc>
          <w:tcPr>
            <w:tcW w:w="1606" w:type="dxa"/>
            <w:tcBorders>
              <w:top w:val="single" w:color="auto" w:sz="2" w:space="0"/>
              <w:left w:val="single" w:color="auto" w:sz="2" w:space="0"/>
              <w:bottom w:val="single" w:color="auto" w:sz="2" w:space="0"/>
              <w:right w:val="single" w:color="auto" w:sz="2" w:space="0"/>
            </w:tcBorders>
            <w:vAlign w:val="center"/>
          </w:tcPr>
          <w:p w14:paraId="7FDDA7A2">
            <w:pPr>
              <w:spacing w:line="240" w:lineRule="exact"/>
              <w:jc w:val="right"/>
              <w:rPr>
                <w:rFonts w:ascii="宋体" w:hAnsi="宋体" w:eastAsia="宋体" w:cs="宋体"/>
                <w:sz w:val="18"/>
                <w:szCs w:val="18"/>
              </w:rPr>
            </w:pPr>
            <w:r>
              <w:rPr>
                <w:rFonts w:ascii="宋体" w:hAnsi="宋体" w:eastAsia="宋体" w:cs="宋体"/>
                <w:sz w:val="18"/>
                <w:szCs w:val="18"/>
              </w:rPr>
              <w:t>36,055,901.63</w:t>
            </w:r>
          </w:p>
        </w:tc>
        <w:tc>
          <w:tcPr>
            <w:tcW w:w="1606" w:type="dxa"/>
            <w:tcBorders>
              <w:top w:val="single" w:color="auto" w:sz="2" w:space="0"/>
              <w:left w:val="single" w:color="auto" w:sz="2" w:space="0"/>
              <w:bottom w:val="single" w:color="auto" w:sz="2" w:space="0"/>
              <w:right w:val="single" w:color="auto" w:sz="2" w:space="0"/>
            </w:tcBorders>
            <w:vAlign w:val="center"/>
          </w:tcPr>
          <w:p w14:paraId="10BA69E5">
            <w:pPr>
              <w:spacing w:line="240" w:lineRule="exact"/>
              <w:jc w:val="right"/>
              <w:rPr>
                <w:rFonts w:ascii="宋体" w:hAnsi="宋体" w:eastAsia="宋体" w:cs="宋体"/>
                <w:sz w:val="18"/>
                <w:szCs w:val="18"/>
              </w:rPr>
            </w:pPr>
            <w:r>
              <w:rPr>
                <w:rFonts w:ascii="宋体" w:hAnsi="宋体" w:eastAsia="宋体" w:cs="宋体"/>
                <w:sz w:val="18"/>
                <w:szCs w:val="18"/>
              </w:rPr>
              <w:t>187,938,905.65</w:t>
            </w:r>
          </w:p>
        </w:tc>
        <w:tc>
          <w:tcPr>
            <w:tcW w:w="1606" w:type="dxa"/>
            <w:tcBorders>
              <w:top w:val="single" w:color="auto" w:sz="2" w:space="0"/>
              <w:left w:val="single" w:color="auto" w:sz="2" w:space="0"/>
              <w:bottom w:val="single" w:color="auto" w:sz="2" w:space="0"/>
              <w:right w:val="single" w:color="auto" w:sz="2" w:space="0"/>
            </w:tcBorders>
            <w:vAlign w:val="center"/>
          </w:tcPr>
          <w:p w14:paraId="671DB861">
            <w:pPr>
              <w:spacing w:line="240" w:lineRule="exact"/>
              <w:jc w:val="right"/>
              <w:rPr>
                <w:rFonts w:ascii="宋体" w:hAnsi="宋体" w:eastAsia="宋体" w:cs="宋体"/>
                <w:sz w:val="18"/>
                <w:szCs w:val="18"/>
              </w:rPr>
            </w:pPr>
            <w:r>
              <w:rPr>
                <w:rFonts w:ascii="宋体" w:hAnsi="宋体" w:eastAsia="宋体" w:cs="宋体"/>
                <w:sz w:val="18"/>
                <w:szCs w:val="18"/>
              </w:rPr>
              <w:t>4,642,815,068.56</w:t>
            </w:r>
          </w:p>
        </w:tc>
      </w:tr>
      <w:tr w14:paraId="164F2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DE77C50">
            <w:pPr>
              <w:spacing w:before="40" w:after="40" w:line="240" w:lineRule="exact"/>
              <w:rPr>
                <w:rFonts w:ascii="宋体" w:hAnsi="宋体" w:eastAsia="宋体" w:cs="宋体"/>
                <w:sz w:val="18"/>
                <w:szCs w:val="18"/>
              </w:rPr>
            </w:pPr>
            <w:r>
              <w:rPr>
                <w:rFonts w:ascii="宋体" w:hAnsi="宋体" w:eastAsia="宋体" w:cs="宋体"/>
                <w:sz w:val="18"/>
                <w:szCs w:val="18"/>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14:paraId="4ED981DE">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4535DF8">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144E904">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A247E22">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E309ED9">
            <w:pPr>
              <w:spacing w:line="240" w:lineRule="exact"/>
              <w:jc w:val="right"/>
              <w:rPr>
                <w:rFonts w:ascii="宋体" w:hAnsi="宋体" w:eastAsia="宋体" w:cs="宋体"/>
                <w:sz w:val="18"/>
                <w:szCs w:val="18"/>
              </w:rPr>
            </w:pPr>
          </w:p>
        </w:tc>
      </w:tr>
      <w:tr w14:paraId="2180B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D6851CA">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14:paraId="0934780D">
            <w:pPr>
              <w:spacing w:line="240" w:lineRule="exact"/>
              <w:jc w:val="right"/>
              <w:rPr>
                <w:rFonts w:ascii="宋体" w:hAnsi="宋体" w:eastAsia="宋体" w:cs="宋体"/>
                <w:sz w:val="18"/>
                <w:szCs w:val="18"/>
              </w:rPr>
            </w:pPr>
            <w:r>
              <w:rPr>
                <w:rFonts w:ascii="宋体" w:hAnsi="宋体" w:eastAsia="宋体" w:cs="宋体"/>
                <w:sz w:val="18"/>
                <w:szCs w:val="18"/>
              </w:rPr>
              <w:t>27,855,790.59</w:t>
            </w:r>
          </w:p>
        </w:tc>
        <w:tc>
          <w:tcPr>
            <w:tcW w:w="1606" w:type="dxa"/>
            <w:tcBorders>
              <w:top w:val="single" w:color="auto" w:sz="2" w:space="0"/>
              <w:left w:val="single" w:color="auto" w:sz="2" w:space="0"/>
              <w:bottom w:val="single" w:color="auto" w:sz="2" w:space="0"/>
              <w:right w:val="single" w:color="auto" w:sz="2" w:space="0"/>
            </w:tcBorders>
            <w:vAlign w:val="center"/>
          </w:tcPr>
          <w:p w14:paraId="1672F466">
            <w:pPr>
              <w:spacing w:line="240" w:lineRule="exact"/>
              <w:jc w:val="right"/>
              <w:rPr>
                <w:rFonts w:ascii="宋体" w:hAnsi="宋体" w:eastAsia="宋体" w:cs="宋体"/>
                <w:sz w:val="18"/>
                <w:szCs w:val="18"/>
              </w:rPr>
            </w:pPr>
            <w:r>
              <w:rPr>
                <w:rFonts w:ascii="宋体" w:hAnsi="宋体" w:eastAsia="宋体" w:cs="宋体"/>
                <w:sz w:val="18"/>
                <w:szCs w:val="18"/>
              </w:rPr>
              <w:t>5,928,643.64</w:t>
            </w:r>
          </w:p>
        </w:tc>
        <w:tc>
          <w:tcPr>
            <w:tcW w:w="1606" w:type="dxa"/>
            <w:tcBorders>
              <w:top w:val="single" w:color="auto" w:sz="2" w:space="0"/>
              <w:left w:val="single" w:color="auto" w:sz="2" w:space="0"/>
              <w:bottom w:val="single" w:color="auto" w:sz="2" w:space="0"/>
              <w:right w:val="single" w:color="auto" w:sz="2" w:space="0"/>
            </w:tcBorders>
            <w:vAlign w:val="center"/>
          </w:tcPr>
          <w:p w14:paraId="34D240E4">
            <w:pPr>
              <w:spacing w:line="240" w:lineRule="exact"/>
              <w:jc w:val="right"/>
              <w:rPr>
                <w:rFonts w:ascii="宋体" w:hAnsi="宋体" w:eastAsia="宋体" w:cs="宋体"/>
                <w:sz w:val="18"/>
                <w:szCs w:val="18"/>
              </w:rPr>
            </w:pPr>
            <w:r>
              <w:rPr>
                <w:rFonts w:ascii="宋体" w:hAnsi="宋体" w:eastAsia="宋体" w:cs="宋体"/>
                <w:sz w:val="18"/>
                <w:szCs w:val="18"/>
              </w:rPr>
              <w:t>38,569.60</w:t>
            </w:r>
          </w:p>
        </w:tc>
        <w:tc>
          <w:tcPr>
            <w:tcW w:w="1606" w:type="dxa"/>
            <w:tcBorders>
              <w:top w:val="single" w:color="auto" w:sz="2" w:space="0"/>
              <w:left w:val="single" w:color="auto" w:sz="2" w:space="0"/>
              <w:bottom w:val="single" w:color="auto" w:sz="2" w:space="0"/>
              <w:right w:val="single" w:color="auto" w:sz="2" w:space="0"/>
            </w:tcBorders>
            <w:vAlign w:val="center"/>
          </w:tcPr>
          <w:p w14:paraId="6D9847AA">
            <w:pPr>
              <w:spacing w:line="240" w:lineRule="exact"/>
              <w:jc w:val="right"/>
              <w:rPr>
                <w:rFonts w:ascii="宋体" w:hAnsi="宋体" w:eastAsia="宋体" w:cs="宋体"/>
                <w:sz w:val="18"/>
                <w:szCs w:val="18"/>
              </w:rPr>
            </w:pPr>
            <w:r>
              <w:rPr>
                <w:rFonts w:ascii="宋体" w:hAnsi="宋体" w:eastAsia="宋体" w:cs="宋体"/>
                <w:sz w:val="18"/>
                <w:szCs w:val="18"/>
              </w:rPr>
              <w:t>95,345.96</w:t>
            </w:r>
          </w:p>
        </w:tc>
        <w:tc>
          <w:tcPr>
            <w:tcW w:w="1606" w:type="dxa"/>
            <w:tcBorders>
              <w:top w:val="single" w:color="auto" w:sz="2" w:space="0"/>
              <w:left w:val="single" w:color="auto" w:sz="2" w:space="0"/>
              <w:bottom w:val="single" w:color="auto" w:sz="2" w:space="0"/>
              <w:right w:val="single" w:color="auto" w:sz="2" w:space="0"/>
            </w:tcBorders>
            <w:vAlign w:val="center"/>
          </w:tcPr>
          <w:p w14:paraId="301D05EC">
            <w:pPr>
              <w:spacing w:line="240" w:lineRule="exact"/>
              <w:jc w:val="right"/>
              <w:rPr>
                <w:rFonts w:ascii="宋体" w:hAnsi="宋体" w:eastAsia="宋体" w:cs="宋体"/>
                <w:sz w:val="18"/>
                <w:szCs w:val="18"/>
              </w:rPr>
            </w:pPr>
            <w:r>
              <w:rPr>
                <w:rFonts w:ascii="宋体" w:hAnsi="宋体" w:eastAsia="宋体" w:cs="宋体"/>
                <w:sz w:val="18"/>
                <w:szCs w:val="18"/>
              </w:rPr>
              <w:t>33,918,349.79</w:t>
            </w:r>
          </w:p>
        </w:tc>
      </w:tr>
      <w:tr w14:paraId="35AF9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DAB25C5">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14:paraId="6E53750F">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2543012">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23833D5">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996EAF0">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3C6AFF8">
            <w:pPr>
              <w:spacing w:line="240" w:lineRule="exact"/>
              <w:jc w:val="right"/>
              <w:rPr>
                <w:rFonts w:ascii="宋体" w:hAnsi="宋体" w:eastAsia="宋体" w:cs="宋体"/>
                <w:sz w:val="18"/>
                <w:szCs w:val="18"/>
              </w:rPr>
            </w:pPr>
          </w:p>
        </w:tc>
      </w:tr>
      <w:tr w14:paraId="19211D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7D76DB1">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14:paraId="79B015F4">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9BBFEF3">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F26C2FE">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6E9B64D">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931EBBE">
            <w:pPr>
              <w:spacing w:line="240" w:lineRule="exact"/>
              <w:jc w:val="right"/>
              <w:rPr>
                <w:rFonts w:ascii="宋体" w:hAnsi="宋体" w:eastAsia="宋体" w:cs="宋体"/>
                <w:sz w:val="18"/>
                <w:szCs w:val="18"/>
              </w:rPr>
            </w:pPr>
          </w:p>
        </w:tc>
      </w:tr>
      <w:tr w14:paraId="2EBFD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C62755A">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0F20C06">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5B94D73">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0DE71FC">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E2C44B8">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2D8F284">
            <w:pPr>
              <w:spacing w:line="240" w:lineRule="exact"/>
              <w:jc w:val="right"/>
              <w:rPr>
                <w:rFonts w:ascii="宋体" w:hAnsi="宋体" w:eastAsia="宋体" w:cs="宋体"/>
                <w:sz w:val="18"/>
                <w:szCs w:val="18"/>
              </w:rPr>
            </w:pPr>
          </w:p>
        </w:tc>
      </w:tr>
      <w:tr w14:paraId="497CE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E007F88">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14:paraId="62959902">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8EBDD21">
            <w:pPr>
              <w:spacing w:line="240" w:lineRule="exact"/>
              <w:jc w:val="right"/>
              <w:rPr>
                <w:rFonts w:ascii="宋体" w:hAnsi="宋体" w:eastAsia="宋体" w:cs="宋体"/>
                <w:sz w:val="18"/>
                <w:szCs w:val="18"/>
              </w:rPr>
            </w:pPr>
            <w:r>
              <w:rPr>
                <w:rFonts w:ascii="宋体" w:hAnsi="宋体" w:eastAsia="宋体" w:cs="宋体"/>
                <w:sz w:val="18"/>
                <w:szCs w:val="18"/>
              </w:rPr>
              <w:t>166,206.59</w:t>
            </w:r>
          </w:p>
        </w:tc>
        <w:tc>
          <w:tcPr>
            <w:tcW w:w="1606" w:type="dxa"/>
            <w:tcBorders>
              <w:top w:val="single" w:color="auto" w:sz="2" w:space="0"/>
              <w:left w:val="single" w:color="auto" w:sz="2" w:space="0"/>
              <w:bottom w:val="single" w:color="auto" w:sz="2" w:space="0"/>
              <w:right w:val="single" w:color="auto" w:sz="2" w:space="0"/>
            </w:tcBorders>
            <w:vAlign w:val="center"/>
          </w:tcPr>
          <w:p w14:paraId="195EE247">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66556D9">
            <w:pPr>
              <w:spacing w:line="240" w:lineRule="exact"/>
              <w:jc w:val="right"/>
              <w:rPr>
                <w:rFonts w:ascii="宋体" w:hAnsi="宋体" w:eastAsia="宋体" w:cs="宋体"/>
                <w:sz w:val="18"/>
                <w:szCs w:val="18"/>
              </w:rPr>
            </w:pPr>
            <w:r>
              <w:rPr>
                <w:rFonts w:ascii="宋体" w:hAnsi="宋体" w:eastAsia="宋体" w:cs="宋体"/>
                <w:sz w:val="18"/>
                <w:szCs w:val="18"/>
              </w:rPr>
              <w:t>41,283.21</w:t>
            </w:r>
          </w:p>
        </w:tc>
        <w:tc>
          <w:tcPr>
            <w:tcW w:w="1606" w:type="dxa"/>
            <w:tcBorders>
              <w:top w:val="single" w:color="auto" w:sz="2" w:space="0"/>
              <w:left w:val="single" w:color="auto" w:sz="2" w:space="0"/>
              <w:bottom w:val="single" w:color="auto" w:sz="2" w:space="0"/>
              <w:right w:val="single" w:color="auto" w:sz="2" w:space="0"/>
            </w:tcBorders>
            <w:vAlign w:val="center"/>
          </w:tcPr>
          <w:p w14:paraId="53372117">
            <w:pPr>
              <w:spacing w:line="240" w:lineRule="exact"/>
              <w:jc w:val="right"/>
              <w:rPr>
                <w:rFonts w:ascii="宋体" w:hAnsi="宋体" w:eastAsia="宋体" w:cs="宋体"/>
                <w:sz w:val="18"/>
                <w:szCs w:val="18"/>
              </w:rPr>
            </w:pPr>
            <w:r>
              <w:rPr>
                <w:rFonts w:ascii="宋体" w:hAnsi="宋体" w:eastAsia="宋体" w:cs="宋体"/>
                <w:sz w:val="18"/>
                <w:szCs w:val="18"/>
              </w:rPr>
              <w:t>207,489.80</w:t>
            </w:r>
          </w:p>
        </w:tc>
      </w:tr>
      <w:tr w14:paraId="43B5C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418CB91">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14:paraId="74EC0837">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9A7B5C2">
            <w:pPr>
              <w:spacing w:line="240" w:lineRule="exact"/>
              <w:jc w:val="right"/>
              <w:rPr>
                <w:rFonts w:ascii="宋体" w:hAnsi="宋体" w:eastAsia="宋体" w:cs="宋体"/>
                <w:sz w:val="18"/>
                <w:szCs w:val="18"/>
              </w:rPr>
            </w:pPr>
            <w:r>
              <w:rPr>
                <w:rFonts w:ascii="宋体" w:hAnsi="宋体" w:eastAsia="宋体" w:cs="宋体"/>
                <w:sz w:val="18"/>
                <w:szCs w:val="18"/>
              </w:rPr>
              <w:t>166,206.59</w:t>
            </w:r>
          </w:p>
        </w:tc>
        <w:tc>
          <w:tcPr>
            <w:tcW w:w="1606" w:type="dxa"/>
            <w:tcBorders>
              <w:top w:val="single" w:color="auto" w:sz="2" w:space="0"/>
              <w:left w:val="single" w:color="auto" w:sz="2" w:space="0"/>
              <w:bottom w:val="single" w:color="auto" w:sz="2" w:space="0"/>
              <w:right w:val="single" w:color="auto" w:sz="2" w:space="0"/>
            </w:tcBorders>
            <w:vAlign w:val="center"/>
          </w:tcPr>
          <w:p w14:paraId="37CD16B1">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3FC875C">
            <w:pPr>
              <w:spacing w:line="240" w:lineRule="exact"/>
              <w:jc w:val="right"/>
              <w:rPr>
                <w:rFonts w:ascii="宋体" w:hAnsi="宋体" w:eastAsia="宋体" w:cs="宋体"/>
                <w:sz w:val="18"/>
                <w:szCs w:val="18"/>
              </w:rPr>
            </w:pPr>
            <w:r>
              <w:rPr>
                <w:rFonts w:ascii="宋体" w:hAnsi="宋体" w:eastAsia="宋体" w:cs="宋体"/>
                <w:sz w:val="18"/>
                <w:szCs w:val="18"/>
              </w:rPr>
              <w:t>41,283.21</w:t>
            </w:r>
          </w:p>
        </w:tc>
        <w:tc>
          <w:tcPr>
            <w:tcW w:w="1606" w:type="dxa"/>
            <w:tcBorders>
              <w:top w:val="single" w:color="auto" w:sz="2" w:space="0"/>
              <w:left w:val="single" w:color="auto" w:sz="2" w:space="0"/>
              <w:bottom w:val="single" w:color="auto" w:sz="2" w:space="0"/>
              <w:right w:val="single" w:color="auto" w:sz="2" w:space="0"/>
            </w:tcBorders>
            <w:vAlign w:val="center"/>
          </w:tcPr>
          <w:p w14:paraId="63596003">
            <w:pPr>
              <w:spacing w:line="240" w:lineRule="exact"/>
              <w:jc w:val="right"/>
              <w:rPr>
                <w:rFonts w:ascii="宋体" w:hAnsi="宋体" w:eastAsia="宋体" w:cs="宋体"/>
                <w:sz w:val="18"/>
                <w:szCs w:val="18"/>
              </w:rPr>
            </w:pPr>
            <w:r>
              <w:rPr>
                <w:rFonts w:ascii="宋体" w:hAnsi="宋体" w:eastAsia="宋体" w:cs="宋体"/>
                <w:sz w:val="18"/>
                <w:szCs w:val="18"/>
              </w:rPr>
              <w:t>207,489.80</w:t>
            </w:r>
          </w:p>
        </w:tc>
      </w:tr>
      <w:tr w14:paraId="0FF63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B1FB51A">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EE8FCE7">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1B4F469">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9AD0C04">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2B27F88">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7679C64">
            <w:pPr>
              <w:spacing w:line="240" w:lineRule="exact"/>
              <w:jc w:val="right"/>
              <w:rPr>
                <w:rFonts w:ascii="宋体" w:hAnsi="宋体" w:eastAsia="宋体" w:cs="宋体"/>
                <w:sz w:val="18"/>
                <w:szCs w:val="18"/>
              </w:rPr>
            </w:pPr>
          </w:p>
        </w:tc>
      </w:tr>
      <w:tr w14:paraId="4BE01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11F823A">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14:paraId="73A9164D">
            <w:pPr>
              <w:spacing w:line="240" w:lineRule="exact"/>
              <w:jc w:val="right"/>
              <w:rPr>
                <w:rFonts w:ascii="宋体" w:hAnsi="宋体" w:eastAsia="宋体" w:cs="宋体"/>
                <w:sz w:val="18"/>
                <w:szCs w:val="18"/>
              </w:rPr>
            </w:pPr>
            <w:r>
              <w:rPr>
                <w:rFonts w:ascii="宋体" w:hAnsi="宋体" w:eastAsia="宋体" w:cs="宋体"/>
                <w:sz w:val="18"/>
                <w:szCs w:val="18"/>
              </w:rPr>
              <w:t>27,855,790.59</w:t>
            </w:r>
          </w:p>
        </w:tc>
        <w:tc>
          <w:tcPr>
            <w:tcW w:w="1606" w:type="dxa"/>
            <w:tcBorders>
              <w:top w:val="single" w:color="auto" w:sz="2" w:space="0"/>
              <w:left w:val="single" w:color="auto" w:sz="2" w:space="0"/>
              <w:bottom w:val="single" w:color="auto" w:sz="2" w:space="0"/>
              <w:right w:val="single" w:color="auto" w:sz="2" w:space="0"/>
            </w:tcBorders>
            <w:vAlign w:val="center"/>
          </w:tcPr>
          <w:p w14:paraId="17C4E9F4">
            <w:pPr>
              <w:spacing w:line="240" w:lineRule="exact"/>
              <w:jc w:val="right"/>
              <w:rPr>
                <w:rFonts w:ascii="宋体" w:hAnsi="宋体" w:eastAsia="宋体" w:cs="宋体"/>
                <w:sz w:val="18"/>
                <w:szCs w:val="18"/>
              </w:rPr>
            </w:pPr>
            <w:r>
              <w:rPr>
                <w:rFonts w:ascii="宋体" w:hAnsi="宋体" w:eastAsia="宋体" w:cs="宋体"/>
                <w:sz w:val="18"/>
                <w:szCs w:val="18"/>
              </w:rPr>
              <w:t>5,762,437.05</w:t>
            </w:r>
          </w:p>
        </w:tc>
        <w:tc>
          <w:tcPr>
            <w:tcW w:w="1606" w:type="dxa"/>
            <w:tcBorders>
              <w:top w:val="single" w:color="auto" w:sz="2" w:space="0"/>
              <w:left w:val="single" w:color="auto" w:sz="2" w:space="0"/>
              <w:bottom w:val="single" w:color="auto" w:sz="2" w:space="0"/>
              <w:right w:val="single" w:color="auto" w:sz="2" w:space="0"/>
            </w:tcBorders>
            <w:vAlign w:val="center"/>
          </w:tcPr>
          <w:p w14:paraId="79013DFB">
            <w:pPr>
              <w:spacing w:line="240" w:lineRule="exact"/>
              <w:jc w:val="right"/>
              <w:rPr>
                <w:rFonts w:ascii="宋体" w:hAnsi="宋体" w:eastAsia="宋体" w:cs="宋体"/>
                <w:sz w:val="18"/>
                <w:szCs w:val="18"/>
              </w:rPr>
            </w:pPr>
            <w:r>
              <w:rPr>
                <w:rFonts w:ascii="宋体" w:hAnsi="宋体" w:eastAsia="宋体" w:cs="宋体"/>
                <w:sz w:val="18"/>
                <w:szCs w:val="18"/>
              </w:rPr>
              <w:t>38,569.60</w:t>
            </w:r>
          </w:p>
        </w:tc>
        <w:tc>
          <w:tcPr>
            <w:tcW w:w="1606" w:type="dxa"/>
            <w:tcBorders>
              <w:top w:val="single" w:color="auto" w:sz="2" w:space="0"/>
              <w:left w:val="single" w:color="auto" w:sz="2" w:space="0"/>
              <w:bottom w:val="single" w:color="auto" w:sz="2" w:space="0"/>
              <w:right w:val="single" w:color="auto" w:sz="2" w:space="0"/>
            </w:tcBorders>
            <w:vAlign w:val="center"/>
          </w:tcPr>
          <w:p w14:paraId="2E4B6AD3">
            <w:pPr>
              <w:spacing w:line="240" w:lineRule="exact"/>
              <w:jc w:val="right"/>
              <w:rPr>
                <w:rFonts w:ascii="宋体" w:hAnsi="宋体" w:eastAsia="宋体" w:cs="宋体"/>
                <w:sz w:val="18"/>
                <w:szCs w:val="18"/>
              </w:rPr>
            </w:pPr>
            <w:r>
              <w:rPr>
                <w:rFonts w:ascii="宋体" w:hAnsi="宋体" w:eastAsia="宋体" w:cs="宋体"/>
                <w:sz w:val="18"/>
                <w:szCs w:val="18"/>
              </w:rPr>
              <w:t>54,062.75</w:t>
            </w:r>
          </w:p>
        </w:tc>
        <w:tc>
          <w:tcPr>
            <w:tcW w:w="1606" w:type="dxa"/>
            <w:tcBorders>
              <w:top w:val="single" w:color="auto" w:sz="2" w:space="0"/>
              <w:left w:val="single" w:color="auto" w:sz="2" w:space="0"/>
              <w:bottom w:val="single" w:color="auto" w:sz="2" w:space="0"/>
              <w:right w:val="single" w:color="auto" w:sz="2" w:space="0"/>
            </w:tcBorders>
            <w:vAlign w:val="center"/>
          </w:tcPr>
          <w:p w14:paraId="48DE046D">
            <w:pPr>
              <w:spacing w:line="240" w:lineRule="exact"/>
              <w:jc w:val="right"/>
              <w:rPr>
                <w:rFonts w:ascii="宋体" w:hAnsi="宋体" w:eastAsia="宋体" w:cs="宋体"/>
                <w:sz w:val="18"/>
                <w:szCs w:val="18"/>
              </w:rPr>
            </w:pPr>
            <w:r>
              <w:rPr>
                <w:rFonts w:ascii="宋体" w:hAnsi="宋体" w:eastAsia="宋体" w:cs="宋体"/>
                <w:sz w:val="18"/>
                <w:szCs w:val="18"/>
              </w:rPr>
              <w:t>33,710,859.99</w:t>
            </w:r>
          </w:p>
        </w:tc>
      </w:tr>
      <w:tr w14:paraId="4CE22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E93E944">
            <w:pPr>
              <w:spacing w:before="40" w:after="40" w:line="240" w:lineRule="exact"/>
              <w:rPr>
                <w:rFonts w:ascii="宋体" w:hAnsi="宋体" w:eastAsia="宋体" w:cs="宋体"/>
                <w:sz w:val="18"/>
                <w:szCs w:val="18"/>
              </w:rPr>
            </w:pPr>
            <w:r>
              <w:rPr>
                <w:rFonts w:ascii="宋体" w:hAnsi="宋体" w:eastAsia="宋体" w:cs="宋体"/>
                <w:sz w:val="18"/>
                <w:szCs w:val="18"/>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14:paraId="5688375E">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3BE771E">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7A5230F">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18A2F9D">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2F1257A">
            <w:pPr>
              <w:spacing w:line="240" w:lineRule="exact"/>
              <w:jc w:val="right"/>
              <w:rPr>
                <w:rFonts w:ascii="宋体" w:hAnsi="宋体" w:eastAsia="宋体" w:cs="宋体"/>
                <w:sz w:val="18"/>
                <w:szCs w:val="18"/>
              </w:rPr>
            </w:pPr>
          </w:p>
        </w:tc>
      </w:tr>
      <w:tr w14:paraId="3370A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5E84F9B">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14:paraId="292482F9">
            <w:pPr>
              <w:spacing w:line="240" w:lineRule="exact"/>
              <w:jc w:val="right"/>
              <w:rPr>
                <w:rFonts w:ascii="宋体" w:hAnsi="宋体" w:eastAsia="宋体" w:cs="宋体"/>
                <w:sz w:val="18"/>
                <w:szCs w:val="18"/>
              </w:rPr>
            </w:pPr>
            <w:r>
              <w:rPr>
                <w:rFonts w:ascii="宋体" w:hAnsi="宋体" w:eastAsia="宋体" w:cs="宋体"/>
                <w:sz w:val="18"/>
                <w:szCs w:val="18"/>
              </w:rPr>
              <w:t>2,494,538,588.35</w:t>
            </w:r>
          </w:p>
        </w:tc>
        <w:tc>
          <w:tcPr>
            <w:tcW w:w="1606" w:type="dxa"/>
            <w:tcBorders>
              <w:top w:val="single" w:color="auto" w:sz="2" w:space="0"/>
              <w:left w:val="single" w:color="auto" w:sz="2" w:space="0"/>
              <w:bottom w:val="single" w:color="auto" w:sz="2" w:space="0"/>
              <w:right w:val="single" w:color="auto" w:sz="2" w:space="0"/>
            </w:tcBorders>
            <w:vAlign w:val="center"/>
          </w:tcPr>
          <w:p w14:paraId="2D96B6BB">
            <w:pPr>
              <w:spacing w:line="240" w:lineRule="exact"/>
              <w:jc w:val="right"/>
              <w:rPr>
                <w:rFonts w:ascii="宋体" w:hAnsi="宋体" w:eastAsia="宋体" w:cs="宋体"/>
                <w:sz w:val="18"/>
                <w:szCs w:val="18"/>
              </w:rPr>
            </w:pPr>
            <w:r>
              <w:rPr>
                <w:rFonts w:ascii="宋体" w:hAnsi="宋体" w:eastAsia="宋体" w:cs="宋体"/>
                <w:sz w:val="18"/>
                <w:szCs w:val="18"/>
              </w:rPr>
              <w:t>2,052,559,032.70</w:t>
            </w:r>
          </w:p>
        </w:tc>
        <w:tc>
          <w:tcPr>
            <w:tcW w:w="1606" w:type="dxa"/>
            <w:tcBorders>
              <w:top w:val="single" w:color="auto" w:sz="2" w:space="0"/>
              <w:left w:val="single" w:color="auto" w:sz="2" w:space="0"/>
              <w:bottom w:val="single" w:color="auto" w:sz="2" w:space="0"/>
              <w:right w:val="single" w:color="auto" w:sz="2" w:space="0"/>
            </w:tcBorders>
            <w:vAlign w:val="center"/>
          </w:tcPr>
          <w:p w14:paraId="786E21C2">
            <w:pPr>
              <w:spacing w:line="240" w:lineRule="exact"/>
              <w:jc w:val="right"/>
              <w:rPr>
                <w:rFonts w:ascii="宋体" w:hAnsi="宋体" w:eastAsia="宋体" w:cs="宋体"/>
                <w:sz w:val="18"/>
                <w:szCs w:val="18"/>
              </w:rPr>
            </w:pPr>
            <w:r>
              <w:rPr>
                <w:rFonts w:ascii="宋体" w:hAnsi="宋体" w:eastAsia="宋体" w:cs="宋体"/>
                <w:sz w:val="18"/>
                <w:szCs w:val="18"/>
              </w:rPr>
              <w:t>10,065,586.89</w:t>
            </w:r>
          </w:p>
        </w:tc>
        <w:tc>
          <w:tcPr>
            <w:tcW w:w="1606" w:type="dxa"/>
            <w:tcBorders>
              <w:top w:val="single" w:color="auto" w:sz="2" w:space="0"/>
              <w:left w:val="single" w:color="auto" w:sz="2" w:space="0"/>
              <w:bottom w:val="single" w:color="auto" w:sz="2" w:space="0"/>
              <w:right w:val="single" w:color="auto" w:sz="2" w:space="0"/>
            </w:tcBorders>
            <w:vAlign w:val="center"/>
          </w:tcPr>
          <w:p w14:paraId="1D769829">
            <w:pPr>
              <w:spacing w:line="240" w:lineRule="exact"/>
              <w:jc w:val="right"/>
              <w:rPr>
                <w:rFonts w:ascii="宋体" w:hAnsi="宋体" w:eastAsia="宋体" w:cs="宋体"/>
                <w:sz w:val="18"/>
                <w:szCs w:val="18"/>
              </w:rPr>
            </w:pPr>
            <w:r>
              <w:rPr>
                <w:rFonts w:ascii="宋体" w:hAnsi="宋体" w:eastAsia="宋体" w:cs="宋体"/>
                <w:sz w:val="18"/>
                <w:szCs w:val="18"/>
              </w:rPr>
              <w:t>15,553,903.80</w:t>
            </w:r>
          </w:p>
        </w:tc>
        <w:tc>
          <w:tcPr>
            <w:tcW w:w="1606" w:type="dxa"/>
            <w:tcBorders>
              <w:top w:val="single" w:color="auto" w:sz="2" w:space="0"/>
              <w:left w:val="single" w:color="auto" w:sz="2" w:space="0"/>
              <w:bottom w:val="single" w:color="auto" w:sz="2" w:space="0"/>
              <w:right w:val="single" w:color="auto" w:sz="2" w:space="0"/>
            </w:tcBorders>
            <w:vAlign w:val="center"/>
          </w:tcPr>
          <w:p w14:paraId="464269F6">
            <w:pPr>
              <w:spacing w:line="240" w:lineRule="exact"/>
              <w:jc w:val="right"/>
              <w:rPr>
                <w:rFonts w:ascii="宋体" w:hAnsi="宋体" w:eastAsia="宋体" w:cs="宋体"/>
                <w:sz w:val="18"/>
                <w:szCs w:val="18"/>
              </w:rPr>
            </w:pPr>
            <w:r>
              <w:rPr>
                <w:rFonts w:ascii="宋体" w:hAnsi="宋体" w:eastAsia="宋体" w:cs="宋体"/>
                <w:sz w:val="18"/>
                <w:szCs w:val="18"/>
              </w:rPr>
              <w:t>4,572,717,111.74</w:t>
            </w:r>
          </w:p>
        </w:tc>
      </w:tr>
      <w:tr w14:paraId="148C7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48D55F4">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14:paraId="3BEA3038">
            <w:pPr>
              <w:spacing w:line="240" w:lineRule="exact"/>
              <w:jc w:val="right"/>
              <w:rPr>
                <w:rFonts w:ascii="宋体" w:hAnsi="宋体" w:eastAsia="宋体" w:cs="宋体"/>
                <w:sz w:val="18"/>
                <w:szCs w:val="18"/>
              </w:rPr>
            </w:pPr>
            <w:r>
              <w:rPr>
                <w:rFonts w:ascii="宋体" w:hAnsi="宋体" w:eastAsia="宋体" w:cs="宋体"/>
                <w:sz w:val="18"/>
                <w:szCs w:val="18"/>
              </w:rPr>
              <w:t>2,477,714,357.49</w:t>
            </w:r>
          </w:p>
        </w:tc>
        <w:tc>
          <w:tcPr>
            <w:tcW w:w="1606" w:type="dxa"/>
            <w:tcBorders>
              <w:top w:val="single" w:color="auto" w:sz="2" w:space="0"/>
              <w:left w:val="single" w:color="auto" w:sz="2" w:space="0"/>
              <w:bottom w:val="single" w:color="auto" w:sz="2" w:space="0"/>
              <w:right w:val="single" w:color="auto" w:sz="2" w:space="0"/>
            </w:tcBorders>
            <w:vAlign w:val="center"/>
          </w:tcPr>
          <w:p w14:paraId="3F193E18">
            <w:pPr>
              <w:spacing w:line="240" w:lineRule="exact"/>
              <w:jc w:val="right"/>
              <w:rPr>
                <w:rFonts w:ascii="宋体" w:hAnsi="宋体" w:eastAsia="宋体" w:cs="宋体"/>
                <w:sz w:val="18"/>
                <w:szCs w:val="18"/>
              </w:rPr>
            </w:pPr>
            <w:r>
              <w:rPr>
                <w:rFonts w:ascii="宋体" w:hAnsi="宋体" w:eastAsia="宋体" w:cs="宋体"/>
                <w:sz w:val="18"/>
                <w:szCs w:val="18"/>
              </w:rPr>
              <w:t>2,191,545,979.74</w:t>
            </w:r>
          </w:p>
        </w:tc>
        <w:tc>
          <w:tcPr>
            <w:tcW w:w="1606" w:type="dxa"/>
            <w:tcBorders>
              <w:top w:val="single" w:color="auto" w:sz="2" w:space="0"/>
              <w:left w:val="single" w:color="auto" w:sz="2" w:space="0"/>
              <w:bottom w:val="single" w:color="auto" w:sz="2" w:space="0"/>
              <w:right w:val="single" w:color="auto" w:sz="2" w:space="0"/>
            </w:tcBorders>
            <w:vAlign w:val="center"/>
          </w:tcPr>
          <w:p w14:paraId="2F905B33">
            <w:pPr>
              <w:spacing w:line="240" w:lineRule="exact"/>
              <w:jc w:val="right"/>
              <w:rPr>
                <w:rFonts w:ascii="宋体" w:hAnsi="宋体" w:eastAsia="宋体" w:cs="宋体"/>
                <w:sz w:val="18"/>
                <w:szCs w:val="18"/>
              </w:rPr>
            </w:pPr>
            <w:r>
              <w:rPr>
                <w:rFonts w:ascii="宋体" w:hAnsi="宋体" w:eastAsia="宋体" w:cs="宋体"/>
                <w:sz w:val="18"/>
                <w:szCs w:val="18"/>
              </w:rPr>
              <w:t>12,269,606.54</w:t>
            </w:r>
          </w:p>
        </w:tc>
        <w:tc>
          <w:tcPr>
            <w:tcW w:w="1606" w:type="dxa"/>
            <w:tcBorders>
              <w:top w:val="single" w:color="auto" w:sz="2" w:space="0"/>
              <w:left w:val="single" w:color="auto" w:sz="2" w:space="0"/>
              <w:bottom w:val="single" w:color="auto" w:sz="2" w:space="0"/>
              <w:right w:val="single" w:color="auto" w:sz="2" w:space="0"/>
            </w:tcBorders>
            <w:vAlign w:val="center"/>
          </w:tcPr>
          <w:p w14:paraId="7AFFED01">
            <w:pPr>
              <w:spacing w:line="240" w:lineRule="exact"/>
              <w:jc w:val="right"/>
              <w:rPr>
                <w:rFonts w:ascii="宋体" w:hAnsi="宋体" w:eastAsia="宋体" w:cs="宋体"/>
                <w:sz w:val="18"/>
                <w:szCs w:val="18"/>
              </w:rPr>
            </w:pPr>
            <w:r>
              <w:rPr>
                <w:rFonts w:ascii="宋体" w:hAnsi="宋体" w:eastAsia="宋体" w:cs="宋体"/>
                <w:sz w:val="18"/>
                <w:szCs w:val="18"/>
              </w:rPr>
              <w:t>19,268,445.36</w:t>
            </w:r>
          </w:p>
        </w:tc>
        <w:tc>
          <w:tcPr>
            <w:tcW w:w="1606" w:type="dxa"/>
            <w:tcBorders>
              <w:top w:val="single" w:color="auto" w:sz="2" w:space="0"/>
              <w:left w:val="single" w:color="auto" w:sz="2" w:space="0"/>
              <w:bottom w:val="single" w:color="auto" w:sz="2" w:space="0"/>
              <w:right w:val="single" w:color="auto" w:sz="2" w:space="0"/>
            </w:tcBorders>
            <w:vAlign w:val="center"/>
          </w:tcPr>
          <w:p w14:paraId="1F78DF6A">
            <w:pPr>
              <w:spacing w:line="240" w:lineRule="exact"/>
              <w:jc w:val="right"/>
              <w:rPr>
                <w:rFonts w:ascii="宋体" w:hAnsi="宋体" w:eastAsia="宋体" w:cs="宋体"/>
                <w:sz w:val="18"/>
                <w:szCs w:val="18"/>
              </w:rPr>
            </w:pPr>
            <w:r>
              <w:rPr>
                <w:rFonts w:ascii="宋体" w:hAnsi="宋体" w:eastAsia="宋体" w:cs="宋体"/>
                <w:sz w:val="18"/>
                <w:szCs w:val="18"/>
              </w:rPr>
              <w:t>4,700,798,389.13</w:t>
            </w:r>
          </w:p>
        </w:tc>
      </w:tr>
    </w:tbl>
    <w:p w14:paraId="7607F035">
      <w:pPr>
        <w:keepNext/>
        <w:keepLines/>
        <w:spacing w:before="300" w:after="300" w:line="280" w:lineRule="exact"/>
        <w:outlineLvl w:val="3"/>
        <w:rPr>
          <w:rFonts w:ascii="宋体" w:hAnsi="宋体" w:eastAsia="宋体" w:cs="宋体"/>
          <w:b/>
          <w:bCs/>
          <w:szCs w:val="21"/>
        </w:rPr>
      </w:pPr>
      <w:bookmarkStart w:id="360" w:name="_Toc989213"/>
      <w:r>
        <w:rPr>
          <w:rFonts w:ascii="宋体" w:hAnsi="宋体" w:eastAsia="宋体" w:cs="宋体"/>
          <w:b/>
          <w:bCs/>
          <w:szCs w:val="21"/>
        </w:rPr>
        <w:t>（2） 暂时闲置的固定资产情况</w:t>
      </w:r>
      <w:bookmarkEnd w:id="360"/>
    </w:p>
    <w:p w14:paraId="3C63E59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14:paraId="0AB47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8E30C1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E82638B">
            <w:pPr>
              <w:spacing w:before="40" w:after="40" w:line="240" w:lineRule="exact"/>
              <w:jc w:val="center"/>
              <w:rPr>
                <w:rFonts w:ascii="宋体" w:hAnsi="宋体" w:eastAsia="宋体" w:cs="宋体"/>
                <w:sz w:val="18"/>
                <w:szCs w:val="18"/>
              </w:rPr>
            </w:pPr>
            <w:r>
              <w:rPr>
                <w:rFonts w:ascii="宋体" w:hAnsi="宋体" w:eastAsia="宋体" w:cs="宋体"/>
                <w:sz w:val="18"/>
                <w:szCs w:val="18"/>
              </w:rPr>
              <w:t>账面原值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847E451">
            <w:pPr>
              <w:spacing w:before="40" w:after="40" w:line="240" w:lineRule="exact"/>
              <w:jc w:val="center"/>
              <w:rPr>
                <w:rFonts w:ascii="宋体" w:hAnsi="宋体" w:eastAsia="宋体" w:cs="宋体"/>
                <w:sz w:val="18"/>
                <w:szCs w:val="18"/>
              </w:rPr>
            </w:pPr>
            <w:r>
              <w:rPr>
                <w:rFonts w:ascii="宋体" w:hAnsi="宋体" w:eastAsia="宋体" w:cs="宋体"/>
                <w:sz w:val="18"/>
                <w:szCs w:val="18"/>
              </w:rPr>
              <w:t>累计折旧</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0DFC504">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C785637">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2B39FBB">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r w14:paraId="4B929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BEF812F">
            <w:pPr>
              <w:spacing w:line="240" w:lineRule="exact"/>
              <w:rPr>
                <w:rFonts w:ascii="宋体" w:hAnsi="宋体" w:eastAsia="宋体" w:cs="宋体"/>
                <w:sz w:val="18"/>
                <w:szCs w:val="18"/>
              </w:rPr>
            </w:pPr>
            <w:r>
              <w:rPr>
                <w:rFonts w:ascii="宋体" w:hAnsi="宋体" w:eastAsia="宋体" w:cs="宋体"/>
                <w:sz w:val="18"/>
                <w:szCs w:val="18"/>
              </w:rPr>
              <w:t>房屋及建筑物</w:t>
            </w:r>
          </w:p>
        </w:tc>
        <w:tc>
          <w:tcPr>
            <w:tcW w:w="1606" w:type="dxa"/>
            <w:tcBorders>
              <w:top w:val="single" w:color="auto" w:sz="2" w:space="0"/>
              <w:left w:val="single" w:color="auto" w:sz="2" w:space="0"/>
              <w:bottom w:val="single" w:color="auto" w:sz="2" w:space="0"/>
              <w:right w:val="single" w:color="auto" w:sz="2" w:space="0"/>
            </w:tcBorders>
            <w:vAlign w:val="center"/>
          </w:tcPr>
          <w:p w14:paraId="36CC072C">
            <w:pPr>
              <w:spacing w:line="240" w:lineRule="exact"/>
              <w:jc w:val="right"/>
              <w:rPr>
                <w:rFonts w:ascii="宋体" w:hAnsi="宋体" w:eastAsia="宋体" w:cs="宋体"/>
                <w:sz w:val="18"/>
                <w:szCs w:val="18"/>
              </w:rPr>
            </w:pPr>
            <w:r>
              <w:rPr>
                <w:rFonts w:ascii="宋体" w:hAnsi="宋体" w:eastAsia="宋体" w:cs="宋体"/>
                <w:sz w:val="18"/>
                <w:szCs w:val="18"/>
              </w:rPr>
              <w:t>127,815,120.63</w:t>
            </w:r>
          </w:p>
        </w:tc>
        <w:tc>
          <w:tcPr>
            <w:tcW w:w="1606" w:type="dxa"/>
            <w:tcBorders>
              <w:top w:val="single" w:color="auto" w:sz="2" w:space="0"/>
              <w:left w:val="single" w:color="auto" w:sz="2" w:space="0"/>
              <w:bottom w:val="single" w:color="auto" w:sz="2" w:space="0"/>
              <w:right w:val="single" w:color="auto" w:sz="2" w:space="0"/>
            </w:tcBorders>
            <w:vAlign w:val="center"/>
          </w:tcPr>
          <w:p w14:paraId="76CE5336">
            <w:pPr>
              <w:spacing w:line="240" w:lineRule="exact"/>
              <w:jc w:val="right"/>
              <w:rPr>
                <w:rFonts w:ascii="宋体" w:hAnsi="宋体" w:eastAsia="宋体" w:cs="宋体"/>
                <w:sz w:val="18"/>
                <w:szCs w:val="18"/>
              </w:rPr>
            </w:pPr>
            <w:r>
              <w:rPr>
                <w:rFonts w:ascii="宋体" w:hAnsi="宋体" w:eastAsia="宋体" w:cs="宋体"/>
                <w:sz w:val="18"/>
                <w:szCs w:val="18"/>
              </w:rPr>
              <w:t>62,795,544.65</w:t>
            </w:r>
          </w:p>
        </w:tc>
        <w:tc>
          <w:tcPr>
            <w:tcW w:w="1606" w:type="dxa"/>
            <w:tcBorders>
              <w:top w:val="single" w:color="auto" w:sz="2" w:space="0"/>
              <w:left w:val="single" w:color="auto" w:sz="2" w:space="0"/>
              <w:bottom w:val="single" w:color="auto" w:sz="2" w:space="0"/>
              <w:right w:val="single" w:color="auto" w:sz="2" w:space="0"/>
            </w:tcBorders>
            <w:vAlign w:val="center"/>
          </w:tcPr>
          <w:p w14:paraId="6EB04FF3">
            <w:pPr>
              <w:spacing w:line="240" w:lineRule="exact"/>
              <w:jc w:val="right"/>
              <w:rPr>
                <w:rFonts w:ascii="宋体" w:hAnsi="宋体" w:eastAsia="宋体" w:cs="宋体"/>
                <w:sz w:val="18"/>
                <w:szCs w:val="18"/>
              </w:rPr>
            </w:pPr>
            <w:r>
              <w:rPr>
                <w:rFonts w:ascii="宋体" w:hAnsi="宋体" w:eastAsia="宋体" w:cs="宋体"/>
                <w:sz w:val="18"/>
                <w:szCs w:val="18"/>
              </w:rPr>
              <w:t>5,427,163.78</w:t>
            </w:r>
          </w:p>
        </w:tc>
        <w:tc>
          <w:tcPr>
            <w:tcW w:w="1606" w:type="dxa"/>
            <w:tcBorders>
              <w:top w:val="single" w:color="auto" w:sz="2" w:space="0"/>
              <w:left w:val="single" w:color="auto" w:sz="2" w:space="0"/>
              <w:bottom w:val="single" w:color="auto" w:sz="2" w:space="0"/>
              <w:right w:val="single" w:color="auto" w:sz="2" w:space="0"/>
            </w:tcBorders>
            <w:vAlign w:val="center"/>
          </w:tcPr>
          <w:p w14:paraId="73FEFAD3">
            <w:pPr>
              <w:spacing w:line="240" w:lineRule="exact"/>
              <w:jc w:val="right"/>
              <w:rPr>
                <w:rFonts w:ascii="宋体" w:hAnsi="宋体" w:eastAsia="宋体" w:cs="宋体"/>
                <w:sz w:val="18"/>
                <w:szCs w:val="18"/>
              </w:rPr>
            </w:pPr>
            <w:r>
              <w:rPr>
                <w:rFonts w:ascii="宋体" w:hAnsi="宋体" w:eastAsia="宋体" w:cs="宋体"/>
                <w:sz w:val="18"/>
                <w:szCs w:val="18"/>
              </w:rPr>
              <w:t>59,592,412.20</w:t>
            </w:r>
          </w:p>
        </w:tc>
        <w:tc>
          <w:tcPr>
            <w:tcW w:w="1606" w:type="dxa"/>
            <w:tcBorders>
              <w:top w:val="single" w:color="auto" w:sz="2" w:space="0"/>
              <w:left w:val="single" w:color="auto" w:sz="2" w:space="0"/>
              <w:bottom w:val="single" w:color="auto" w:sz="2" w:space="0"/>
              <w:right w:val="single" w:color="auto" w:sz="2" w:space="0"/>
            </w:tcBorders>
            <w:vAlign w:val="center"/>
          </w:tcPr>
          <w:p w14:paraId="688F7FF5">
            <w:pPr>
              <w:spacing w:line="240" w:lineRule="exact"/>
              <w:rPr>
                <w:rFonts w:ascii="宋体" w:hAnsi="宋体" w:eastAsia="宋体" w:cs="宋体"/>
                <w:sz w:val="18"/>
                <w:szCs w:val="18"/>
              </w:rPr>
            </w:pPr>
          </w:p>
        </w:tc>
      </w:tr>
      <w:tr w14:paraId="392A7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F34B417">
            <w:pPr>
              <w:spacing w:line="240" w:lineRule="exact"/>
              <w:rPr>
                <w:rFonts w:ascii="宋体" w:hAnsi="宋体" w:eastAsia="宋体" w:cs="宋体"/>
                <w:sz w:val="18"/>
                <w:szCs w:val="18"/>
              </w:rPr>
            </w:pPr>
            <w:r>
              <w:rPr>
                <w:rFonts w:ascii="宋体" w:hAnsi="宋体" w:eastAsia="宋体" w:cs="宋体"/>
                <w:sz w:val="18"/>
                <w:szCs w:val="18"/>
              </w:rPr>
              <w:t>机器设备</w:t>
            </w:r>
          </w:p>
        </w:tc>
        <w:tc>
          <w:tcPr>
            <w:tcW w:w="1606" w:type="dxa"/>
            <w:tcBorders>
              <w:top w:val="single" w:color="auto" w:sz="2" w:space="0"/>
              <w:left w:val="single" w:color="auto" w:sz="2" w:space="0"/>
              <w:bottom w:val="single" w:color="auto" w:sz="2" w:space="0"/>
              <w:right w:val="single" w:color="auto" w:sz="2" w:space="0"/>
            </w:tcBorders>
            <w:vAlign w:val="center"/>
          </w:tcPr>
          <w:p w14:paraId="7B078D3D">
            <w:pPr>
              <w:spacing w:line="240" w:lineRule="exact"/>
              <w:jc w:val="right"/>
              <w:rPr>
                <w:rFonts w:ascii="宋体" w:hAnsi="宋体" w:eastAsia="宋体" w:cs="宋体"/>
                <w:sz w:val="18"/>
                <w:szCs w:val="18"/>
              </w:rPr>
            </w:pPr>
            <w:r>
              <w:rPr>
                <w:rFonts w:ascii="宋体" w:hAnsi="宋体" w:eastAsia="宋体" w:cs="宋体"/>
                <w:sz w:val="18"/>
                <w:szCs w:val="18"/>
              </w:rPr>
              <w:t>77,750,025.10</w:t>
            </w:r>
          </w:p>
        </w:tc>
        <w:tc>
          <w:tcPr>
            <w:tcW w:w="1606" w:type="dxa"/>
            <w:tcBorders>
              <w:top w:val="single" w:color="auto" w:sz="2" w:space="0"/>
              <w:left w:val="single" w:color="auto" w:sz="2" w:space="0"/>
              <w:bottom w:val="single" w:color="auto" w:sz="2" w:space="0"/>
              <w:right w:val="single" w:color="auto" w:sz="2" w:space="0"/>
            </w:tcBorders>
            <w:vAlign w:val="center"/>
          </w:tcPr>
          <w:p w14:paraId="1D3F5D6F">
            <w:pPr>
              <w:spacing w:line="240" w:lineRule="exact"/>
              <w:jc w:val="right"/>
              <w:rPr>
                <w:rFonts w:ascii="宋体" w:hAnsi="宋体" w:eastAsia="宋体" w:cs="宋体"/>
                <w:sz w:val="18"/>
                <w:szCs w:val="18"/>
              </w:rPr>
            </w:pPr>
            <w:r>
              <w:rPr>
                <w:rFonts w:ascii="宋体" w:hAnsi="宋体" w:eastAsia="宋体" w:cs="宋体"/>
                <w:sz w:val="18"/>
                <w:szCs w:val="18"/>
              </w:rPr>
              <w:t>67,148,155.10</w:t>
            </w:r>
          </w:p>
        </w:tc>
        <w:tc>
          <w:tcPr>
            <w:tcW w:w="1606" w:type="dxa"/>
            <w:tcBorders>
              <w:top w:val="single" w:color="auto" w:sz="2" w:space="0"/>
              <w:left w:val="single" w:color="auto" w:sz="2" w:space="0"/>
              <w:bottom w:val="single" w:color="auto" w:sz="2" w:space="0"/>
              <w:right w:val="single" w:color="auto" w:sz="2" w:space="0"/>
            </w:tcBorders>
            <w:vAlign w:val="center"/>
          </w:tcPr>
          <w:p w14:paraId="5C6FBBFA">
            <w:pPr>
              <w:spacing w:line="240" w:lineRule="exact"/>
              <w:jc w:val="right"/>
              <w:rPr>
                <w:rFonts w:ascii="宋体" w:hAnsi="宋体" w:eastAsia="宋体" w:cs="宋体"/>
                <w:sz w:val="18"/>
                <w:szCs w:val="18"/>
              </w:rPr>
            </w:pPr>
            <w:r>
              <w:rPr>
                <w:rFonts w:ascii="宋体" w:hAnsi="宋体" w:eastAsia="宋体" w:cs="宋体"/>
                <w:sz w:val="18"/>
                <w:szCs w:val="18"/>
              </w:rPr>
              <w:t>3,726,898.25</w:t>
            </w:r>
          </w:p>
        </w:tc>
        <w:tc>
          <w:tcPr>
            <w:tcW w:w="1606" w:type="dxa"/>
            <w:tcBorders>
              <w:top w:val="single" w:color="auto" w:sz="2" w:space="0"/>
              <w:left w:val="single" w:color="auto" w:sz="2" w:space="0"/>
              <w:bottom w:val="single" w:color="auto" w:sz="2" w:space="0"/>
              <w:right w:val="single" w:color="auto" w:sz="2" w:space="0"/>
            </w:tcBorders>
            <w:vAlign w:val="center"/>
          </w:tcPr>
          <w:p w14:paraId="5C1A0159">
            <w:pPr>
              <w:spacing w:line="240" w:lineRule="exact"/>
              <w:jc w:val="right"/>
              <w:rPr>
                <w:rFonts w:ascii="宋体" w:hAnsi="宋体" w:eastAsia="宋体" w:cs="宋体"/>
                <w:sz w:val="18"/>
                <w:szCs w:val="18"/>
              </w:rPr>
            </w:pPr>
            <w:r>
              <w:rPr>
                <w:rFonts w:ascii="宋体" w:hAnsi="宋体" w:eastAsia="宋体" w:cs="宋体"/>
                <w:sz w:val="18"/>
                <w:szCs w:val="18"/>
              </w:rPr>
              <w:t>6,874,971.75</w:t>
            </w:r>
          </w:p>
        </w:tc>
        <w:tc>
          <w:tcPr>
            <w:tcW w:w="1606" w:type="dxa"/>
            <w:tcBorders>
              <w:top w:val="single" w:color="auto" w:sz="2" w:space="0"/>
              <w:left w:val="single" w:color="auto" w:sz="2" w:space="0"/>
              <w:bottom w:val="single" w:color="auto" w:sz="2" w:space="0"/>
              <w:right w:val="single" w:color="auto" w:sz="2" w:space="0"/>
            </w:tcBorders>
            <w:vAlign w:val="center"/>
          </w:tcPr>
          <w:p w14:paraId="377A1F34">
            <w:pPr>
              <w:spacing w:line="240" w:lineRule="exact"/>
              <w:rPr>
                <w:rFonts w:ascii="宋体" w:hAnsi="宋体" w:eastAsia="宋体" w:cs="宋体"/>
                <w:sz w:val="18"/>
                <w:szCs w:val="18"/>
              </w:rPr>
            </w:pPr>
          </w:p>
        </w:tc>
      </w:tr>
      <w:tr w14:paraId="4C7B3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DC71715">
            <w:pPr>
              <w:spacing w:line="240" w:lineRule="exact"/>
              <w:rPr>
                <w:rFonts w:ascii="宋体" w:hAnsi="宋体" w:eastAsia="宋体" w:cs="宋体"/>
                <w:sz w:val="18"/>
                <w:szCs w:val="18"/>
              </w:rPr>
            </w:pPr>
            <w:r>
              <w:rPr>
                <w:rFonts w:ascii="宋体" w:hAnsi="宋体" w:eastAsia="宋体" w:cs="宋体"/>
                <w:sz w:val="18"/>
                <w:szCs w:val="18"/>
              </w:rPr>
              <w:t>运输设备</w:t>
            </w:r>
          </w:p>
        </w:tc>
        <w:tc>
          <w:tcPr>
            <w:tcW w:w="1606" w:type="dxa"/>
            <w:tcBorders>
              <w:top w:val="single" w:color="auto" w:sz="2" w:space="0"/>
              <w:left w:val="single" w:color="auto" w:sz="2" w:space="0"/>
              <w:bottom w:val="single" w:color="auto" w:sz="2" w:space="0"/>
              <w:right w:val="single" w:color="auto" w:sz="2" w:space="0"/>
            </w:tcBorders>
            <w:vAlign w:val="center"/>
          </w:tcPr>
          <w:p w14:paraId="2E5CDC88">
            <w:pPr>
              <w:spacing w:line="240" w:lineRule="exact"/>
              <w:jc w:val="right"/>
              <w:rPr>
                <w:rFonts w:ascii="宋体" w:hAnsi="宋体" w:eastAsia="宋体" w:cs="宋体"/>
                <w:sz w:val="18"/>
                <w:szCs w:val="18"/>
              </w:rPr>
            </w:pPr>
            <w:r>
              <w:rPr>
                <w:rFonts w:ascii="宋体" w:hAnsi="宋体" w:eastAsia="宋体" w:cs="宋体"/>
                <w:sz w:val="18"/>
                <w:szCs w:val="18"/>
              </w:rPr>
              <w:t>569,276.08</w:t>
            </w:r>
          </w:p>
        </w:tc>
        <w:tc>
          <w:tcPr>
            <w:tcW w:w="1606" w:type="dxa"/>
            <w:tcBorders>
              <w:top w:val="single" w:color="auto" w:sz="2" w:space="0"/>
              <w:left w:val="single" w:color="auto" w:sz="2" w:space="0"/>
              <w:bottom w:val="single" w:color="auto" w:sz="2" w:space="0"/>
              <w:right w:val="single" w:color="auto" w:sz="2" w:space="0"/>
            </w:tcBorders>
            <w:vAlign w:val="center"/>
          </w:tcPr>
          <w:p w14:paraId="15E209F3">
            <w:pPr>
              <w:spacing w:line="240" w:lineRule="exact"/>
              <w:jc w:val="right"/>
              <w:rPr>
                <w:rFonts w:ascii="宋体" w:hAnsi="宋体" w:eastAsia="宋体" w:cs="宋体"/>
                <w:sz w:val="18"/>
                <w:szCs w:val="18"/>
              </w:rPr>
            </w:pPr>
            <w:r>
              <w:rPr>
                <w:rFonts w:ascii="宋体" w:hAnsi="宋体" w:eastAsia="宋体" w:cs="宋体"/>
                <w:sz w:val="18"/>
                <w:szCs w:val="18"/>
              </w:rPr>
              <w:t>512,234.32</w:t>
            </w:r>
          </w:p>
        </w:tc>
        <w:tc>
          <w:tcPr>
            <w:tcW w:w="1606" w:type="dxa"/>
            <w:tcBorders>
              <w:top w:val="single" w:color="auto" w:sz="2" w:space="0"/>
              <w:left w:val="single" w:color="auto" w:sz="2" w:space="0"/>
              <w:bottom w:val="single" w:color="auto" w:sz="2" w:space="0"/>
              <w:right w:val="single" w:color="auto" w:sz="2" w:space="0"/>
            </w:tcBorders>
            <w:vAlign w:val="center"/>
          </w:tcPr>
          <w:p w14:paraId="43DD19A6">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F53640E">
            <w:pPr>
              <w:spacing w:line="240" w:lineRule="exact"/>
              <w:jc w:val="right"/>
              <w:rPr>
                <w:rFonts w:ascii="宋体" w:hAnsi="宋体" w:eastAsia="宋体" w:cs="宋体"/>
                <w:sz w:val="18"/>
                <w:szCs w:val="18"/>
              </w:rPr>
            </w:pPr>
            <w:r>
              <w:rPr>
                <w:rFonts w:ascii="宋体" w:hAnsi="宋体" w:eastAsia="宋体" w:cs="宋体"/>
                <w:sz w:val="18"/>
                <w:szCs w:val="18"/>
              </w:rPr>
              <w:t>57,041.76</w:t>
            </w:r>
          </w:p>
        </w:tc>
        <w:tc>
          <w:tcPr>
            <w:tcW w:w="1606" w:type="dxa"/>
            <w:tcBorders>
              <w:top w:val="single" w:color="auto" w:sz="2" w:space="0"/>
              <w:left w:val="single" w:color="auto" w:sz="2" w:space="0"/>
              <w:bottom w:val="single" w:color="auto" w:sz="2" w:space="0"/>
              <w:right w:val="single" w:color="auto" w:sz="2" w:space="0"/>
            </w:tcBorders>
            <w:vAlign w:val="center"/>
          </w:tcPr>
          <w:p w14:paraId="38DA8DAD">
            <w:pPr>
              <w:spacing w:line="240" w:lineRule="exact"/>
              <w:rPr>
                <w:rFonts w:ascii="宋体" w:hAnsi="宋体" w:eastAsia="宋体" w:cs="宋体"/>
                <w:sz w:val="18"/>
                <w:szCs w:val="18"/>
              </w:rPr>
            </w:pPr>
          </w:p>
        </w:tc>
      </w:tr>
      <w:tr w14:paraId="1A96F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45C691F">
            <w:pPr>
              <w:spacing w:line="240" w:lineRule="exact"/>
              <w:rPr>
                <w:rFonts w:ascii="宋体" w:hAnsi="宋体" w:eastAsia="宋体" w:cs="宋体"/>
                <w:sz w:val="18"/>
                <w:szCs w:val="18"/>
              </w:rPr>
            </w:pPr>
            <w:r>
              <w:rPr>
                <w:rFonts w:ascii="宋体" w:hAnsi="宋体" w:eastAsia="宋体" w:cs="宋体"/>
                <w:sz w:val="18"/>
                <w:szCs w:val="18"/>
              </w:rPr>
              <w:t>电子及其他设备</w:t>
            </w:r>
          </w:p>
        </w:tc>
        <w:tc>
          <w:tcPr>
            <w:tcW w:w="1606" w:type="dxa"/>
            <w:tcBorders>
              <w:top w:val="single" w:color="auto" w:sz="2" w:space="0"/>
              <w:left w:val="single" w:color="auto" w:sz="2" w:space="0"/>
              <w:bottom w:val="single" w:color="auto" w:sz="2" w:space="0"/>
              <w:right w:val="single" w:color="auto" w:sz="2" w:space="0"/>
            </w:tcBorders>
            <w:vAlign w:val="center"/>
          </w:tcPr>
          <w:p w14:paraId="47587BEF">
            <w:pPr>
              <w:spacing w:line="240" w:lineRule="exact"/>
              <w:jc w:val="right"/>
              <w:rPr>
                <w:rFonts w:ascii="宋体" w:hAnsi="宋体" w:eastAsia="宋体" w:cs="宋体"/>
                <w:sz w:val="18"/>
                <w:szCs w:val="18"/>
              </w:rPr>
            </w:pPr>
            <w:r>
              <w:rPr>
                <w:rFonts w:ascii="宋体" w:hAnsi="宋体" w:eastAsia="宋体" w:cs="宋体"/>
                <w:sz w:val="18"/>
                <w:szCs w:val="18"/>
              </w:rPr>
              <w:t>10,446,562.90</w:t>
            </w:r>
          </w:p>
        </w:tc>
        <w:tc>
          <w:tcPr>
            <w:tcW w:w="1606" w:type="dxa"/>
            <w:tcBorders>
              <w:top w:val="single" w:color="auto" w:sz="2" w:space="0"/>
              <w:left w:val="single" w:color="auto" w:sz="2" w:space="0"/>
              <w:bottom w:val="single" w:color="auto" w:sz="2" w:space="0"/>
              <w:right w:val="single" w:color="auto" w:sz="2" w:space="0"/>
            </w:tcBorders>
            <w:vAlign w:val="center"/>
          </w:tcPr>
          <w:p w14:paraId="3B4DD528">
            <w:pPr>
              <w:spacing w:line="240" w:lineRule="exact"/>
              <w:jc w:val="right"/>
              <w:rPr>
                <w:rFonts w:ascii="宋体" w:hAnsi="宋体" w:eastAsia="宋体" w:cs="宋体"/>
                <w:sz w:val="18"/>
                <w:szCs w:val="18"/>
              </w:rPr>
            </w:pPr>
            <w:r>
              <w:rPr>
                <w:rFonts w:ascii="宋体" w:hAnsi="宋体" w:eastAsia="宋体" w:cs="宋体"/>
                <w:sz w:val="18"/>
                <w:szCs w:val="18"/>
              </w:rPr>
              <w:t>8,002,779.77</w:t>
            </w:r>
          </w:p>
        </w:tc>
        <w:tc>
          <w:tcPr>
            <w:tcW w:w="1606" w:type="dxa"/>
            <w:tcBorders>
              <w:top w:val="single" w:color="auto" w:sz="2" w:space="0"/>
              <w:left w:val="single" w:color="auto" w:sz="2" w:space="0"/>
              <w:bottom w:val="single" w:color="auto" w:sz="2" w:space="0"/>
              <w:right w:val="single" w:color="auto" w:sz="2" w:space="0"/>
            </w:tcBorders>
            <w:vAlign w:val="center"/>
          </w:tcPr>
          <w:p w14:paraId="6BAF0E32">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2823160">
            <w:pPr>
              <w:spacing w:line="240" w:lineRule="exact"/>
              <w:jc w:val="right"/>
              <w:rPr>
                <w:rFonts w:ascii="宋体" w:hAnsi="宋体" w:eastAsia="宋体" w:cs="宋体"/>
                <w:sz w:val="18"/>
                <w:szCs w:val="18"/>
              </w:rPr>
            </w:pPr>
            <w:r>
              <w:rPr>
                <w:rFonts w:ascii="宋体" w:hAnsi="宋体" w:eastAsia="宋体" w:cs="宋体"/>
                <w:sz w:val="18"/>
                <w:szCs w:val="18"/>
              </w:rPr>
              <w:t>2,443,783.13</w:t>
            </w:r>
          </w:p>
        </w:tc>
        <w:tc>
          <w:tcPr>
            <w:tcW w:w="1606" w:type="dxa"/>
            <w:tcBorders>
              <w:top w:val="single" w:color="auto" w:sz="2" w:space="0"/>
              <w:left w:val="single" w:color="auto" w:sz="2" w:space="0"/>
              <w:bottom w:val="single" w:color="auto" w:sz="2" w:space="0"/>
              <w:right w:val="single" w:color="auto" w:sz="2" w:space="0"/>
            </w:tcBorders>
            <w:vAlign w:val="center"/>
          </w:tcPr>
          <w:p w14:paraId="5405B919">
            <w:pPr>
              <w:spacing w:line="240" w:lineRule="exact"/>
              <w:rPr>
                <w:rFonts w:ascii="宋体" w:hAnsi="宋体" w:eastAsia="宋体" w:cs="宋体"/>
                <w:sz w:val="18"/>
                <w:szCs w:val="18"/>
              </w:rPr>
            </w:pPr>
          </w:p>
        </w:tc>
      </w:tr>
      <w:tr w14:paraId="5F16F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AE1D89F">
            <w:pPr>
              <w:spacing w:line="240" w:lineRule="exac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14:paraId="76115512">
            <w:pPr>
              <w:spacing w:line="240" w:lineRule="exact"/>
              <w:jc w:val="right"/>
              <w:rPr>
                <w:rFonts w:ascii="宋体" w:hAnsi="宋体" w:eastAsia="宋体" w:cs="宋体"/>
                <w:sz w:val="18"/>
                <w:szCs w:val="18"/>
              </w:rPr>
            </w:pPr>
            <w:r>
              <w:rPr>
                <w:rFonts w:ascii="宋体" w:hAnsi="宋体" w:eastAsia="宋体" w:cs="宋体"/>
                <w:sz w:val="18"/>
                <w:szCs w:val="18"/>
              </w:rPr>
              <w:t>216,580,984.71</w:t>
            </w:r>
          </w:p>
        </w:tc>
        <w:tc>
          <w:tcPr>
            <w:tcW w:w="1606" w:type="dxa"/>
            <w:tcBorders>
              <w:top w:val="single" w:color="auto" w:sz="2" w:space="0"/>
              <w:left w:val="single" w:color="auto" w:sz="2" w:space="0"/>
              <w:bottom w:val="single" w:color="auto" w:sz="2" w:space="0"/>
              <w:right w:val="single" w:color="auto" w:sz="2" w:space="0"/>
            </w:tcBorders>
            <w:vAlign w:val="center"/>
          </w:tcPr>
          <w:p w14:paraId="2396F249">
            <w:pPr>
              <w:spacing w:line="240" w:lineRule="exact"/>
              <w:jc w:val="right"/>
              <w:rPr>
                <w:rFonts w:ascii="宋体" w:hAnsi="宋体" w:eastAsia="宋体" w:cs="宋体"/>
                <w:sz w:val="18"/>
                <w:szCs w:val="18"/>
              </w:rPr>
            </w:pPr>
            <w:r>
              <w:rPr>
                <w:rFonts w:ascii="宋体" w:hAnsi="宋体" w:eastAsia="宋体" w:cs="宋体"/>
                <w:sz w:val="18"/>
                <w:szCs w:val="18"/>
              </w:rPr>
              <w:t>138,458,713.84</w:t>
            </w:r>
          </w:p>
        </w:tc>
        <w:tc>
          <w:tcPr>
            <w:tcW w:w="1606" w:type="dxa"/>
            <w:tcBorders>
              <w:top w:val="single" w:color="auto" w:sz="2" w:space="0"/>
              <w:left w:val="single" w:color="auto" w:sz="2" w:space="0"/>
              <w:bottom w:val="single" w:color="auto" w:sz="2" w:space="0"/>
              <w:right w:val="single" w:color="auto" w:sz="2" w:space="0"/>
            </w:tcBorders>
            <w:vAlign w:val="center"/>
          </w:tcPr>
          <w:p w14:paraId="30AAD3DE">
            <w:pPr>
              <w:spacing w:line="240" w:lineRule="exact"/>
              <w:jc w:val="right"/>
              <w:rPr>
                <w:rFonts w:ascii="宋体" w:hAnsi="宋体" w:eastAsia="宋体" w:cs="宋体"/>
                <w:sz w:val="18"/>
                <w:szCs w:val="18"/>
              </w:rPr>
            </w:pPr>
            <w:r>
              <w:rPr>
                <w:rFonts w:ascii="宋体" w:hAnsi="宋体" w:eastAsia="宋体" w:cs="宋体"/>
                <w:sz w:val="18"/>
                <w:szCs w:val="18"/>
              </w:rPr>
              <w:t>9,154,062.03</w:t>
            </w:r>
          </w:p>
        </w:tc>
        <w:tc>
          <w:tcPr>
            <w:tcW w:w="1606" w:type="dxa"/>
            <w:tcBorders>
              <w:top w:val="single" w:color="auto" w:sz="2" w:space="0"/>
              <w:left w:val="single" w:color="auto" w:sz="2" w:space="0"/>
              <w:bottom w:val="single" w:color="auto" w:sz="2" w:space="0"/>
              <w:right w:val="single" w:color="auto" w:sz="2" w:space="0"/>
            </w:tcBorders>
            <w:vAlign w:val="center"/>
          </w:tcPr>
          <w:p w14:paraId="6CC21BDC">
            <w:pPr>
              <w:spacing w:line="240" w:lineRule="exact"/>
              <w:jc w:val="right"/>
              <w:rPr>
                <w:rFonts w:ascii="宋体" w:hAnsi="宋体" w:eastAsia="宋体" w:cs="宋体"/>
                <w:sz w:val="18"/>
                <w:szCs w:val="18"/>
              </w:rPr>
            </w:pPr>
            <w:r>
              <w:rPr>
                <w:rFonts w:ascii="宋体" w:hAnsi="宋体" w:eastAsia="宋体" w:cs="宋体"/>
                <w:sz w:val="18"/>
                <w:szCs w:val="18"/>
              </w:rPr>
              <w:t>68,968,208.84</w:t>
            </w:r>
          </w:p>
        </w:tc>
        <w:tc>
          <w:tcPr>
            <w:tcW w:w="1606" w:type="dxa"/>
            <w:tcBorders>
              <w:top w:val="single" w:color="auto" w:sz="2" w:space="0"/>
              <w:left w:val="single" w:color="auto" w:sz="2" w:space="0"/>
              <w:bottom w:val="single" w:color="auto" w:sz="2" w:space="0"/>
              <w:right w:val="single" w:color="auto" w:sz="2" w:space="0"/>
            </w:tcBorders>
            <w:vAlign w:val="center"/>
          </w:tcPr>
          <w:p w14:paraId="5A946B88">
            <w:pPr>
              <w:spacing w:line="240" w:lineRule="exact"/>
              <w:rPr>
                <w:rFonts w:ascii="宋体" w:hAnsi="宋体" w:eastAsia="宋体" w:cs="宋体"/>
                <w:sz w:val="18"/>
                <w:szCs w:val="18"/>
              </w:rPr>
            </w:pPr>
          </w:p>
        </w:tc>
      </w:tr>
    </w:tbl>
    <w:p w14:paraId="71B3EDAE">
      <w:pPr>
        <w:keepNext/>
        <w:keepLines/>
        <w:spacing w:before="300" w:after="300" w:line="280" w:lineRule="exact"/>
        <w:outlineLvl w:val="3"/>
        <w:rPr>
          <w:rFonts w:ascii="宋体" w:hAnsi="宋体" w:eastAsia="宋体" w:cs="宋体"/>
          <w:b/>
          <w:bCs/>
          <w:szCs w:val="21"/>
        </w:rPr>
      </w:pPr>
      <w:bookmarkStart w:id="361" w:name="_Toc989214"/>
      <w:r>
        <w:rPr>
          <w:rFonts w:ascii="宋体" w:hAnsi="宋体" w:eastAsia="宋体" w:cs="宋体"/>
          <w:b/>
          <w:bCs/>
          <w:szCs w:val="21"/>
        </w:rPr>
        <w:t>（3） 通过经营租赁租出的固定资产</w:t>
      </w:r>
      <w:bookmarkEnd w:id="361"/>
    </w:p>
    <w:p w14:paraId="037F8AD4">
      <w:pPr>
        <w:keepNext/>
        <w:keepLines/>
        <w:spacing w:before="300" w:after="300" w:line="280" w:lineRule="exact"/>
        <w:outlineLvl w:val="3"/>
        <w:rPr>
          <w:rFonts w:ascii="宋体" w:hAnsi="宋体" w:eastAsia="宋体" w:cs="宋体"/>
          <w:b/>
          <w:bCs/>
          <w:szCs w:val="21"/>
        </w:rPr>
      </w:pPr>
      <w:bookmarkStart w:id="362" w:name="_Toc989215"/>
      <w:r>
        <w:rPr>
          <w:rFonts w:ascii="宋体" w:hAnsi="宋体" w:eastAsia="宋体" w:cs="宋体"/>
          <w:b/>
          <w:bCs/>
          <w:szCs w:val="21"/>
        </w:rPr>
        <w:t>（4） 未办妥产权证书的固定资产情况</w:t>
      </w:r>
      <w:bookmarkEnd w:id="362"/>
    </w:p>
    <w:p w14:paraId="7FE3698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FEC5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96071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6CE595">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C53648">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r w14:paraId="1B253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DF063A5">
            <w:pPr>
              <w:spacing w:line="240" w:lineRule="exact"/>
              <w:rPr>
                <w:rFonts w:ascii="宋体" w:hAnsi="宋体" w:eastAsia="宋体" w:cs="宋体"/>
                <w:sz w:val="18"/>
                <w:szCs w:val="18"/>
              </w:rPr>
            </w:pPr>
            <w:r>
              <w:rPr>
                <w:rFonts w:ascii="宋体" w:hAnsi="宋体" w:eastAsia="宋体" w:cs="宋体"/>
                <w:sz w:val="18"/>
                <w:szCs w:val="18"/>
              </w:rPr>
              <w:t>房屋及建筑物</w:t>
            </w:r>
          </w:p>
        </w:tc>
        <w:tc>
          <w:tcPr>
            <w:tcW w:w="3213" w:type="dxa"/>
            <w:tcBorders>
              <w:top w:val="single" w:color="auto" w:sz="2" w:space="0"/>
              <w:left w:val="single" w:color="auto" w:sz="2" w:space="0"/>
              <w:bottom w:val="single" w:color="auto" w:sz="2" w:space="0"/>
              <w:right w:val="single" w:color="auto" w:sz="2" w:space="0"/>
            </w:tcBorders>
            <w:vAlign w:val="center"/>
          </w:tcPr>
          <w:p w14:paraId="4A1CC29B">
            <w:pPr>
              <w:spacing w:line="240" w:lineRule="exact"/>
              <w:jc w:val="right"/>
              <w:rPr>
                <w:rFonts w:ascii="宋体" w:hAnsi="宋体" w:eastAsia="宋体" w:cs="宋体"/>
                <w:sz w:val="18"/>
                <w:szCs w:val="18"/>
              </w:rPr>
            </w:pPr>
            <w:r>
              <w:rPr>
                <w:rFonts w:ascii="宋体" w:hAnsi="宋体" w:eastAsia="宋体" w:cs="宋体"/>
                <w:sz w:val="18"/>
                <w:szCs w:val="18"/>
              </w:rPr>
              <w:t>65,558,531.42</w:t>
            </w:r>
          </w:p>
        </w:tc>
        <w:tc>
          <w:tcPr>
            <w:tcW w:w="3213" w:type="dxa"/>
            <w:tcBorders>
              <w:top w:val="single" w:color="auto" w:sz="2" w:space="0"/>
              <w:left w:val="single" w:color="auto" w:sz="2" w:space="0"/>
              <w:bottom w:val="single" w:color="auto" w:sz="2" w:space="0"/>
              <w:right w:val="single" w:color="auto" w:sz="2" w:space="0"/>
            </w:tcBorders>
            <w:vAlign w:val="center"/>
          </w:tcPr>
          <w:p w14:paraId="49023DA6">
            <w:pPr>
              <w:spacing w:line="240" w:lineRule="exact"/>
              <w:rPr>
                <w:rFonts w:ascii="宋体" w:hAnsi="宋体" w:eastAsia="宋体" w:cs="宋体"/>
                <w:sz w:val="18"/>
                <w:szCs w:val="18"/>
              </w:rPr>
            </w:pPr>
            <w:r>
              <w:rPr>
                <w:rFonts w:ascii="宋体" w:hAnsi="宋体" w:eastAsia="宋体" w:cs="宋体"/>
                <w:sz w:val="18"/>
                <w:szCs w:val="18"/>
              </w:rPr>
              <w:t>正在办理中</w:t>
            </w:r>
          </w:p>
        </w:tc>
      </w:tr>
    </w:tbl>
    <w:p w14:paraId="020C9EDB">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33588C7D">
      <w:pPr>
        <w:keepNext/>
        <w:keepLines/>
        <w:spacing w:before="300" w:after="300" w:line="280" w:lineRule="exact"/>
        <w:outlineLvl w:val="3"/>
        <w:rPr>
          <w:rFonts w:ascii="宋体" w:hAnsi="宋体" w:eastAsia="宋体" w:cs="宋体"/>
          <w:b/>
          <w:bCs/>
          <w:szCs w:val="21"/>
        </w:rPr>
      </w:pPr>
      <w:bookmarkStart w:id="363" w:name="_Toc989216"/>
      <w:r>
        <w:rPr>
          <w:rFonts w:ascii="宋体" w:hAnsi="宋体" w:eastAsia="宋体" w:cs="宋体"/>
          <w:b/>
          <w:bCs/>
          <w:szCs w:val="21"/>
        </w:rPr>
        <w:t>（5） 固定资产的减值测试情况</w:t>
      </w:r>
      <w:bookmarkEnd w:id="363"/>
    </w:p>
    <w:p w14:paraId="1D9AAB78">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5E59663">
      <w:pPr>
        <w:keepNext/>
        <w:keepLines/>
        <w:spacing w:before="300" w:after="300" w:line="280" w:lineRule="exact"/>
        <w:outlineLvl w:val="3"/>
        <w:rPr>
          <w:rFonts w:ascii="宋体" w:hAnsi="宋体" w:eastAsia="宋体" w:cs="宋体"/>
          <w:b/>
          <w:bCs/>
          <w:szCs w:val="21"/>
        </w:rPr>
      </w:pPr>
      <w:bookmarkStart w:id="364" w:name="_Toc989217"/>
      <w:r>
        <w:rPr>
          <w:rFonts w:ascii="宋体" w:hAnsi="宋体" w:eastAsia="宋体" w:cs="宋体"/>
          <w:b/>
          <w:bCs/>
          <w:szCs w:val="21"/>
        </w:rPr>
        <w:t>（6） 固定资产清理</w:t>
      </w:r>
      <w:bookmarkEnd w:id="364"/>
    </w:p>
    <w:p w14:paraId="3121BC21">
      <w:pPr>
        <w:keepNext/>
        <w:keepLines/>
        <w:spacing w:before="300" w:after="300" w:line="280" w:lineRule="exact"/>
        <w:outlineLvl w:val="3"/>
        <w:rPr>
          <w:rFonts w:ascii="宋体" w:hAnsi="宋体" w:eastAsia="宋体" w:cs="宋体"/>
          <w:b/>
          <w:bCs/>
          <w:szCs w:val="21"/>
        </w:rPr>
      </w:pPr>
    </w:p>
    <w:p w14:paraId="59CD6EE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9E95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F3CAD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20671D">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37557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5C1C6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612F717">
            <w:pPr>
              <w:spacing w:line="240" w:lineRule="exact"/>
              <w:rPr>
                <w:rFonts w:ascii="宋体" w:hAnsi="宋体" w:eastAsia="宋体" w:cs="宋体"/>
                <w:sz w:val="18"/>
                <w:szCs w:val="18"/>
              </w:rPr>
            </w:pPr>
            <w:r>
              <w:rPr>
                <w:rFonts w:ascii="宋体" w:hAnsi="宋体" w:eastAsia="宋体" w:cs="宋体"/>
                <w:sz w:val="18"/>
                <w:szCs w:val="18"/>
              </w:rPr>
              <w:t>待处理设备</w:t>
            </w:r>
          </w:p>
        </w:tc>
        <w:tc>
          <w:tcPr>
            <w:tcW w:w="3213" w:type="dxa"/>
            <w:tcBorders>
              <w:top w:val="single" w:color="auto" w:sz="2" w:space="0"/>
              <w:left w:val="single" w:color="auto" w:sz="2" w:space="0"/>
              <w:bottom w:val="single" w:color="auto" w:sz="2" w:space="0"/>
              <w:right w:val="single" w:color="auto" w:sz="2" w:space="0"/>
            </w:tcBorders>
            <w:vAlign w:val="center"/>
          </w:tcPr>
          <w:p w14:paraId="57AD98AC">
            <w:pPr>
              <w:spacing w:line="240" w:lineRule="exact"/>
              <w:jc w:val="right"/>
              <w:rPr>
                <w:rFonts w:ascii="宋体" w:hAnsi="宋体" w:eastAsia="宋体" w:cs="宋体"/>
                <w:sz w:val="18"/>
                <w:szCs w:val="18"/>
              </w:rPr>
            </w:pPr>
            <w:r>
              <w:rPr>
                <w:rFonts w:ascii="宋体" w:hAnsi="宋体" w:eastAsia="宋体" w:cs="宋体"/>
                <w:sz w:val="18"/>
                <w:szCs w:val="18"/>
              </w:rPr>
              <w:t>1,513,688.61</w:t>
            </w:r>
          </w:p>
        </w:tc>
        <w:tc>
          <w:tcPr>
            <w:tcW w:w="3213" w:type="dxa"/>
            <w:tcBorders>
              <w:top w:val="single" w:color="auto" w:sz="2" w:space="0"/>
              <w:left w:val="single" w:color="auto" w:sz="2" w:space="0"/>
              <w:bottom w:val="single" w:color="auto" w:sz="2" w:space="0"/>
              <w:right w:val="single" w:color="auto" w:sz="2" w:space="0"/>
            </w:tcBorders>
            <w:vAlign w:val="center"/>
          </w:tcPr>
          <w:p w14:paraId="59075E29">
            <w:pPr>
              <w:spacing w:line="240" w:lineRule="exact"/>
              <w:jc w:val="right"/>
              <w:rPr>
                <w:rFonts w:ascii="宋体" w:hAnsi="宋体" w:eastAsia="宋体" w:cs="宋体"/>
                <w:sz w:val="18"/>
                <w:szCs w:val="18"/>
              </w:rPr>
            </w:pPr>
          </w:p>
        </w:tc>
      </w:tr>
      <w:tr w14:paraId="6A978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557B43">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991E2D7">
            <w:pPr>
              <w:spacing w:line="240" w:lineRule="exact"/>
              <w:jc w:val="right"/>
              <w:rPr>
                <w:rFonts w:ascii="宋体" w:hAnsi="宋体" w:eastAsia="宋体" w:cs="宋体"/>
                <w:sz w:val="18"/>
                <w:szCs w:val="18"/>
              </w:rPr>
            </w:pPr>
            <w:r>
              <w:rPr>
                <w:rFonts w:ascii="宋体" w:hAnsi="宋体" w:eastAsia="宋体" w:cs="宋体"/>
                <w:sz w:val="18"/>
                <w:szCs w:val="18"/>
              </w:rPr>
              <w:t>1,513,688.61</w:t>
            </w:r>
          </w:p>
        </w:tc>
        <w:tc>
          <w:tcPr>
            <w:tcW w:w="3213" w:type="dxa"/>
            <w:tcBorders>
              <w:top w:val="single" w:color="auto" w:sz="2" w:space="0"/>
              <w:left w:val="single" w:color="auto" w:sz="2" w:space="0"/>
              <w:bottom w:val="single" w:color="auto" w:sz="2" w:space="0"/>
              <w:right w:val="single" w:color="auto" w:sz="2" w:space="0"/>
            </w:tcBorders>
            <w:vAlign w:val="center"/>
          </w:tcPr>
          <w:p w14:paraId="45375BED">
            <w:pPr>
              <w:spacing w:line="240" w:lineRule="exact"/>
              <w:jc w:val="right"/>
              <w:rPr>
                <w:rFonts w:ascii="宋体" w:hAnsi="宋体" w:eastAsia="宋体" w:cs="宋体"/>
                <w:sz w:val="18"/>
                <w:szCs w:val="18"/>
              </w:rPr>
            </w:pPr>
          </w:p>
        </w:tc>
      </w:tr>
    </w:tbl>
    <w:p w14:paraId="30DE0335">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55E33ECF">
      <w:pPr>
        <w:pStyle w:val="3"/>
        <w:spacing w:line="280" w:lineRule="exact"/>
        <w:jc w:val="left"/>
        <w:rPr>
          <w:rFonts w:ascii="宋体" w:hAnsi="宋体" w:cs="宋体"/>
          <w:b/>
          <w:bCs/>
        </w:rPr>
      </w:pPr>
      <w:bookmarkStart w:id="365" w:name="_Toc989218"/>
      <w:r>
        <w:rPr>
          <w:rFonts w:ascii="宋体" w:hAnsi="宋体" w:cs="宋体"/>
          <w:b/>
          <w:bCs/>
        </w:rPr>
        <w:t>22、在建工程</w:t>
      </w:r>
      <w:bookmarkEnd w:id="365"/>
    </w:p>
    <w:p w14:paraId="4B86191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EDA9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C453C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6D0BAF">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5E357F">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5E106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E8835E2">
            <w:pPr>
              <w:spacing w:before="40" w:after="40" w:line="240" w:lineRule="exac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14:paraId="04B767A1">
            <w:pPr>
              <w:spacing w:line="240" w:lineRule="exact"/>
              <w:jc w:val="right"/>
              <w:rPr>
                <w:rFonts w:ascii="宋体" w:hAnsi="宋体" w:eastAsia="宋体" w:cs="宋体"/>
                <w:sz w:val="18"/>
                <w:szCs w:val="18"/>
              </w:rPr>
            </w:pPr>
            <w:r>
              <w:rPr>
                <w:rFonts w:ascii="宋体" w:hAnsi="宋体" w:eastAsia="宋体" w:cs="宋体"/>
                <w:sz w:val="18"/>
                <w:szCs w:val="18"/>
              </w:rPr>
              <w:t>575,238,580.47</w:t>
            </w:r>
          </w:p>
        </w:tc>
        <w:tc>
          <w:tcPr>
            <w:tcW w:w="3213" w:type="dxa"/>
            <w:tcBorders>
              <w:top w:val="single" w:color="auto" w:sz="2" w:space="0"/>
              <w:left w:val="single" w:color="auto" w:sz="2" w:space="0"/>
              <w:bottom w:val="single" w:color="auto" w:sz="2" w:space="0"/>
              <w:right w:val="single" w:color="auto" w:sz="2" w:space="0"/>
            </w:tcBorders>
            <w:vAlign w:val="center"/>
          </w:tcPr>
          <w:p w14:paraId="2877D328">
            <w:pPr>
              <w:spacing w:line="240" w:lineRule="exact"/>
              <w:jc w:val="right"/>
              <w:rPr>
                <w:rFonts w:ascii="宋体" w:hAnsi="宋体" w:eastAsia="宋体" w:cs="宋体"/>
                <w:sz w:val="18"/>
                <w:szCs w:val="18"/>
              </w:rPr>
            </w:pPr>
            <w:r>
              <w:rPr>
                <w:rFonts w:ascii="宋体" w:hAnsi="宋体" w:eastAsia="宋体" w:cs="宋体"/>
                <w:sz w:val="18"/>
                <w:szCs w:val="18"/>
              </w:rPr>
              <w:t>324,546,393.57</w:t>
            </w:r>
          </w:p>
        </w:tc>
      </w:tr>
      <w:tr w14:paraId="24200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05762D">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12CB013">
            <w:pPr>
              <w:spacing w:line="240" w:lineRule="exact"/>
              <w:jc w:val="right"/>
              <w:rPr>
                <w:rFonts w:ascii="宋体" w:hAnsi="宋体" w:eastAsia="宋体" w:cs="宋体"/>
                <w:sz w:val="18"/>
                <w:szCs w:val="18"/>
              </w:rPr>
            </w:pPr>
            <w:r>
              <w:rPr>
                <w:rFonts w:ascii="宋体" w:hAnsi="宋体" w:eastAsia="宋体" w:cs="宋体"/>
                <w:sz w:val="18"/>
                <w:szCs w:val="18"/>
              </w:rPr>
              <w:t>575,238,580.47</w:t>
            </w:r>
          </w:p>
        </w:tc>
        <w:tc>
          <w:tcPr>
            <w:tcW w:w="3213" w:type="dxa"/>
            <w:tcBorders>
              <w:top w:val="single" w:color="auto" w:sz="2" w:space="0"/>
              <w:left w:val="single" w:color="auto" w:sz="2" w:space="0"/>
              <w:bottom w:val="single" w:color="auto" w:sz="2" w:space="0"/>
              <w:right w:val="single" w:color="auto" w:sz="2" w:space="0"/>
            </w:tcBorders>
            <w:vAlign w:val="center"/>
          </w:tcPr>
          <w:p w14:paraId="3FC03F78">
            <w:pPr>
              <w:spacing w:line="240" w:lineRule="exact"/>
              <w:jc w:val="right"/>
              <w:rPr>
                <w:rFonts w:ascii="宋体" w:hAnsi="宋体" w:eastAsia="宋体" w:cs="宋体"/>
                <w:sz w:val="18"/>
                <w:szCs w:val="18"/>
              </w:rPr>
            </w:pPr>
            <w:r>
              <w:rPr>
                <w:rFonts w:ascii="宋体" w:hAnsi="宋体" w:eastAsia="宋体" w:cs="宋体"/>
                <w:sz w:val="18"/>
                <w:szCs w:val="18"/>
              </w:rPr>
              <w:t>324,546,393.57</w:t>
            </w:r>
          </w:p>
        </w:tc>
      </w:tr>
    </w:tbl>
    <w:p w14:paraId="6BEFA47A">
      <w:pPr>
        <w:keepNext/>
        <w:keepLines/>
        <w:spacing w:before="300" w:after="300" w:line="280" w:lineRule="exact"/>
        <w:outlineLvl w:val="3"/>
        <w:rPr>
          <w:rFonts w:ascii="宋体" w:hAnsi="宋体" w:eastAsia="宋体" w:cs="宋体"/>
          <w:b/>
          <w:bCs/>
          <w:szCs w:val="21"/>
        </w:rPr>
      </w:pPr>
      <w:bookmarkStart w:id="366" w:name="_Toc989219"/>
      <w:r>
        <w:rPr>
          <w:rFonts w:ascii="宋体" w:hAnsi="宋体" w:eastAsia="宋体" w:cs="宋体"/>
          <w:b/>
          <w:bCs/>
          <w:szCs w:val="21"/>
        </w:rPr>
        <w:t>（1） 在建工程情况</w:t>
      </w:r>
      <w:bookmarkEnd w:id="366"/>
    </w:p>
    <w:p w14:paraId="1141EC0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173D0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7FB6A1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41108408">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1A545B5D">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AA80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A1A5C64"/>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CE11902">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AA79624">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9D56DC5">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388DE54">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07C442F">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8D004DA">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0AFCC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3FBD930">
            <w:pPr>
              <w:spacing w:line="240" w:lineRule="exact"/>
              <w:rPr>
                <w:rFonts w:ascii="宋体" w:hAnsi="宋体" w:eastAsia="宋体" w:cs="宋体"/>
                <w:sz w:val="18"/>
                <w:szCs w:val="18"/>
              </w:rPr>
            </w:pPr>
            <w:r>
              <w:rPr>
                <w:rFonts w:ascii="宋体" w:hAnsi="宋体" w:eastAsia="宋体" w:cs="宋体"/>
                <w:sz w:val="18"/>
                <w:szCs w:val="18"/>
              </w:rPr>
              <w:t>浙江色纺二期项目</w:t>
            </w:r>
          </w:p>
        </w:tc>
        <w:tc>
          <w:tcPr>
            <w:tcW w:w="1377" w:type="dxa"/>
            <w:tcBorders>
              <w:top w:val="single" w:color="auto" w:sz="2" w:space="0"/>
              <w:left w:val="single" w:color="auto" w:sz="2" w:space="0"/>
              <w:bottom w:val="single" w:color="auto" w:sz="2" w:space="0"/>
              <w:right w:val="single" w:color="auto" w:sz="2" w:space="0"/>
            </w:tcBorders>
            <w:vAlign w:val="center"/>
          </w:tcPr>
          <w:p w14:paraId="79DFE763">
            <w:pPr>
              <w:spacing w:line="240" w:lineRule="exact"/>
              <w:jc w:val="right"/>
              <w:rPr>
                <w:rFonts w:ascii="宋体" w:hAnsi="宋体" w:eastAsia="宋体" w:cs="宋体"/>
                <w:sz w:val="18"/>
                <w:szCs w:val="18"/>
              </w:rPr>
            </w:pPr>
            <w:r>
              <w:rPr>
                <w:rFonts w:ascii="宋体" w:hAnsi="宋体" w:eastAsia="宋体" w:cs="宋体"/>
                <w:sz w:val="18"/>
                <w:szCs w:val="18"/>
              </w:rPr>
              <w:t>123,891.81</w:t>
            </w:r>
          </w:p>
        </w:tc>
        <w:tc>
          <w:tcPr>
            <w:tcW w:w="1377" w:type="dxa"/>
            <w:tcBorders>
              <w:top w:val="single" w:color="auto" w:sz="2" w:space="0"/>
              <w:left w:val="single" w:color="auto" w:sz="2" w:space="0"/>
              <w:bottom w:val="single" w:color="auto" w:sz="2" w:space="0"/>
              <w:right w:val="single" w:color="auto" w:sz="2" w:space="0"/>
            </w:tcBorders>
            <w:vAlign w:val="center"/>
          </w:tcPr>
          <w:p w14:paraId="560E2BB2">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F3ED0CE">
            <w:pPr>
              <w:spacing w:line="240" w:lineRule="exact"/>
              <w:jc w:val="right"/>
              <w:rPr>
                <w:rFonts w:ascii="宋体" w:hAnsi="宋体" w:eastAsia="宋体" w:cs="宋体"/>
                <w:sz w:val="18"/>
                <w:szCs w:val="18"/>
              </w:rPr>
            </w:pPr>
            <w:r>
              <w:rPr>
                <w:rFonts w:ascii="宋体" w:hAnsi="宋体" w:eastAsia="宋体" w:cs="宋体"/>
                <w:sz w:val="18"/>
                <w:szCs w:val="18"/>
              </w:rPr>
              <w:t>123,891.81</w:t>
            </w:r>
          </w:p>
        </w:tc>
        <w:tc>
          <w:tcPr>
            <w:tcW w:w="1377" w:type="dxa"/>
            <w:tcBorders>
              <w:top w:val="single" w:color="auto" w:sz="2" w:space="0"/>
              <w:left w:val="single" w:color="auto" w:sz="2" w:space="0"/>
              <w:bottom w:val="single" w:color="auto" w:sz="2" w:space="0"/>
              <w:right w:val="single" w:color="auto" w:sz="2" w:space="0"/>
            </w:tcBorders>
            <w:vAlign w:val="center"/>
          </w:tcPr>
          <w:p w14:paraId="5A598794">
            <w:pPr>
              <w:spacing w:line="240" w:lineRule="exact"/>
              <w:jc w:val="right"/>
              <w:rPr>
                <w:rFonts w:ascii="宋体" w:hAnsi="宋体" w:eastAsia="宋体" w:cs="宋体"/>
                <w:sz w:val="18"/>
                <w:szCs w:val="18"/>
              </w:rPr>
            </w:pPr>
            <w:r>
              <w:rPr>
                <w:rFonts w:ascii="宋体" w:hAnsi="宋体" w:eastAsia="宋体" w:cs="宋体"/>
                <w:sz w:val="18"/>
                <w:szCs w:val="18"/>
              </w:rPr>
              <w:t>4,725,973.72</w:t>
            </w:r>
          </w:p>
        </w:tc>
        <w:tc>
          <w:tcPr>
            <w:tcW w:w="1377" w:type="dxa"/>
            <w:tcBorders>
              <w:top w:val="single" w:color="auto" w:sz="2" w:space="0"/>
              <w:left w:val="single" w:color="auto" w:sz="2" w:space="0"/>
              <w:bottom w:val="single" w:color="auto" w:sz="2" w:space="0"/>
              <w:right w:val="single" w:color="auto" w:sz="2" w:space="0"/>
            </w:tcBorders>
            <w:vAlign w:val="center"/>
          </w:tcPr>
          <w:p w14:paraId="587FAC14">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C670274">
            <w:pPr>
              <w:spacing w:line="240" w:lineRule="exact"/>
              <w:jc w:val="right"/>
              <w:rPr>
                <w:rFonts w:ascii="宋体" w:hAnsi="宋体" w:eastAsia="宋体" w:cs="宋体"/>
                <w:sz w:val="18"/>
                <w:szCs w:val="18"/>
              </w:rPr>
            </w:pPr>
            <w:r>
              <w:rPr>
                <w:rFonts w:ascii="宋体" w:hAnsi="宋体" w:eastAsia="宋体" w:cs="宋体"/>
                <w:sz w:val="18"/>
                <w:szCs w:val="18"/>
              </w:rPr>
              <w:t>4,725,973.72</w:t>
            </w:r>
          </w:p>
        </w:tc>
      </w:tr>
      <w:tr w14:paraId="2B855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CC2A14E">
            <w:pPr>
              <w:spacing w:line="240" w:lineRule="exact"/>
              <w:rPr>
                <w:rFonts w:ascii="宋体" w:hAnsi="宋体" w:eastAsia="宋体" w:cs="宋体"/>
                <w:sz w:val="18"/>
                <w:szCs w:val="18"/>
              </w:rPr>
            </w:pPr>
            <w:r>
              <w:rPr>
                <w:rFonts w:ascii="宋体" w:hAnsi="宋体" w:eastAsia="宋体" w:cs="宋体"/>
                <w:sz w:val="18"/>
                <w:szCs w:val="18"/>
              </w:rPr>
              <w:t>阿克苏华孚延链项目</w:t>
            </w:r>
          </w:p>
        </w:tc>
        <w:tc>
          <w:tcPr>
            <w:tcW w:w="1377" w:type="dxa"/>
            <w:tcBorders>
              <w:top w:val="single" w:color="auto" w:sz="2" w:space="0"/>
              <w:left w:val="single" w:color="auto" w:sz="2" w:space="0"/>
              <w:bottom w:val="single" w:color="auto" w:sz="2" w:space="0"/>
              <w:right w:val="single" w:color="auto" w:sz="2" w:space="0"/>
            </w:tcBorders>
            <w:vAlign w:val="center"/>
          </w:tcPr>
          <w:p w14:paraId="38A5F1FA">
            <w:pPr>
              <w:spacing w:line="240" w:lineRule="exact"/>
              <w:jc w:val="right"/>
              <w:rPr>
                <w:rFonts w:ascii="宋体" w:hAnsi="宋体" w:eastAsia="宋体" w:cs="宋体"/>
                <w:sz w:val="18"/>
                <w:szCs w:val="18"/>
              </w:rPr>
            </w:pPr>
            <w:r>
              <w:rPr>
                <w:rFonts w:ascii="宋体" w:hAnsi="宋体" w:eastAsia="宋体" w:cs="宋体"/>
                <w:sz w:val="18"/>
                <w:szCs w:val="18"/>
              </w:rPr>
              <w:t>459,817,520.64</w:t>
            </w:r>
          </w:p>
        </w:tc>
        <w:tc>
          <w:tcPr>
            <w:tcW w:w="1377" w:type="dxa"/>
            <w:tcBorders>
              <w:top w:val="single" w:color="auto" w:sz="2" w:space="0"/>
              <w:left w:val="single" w:color="auto" w:sz="2" w:space="0"/>
              <w:bottom w:val="single" w:color="auto" w:sz="2" w:space="0"/>
              <w:right w:val="single" w:color="auto" w:sz="2" w:space="0"/>
            </w:tcBorders>
            <w:vAlign w:val="center"/>
          </w:tcPr>
          <w:p w14:paraId="467584FF">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A181EAF">
            <w:pPr>
              <w:spacing w:line="240" w:lineRule="exact"/>
              <w:jc w:val="right"/>
              <w:rPr>
                <w:rFonts w:ascii="宋体" w:hAnsi="宋体" w:eastAsia="宋体" w:cs="宋体"/>
                <w:sz w:val="18"/>
                <w:szCs w:val="18"/>
              </w:rPr>
            </w:pPr>
            <w:r>
              <w:rPr>
                <w:rFonts w:ascii="宋体" w:hAnsi="宋体" w:eastAsia="宋体" w:cs="宋体"/>
                <w:sz w:val="18"/>
                <w:szCs w:val="18"/>
              </w:rPr>
              <w:t>459,817,520.64</w:t>
            </w:r>
          </w:p>
        </w:tc>
        <w:tc>
          <w:tcPr>
            <w:tcW w:w="1377" w:type="dxa"/>
            <w:tcBorders>
              <w:top w:val="single" w:color="auto" w:sz="2" w:space="0"/>
              <w:left w:val="single" w:color="auto" w:sz="2" w:space="0"/>
              <w:bottom w:val="single" w:color="auto" w:sz="2" w:space="0"/>
              <w:right w:val="single" w:color="auto" w:sz="2" w:space="0"/>
            </w:tcBorders>
            <w:vAlign w:val="center"/>
          </w:tcPr>
          <w:p w14:paraId="14C844D2">
            <w:pPr>
              <w:spacing w:line="240" w:lineRule="exact"/>
              <w:jc w:val="right"/>
              <w:rPr>
                <w:rFonts w:ascii="宋体" w:hAnsi="宋体" w:eastAsia="宋体" w:cs="宋体"/>
                <w:sz w:val="18"/>
                <w:szCs w:val="18"/>
              </w:rPr>
            </w:pPr>
            <w:r>
              <w:rPr>
                <w:rFonts w:ascii="宋体" w:hAnsi="宋体" w:eastAsia="宋体" w:cs="宋体"/>
                <w:sz w:val="18"/>
                <w:szCs w:val="18"/>
              </w:rPr>
              <w:t>4,450,471.69</w:t>
            </w:r>
          </w:p>
        </w:tc>
        <w:tc>
          <w:tcPr>
            <w:tcW w:w="1377" w:type="dxa"/>
            <w:tcBorders>
              <w:top w:val="single" w:color="auto" w:sz="2" w:space="0"/>
              <w:left w:val="single" w:color="auto" w:sz="2" w:space="0"/>
              <w:bottom w:val="single" w:color="auto" w:sz="2" w:space="0"/>
              <w:right w:val="single" w:color="auto" w:sz="2" w:space="0"/>
            </w:tcBorders>
            <w:vAlign w:val="center"/>
          </w:tcPr>
          <w:p w14:paraId="581B6F72">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480CD39">
            <w:pPr>
              <w:spacing w:line="240" w:lineRule="exact"/>
              <w:jc w:val="right"/>
              <w:rPr>
                <w:rFonts w:ascii="宋体" w:hAnsi="宋体" w:eastAsia="宋体" w:cs="宋体"/>
                <w:sz w:val="18"/>
                <w:szCs w:val="18"/>
              </w:rPr>
            </w:pPr>
            <w:r>
              <w:rPr>
                <w:rFonts w:ascii="宋体" w:hAnsi="宋体" w:eastAsia="宋体" w:cs="宋体"/>
                <w:sz w:val="18"/>
                <w:szCs w:val="18"/>
              </w:rPr>
              <w:t>4,450,471.69</w:t>
            </w:r>
          </w:p>
        </w:tc>
      </w:tr>
      <w:tr w14:paraId="6ED75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49501EDD">
            <w:pPr>
              <w:spacing w:line="240" w:lineRule="exact"/>
              <w:rPr>
                <w:rFonts w:ascii="宋体" w:hAnsi="宋体" w:eastAsia="宋体" w:cs="宋体"/>
                <w:sz w:val="18"/>
                <w:szCs w:val="18"/>
              </w:rPr>
            </w:pPr>
            <w:r>
              <w:rPr>
                <w:rFonts w:ascii="宋体" w:hAnsi="宋体" w:eastAsia="宋体" w:cs="宋体"/>
                <w:sz w:val="18"/>
                <w:szCs w:val="18"/>
              </w:rPr>
              <w:t>阿克苏华孚技改</w:t>
            </w:r>
          </w:p>
        </w:tc>
        <w:tc>
          <w:tcPr>
            <w:tcW w:w="1377" w:type="dxa"/>
            <w:tcBorders>
              <w:top w:val="single" w:color="auto" w:sz="2" w:space="0"/>
              <w:left w:val="single" w:color="auto" w:sz="2" w:space="0"/>
              <w:bottom w:val="single" w:color="auto" w:sz="2" w:space="0"/>
              <w:right w:val="single" w:color="auto" w:sz="2" w:space="0"/>
            </w:tcBorders>
            <w:vAlign w:val="center"/>
          </w:tcPr>
          <w:p w14:paraId="009419A0">
            <w:pPr>
              <w:spacing w:line="240" w:lineRule="exact"/>
              <w:jc w:val="right"/>
              <w:rPr>
                <w:rFonts w:ascii="宋体" w:hAnsi="宋体" w:eastAsia="宋体" w:cs="宋体"/>
                <w:sz w:val="18"/>
                <w:szCs w:val="18"/>
              </w:rPr>
            </w:pPr>
            <w:r>
              <w:rPr>
                <w:rFonts w:ascii="宋体" w:hAnsi="宋体" w:eastAsia="宋体" w:cs="宋体"/>
                <w:sz w:val="18"/>
                <w:szCs w:val="18"/>
              </w:rPr>
              <w:t>118,544.25</w:t>
            </w:r>
          </w:p>
        </w:tc>
        <w:tc>
          <w:tcPr>
            <w:tcW w:w="1377" w:type="dxa"/>
            <w:tcBorders>
              <w:top w:val="single" w:color="auto" w:sz="2" w:space="0"/>
              <w:left w:val="single" w:color="auto" w:sz="2" w:space="0"/>
              <w:bottom w:val="single" w:color="auto" w:sz="2" w:space="0"/>
              <w:right w:val="single" w:color="auto" w:sz="2" w:space="0"/>
            </w:tcBorders>
            <w:vAlign w:val="center"/>
          </w:tcPr>
          <w:p w14:paraId="18F02F57">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C2A2EFE">
            <w:pPr>
              <w:spacing w:line="240" w:lineRule="exact"/>
              <w:jc w:val="right"/>
              <w:rPr>
                <w:rFonts w:ascii="宋体" w:hAnsi="宋体" w:eastAsia="宋体" w:cs="宋体"/>
                <w:sz w:val="18"/>
                <w:szCs w:val="18"/>
              </w:rPr>
            </w:pPr>
            <w:r>
              <w:rPr>
                <w:rFonts w:ascii="宋体" w:hAnsi="宋体" w:eastAsia="宋体" w:cs="宋体"/>
                <w:sz w:val="18"/>
                <w:szCs w:val="18"/>
              </w:rPr>
              <w:t>118,544.25</w:t>
            </w:r>
          </w:p>
        </w:tc>
        <w:tc>
          <w:tcPr>
            <w:tcW w:w="1377" w:type="dxa"/>
            <w:tcBorders>
              <w:top w:val="single" w:color="auto" w:sz="2" w:space="0"/>
              <w:left w:val="single" w:color="auto" w:sz="2" w:space="0"/>
              <w:bottom w:val="single" w:color="auto" w:sz="2" w:space="0"/>
              <w:right w:val="single" w:color="auto" w:sz="2" w:space="0"/>
            </w:tcBorders>
            <w:vAlign w:val="center"/>
          </w:tcPr>
          <w:p w14:paraId="3E747883">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9A7412F">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AFCF5E3">
            <w:pPr>
              <w:spacing w:line="240" w:lineRule="exact"/>
              <w:jc w:val="right"/>
              <w:rPr>
                <w:rFonts w:ascii="宋体" w:hAnsi="宋体" w:eastAsia="宋体" w:cs="宋体"/>
                <w:sz w:val="18"/>
                <w:szCs w:val="18"/>
              </w:rPr>
            </w:pPr>
          </w:p>
        </w:tc>
      </w:tr>
      <w:tr w14:paraId="3ABC8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05F982A">
            <w:pPr>
              <w:spacing w:line="240" w:lineRule="exact"/>
              <w:rPr>
                <w:rFonts w:ascii="宋体" w:hAnsi="宋体" w:eastAsia="宋体" w:cs="宋体"/>
                <w:sz w:val="18"/>
                <w:szCs w:val="18"/>
              </w:rPr>
            </w:pPr>
            <w:r>
              <w:rPr>
                <w:rFonts w:ascii="宋体" w:hAnsi="宋体" w:eastAsia="宋体" w:cs="宋体"/>
                <w:sz w:val="18"/>
                <w:szCs w:val="18"/>
              </w:rPr>
              <w:t>阿克苏标信在建工程</w:t>
            </w:r>
          </w:p>
        </w:tc>
        <w:tc>
          <w:tcPr>
            <w:tcW w:w="1377" w:type="dxa"/>
            <w:tcBorders>
              <w:top w:val="single" w:color="auto" w:sz="2" w:space="0"/>
              <w:left w:val="single" w:color="auto" w:sz="2" w:space="0"/>
              <w:bottom w:val="single" w:color="auto" w:sz="2" w:space="0"/>
              <w:right w:val="single" w:color="auto" w:sz="2" w:space="0"/>
            </w:tcBorders>
            <w:vAlign w:val="center"/>
          </w:tcPr>
          <w:p w14:paraId="529A0E36">
            <w:pPr>
              <w:spacing w:line="240" w:lineRule="exact"/>
              <w:jc w:val="right"/>
              <w:rPr>
                <w:rFonts w:ascii="宋体" w:hAnsi="宋体" w:eastAsia="宋体" w:cs="宋体"/>
                <w:sz w:val="18"/>
                <w:szCs w:val="18"/>
              </w:rPr>
            </w:pPr>
            <w:r>
              <w:rPr>
                <w:rFonts w:ascii="宋体" w:hAnsi="宋体" w:eastAsia="宋体" w:cs="宋体"/>
                <w:sz w:val="18"/>
                <w:szCs w:val="18"/>
              </w:rPr>
              <w:t>1,922,390.10</w:t>
            </w:r>
          </w:p>
        </w:tc>
        <w:tc>
          <w:tcPr>
            <w:tcW w:w="1377" w:type="dxa"/>
            <w:tcBorders>
              <w:top w:val="single" w:color="auto" w:sz="2" w:space="0"/>
              <w:left w:val="single" w:color="auto" w:sz="2" w:space="0"/>
              <w:bottom w:val="single" w:color="auto" w:sz="2" w:space="0"/>
              <w:right w:val="single" w:color="auto" w:sz="2" w:space="0"/>
            </w:tcBorders>
            <w:vAlign w:val="center"/>
          </w:tcPr>
          <w:p w14:paraId="600AA411">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5F03457">
            <w:pPr>
              <w:spacing w:line="240" w:lineRule="exact"/>
              <w:jc w:val="right"/>
              <w:rPr>
                <w:rFonts w:ascii="宋体" w:hAnsi="宋体" w:eastAsia="宋体" w:cs="宋体"/>
                <w:sz w:val="18"/>
                <w:szCs w:val="18"/>
              </w:rPr>
            </w:pPr>
            <w:r>
              <w:rPr>
                <w:rFonts w:ascii="宋体" w:hAnsi="宋体" w:eastAsia="宋体" w:cs="宋体"/>
                <w:sz w:val="18"/>
                <w:szCs w:val="18"/>
              </w:rPr>
              <w:t>1,922,390.10</w:t>
            </w:r>
          </w:p>
        </w:tc>
        <w:tc>
          <w:tcPr>
            <w:tcW w:w="1377" w:type="dxa"/>
            <w:tcBorders>
              <w:top w:val="single" w:color="auto" w:sz="2" w:space="0"/>
              <w:left w:val="single" w:color="auto" w:sz="2" w:space="0"/>
              <w:bottom w:val="single" w:color="auto" w:sz="2" w:space="0"/>
              <w:right w:val="single" w:color="auto" w:sz="2" w:space="0"/>
            </w:tcBorders>
            <w:vAlign w:val="center"/>
          </w:tcPr>
          <w:p w14:paraId="7CB97950">
            <w:pPr>
              <w:spacing w:line="240" w:lineRule="exact"/>
              <w:jc w:val="right"/>
              <w:rPr>
                <w:rFonts w:ascii="宋体" w:hAnsi="宋体" w:eastAsia="宋体" w:cs="宋体"/>
                <w:sz w:val="18"/>
                <w:szCs w:val="18"/>
              </w:rPr>
            </w:pPr>
            <w:r>
              <w:rPr>
                <w:rFonts w:ascii="宋体" w:hAnsi="宋体" w:eastAsia="宋体" w:cs="宋体"/>
                <w:sz w:val="18"/>
                <w:szCs w:val="18"/>
              </w:rPr>
              <w:t>63,983.02</w:t>
            </w:r>
          </w:p>
        </w:tc>
        <w:tc>
          <w:tcPr>
            <w:tcW w:w="1377" w:type="dxa"/>
            <w:tcBorders>
              <w:top w:val="single" w:color="auto" w:sz="2" w:space="0"/>
              <w:left w:val="single" w:color="auto" w:sz="2" w:space="0"/>
              <w:bottom w:val="single" w:color="auto" w:sz="2" w:space="0"/>
              <w:right w:val="single" w:color="auto" w:sz="2" w:space="0"/>
            </w:tcBorders>
            <w:vAlign w:val="center"/>
          </w:tcPr>
          <w:p w14:paraId="4FC711C8">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7E53E4E">
            <w:pPr>
              <w:spacing w:line="240" w:lineRule="exact"/>
              <w:jc w:val="right"/>
              <w:rPr>
                <w:rFonts w:ascii="宋体" w:hAnsi="宋体" w:eastAsia="宋体" w:cs="宋体"/>
                <w:sz w:val="18"/>
                <w:szCs w:val="18"/>
              </w:rPr>
            </w:pPr>
            <w:r>
              <w:rPr>
                <w:rFonts w:ascii="宋体" w:hAnsi="宋体" w:eastAsia="宋体" w:cs="宋体"/>
                <w:sz w:val="18"/>
                <w:szCs w:val="18"/>
              </w:rPr>
              <w:t>63,983.02</w:t>
            </w:r>
          </w:p>
        </w:tc>
      </w:tr>
      <w:tr w14:paraId="50118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8A9D0C8">
            <w:pPr>
              <w:spacing w:line="240" w:lineRule="exact"/>
              <w:rPr>
                <w:rFonts w:ascii="宋体" w:hAnsi="宋体" w:eastAsia="宋体" w:cs="宋体"/>
                <w:sz w:val="18"/>
                <w:szCs w:val="18"/>
              </w:rPr>
            </w:pPr>
            <w:r>
              <w:rPr>
                <w:rFonts w:ascii="宋体" w:hAnsi="宋体" w:eastAsia="宋体" w:cs="宋体"/>
                <w:sz w:val="18"/>
                <w:szCs w:val="18"/>
              </w:rPr>
              <w:t>其他项目</w:t>
            </w:r>
          </w:p>
        </w:tc>
        <w:tc>
          <w:tcPr>
            <w:tcW w:w="1377" w:type="dxa"/>
            <w:tcBorders>
              <w:top w:val="single" w:color="auto" w:sz="2" w:space="0"/>
              <w:left w:val="single" w:color="auto" w:sz="2" w:space="0"/>
              <w:bottom w:val="single" w:color="auto" w:sz="2" w:space="0"/>
              <w:right w:val="single" w:color="auto" w:sz="2" w:space="0"/>
            </w:tcBorders>
            <w:vAlign w:val="center"/>
          </w:tcPr>
          <w:p w14:paraId="4559CC8E">
            <w:pPr>
              <w:spacing w:line="240" w:lineRule="exact"/>
              <w:jc w:val="right"/>
              <w:rPr>
                <w:rFonts w:ascii="宋体" w:hAnsi="宋体" w:eastAsia="宋体" w:cs="宋体"/>
                <w:sz w:val="18"/>
                <w:szCs w:val="18"/>
              </w:rPr>
            </w:pPr>
            <w:r>
              <w:rPr>
                <w:rFonts w:ascii="宋体" w:hAnsi="宋体" w:eastAsia="宋体" w:cs="宋体"/>
                <w:sz w:val="18"/>
                <w:szCs w:val="18"/>
              </w:rPr>
              <w:t>909,305.64</w:t>
            </w:r>
          </w:p>
        </w:tc>
        <w:tc>
          <w:tcPr>
            <w:tcW w:w="1377" w:type="dxa"/>
            <w:tcBorders>
              <w:top w:val="single" w:color="auto" w:sz="2" w:space="0"/>
              <w:left w:val="single" w:color="auto" w:sz="2" w:space="0"/>
              <w:bottom w:val="single" w:color="auto" w:sz="2" w:space="0"/>
              <w:right w:val="single" w:color="auto" w:sz="2" w:space="0"/>
            </w:tcBorders>
            <w:vAlign w:val="center"/>
          </w:tcPr>
          <w:p w14:paraId="3B524648">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7FE70C7">
            <w:pPr>
              <w:spacing w:line="240" w:lineRule="exact"/>
              <w:jc w:val="right"/>
              <w:rPr>
                <w:rFonts w:ascii="宋体" w:hAnsi="宋体" w:eastAsia="宋体" w:cs="宋体"/>
                <w:sz w:val="18"/>
                <w:szCs w:val="18"/>
              </w:rPr>
            </w:pPr>
            <w:r>
              <w:rPr>
                <w:rFonts w:ascii="宋体" w:hAnsi="宋体" w:eastAsia="宋体" w:cs="宋体"/>
                <w:sz w:val="18"/>
                <w:szCs w:val="18"/>
              </w:rPr>
              <w:t>909,305.64</w:t>
            </w:r>
          </w:p>
        </w:tc>
        <w:tc>
          <w:tcPr>
            <w:tcW w:w="1377" w:type="dxa"/>
            <w:tcBorders>
              <w:top w:val="single" w:color="auto" w:sz="2" w:space="0"/>
              <w:left w:val="single" w:color="auto" w:sz="2" w:space="0"/>
              <w:bottom w:val="single" w:color="auto" w:sz="2" w:space="0"/>
              <w:right w:val="single" w:color="auto" w:sz="2" w:space="0"/>
            </w:tcBorders>
            <w:vAlign w:val="center"/>
          </w:tcPr>
          <w:p w14:paraId="5DB03A24">
            <w:pPr>
              <w:spacing w:line="240" w:lineRule="exact"/>
              <w:jc w:val="right"/>
              <w:rPr>
                <w:rFonts w:ascii="宋体" w:hAnsi="宋体" w:eastAsia="宋体" w:cs="宋体"/>
                <w:sz w:val="18"/>
                <w:szCs w:val="18"/>
              </w:rPr>
            </w:pPr>
            <w:r>
              <w:rPr>
                <w:rFonts w:ascii="宋体" w:hAnsi="宋体" w:eastAsia="宋体" w:cs="宋体"/>
                <w:sz w:val="18"/>
                <w:szCs w:val="18"/>
              </w:rPr>
              <w:t>7,838,313.36</w:t>
            </w:r>
          </w:p>
        </w:tc>
        <w:tc>
          <w:tcPr>
            <w:tcW w:w="1377" w:type="dxa"/>
            <w:tcBorders>
              <w:top w:val="single" w:color="auto" w:sz="2" w:space="0"/>
              <w:left w:val="single" w:color="auto" w:sz="2" w:space="0"/>
              <w:bottom w:val="single" w:color="auto" w:sz="2" w:space="0"/>
              <w:right w:val="single" w:color="auto" w:sz="2" w:space="0"/>
            </w:tcBorders>
            <w:vAlign w:val="center"/>
          </w:tcPr>
          <w:p w14:paraId="71130EF2">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9F04738">
            <w:pPr>
              <w:spacing w:line="240" w:lineRule="exact"/>
              <w:jc w:val="right"/>
              <w:rPr>
                <w:rFonts w:ascii="宋体" w:hAnsi="宋体" w:eastAsia="宋体" w:cs="宋体"/>
                <w:sz w:val="18"/>
                <w:szCs w:val="18"/>
              </w:rPr>
            </w:pPr>
            <w:r>
              <w:rPr>
                <w:rFonts w:ascii="宋体" w:hAnsi="宋体" w:eastAsia="宋体" w:cs="宋体"/>
                <w:sz w:val="18"/>
                <w:szCs w:val="18"/>
              </w:rPr>
              <w:t>7,838,313.36</w:t>
            </w:r>
          </w:p>
        </w:tc>
      </w:tr>
      <w:tr w14:paraId="35931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6F536C6">
            <w:pPr>
              <w:spacing w:line="240" w:lineRule="exact"/>
              <w:rPr>
                <w:rFonts w:ascii="宋体" w:hAnsi="宋体" w:eastAsia="宋体" w:cs="宋体"/>
                <w:sz w:val="18"/>
                <w:szCs w:val="18"/>
              </w:rPr>
            </w:pPr>
            <w:r>
              <w:rPr>
                <w:rFonts w:ascii="宋体" w:hAnsi="宋体" w:eastAsia="宋体" w:cs="宋体"/>
                <w:sz w:val="18"/>
                <w:szCs w:val="18"/>
              </w:rPr>
              <w:t>阿克苏华孚科技智算中心</w:t>
            </w:r>
          </w:p>
        </w:tc>
        <w:tc>
          <w:tcPr>
            <w:tcW w:w="1377" w:type="dxa"/>
            <w:tcBorders>
              <w:top w:val="single" w:color="auto" w:sz="2" w:space="0"/>
              <w:left w:val="single" w:color="auto" w:sz="2" w:space="0"/>
              <w:bottom w:val="single" w:color="auto" w:sz="2" w:space="0"/>
              <w:right w:val="single" w:color="auto" w:sz="2" w:space="0"/>
            </w:tcBorders>
            <w:vAlign w:val="center"/>
          </w:tcPr>
          <w:p w14:paraId="6AA7F05C">
            <w:pPr>
              <w:spacing w:line="240" w:lineRule="exact"/>
              <w:jc w:val="right"/>
              <w:rPr>
                <w:rFonts w:ascii="宋体" w:hAnsi="宋体" w:eastAsia="宋体" w:cs="宋体"/>
                <w:sz w:val="18"/>
                <w:szCs w:val="18"/>
              </w:rPr>
            </w:pPr>
            <w:r>
              <w:rPr>
                <w:rFonts w:ascii="宋体" w:hAnsi="宋体" w:eastAsia="宋体" w:cs="宋体"/>
                <w:sz w:val="18"/>
                <w:szCs w:val="18"/>
              </w:rPr>
              <w:t>9,576,886.75</w:t>
            </w:r>
          </w:p>
        </w:tc>
        <w:tc>
          <w:tcPr>
            <w:tcW w:w="1377" w:type="dxa"/>
            <w:tcBorders>
              <w:top w:val="single" w:color="auto" w:sz="2" w:space="0"/>
              <w:left w:val="single" w:color="auto" w:sz="2" w:space="0"/>
              <w:bottom w:val="single" w:color="auto" w:sz="2" w:space="0"/>
              <w:right w:val="single" w:color="auto" w:sz="2" w:space="0"/>
            </w:tcBorders>
            <w:vAlign w:val="center"/>
          </w:tcPr>
          <w:p w14:paraId="6A7EDE07">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0E8AD9E">
            <w:pPr>
              <w:spacing w:line="240" w:lineRule="exact"/>
              <w:jc w:val="right"/>
              <w:rPr>
                <w:rFonts w:ascii="宋体" w:hAnsi="宋体" w:eastAsia="宋体" w:cs="宋体"/>
                <w:sz w:val="18"/>
                <w:szCs w:val="18"/>
              </w:rPr>
            </w:pPr>
            <w:r>
              <w:rPr>
                <w:rFonts w:ascii="宋体" w:hAnsi="宋体" w:eastAsia="宋体" w:cs="宋体"/>
                <w:sz w:val="18"/>
                <w:szCs w:val="18"/>
              </w:rPr>
              <w:t>9,576,886.75</w:t>
            </w:r>
          </w:p>
        </w:tc>
        <w:tc>
          <w:tcPr>
            <w:tcW w:w="1377" w:type="dxa"/>
            <w:tcBorders>
              <w:top w:val="single" w:color="auto" w:sz="2" w:space="0"/>
              <w:left w:val="single" w:color="auto" w:sz="2" w:space="0"/>
              <w:bottom w:val="single" w:color="auto" w:sz="2" w:space="0"/>
              <w:right w:val="single" w:color="auto" w:sz="2" w:space="0"/>
            </w:tcBorders>
            <w:vAlign w:val="center"/>
          </w:tcPr>
          <w:p w14:paraId="0F5367CA">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481D084">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6C7D70A">
            <w:pPr>
              <w:spacing w:line="240" w:lineRule="exact"/>
              <w:jc w:val="right"/>
              <w:rPr>
                <w:rFonts w:ascii="宋体" w:hAnsi="宋体" w:eastAsia="宋体" w:cs="宋体"/>
                <w:sz w:val="18"/>
                <w:szCs w:val="18"/>
              </w:rPr>
            </w:pPr>
            <w:r>
              <w:rPr>
                <w:rFonts w:ascii="宋体" w:hAnsi="宋体" w:eastAsia="宋体" w:cs="宋体"/>
                <w:sz w:val="18"/>
                <w:szCs w:val="18"/>
              </w:rPr>
              <w:t>0.00</w:t>
            </w:r>
          </w:p>
        </w:tc>
      </w:tr>
      <w:tr w14:paraId="507B3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F4A7876">
            <w:pPr>
              <w:spacing w:line="240" w:lineRule="exact"/>
              <w:rPr>
                <w:rFonts w:ascii="宋体" w:hAnsi="宋体" w:eastAsia="宋体" w:cs="宋体"/>
                <w:sz w:val="18"/>
                <w:szCs w:val="18"/>
              </w:rPr>
            </w:pPr>
            <w:r>
              <w:rPr>
                <w:rFonts w:ascii="宋体" w:hAnsi="宋体" w:eastAsia="宋体" w:cs="宋体"/>
                <w:sz w:val="18"/>
                <w:szCs w:val="18"/>
              </w:rPr>
              <w:t>阿大数字袜制品生产车间</w:t>
            </w:r>
          </w:p>
        </w:tc>
        <w:tc>
          <w:tcPr>
            <w:tcW w:w="1377" w:type="dxa"/>
            <w:tcBorders>
              <w:top w:val="single" w:color="auto" w:sz="2" w:space="0"/>
              <w:left w:val="single" w:color="auto" w:sz="2" w:space="0"/>
              <w:bottom w:val="single" w:color="auto" w:sz="2" w:space="0"/>
              <w:right w:val="single" w:color="auto" w:sz="2" w:space="0"/>
            </w:tcBorders>
            <w:vAlign w:val="center"/>
          </w:tcPr>
          <w:p w14:paraId="160C6C9D">
            <w:pPr>
              <w:spacing w:line="240" w:lineRule="exact"/>
              <w:jc w:val="right"/>
              <w:rPr>
                <w:rFonts w:ascii="宋体" w:hAnsi="宋体" w:eastAsia="宋体" w:cs="宋体"/>
                <w:sz w:val="18"/>
                <w:szCs w:val="18"/>
              </w:rPr>
            </w:pPr>
            <w:r>
              <w:rPr>
                <w:rFonts w:ascii="宋体" w:hAnsi="宋体" w:eastAsia="宋体" w:cs="宋体"/>
                <w:sz w:val="18"/>
                <w:szCs w:val="18"/>
              </w:rPr>
              <w:t>91,542,358.93</w:t>
            </w:r>
          </w:p>
        </w:tc>
        <w:tc>
          <w:tcPr>
            <w:tcW w:w="1377" w:type="dxa"/>
            <w:tcBorders>
              <w:top w:val="single" w:color="auto" w:sz="2" w:space="0"/>
              <w:left w:val="single" w:color="auto" w:sz="2" w:space="0"/>
              <w:bottom w:val="single" w:color="auto" w:sz="2" w:space="0"/>
              <w:right w:val="single" w:color="auto" w:sz="2" w:space="0"/>
            </w:tcBorders>
            <w:vAlign w:val="center"/>
          </w:tcPr>
          <w:p w14:paraId="4FC68974">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A2994F7">
            <w:pPr>
              <w:spacing w:line="240" w:lineRule="exact"/>
              <w:jc w:val="right"/>
              <w:rPr>
                <w:rFonts w:ascii="宋体" w:hAnsi="宋体" w:eastAsia="宋体" w:cs="宋体"/>
                <w:sz w:val="18"/>
                <w:szCs w:val="18"/>
              </w:rPr>
            </w:pPr>
            <w:r>
              <w:rPr>
                <w:rFonts w:ascii="宋体" w:hAnsi="宋体" w:eastAsia="宋体" w:cs="宋体"/>
                <w:sz w:val="18"/>
                <w:szCs w:val="18"/>
              </w:rPr>
              <w:t>91,542,358.93</w:t>
            </w:r>
          </w:p>
        </w:tc>
        <w:tc>
          <w:tcPr>
            <w:tcW w:w="1377" w:type="dxa"/>
            <w:tcBorders>
              <w:top w:val="single" w:color="auto" w:sz="2" w:space="0"/>
              <w:left w:val="single" w:color="auto" w:sz="2" w:space="0"/>
              <w:bottom w:val="single" w:color="auto" w:sz="2" w:space="0"/>
              <w:right w:val="single" w:color="auto" w:sz="2" w:space="0"/>
            </w:tcBorders>
            <w:vAlign w:val="center"/>
          </w:tcPr>
          <w:p w14:paraId="517A9E4A">
            <w:pPr>
              <w:spacing w:line="240" w:lineRule="exact"/>
              <w:jc w:val="right"/>
              <w:rPr>
                <w:rFonts w:ascii="宋体" w:hAnsi="宋体" w:eastAsia="宋体" w:cs="宋体"/>
                <w:sz w:val="18"/>
                <w:szCs w:val="18"/>
              </w:rPr>
            </w:pPr>
            <w:r>
              <w:rPr>
                <w:rFonts w:ascii="宋体" w:hAnsi="宋体" w:eastAsia="宋体" w:cs="宋体"/>
                <w:sz w:val="18"/>
                <w:szCs w:val="18"/>
              </w:rPr>
              <w:t>88,249,424.28</w:t>
            </w:r>
          </w:p>
        </w:tc>
        <w:tc>
          <w:tcPr>
            <w:tcW w:w="1377" w:type="dxa"/>
            <w:tcBorders>
              <w:top w:val="single" w:color="auto" w:sz="2" w:space="0"/>
              <w:left w:val="single" w:color="auto" w:sz="2" w:space="0"/>
              <w:bottom w:val="single" w:color="auto" w:sz="2" w:space="0"/>
              <w:right w:val="single" w:color="auto" w:sz="2" w:space="0"/>
            </w:tcBorders>
            <w:vAlign w:val="center"/>
          </w:tcPr>
          <w:p w14:paraId="6EF03830">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ACC19EE">
            <w:pPr>
              <w:spacing w:line="240" w:lineRule="exact"/>
              <w:jc w:val="right"/>
              <w:rPr>
                <w:rFonts w:ascii="宋体" w:hAnsi="宋体" w:eastAsia="宋体" w:cs="宋体"/>
                <w:sz w:val="18"/>
                <w:szCs w:val="18"/>
              </w:rPr>
            </w:pPr>
            <w:r>
              <w:rPr>
                <w:rFonts w:ascii="宋体" w:hAnsi="宋体" w:eastAsia="宋体" w:cs="宋体"/>
                <w:sz w:val="18"/>
                <w:szCs w:val="18"/>
              </w:rPr>
              <w:t>88,249,424.28</w:t>
            </w:r>
          </w:p>
        </w:tc>
      </w:tr>
      <w:tr w14:paraId="6B612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C8A556F">
            <w:pPr>
              <w:spacing w:line="240" w:lineRule="exact"/>
              <w:rPr>
                <w:rFonts w:ascii="宋体" w:hAnsi="宋体" w:eastAsia="宋体" w:cs="宋体"/>
                <w:sz w:val="18"/>
                <w:szCs w:val="18"/>
              </w:rPr>
            </w:pPr>
            <w:r>
              <w:rPr>
                <w:rFonts w:ascii="宋体" w:hAnsi="宋体" w:eastAsia="宋体" w:cs="宋体"/>
                <w:sz w:val="18"/>
                <w:szCs w:val="18"/>
              </w:rPr>
              <w:t>阿克苏恒孚医疗</w:t>
            </w:r>
          </w:p>
        </w:tc>
        <w:tc>
          <w:tcPr>
            <w:tcW w:w="1377" w:type="dxa"/>
            <w:tcBorders>
              <w:top w:val="single" w:color="auto" w:sz="2" w:space="0"/>
              <w:left w:val="single" w:color="auto" w:sz="2" w:space="0"/>
              <w:bottom w:val="single" w:color="auto" w:sz="2" w:space="0"/>
              <w:right w:val="single" w:color="auto" w:sz="2" w:space="0"/>
            </w:tcBorders>
            <w:vAlign w:val="center"/>
          </w:tcPr>
          <w:p w14:paraId="40FCAFE2">
            <w:pPr>
              <w:spacing w:line="240" w:lineRule="exact"/>
              <w:jc w:val="right"/>
              <w:rPr>
                <w:rFonts w:ascii="宋体" w:hAnsi="宋体" w:eastAsia="宋体" w:cs="宋体"/>
                <w:sz w:val="18"/>
                <w:szCs w:val="18"/>
              </w:rPr>
            </w:pPr>
            <w:r>
              <w:rPr>
                <w:rFonts w:ascii="宋体" w:hAnsi="宋体" w:eastAsia="宋体" w:cs="宋体"/>
                <w:sz w:val="18"/>
                <w:szCs w:val="18"/>
              </w:rPr>
              <w:t>6,428,819.61</w:t>
            </w:r>
          </w:p>
        </w:tc>
        <w:tc>
          <w:tcPr>
            <w:tcW w:w="1377" w:type="dxa"/>
            <w:tcBorders>
              <w:top w:val="single" w:color="auto" w:sz="2" w:space="0"/>
              <w:left w:val="single" w:color="auto" w:sz="2" w:space="0"/>
              <w:bottom w:val="single" w:color="auto" w:sz="2" w:space="0"/>
              <w:right w:val="single" w:color="auto" w:sz="2" w:space="0"/>
            </w:tcBorders>
            <w:vAlign w:val="center"/>
          </w:tcPr>
          <w:p w14:paraId="687D21D1">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72138D4">
            <w:pPr>
              <w:spacing w:line="240" w:lineRule="exact"/>
              <w:jc w:val="right"/>
              <w:rPr>
                <w:rFonts w:ascii="宋体" w:hAnsi="宋体" w:eastAsia="宋体" w:cs="宋体"/>
                <w:sz w:val="18"/>
                <w:szCs w:val="18"/>
              </w:rPr>
            </w:pPr>
            <w:r>
              <w:rPr>
                <w:rFonts w:ascii="宋体" w:hAnsi="宋体" w:eastAsia="宋体" w:cs="宋体"/>
                <w:sz w:val="18"/>
                <w:szCs w:val="18"/>
              </w:rPr>
              <w:t>6,428,819.61</w:t>
            </w:r>
          </w:p>
        </w:tc>
        <w:tc>
          <w:tcPr>
            <w:tcW w:w="1377" w:type="dxa"/>
            <w:tcBorders>
              <w:top w:val="single" w:color="auto" w:sz="2" w:space="0"/>
              <w:left w:val="single" w:color="auto" w:sz="2" w:space="0"/>
              <w:bottom w:val="single" w:color="auto" w:sz="2" w:space="0"/>
              <w:right w:val="single" w:color="auto" w:sz="2" w:space="0"/>
            </w:tcBorders>
            <w:vAlign w:val="center"/>
          </w:tcPr>
          <w:p w14:paraId="608B7C92">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2B7B0A4">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C4D8B9D">
            <w:pPr>
              <w:spacing w:line="240" w:lineRule="exact"/>
              <w:jc w:val="right"/>
              <w:rPr>
                <w:rFonts w:ascii="宋体" w:hAnsi="宋体" w:eastAsia="宋体" w:cs="宋体"/>
                <w:sz w:val="18"/>
                <w:szCs w:val="18"/>
              </w:rPr>
            </w:pPr>
          </w:p>
        </w:tc>
      </w:tr>
      <w:tr w14:paraId="1521A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30DA3A2">
            <w:pPr>
              <w:spacing w:line="240" w:lineRule="exact"/>
              <w:rPr>
                <w:rFonts w:ascii="宋体" w:hAnsi="宋体" w:eastAsia="宋体" w:cs="宋体"/>
                <w:sz w:val="18"/>
                <w:szCs w:val="18"/>
              </w:rPr>
            </w:pPr>
            <w:r>
              <w:rPr>
                <w:rFonts w:ascii="宋体" w:hAnsi="宋体" w:eastAsia="宋体" w:cs="宋体"/>
                <w:sz w:val="18"/>
                <w:szCs w:val="18"/>
              </w:rPr>
              <w:t>浙江阿大互联</w:t>
            </w:r>
          </w:p>
        </w:tc>
        <w:tc>
          <w:tcPr>
            <w:tcW w:w="1377" w:type="dxa"/>
            <w:tcBorders>
              <w:top w:val="single" w:color="auto" w:sz="2" w:space="0"/>
              <w:left w:val="single" w:color="auto" w:sz="2" w:space="0"/>
              <w:bottom w:val="single" w:color="auto" w:sz="2" w:space="0"/>
              <w:right w:val="single" w:color="auto" w:sz="2" w:space="0"/>
            </w:tcBorders>
            <w:vAlign w:val="center"/>
          </w:tcPr>
          <w:p w14:paraId="1386F526">
            <w:pPr>
              <w:spacing w:line="240" w:lineRule="exact"/>
              <w:jc w:val="right"/>
              <w:rPr>
                <w:rFonts w:ascii="宋体" w:hAnsi="宋体" w:eastAsia="宋体" w:cs="宋体"/>
                <w:sz w:val="18"/>
                <w:szCs w:val="18"/>
              </w:rPr>
            </w:pPr>
            <w:r>
              <w:rPr>
                <w:rFonts w:ascii="宋体" w:hAnsi="宋体" w:eastAsia="宋体" w:cs="宋体"/>
                <w:sz w:val="18"/>
                <w:szCs w:val="18"/>
              </w:rPr>
              <w:t>2,689,025.11</w:t>
            </w:r>
          </w:p>
        </w:tc>
        <w:tc>
          <w:tcPr>
            <w:tcW w:w="1377" w:type="dxa"/>
            <w:tcBorders>
              <w:top w:val="single" w:color="auto" w:sz="2" w:space="0"/>
              <w:left w:val="single" w:color="auto" w:sz="2" w:space="0"/>
              <w:bottom w:val="single" w:color="auto" w:sz="2" w:space="0"/>
              <w:right w:val="single" w:color="auto" w:sz="2" w:space="0"/>
            </w:tcBorders>
            <w:vAlign w:val="center"/>
          </w:tcPr>
          <w:p w14:paraId="009B84A8">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9771FB7">
            <w:pPr>
              <w:spacing w:line="240" w:lineRule="exact"/>
              <w:jc w:val="right"/>
              <w:rPr>
                <w:rFonts w:ascii="宋体" w:hAnsi="宋体" w:eastAsia="宋体" w:cs="宋体"/>
                <w:sz w:val="18"/>
                <w:szCs w:val="18"/>
              </w:rPr>
            </w:pPr>
            <w:r>
              <w:rPr>
                <w:rFonts w:ascii="宋体" w:hAnsi="宋体" w:eastAsia="宋体" w:cs="宋体"/>
                <w:sz w:val="18"/>
                <w:szCs w:val="18"/>
              </w:rPr>
              <w:t>2,689,025.11</w:t>
            </w:r>
          </w:p>
        </w:tc>
        <w:tc>
          <w:tcPr>
            <w:tcW w:w="1377" w:type="dxa"/>
            <w:tcBorders>
              <w:top w:val="single" w:color="auto" w:sz="2" w:space="0"/>
              <w:left w:val="single" w:color="auto" w:sz="2" w:space="0"/>
              <w:bottom w:val="single" w:color="auto" w:sz="2" w:space="0"/>
              <w:right w:val="single" w:color="auto" w:sz="2" w:space="0"/>
            </w:tcBorders>
            <w:vAlign w:val="center"/>
          </w:tcPr>
          <w:p w14:paraId="6A802854">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22D12B6">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7A8A5A0">
            <w:pPr>
              <w:spacing w:line="240" w:lineRule="exact"/>
              <w:jc w:val="right"/>
              <w:rPr>
                <w:rFonts w:ascii="宋体" w:hAnsi="宋体" w:eastAsia="宋体" w:cs="宋体"/>
                <w:sz w:val="18"/>
                <w:szCs w:val="18"/>
              </w:rPr>
            </w:pPr>
          </w:p>
        </w:tc>
      </w:tr>
      <w:tr w14:paraId="69353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8D2B389">
            <w:pPr>
              <w:spacing w:line="240" w:lineRule="exact"/>
              <w:rPr>
                <w:rFonts w:ascii="宋体" w:hAnsi="宋体" w:eastAsia="宋体" w:cs="宋体"/>
                <w:sz w:val="18"/>
                <w:szCs w:val="18"/>
              </w:rPr>
            </w:pPr>
            <w:r>
              <w:rPr>
                <w:rFonts w:ascii="宋体" w:hAnsi="宋体" w:eastAsia="宋体" w:cs="宋体"/>
                <w:sz w:val="18"/>
                <w:szCs w:val="18"/>
              </w:rPr>
              <w:t>新疆华孚纺织</w:t>
            </w:r>
          </w:p>
        </w:tc>
        <w:tc>
          <w:tcPr>
            <w:tcW w:w="1377" w:type="dxa"/>
            <w:tcBorders>
              <w:top w:val="single" w:color="auto" w:sz="2" w:space="0"/>
              <w:left w:val="single" w:color="auto" w:sz="2" w:space="0"/>
              <w:bottom w:val="single" w:color="auto" w:sz="2" w:space="0"/>
              <w:right w:val="single" w:color="auto" w:sz="2" w:space="0"/>
            </w:tcBorders>
            <w:vAlign w:val="center"/>
          </w:tcPr>
          <w:p w14:paraId="7135F975">
            <w:pPr>
              <w:spacing w:line="240" w:lineRule="exact"/>
              <w:jc w:val="right"/>
              <w:rPr>
                <w:rFonts w:ascii="宋体" w:hAnsi="宋体" w:eastAsia="宋体" w:cs="宋体"/>
                <w:sz w:val="18"/>
                <w:szCs w:val="18"/>
              </w:rPr>
            </w:pPr>
            <w:r>
              <w:rPr>
                <w:rFonts w:ascii="宋体" w:hAnsi="宋体" w:eastAsia="宋体" w:cs="宋体"/>
                <w:sz w:val="18"/>
                <w:szCs w:val="18"/>
              </w:rPr>
              <w:t>2,109,837.63</w:t>
            </w:r>
          </w:p>
        </w:tc>
        <w:tc>
          <w:tcPr>
            <w:tcW w:w="1377" w:type="dxa"/>
            <w:tcBorders>
              <w:top w:val="single" w:color="auto" w:sz="2" w:space="0"/>
              <w:left w:val="single" w:color="auto" w:sz="2" w:space="0"/>
              <w:bottom w:val="single" w:color="auto" w:sz="2" w:space="0"/>
              <w:right w:val="single" w:color="auto" w:sz="2" w:space="0"/>
            </w:tcBorders>
            <w:vAlign w:val="center"/>
          </w:tcPr>
          <w:p w14:paraId="69C47722">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5A4B30A">
            <w:pPr>
              <w:spacing w:line="240" w:lineRule="exact"/>
              <w:jc w:val="right"/>
              <w:rPr>
                <w:rFonts w:ascii="宋体" w:hAnsi="宋体" w:eastAsia="宋体" w:cs="宋体"/>
                <w:sz w:val="18"/>
                <w:szCs w:val="18"/>
              </w:rPr>
            </w:pPr>
            <w:r>
              <w:rPr>
                <w:rFonts w:ascii="宋体" w:hAnsi="宋体" w:eastAsia="宋体" w:cs="宋体"/>
                <w:sz w:val="18"/>
                <w:szCs w:val="18"/>
              </w:rPr>
              <w:t>2,109,837.63</w:t>
            </w:r>
          </w:p>
        </w:tc>
        <w:tc>
          <w:tcPr>
            <w:tcW w:w="1377" w:type="dxa"/>
            <w:tcBorders>
              <w:top w:val="single" w:color="auto" w:sz="2" w:space="0"/>
              <w:left w:val="single" w:color="auto" w:sz="2" w:space="0"/>
              <w:bottom w:val="single" w:color="auto" w:sz="2" w:space="0"/>
              <w:right w:val="single" w:color="auto" w:sz="2" w:space="0"/>
            </w:tcBorders>
            <w:vAlign w:val="center"/>
          </w:tcPr>
          <w:p w14:paraId="1BFA2962">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3F54F9F">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BB90996">
            <w:pPr>
              <w:spacing w:line="240" w:lineRule="exact"/>
              <w:jc w:val="right"/>
              <w:rPr>
                <w:rFonts w:ascii="宋体" w:hAnsi="宋体" w:eastAsia="宋体" w:cs="宋体"/>
                <w:sz w:val="18"/>
                <w:szCs w:val="18"/>
              </w:rPr>
            </w:pPr>
          </w:p>
        </w:tc>
      </w:tr>
      <w:tr w14:paraId="70FDE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B8207B2">
            <w:pPr>
              <w:spacing w:line="240" w:lineRule="exact"/>
              <w:rPr>
                <w:rFonts w:ascii="宋体" w:hAnsi="宋体" w:eastAsia="宋体" w:cs="宋体"/>
                <w:sz w:val="18"/>
                <w:szCs w:val="18"/>
              </w:rPr>
            </w:pPr>
            <w:r>
              <w:rPr>
                <w:rFonts w:ascii="宋体" w:hAnsi="宋体" w:eastAsia="宋体" w:cs="宋体"/>
                <w:sz w:val="18"/>
                <w:szCs w:val="18"/>
              </w:rPr>
              <w:t>30万锭智能产业园项目</w:t>
            </w:r>
          </w:p>
        </w:tc>
        <w:tc>
          <w:tcPr>
            <w:tcW w:w="1377" w:type="dxa"/>
            <w:tcBorders>
              <w:top w:val="single" w:color="auto" w:sz="2" w:space="0"/>
              <w:left w:val="single" w:color="auto" w:sz="2" w:space="0"/>
              <w:bottom w:val="single" w:color="auto" w:sz="2" w:space="0"/>
              <w:right w:val="single" w:color="auto" w:sz="2" w:space="0"/>
            </w:tcBorders>
            <w:vAlign w:val="center"/>
          </w:tcPr>
          <w:p w14:paraId="2005A876">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14:paraId="6312DF5F">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8E9F7F1">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14:paraId="7E44708C">
            <w:pPr>
              <w:spacing w:line="240" w:lineRule="exact"/>
              <w:jc w:val="right"/>
              <w:rPr>
                <w:rFonts w:ascii="宋体" w:hAnsi="宋体" w:eastAsia="宋体" w:cs="宋体"/>
                <w:sz w:val="18"/>
                <w:szCs w:val="18"/>
              </w:rPr>
            </w:pPr>
            <w:r>
              <w:rPr>
                <w:rFonts w:ascii="宋体" w:hAnsi="宋体" w:eastAsia="宋体" w:cs="宋体"/>
                <w:sz w:val="18"/>
                <w:szCs w:val="18"/>
              </w:rPr>
              <w:t>219,218,227.50</w:t>
            </w:r>
          </w:p>
        </w:tc>
        <w:tc>
          <w:tcPr>
            <w:tcW w:w="1377" w:type="dxa"/>
            <w:tcBorders>
              <w:top w:val="single" w:color="auto" w:sz="2" w:space="0"/>
              <w:left w:val="single" w:color="auto" w:sz="2" w:space="0"/>
              <w:bottom w:val="single" w:color="auto" w:sz="2" w:space="0"/>
              <w:right w:val="single" w:color="auto" w:sz="2" w:space="0"/>
            </w:tcBorders>
            <w:vAlign w:val="center"/>
          </w:tcPr>
          <w:p w14:paraId="7DEB9BDB">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0D691E5">
            <w:pPr>
              <w:spacing w:line="240" w:lineRule="exact"/>
              <w:jc w:val="right"/>
              <w:rPr>
                <w:rFonts w:ascii="宋体" w:hAnsi="宋体" w:eastAsia="宋体" w:cs="宋体"/>
                <w:sz w:val="18"/>
                <w:szCs w:val="18"/>
              </w:rPr>
            </w:pPr>
            <w:r>
              <w:rPr>
                <w:rFonts w:ascii="宋体" w:hAnsi="宋体" w:eastAsia="宋体" w:cs="宋体"/>
                <w:sz w:val="18"/>
                <w:szCs w:val="18"/>
              </w:rPr>
              <w:t>219,218,227.50</w:t>
            </w:r>
          </w:p>
        </w:tc>
      </w:tr>
      <w:tr w14:paraId="6DAEA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FF1BBAB">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44CEFE00">
            <w:pPr>
              <w:spacing w:line="240" w:lineRule="exact"/>
              <w:jc w:val="right"/>
              <w:rPr>
                <w:rFonts w:ascii="宋体" w:hAnsi="宋体" w:eastAsia="宋体" w:cs="宋体"/>
                <w:sz w:val="18"/>
                <w:szCs w:val="18"/>
              </w:rPr>
            </w:pPr>
            <w:r>
              <w:rPr>
                <w:rFonts w:ascii="宋体" w:hAnsi="宋体" w:eastAsia="宋体" w:cs="宋体"/>
                <w:sz w:val="18"/>
                <w:szCs w:val="18"/>
              </w:rPr>
              <w:t>575,238,580.47</w:t>
            </w:r>
          </w:p>
        </w:tc>
        <w:tc>
          <w:tcPr>
            <w:tcW w:w="1377" w:type="dxa"/>
            <w:tcBorders>
              <w:top w:val="single" w:color="auto" w:sz="2" w:space="0"/>
              <w:left w:val="single" w:color="auto" w:sz="2" w:space="0"/>
              <w:bottom w:val="single" w:color="auto" w:sz="2" w:space="0"/>
              <w:right w:val="single" w:color="auto" w:sz="2" w:space="0"/>
            </w:tcBorders>
            <w:vAlign w:val="center"/>
          </w:tcPr>
          <w:p w14:paraId="58844C64">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98253BC">
            <w:pPr>
              <w:spacing w:line="240" w:lineRule="exact"/>
              <w:jc w:val="right"/>
              <w:rPr>
                <w:rFonts w:ascii="宋体" w:hAnsi="宋体" w:eastAsia="宋体" w:cs="宋体"/>
                <w:sz w:val="18"/>
                <w:szCs w:val="18"/>
              </w:rPr>
            </w:pPr>
            <w:r>
              <w:rPr>
                <w:rFonts w:ascii="宋体" w:hAnsi="宋体" w:eastAsia="宋体" w:cs="宋体"/>
                <w:sz w:val="18"/>
                <w:szCs w:val="18"/>
              </w:rPr>
              <w:t>575,238,580.47</w:t>
            </w:r>
          </w:p>
        </w:tc>
        <w:tc>
          <w:tcPr>
            <w:tcW w:w="1377" w:type="dxa"/>
            <w:tcBorders>
              <w:top w:val="single" w:color="auto" w:sz="2" w:space="0"/>
              <w:left w:val="single" w:color="auto" w:sz="2" w:space="0"/>
              <w:bottom w:val="single" w:color="auto" w:sz="2" w:space="0"/>
              <w:right w:val="single" w:color="auto" w:sz="2" w:space="0"/>
            </w:tcBorders>
            <w:vAlign w:val="center"/>
          </w:tcPr>
          <w:p w14:paraId="4C943E4E">
            <w:pPr>
              <w:spacing w:line="240" w:lineRule="exact"/>
              <w:jc w:val="right"/>
              <w:rPr>
                <w:rFonts w:ascii="宋体" w:hAnsi="宋体" w:eastAsia="宋体" w:cs="宋体"/>
                <w:sz w:val="18"/>
                <w:szCs w:val="18"/>
              </w:rPr>
            </w:pPr>
            <w:r>
              <w:rPr>
                <w:rFonts w:ascii="宋体" w:hAnsi="宋体" w:eastAsia="宋体" w:cs="宋体"/>
                <w:sz w:val="18"/>
                <w:szCs w:val="18"/>
              </w:rPr>
              <w:t>324,546,393.57</w:t>
            </w:r>
          </w:p>
        </w:tc>
        <w:tc>
          <w:tcPr>
            <w:tcW w:w="1377" w:type="dxa"/>
            <w:tcBorders>
              <w:top w:val="single" w:color="auto" w:sz="2" w:space="0"/>
              <w:left w:val="single" w:color="auto" w:sz="2" w:space="0"/>
              <w:bottom w:val="single" w:color="auto" w:sz="2" w:space="0"/>
              <w:right w:val="single" w:color="auto" w:sz="2" w:space="0"/>
            </w:tcBorders>
            <w:vAlign w:val="center"/>
          </w:tcPr>
          <w:p w14:paraId="35DD44FB">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65389F6">
            <w:pPr>
              <w:spacing w:line="240" w:lineRule="exact"/>
              <w:jc w:val="right"/>
              <w:rPr>
                <w:rFonts w:ascii="宋体" w:hAnsi="宋体" w:eastAsia="宋体" w:cs="宋体"/>
                <w:sz w:val="18"/>
                <w:szCs w:val="18"/>
              </w:rPr>
            </w:pPr>
            <w:r>
              <w:rPr>
                <w:rFonts w:ascii="宋体" w:hAnsi="宋体" w:eastAsia="宋体" w:cs="宋体"/>
                <w:sz w:val="18"/>
                <w:szCs w:val="18"/>
              </w:rPr>
              <w:t>324,546,393.57</w:t>
            </w:r>
          </w:p>
        </w:tc>
      </w:tr>
    </w:tbl>
    <w:p w14:paraId="76A70879">
      <w:pPr>
        <w:keepNext/>
        <w:keepLines/>
        <w:spacing w:before="300" w:after="300" w:line="280" w:lineRule="exact"/>
        <w:outlineLvl w:val="3"/>
        <w:rPr>
          <w:rFonts w:ascii="宋体" w:hAnsi="宋体" w:eastAsia="宋体" w:cs="宋体"/>
          <w:b/>
          <w:bCs/>
          <w:szCs w:val="21"/>
        </w:rPr>
      </w:pPr>
      <w:bookmarkStart w:id="367" w:name="_Toc989220"/>
      <w:r>
        <w:rPr>
          <w:rFonts w:ascii="宋体" w:hAnsi="宋体" w:eastAsia="宋体" w:cs="宋体"/>
          <w:b/>
          <w:bCs/>
          <w:szCs w:val="21"/>
        </w:rPr>
        <w:t>（2） 重要在建工程项目本期变动情况</w:t>
      </w:r>
      <w:bookmarkEnd w:id="367"/>
    </w:p>
    <w:p w14:paraId="6F97E52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6"/>
        <w:gridCol w:w="636"/>
        <w:gridCol w:w="636"/>
        <w:gridCol w:w="636"/>
        <w:gridCol w:w="637"/>
        <w:gridCol w:w="637"/>
        <w:gridCol w:w="637"/>
        <w:gridCol w:w="637"/>
        <w:gridCol w:w="637"/>
        <w:gridCol w:w="637"/>
        <w:gridCol w:w="637"/>
        <w:gridCol w:w="637"/>
        <w:gridCol w:w="1999"/>
      </w:tblGrid>
      <w:tr w14:paraId="58C1D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0EF72787">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7C6B3C77">
            <w:pPr>
              <w:spacing w:before="40" w:after="40" w:line="240" w:lineRule="exact"/>
              <w:jc w:val="center"/>
              <w:rPr>
                <w:rFonts w:ascii="宋体" w:hAnsi="宋体" w:eastAsia="宋体" w:cs="宋体"/>
                <w:sz w:val="18"/>
                <w:szCs w:val="18"/>
              </w:rPr>
            </w:pPr>
            <w:r>
              <w:rPr>
                <w:rFonts w:ascii="宋体" w:hAnsi="宋体" w:eastAsia="宋体" w:cs="宋体"/>
                <w:sz w:val="18"/>
                <w:szCs w:val="18"/>
              </w:rPr>
              <w:t>预算数</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2EE06C6A">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7CE484C8">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0736F134">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本期转入固定资产金额</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0942381C">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本期其他减少金额</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773E875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799D9C25">
            <w:pPr>
              <w:spacing w:before="40" w:after="40" w:line="240" w:lineRule="exact"/>
              <w:jc w:val="center"/>
              <w:rPr>
                <w:rFonts w:ascii="宋体" w:hAnsi="宋体" w:eastAsia="宋体" w:cs="宋体"/>
                <w:sz w:val="18"/>
                <w:szCs w:val="18"/>
              </w:rPr>
            </w:pPr>
            <w:r>
              <w:rPr>
                <w:rFonts w:ascii="宋体" w:hAnsi="宋体" w:eastAsia="宋体" w:cs="宋体"/>
                <w:sz w:val="18"/>
                <w:szCs w:val="18"/>
              </w:rPr>
              <w:t>工程累计投入占预算比例</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447517B3">
            <w:pPr>
              <w:spacing w:before="40" w:after="40" w:line="240" w:lineRule="exact"/>
              <w:jc w:val="center"/>
              <w:rPr>
                <w:rFonts w:ascii="宋体" w:hAnsi="宋体" w:eastAsia="宋体" w:cs="宋体"/>
                <w:sz w:val="18"/>
                <w:szCs w:val="18"/>
              </w:rPr>
            </w:pPr>
            <w:r>
              <w:rPr>
                <w:rFonts w:ascii="宋体" w:hAnsi="宋体" w:eastAsia="宋体" w:cs="宋体"/>
                <w:sz w:val="18"/>
                <w:szCs w:val="18"/>
              </w:rPr>
              <w:t>工程进度</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31DE011E">
            <w:pPr>
              <w:spacing w:before="40" w:after="40" w:line="240" w:lineRule="exact"/>
              <w:jc w:val="center"/>
              <w:rPr>
                <w:rFonts w:ascii="宋体" w:hAnsi="宋体" w:eastAsia="宋体" w:cs="宋体"/>
                <w:sz w:val="18"/>
                <w:szCs w:val="18"/>
              </w:rPr>
            </w:pPr>
            <w:r>
              <w:rPr>
                <w:rFonts w:ascii="宋体" w:hAnsi="宋体" w:eastAsia="宋体" w:cs="宋体"/>
                <w:sz w:val="18"/>
                <w:szCs w:val="18"/>
              </w:rPr>
              <w:t>利息资本化累计金额</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700763F8">
            <w:pPr>
              <w:spacing w:before="40" w:after="40" w:line="240" w:lineRule="exact"/>
              <w:jc w:val="center"/>
              <w:rPr>
                <w:rFonts w:ascii="宋体" w:hAnsi="宋体" w:eastAsia="宋体" w:cs="宋体"/>
                <w:sz w:val="18"/>
                <w:szCs w:val="18"/>
              </w:rPr>
            </w:pPr>
            <w:r>
              <w:rPr>
                <w:rFonts w:ascii="宋体" w:hAnsi="宋体" w:eastAsia="宋体" w:cs="宋体"/>
                <w:sz w:val="18"/>
                <w:szCs w:val="18"/>
              </w:rPr>
              <w:t>其中：本期利息资本化金额</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4264A5A9">
            <w:pPr>
              <w:spacing w:before="40" w:after="40" w:line="240" w:lineRule="exact"/>
              <w:jc w:val="center"/>
              <w:rPr>
                <w:rFonts w:ascii="宋体" w:hAnsi="宋体" w:eastAsia="宋体" w:cs="宋体"/>
                <w:sz w:val="18"/>
                <w:szCs w:val="18"/>
              </w:rPr>
            </w:pPr>
            <w:r>
              <w:rPr>
                <w:rFonts w:ascii="宋体" w:hAnsi="宋体" w:eastAsia="宋体" w:cs="宋体"/>
                <w:sz w:val="18"/>
                <w:szCs w:val="18"/>
              </w:rPr>
              <w:t>本期利息资本化率</w:t>
            </w:r>
          </w:p>
        </w:tc>
        <w:tc>
          <w:tcPr>
            <w:tcW w:w="2000" w:type="dxa"/>
            <w:tcBorders>
              <w:top w:val="single" w:color="auto" w:sz="2" w:space="0"/>
              <w:left w:val="single" w:color="auto" w:sz="2" w:space="0"/>
              <w:bottom w:val="single" w:color="auto" w:sz="2" w:space="0"/>
              <w:right w:val="single" w:color="auto" w:sz="2" w:space="0"/>
            </w:tcBorders>
            <w:shd w:val="clear" w:color="auto" w:fill="D3D3D3"/>
            <w:vAlign w:val="center"/>
          </w:tcPr>
          <w:p w14:paraId="2AD3B70F">
            <w:pPr>
              <w:spacing w:before="40" w:after="40" w:line="240" w:lineRule="exact"/>
              <w:jc w:val="center"/>
              <w:rPr>
                <w:rFonts w:ascii="宋体" w:hAnsi="宋体" w:eastAsia="宋体" w:cs="宋体"/>
                <w:sz w:val="18"/>
                <w:szCs w:val="18"/>
              </w:rPr>
            </w:pPr>
            <w:r>
              <w:rPr>
                <w:rFonts w:ascii="宋体" w:hAnsi="宋体" w:eastAsia="宋体" w:cs="宋体"/>
                <w:sz w:val="18"/>
                <w:szCs w:val="18"/>
              </w:rPr>
              <w:t>资金来源</w:t>
            </w:r>
          </w:p>
        </w:tc>
      </w:tr>
      <w:tr w14:paraId="1C534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37" w:type="dxa"/>
            <w:tcBorders>
              <w:top w:val="single" w:color="auto" w:sz="2" w:space="0"/>
              <w:left w:val="single" w:color="auto" w:sz="2" w:space="0"/>
              <w:bottom w:val="single" w:color="auto" w:sz="2" w:space="0"/>
              <w:right w:val="single" w:color="auto" w:sz="2" w:space="0"/>
            </w:tcBorders>
            <w:vAlign w:val="center"/>
          </w:tcPr>
          <w:p w14:paraId="77BC2D8B">
            <w:pPr>
              <w:spacing w:line="240" w:lineRule="exact"/>
              <w:rPr>
                <w:rFonts w:ascii="宋体" w:hAnsi="宋体" w:eastAsia="宋体" w:cs="宋体"/>
                <w:sz w:val="18"/>
                <w:szCs w:val="18"/>
              </w:rPr>
            </w:pPr>
            <w:r>
              <w:rPr>
                <w:rFonts w:ascii="宋体" w:hAnsi="宋体" w:eastAsia="宋体" w:cs="宋体"/>
                <w:sz w:val="18"/>
                <w:szCs w:val="18"/>
              </w:rPr>
              <w:t>阿克苏华孚延链项目</w:t>
            </w:r>
          </w:p>
        </w:tc>
        <w:tc>
          <w:tcPr>
            <w:tcW w:w="637" w:type="dxa"/>
            <w:tcBorders>
              <w:top w:val="single" w:color="auto" w:sz="2" w:space="0"/>
              <w:left w:val="single" w:color="auto" w:sz="2" w:space="0"/>
              <w:bottom w:val="single" w:color="auto" w:sz="2" w:space="0"/>
              <w:right w:val="single" w:color="auto" w:sz="2" w:space="0"/>
            </w:tcBorders>
            <w:vAlign w:val="center"/>
          </w:tcPr>
          <w:p w14:paraId="627870EE">
            <w:pPr>
              <w:spacing w:line="240" w:lineRule="exact"/>
              <w:jc w:val="right"/>
              <w:rPr>
                <w:rFonts w:ascii="宋体" w:hAnsi="宋体" w:eastAsia="宋体" w:cs="宋体"/>
                <w:sz w:val="18"/>
                <w:szCs w:val="18"/>
              </w:rPr>
            </w:pPr>
            <w:r>
              <w:rPr>
                <w:rFonts w:ascii="宋体" w:hAnsi="宋体" w:eastAsia="宋体" w:cs="宋体"/>
                <w:sz w:val="18"/>
                <w:szCs w:val="18"/>
              </w:rPr>
              <w:t>874,069,200.00</w:t>
            </w:r>
          </w:p>
        </w:tc>
        <w:tc>
          <w:tcPr>
            <w:tcW w:w="637" w:type="dxa"/>
            <w:tcBorders>
              <w:top w:val="single" w:color="auto" w:sz="2" w:space="0"/>
              <w:left w:val="single" w:color="auto" w:sz="2" w:space="0"/>
              <w:bottom w:val="single" w:color="auto" w:sz="2" w:space="0"/>
              <w:right w:val="single" w:color="auto" w:sz="2" w:space="0"/>
            </w:tcBorders>
            <w:vAlign w:val="center"/>
          </w:tcPr>
          <w:p w14:paraId="610C8B18">
            <w:pPr>
              <w:spacing w:line="240" w:lineRule="exact"/>
              <w:jc w:val="right"/>
              <w:rPr>
                <w:rFonts w:ascii="宋体" w:hAnsi="宋体" w:eastAsia="宋体" w:cs="宋体"/>
                <w:sz w:val="18"/>
                <w:szCs w:val="18"/>
              </w:rPr>
            </w:pPr>
            <w:r>
              <w:rPr>
                <w:rFonts w:ascii="宋体" w:hAnsi="宋体" w:eastAsia="宋体" w:cs="宋体"/>
                <w:sz w:val="18"/>
                <w:szCs w:val="18"/>
              </w:rPr>
              <w:t>4,450,471.69</w:t>
            </w:r>
          </w:p>
        </w:tc>
        <w:tc>
          <w:tcPr>
            <w:tcW w:w="637" w:type="dxa"/>
            <w:tcBorders>
              <w:top w:val="single" w:color="auto" w:sz="2" w:space="0"/>
              <w:left w:val="single" w:color="auto" w:sz="2" w:space="0"/>
              <w:bottom w:val="single" w:color="auto" w:sz="2" w:space="0"/>
              <w:right w:val="single" w:color="auto" w:sz="2" w:space="0"/>
            </w:tcBorders>
            <w:vAlign w:val="center"/>
          </w:tcPr>
          <w:p w14:paraId="3B393C0C">
            <w:pPr>
              <w:spacing w:line="240" w:lineRule="exact"/>
              <w:jc w:val="right"/>
              <w:rPr>
                <w:rFonts w:ascii="宋体" w:hAnsi="宋体" w:eastAsia="宋体" w:cs="宋体"/>
                <w:sz w:val="18"/>
                <w:szCs w:val="18"/>
              </w:rPr>
            </w:pPr>
            <w:r>
              <w:rPr>
                <w:rFonts w:ascii="宋体" w:hAnsi="宋体" w:eastAsia="宋体" w:cs="宋体"/>
                <w:sz w:val="18"/>
                <w:szCs w:val="18"/>
              </w:rPr>
              <w:t>479,260,854.26</w:t>
            </w:r>
          </w:p>
        </w:tc>
        <w:tc>
          <w:tcPr>
            <w:tcW w:w="637" w:type="dxa"/>
            <w:tcBorders>
              <w:top w:val="single" w:color="auto" w:sz="2" w:space="0"/>
              <w:left w:val="single" w:color="auto" w:sz="2" w:space="0"/>
              <w:bottom w:val="single" w:color="auto" w:sz="2" w:space="0"/>
              <w:right w:val="single" w:color="auto" w:sz="2" w:space="0"/>
            </w:tcBorders>
            <w:vAlign w:val="center"/>
          </w:tcPr>
          <w:p w14:paraId="55400B5A">
            <w:pPr>
              <w:spacing w:line="240" w:lineRule="exact"/>
              <w:jc w:val="right"/>
              <w:rPr>
                <w:rFonts w:ascii="宋体" w:hAnsi="宋体" w:eastAsia="宋体" w:cs="宋体"/>
                <w:sz w:val="18"/>
                <w:szCs w:val="18"/>
              </w:rPr>
            </w:pPr>
            <w:r>
              <w:rPr>
                <w:rFonts w:ascii="宋体" w:hAnsi="宋体" w:eastAsia="宋体" w:cs="宋体"/>
                <w:sz w:val="18"/>
                <w:szCs w:val="18"/>
              </w:rPr>
              <w:t>23,893,805.31</w:t>
            </w:r>
          </w:p>
        </w:tc>
        <w:tc>
          <w:tcPr>
            <w:tcW w:w="637" w:type="dxa"/>
            <w:tcBorders>
              <w:top w:val="single" w:color="auto" w:sz="2" w:space="0"/>
              <w:left w:val="single" w:color="auto" w:sz="2" w:space="0"/>
              <w:bottom w:val="single" w:color="auto" w:sz="2" w:space="0"/>
              <w:right w:val="single" w:color="auto" w:sz="2" w:space="0"/>
            </w:tcBorders>
            <w:vAlign w:val="center"/>
          </w:tcPr>
          <w:p w14:paraId="06B87942">
            <w:pPr>
              <w:spacing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4257982A">
            <w:pPr>
              <w:spacing w:line="240" w:lineRule="exact"/>
              <w:jc w:val="right"/>
              <w:rPr>
                <w:rFonts w:ascii="宋体" w:hAnsi="宋体" w:eastAsia="宋体" w:cs="宋体"/>
                <w:sz w:val="18"/>
                <w:szCs w:val="18"/>
              </w:rPr>
            </w:pPr>
            <w:r>
              <w:rPr>
                <w:rFonts w:ascii="宋体" w:hAnsi="宋体" w:eastAsia="宋体" w:cs="宋体"/>
                <w:sz w:val="18"/>
                <w:szCs w:val="18"/>
              </w:rPr>
              <w:t>459,817,520.64</w:t>
            </w:r>
          </w:p>
        </w:tc>
        <w:tc>
          <w:tcPr>
            <w:tcW w:w="637" w:type="dxa"/>
            <w:tcBorders>
              <w:top w:val="single" w:color="auto" w:sz="2" w:space="0"/>
              <w:left w:val="single" w:color="auto" w:sz="2" w:space="0"/>
              <w:bottom w:val="single" w:color="auto" w:sz="2" w:space="0"/>
              <w:right w:val="single" w:color="auto" w:sz="2" w:space="0"/>
            </w:tcBorders>
            <w:vAlign w:val="center"/>
          </w:tcPr>
          <w:p w14:paraId="23DE701B">
            <w:pPr>
              <w:spacing w:line="240" w:lineRule="exact"/>
              <w:jc w:val="right"/>
              <w:rPr>
                <w:rFonts w:ascii="宋体" w:hAnsi="宋体" w:eastAsia="宋体" w:cs="宋体"/>
                <w:sz w:val="18"/>
                <w:szCs w:val="18"/>
              </w:rPr>
            </w:pPr>
            <w:r>
              <w:rPr>
                <w:rFonts w:ascii="宋体" w:hAnsi="宋体" w:eastAsia="宋体" w:cs="宋体"/>
                <w:sz w:val="18"/>
                <w:szCs w:val="18"/>
              </w:rPr>
              <w:t>58.07%</w:t>
            </w:r>
          </w:p>
        </w:tc>
        <w:tc>
          <w:tcPr>
            <w:tcW w:w="637" w:type="dxa"/>
            <w:tcBorders>
              <w:top w:val="single" w:color="auto" w:sz="2" w:space="0"/>
              <w:left w:val="single" w:color="auto" w:sz="2" w:space="0"/>
              <w:bottom w:val="single" w:color="auto" w:sz="2" w:space="0"/>
              <w:right w:val="single" w:color="auto" w:sz="2" w:space="0"/>
            </w:tcBorders>
            <w:vAlign w:val="center"/>
          </w:tcPr>
          <w:p w14:paraId="67F0BE14">
            <w:pPr>
              <w:spacing w:line="240" w:lineRule="exact"/>
              <w:rPr>
                <w:rFonts w:ascii="宋体" w:hAnsi="宋体" w:eastAsia="宋体" w:cs="宋体"/>
                <w:sz w:val="18"/>
                <w:szCs w:val="18"/>
              </w:rPr>
            </w:pPr>
            <w:r>
              <w:rPr>
                <w:rFonts w:ascii="宋体" w:hAnsi="宋体" w:eastAsia="宋体" w:cs="宋体"/>
                <w:sz w:val="18"/>
                <w:szCs w:val="18"/>
              </w:rPr>
              <w:t>58.07%</w:t>
            </w:r>
          </w:p>
        </w:tc>
        <w:tc>
          <w:tcPr>
            <w:tcW w:w="637" w:type="dxa"/>
            <w:tcBorders>
              <w:top w:val="single" w:color="auto" w:sz="2" w:space="0"/>
              <w:left w:val="single" w:color="auto" w:sz="2" w:space="0"/>
              <w:bottom w:val="single" w:color="auto" w:sz="2" w:space="0"/>
              <w:right w:val="single" w:color="auto" w:sz="2" w:space="0"/>
            </w:tcBorders>
            <w:vAlign w:val="center"/>
          </w:tcPr>
          <w:p w14:paraId="1456982D">
            <w:pPr>
              <w:spacing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330BE82C">
            <w:pPr>
              <w:spacing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0A0B5B93">
            <w:pPr>
              <w:spacing w:line="240" w:lineRule="exact"/>
              <w:jc w:val="right"/>
              <w:rPr>
                <w:rFonts w:ascii="宋体" w:hAnsi="宋体" w:eastAsia="宋体" w:cs="宋体"/>
                <w:sz w:val="18"/>
                <w:szCs w:val="18"/>
              </w:rPr>
            </w:pPr>
          </w:p>
        </w:tc>
        <w:tc>
          <w:tcPr>
            <w:tcW w:w="2000" w:type="dxa"/>
            <w:tcBorders>
              <w:top w:val="single" w:color="auto" w:sz="2" w:space="0"/>
              <w:left w:val="single" w:color="auto" w:sz="2" w:space="0"/>
              <w:bottom w:val="single" w:color="auto" w:sz="2" w:space="0"/>
              <w:right w:val="single" w:color="auto" w:sz="2" w:space="0"/>
            </w:tcBorders>
            <w:vAlign w:val="center"/>
          </w:tcPr>
          <w:p w14:paraId="25B62211">
            <w:pPr>
              <w:spacing w:line="240" w:lineRule="exact"/>
              <w:rPr>
                <w:rFonts w:ascii="宋体" w:hAnsi="宋体" w:eastAsia="宋体" w:cs="宋体"/>
                <w:sz w:val="18"/>
                <w:szCs w:val="18"/>
              </w:rPr>
            </w:pPr>
            <w:r>
              <w:rPr>
                <w:rFonts w:ascii="宋体" w:hAnsi="宋体" w:eastAsia="宋体" w:cs="宋体"/>
                <w:sz w:val="18"/>
                <w:szCs w:val="18"/>
              </w:rPr>
              <w:t>其他</w:t>
            </w:r>
          </w:p>
        </w:tc>
      </w:tr>
      <w:tr w14:paraId="3555D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37" w:type="dxa"/>
            <w:tcBorders>
              <w:top w:val="single" w:color="auto" w:sz="2" w:space="0"/>
              <w:left w:val="single" w:color="auto" w:sz="2" w:space="0"/>
              <w:bottom w:val="single" w:color="auto" w:sz="2" w:space="0"/>
              <w:right w:val="single" w:color="auto" w:sz="2" w:space="0"/>
            </w:tcBorders>
            <w:vAlign w:val="center"/>
          </w:tcPr>
          <w:p w14:paraId="618E0663">
            <w:pPr>
              <w:spacing w:line="240" w:lineRule="exact"/>
              <w:rPr>
                <w:rFonts w:ascii="宋体" w:hAnsi="宋体" w:eastAsia="宋体" w:cs="宋体"/>
                <w:sz w:val="18"/>
                <w:szCs w:val="18"/>
              </w:rPr>
            </w:pPr>
            <w:r>
              <w:rPr>
                <w:rFonts w:ascii="宋体" w:hAnsi="宋体" w:eastAsia="宋体" w:cs="宋体"/>
                <w:sz w:val="18"/>
                <w:szCs w:val="18"/>
              </w:rPr>
              <w:t>30万锭智能产业园项目</w:t>
            </w:r>
          </w:p>
        </w:tc>
        <w:tc>
          <w:tcPr>
            <w:tcW w:w="637" w:type="dxa"/>
            <w:tcBorders>
              <w:top w:val="single" w:color="auto" w:sz="2" w:space="0"/>
              <w:left w:val="single" w:color="auto" w:sz="2" w:space="0"/>
              <w:bottom w:val="single" w:color="auto" w:sz="2" w:space="0"/>
              <w:right w:val="single" w:color="auto" w:sz="2" w:space="0"/>
            </w:tcBorders>
            <w:vAlign w:val="center"/>
          </w:tcPr>
          <w:p w14:paraId="176EE0BB">
            <w:pPr>
              <w:spacing w:line="240" w:lineRule="exact"/>
              <w:jc w:val="right"/>
              <w:rPr>
                <w:rFonts w:ascii="宋体" w:hAnsi="宋体" w:eastAsia="宋体" w:cs="宋体"/>
                <w:sz w:val="18"/>
                <w:szCs w:val="18"/>
              </w:rPr>
            </w:pPr>
            <w:r>
              <w:rPr>
                <w:rFonts w:ascii="宋体" w:hAnsi="宋体" w:eastAsia="宋体" w:cs="宋体"/>
                <w:sz w:val="18"/>
                <w:szCs w:val="18"/>
              </w:rPr>
              <w:t>1,202,645,200.00</w:t>
            </w:r>
          </w:p>
        </w:tc>
        <w:tc>
          <w:tcPr>
            <w:tcW w:w="637" w:type="dxa"/>
            <w:tcBorders>
              <w:top w:val="single" w:color="auto" w:sz="2" w:space="0"/>
              <w:left w:val="single" w:color="auto" w:sz="2" w:space="0"/>
              <w:bottom w:val="single" w:color="auto" w:sz="2" w:space="0"/>
              <w:right w:val="single" w:color="auto" w:sz="2" w:space="0"/>
            </w:tcBorders>
            <w:vAlign w:val="center"/>
          </w:tcPr>
          <w:p w14:paraId="779A0B90">
            <w:pPr>
              <w:spacing w:line="240" w:lineRule="exact"/>
              <w:jc w:val="right"/>
              <w:rPr>
                <w:rFonts w:ascii="宋体" w:hAnsi="宋体" w:eastAsia="宋体" w:cs="宋体"/>
                <w:sz w:val="18"/>
                <w:szCs w:val="18"/>
              </w:rPr>
            </w:pPr>
            <w:r>
              <w:rPr>
                <w:rFonts w:ascii="宋体" w:hAnsi="宋体" w:eastAsia="宋体" w:cs="宋体"/>
                <w:sz w:val="18"/>
                <w:szCs w:val="18"/>
              </w:rPr>
              <w:t>219,218,227.50</w:t>
            </w:r>
          </w:p>
        </w:tc>
        <w:tc>
          <w:tcPr>
            <w:tcW w:w="637" w:type="dxa"/>
            <w:tcBorders>
              <w:top w:val="single" w:color="auto" w:sz="2" w:space="0"/>
              <w:left w:val="single" w:color="auto" w:sz="2" w:space="0"/>
              <w:bottom w:val="single" w:color="auto" w:sz="2" w:space="0"/>
              <w:right w:val="single" w:color="auto" w:sz="2" w:space="0"/>
            </w:tcBorders>
            <w:vAlign w:val="center"/>
          </w:tcPr>
          <w:p w14:paraId="35532008">
            <w:pPr>
              <w:spacing w:line="240" w:lineRule="exact"/>
              <w:jc w:val="right"/>
              <w:rPr>
                <w:rFonts w:ascii="宋体" w:hAnsi="宋体" w:eastAsia="宋体" w:cs="宋体"/>
                <w:sz w:val="18"/>
                <w:szCs w:val="18"/>
              </w:rPr>
            </w:pPr>
            <w:r>
              <w:rPr>
                <w:rFonts w:ascii="宋体" w:hAnsi="宋体" w:eastAsia="宋体" w:cs="宋体"/>
                <w:sz w:val="18"/>
                <w:szCs w:val="18"/>
              </w:rPr>
              <w:t>181,063,532.66</w:t>
            </w:r>
          </w:p>
        </w:tc>
        <w:tc>
          <w:tcPr>
            <w:tcW w:w="637" w:type="dxa"/>
            <w:tcBorders>
              <w:top w:val="single" w:color="auto" w:sz="2" w:space="0"/>
              <w:left w:val="single" w:color="auto" w:sz="2" w:space="0"/>
              <w:bottom w:val="single" w:color="auto" w:sz="2" w:space="0"/>
              <w:right w:val="single" w:color="auto" w:sz="2" w:space="0"/>
            </w:tcBorders>
            <w:vAlign w:val="center"/>
          </w:tcPr>
          <w:p w14:paraId="51BCF596">
            <w:pPr>
              <w:spacing w:line="240" w:lineRule="exact"/>
              <w:jc w:val="right"/>
              <w:rPr>
                <w:rFonts w:ascii="宋体" w:hAnsi="宋体" w:eastAsia="宋体" w:cs="宋体"/>
                <w:sz w:val="18"/>
                <w:szCs w:val="18"/>
              </w:rPr>
            </w:pPr>
            <w:r>
              <w:rPr>
                <w:rFonts w:ascii="宋体" w:hAnsi="宋体" w:eastAsia="宋体" w:cs="宋体"/>
                <w:sz w:val="18"/>
                <w:szCs w:val="18"/>
              </w:rPr>
              <w:t>400,281,760.16</w:t>
            </w:r>
          </w:p>
        </w:tc>
        <w:tc>
          <w:tcPr>
            <w:tcW w:w="637" w:type="dxa"/>
            <w:tcBorders>
              <w:top w:val="single" w:color="auto" w:sz="2" w:space="0"/>
              <w:left w:val="single" w:color="auto" w:sz="2" w:space="0"/>
              <w:bottom w:val="single" w:color="auto" w:sz="2" w:space="0"/>
              <w:right w:val="single" w:color="auto" w:sz="2" w:space="0"/>
            </w:tcBorders>
            <w:vAlign w:val="center"/>
          </w:tcPr>
          <w:p w14:paraId="573FFBD1">
            <w:pPr>
              <w:spacing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22A4C96D">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637" w:type="dxa"/>
            <w:tcBorders>
              <w:top w:val="single" w:color="auto" w:sz="2" w:space="0"/>
              <w:left w:val="single" w:color="auto" w:sz="2" w:space="0"/>
              <w:bottom w:val="single" w:color="auto" w:sz="2" w:space="0"/>
              <w:right w:val="single" w:color="auto" w:sz="2" w:space="0"/>
            </w:tcBorders>
            <w:vAlign w:val="center"/>
          </w:tcPr>
          <w:p w14:paraId="6392F06E">
            <w:pPr>
              <w:spacing w:line="240" w:lineRule="exact"/>
              <w:jc w:val="right"/>
              <w:rPr>
                <w:rFonts w:ascii="宋体" w:hAnsi="宋体" w:eastAsia="宋体" w:cs="宋体"/>
                <w:sz w:val="18"/>
                <w:szCs w:val="18"/>
              </w:rPr>
            </w:pPr>
            <w:r>
              <w:rPr>
                <w:rFonts w:ascii="宋体" w:hAnsi="宋体" w:eastAsia="宋体" w:cs="宋体"/>
                <w:sz w:val="18"/>
                <w:szCs w:val="18"/>
              </w:rPr>
              <w:t>84.08%</w:t>
            </w:r>
          </w:p>
        </w:tc>
        <w:tc>
          <w:tcPr>
            <w:tcW w:w="637" w:type="dxa"/>
            <w:tcBorders>
              <w:top w:val="single" w:color="auto" w:sz="2" w:space="0"/>
              <w:left w:val="single" w:color="auto" w:sz="2" w:space="0"/>
              <w:bottom w:val="single" w:color="auto" w:sz="2" w:space="0"/>
              <w:right w:val="single" w:color="auto" w:sz="2" w:space="0"/>
            </w:tcBorders>
            <w:vAlign w:val="center"/>
          </w:tcPr>
          <w:p w14:paraId="7FD83044">
            <w:pPr>
              <w:spacing w:line="240" w:lineRule="exact"/>
              <w:rPr>
                <w:rFonts w:ascii="宋体" w:hAnsi="宋体" w:eastAsia="宋体" w:cs="宋体"/>
                <w:sz w:val="18"/>
                <w:szCs w:val="18"/>
              </w:rPr>
            </w:pPr>
            <w:r>
              <w:rPr>
                <w:rFonts w:ascii="宋体" w:hAnsi="宋体" w:eastAsia="宋体" w:cs="宋体"/>
                <w:sz w:val="18"/>
                <w:szCs w:val="18"/>
              </w:rPr>
              <w:t>100.00%</w:t>
            </w:r>
          </w:p>
        </w:tc>
        <w:tc>
          <w:tcPr>
            <w:tcW w:w="637" w:type="dxa"/>
            <w:tcBorders>
              <w:top w:val="single" w:color="auto" w:sz="2" w:space="0"/>
              <w:left w:val="single" w:color="auto" w:sz="2" w:space="0"/>
              <w:bottom w:val="single" w:color="auto" w:sz="2" w:space="0"/>
              <w:right w:val="single" w:color="auto" w:sz="2" w:space="0"/>
            </w:tcBorders>
            <w:vAlign w:val="center"/>
          </w:tcPr>
          <w:p w14:paraId="6401CA66">
            <w:pPr>
              <w:spacing w:line="240" w:lineRule="exact"/>
              <w:jc w:val="right"/>
              <w:rPr>
                <w:rFonts w:ascii="宋体" w:hAnsi="宋体" w:eastAsia="宋体" w:cs="宋体"/>
                <w:sz w:val="18"/>
                <w:szCs w:val="18"/>
              </w:rPr>
            </w:pPr>
            <w:r>
              <w:rPr>
                <w:rFonts w:ascii="宋体" w:hAnsi="宋体" w:eastAsia="宋体" w:cs="宋体"/>
                <w:sz w:val="18"/>
                <w:szCs w:val="18"/>
              </w:rPr>
              <w:t>32,263,832.97</w:t>
            </w:r>
          </w:p>
        </w:tc>
        <w:tc>
          <w:tcPr>
            <w:tcW w:w="637" w:type="dxa"/>
            <w:tcBorders>
              <w:top w:val="single" w:color="auto" w:sz="2" w:space="0"/>
              <w:left w:val="single" w:color="auto" w:sz="2" w:space="0"/>
              <w:bottom w:val="single" w:color="auto" w:sz="2" w:space="0"/>
              <w:right w:val="single" w:color="auto" w:sz="2" w:space="0"/>
            </w:tcBorders>
            <w:vAlign w:val="center"/>
          </w:tcPr>
          <w:p w14:paraId="6F6DC4E2">
            <w:pPr>
              <w:spacing w:line="240" w:lineRule="exact"/>
              <w:jc w:val="right"/>
              <w:rPr>
                <w:rFonts w:ascii="宋体" w:hAnsi="宋体" w:eastAsia="宋体" w:cs="宋体"/>
                <w:sz w:val="18"/>
                <w:szCs w:val="18"/>
              </w:rPr>
            </w:pPr>
            <w:r>
              <w:rPr>
                <w:rFonts w:ascii="宋体" w:hAnsi="宋体" w:eastAsia="宋体" w:cs="宋体"/>
                <w:sz w:val="18"/>
                <w:szCs w:val="18"/>
              </w:rPr>
              <w:t>15,362,125.11</w:t>
            </w:r>
          </w:p>
        </w:tc>
        <w:tc>
          <w:tcPr>
            <w:tcW w:w="637" w:type="dxa"/>
            <w:tcBorders>
              <w:top w:val="single" w:color="auto" w:sz="2" w:space="0"/>
              <w:left w:val="single" w:color="auto" w:sz="2" w:space="0"/>
              <w:bottom w:val="single" w:color="auto" w:sz="2" w:space="0"/>
              <w:right w:val="single" w:color="auto" w:sz="2" w:space="0"/>
            </w:tcBorders>
            <w:vAlign w:val="center"/>
          </w:tcPr>
          <w:p w14:paraId="4512F896">
            <w:pPr>
              <w:spacing w:line="240" w:lineRule="exact"/>
              <w:jc w:val="right"/>
              <w:rPr>
                <w:rFonts w:ascii="宋体" w:hAnsi="宋体" w:eastAsia="宋体" w:cs="宋体"/>
                <w:sz w:val="18"/>
                <w:szCs w:val="18"/>
              </w:rPr>
            </w:pPr>
            <w:r>
              <w:rPr>
                <w:rFonts w:ascii="宋体" w:hAnsi="宋体" w:eastAsia="宋体" w:cs="宋体"/>
                <w:sz w:val="18"/>
                <w:szCs w:val="18"/>
              </w:rPr>
              <w:t>3.95%</w:t>
            </w:r>
          </w:p>
        </w:tc>
        <w:tc>
          <w:tcPr>
            <w:tcW w:w="2000" w:type="dxa"/>
            <w:tcBorders>
              <w:top w:val="single" w:color="auto" w:sz="2" w:space="0"/>
              <w:left w:val="single" w:color="auto" w:sz="2" w:space="0"/>
              <w:bottom w:val="single" w:color="auto" w:sz="2" w:space="0"/>
              <w:right w:val="single" w:color="auto" w:sz="2" w:space="0"/>
            </w:tcBorders>
            <w:vAlign w:val="center"/>
          </w:tcPr>
          <w:p w14:paraId="2CEE1C27">
            <w:pPr>
              <w:spacing w:line="240" w:lineRule="exact"/>
              <w:rPr>
                <w:rFonts w:ascii="宋体" w:hAnsi="宋体" w:eastAsia="宋体" w:cs="宋体"/>
                <w:sz w:val="18"/>
                <w:szCs w:val="18"/>
              </w:rPr>
            </w:pPr>
            <w:r>
              <w:rPr>
                <w:rFonts w:ascii="宋体" w:hAnsi="宋体" w:eastAsia="宋体" w:cs="宋体"/>
                <w:sz w:val="18"/>
                <w:szCs w:val="18"/>
              </w:rPr>
              <w:t>募集资金</w:t>
            </w:r>
          </w:p>
        </w:tc>
      </w:tr>
      <w:tr w14:paraId="6754F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37" w:type="dxa"/>
            <w:tcBorders>
              <w:top w:val="single" w:color="auto" w:sz="2" w:space="0"/>
              <w:left w:val="single" w:color="auto" w:sz="2" w:space="0"/>
              <w:bottom w:val="single" w:color="auto" w:sz="2" w:space="0"/>
              <w:right w:val="single" w:color="auto" w:sz="2" w:space="0"/>
            </w:tcBorders>
            <w:vAlign w:val="center"/>
          </w:tcPr>
          <w:p w14:paraId="415665D3">
            <w:pPr>
              <w:spacing w:line="240" w:lineRule="exact"/>
              <w:rPr>
                <w:rFonts w:ascii="宋体" w:hAnsi="宋体" w:eastAsia="宋体" w:cs="宋体"/>
                <w:sz w:val="18"/>
                <w:szCs w:val="18"/>
              </w:rPr>
            </w:pPr>
            <w:r>
              <w:rPr>
                <w:rFonts w:ascii="宋体" w:hAnsi="宋体" w:eastAsia="宋体" w:cs="宋体"/>
                <w:sz w:val="18"/>
                <w:szCs w:val="18"/>
              </w:rPr>
              <w:t>阿大数字袜制品生产车间</w:t>
            </w:r>
          </w:p>
        </w:tc>
        <w:tc>
          <w:tcPr>
            <w:tcW w:w="637" w:type="dxa"/>
            <w:tcBorders>
              <w:top w:val="single" w:color="auto" w:sz="2" w:space="0"/>
              <w:left w:val="single" w:color="auto" w:sz="2" w:space="0"/>
              <w:bottom w:val="single" w:color="auto" w:sz="2" w:space="0"/>
              <w:right w:val="single" w:color="auto" w:sz="2" w:space="0"/>
            </w:tcBorders>
            <w:vAlign w:val="center"/>
          </w:tcPr>
          <w:p w14:paraId="2EF8C42A">
            <w:pPr>
              <w:spacing w:line="240" w:lineRule="exact"/>
              <w:jc w:val="right"/>
              <w:rPr>
                <w:rFonts w:ascii="宋体" w:hAnsi="宋体" w:eastAsia="宋体" w:cs="宋体"/>
                <w:sz w:val="18"/>
                <w:szCs w:val="18"/>
              </w:rPr>
            </w:pPr>
            <w:r>
              <w:rPr>
                <w:rFonts w:ascii="宋体" w:hAnsi="宋体" w:eastAsia="宋体" w:cs="宋体"/>
                <w:sz w:val="18"/>
                <w:szCs w:val="18"/>
              </w:rPr>
              <w:t>134,620,800.00</w:t>
            </w:r>
          </w:p>
        </w:tc>
        <w:tc>
          <w:tcPr>
            <w:tcW w:w="637" w:type="dxa"/>
            <w:tcBorders>
              <w:top w:val="single" w:color="auto" w:sz="2" w:space="0"/>
              <w:left w:val="single" w:color="auto" w:sz="2" w:space="0"/>
              <w:bottom w:val="single" w:color="auto" w:sz="2" w:space="0"/>
              <w:right w:val="single" w:color="auto" w:sz="2" w:space="0"/>
            </w:tcBorders>
            <w:vAlign w:val="center"/>
          </w:tcPr>
          <w:p w14:paraId="2F95351B">
            <w:pPr>
              <w:spacing w:line="240" w:lineRule="exact"/>
              <w:jc w:val="right"/>
              <w:rPr>
                <w:rFonts w:ascii="宋体" w:hAnsi="宋体" w:eastAsia="宋体" w:cs="宋体"/>
                <w:sz w:val="18"/>
                <w:szCs w:val="18"/>
              </w:rPr>
            </w:pPr>
            <w:r>
              <w:rPr>
                <w:rFonts w:ascii="宋体" w:hAnsi="宋体" w:eastAsia="宋体" w:cs="宋体"/>
                <w:sz w:val="18"/>
                <w:szCs w:val="18"/>
              </w:rPr>
              <w:t>88,249,424.28</w:t>
            </w:r>
          </w:p>
        </w:tc>
        <w:tc>
          <w:tcPr>
            <w:tcW w:w="637" w:type="dxa"/>
            <w:tcBorders>
              <w:top w:val="single" w:color="auto" w:sz="2" w:space="0"/>
              <w:left w:val="single" w:color="auto" w:sz="2" w:space="0"/>
              <w:bottom w:val="single" w:color="auto" w:sz="2" w:space="0"/>
              <w:right w:val="single" w:color="auto" w:sz="2" w:space="0"/>
            </w:tcBorders>
            <w:vAlign w:val="center"/>
          </w:tcPr>
          <w:p w14:paraId="190E3BC6">
            <w:pPr>
              <w:spacing w:line="240" w:lineRule="exact"/>
              <w:jc w:val="right"/>
              <w:rPr>
                <w:rFonts w:ascii="宋体" w:hAnsi="宋体" w:eastAsia="宋体" w:cs="宋体"/>
                <w:sz w:val="18"/>
                <w:szCs w:val="18"/>
              </w:rPr>
            </w:pPr>
            <w:r>
              <w:rPr>
                <w:rFonts w:ascii="宋体" w:hAnsi="宋体" w:eastAsia="宋体" w:cs="宋体"/>
                <w:sz w:val="18"/>
                <w:szCs w:val="18"/>
              </w:rPr>
              <w:t>4,412,442.66</w:t>
            </w:r>
          </w:p>
        </w:tc>
        <w:tc>
          <w:tcPr>
            <w:tcW w:w="637" w:type="dxa"/>
            <w:tcBorders>
              <w:top w:val="single" w:color="auto" w:sz="2" w:space="0"/>
              <w:left w:val="single" w:color="auto" w:sz="2" w:space="0"/>
              <w:bottom w:val="single" w:color="auto" w:sz="2" w:space="0"/>
              <w:right w:val="single" w:color="auto" w:sz="2" w:space="0"/>
            </w:tcBorders>
            <w:vAlign w:val="center"/>
          </w:tcPr>
          <w:p w14:paraId="2956667E">
            <w:pPr>
              <w:spacing w:line="240" w:lineRule="exact"/>
              <w:jc w:val="right"/>
              <w:rPr>
                <w:rFonts w:ascii="宋体" w:hAnsi="宋体" w:eastAsia="宋体" w:cs="宋体"/>
                <w:sz w:val="18"/>
                <w:szCs w:val="18"/>
              </w:rPr>
            </w:pPr>
            <w:r>
              <w:rPr>
                <w:rFonts w:ascii="宋体" w:hAnsi="宋体" w:eastAsia="宋体" w:cs="宋体"/>
                <w:sz w:val="18"/>
                <w:szCs w:val="18"/>
              </w:rPr>
              <w:t>1,119,508.01</w:t>
            </w:r>
          </w:p>
        </w:tc>
        <w:tc>
          <w:tcPr>
            <w:tcW w:w="637" w:type="dxa"/>
            <w:tcBorders>
              <w:top w:val="single" w:color="auto" w:sz="2" w:space="0"/>
              <w:left w:val="single" w:color="auto" w:sz="2" w:space="0"/>
              <w:bottom w:val="single" w:color="auto" w:sz="2" w:space="0"/>
              <w:right w:val="single" w:color="auto" w:sz="2" w:space="0"/>
            </w:tcBorders>
            <w:vAlign w:val="center"/>
          </w:tcPr>
          <w:p w14:paraId="2418FB3B">
            <w:pPr>
              <w:spacing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2F7458C1">
            <w:pPr>
              <w:spacing w:line="240" w:lineRule="exact"/>
              <w:jc w:val="right"/>
              <w:rPr>
                <w:rFonts w:ascii="宋体" w:hAnsi="宋体" w:eastAsia="宋体" w:cs="宋体"/>
                <w:sz w:val="18"/>
                <w:szCs w:val="18"/>
              </w:rPr>
            </w:pPr>
            <w:r>
              <w:rPr>
                <w:rFonts w:ascii="宋体" w:hAnsi="宋体" w:eastAsia="宋体" w:cs="宋体"/>
                <w:sz w:val="18"/>
                <w:szCs w:val="18"/>
              </w:rPr>
              <w:t>91,542,358.93</w:t>
            </w:r>
          </w:p>
        </w:tc>
        <w:tc>
          <w:tcPr>
            <w:tcW w:w="637" w:type="dxa"/>
            <w:tcBorders>
              <w:top w:val="single" w:color="auto" w:sz="2" w:space="0"/>
              <w:left w:val="single" w:color="auto" w:sz="2" w:space="0"/>
              <w:bottom w:val="single" w:color="auto" w:sz="2" w:space="0"/>
              <w:right w:val="single" w:color="auto" w:sz="2" w:space="0"/>
            </w:tcBorders>
            <w:vAlign w:val="center"/>
          </w:tcPr>
          <w:p w14:paraId="3249FF96">
            <w:pPr>
              <w:spacing w:line="240" w:lineRule="exact"/>
              <w:jc w:val="right"/>
              <w:rPr>
                <w:rFonts w:ascii="宋体" w:hAnsi="宋体" w:eastAsia="宋体" w:cs="宋体"/>
                <w:sz w:val="18"/>
                <w:szCs w:val="18"/>
              </w:rPr>
            </w:pPr>
            <w:r>
              <w:rPr>
                <w:rFonts w:ascii="宋体" w:hAnsi="宋体" w:eastAsia="宋体" w:cs="宋体"/>
                <w:sz w:val="18"/>
                <w:szCs w:val="18"/>
              </w:rPr>
              <w:t>68.83%</w:t>
            </w:r>
          </w:p>
        </w:tc>
        <w:tc>
          <w:tcPr>
            <w:tcW w:w="637" w:type="dxa"/>
            <w:tcBorders>
              <w:top w:val="single" w:color="auto" w:sz="2" w:space="0"/>
              <w:left w:val="single" w:color="auto" w:sz="2" w:space="0"/>
              <w:bottom w:val="single" w:color="auto" w:sz="2" w:space="0"/>
              <w:right w:val="single" w:color="auto" w:sz="2" w:space="0"/>
            </w:tcBorders>
            <w:vAlign w:val="center"/>
          </w:tcPr>
          <w:p w14:paraId="7A33EC6A">
            <w:pPr>
              <w:spacing w:line="240" w:lineRule="exact"/>
              <w:rPr>
                <w:rFonts w:ascii="宋体" w:hAnsi="宋体" w:eastAsia="宋体" w:cs="宋体"/>
                <w:sz w:val="18"/>
                <w:szCs w:val="18"/>
              </w:rPr>
            </w:pPr>
            <w:r>
              <w:rPr>
                <w:rFonts w:ascii="宋体" w:hAnsi="宋体" w:eastAsia="宋体" w:cs="宋体"/>
                <w:sz w:val="18"/>
                <w:szCs w:val="18"/>
              </w:rPr>
              <w:t>68.83%</w:t>
            </w:r>
          </w:p>
        </w:tc>
        <w:tc>
          <w:tcPr>
            <w:tcW w:w="637" w:type="dxa"/>
            <w:tcBorders>
              <w:top w:val="single" w:color="auto" w:sz="2" w:space="0"/>
              <w:left w:val="single" w:color="auto" w:sz="2" w:space="0"/>
              <w:bottom w:val="single" w:color="auto" w:sz="2" w:space="0"/>
              <w:right w:val="single" w:color="auto" w:sz="2" w:space="0"/>
            </w:tcBorders>
            <w:vAlign w:val="center"/>
          </w:tcPr>
          <w:p w14:paraId="432530EB">
            <w:pPr>
              <w:spacing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2BA918E4">
            <w:pPr>
              <w:spacing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13AF1CC8">
            <w:pPr>
              <w:spacing w:line="240" w:lineRule="exact"/>
              <w:jc w:val="right"/>
              <w:rPr>
                <w:rFonts w:ascii="宋体" w:hAnsi="宋体" w:eastAsia="宋体" w:cs="宋体"/>
                <w:sz w:val="18"/>
                <w:szCs w:val="18"/>
              </w:rPr>
            </w:pPr>
          </w:p>
        </w:tc>
        <w:tc>
          <w:tcPr>
            <w:tcW w:w="2000" w:type="dxa"/>
            <w:tcBorders>
              <w:top w:val="single" w:color="auto" w:sz="2" w:space="0"/>
              <w:left w:val="single" w:color="auto" w:sz="2" w:space="0"/>
              <w:bottom w:val="single" w:color="auto" w:sz="2" w:space="0"/>
              <w:right w:val="single" w:color="auto" w:sz="2" w:space="0"/>
            </w:tcBorders>
            <w:vAlign w:val="center"/>
          </w:tcPr>
          <w:p w14:paraId="7F29439A">
            <w:pPr>
              <w:spacing w:line="240" w:lineRule="exact"/>
              <w:rPr>
                <w:rFonts w:ascii="宋体" w:hAnsi="宋体" w:eastAsia="宋体" w:cs="宋体"/>
                <w:sz w:val="18"/>
                <w:szCs w:val="18"/>
              </w:rPr>
            </w:pPr>
            <w:r>
              <w:rPr>
                <w:rFonts w:ascii="宋体" w:hAnsi="宋体" w:eastAsia="宋体" w:cs="宋体"/>
                <w:sz w:val="18"/>
                <w:szCs w:val="18"/>
              </w:rPr>
              <w:t>其他</w:t>
            </w:r>
          </w:p>
        </w:tc>
      </w:tr>
      <w:tr w14:paraId="412A9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5338E0F9">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637" w:type="dxa"/>
            <w:tcBorders>
              <w:top w:val="single" w:color="auto" w:sz="2" w:space="0"/>
              <w:left w:val="single" w:color="auto" w:sz="2" w:space="0"/>
              <w:bottom w:val="single" w:color="auto" w:sz="2" w:space="0"/>
              <w:right w:val="single" w:color="auto" w:sz="2" w:space="0"/>
            </w:tcBorders>
            <w:vAlign w:val="center"/>
          </w:tcPr>
          <w:p w14:paraId="0217D3EB">
            <w:pPr>
              <w:spacing w:line="240" w:lineRule="exact"/>
              <w:jc w:val="right"/>
              <w:rPr>
                <w:rFonts w:ascii="宋体" w:hAnsi="宋体" w:eastAsia="宋体" w:cs="宋体"/>
                <w:sz w:val="18"/>
                <w:szCs w:val="18"/>
              </w:rPr>
            </w:pPr>
            <w:r>
              <w:rPr>
                <w:rFonts w:ascii="宋体" w:hAnsi="宋体" w:eastAsia="宋体" w:cs="宋体"/>
                <w:sz w:val="18"/>
                <w:szCs w:val="18"/>
              </w:rPr>
              <w:t>2,211,335,200.00</w:t>
            </w:r>
          </w:p>
        </w:tc>
        <w:tc>
          <w:tcPr>
            <w:tcW w:w="637" w:type="dxa"/>
            <w:tcBorders>
              <w:top w:val="single" w:color="auto" w:sz="2" w:space="0"/>
              <w:left w:val="single" w:color="auto" w:sz="2" w:space="0"/>
              <w:bottom w:val="single" w:color="auto" w:sz="2" w:space="0"/>
              <w:right w:val="single" w:color="auto" w:sz="2" w:space="0"/>
            </w:tcBorders>
            <w:vAlign w:val="center"/>
          </w:tcPr>
          <w:p w14:paraId="4E11D7A1">
            <w:pPr>
              <w:spacing w:line="240" w:lineRule="exact"/>
              <w:jc w:val="right"/>
              <w:rPr>
                <w:rFonts w:ascii="宋体" w:hAnsi="宋体" w:eastAsia="宋体" w:cs="宋体"/>
                <w:sz w:val="18"/>
                <w:szCs w:val="18"/>
              </w:rPr>
            </w:pPr>
            <w:r>
              <w:rPr>
                <w:rFonts w:ascii="宋体" w:hAnsi="宋体" w:eastAsia="宋体" w:cs="宋体"/>
                <w:sz w:val="18"/>
                <w:szCs w:val="18"/>
              </w:rPr>
              <w:t>311,918,123.47</w:t>
            </w:r>
          </w:p>
        </w:tc>
        <w:tc>
          <w:tcPr>
            <w:tcW w:w="637" w:type="dxa"/>
            <w:tcBorders>
              <w:top w:val="single" w:color="auto" w:sz="2" w:space="0"/>
              <w:left w:val="single" w:color="auto" w:sz="2" w:space="0"/>
              <w:bottom w:val="single" w:color="auto" w:sz="2" w:space="0"/>
              <w:right w:val="single" w:color="auto" w:sz="2" w:space="0"/>
            </w:tcBorders>
            <w:vAlign w:val="center"/>
          </w:tcPr>
          <w:p w14:paraId="40783C1D">
            <w:pPr>
              <w:spacing w:line="240" w:lineRule="exact"/>
              <w:jc w:val="right"/>
              <w:rPr>
                <w:rFonts w:ascii="宋体" w:hAnsi="宋体" w:eastAsia="宋体" w:cs="宋体"/>
                <w:sz w:val="18"/>
                <w:szCs w:val="18"/>
              </w:rPr>
            </w:pPr>
            <w:r>
              <w:rPr>
                <w:rFonts w:ascii="宋体" w:hAnsi="宋体" w:eastAsia="宋体" w:cs="宋体"/>
                <w:sz w:val="18"/>
                <w:szCs w:val="18"/>
              </w:rPr>
              <w:t>664,736,829.58</w:t>
            </w:r>
          </w:p>
        </w:tc>
        <w:tc>
          <w:tcPr>
            <w:tcW w:w="637" w:type="dxa"/>
            <w:tcBorders>
              <w:top w:val="single" w:color="auto" w:sz="2" w:space="0"/>
              <w:left w:val="single" w:color="auto" w:sz="2" w:space="0"/>
              <w:bottom w:val="single" w:color="auto" w:sz="2" w:space="0"/>
              <w:right w:val="single" w:color="auto" w:sz="2" w:space="0"/>
            </w:tcBorders>
            <w:vAlign w:val="center"/>
          </w:tcPr>
          <w:p w14:paraId="4F8D47E0">
            <w:pPr>
              <w:spacing w:line="240" w:lineRule="exact"/>
              <w:jc w:val="right"/>
              <w:rPr>
                <w:rFonts w:ascii="宋体" w:hAnsi="宋体" w:eastAsia="宋体" w:cs="宋体"/>
                <w:sz w:val="18"/>
                <w:szCs w:val="18"/>
              </w:rPr>
            </w:pPr>
            <w:r>
              <w:rPr>
                <w:rFonts w:ascii="宋体" w:hAnsi="宋体" w:eastAsia="宋体" w:cs="宋体"/>
                <w:sz w:val="18"/>
                <w:szCs w:val="18"/>
              </w:rPr>
              <w:t>425,295,073.48</w:t>
            </w:r>
          </w:p>
        </w:tc>
        <w:tc>
          <w:tcPr>
            <w:tcW w:w="637" w:type="dxa"/>
            <w:tcBorders>
              <w:top w:val="single" w:color="auto" w:sz="2" w:space="0"/>
              <w:left w:val="single" w:color="auto" w:sz="2" w:space="0"/>
              <w:bottom w:val="single" w:color="auto" w:sz="2" w:space="0"/>
              <w:right w:val="single" w:color="auto" w:sz="2" w:space="0"/>
            </w:tcBorders>
            <w:vAlign w:val="center"/>
          </w:tcPr>
          <w:p w14:paraId="189EA1CF">
            <w:pPr>
              <w:spacing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14:paraId="6516870C">
            <w:pPr>
              <w:spacing w:line="240" w:lineRule="exact"/>
              <w:jc w:val="right"/>
              <w:rPr>
                <w:rFonts w:ascii="宋体" w:hAnsi="宋体" w:eastAsia="宋体" w:cs="宋体"/>
                <w:sz w:val="18"/>
                <w:szCs w:val="18"/>
              </w:rPr>
            </w:pPr>
            <w:r>
              <w:rPr>
                <w:rFonts w:ascii="宋体" w:hAnsi="宋体" w:eastAsia="宋体" w:cs="宋体"/>
                <w:sz w:val="18"/>
                <w:szCs w:val="18"/>
              </w:rPr>
              <w:t>551,359,879.57</w:t>
            </w:r>
          </w:p>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10F9C549"/>
        </w:tc>
        <w:tc>
          <w:tcPr>
            <w:tcW w:w="637" w:type="dxa"/>
            <w:tcBorders>
              <w:top w:val="single" w:color="auto" w:sz="2" w:space="0"/>
              <w:left w:val="single" w:color="auto" w:sz="2" w:space="0"/>
              <w:bottom w:val="single" w:color="auto" w:sz="2" w:space="0"/>
              <w:right w:val="single" w:color="auto" w:sz="2" w:space="0"/>
            </w:tcBorders>
            <w:shd w:val="clear" w:color="auto" w:fill="D3D3D3"/>
            <w:vAlign w:val="center"/>
          </w:tcPr>
          <w:p w14:paraId="5A1199FE"/>
        </w:tc>
        <w:tc>
          <w:tcPr>
            <w:tcW w:w="637" w:type="dxa"/>
            <w:tcBorders>
              <w:top w:val="single" w:color="auto" w:sz="2" w:space="0"/>
              <w:left w:val="single" w:color="auto" w:sz="2" w:space="0"/>
              <w:bottom w:val="single" w:color="auto" w:sz="2" w:space="0"/>
              <w:right w:val="single" w:color="auto" w:sz="2" w:space="0"/>
            </w:tcBorders>
            <w:vAlign w:val="center"/>
          </w:tcPr>
          <w:p w14:paraId="7F85E0D2">
            <w:pPr>
              <w:spacing w:line="240" w:lineRule="exact"/>
              <w:jc w:val="right"/>
              <w:rPr>
                <w:rFonts w:ascii="宋体" w:hAnsi="宋体" w:eastAsia="宋体" w:cs="宋体"/>
                <w:sz w:val="18"/>
                <w:szCs w:val="18"/>
              </w:rPr>
            </w:pPr>
            <w:r>
              <w:rPr>
                <w:rFonts w:ascii="宋体" w:hAnsi="宋体" w:eastAsia="宋体" w:cs="宋体"/>
                <w:sz w:val="18"/>
                <w:szCs w:val="18"/>
              </w:rPr>
              <w:t>32,263,832.97</w:t>
            </w:r>
          </w:p>
        </w:tc>
        <w:tc>
          <w:tcPr>
            <w:tcW w:w="637" w:type="dxa"/>
            <w:tcBorders>
              <w:top w:val="single" w:color="auto" w:sz="2" w:space="0"/>
              <w:left w:val="single" w:color="auto" w:sz="2" w:space="0"/>
              <w:bottom w:val="single" w:color="auto" w:sz="2" w:space="0"/>
              <w:right w:val="single" w:color="auto" w:sz="2" w:space="0"/>
            </w:tcBorders>
            <w:vAlign w:val="center"/>
          </w:tcPr>
          <w:p w14:paraId="285875D3">
            <w:pPr>
              <w:spacing w:line="240" w:lineRule="exact"/>
              <w:jc w:val="right"/>
              <w:rPr>
                <w:rFonts w:ascii="宋体" w:hAnsi="宋体" w:eastAsia="宋体" w:cs="宋体"/>
                <w:sz w:val="18"/>
                <w:szCs w:val="18"/>
              </w:rPr>
            </w:pPr>
            <w:r>
              <w:rPr>
                <w:rFonts w:ascii="宋体" w:hAnsi="宋体" w:eastAsia="宋体" w:cs="宋体"/>
                <w:sz w:val="18"/>
                <w:szCs w:val="18"/>
              </w:rPr>
              <w:t>15,362,125.11</w:t>
            </w:r>
          </w:p>
        </w:tc>
        <w:tc>
          <w:tcPr>
            <w:tcW w:w="637" w:type="dxa"/>
            <w:tcBorders>
              <w:top w:val="single" w:color="auto" w:sz="2" w:space="0"/>
              <w:left w:val="single" w:color="auto" w:sz="2" w:space="0"/>
              <w:bottom w:val="single" w:color="auto" w:sz="2" w:space="0"/>
              <w:right w:val="single" w:color="auto" w:sz="2" w:space="0"/>
            </w:tcBorders>
            <w:vAlign w:val="center"/>
          </w:tcPr>
          <w:p w14:paraId="721862E2">
            <w:pPr>
              <w:spacing w:line="240" w:lineRule="exact"/>
              <w:jc w:val="right"/>
              <w:rPr>
                <w:rFonts w:ascii="宋体" w:hAnsi="宋体" w:eastAsia="宋体" w:cs="宋体"/>
                <w:sz w:val="18"/>
                <w:szCs w:val="18"/>
              </w:rPr>
            </w:pPr>
          </w:p>
        </w:tc>
        <w:tc>
          <w:tcPr>
            <w:tcW w:w="2000" w:type="dxa"/>
            <w:tcBorders>
              <w:top w:val="single" w:color="auto" w:sz="2" w:space="0"/>
              <w:left w:val="single" w:color="auto" w:sz="2" w:space="0"/>
              <w:bottom w:val="single" w:color="auto" w:sz="2" w:space="0"/>
              <w:right w:val="single" w:color="auto" w:sz="2" w:space="0"/>
            </w:tcBorders>
            <w:shd w:val="clear" w:color="auto" w:fill="D3D3D3"/>
            <w:vAlign w:val="center"/>
          </w:tcPr>
          <w:p w14:paraId="55E0772D"/>
        </w:tc>
      </w:tr>
    </w:tbl>
    <w:p w14:paraId="603B9D4C">
      <w:pPr>
        <w:keepNext/>
        <w:keepLines/>
        <w:spacing w:before="300" w:after="300" w:line="280" w:lineRule="exact"/>
        <w:outlineLvl w:val="3"/>
        <w:rPr>
          <w:rFonts w:ascii="宋体" w:hAnsi="宋体" w:eastAsia="宋体" w:cs="宋体"/>
          <w:b/>
          <w:bCs/>
          <w:szCs w:val="21"/>
        </w:rPr>
      </w:pPr>
      <w:bookmarkStart w:id="368" w:name="_Toc989221"/>
      <w:r>
        <w:rPr>
          <w:rFonts w:ascii="宋体" w:hAnsi="宋体" w:eastAsia="宋体" w:cs="宋体"/>
          <w:b/>
          <w:bCs/>
          <w:szCs w:val="21"/>
        </w:rPr>
        <w:t>（3） 本期计提在建工程减值准备情况</w:t>
      </w:r>
      <w:bookmarkEnd w:id="368"/>
    </w:p>
    <w:p w14:paraId="5FEE0C9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14:paraId="392FC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7046783">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50BC805">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DDB0FC3">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8644B76">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8A90BB6">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D52A522">
            <w:pPr>
              <w:spacing w:before="40" w:after="40" w:line="240" w:lineRule="exact"/>
              <w:jc w:val="center"/>
              <w:rPr>
                <w:rFonts w:ascii="宋体" w:hAnsi="宋体" w:eastAsia="宋体" w:cs="宋体"/>
                <w:sz w:val="18"/>
                <w:szCs w:val="18"/>
              </w:rPr>
            </w:pPr>
            <w:r>
              <w:rPr>
                <w:rFonts w:ascii="宋体" w:hAnsi="宋体" w:eastAsia="宋体" w:cs="宋体"/>
                <w:sz w:val="18"/>
                <w:szCs w:val="18"/>
              </w:rPr>
              <w:t>计提原因</w:t>
            </w:r>
          </w:p>
        </w:tc>
      </w:tr>
    </w:tbl>
    <w:p w14:paraId="375EEAEB">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590012E4">
      <w:pPr>
        <w:keepNext/>
        <w:keepLines/>
        <w:spacing w:before="300" w:after="300" w:line="280" w:lineRule="exact"/>
        <w:outlineLvl w:val="3"/>
        <w:rPr>
          <w:rFonts w:ascii="宋体" w:hAnsi="宋体" w:eastAsia="宋体" w:cs="宋体"/>
          <w:b/>
          <w:bCs/>
          <w:szCs w:val="21"/>
        </w:rPr>
      </w:pPr>
      <w:bookmarkStart w:id="369" w:name="_Toc989222"/>
      <w:r>
        <w:rPr>
          <w:rFonts w:ascii="宋体" w:hAnsi="宋体" w:eastAsia="宋体" w:cs="宋体"/>
          <w:b/>
          <w:bCs/>
          <w:szCs w:val="21"/>
        </w:rPr>
        <w:t>（4） 在建工程的减值测试情况</w:t>
      </w:r>
      <w:bookmarkEnd w:id="369"/>
    </w:p>
    <w:p w14:paraId="6585A58C">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664EE6D">
      <w:pPr>
        <w:keepNext/>
        <w:keepLines/>
        <w:spacing w:before="300" w:after="300" w:line="280" w:lineRule="exact"/>
        <w:outlineLvl w:val="3"/>
        <w:rPr>
          <w:rFonts w:ascii="宋体" w:hAnsi="宋体" w:eastAsia="宋体" w:cs="宋体"/>
          <w:b/>
          <w:bCs/>
          <w:szCs w:val="21"/>
        </w:rPr>
      </w:pPr>
      <w:bookmarkStart w:id="370" w:name="_Toc989223"/>
      <w:r>
        <w:rPr>
          <w:rFonts w:ascii="宋体" w:hAnsi="宋体" w:eastAsia="宋体" w:cs="宋体"/>
          <w:b/>
          <w:bCs/>
          <w:szCs w:val="21"/>
        </w:rPr>
        <w:t>（5） 工程物资</w:t>
      </w:r>
      <w:bookmarkEnd w:id="370"/>
    </w:p>
    <w:p w14:paraId="4407406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3415A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2C2C0E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5EE3A00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0AADD703">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30392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E932F74"/>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91072AB">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30912B1">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8FF6651">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4D26B96">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629756E">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3EA8A8F">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14:paraId="274994D2">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795B3AD5">
      <w:pPr>
        <w:pStyle w:val="3"/>
        <w:spacing w:line="280" w:lineRule="exact"/>
        <w:jc w:val="left"/>
        <w:rPr>
          <w:rFonts w:ascii="宋体" w:hAnsi="宋体" w:cs="宋体"/>
          <w:b/>
          <w:bCs/>
        </w:rPr>
      </w:pPr>
      <w:bookmarkStart w:id="371" w:name="_Toc989224"/>
      <w:r>
        <w:rPr>
          <w:rFonts w:ascii="宋体" w:hAnsi="宋体" w:cs="宋体"/>
          <w:b/>
          <w:bCs/>
        </w:rPr>
        <w:t>23、生产性生物资产</w:t>
      </w:r>
      <w:bookmarkEnd w:id="371"/>
    </w:p>
    <w:p w14:paraId="48012808">
      <w:pPr>
        <w:keepNext/>
        <w:keepLines/>
        <w:spacing w:before="300" w:after="300" w:line="280" w:lineRule="exact"/>
        <w:outlineLvl w:val="3"/>
        <w:rPr>
          <w:rFonts w:ascii="宋体" w:hAnsi="宋体" w:eastAsia="宋体" w:cs="宋体"/>
          <w:b/>
          <w:bCs/>
          <w:szCs w:val="21"/>
        </w:rPr>
      </w:pPr>
      <w:bookmarkStart w:id="372" w:name="_Toc989225"/>
      <w:r>
        <w:rPr>
          <w:rFonts w:ascii="宋体" w:hAnsi="宋体" w:eastAsia="宋体" w:cs="宋体"/>
          <w:b/>
          <w:bCs/>
          <w:szCs w:val="21"/>
        </w:rPr>
        <w:t>（1） 采用成本计量模式的生产性生物资产</w:t>
      </w:r>
      <w:bookmarkEnd w:id="372"/>
    </w:p>
    <w:p w14:paraId="32241349">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E4D01FD">
      <w:pPr>
        <w:keepNext/>
        <w:keepLines/>
        <w:spacing w:before="300" w:after="300" w:line="280" w:lineRule="exact"/>
        <w:outlineLvl w:val="3"/>
        <w:rPr>
          <w:rFonts w:ascii="宋体" w:hAnsi="宋体" w:eastAsia="宋体" w:cs="宋体"/>
          <w:b/>
          <w:bCs/>
          <w:szCs w:val="21"/>
        </w:rPr>
      </w:pPr>
      <w:bookmarkStart w:id="373" w:name="_Toc989226"/>
      <w:r>
        <w:rPr>
          <w:rFonts w:ascii="宋体" w:hAnsi="宋体" w:eastAsia="宋体" w:cs="宋体"/>
          <w:b/>
          <w:bCs/>
          <w:szCs w:val="21"/>
        </w:rPr>
        <w:t>（2） 采用成本计量模式的生产性生物资产的减值测试情况</w:t>
      </w:r>
      <w:bookmarkEnd w:id="373"/>
    </w:p>
    <w:p w14:paraId="543DFAA1">
      <w:pPr>
        <w:spacing w:before="40" w:after="4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06124AA">
      <w:pPr>
        <w:keepNext/>
        <w:keepLines/>
        <w:spacing w:before="300" w:after="300" w:line="280" w:lineRule="exact"/>
        <w:outlineLvl w:val="3"/>
        <w:rPr>
          <w:rFonts w:ascii="宋体" w:hAnsi="宋体" w:eastAsia="宋体" w:cs="宋体"/>
          <w:b/>
          <w:bCs/>
          <w:szCs w:val="21"/>
        </w:rPr>
      </w:pPr>
      <w:bookmarkStart w:id="374" w:name="_Toc989227"/>
      <w:r>
        <w:rPr>
          <w:rFonts w:ascii="宋体" w:hAnsi="宋体" w:eastAsia="宋体" w:cs="宋体"/>
          <w:b/>
          <w:bCs/>
          <w:szCs w:val="21"/>
        </w:rPr>
        <w:t>（3） 采用公允价值计量模式的生产性生物资产</w:t>
      </w:r>
      <w:bookmarkEnd w:id="374"/>
    </w:p>
    <w:p w14:paraId="2F70832C">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AA2DFF4">
      <w:pPr>
        <w:pStyle w:val="3"/>
        <w:spacing w:line="280" w:lineRule="exact"/>
        <w:jc w:val="left"/>
        <w:rPr>
          <w:rFonts w:ascii="宋体" w:hAnsi="宋体" w:cs="宋体"/>
          <w:b/>
          <w:bCs/>
        </w:rPr>
      </w:pPr>
      <w:bookmarkStart w:id="375" w:name="_Toc989228"/>
      <w:r>
        <w:rPr>
          <w:rFonts w:ascii="宋体" w:hAnsi="宋体" w:cs="宋体"/>
          <w:b/>
          <w:bCs/>
        </w:rPr>
        <w:t>24、油气资产</w:t>
      </w:r>
      <w:bookmarkEnd w:id="375"/>
    </w:p>
    <w:p w14:paraId="66D25239">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BEA6974">
      <w:pPr>
        <w:pStyle w:val="3"/>
        <w:spacing w:line="280" w:lineRule="exact"/>
        <w:jc w:val="left"/>
        <w:rPr>
          <w:rFonts w:ascii="宋体" w:hAnsi="宋体" w:cs="宋体"/>
          <w:b/>
          <w:bCs/>
        </w:rPr>
      </w:pPr>
      <w:bookmarkStart w:id="376" w:name="_Toc989229"/>
      <w:r>
        <w:rPr>
          <w:rFonts w:ascii="宋体" w:hAnsi="宋体" w:cs="宋体"/>
          <w:b/>
          <w:bCs/>
        </w:rPr>
        <w:t>25、使用权资产</w:t>
      </w:r>
      <w:bookmarkEnd w:id="376"/>
    </w:p>
    <w:p w14:paraId="6FD72A11">
      <w:pPr>
        <w:keepNext/>
        <w:keepLines/>
        <w:spacing w:before="300" w:after="300" w:line="280" w:lineRule="exact"/>
        <w:outlineLvl w:val="3"/>
        <w:rPr>
          <w:rFonts w:ascii="宋体" w:hAnsi="宋体" w:eastAsia="宋体" w:cs="宋体"/>
          <w:b/>
          <w:bCs/>
          <w:szCs w:val="21"/>
        </w:rPr>
      </w:pPr>
      <w:bookmarkStart w:id="377" w:name="_Toc989230"/>
      <w:r>
        <w:rPr>
          <w:rFonts w:ascii="宋体" w:hAnsi="宋体" w:eastAsia="宋体" w:cs="宋体"/>
          <w:b/>
          <w:bCs/>
          <w:szCs w:val="21"/>
        </w:rPr>
        <w:t>（1） 使用权资产情况</w:t>
      </w:r>
      <w:bookmarkEnd w:id="377"/>
    </w:p>
    <w:p w14:paraId="655718F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3F791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F6097C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vAlign w:val="center"/>
          </w:tcPr>
          <w:p w14:paraId="617A1B12">
            <w:pPr>
              <w:spacing w:line="240" w:lineRule="exact"/>
              <w:jc w:val="center"/>
              <w:rPr>
                <w:rFonts w:ascii="宋体" w:hAnsi="宋体" w:eastAsia="宋体" w:cs="宋体"/>
                <w:sz w:val="18"/>
                <w:szCs w:val="18"/>
              </w:rPr>
            </w:pPr>
            <w:r>
              <w:rPr>
                <w:rFonts w:ascii="宋体" w:hAnsi="宋体" w:eastAsia="宋体" w:cs="宋体"/>
                <w:sz w:val="18"/>
                <w:szCs w:val="18"/>
              </w:rPr>
              <w:t>房屋及建筑物</w:t>
            </w:r>
          </w:p>
        </w:tc>
        <w:tc>
          <w:tcPr>
            <w:tcW w:w="2410" w:type="dxa"/>
            <w:tcBorders>
              <w:top w:val="single" w:color="auto" w:sz="2" w:space="0"/>
              <w:left w:val="single" w:color="auto" w:sz="2" w:space="0"/>
              <w:bottom w:val="single" w:color="auto" w:sz="2" w:space="0"/>
              <w:right w:val="single" w:color="auto" w:sz="2" w:space="0"/>
            </w:tcBorders>
            <w:vAlign w:val="center"/>
          </w:tcPr>
          <w:p w14:paraId="05AB3F64">
            <w:pPr>
              <w:spacing w:line="240" w:lineRule="exact"/>
              <w:jc w:val="center"/>
              <w:rPr>
                <w:rFonts w:ascii="宋体" w:hAnsi="宋体" w:eastAsia="宋体" w:cs="宋体"/>
                <w:sz w:val="18"/>
                <w:szCs w:val="18"/>
              </w:rPr>
            </w:pPr>
            <w:r>
              <w:rPr>
                <w:rFonts w:ascii="宋体" w:hAnsi="宋体" w:eastAsia="宋体" w:cs="宋体"/>
                <w:sz w:val="18"/>
                <w:szCs w:val="18"/>
              </w:rPr>
              <w:t>机器设备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F911226">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62BA7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67AE865">
            <w:pPr>
              <w:spacing w:before="40" w:after="40" w:line="240" w:lineRule="exact"/>
              <w:rPr>
                <w:rFonts w:ascii="宋体" w:hAnsi="宋体" w:eastAsia="宋体" w:cs="宋体"/>
                <w:sz w:val="18"/>
                <w:szCs w:val="18"/>
              </w:rPr>
            </w:pPr>
            <w:r>
              <w:rPr>
                <w:rFonts w:ascii="宋体" w:hAnsi="宋体" w:eastAsia="宋体" w:cs="宋体"/>
                <w:sz w:val="18"/>
                <w:szCs w:val="18"/>
              </w:rPr>
              <w:t>一、账面原值</w:t>
            </w:r>
          </w:p>
        </w:tc>
        <w:tc>
          <w:tcPr>
            <w:tcW w:w="2410" w:type="dxa"/>
            <w:tcBorders>
              <w:top w:val="single" w:color="auto" w:sz="2" w:space="0"/>
              <w:left w:val="single" w:color="auto" w:sz="2" w:space="0"/>
              <w:bottom w:val="single" w:color="auto" w:sz="2" w:space="0"/>
              <w:right w:val="single" w:color="auto" w:sz="2" w:space="0"/>
            </w:tcBorders>
            <w:vAlign w:val="center"/>
          </w:tcPr>
          <w:p w14:paraId="371D3BF7">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F0E9EF4">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0D5CDDFF">
            <w:pPr>
              <w:spacing w:line="240" w:lineRule="exact"/>
              <w:jc w:val="right"/>
              <w:rPr>
                <w:rFonts w:ascii="宋体" w:hAnsi="宋体" w:eastAsia="宋体" w:cs="宋体"/>
                <w:sz w:val="18"/>
                <w:szCs w:val="18"/>
              </w:rPr>
            </w:pPr>
          </w:p>
        </w:tc>
      </w:tr>
      <w:tr w14:paraId="30B5F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1359021">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14:paraId="2A8944FF">
            <w:pPr>
              <w:spacing w:line="240" w:lineRule="exact"/>
              <w:jc w:val="right"/>
              <w:rPr>
                <w:rFonts w:ascii="宋体" w:hAnsi="宋体" w:eastAsia="宋体" w:cs="宋体"/>
                <w:sz w:val="18"/>
                <w:szCs w:val="18"/>
              </w:rPr>
            </w:pPr>
            <w:r>
              <w:rPr>
                <w:rFonts w:ascii="宋体" w:hAnsi="宋体" w:eastAsia="宋体" w:cs="宋体"/>
                <w:sz w:val="18"/>
                <w:szCs w:val="18"/>
              </w:rPr>
              <w:t>36,700,594.20</w:t>
            </w:r>
          </w:p>
        </w:tc>
        <w:tc>
          <w:tcPr>
            <w:tcW w:w="2410" w:type="dxa"/>
            <w:tcBorders>
              <w:top w:val="single" w:color="auto" w:sz="2" w:space="0"/>
              <w:left w:val="single" w:color="auto" w:sz="2" w:space="0"/>
              <w:bottom w:val="single" w:color="auto" w:sz="2" w:space="0"/>
              <w:right w:val="single" w:color="auto" w:sz="2" w:space="0"/>
            </w:tcBorders>
            <w:vAlign w:val="center"/>
          </w:tcPr>
          <w:p w14:paraId="5A732194">
            <w:pPr>
              <w:spacing w:line="240" w:lineRule="exact"/>
              <w:jc w:val="right"/>
              <w:rPr>
                <w:rFonts w:ascii="宋体" w:hAnsi="宋体" w:eastAsia="宋体" w:cs="宋体"/>
                <w:sz w:val="18"/>
                <w:szCs w:val="18"/>
              </w:rPr>
            </w:pPr>
            <w:r>
              <w:rPr>
                <w:rFonts w:ascii="宋体" w:hAnsi="宋体" w:eastAsia="宋体" w:cs="宋体"/>
                <w:sz w:val="18"/>
                <w:szCs w:val="18"/>
              </w:rPr>
              <w:t>715,358.08</w:t>
            </w:r>
          </w:p>
        </w:tc>
        <w:tc>
          <w:tcPr>
            <w:tcW w:w="2410" w:type="dxa"/>
            <w:tcBorders>
              <w:top w:val="single" w:color="auto" w:sz="2" w:space="0"/>
              <w:left w:val="single" w:color="auto" w:sz="2" w:space="0"/>
              <w:bottom w:val="single" w:color="auto" w:sz="2" w:space="0"/>
              <w:right w:val="single" w:color="auto" w:sz="2" w:space="0"/>
            </w:tcBorders>
            <w:vAlign w:val="center"/>
          </w:tcPr>
          <w:p w14:paraId="305C6401">
            <w:pPr>
              <w:spacing w:line="240" w:lineRule="exact"/>
              <w:jc w:val="right"/>
              <w:rPr>
                <w:rFonts w:ascii="宋体" w:hAnsi="宋体" w:eastAsia="宋体" w:cs="宋体"/>
                <w:sz w:val="18"/>
                <w:szCs w:val="18"/>
              </w:rPr>
            </w:pPr>
            <w:r>
              <w:rPr>
                <w:rFonts w:ascii="宋体" w:hAnsi="宋体" w:eastAsia="宋体" w:cs="宋体"/>
                <w:sz w:val="18"/>
                <w:szCs w:val="18"/>
              </w:rPr>
              <w:t>37,415,952.28</w:t>
            </w:r>
          </w:p>
        </w:tc>
      </w:tr>
      <w:tr w14:paraId="5DA6E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C701012">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14:paraId="3E81FF44">
            <w:pPr>
              <w:spacing w:line="240" w:lineRule="exact"/>
              <w:jc w:val="right"/>
              <w:rPr>
                <w:rFonts w:ascii="宋体" w:hAnsi="宋体" w:eastAsia="宋体" w:cs="宋体"/>
                <w:sz w:val="18"/>
                <w:szCs w:val="18"/>
              </w:rPr>
            </w:pPr>
            <w:r>
              <w:rPr>
                <w:rFonts w:ascii="宋体" w:hAnsi="宋体" w:eastAsia="宋体" w:cs="宋体"/>
                <w:sz w:val="18"/>
                <w:szCs w:val="18"/>
              </w:rPr>
              <w:t>3,063,639.34</w:t>
            </w:r>
          </w:p>
        </w:tc>
        <w:tc>
          <w:tcPr>
            <w:tcW w:w="2410" w:type="dxa"/>
            <w:tcBorders>
              <w:top w:val="single" w:color="auto" w:sz="2" w:space="0"/>
              <w:left w:val="single" w:color="auto" w:sz="2" w:space="0"/>
              <w:bottom w:val="single" w:color="auto" w:sz="2" w:space="0"/>
              <w:right w:val="single" w:color="auto" w:sz="2" w:space="0"/>
            </w:tcBorders>
            <w:vAlign w:val="center"/>
          </w:tcPr>
          <w:p w14:paraId="6CA7D372">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507FE9B">
            <w:pPr>
              <w:spacing w:line="240" w:lineRule="exact"/>
              <w:jc w:val="right"/>
              <w:rPr>
                <w:rFonts w:ascii="宋体" w:hAnsi="宋体" w:eastAsia="宋体" w:cs="宋体"/>
                <w:sz w:val="18"/>
                <w:szCs w:val="18"/>
              </w:rPr>
            </w:pPr>
            <w:r>
              <w:rPr>
                <w:rFonts w:ascii="宋体" w:hAnsi="宋体" w:eastAsia="宋体" w:cs="宋体"/>
                <w:sz w:val="18"/>
                <w:szCs w:val="18"/>
              </w:rPr>
              <w:t>3,063,639.34</w:t>
            </w:r>
          </w:p>
        </w:tc>
      </w:tr>
      <w:tr w14:paraId="6E9EB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7663B89">
            <w:pPr>
              <w:spacing w:line="240" w:lineRule="exact"/>
              <w:rPr>
                <w:rFonts w:ascii="宋体" w:hAnsi="宋体" w:eastAsia="宋体" w:cs="宋体"/>
                <w:sz w:val="18"/>
                <w:szCs w:val="18"/>
              </w:rPr>
            </w:pPr>
            <w:r>
              <w:rPr>
                <w:rFonts w:ascii="宋体" w:hAnsi="宋体" w:eastAsia="宋体" w:cs="宋体"/>
                <w:sz w:val="18"/>
                <w:szCs w:val="18"/>
              </w:rPr>
              <w:t>租赁</w:t>
            </w:r>
          </w:p>
        </w:tc>
        <w:tc>
          <w:tcPr>
            <w:tcW w:w="2410" w:type="dxa"/>
            <w:tcBorders>
              <w:top w:val="single" w:color="auto" w:sz="2" w:space="0"/>
              <w:left w:val="single" w:color="auto" w:sz="2" w:space="0"/>
              <w:bottom w:val="single" w:color="auto" w:sz="2" w:space="0"/>
              <w:right w:val="single" w:color="auto" w:sz="2" w:space="0"/>
            </w:tcBorders>
            <w:vAlign w:val="center"/>
          </w:tcPr>
          <w:p w14:paraId="2CF67937">
            <w:pPr>
              <w:spacing w:line="240" w:lineRule="exact"/>
              <w:jc w:val="right"/>
              <w:rPr>
                <w:rFonts w:ascii="宋体" w:hAnsi="宋体" w:eastAsia="宋体" w:cs="宋体"/>
                <w:sz w:val="18"/>
                <w:szCs w:val="18"/>
              </w:rPr>
            </w:pPr>
            <w:r>
              <w:rPr>
                <w:rFonts w:ascii="宋体" w:hAnsi="宋体" w:eastAsia="宋体" w:cs="宋体"/>
                <w:sz w:val="18"/>
                <w:szCs w:val="18"/>
              </w:rPr>
              <w:t>3,063,639.34</w:t>
            </w:r>
          </w:p>
        </w:tc>
        <w:tc>
          <w:tcPr>
            <w:tcW w:w="2410" w:type="dxa"/>
            <w:tcBorders>
              <w:top w:val="single" w:color="auto" w:sz="2" w:space="0"/>
              <w:left w:val="single" w:color="auto" w:sz="2" w:space="0"/>
              <w:bottom w:val="single" w:color="auto" w:sz="2" w:space="0"/>
              <w:right w:val="single" w:color="auto" w:sz="2" w:space="0"/>
            </w:tcBorders>
            <w:vAlign w:val="center"/>
          </w:tcPr>
          <w:p w14:paraId="602E05A9">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836350B">
            <w:pPr>
              <w:spacing w:line="240" w:lineRule="exact"/>
              <w:jc w:val="right"/>
              <w:rPr>
                <w:rFonts w:ascii="宋体" w:hAnsi="宋体" w:eastAsia="宋体" w:cs="宋体"/>
                <w:sz w:val="18"/>
                <w:szCs w:val="18"/>
              </w:rPr>
            </w:pPr>
            <w:r>
              <w:rPr>
                <w:rFonts w:ascii="宋体" w:hAnsi="宋体" w:eastAsia="宋体" w:cs="宋体"/>
                <w:sz w:val="18"/>
                <w:szCs w:val="18"/>
              </w:rPr>
              <w:t>3,063,639.34</w:t>
            </w:r>
          </w:p>
        </w:tc>
      </w:tr>
      <w:tr w14:paraId="3BB53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78120FF">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14:paraId="7CFFB06F">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AA04523">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4D3C8F7">
            <w:pPr>
              <w:spacing w:line="240" w:lineRule="exact"/>
              <w:jc w:val="right"/>
              <w:rPr>
                <w:rFonts w:ascii="宋体" w:hAnsi="宋体" w:eastAsia="宋体" w:cs="宋体"/>
                <w:sz w:val="18"/>
                <w:szCs w:val="18"/>
              </w:rPr>
            </w:pPr>
          </w:p>
        </w:tc>
      </w:tr>
      <w:tr w14:paraId="4806C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DD8AC74">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E8A53B3">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1F803FB2">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0C85FF9">
            <w:pPr>
              <w:spacing w:line="240" w:lineRule="exact"/>
              <w:jc w:val="right"/>
              <w:rPr>
                <w:rFonts w:ascii="宋体" w:hAnsi="宋体" w:eastAsia="宋体" w:cs="宋体"/>
                <w:sz w:val="18"/>
                <w:szCs w:val="18"/>
              </w:rPr>
            </w:pPr>
          </w:p>
        </w:tc>
      </w:tr>
      <w:tr w14:paraId="17183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5695C03">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14:paraId="4DBB3D61">
            <w:pPr>
              <w:spacing w:line="240" w:lineRule="exact"/>
              <w:jc w:val="right"/>
              <w:rPr>
                <w:rFonts w:ascii="宋体" w:hAnsi="宋体" w:eastAsia="宋体" w:cs="宋体"/>
                <w:sz w:val="18"/>
                <w:szCs w:val="18"/>
              </w:rPr>
            </w:pPr>
            <w:r>
              <w:rPr>
                <w:rFonts w:ascii="宋体" w:hAnsi="宋体" w:eastAsia="宋体" w:cs="宋体"/>
                <w:sz w:val="18"/>
                <w:szCs w:val="18"/>
              </w:rPr>
              <w:t>39,764,233.54</w:t>
            </w:r>
          </w:p>
        </w:tc>
        <w:tc>
          <w:tcPr>
            <w:tcW w:w="2410" w:type="dxa"/>
            <w:tcBorders>
              <w:top w:val="single" w:color="auto" w:sz="2" w:space="0"/>
              <w:left w:val="single" w:color="auto" w:sz="2" w:space="0"/>
              <w:bottom w:val="single" w:color="auto" w:sz="2" w:space="0"/>
              <w:right w:val="single" w:color="auto" w:sz="2" w:space="0"/>
            </w:tcBorders>
            <w:vAlign w:val="center"/>
          </w:tcPr>
          <w:p w14:paraId="25932925">
            <w:pPr>
              <w:spacing w:line="240" w:lineRule="exact"/>
              <w:jc w:val="right"/>
              <w:rPr>
                <w:rFonts w:ascii="宋体" w:hAnsi="宋体" w:eastAsia="宋体" w:cs="宋体"/>
                <w:sz w:val="18"/>
                <w:szCs w:val="18"/>
              </w:rPr>
            </w:pPr>
            <w:r>
              <w:rPr>
                <w:rFonts w:ascii="宋体" w:hAnsi="宋体" w:eastAsia="宋体" w:cs="宋体"/>
                <w:sz w:val="18"/>
                <w:szCs w:val="18"/>
              </w:rPr>
              <w:t>715,358.08</w:t>
            </w:r>
          </w:p>
        </w:tc>
        <w:tc>
          <w:tcPr>
            <w:tcW w:w="2410" w:type="dxa"/>
            <w:tcBorders>
              <w:top w:val="single" w:color="auto" w:sz="2" w:space="0"/>
              <w:left w:val="single" w:color="auto" w:sz="2" w:space="0"/>
              <w:bottom w:val="single" w:color="auto" w:sz="2" w:space="0"/>
              <w:right w:val="single" w:color="auto" w:sz="2" w:space="0"/>
            </w:tcBorders>
            <w:vAlign w:val="center"/>
          </w:tcPr>
          <w:p w14:paraId="68DD7FBB">
            <w:pPr>
              <w:spacing w:line="240" w:lineRule="exact"/>
              <w:jc w:val="right"/>
              <w:rPr>
                <w:rFonts w:ascii="宋体" w:hAnsi="宋体" w:eastAsia="宋体" w:cs="宋体"/>
                <w:sz w:val="18"/>
                <w:szCs w:val="18"/>
              </w:rPr>
            </w:pPr>
            <w:r>
              <w:rPr>
                <w:rFonts w:ascii="宋体" w:hAnsi="宋体" w:eastAsia="宋体" w:cs="宋体"/>
                <w:sz w:val="18"/>
                <w:szCs w:val="18"/>
              </w:rPr>
              <w:t>40,479,591.62</w:t>
            </w:r>
          </w:p>
        </w:tc>
      </w:tr>
      <w:tr w14:paraId="58E0B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CF7F1C4">
            <w:pPr>
              <w:spacing w:before="40" w:after="40" w:line="240" w:lineRule="exact"/>
              <w:rPr>
                <w:rFonts w:ascii="宋体" w:hAnsi="宋体" w:eastAsia="宋体" w:cs="宋体"/>
                <w:sz w:val="18"/>
                <w:szCs w:val="18"/>
              </w:rPr>
            </w:pPr>
            <w:r>
              <w:rPr>
                <w:rFonts w:ascii="宋体" w:hAnsi="宋体" w:eastAsia="宋体" w:cs="宋体"/>
                <w:sz w:val="18"/>
                <w:szCs w:val="18"/>
              </w:rPr>
              <w:t>二、累计折旧</w:t>
            </w:r>
          </w:p>
        </w:tc>
        <w:tc>
          <w:tcPr>
            <w:tcW w:w="2410" w:type="dxa"/>
            <w:tcBorders>
              <w:top w:val="single" w:color="auto" w:sz="2" w:space="0"/>
              <w:left w:val="single" w:color="auto" w:sz="2" w:space="0"/>
              <w:bottom w:val="single" w:color="auto" w:sz="2" w:space="0"/>
              <w:right w:val="single" w:color="auto" w:sz="2" w:space="0"/>
            </w:tcBorders>
            <w:vAlign w:val="center"/>
          </w:tcPr>
          <w:p w14:paraId="7C177CA7">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0A97E68D">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4FE3A7D">
            <w:pPr>
              <w:spacing w:line="240" w:lineRule="exact"/>
              <w:jc w:val="right"/>
              <w:rPr>
                <w:rFonts w:ascii="宋体" w:hAnsi="宋体" w:eastAsia="宋体" w:cs="宋体"/>
                <w:sz w:val="18"/>
                <w:szCs w:val="18"/>
              </w:rPr>
            </w:pPr>
          </w:p>
        </w:tc>
      </w:tr>
      <w:tr w14:paraId="038E0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84ABFB0">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14:paraId="22C9B69E">
            <w:pPr>
              <w:spacing w:line="240" w:lineRule="exact"/>
              <w:jc w:val="right"/>
              <w:rPr>
                <w:rFonts w:ascii="宋体" w:hAnsi="宋体" w:eastAsia="宋体" w:cs="宋体"/>
                <w:sz w:val="18"/>
                <w:szCs w:val="18"/>
              </w:rPr>
            </w:pPr>
            <w:r>
              <w:rPr>
                <w:rFonts w:ascii="宋体" w:hAnsi="宋体" w:eastAsia="宋体" w:cs="宋体"/>
                <w:sz w:val="18"/>
                <w:szCs w:val="18"/>
              </w:rPr>
              <w:t>7,934,617.59</w:t>
            </w:r>
          </w:p>
        </w:tc>
        <w:tc>
          <w:tcPr>
            <w:tcW w:w="2410" w:type="dxa"/>
            <w:tcBorders>
              <w:top w:val="single" w:color="auto" w:sz="2" w:space="0"/>
              <w:left w:val="single" w:color="auto" w:sz="2" w:space="0"/>
              <w:bottom w:val="single" w:color="auto" w:sz="2" w:space="0"/>
              <w:right w:val="single" w:color="auto" w:sz="2" w:space="0"/>
            </w:tcBorders>
            <w:vAlign w:val="center"/>
          </w:tcPr>
          <w:p w14:paraId="1E0A985F">
            <w:pPr>
              <w:spacing w:line="240" w:lineRule="exact"/>
              <w:jc w:val="right"/>
              <w:rPr>
                <w:rFonts w:ascii="宋体" w:hAnsi="宋体" w:eastAsia="宋体" w:cs="宋体"/>
                <w:sz w:val="18"/>
                <w:szCs w:val="18"/>
              </w:rPr>
            </w:pPr>
            <w:r>
              <w:rPr>
                <w:rFonts w:ascii="宋体" w:hAnsi="宋体" w:eastAsia="宋体" w:cs="宋体"/>
                <w:sz w:val="18"/>
                <w:szCs w:val="18"/>
              </w:rPr>
              <w:t>320,908.32</w:t>
            </w:r>
          </w:p>
        </w:tc>
        <w:tc>
          <w:tcPr>
            <w:tcW w:w="2410" w:type="dxa"/>
            <w:tcBorders>
              <w:top w:val="single" w:color="auto" w:sz="2" w:space="0"/>
              <w:left w:val="single" w:color="auto" w:sz="2" w:space="0"/>
              <w:bottom w:val="single" w:color="auto" w:sz="2" w:space="0"/>
              <w:right w:val="single" w:color="auto" w:sz="2" w:space="0"/>
            </w:tcBorders>
            <w:vAlign w:val="center"/>
          </w:tcPr>
          <w:p w14:paraId="5EBEA84B">
            <w:pPr>
              <w:spacing w:line="240" w:lineRule="exact"/>
              <w:jc w:val="right"/>
              <w:rPr>
                <w:rFonts w:ascii="宋体" w:hAnsi="宋体" w:eastAsia="宋体" w:cs="宋体"/>
                <w:sz w:val="18"/>
                <w:szCs w:val="18"/>
              </w:rPr>
            </w:pPr>
            <w:r>
              <w:rPr>
                <w:rFonts w:ascii="宋体" w:hAnsi="宋体" w:eastAsia="宋体" w:cs="宋体"/>
                <w:sz w:val="18"/>
                <w:szCs w:val="18"/>
              </w:rPr>
              <w:t>8,255,525.91</w:t>
            </w:r>
          </w:p>
        </w:tc>
      </w:tr>
      <w:tr w14:paraId="52791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9D7DFC1">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14:paraId="5919E9A7">
            <w:pPr>
              <w:spacing w:line="240" w:lineRule="exact"/>
              <w:jc w:val="right"/>
              <w:rPr>
                <w:rFonts w:ascii="宋体" w:hAnsi="宋体" w:eastAsia="宋体" w:cs="宋体"/>
                <w:sz w:val="18"/>
                <w:szCs w:val="18"/>
              </w:rPr>
            </w:pPr>
            <w:r>
              <w:rPr>
                <w:rFonts w:ascii="宋体" w:hAnsi="宋体" w:eastAsia="宋体" w:cs="宋体"/>
                <w:sz w:val="18"/>
                <w:szCs w:val="18"/>
              </w:rPr>
              <w:t>9,441,568.58</w:t>
            </w:r>
          </w:p>
        </w:tc>
        <w:tc>
          <w:tcPr>
            <w:tcW w:w="2410" w:type="dxa"/>
            <w:tcBorders>
              <w:top w:val="single" w:color="auto" w:sz="2" w:space="0"/>
              <w:left w:val="single" w:color="auto" w:sz="2" w:space="0"/>
              <w:bottom w:val="single" w:color="auto" w:sz="2" w:space="0"/>
              <w:right w:val="single" w:color="auto" w:sz="2" w:space="0"/>
            </w:tcBorders>
            <w:vAlign w:val="center"/>
          </w:tcPr>
          <w:p w14:paraId="2BB6069B">
            <w:pPr>
              <w:spacing w:line="240" w:lineRule="exact"/>
              <w:jc w:val="right"/>
              <w:rPr>
                <w:rFonts w:ascii="宋体" w:hAnsi="宋体" w:eastAsia="宋体" w:cs="宋体"/>
                <w:sz w:val="18"/>
                <w:szCs w:val="18"/>
              </w:rPr>
            </w:pPr>
            <w:r>
              <w:rPr>
                <w:rFonts w:ascii="宋体" w:hAnsi="宋体" w:eastAsia="宋体" w:cs="宋体"/>
                <w:sz w:val="18"/>
                <w:szCs w:val="18"/>
              </w:rPr>
              <w:t>80,227.08</w:t>
            </w:r>
          </w:p>
        </w:tc>
        <w:tc>
          <w:tcPr>
            <w:tcW w:w="2410" w:type="dxa"/>
            <w:tcBorders>
              <w:top w:val="single" w:color="auto" w:sz="2" w:space="0"/>
              <w:left w:val="single" w:color="auto" w:sz="2" w:space="0"/>
              <w:bottom w:val="single" w:color="auto" w:sz="2" w:space="0"/>
              <w:right w:val="single" w:color="auto" w:sz="2" w:space="0"/>
            </w:tcBorders>
            <w:vAlign w:val="center"/>
          </w:tcPr>
          <w:p w14:paraId="1A25645B">
            <w:pPr>
              <w:spacing w:line="240" w:lineRule="exact"/>
              <w:jc w:val="right"/>
              <w:rPr>
                <w:rFonts w:ascii="宋体" w:hAnsi="宋体" w:eastAsia="宋体" w:cs="宋体"/>
                <w:sz w:val="18"/>
                <w:szCs w:val="18"/>
              </w:rPr>
            </w:pPr>
            <w:r>
              <w:rPr>
                <w:rFonts w:ascii="宋体" w:hAnsi="宋体" w:eastAsia="宋体" w:cs="宋体"/>
                <w:sz w:val="18"/>
                <w:szCs w:val="18"/>
              </w:rPr>
              <w:t>9,521,795.66</w:t>
            </w:r>
          </w:p>
        </w:tc>
      </w:tr>
      <w:tr w14:paraId="5816D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5A33DED">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（1）计提</w:t>
            </w:r>
          </w:p>
        </w:tc>
        <w:tc>
          <w:tcPr>
            <w:tcW w:w="2410" w:type="dxa"/>
            <w:tcBorders>
              <w:top w:val="single" w:color="auto" w:sz="2" w:space="0"/>
              <w:left w:val="single" w:color="auto" w:sz="2" w:space="0"/>
              <w:bottom w:val="single" w:color="auto" w:sz="2" w:space="0"/>
              <w:right w:val="single" w:color="auto" w:sz="2" w:space="0"/>
            </w:tcBorders>
            <w:vAlign w:val="center"/>
          </w:tcPr>
          <w:p w14:paraId="25D5408B">
            <w:pPr>
              <w:spacing w:line="240" w:lineRule="exact"/>
              <w:jc w:val="right"/>
              <w:rPr>
                <w:rFonts w:ascii="宋体" w:hAnsi="宋体" w:eastAsia="宋体" w:cs="宋体"/>
                <w:sz w:val="18"/>
                <w:szCs w:val="18"/>
              </w:rPr>
            </w:pPr>
            <w:r>
              <w:rPr>
                <w:rFonts w:ascii="宋体" w:hAnsi="宋体" w:eastAsia="宋体" w:cs="宋体"/>
                <w:sz w:val="18"/>
                <w:szCs w:val="18"/>
              </w:rPr>
              <w:t>9,441,568.58</w:t>
            </w:r>
          </w:p>
        </w:tc>
        <w:tc>
          <w:tcPr>
            <w:tcW w:w="2410" w:type="dxa"/>
            <w:tcBorders>
              <w:top w:val="single" w:color="auto" w:sz="2" w:space="0"/>
              <w:left w:val="single" w:color="auto" w:sz="2" w:space="0"/>
              <w:bottom w:val="single" w:color="auto" w:sz="2" w:space="0"/>
              <w:right w:val="single" w:color="auto" w:sz="2" w:space="0"/>
            </w:tcBorders>
            <w:vAlign w:val="center"/>
          </w:tcPr>
          <w:p w14:paraId="19FEADFB">
            <w:pPr>
              <w:spacing w:line="240" w:lineRule="exact"/>
              <w:jc w:val="right"/>
              <w:rPr>
                <w:rFonts w:ascii="宋体" w:hAnsi="宋体" w:eastAsia="宋体" w:cs="宋体"/>
                <w:sz w:val="18"/>
                <w:szCs w:val="18"/>
              </w:rPr>
            </w:pPr>
            <w:r>
              <w:rPr>
                <w:rFonts w:ascii="宋体" w:hAnsi="宋体" w:eastAsia="宋体" w:cs="宋体"/>
                <w:sz w:val="18"/>
                <w:szCs w:val="18"/>
              </w:rPr>
              <w:t>80,227.08</w:t>
            </w:r>
          </w:p>
        </w:tc>
        <w:tc>
          <w:tcPr>
            <w:tcW w:w="2410" w:type="dxa"/>
            <w:tcBorders>
              <w:top w:val="single" w:color="auto" w:sz="2" w:space="0"/>
              <w:left w:val="single" w:color="auto" w:sz="2" w:space="0"/>
              <w:bottom w:val="single" w:color="auto" w:sz="2" w:space="0"/>
              <w:right w:val="single" w:color="auto" w:sz="2" w:space="0"/>
            </w:tcBorders>
            <w:vAlign w:val="center"/>
          </w:tcPr>
          <w:p w14:paraId="19B5E495">
            <w:pPr>
              <w:spacing w:line="240" w:lineRule="exact"/>
              <w:jc w:val="right"/>
              <w:rPr>
                <w:rFonts w:ascii="宋体" w:hAnsi="宋体" w:eastAsia="宋体" w:cs="宋体"/>
                <w:sz w:val="18"/>
                <w:szCs w:val="18"/>
              </w:rPr>
            </w:pPr>
            <w:r>
              <w:rPr>
                <w:rFonts w:ascii="宋体" w:hAnsi="宋体" w:eastAsia="宋体" w:cs="宋体"/>
                <w:sz w:val="18"/>
                <w:szCs w:val="18"/>
              </w:rPr>
              <w:t>9,521,795.66</w:t>
            </w:r>
          </w:p>
        </w:tc>
      </w:tr>
      <w:tr w14:paraId="4A1CD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3F5C71F">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B1ADE05">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A58D7FD">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162A336">
            <w:pPr>
              <w:spacing w:line="240" w:lineRule="exact"/>
              <w:jc w:val="right"/>
              <w:rPr>
                <w:rFonts w:ascii="宋体" w:hAnsi="宋体" w:eastAsia="宋体" w:cs="宋体"/>
                <w:sz w:val="18"/>
                <w:szCs w:val="18"/>
              </w:rPr>
            </w:pPr>
          </w:p>
        </w:tc>
      </w:tr>
      <w:tr w14:paraId="3145A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85ACF7E">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14:paraId="13AEA847">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28F9DDD">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A08AACF">
            <w:pPr>
              <w:spacing w:line="240" w:lineRule="exact"/>
              <w:jc w:val="right"/>
              <w:rPr>
                <w:rFonts w:ascii="宋体" w:hAnsi="宋体" w:eastAsia="宋体" w:cs="宋体"/>
                <w:sz w:val="18"/>
                <w:szCs w:val="18"/>
              </w:rPr>
            </w:pPr>
          </w:p>
        </w:tc>
      </w:tr>
      <w:tr w14:paraId="6B4E8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A6BD124">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（1）处置</w:t>
            </w:r>
          </w:p>
        </w:tc>
        <w:tc>
          <w:tcPr>
            <w:tcW w:w="2410" w:type="dxa"/>
            <w:tcBorders>
              <w:top w:val="single" w:color="auto" w:sz="2" w:space="0"/>
              <w:left w:val="single" w:color="auto" w:sz="2" w:space="0"/>
              <w:bottom w:val="single" w:color="auto" w:sz="2" w:space="0"/>
              <w:right w:val="single" w:color="auto" w:sz="2" w:space="0"/>
            </w:tcBorders>
            <w:vAlign w:val="center"/>
          </w:tcPr>
          <w:p w14:paraId="346C768D">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8E4FD6B">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47133B1">
            <w:pPr>
              <w:spacing w:line="240" w:lineRule="exact"/>
              <w:jc w:val="right"/>
              <w:rPr>
                <w:rFonts w:ascii="宋体" w:hAnsi="宋体" w:eastAsia="宋体" w:cs="宋体"/>
                <w:sz w:val="18"/>
                <w:szCs w:val="18"/>
              </w:rPr>
            </w:pPr>
          </w:p>
        </w:tc>
      </w:tr>
      <w:tr w14:paraId="7D843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B8FCAEF">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BADB158">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ADF8FEB">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3FBAEF0">
            <w:pPr>
              <w:spacing w:line="240" w:lineRule="exact"/>
              <w:jc w:val="right"/>
              <w:rPr>
                <w:rFonts w:ascii="宋体" w:hAnsi="宋体" w:eastAsia="宋体" w:cs="宋体"/>
                <w:sz w:val="18"/>
                <w:szCs w:val="18"/>
              </w:rPr>
            </w:pPr>
          </w:p>
        </w:tc>
      </w:tr>
      <w:tr w14:paraId="40DD5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208F937">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14:paraId="36F32031">
            <w:pPr>
              <w:spacing w:line="240" w:lineRule="exact"/>
              <w:jc w:val="right"/>
              <w:rPr>
                <w:rFonts w:ascii="宋体" w:hAnsi="宋体" w:eastAsia="宋体" w:cs="宋体"/>
                <w:sz w:val="18"/>
                <w:szCs w:val="18"/>
              </w:rPr>
            </w:pPr>
            <w:r>
              <w:rPr>
                <w:rFonts w:ascii="宋体" w:hAnsi="宋体" w:eastAsia="宋体" w:cs="宋体"/>
                <w:sz w:val="18"/>
                <w:szCs w:val="18"/>
              </w:rPr>
              <w:t>17,376,186.18</w:t>
            </w:r>
          </w:p>
        </w:tc>
        <w:tc>
          <w:tcPr>
            <w:tcW w:w="2410" w:type="dxa"/>
            <w:tcBorders>
              <w:top w:val="single" w:color="auto" w:sz="2" w:space="0"/>
              <w:left w:val="single" w:color="auto" w:sz="2" w:space="0"/>
              <w:bottom w:val="single" w:color="auto" w:sz="2" w:space="0"/>
              <w:right w:val="single" w:color="auto" w:sz="2" w:space="0"/>
            </w:tcBorders>
            <w:vAlign w:val="center"/>
          </w:tcPr>
          <w:p w14:paraId="5A6DD1B7">
            <w:pPr>
              <w:spacing w:line="240" w:lineRule="exact"/>
              <w:jc w:val="right"/>
              <w:rPr>
                <w:rFonts w:ascii="宋体" w:hAnsi="宋体" w:eastAsia="宋体" w:cs="宋体"/>
                <w:sz w:val="18"/>
                <w:szCs w:val="18"/>
              </w:rPr>
            </w:pPr>
            <w:r>
              <w:rPr>
                <w:rFonts w:ascii="宋体" w:hAnsi="宋体" w:eastAsia="宋体" w:cs="宋体"/>
                <w:sz w:val="18"/>
                <w:szCs w:val="18"/>
              </w:rPr>
              <w:t>401,135.40</w:t>
            </w:r>
          </w:p>
        </w:tc>
        <w:tc>
          <w:tcPr>
            <w:tcW w:w="2410" w:type="dxa"/>
            <w:tcBorders>
              <w:top w:val="single" w:color="auto" w:sz="2" w:space="0"/>
              <w:left w:val="single" w:color="auto" w:sz="2" w:space="0"/>
              <w:bottom w:val="single" w:color="auto" w:sz="2" w:space="0"/>
              <w:right w:val="single" w:color="auto" w:sz="2" w:space="0"/>
            </w:tcBorders>
            <w:vAlign w:val="center"/>
          </w:tcPr>
          <w:p w14:paraId="1B15D251">
            <w:pPr>
              <w:spacing w:line="240" w:lineRule="exact"/>
              <w:jc w:val="right"/>
              <w:rPr>
                <w:rFonts w:ascii="宋体" w:hAnsi="宋体" w:eastAsia="宋体" w:cs="宋体"/>
                <w:sz w:val="18"/>
                <w:szCs w:val="18"/>
              </w:rPr>
            </w:pPr>
            <w:r>
              <w:rPr>
                <w:rFonts w:ascii="宋体" w:hAnsi="宋体" w:eastAsia="宋体" w:cs="宋体"/>
                <w:sz w:val="18"/>
                <w:szCs w:val="18"/>
              </w:rPr>
              <w:t>17,777,321.58</w:t>
            </w:r>
          </w:p>
        </w:tc>
      </w:tr>
      <w:tr w14:paraId="2BB27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07BD7A5">
            <w:pPr>
              <w:spacing w:before="40" w:after="40" w:line="240" w:lineRule="exact"/>
              <w:rPr>
                <w:rFonts w:ascii="宋体" w:hAnsi="宋体" w:eastAsia="宋体" w:cs="宋体"/>
                <w:sz w:val="18"/>
                <w:szCs w:val="18"/>
              </w:rPr>
            </w:pPr>
            <w:r>
              <w:rPr>
                <w:rFonts w:ascii="宋体" w:hAnsi="宋体" w:eastAsia="宋体" w:cs="宋体"/>
                <w:sz w:val="18"/>
                <w:szCs w:val="18"/>
              </w:rPr>
              <w:t>三、减值准备</w:t>
            </w:r>
          </w:p>
        </w:tc>
        <w:tc>
          <w:tcPr>
            <w:tcW w:w="2410" w:type="dxa"/>
            <w:tcBorders>
              <w:top w:val="single" w:color="auto" w:sz="2" w:space="0"/>
              <w:left w:val="single" w:color="auto" w:sz="2" w:space="0"/>
              <w:bottom w:val="single" w:color="auto" w:sz="2" w:space="0"/>
              <w:right w:val="single" w:color="auto" w:sz="2" w:space="0"/>
            </w:tcBorders>
            <w:vAlign w:val="center"/>
          </w:tcPr>
          <w:p w14:paraId="7C2C3B1C">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D9B2001">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FCDBF1F">
            <w:pPr>
              <w:spacing w:line="240" w:lineRule="exact"/>
              <w:jc w:val="right"/>
              <w:rPr>
                <w:rFonts w:ascii="宋体" w:hAnsi="宋体" w:eastAsia="宋体" w:cs="宋体"/>
                <w:sz w:val="18"/>
                <w:szCs w:val="18"/>
              </w:rPr>
            </w:pPr>
          </w:p>
        </w:tc>
      </w:tr>
      <w:tr w14:paraId="14897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E9E1AC9">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14:paraId="4BBD9B84">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A3018E0">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A243859">
            <w:pPr>
              <w:spacing w:line="240" w:lineRule="exact"/>
              <w:jc w:val="right"/>
              <w:rPr>
                <w:rFonts w:ascii="宋体" w:hAnsi="宋体" w:eastAsia="宋体" w:cs="宋体"/>
                <w:sz w:val="18"/>
                <w:szCs w:val="18"/>
              </w:rPr>
            </w:pPr>
          </w:p>
        </w:tc>
      </w:tr>
      <w:tr w14:paraId="06DF0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DCA4221">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14:paraId="6B4EE5D9">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067817E0">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2957076">
            <w:pPr>
              <w:spacing w:line="240" w:lineRule="exact"/>
              <w:jc w:val="right"/>
              <w:rPr>
                <w:rFonts w:ascii="宋体" w:hAnsi="宋体" w:eastAsia="宋体" w:cs="宋体"/>
                <w:sz w:val="18"/>
                <w:szCs w:val="18"/>
              </w:rPr>
            </w:pPr>
          </w:p>
        </w:tc>
      </w:tr>
      <w:tr w14:paraId="0E0E0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6A30AF6">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（1）计提</w:t>
            </w:r>
          </w:p>
        </w:tc>
        <w:tc>
          <w:tcPr>
            <w:tcW w:w="2410" w:type="dxa"/>
            <w:tcBorders>
              <w:top w:val="single" w:color="auto" w:sz="2" w:space="0"/>
              <w:left w:val="single" w:color="auto" w:sz="2" w:space="0"/>
              <w:bottom w:val="single" w:color="auto" w:sz="2" w:space="0"/>
              <w:right w:val="single" w:color="auto" w:sz="2" w:space="0"/>
            </w:tcBorders>
            <w:vAlign w:val="center"/>
          </w:tcPr>
          <w:p w14:paraId="75EC2756">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4201334">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F98D6BB">
            <w:pPr>
              <w:spacing w:line="240" w:lineRule="exact"/>
              <w:jc w:val="right"/>
              <w:rPr>
                <w:rFonts w:ascii="宋体" w:hAnsi="宋体" w:eastAsia="宋体" w:cs="宋体"/>
                <w:sz w:val="18"/>
                <w:szCs w:val="18"/>
              </w:rPr>
            </w:pPr>
          </w:p>
        </w:tc>
      </w:tr>
      <w:tr w14:paraId="4101B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C37A43F">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2E67224">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00C7182">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10904165">
            <w:pPr>
              <w:spacing w:line="240" w:lineRule="exact"/>
              <w:jc w:val="right"/>
              <w:rPr>
                <w:rFonts w:ascii="宋体" w:hAnsi="宋体" w:eastAsia="宋体" w:cs="宋体"/>
                <w:sz w:val="18"/>
                <w:szCs w:val="18"/>
              </w:rPr>
            </w:pPr>
          </w:p>
        </w:tc>
      </w:tr>
      <w:tr w14:paraId="62CD0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301355A">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14:paraId="1DD3BF2D">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66C7491">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D3CC4C5">
            <w:pPr>
              <w:spacing w:line="240" w:lineRule="exact"/>
              <w:jc w:val="right"/>
              <w:rPr>
                <w:rFonts w:ascii="宋体" w:hAnsi="宋体" w:eastAsia="宋体" w:cs="宋体"/>
                <w:sz w:val="18"/>
                <w:szCs w:val="18"/>
              </w:rPr>
            </w:pPr>
          </w:p>
        </w:tc>
      </w:tr>
      <w:tr w14:paraId="6129D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9E3BD19">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（1）处置</w:t>
            </w:r>
          </w:p>
        </w:tc>
        <w:tc>
          <w:tcPr>
            <w:tcW w:w="2410" w:type="dxa"/>
            <w:tcBorders>
              <w:top w:val="single" w:color="auto" w:sz="2" w:space="0"/>
              <w:left w:val="single" w:color="auto" w:sz="2" w:space="0"/>
              <w:bottom w:val="single" w:color="auto" w:sz="2" w:space="0"/>
              <w:right w:val="single" w:color="auto" w:sz="2" w:space="0"/>
            </w:tcBorders>
            <w:vAlign w:val="center"/>
          </w:tcPr>
          <w:p w14:paraId="7DF4BBEE">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1232592">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0864E065">
            <w:pPr>
              <w:spacing w:line="240" w:lineRule="exact"/>
              <w:jc w:val="right"/>
              <w:rPr>
                <w:rFonts w:ascii="宋体" w:hAnsi="宋体" w:eastAsia="宋体" w:cs="宋体"/>
                <w:sz w:val="18"/>
                <w:szCs w:val="18"/>
              </w:rPr>
            </w:pPr>
          </w:p>
        </w:tc>
      </w:tr>
      <w:tr w14:paraId="1BF33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A234E8A">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428971D">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FA55983">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0524FD07">
            <w:pPr>
              <w:spacing w:line="240" w:lineRule="exact"/>
              <w:jc w:val="right"/>
              <w:rPr>
                <w:rFonts w:ascii="宋体" w:hAnsi="宋体" w:eastAsia="宋体" w:cs="宋体"/>
                <w:sz w:val="18"/>
                <w:szCs w:val="18"/>
              </w:rPr>
            </w:pPr>
          </w:p>
        </w:tc>
      </w:tr>
      <w:tr w14:paraId="23F58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91489CD">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14:paraId="3DEB7A34">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15074172">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CA9D424">
            <w:pPr>
              <w:spacing w:line="240" w:lineRule="exact"/>
              <w:jc w:val="right"/>
              <w:rPr>
                <w:rFonts w:ascii="宋体" w:hAnsi="宋体" w:eastAsia="宋体" w:cs="宋体"/>
                <w:sz w:val="18"/>
                <w:szCs w:val="18"/>
              </w:rPr>
            </w:pPr>
          </w:p>
        </w:tc>
      </w:tr>
      <w:tr w14:paraId="28F5C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BF0FB57">
            <w:pPr>
              <w:spacing w:before="40" w:after="40" w:line="240" w:lineRule="exact"/>
              <w:rPr>
                <w:rFonts w:ascii="宋体" w:hAnsi="宋体" w:eastAsia="宋体" w:cs="宋体"/>
                <w:sz w:val="18"/>
                <w:szCs w:val="18"/>
              </w:rPr>
            </w:pPr>
            <w:r>
              <w:rPr>
                <w:rFonts w:ascii="宋体" w:hAnsi="宋体" w:eastAsia="宋体" w:cs="宋体"/>
                <w:sz w:val="18"/>
                <w:szCs w:val="18"/>
              </w:rPr>
              <w:t>四、账面价值</w:t>
            </w:r>
          </w:p>
        </w:tc>
        <w:tc>
          <w:tcPr>
            <w:tcW w:w="2410" w:type="dxa"/>
            <w:tcBorders>
              <w:top w:val="single" w:color="auto" w:sz="2" w:space="0"/>
              <w:left w:val="single" w:color="auto" w:sz="2" w:space="0"/>
              <w:bottom w:val="single" w:color="auto" w:sz="2" w:space="0"/>
              <w:right w:val="single" w:color="auto" w:sz="2" w:space="0"/>
            </w:tcBorders>
            <w:vAlign w:val="center"/>
          </w:tcPr>
          <w:p w14:paraId="38890216">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5B746D9">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F79D400">
            <w:pPr>
              <w:spacing w:line="240" w:lineRule="exact"/>
              <w:jc w:val="right"/>
              <w:rPr>
                <w:rFonts w:ascii="宋体" w:hAnsi="宋体" w:eastAsia="宋体" w:cs="宋体"/>
                <w:sz w:val="18"/>
                <w:szCs w:val="18"/>
              </w:rPr>
            </w:pPr>
          </w:p>
        </w:tc>
      </w:tr>
      <w:tr w14:paraId="129EC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2BC345A">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1.期末账面价值</w:t>
            </w:r>
          </w:p>
        </w:tc>
        <w:tc>
          <w:tcPr>
            <w:tcW w:w="2410" w:type="dxa"/>
            <w:tcBorders>
              <w:top w:val="single" w:color="auto" w:sz="2" w:space="0"/>
              <w:left w:val="single" w:color="auto" w:sz="2" w:space="0"/>
              <w:bottom w:val="single" w:color="auto" w:sz="2" w:space="0"/>
              <w:right w:val="single" w:color="auto" w:sz="2" w:space="0"/>
            </w:tcBorders>
            <w:vAlign w:val="center"/>
          </w:tcPr>
          <w:p w14:paraId="5EBFC4EE">
            <w:pPr>
              <w:spacing w:line="240" w:lineRule="exact"/>
              <w:jc w:val="right"/>
              <w:rPr>
                <w:rFonts w:ascii="宋体" w:hAnsi="宋体" w:eastAsia="宋体" w:cs="宋体"/>
                <w:sz w:val="18"/>
                <w:szCs w:val="18"/>
              </w:rPr>
            </w:pPr>
            <w:r>
              <w:rPr>
                <w:rFonts w:ascii="宋体" w:hAnsi="宋体" w:eastAsia="宋体" w:cs="宋体"/>
                <w:sz w:val="18"/>
                <w:szCs w:val="18"/>
              </w:rPr>
              <w:t>22,388,047.37</w:t>
            </w:r>
          </w:p>
        </w:tc>
        <w:tc>
          <w:tcPr>
            <w:tcW w:w="2410" w:type="dxa"/>
            <w:tcBorders>
              <w:top w:val="single" w:color="auto" w:sz="2" w:space="0"/>
              <w:left w:val="single" w:color="auto" w:sz="2" w:space="0"/>
              <w:bottom w:val="single" w:color="auto" w:sz="2" w:space="0"/>
              <w:right w:val="single" w:color="auto" w:sz="2" w:space="0"/>
            </w:tcBorders>
            <w:vAlign w:val="center"/>
          </w:tcPr>
          <w:p w14:paraId="72A3AE20">
            <w:pPr>
              <w:spacing w:line="240" w:lineRule="exact"/>
              <w:jc w:val="right"/>
              <w:rPr>
                <w:rFonts w:ascii="宋体" w:hAnsi="宋体" w:eastAsia="宋体" w:cs="宋体"/>
                <w:sz w:val="18"/>
                <w:szCs w:val="18"/>
              </w:rPr>
            </w:pPr>
            <w:r>
              <w:rPr>
                <w:rFonts w:ascii="宋体" w:hAnsi="宋体" w:eastAsia="宋体" w:cs="宋体"/>
                <w:sz w:val="18"/>
                <w:szCs w:val="18"/>
              </w:rPr>
              <w:t>314,222.68</w:t>
            </w:r>
          </w:p>
        </w:tc>
        <w:tc>
          <w:tcPr>
            <w:tcW w:w="2410" w:type="dxa"/>
            <w:tcBorders>
              <w:top w:val="single" w:color="auto" w:sz="2" w:space="0"/>
              <w:left w:val="single" w:color="auto" w:sz="2" w:space="0"/>
              <w:bottom w:val="single" w:color="auto" w:sz="2" w:space="0"/>
              <w:right w:val="single" w:color="auto" w:sz="2" w:space="0"/>
            </w:tcBorders>
            <w:vAlign w:val="center"/>
          </w:tcPr>
          <w:p w14:paraId="1B7B4010">
            <w:pPr>
              <w:spacing w:line="240" w:lineRule="exact"/>
              <w:jc w:val="right"/>
              <w:rPr>
                <w:rFonts w:ascii="宋体" w:hAnsi="宋体" w:eastAsia="宋体" w:cs="宋体"/>
                <w:sz w:val="18"/>
                <w:szCs w:val="18"/>
              </w:rPr>
            </w:pPr>
            <w:r>
              <w:rPr>
                <w:rFonts w:ascii="宋体" w:hAnsi="宋体" w:eastAsia="宋体" w:cs="宋体"/>
                <w:sz w:val="18"/>
                <w:szCs w:val="18"/>
              </w:rPr>
              <w:t>22,702,270.05</w:t>
            </w:r>
          </w:p>
        </w:tc>
      </w:tr>
      <w:tr w14:paraId="47503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DFEBACC">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2.期初账面价值</w:t>
            </w:r>
          </w:p>
        </w:tc>
        <w:tc>
          <w:tcPr>
            <w:tcW w:w="2410" w:type="dxa"/>
            <w:tcBorders>
              <w:top w:val="single" w:color="auto" w:sz="2" w:space="0"/>
              <w:left w:val="single" w:color="auto" w:sz="2" w:space="0"/>
              <w:bottom w:val="single" w:color="auto" w:sz="2" w:space="0"/>
              <w:right w:val="single" w:color="auto" w:sz="2" w:space="0"/>
            </w:tcBorders>
            <w:vAlign w:val="center"/>
          </w:tcPr>
          <w:p w14:paraId="3909E6C8">
            <w:pPr>
              <w:spacing w:line="240" w:lineRule="exact"/>
              <w:jc w:val="right"/>
              <w:rPr>
                <w:rFonts w:ascii="宋体" w:hAnsi="宋体" w:eastAsia="宋体" w:cs="宋体"/>
                <w:sz w:val="18"/>
                <w:szCs w:val="18"/>
              </w:rPr>
            </w:pPr>
            <w:r>
              <w:rPr>
                <w:rFonts w:ascii="宋体" w:hAnsi="宋体" w:eastAsia="宋体" w:cs="宋体"/>
                <w:sz w:val="18"/>
                <w:szCs w:val="18"/>
              </w:rPr>
              <w:t>28,765,976.61</w:t>
            </w:r>
          </w:p>
        </w:tc>
        <w:tc>
          <w:tcPr>
            <w:tcW w:w="2410" w:type="dxa"/>
            <w:tcBorders>
              <w:top w:val="single" w:color="auto" w:sz="2" w:space="0"/>
              <w:left w:val="single" w:color="auto" w:sz="2" w:space="0"/>
              <w:bottom w:val="single" w:color="auto" w:sz="2" w:space="0"/>
              <w:right w:val="single" w:color="auto" w:sz="2" w:space="0"/>
            </w:tcBorders>
            <w:vAlign w:val="center"/>
          </w:tcPr>
          <w:p w14:paraId="4E1C07C0">
            <w:pPr>
              <w:spacing w:line="240" w:lineRule="exact"/>
              <w:jc w:val="right"/>
              <w:rPr>
                <w:rFonts w:ascii="宋体" w:hAnsi="宋体" w:eastAsia="宋体" w:cs="宋体"/>
                <w:sz w:val="18"/>
                <w:szCs w:val="18"/>
              </w:rPr>
            </w:pPr>
            <w:r>
              <w:rPr>
                <w:rFonts w:ascii="宋体" w:hAnsi="宋体" w:eastAsia="宋体" w:cs="宋体"/>
                <w:sz w:val="18"/>
                <w:szCs w:val="18"/>
              </w:rPr>
              <w:t>394,449.76</w:t>
            </w:r>
          </w:p>
        </w:tc>
        <w:tc>
          <w:tcPr>
            <w:tcW w:w="2410" w:type="dxa"/>
            <w:tcBorders>
              <w:top w:val="single" w:color="auto" w:sz="2" w:space="0"/>
              <w:left w:val="single" w:color="auto" w:sz="2" w:space="0"/>
              <w:bottom w:val="single" w:color="auto" w:sz="2" w:space="0"/>
              <w:right w:val="single" w:color="auto" w:sz="2" w:space="0"/>
            </w:tcBorders>
            <w:vAlign w:val="center"/>
          </w:tcPr>
          <w:p w14:paraId="0060500D">
            <w:pPr>
              <w:spacing w:line="240" w:lineRule="exact"/>
              <w:jc w:val="right"/>
              <w:rPr>
                <w:rFonts w:ascii="宋体" w:hAnsi="宋体" w:eastAsia="宋体" w:cs="宋体"/>
                <w:sz w:val="18"/>
                <w:szCs w:val="18"/>
              </w:rPr>
            </w:pPr>
            <w:r>
              <w:rPr>
                <w:rFonts w:ascii="宋体" w:hAnsi="宋体" w:eastAsia="宋体" w:cs="宋体"/>
                <w:sz w:val="18"/>
                <w:szCs w:val="18"/>
              </w:rPr>
              <w:t>29,160,426.37</w:t>
            </w:r>
          </w:p>
        </w:tc>
      </w:tr>
    </w:tbl>
    <w:p w14:paraId="430FC8F4">
      <w:pPr>
        <w:keepNext/>
        <w:keepLines/>
        <w:spacing w:before="300" w:after="300" w:line="280" w:lineRule="exact"/>
        <w:outlineLvl w:val="3"/>
        <w:rPr>
          <w:rFonts w:ascii="宋体" w:hAnsi="宋体" w:eastAsia="宋体" w:cs="宋体"/>
          <w:b/>
          <w:bCs/>
          <w:szCs w:val="21"/>
        </w:rPr>
      </w:pPr>
      <w:bookmarkStart w:id="378" w:name="_Toc989231"/>
      <w:r>
        <w:rPr>
          <w:rFonts w:ascii="宋体" w:hAnsi="宋体" w:eastAsia="宋体" w:cs="宋体"/>
          <w:b/>
          <w:bCs/>
          <w:szCs w:val="21"/>
        </w:rPr>
        <w:t>（2） 使用权资产的减值测试情况</w:t>
      </w:r>
      <w:bookmarkEnd w:id="378"/>
    </w:p>
    <w:p w14:paraId="3C053C04">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7860791">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4715AD5F">
      <w:pPr>
        <w:pStyle w:val="3"/>
        <w:spacing w:line="280" w:lineRule="exact"/>
        <w:jc w:val="left"/>
        <w:rPr>
          <w:rFonts w:ascii="宋体" w:hAnsi="宋体" w:cs="宋体"/>
          <w:b/>
          <w:bCs/>
        </w:rPr>
      </w:pPr>
      <w:bookmarkStart w:id="379" w:name="_Toc989232"/>
      <w:r>
        <w:rPr>
          <w:rFonts w:ascii="宋体" w:hAnsi="宋体" w:cs="宋体"/>
          <w:b/>
          <w:bCs/>
        </w:rPr>
        <w:t>26、无形资产</w:t>
      </w:r>
      <w:bookmarkEnd w:id="379"/>
    </w:p>
    <w:p w14:paraId="03986B7C">
      <w:pPr>
        <w:keepNext/>
        <w:keepLines/>
        <w:spacing w:before="300" w:after="300" w:line="280" w:lineRule="exact"/>
        <w:outlineLvl w:val="3"/>
        <w:rPr>
          <w:rFonts w:ascii="宋体" w:hAnsi="宋体" w:eastAsia="宋体" w:cs="宋体"/>
          <w:b/>
          <w:bCs/>
          <w:szCs w:val="21"/>
        </w:rPr>
      </w:pPr>
      <w:bookmarkStart w:id="380" w:name="_Toc989233"/>
      <w:r>
        <w:rPr>
          <w:rFonts w:ascii="宋体" w:hAnsi="宋体" w:eastAsia="宋体" w:cs="宋体"/>
          <w:b/>
          <w:bCs/>
          <w:szCs w:val="21"/>
        </w:rPr>
        <w:t>（1） 无形资产情况</w:t>
      </w:r>
      <w:bookmarkEnd w:id="380"/>
    </w:p>
    <w:p w14:paraId="3EAA04F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14:paraId="6B236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414CE8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EBA4622">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24664D85">
            <w:pPr>
              <w:spacing w:before="40" w:after="40" w:line="240" w:lineRule="exact"/>
              <w:jc w:val="center"/>
              <w:rPr>
                <w:rFonts w:ascii="宋体" w:hAnsi="宋体" w:eastAsia="宋体" w:cs="宋体"/>
                <w:sz w:val="18"/>
                <w:szCs w:val="18"/>
              </w:rPr>
            </w:pPr>
            <w:r>
              <w:rPr>
                <w:rFonts w:ascii="宋体" w:hAnsi="宋体" w:eastAsia="宋体" w:cs="宋体"/>
                <w:sz w:val="18"/>
                <w:szCs w:val="18"/>
              </w:rPr>
              <w:t>专利权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0F0B340">
            <w:pPr>
              <w:spacing w:before="40" w:after="40" w:line="240" w:lineRule="exact"/>
              <w:jc w:val="center"/>
              <w:rPr>
                <w:rFonts w:ascii="宋体" w:hAnsi="宋体" w:eastAsia="宋体" w:cs="宋体"/>
                <w:sz w:val="18"/>
                <w:szCs w:val="18"/>
              </w:rPr>
            </w:pPr>
            <w:r>
              <w:rPr>
                <w:rFonts w:ascii="宋体" w:hAnsi="宋体" w:eastAsia="宋体" w:cs="宋体"/>
                <w:sz w:val="18"/>
                <w:szCs w:val="18"/>
              </w:rPr>
              <w:t>非专利技术</w:t>
            </w:r>
          </w:p>
        </w:tc>
        <w:tc>
          <w:tcPr>
            <w:tcW w:w="1205" w:type="dxa"/>
            <w:tcBorders>
              <w:top w:val="single" w:color="auto" w:sz="2" w:space="0"/>
              <w:left w:val="single" w:color="auto" w:sz="2" w:space="0"/>
              <w:bottom w:val="single" w:color="auto" w:sz="2" w:space="0"/>
              <w:right w:val="single" w:color="auto" w:sz="2" w:space="0"/>
            </w:tcBorders>
            <w:vAlign w:val="center"/>
          </w:tcPr>
          <w:p w14:paraId="7B0E4ED7">
            <w:pPr>
              <w:spacing w:line="240" w:lineRule="exact"/>
              <w:jc w:val="center"/>
              <w:rPr>
                <w:rFonts w:ascii="宋体" w:hAnsi="宋体" w:eastAsia="宋体" w:cs="宋体"/>
                <w:sz w:val="18"/>
                <w:szCs w:val="18"/>
              </w:rPr>
            </w:pPr>
            <w:r>
              <w:rPr>
                <w:rFonts w:ascii="宋体" w:hAnsi="宋体" w:eastAsia="宋体" w:cs="宋体"/>
                <w:sz w:val="18"/>
                <w:szCs w:val="18"/>
              </w:rPr>
              <w:t>软件</w:t>
            </w:r>
          </w:p>
        </w:tc>
        <w:tc>
          <w:tcPr>
            <w:tcW w:w="1205" w:type="dxa"/>
            <w:tcBorders>
              <w:top w:val="single" w:color="auto" w:sz="2" w:space="0"/>
              <w:left w:val="single" w:color="auto" w:sz="2" w:space="0"/>
              <w:bottom w:val="single" w:color="auto" w:sz="2" w:space="0"/>
              <w:right w:val="single" w:color="auto" w:sz="2" w:space="0"/>
            </w:tcBorders>
            <w:vAlign w:val="center"/>
          </w:tcPr>
          <w:p w14:paraId="01555A9F">
            <w:pPr>
              <w:spacing w:line="240" w:lineRule="exact"/>
              <w:jc w:val="center"/>
              <w:rPr>
                <w:rFonts w:ascii="宋体" w:hAnsi="宋体" w:eastAsia="宋体" w:cs="宋体"/>
                <w:sz w:val="18"/>
                <w:szCs w:val="18"/>
              </w:rPr>
            </w:pPr>
            <w:r>
              <w:rPr>
                <w:rFonts w:ascii="宋体" w:hAnsi="宋体" w:eastAsia="宋体" w:cs="宋体"/>
                <w:sz w:val="18"/>
                <w:szCs w:val="18"/>
              </w:rPr>
              <w:t>商标权</w:t>
            </w:r>
          </w:p>
        </w:tc>
        <w:tc>
          <w:tcPr>
            <w:tcW w:w="1205" w:type="dxa"/>
            <w:tcBorders>
              <w:top w:val="single" w:color="auto" w:sz="2" w:space="0"/>
              <w:left w:val="single" w:color="auto" w:sz="2" w:space="0"/>
              <w:bottom w:val="single" w:color="auto" w:sz="2" w:space="0"/>
              <w:right w:val="single" w:color="auto" w:sz="2" w:space="0"/>
            </w:tcBorders>
            <w:vAlign w:val="center"/>
          </w:tcPr>
          <w:p w14:paraId="1B46A4AF">
            <w:pPr>
              <w:spacing w:line="240" w:lineRule="exact"/>
              <w:jc w:val="center"/>
              <w:rPr>
                <w:rFonts w:ascii="宋体" w:hAnsi="宋体" w:eastAsia="宋体" w:cs="宋体"/>
                <w:sz w:val="18"/>
                <w:szCs w:val="18"/>
              </w:rPr>
            </w:pPr>
            <w:r>
              <w:rPr>
                <w:rFonts w:ascii="宋体" w:hAnsi="宋体" w:eastAsia="宋体" w:cs="宋体"/>
                <w:sz w:val="18"/>
                <w:szCs w:val="18"/>
              </w:rPr>
              <w:t>品种使用权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A0CE837">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7F483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1D1CB635">
            <w:pPr>
              <w:spacing w:before="40" w:after="40" w:line="240" w:lineRule="exact"/>
              <w:rPr>
                <w:rFonts w:ascii="宋体" w:hAnsi="宋体" w:eastAsia="宋体" w:cs="宋体"/>
                <w:sz w:val="18"/>
                <w:szCs w:val="18"/>
              </w:rPr>
            </w:pPr>
            <w:r>
              <w:rPr>
                <w:rFonts w:ascii="宋体" w:hAnsi="宋体" w:eastAsia="宋体" w:cs="宋体"/>
                <w:sz w:val="18"/>
                <w:szCs w:val="18"/>
              </w:rPr>
              <w:t>一、账面原值</w:t>
            </w:r>
          </w:p>
        </w:tc>
        <w:tc>
          <w:tcPr>
            <w:tcW w:w="1205" w:type="dxa"/>
            <w:tcBorders>
              <w:top w:val="single" w:color="auto" w:sz="2" w:space="0"/>
              <w:left w:val="single" w:color="auto" w:sz="2" w:space="0"/>
              <w:bottom w:val="single" w:color="auto" w:sz="2" w:space="0"/>
              <w:right w:val="single" w:color="auto" w:sz="2" w:space="0"/>
            </w:tcBorders>
            <w:vAlign w:val="center"/>
          </w:tcPr>
          <w:p w14:paraId="4D69E93E">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98E3A34">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8BA50A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6D8FBC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AA5BEA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A2D9FD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F047F87">
            <w:pPr>
              <w:spacing w:line="240" w:lineRule="exact"/>
              <w:jc w:val="right"/>
              <w:rPr>
                <w:rFonts w:ascii="宋体" w:hAnsi="宋体" w:eastAsia="宋体" w:cs="宋体"/>
                <w:sz w:val="18"/>
                <w:szCs w:val="18"/>
              </w:rPr>
            </w:pPr>
          </w:p>
        </w:tc>
      </w:tr>
      <w:tr w14:paraId="7C752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606F8BC">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1.期初余额</w:t>
            </w:r>
          </w:p>
        </w:tc>
        <w:tc>
          <w:tcPr>
            <w:tcW w:w="1205" w:type="dxa"/>
            <w:tcBorders>
              <w:top w:val="single" w:color="auto" w:sz="2" w:space="0"/>
              <w:left w:val="single" w:color="auto" w:sz="2" w:space="0"/>
              <w:bottom w:val="single" w:color="auto" w:sz="2" w:space="0"/>
              <w:right w:val="single" w:color="auto" w:sz="2" w:space="0"/>
            </w:tcBorders>
            <w:vAlign w:val="center"/>
          </w:tcPr>
          <w:p w14:paraId="4921E55B">
            <w:pPr>
              <w:spacing w:line="240" w:lineRule="exact"/>
              <w:jc w:val="right"/>
              <w:rPr>
                <w:rFonts w:ascii="宋体" w:hAnsi="宋体" w:eastAsia="宋体" w:cs="宋体"/>
                <w:sz w:val="18"/>
                <w:szCs w:val="18"/>
              </w:rPr>
            </w:pPr>
            <w:r>
              <w:rPr>
                <w:rFonts w:ascii="宋体" w:hAnsi="宋体" w:eastAsia="宋体" w:cs="宋体"/>
                <w:sz w:val="18"/>
                <w:szCs w:val="18"/>
              </w:rPr>
              <w:t>1,082,904,153.20</w:t>
            </w:r>
          </w:p>
        </w:tc>
        <w:tc>
          <w:tcPr>
            <w:tcW w:w="1205" w:type="dxa"/>
            <w:tcBorders>
              <w:top w:val="single" w:color="auto" w:sz="2" w:space="0"/>
              <w:left w:val="single" w:color="auto" w:sz="2" w:space="0"/>
              <w:bottom w:val="single" w:color="auto" w:sz="2" w:space="0"/>
              <w:right w:val="single" w:color="auto" w:sz="2" w:space="0"/>
            </w:tcBorders>
            <w:vAlign w:val="center"/>
          </w:tcPr>
          <w:p w14:paraId="6314D20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5FB88B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089D3CB">
            <w:pPr>
              <w:spacing w:line="240" w:lineRule="exact"/>
              <w:jc w:val="right"/>
              <w:rPr>
                <w:rFonts w:ascii="宋体" w:hAnsi="宋体" w:eastAsia="宋体" w:cs="宋体"/>
                <w:sz w:val="18"/>
                <w:szCs w:val="18"/>
              </w:rPr>
            </w:pPr>
            <w:r>
              <w:rPr>
                <w:rFonts w:ascii="宋体" w:hAnsi="宋体" w:eastAsia="宋体" w:cs="宋体"/>
                <w:sz w:val="18"/>
                <w:szCs w:val="18"/>
              </w:rPr>
              <w:t>33,505,487.47</w:t>
            </w:r>
          </w:p>
        </w:tc>
        <w:tc>
          <w:tcPr>
            <w:tcW w:w="1205" w:type="dxa"/>
            <w:tcBorders>
              <w:top w:val="single" w:color="auto" w:sz="2" w:space="0"/>
              <w:left w:val="single" w:color="auto" w:sz="2" w:space="0"/>
              <w:bottom w:val="single" w:color="auto" w:sz="2" w:space="0"/>
              <w:right w:val="single" w:color="auto" w:sz="2" w:space="0"/>
            </w:tcBorders>
            <w:vAlign w:val="center"/>
          </w:tcPr>
          <w:p w14:paraId="7F2A888C">
            <w:pPr>
              <w:spacing w:line="240" w:lineRule="exact"/>
              <w:jc w:val="right"/>
              <w:rPr>
                <w:rFonts w:ascii="宋体" w:hAnsi="宋体" w:eastAsia="宋体" w:cs="宋体"/>
                <w:sz w:val="18"/>
                <w:szCs w:val="18"/>
              </w:rPr>
            </w:pPr>
            <w:r>
              <w:rPr>
                <w:rFonts w:ascii="宋体" w:hAnsi="宋体" w:eastAsia="宋体" w:cs="宋体"/>
                <w:sz w:val="18"/>
                <w:szCs w:val="18"/>
              </w:rPr>
              <w:t>6,928,639.43</w:t>
            </w:r>
          </w:p>
        </w:tc>
        <w:tc>
          <w:tcPr>
            <w:tcW w:w="1205" w:type="dxa"/>
            <w:tcBorders>
              <w:top w:val="single" w:color="auto" w:sz="2" w:space="0"/>
              <w:left w:val="single" w:color="auto" w:sz="2" w:space="0"/>
              <w:bottom w:val="single" w:color="auto" w:sz="2" w:space="0"/>
              <w:right w:val="single" w:color="auto" w:sz="2" w:space="0"/>
            </w:tcBorders>
            <w:vAlign w:val="center"/>
          </w:tcPr>
          <w:p w14:paraId="4BBE2C7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783DF9C">
            <w:pPr>
              <w:spacing w:line="240" w:lineRule="exact"/>
              <w:jc w:val="right"/>
              <w:rPr>
                <w:rFonts w:ascii="宋体" w:hAnsi="宋体" w:eastAsia="宋体" w:cs="宋体"/>
                <w:sz w:val="18"/>
                <w:szCs w:val="18"/>
              </w:rPr>
            </w:pPr>
            <w:r>
              <w:rPr>
                <w:rFonts w:ascii="宋体" w:hAnsi="宋体" w:eastAsia="宋体" w:cs="宋体"/>
                <w:sz w:val="18"/>
                <w:szCs w:val="18"/>
              </w:rPr>
              <w:t>1,123,338,280.10</w:t>
            </w:r>
          </w:p>
        </w:tc>
      </w:tr>
      <w:tr w14:paraId="63AF0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28CBCA49">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2.本期增加金额</w:t>
            </w:r>
          </w:p>
        </w:tc>
        <w:tc>
          <w:tcPr>
            <w:tcW w:w="1205" w:type="dxa"/>
            <w:tcBorders>
              <w:top w:val="single" w:color="auto" w:sz="2" w:space="0"/>
              <w:left w:val="single" w:color="auto" w:sz="2" w:space="0"/>
              <w:bottom w:val="single" w:color="auto" w:sz="2" w:space="0"/>
              <w:right w:val="single" w:color="auto" w:sz="2" w:space="0"/>
            </w:tcBorders>
            <w:vAlign w:val="center"/>
          </w:tcPr>
          <w:p w14:paraId="393B4E0F">
            <w:pPr>
              <w:spacing w:line="240" w:lineRule="exact"/>
              <w:jc w:val="right"/>
              <w:rPr>
                <w:rFonts w:ascii="宋体" w:hAnsi="宋体" w:eastAsia="宋体" w:cs="宋体"/>
                <w:sz w:val="18"/>
                <w:szCs w:val="18"/>
              </w:rPr>
            </w:pPr>
            <w:r>
              <w:rPr>
                <w:rFonts w:ascii="宋体" w:hAnsi="宋体" w:eastAsia="宋体" w:cs="宋体"/>
                <w:sz w:val="18"/>
                <w:szCs w:val="18"/>
              </w:rPr>
              <w:t>-15,536,906.64</w:t>
            </w:r>
          </w:p>
        </w:tc>
        <w:tc>
          <w:tcPr>
            <w:tcW w:w="1205" w:type="dxa"/>
            <w:tcBorders>
              <w:top w:val="single" w:color="auto" w:sz="2" w:space="0"/>
              <w:left w:val="single" w:color="auto" w:sz="2" w:space="0"/>
              <w:bottom w:val="single" w:color="auto" w:sz="2" w:space="0"/>
              <w:right w:val="single" w:color="auto" w:sz="2" w:space="0"/>
            </w:tcBorders>
            <w:vAlign w:val="center"/>
          </w:tcPr>
          <w:p w14:paraId="61F92EF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BE6CBD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CC5014B">
            <w:pPr>
              <w:spacing w:line="240" w:lineRule="exact"/>
              <w:jc w:val="right"/>
              <w:rPr>
                <w:rFonts w:ascii="宋体" w:hAnsi="宋体" w:eastAsia="宋体" w:cs="宋体"/>
                <w:sz w:val="18"/>
                <w:szCs w:val="18"/>
              </w:rPr>
            </w:pPr>
            <w:r>
              <w:rPr>
                <w:rFonts w:ascii="宋体" w:hAnsi="宋体" w:eastAsia="宋体" w:cs="宋体"/>
                <w:sz w:val="18"/>
                <w:szCs w:val="18"/>
              </w:rPr>
              <w:t>2,906,434.24</w:t>
            </w:r>
          </w:p>
        </w:tc>
        <w:tc>
          <w:tcPr>
            <w:tcW w:w="1205" w:type="dxa"/>
            <w:tcBorders>
              <w:top w:val="single" w:color="auto" w:sz="2" w:space="0"/>
              <w:left w:val="single" w:color="auto" w:sz="2" w:space="0"/>
              <w:bottom w:val="single" w:color="auto" w:sz="2" w:space="0"/>
              <w:right w:val="single" w:color="auto" w:sz="2" w:space="0"/>
            </w:tcBorders>
            <w:vAlign w:val="center"/>
          </w:tcPr>
          <w:p w14:paraId="12DA0FE7">
            <w:pPr>
              <w:spacing w:line="240" w:lineRule="exact"/>
              <w:jc w:val="right"/>
              <w:rPr>
                <w:rFonts w:ascii="宋体" w:hAnsi="宋体" w:eastAsia="宋体" w:cs="宋体"/>
                <w:sz w:val="18"/>
                <w:szCs w:val="18"/>
              </w:rPr>
            </w:pPr>
            <w:r>
              <w:rPr>
                <w:rFonts w:ascii="宋体" w:hAnsi="宋体" w:eastAsia="宋体" w:cs="宋体"/>
                <w:sz w:val="18"/>
                <w:szCs w:val="18"/>
              </w:rPr>
              <w:t>187,184.40</w:t>
            </w:r>
          </w:p>
        </w:tc>
        <w:tc>
          <w:tcPr>
            <w:tcW w:w="1205" w:type="dxa"/>
            <w:tcBorders>
              <w:top w:val="single" w:color="auto" w:sz="2" w:space="0"/>
              <w:left w:val="single" w:color="auto" w:sz="2" w:space="0"/>
              <w:bottom w:val="single" w:color="auto" w:sz="2" w:space="0"/>
              <w:right w:val="single" w:color="auto" w:sz="2" w:space="0"/>
            </w:tcBorders>
            <w:vAlign w:val="center"/>
          </w:tcPr>
          <w:p w14:paraId="0E71C7F7">
            <w:pPr>
              <w:spacing w:line="240" w:lineRule="exact"/>
              <w:jc w:val="right"/>
              <w:rPr>
                <w:rFonts w:ascii="宋体" w:hAnsi="宋体" w:eastAsia="宋体" w:cs="宋体"/>
                <w:sz w:val="18"/>
                <w:szCs w:val="18"/>
              </w:rPr>
            </w:pPr>
            <w:r>
              <w:rPr>
                <w:rFonts w:ascii="宋体" w:hAnsi="宋体" w:eastAsia="宋体" w:cs="宋体"/>
                <w:sz w:val="18"/>
                <w:szCs w:val="18"/>
              </w:rPr>
              <w:t>19,000,000.00</w:t>
            </w:r>
          </w:p>
        </w:tc>
        <w:tc>
          <w:tcPr>
            <w:tcW w:w="1205" w:type="dxa"/>
            <w:tcBorders>
              <w:top w:val="single" w:color="auto" w:sz="2" w:space="0"/>
              <w:left w:val="single" w:color="auto" w:sz="2" w:space="0"/>
              <w:bottom w:val="single" w:color="auto" w:sz="2" w:space="0"/>
              <w:right w:val="single" w:color="auto" w:sz="2" w:space="0"/>
            </w:tcBorders>
            <w:vAlign w:val="center"/>
          </w:tcPr>
          <w:p w14:paraId="1794C658">
            <w:pPr>
              <w:spacing w:line="240" w:lineRule="exact"/>
              <w:jc w:val="right"/>
              <w:rPr>
                <w:rFonts w:ascii="宋体" w:hAnsi="宋体" w:eastAsia="宋体" w:cs="宋体"/>
                <w:sz w:val="18"/>
                <w:szCs w:val="18"/>
              </w:rPr>
            </w:pPr>
            <w:r>
              <w:rPr>
                <w:rFonts w:ascii="宋体" w:hAnsi="宋体" w:eastAsia="宋体" w:cs="宋体"/>
                <w:sz w:val="18"/>
                <w:szCs w:val="18"/>
              </w:rPr>
              <w:t>6,556,712.00</w:t>
            </w:r>
          </w:p>
        </w:tc>
      </w:tr>
      <w:tr w14:paraId="7EA0C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2E6DB489">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（1）购置</w:t>
            </w:r>
          </w:p>
        </w:tc>
        <w:tc>
          <w:tcPr>
            <w:tcW w:w="1205" w:type="dxa"/>
            <w:tcBorders>
              <w:top w:val="single" w:color="auto" w:sz="2" w:space="0"/>
              <w:left w:val="single" w:color="auto" w:sz="2" w:space="0"/>
              <w:bottom w:val="single" w:color="auto" w:sz="2" w:space="0"/>
              <w:right w:val="single" w:color="auto" w:sz="2" w:space="0"/>
            </w:tcBorders>
            <w:vAlign w:val="center"/>
          </w:tcPr>
          <w:p w14:paraId="0F377F9A">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78C6B6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2E560B8">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110ED1F">
            <w:pPr>
              <w:spacing w:line="240" w:lineRule="exact"/>
              <w:jc w:val="right"/>
              <w:rPr>
                <w:rFonts w:ascii="宋体" w:hAnsi="宋体" w:eastAsia="宋体" w:cs="宋体"/>
                <w:sz w:val="18"/>
                <w:szCs w:val="18"/>
              </w:rPr>
            </w:pPr>
            <w:r>
              <w:rPr>
                <w:rFonts w:ascii="宋体" w:hAnsi="宋体" w:eastAsia="宋体" w:cs="宋体"/>
                <w:sz w:val="18"/>
                <w:szCs w:val="18"/>
              </w:rPr>
              <w:t>2,906,434.24</w:t>
            </w:r>
          </w:p>
        </w:tc>
        <w:tc>
          <w:tcPr>
            <w:tcW w:w="1205" w:type="dxa"/>
            <w:tcBorders>
              <w:top w:val="single" w:color="auto" w:sz="2" w:space="0"/>
              <w:left w:val="single" w:color="auto" w:sz="2" w:space="0"/>
              <w:bottom w:val="single" w:color="auto" w:sz="2" w:space="0"/>
              <w:right w:val="single" w:color="auto" w:sz="2" w:space="0"/>
            </w:tcBorders>
            <w:vAlign w:val="center"/>
          </w:tcPr>
          <w:p w14:paraId="6F160DFB">
            <w:pPr>
              <w:spacing w:line="240" w:lineRule="exact"/>
              <w:jc w:val="right"/>
              <w:rPr>
                <w:rFonts w:ascii="宋体" w:hAnsi="宋体" w:eastAsia="宋体" w:cs="宋体"/>
                <w:sz w:val="18"/>
                <w:szCs w:val="18"/>
              </w:rPr>
            </w:pPr>
            <w:r>
              <w:rPr>
                <w:rFonts w:ascii="宋体" w:hAnsi="宋体" w:eastAsia="宋体" w:cs="宋体"/>
                <w:sz w:val="18"/>
                <w:szCs w:val="18"/>
              </w:rPr>
              <w:t>187,184.40</w:t>
            </w:r>
          </w:p>
        </w:tc>
        <w:tc>
          <w:tcPr>
            <w:tcW w:w="1205" w:type="dxa"/>
            <w:tcBorders>
              <w:top w:val="single" w:color="auto" w:sz="2" w:space="0"/>
              <w:left w:val="single" w:color="auto" w:sz="2" w:space="0"/>
              <w:bottom w:val="single" w:color="auto" w:sz="2" w:space="0"/>
              <w:right w:val="single" w:color="auto" w:sz="2" w:space="0"/>
            </w:tcBorders>
            <w:vAlign w:val="center"/>
          </w:tcPr>
          <w:p w14:paraId="70F44B43">
            <w:pPr>
              <w:spacing w:line="240" w:lineRule="exact"/>
              <w:jc w:val="right"/>
              <w:rPr>
                <w:rFonts w:ascii="宋体" w:hAnsi="宋体" w:eastAsia="宋体" w:cs="宋体"/>
                <w:sz w:val="18"/>
                <w:szCs w:val="18"/>
              </w:rPr>
            </w:pPr>
            <w:r>
              <w:rPr>
                <w:rFonts w:ascii="宋体" w:hAnsi="宋体" w:eastAsia="宋体" w:cs="宋体"/>
                <w:sz w:val="18"/>
                <w:szCs w:val="18"/>
              </w:rPr>
              <w:t>19,000,000.00</w:t>
            </w:r>
          </w:p>
        </w:tc>
        <w:tc>
          <w:tcPr>
            <w:tcW w:w="1205" w:type="dxa"/>
            <w:tcBorders>
              <w:top w:val="single" w:color="auto" w:sz="2" w:space="0"/>
              <w:left w:val="single" w:color="auto" w:sz="2" w:space="0"/>
              <w:bottom w:val="single" w:color="auto" w:sz="2" w:space="0"/>
              <w:right w:val="single" w:color="auto" w:sz="2" w:space="0"/>
            </w:tcBorders>
            <w:vAlign w:val="center"/>
          </w:tcPr>
          <w:p w14:paraId="09F3F484">
            <w:pPr>
              <w:spacing w:line="240" w:lineRule="exact"/>
              <w:jc w:val="right"/>
              <w:rPr>
                <w:rFonts w:ascii="宋体" w:hAnsi="宋体" w:eastAsia="宋体" w:cs="宋体"/>
                <w:sz w:val="18"/>
                <w:szCs w:val="18"/>
              </w:rPr>
            </w:pPr>
            <w:r>
              <w:rPr>
                <w:rFonts w:ascii="宋体" w:hAnsi="宋体" w:eastAsia="宋体" w:cs="宋体"/>
                <w:sz w:val="18"/>
                <w:szCs w:val="18"/>
              </w:rPr>
              <w:t>22,093,618.64</w:t>
            </w:r>
          </w:p>
        </w:tc>
      </w:tr>
      <w:tr w14:paraId="5F5D2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1EEF0D9">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（2）内部研发</w:t>
            </w:r>
          </w:p>
        </w:tc>
        <w:tc>
          <w:tcPr>
            <w:tcW w:w="1205" w:type="dxa"/>
            <w:tcBorders>
              <w:top w:val="single" w:color="auto" w:sz="2" w:space="0"/>
              <w:left w:val="single" w:color="auto" w:sz="2" w:space="0"/>
              <w:bottom w:val="single" w:color="auto" w:sz="2" w:space="0"/>
              <w:right w:val="single" w:color="auto" w:sz="2" w:space="0"/>
            </w:tcBorders>
            <w:vAlign w:val="center"/>
          </w:tcPr>
          <w:p w14:paraId="423F08F8">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35E0301">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A84E718">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BDF4A7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F1D5FD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77014BD">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9A55AB7">
            <w:pPr>
              <w:spacing w:line="240" w:lineRule="exact"/>
              <w:jc w:val="right"/>
              <w:rPr>
                <w:rFonts w:ascii="宋体" w:hAnsi="宋体" w:eastAsia="宋体" w:cs="宋体"/>
                <w:sz w:val="18"/>
                <w:szCs w:val="18"/>
              </w:rPr>
            </w:pPr>
          </w:p>
        </w:tc>
      </w:tr>
      <w:tr w14:paraId="0BC94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2A451D10">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（3）企业合并增加</w:t>
            </w:r>
          </w:p>
        </w:tc>
        <w:tc>
          <w:tcPr>
            <w:tcW w:w="1205" w:type="dxa"/>
            <w:tcBorders>
              <w:top w:val="single" w:color="auto" w:sz="2" w:space="0"/>
              <w:left w:val="single" w:color="auto" w:sz="2" w:space="0"/>
              <w:bottom w:val="single" w:color="auto" w:sz="2" w:space="0"/>
              <w:right w:val="single" w:color="auto" w:sz="2" w:space="0"/>
            </w:tcBorders>
            <w:vAlign w:val="center"/>
          </w:tcPr>
          <w:p w14:paraId="0B75B46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CDD562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157D5D8">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76B20CE">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3E1661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B01647D">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0E233EE">
            <w:pPr>
              <w:spacing w:line="240" w:lineRule="exact"/>
              <w:jc w:val="right"/>
              <w:rPr>
                <w:rFonts w:ascii="宋体" w:hAnsi="宋体" w:eastAsia="宋体" w:cs="宋体"/>
                <w:sz w:val="18"/>
                <w:szCs w:val="18"/>
              </w:rPr>
            </w:pPr>
          </w:p>
        </w:tc>
      </w:tr>
      <w:tr w14:paraId="2E877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50F5F02">
            <w:pPr>
              <w:spacing w:line="240" w:lineRule="exact"/>
              <w:rPr>
                <w:rFonts w:ascii="宋体" w:hAnsi="宋体" w:eastAsia="宋体" w:cs="宋体"/>
                <w:sz w:val="18"/>
                <w:szCs w:val="18"/>
              </w:rPr>
            </w:pPr>
            <w:r>
              <w:rPr>
                <w:rFonts w:ascii="宋体" w:hAnsi="宋体" w:eastAsia="宋体" w:cs="宋体"/>
                <w:sz w:val="18"/>
                <w:szCs w:val="18"/>
              </w:rPr>
              <w:t>在建工程转入</w:t>
            </w:r>
          </w:p>
        </w:tc>
        <w:tc>
          <w:tcPr>
            <w:tcW w:w="1205" w:type="dxa"/>
            <w:tcBorders>
              <w:top w:val="single" w:color="auto" w:sz="2" w:space="0"/>
              <w:left w:val="single" w:color="auto" w:sz="2" w:space="0"/>
              <w:bottom w:val="single" w:color="auto" w:sz="2" w:space="0"/>
              <w:right w:val="single" w:color="auto" w:sz="2" w:space="0"/>
            </w:tcBorders>
            <w:vAlign w:val="center"/>
          </w:tcPr>
          <w:p w14:paraId="5F323D86">
            <w:pPr>
              <w:spacing w:line="240" w:lineRule="exact"/>
              <w:jc w:val="right"/>
              <w:rPr>
                <w:rFonts w:ascii="宋体" w:hAnsi="宋体" w:eastAsia="宋体" w:cs="宋体"/>
                <w:sz w:val="18"/>
                <w:szCs w:val="18"/>
              </w:rPr>
            </w:pPr>
            <w:r>
              <w:rPr>
                <w:rFonts w:ascii="宋体" w:hAnsi="宋体" w:eastAsia="宋体" w:cs="宋体"/>
                <w:sz w:val="18"/>
                <w:szCs w:val="18"/>
              </w:rPr>
              <w:t>179,698.66</w:t>
            </w:r>
          </w:p>
        </w:tc>
        <w:tc>
          <w:tcPr>
            <w:tcW w:w="1205" w:type="dxa"/>
            <w:tcBorders>
              <w:top w:val="single" w:color="auto" w:sz="2" w:space="0"/>
              <w:left w:val="single" w:color="auto" w:sz="2" w:space="0"/>
              <w:bottom w:val="single" w:color="auto" w:sz="2" w:space="0"/>
              <w:right w:val="single" w:color="auto" w:sz="2" w:space="0"/>
            </w:tcBorders>
            <w:vAlign w:val="center"/>
          </w:tcPr>
          <w:p w14:paraId="171015E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D196B5D">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A12CC7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4BCBFA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B4BFC8A">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3AFEF0A">
            <w:pPr>
              <w:spacing w:line="240" w:lineRule="exact"/>
              <w:jc w:val="right"/>
              <w:rPr>
                <w:rFonts w:ascii="宋体" w:hAnsi="宋体" w:eastAsia="宋体" w:cs="宋体"/>
                <w:sz w:val="18"/>
                <w:szCs w:val="18"/>
              </w:rPr>
            </w:pPr>
            <w:r>
              <w:rPr>
                <w:rFonts w:ascii="宋体" w:hAnsi="宋体" w:eastAsia="宋体" w:cs="宋体"/>
                <w:sz w:val="18"/>
                <w:szCs w:val="18"/>
              </w:rPr>
              <w:t>179,698.66</w:t>
            </w:r>
          </w:p>
        </w:tc>
      </w:tr>
      <w:tr w14:paraId="28C82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B866143">
            <w:pPr>
              <w:spacing w:line="240" w:lineRule="exact"/>
              <w:rPr>
                <w:rFonts w:ascii="宋体" w:hAnsi="宋体" w:eastAsia="宋体" w:cs="宋体"/>
                <w:sz w:val="18"/>
                <w:szCs w:val="18"/>
              </w:rPr>
            </w:pPr>
            <w:r>
              <w:rPr>
                <w:rFonts w:ascii="宋体" w:hAnsi="宋体" w:eastAsia="宋体" w:cs="宋体"/>
                <w:sz w:val="18"/>
                <w:szCs w:val="18"/>
              </w:rPr>
              <w:t>外币报表折算差额</w:t>
            </w:r>
          </w:p>
        </w:tc>
        <w:tc>
          <w:tcPr>
            <w:tcW w:w="1205" w:type="dxa"/>
            <w:tcBorders>
              <w:top w:val="single" w:color="auto" w:sz="2" w:space="0"/>
              <w:left w:val="single" w:color="auto" w:sz="2" w:space="0"/>
              <w:bottom w:val="single" w:color="auto" w:sz="2" w:space="0"/>
              <w:right w:val="single" w:color="auto" w:sz="2" w:space="0"/>
            </w:tcBorders>
            <w:vAlign w:val="center"/>
          </w:tcPr>
          <w:p w14:paraId="0EAF7101">
            <w:pPr>
              <w:spacing w:line="240" w:lineRule="exact"/>
              <w:jc w:val="right"/>
              <w:rPr>
                <w:rFonts w:ascii="宋体" w:hAnsi="宋体" w:eastAsia="宋体" w:cs="宋体"/>
                <w:sz w:val="18"/>
                <w:szCs w:val="18"/>
              </w:rPr>
            </w:pPr>
            <w:r>
              <w:rPr>
                <w:rFonts w:ascii="宋体" w:hAnsi="宋体" w:eastAsia="宋体" w:cs="宋体"/>
                <w:sz w:val="18"/>
                <w:szCs w:val="18"/>
              </w:rPr>
              <w:t>-15,716,605.30</w:t>
            </w:r>
          </w:p>
        </w:tc>
        <w:tc>
          <w:tcPr>
            <w:tcW w:w="1205" w:type="dxa"/>
            <w:tcBorders>
              <w:top w:val="single" w:color="auto" w:sz="2" w:space="0"/>
              <w:left w:val="single" w:color="auto" w:sz="2" w:space="0"/>
              <w:bottom w:val="single" w:color="auto" w:sz="2" w:space="0"/>
              <w:right w:val="single" w:color="auto" w:sz="2" w:space="0"/>
            </w:tcBorders>
            <w:vAlign w:val="center"/>
          </w:tcPr>
          <w:p w14:paraId="15F7BFC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3C94A3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B6EECED">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A190D1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5D6A47A">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1EBC409">
            <w:pPr>
              <w:spacing w:line="240" w:lineRule="exact"/>
              <w:jc w:val="right"/>
              <w:rPr>
                <w:rFonts w:ascii="宋体" w:hAnsi="宋体" w:eastAsia="宋体" w:cs="宋体"/>
                <w:sz w:val="18"/>
                <w:szCs w:val="18"/>
              </w:rPr>
            </w:pPr>
            <w:r>
              <w:rPr>
                <w:rFonts w:ascii="宋体" w:hAnsi="宋体" w:eastAsia="宋体" w:cs="宋体"/>
                <w:sz w:val="18"/>
                <w:szCs w:val="18"/>
              </w:rPr>
              <w:t>-15,716,605.30</w:t>
            </w:r>
          </w:p>
        </w:tc>
      </w:tr>
      <w:tr w14:paraId="47203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E473458">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3.本期减少金额</w:t>
            </w:r>
          </w:p>
        </w:tc>
        <w:tc>
          <w:tcPr>
            <w:tcW w:w="1205" w:type="dxa"/>
            <w:tcBorders>
              <w:top w:val="single" w:color="auto" w:sz="2" w:space="0"/>
              <w:left w:val="single" w:color="auto" w:sz="2" w:space="0"/>
              <w:bottom w:val="single" w:color="auto" w:sz="2" w:space="0"/>
              <w:right w:val="single" w:color="auto" w:sz="2" w:space="0"/>
            </w:tcBorders>
            <w:vAlign w:val="center"/>
          </w:tcPr>
          <w:p w14:paraId="747D98D5">
            <w:pPr>
              <w:spacing w:line="240" w:lineRule="exact"/>
              <w:jc w:val="right"/>
              <w:rPr>
                <w:rFonts w:ascii="宋体" w:hAnsi="宋体" w:eastAsia="宋体" w:cs="宋体"/>
                <w:sz w:val="18"/>
                <w:szCs w:val="18"/>
              </w:rPr>
            </w:pPr>
            <w:r>
              <w:rPr>
                <w:rFonts w:ascii="宋体" w:hAnsi="宋体" w:eastAsia="宋体" w:cs="宋体"/>
                <w:sz w:val="18"/>
                <w:szCs w:val="18"/>
              </w:rPr>
              <w:t>69,094,100.41</w:t>
            </w:r>
          </w:p>
        </w:tc>
        <w:tc>
          <w:tcPr>
            <w:tcW w:w="1205" w:type="dxa"/>
            <w:tcBorders>
              <w:top w:val="single" w:color="auto" w:sz="2" w:space="0"/>
              <w:left w:val="single" w:color="auto" w:sz="2" w:space="0"/>
              <w:bottom w:val="single" w:color="auto" w:sz="2" w:space="0"/>
              <w:right w:val="single" w:color="auto" w:sz="2" w:space="0"/>
            </w:tcBorders>
            <w:vAlign w:val="center"/>
          </w:tcPr>
          <w:p w14:paraId="7F82270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4DE31EF">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8840A53">
            <w:pPr>
              <w:spacing w:line="240" w:lineRule="exact"/>
              <w:jc w:val="right"/>
              <w:rPr>
                <w:rFonts w:ascii="宋体" w:hAnsi="宋体" w:eastAsia="宋体" w:cs="宋体"/>
                <w:sz w:val="18"/>
                <w:szCs w:val="18"/>
              </w:rPr>
            </w:pPr>
            <w:r>
              <w:rPr>
                <w:rFonts w:ascii="宋体" w:hAnsi="宋体" w:eastAsia="宋体" w:cs="宋体"/>
                <w:sz w:val="18"/>
                <w:szCs w:val="18"/>
              </w:rPr>
              <w:t>6,666.66</w:t>
            </w:r>
          </w:p>
        </w:tc>
        <w:tc>
          <w:tcPr>
            <w:tcW w:w="1205" w:type="dxa"/>
            <w:tcBorders>
              <w:top w:val="single" w:color="auto" w:sz="2" w:space="0"/>
              <w:left w:val="single" w:color="auto" w:sz="2" w:space="0"/>
              <w:bottom w:val="single" w:color="auto" w:sz="2" w:space="0"/>
              <w:right w:val="single" w:color="auto" w:sz="2" w:space="0"/>
            </w:tcBorders>
            <w:vAlign w:val="center"/>
          </w:tcPr>
          <w:p w14:paraId="47F5E922">
            <w:pPr>
              <w:spacing w:line="240" w:lineRule="exact"/>
              <w:jc w:val="right"/>
              <w:rPr>
                <w:rFonts w:ascii="宋体" w:hAnsi="宋体" w:eastAsia="宋体" w:cs="宋体"/>
                <w:sz w:val="18"/>
                <w:szCs w:val="18"/>
              </w:rPr>
            </w:pPr>
            <w:r>
              <w:rPr>
                <w:rFonts w:ascii="宋体" w:hAnsi="宋体" w:eastAsia="宋体" w:cs="宋体"/>
                <w:sz w:val="18"/>
                <w:szCs w:val="18"/>
              </w:rPr>
              <w:t>300,000.00</w:t>
            </w:r>
          </w:p>
        </w:tc>
        <w:tc>
          <w:tcPr>
            <w:tcW w:w="1205" w:type="dxa"/>
            <w:tcBorders>
              <w:top w:val="single" w:color="auto" w:sz="2" w:space="0"/>
              <w:left w:val="single" w:color="auto" w:sz="2" w:space="0"/>
              <w:bottom w:val="single" w:color="auto" w:sz="2" w:space="0"/>
              <w:right w:val="single" w:color="auto" w:sz="2" w:space="0"/>
            </w:tcBorders>
            <w:vAlign w:val="center"/>
          </w:tcPr>
          <w:p w14:paraId="61780478">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76DD44E">
            <w:pPr>
              <w:spacing w:line="240" w:lineRule="exact"/>
              <w:jc w:val="right"/>
              <w:rPr>
                <w:rFonts w:ascii="宋体" w:hAnsi="宋体" w:eastAsia="宋体" w:cs="宋体"/>
                <w:sz w:val="18"/>
                <w:szCs w:val="18"/>
              </w:rPr>
            </w:pPr>
            <w:r>
              <w:rPr>
                <w:rFonts w:ascii="宋体" w:hAnsi="宋体" w:eastAsia="宋体" w:cs="宋体"/>
                <w:sz w:val="18"/>
                <w:szCs w:val="18"/>
              </w:rPr>
              <w:t>69,400,767.07</w:t>
            </w:r>
          </w:p>
        </w:tc>
      </w:tr>
      <w:tr w14:paraId="1B133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81711CE">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（1）处置</w:t>
            </w:r>
          </w:p>
        </w:tc>
        <w:tc>
          <w:tcPr>
            <w:tcW w:w="1205" w:type="dxa"/>
            <w:tcBorders>
              <w:top w:val="single" w:color="auto" w:sz="2" w:space="0"/>
              <w:left w:val="single" w:color="auto" w:sz="2" w:space="0"/>
              <w:bottom w:val="single" w:color="auto" w:sz="2" w:space="0"/>
              <w:right w:val="single" w:color="auto" w:sz="2" w:space="0"/>
            </w:tcBorders>
            <w:vAlign w:val="center"/>
          </w:tcPr>
          <w:p w14:paraId="466EFEE4">
            <w:pPr>
              <w:spacing w:line="240" w:lineRule="exact"/>
              <w:jc w:val="right"/>
              <w:rPr>
                <w:rFonts w:ascii="宋体" w:hAnsi="宋体" w:eastAsia="宋体" w:cs="宋体"/>
                <w:sz w:val="18"/>
                <w:szCs w:val="18"/>
              </w:rPr>
            </w:pPr>
            <w:r>
              <w:rPr>
                <w:rFonts w:ascii="宋体" w:hAnsi="宋体" w:eastAsia="宋体" w:cs="宋体"/>
                <w:sz w:val="18"/>
                <w:szCs w:val="18"/>
              </w:rPr>
              <w:t>69,094,100.41</w:t>
            </w:r>
          </w:p>
        </w:tc>
        <w:tc>
          <w:tcPr>
            <w:tcW w:w="1205" w:type="dxa"/>
            <w:tcBorders>
              <w:top w:val="single" w:color="auto" w:sz="2" w:space="0"/>
              <w:left w:val="single" w:color="auto" w:sz="2" w:space="0"/>
              <w:bottom w:val="single" w:color="auto" w:sz="2" w:space="0"/>
              <w:right w:val="single" w:color="auto" w:sz="2" w:space="0"/>
            </w:tcBorders>
            <w:vAlign w:val="center"/>
          </w:tcPr>
          <w:p w14:paraId="61CB283D">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D82E94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CC4A6EB">
            <w:pPr>
              <w:spacing w:line="240" w:lineRule="exact"/>
              <w:jc w:val="right"/>
              <w:rPr>
                <w:rFonts w:ascii="宋体" w:hAnsi="宋体" w:eastAsia="宋体" w:cs="宋体"/>
                <w:sz w:val="18"/>
                <w:szCs w:val="18"/>
              </w:rPr>
            </w:pPr>
            <w:r>
              <w:rPr>
                <w:rFonts w:ascii="宋体" w:hAnsi="宋体" w:eastAsia="宋体" w:cs="宋体"/>
                <w:sz w:val="18"/>
                <w:szCs w:val="18"/>
              </w:rPr>
              <w:t>6,666.66</w:t>
            </w:r>
          </w:p>
        </w:tc>
        <w:tc>
          <w:tcPr>
            <w:tcW w:w="1205" w:type="dxa"/>
            <w:tcBorders>
              <w:top w:val="single" w:color="auto" w:sz="2" w:space="0"/>
              <w:left w:val="single" w:color="auto" w:sz="2" w:space="0"/>
              <w:bottom w:val="single" w:color="auto" w:sz="2" w:space="0"/>
              <w:right w:val="single" w:color="auto" w:sz="2" w:space="0"/>
            </w:tcBorders>
            <w:vAlign w:val="center"/>
          </w:tcPr>
          <w:p w14:paraId="6342D548">
            <w:pPr>
              <w:spacing w:line="240" w:lineRule="exact"/>
              <w:jc w:val="right"/>
              <w:rPr>
                <w:rFonts w:ascii="宋体" w:hAnsi="宋体" w:eastAsia="宋体" w:cs="宋体"/>
                <w:sz w:val="18"/>
                <w:szCs w:val="18"/>
              </w:rPr>
            </w:pPr>
            <w:r>
              <w:rPr>
                <w:rFonts w:ascii="宋体" w:hAnsi="宋体" w:eastAsia="宋体" w:cs="宋体"/>
                <w:sz w:val="18"/>
                <w:szCs w:val="18"/>
              </w:rPr>
              <w:t>300,000.00</w:t>
            </w:r>
          </w:p>
        </w:tc>
        <w:tc>
          <w:tcPr>
            <w:tcW w:w="1205" w:type="dxa"/>
            <w:tcBorders>
              <w:top w:val="single" w:color="auto" w:sz="2" w:space="0"/>
              <w:left w:val="single" w:color="auto" w:sz="2" w:space="0"/>
              <w:bottom w:val="single" w:color="auto" w:sz="2" w:space="0"/>
              <w:right w:val="single" w:color="auto" w:sz="2" w:space="0"/>
            </w:tcBorders>
            <w:vAlign w:val="center"/>
          </w:tcPr>
          <w:p w14:paraId="35F9A724">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C3711E9">
            <w:pPr>
              <w:spacing w:line="240" w:lineRule="exact"/>
              <w:jc w:val="right"/>
              <w:rPr>
                <w:rFonts w:ascii="宋体" w:hAnsi="宋体" w:eastAsia="宋体" w:cs="宋体"/>
                <w:sz w:val="18"/>
                <w:szCs w:val="18"/>
              </w:rPr>
            </w:pPr>
            <w:r>
              <w:rPr>
                <w:rFonts w:ascii="宋体" w:hAnsi="宋体" w:eastAsia="宋体" w:cs="宋体"/>
                <w:sz w:val="18"/>
                <w:szCs w:val="18"/>
              </w:rPr>
              <w:t>69,400,767.07</w:t>
            </w:r>
          </w:p>
        </w:tc>
      </w:tr>
      <w:tr w14:paraId="16420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EC2932D">
            <w:pPr>
              <w:spacing w:line="240" w:lineRule="exac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8204E5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0A857C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C432D0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3AC74F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C614A8F">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F47F04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A2ECBC1">
            <w:pPr>
              <w:spacing w:line="240" w:lineRule="exact"/>
              <w:jc w:val="right"/>
              <w:rPr>
                <w:rFonts w:ascii="宋体" w:hAnsi="宋体" w:eastAsia="宋体" w:cs="宋体"/>
                <w:sz w:val="18"/>
                <w:szCs w:val="18"/>
              </w:rPr>
            </w:pPr>
          </w:p>
        </w:tc>
      </w:tr>
      <w:tr w14:paraId="16034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2BF4461">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4.期末余额</w:t>
            </w:r>
          </w:p>
        </w:tc>
        <w:tc>
          <w:tcPr>
            <w:tcW w:w="1205" w:type="dxa"/>
            <w:tcBorders>
              <w:top w:val="single" w:color="auto" w:sz="2" w:space="0"/>
              <w:left w:val="single" w:color="auto" w:sz="2" w:space="0"/>
              <w:bottom w:val="single" w:color="auto" w:sz="2" w:space="0"/>
              <w:right w:val="single" w:color="auto" w:sz="2" w:space="0"/>
            </w:tcBorders>
            <w:vAlign w:val="center"/>
          </w:tcPr>
          <w:p w14:paraId="0039415A">
            <w:pPr>
              <w:spacing w:line="240" w:lineRule="exact"/>
              <w:jc w:val="right"/>
              <w:rPr>
                <w:rFonts w:ascii="宋体" w:hAnsi="宋体" w:eastAsia="宋体" w:cs="宋体"/>
                <w:sz w:val="18"/>
                <w:szCs w:val="18"/>
              </w:rPr>
            </w:pPr>
            <w:r>
              <w:rPr>
                <w:rFonts w:ascii="宋体" w:hAnsi="宋体" w:eastAsia="宋体" w:cs="宋体"/>
                <w:sz w:val="18"/>
                <w:szCs w:val="18"/>
              </w:rPr>
              <w:t>998,273,146.15</w:t>
            </w:r>
          </w:p>
        </w:tc>
        <w:tc>
          <w:tcPr>
            <w:tcW w:w="1205" w:type="dxa"/>
            <w:tcBorders>
              <w:top w:val="single" w:color="auto" w:sz="2" w:space="0"/>
              <w:left w:val="single" w:color="auto" w:sz="2" w:space="0"/>
              <w:bottom w:val="single" w:color="auto" w:sz="2" w:space="0"/>
              <w:right w:val="single" w:color="auto" w:sz="2" w:space="0"/>
            </w:tcBorders>
            <w:vAlign w:val="center"/>
          </w:tcPr>
          <w:p w14:paraId="400FD358">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5A27C6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197D800">
            <w:pPr>
              <w:spacing w:line="240" w:lineRule="exact"/>
              <w:jc w:val="right"/>
              <w:rPr>
                <w:rFonts w:ascii="宋体" w:hAnsi="宋体" w:eastAsia="宋体" w:cs="宋体"/>
                <w:sz w:val="18"/>
                <w:szCs w:val="18"/>
              </w:rPr>
            </w:pPr>
            <w:r>
              <w:rPr>
                <w:rFonts w:ascii="宋体" w:hAnsi="宋体" w:eastAsia="宋体" w:cs="宋体"/>
                <w:sz w:val="18"/>
                <w:szCs w:val="18"/>
              </w:rPr>
              <w:t>36,405,255.05</w:t>
            </w:r>
          </w:p>
        </w:tc>
        <w:tc>
          <w:tcPr>
            <w:tcW w:w="1205" w:type="dxa"/>
            <w:tcBorders>
              <w:top w:val="single" w:color="auto" w:sz="2" w:space="0"/>
              <w:left w:val="single" w:color="auto" w:sz="2" w:space="0"/>
              <w:bottom w:val="single" w:color="auto" w:sz="2" w:space="0"/>
              <w:right w:val="single" w:color="auto" w:sz="2" w:space="0"/>
            </w:tcBorders>
            <w:vAlign w:val="center"/>
          </w:tcPr>
          <w:p w14:paraId="5ABB0C6B">
            <w:pPr>
              <w:spacing w:line="240" w:lineRule="exact"/>
              <w:jc w:val="right"/>
              <w:rPr>
                <w:rFonts w:ascii="宋体" w:hAnsi="宋体" w:eastAsia="宋体" w:cs="宋体"/>
                <w:sz w:val="18"/>
                <w:szCs w:val="18"/>
              </w:rPr>
            </w:pPr>
            <w:r>
              <w:rPr>
                <w:rFonts w:ascii="宋体" w:hAnsi="宋体" w:eastAsia="宋体" w:cs="宋体"/>
                <w:sz w:val="18"/>
                <w:szCs w:val="18"/>
              </w:rPr>
              <w:t>6,815,823.83</w:t>
            </w:r>
          </w:p>
        </w:tc>
        <w:tc>
          <w:tcPr>
            <w:tcW w:w="1205" w:type="dxa"/>
            <w:tcBorders>
              <w:top w:val="single" w:color="auto" w:sz="2" w:space="0"/>
              <w:left w:val="single" w:color="auto" w:sz="2" w:space="0"/>
              <w:bottom w:val="single" w:color="auto" w:sz="2" w:space="0"/>
              <w:right w:val="single" w:color="auto" w:sz="2" w:space="0"/>
            </w:tcBorders>
            <w:vAlign w:val="center"/>
          </w:tcPr>
          <w:p w14:paraId="54C85B61">
            <w:pPr>
              <w:spacing w:line="240" w:lineRule="exact"/>
              <w:jc w:val="right"/>
              <w:rPr>
                <w:rFonts w:ascii="宋体" w:hAnsi="宋体" w:eastAsia="宋体" w:cs="宋体"/>
                <w:sz w:val="18"/>
                <w:szCs w:val="18"/>
              </w:rPr>
            </w:pPr>
            <w:r>
              <w:rPr>
                <w:rFonts w:ascii="宋体" w:hAnsi="宋体" w:eastAsia="宋体" w:cs="宋体"/>
                <w:sz w:val="18"/>
                <w:szCs w:val="18"/>
              </w:rPr>
              <w:t>19,000,000.00</w:t>
            </w:r>
          </w:p>
        </w:tc>
        <w:tc>
          <w:tcPr>
            <w:tcW w:w="1205" w:type="dxa"/>
            <w:tcBorders>
              <w:top w:val="single" w:color="auto" w:sz="2" w:space="0"/>
              <w:left w:val="single" w:color="auto" w:sz="2" w:space="0"/>
              <w:bottom w:val="single" w:color="auto" w:sz="2" w:space="0"/>
              <w:right w:val="single" w:color="auto" w:sz="2" w:space="0"/>
            </w:tcBorders>
            <w:vAlign w:val="center"/>
          </w:tcPr>
          <w:p w14:paraId="563C844F">
            <w:pPr>
              <w:spacing w:line="240" w:lineRule="exact"/>
              <w:jc w:val="right"/>
              <w:rPr>
                <w:rFonts w:ascii="宋体" w:hAnsi="宋体" w:eastAsia="宋体" w:cs="宋体"/>
                <w:sz w:val="18"/>
                <w:szCs w:val="18"/>
              </w:rPr>
            </w:pPr>
            <w:r>
              <w:rPr>
                <w:rFonts w:ascii="宋体" w:hAnsi="宋体" w:eastAsia="宋体" w:cs="宋体"/>
                <w:sz w:val="18"/>
                <w:szCs w:val="18"/>
              </w:rPr>
              <w:t>1,060,494,225.03</w:t>
            </w:r>
          </w:p>
        </w:tc>
      </w:tr>
      <w:tr w14:paraId="1652D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43F08A4">
            <w:pPr>
              <w:spacing w:before="40" w:after="40" w:line="240" w:lineRule="exact"/>
              <w:rPr>
                <w:rFonts w:ascii="宋体" w:hAnsi="宋体" w:eastAsia="宋体" w:cs="宋体"/>
                <w:sz w:val="18"/>
                <w:szCs w:val="18"/>
              </w:rPr>
            </w:pPr>
            <w:r>
              <w:rPr>
                <w:rFonts w:ascii="宋体" w:hAnsi="宋体" w:eastAsia="宋体" w:cs="宋体"/>
                <w:sz w:val="18"/>
                <w:szCs w:val="18"/>
              </w:rPr>
              <w:t>二、累计摊销</w:t>
            </w:r>
          </w:p>
        </w:tc>
        <w:tc>
          <w:tcPr>
            <w:tcW w:w="1205" w:type="dxa"/>
            <w:tcBorders>
              <w:top w:val="single" w:color="auto" w:sz="2" w:space="0"/>
              <w:left w:val="single" w:color="auto" w:sz="2" w:space="0"/>
              <w:bottom w:val="single" w:color="auto" w:sz="2" w:space="0"/>
              <w:right w:val="single" w:color="auto" w:sz="2" w:space="0"/>
            </w:tcBorders>
            <w:vAlign w:val="center"/>
          </w:tcPr>
          <w:p w14:paraId="5C1247E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A15D73D">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7F7081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612C2D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211406E">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9BFFFC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9DF0934">
            <w:pPr>
              <w:spacing w:line="240" w:lineRule="exact"/>
              <w:jc w:val="right"/>
              <w:rPr>
                <w:rFonts w:ascii="宋体" w:hAnsi="宋体" w:eastAsia="宋体" w:cs="宋体"/>
                <w:sz w:val="18"/>
                <w:szCs w:val="18"/>
              </w:rPr>
            </w:pPr>
          </w:p>
        </w:tc>
      </w:tr>
      <w:tr w14:paraId="1081E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219A00D3">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1.期初余额</w:t>
            </w:r>
          </w:p>
        </w:tc>
        <w:tc>
          <w:tcPr>
            <w:tcW w:w="1205" w:type="dxa"/>
            <w:tcBorders>
              <w:top w:val="single" w:color="auto" w:sz="2" w:space="0"/>
              <w:left w:val="single" w:color="auto" w:sz="2" w:space="0"/>
              <w:bottom w:val="single" w:color="auto" w:sz="2" w:space="0"/>
              <w:right w:val="single" w:color="auto" w:sz="2" w:space="0"/>
            </w:tcBorders>
            <w:vAlign w:val="center"/>
          </w:tcPr>
          <w:p w14:paraId="019D5657">
            <w:pPr>
              <w:spacing w:line="240" w:lineRule="exact"/>
              <w:jc w:val="right"/>
              <w:rPr>
                <w:rFonts w:ascii="宋体" w:hAnsi="宋体" w:eastAsia="宋体" w:cs="宋体"/>
                <w:sz w:val="18"/>
                <w:szCs w:val="18"/>
              </w:rPr>
            </w:pPr>
            <w:r>
              <w:rPr>
                <w:rFonts w:ascii="宋体" w:hAnsi="宋体" w:eastAsia="宋体" w:cs="宋体"/>
                <w:sz w:val="18"/>
                <w:szCs w:val="18"/>
              </w:rPr>
              <w:t>212,721,971.04</w:t>
            </w:r>
          </w:p>
        </w:tc>
        <w:tc>
          <w:tcPr>
            <w:tcW w:w="1205" w:type="dxa"/>
            <w:tcBorders>
              <w:top w:val="single" w:color="auto" w:sz="2" w:space="0"/>
              <w:left w:val="single" w:color="auto" w:sz="2" w:space="0"/>
              <w:bottom w:val="single" w:color="auto" w:sz="2" w:space="0"/>
              <w:right w:val="single" w:color="auto" w:sz="2" w:space="0"/>
            </w:tcBorders>
            <w:vAlign w:val="center"/>
          </w:tcPr>
          <w:p w14:paraId="243E26E4">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3F5883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55FE3DB">
            <w:pPr>
              <w:spacing w:line="240" w:lineRule="exact"/>
              <w:jc w:val="right"/>
              <w:rPr>
                <w:rFonts w:ascii="宋体" w:hAnsi="宋体" w:eastAsia="宋体" w:cs="宋体"/>
                <w:sz w:val="18"/>
                <w:szCs w:val="18"/>
              </w:rPr>
            </w:pPr>
            <w:r>
              <w:rPr>
                <w:rFonts w:ascii="宋体" w:hAnsi="宋体" w:eastAsia="宋体" w:cs="宋体"/>
                <w:sz w:val="18"/>
                <w:szCs w:val="18"/>
              </w:rPr>
              <w:t>26,057,847.06</w:t>
            </w:r>
          </w:p>
        </w:tc>
        <w:tc>
          <w:tcPr>
            <w:tcW w:w="1205" w:type="dxa"/>
            <w:tcBorders>
              <w:top w:val="single" w:color="auto" w:sz="2" w:space="0"/>
              <w:left w:val="single" w:color="auto" w:sz="2" w:space="0"/>
              <w:bottom w:val="single" w:color="auto" w:sz="2" w:space="0"/>
              <w:right w:val="single" w:color="auto" w:sz="2" w:space="0"/>
            </w:tcBorders>
            <w:vAlign w:val="center"/>
          </w:tcPr>
          <w:p w14:paraId="5D6AEE90">
            <w:pPr>
              <w:spacing w:line="240" w:lineRule="exact"/>
              <w:jc w:val="right"/>
              <w:rPr>
                <w:rFonts w:ascii="宋体" w:hAnsi="宋体" w:eastAsia="宋体" w:cs="宋体"/>
                <w:sz w:val="18"/>
                <w:szCs w:val="18"/>
              </w:rPr>
            </w:pPr>
            <w:r>
              <w:rPr>
                <w:rFonts w:ascii="宋体" w:hAnsi="宋体" w:eastAsia="宋体" w:cs="宋体"/>
                <w:sz w:val="18"/>
                <w:szCs w:val="18"/>
              </w:rPr>
              <w:t>5,914,488.65</w:t>
            </w:r>
          </w:p>
        </w:tc>
        <w:tc>
          <w:tcPr>
            <w:tcW w:w="1205" w:type="dxa"/>
            <w:tcBorders>
              <w:top w:val="single" w:color="auto" w:sz="2" w:space="0"/>
              <w:left w:val="single" w:color="auto" w:sz="2" w:space="0"/>
              <w:bottom w:val="single" w:color="auto" w:sz="2" w:space="0"/>
              <w:right w:val="single" w:color="auto" w:sz="2" w:space="0"/>
            </w:tcBorders>
            <w:vAlign w:val="center"/>
          </w:tcPr>
          <w:p w14:paraId="7AB5F6F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1A0119D">
            <w:pPr>
              <w:spacing w:line="240" w:lineRule="exact"/>
              <w:jc w:val="right"/>
              <w:rPr>
                <w:rFonts w:ascii="宋体" w:hAnsi="宋体" w:eastAsia="宋体" w:cs="宋体"/>
                <w:sz w:val="18"/>
                <w:szCs w:val="18"/>
              </w:rPr>
            </w:pPr>
            <w:r>
              <w:rPr>
                <w:rFonts w:ascii="宋体" w:hAnsi="宋体" w:eastAsia="宋体" w:cs="宋体"/>
                <w:sz w:val="18"/>
                <w:szCs w:val="18"/>
              </w:rPr>
              <w:t>244,694,306.75</w:t>
            </w:r>
          </w:p>
        </w:tc>
      </w:tr>
      <w:tr w14:paraId="6F123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D234566">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2.本期增加金额</w:t>
            </w:r>
          </w:p>
        </w:tc>
        <w:tc>
          <w:tcPr>
            <w:tcW w:w="1205" w:type="dxa"/>
            <w:tcBorders>
              <w:top w:val="single" w:color="auto" w:sz="2" w:space="0"/>
              <w:left w:val="single" w:color="auto" w:sz="2" w:space="0"/>
              <w:bottom w:val="single" w:color="auto" w:sz="2" w:space="0"/>
              <w:right w:val="single" w:color="auto" w:sz="2" w:space="0"/>
            </w:tcBorders>
            <w:vAlign w:val="center"/>
          </w:tcPr>
          <w:p w14:paraId="6BAE16C8">
            <w:pPr>
              <w:spacing w:line="240" w:lineRule="exact"/>
              <w:jc w:val="right"/>
              <w:rPr>
                <w:rFonts w:ascii="宋体" w:hAnsi="宋体" w:eastAsia="宋体" w:cs="宋体"/>
                <w:sz w:val="18"/>
                <w:szCs w:val="18"/>
              </w:rPr>
            </w:pPr>
            <w:r>
              <w:rPr>
                <w:rFonts w:ascii="宋体" w:hAnsi="宋体" w:eastAsia="宋体" w:cs="宋体"/>
                <w:sz w:val="18"/>
                <w:szCs w:val="18"/>
              </w:rPr>
              <w:t>15,875,501.74</w:t>
            </w:r>
          </w:p>
        </w:tc>
        <w:tc>
          <w:tcPr>
            <w:tcW w:w="1205" w:type="dxa"/>
            <w:tcBorders>
              <w:top w:val="single" w:color="auto" w:sz="2" w:space="0"/>
              <w:left w:val="single" w:color="auto" w:sz="2" w:space="0"/>
              <w:bottom w:val="single" w:color="auto" w:sz="2" w:space="0"/>
              <w:right w:val="single" w:color="auto" w:sz="2" w:space="0"/>
            </w:tcBorders>
            <w:vAlign w:val="center"/>
          </w:tcPr>
          <w:p w14:paraId="397344F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40871C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C3E57CC">
            <w:pPr>
              <w:spacing w:line="240" w:lineRule="exact"/>
              <w:jc w:val="right"/>
              <w:rPr>
                <w:rFonts w:ascii="宋体" w:hAnsi="宋体" w:eastAsia="宋体" w:cs="宋体"/>
                <w:sz w:val="18"/>
                <w:szCs w:val="18"/>
              </w:rPr>
            </w:pPr>
            <w:r>
              <w:rPr>
                <w:rFonts w:ascii="宋体" w:hAnsi="宋体" w:eastAsia="宋体" w:cs="宋体"/>
                <w:sz w:val="18"/>
                <w:szCs w:val="18"/>
              </w:rPr>
              <w:t>2,175,689.51</w:t>
            </w:r>
          </w:p>
        </w:tc>
        <w:tc>
          <w:tcPr>
            <w:tcW w:w="1205" w:type="dxa"/>
            <w:tcBorders>
              <w:top w:val="single" w:color="auto" w:sz="2" w:space="0"/>
              <w:left w:val="single" w:color="auto" w:sz="2" w:space="0"/>
              <w:bottom w:val="single" w:color="auto" w:sz="2" w:space="0"/>
              <w:right w:val="single" w:color="auto" w:sz="2" w:space="0"/>
            </w:tcBorders>
            <w:vAlign w:val="center"/>
          </w:tcPr>
          <w:p w14:paraId="289D5A69">
            <w:pPr>
              <w:spacing w:line="240" w:lineRule="exact"/>
              <w:jc w:val="right"/>
              <w:rPr>
                <w:rFonts w:ascii="宋体" w:hAnsi="宋体" w:eastAsia="宋体" w:cs="宋体"/>
                <w:sz w:val="18"/>
                <w:szCs w:val="18"/>
              </w:rPr>
            </w:pPr>
            <w:r>
              <w:rPr>
                <w:rFonts w:ascii="宋体" w:hAnsi="宋体" w:eastAsia="宋体" w:cs="宋体"/>
                <w:sz w:val="18"/>
                <w:szCs w:val="18"/>
              </w:rPr>
              <w:t>297,584.06</w:t>
            </w:r>
          </w:p>
        </w:tc>
        <w:tc>
          <w:tcPr>
            <w:tcW w:w="1205" w:type="dxa"/>
            <w:tcBorders>
              <w:top w:val="single" w:color="auto" w:sz="2" w:space="0"/>
              <w:left w:val="single" w:color="auto" w:sz="2" w:space="0"/>
              <w:bottom w:val="single" w:color="auto" w:sz="2" w:space="0"/>
              <w:right w:val="single" w:color="auto" w:sz="2" w:space="0"/>
            </w:tcBorders>
            <w:vAlign w:val="center"/>
          </w:tcPr>
          <w:p w14:paraId="6A0F094A">
            <w:pPr>
              <w:spacing w:line="240" w:lineRule="exact"/>
              <w:jc w:val="right"/>
              <w:rPr>
                <w:rFonts w:ascii="宋体" w:hAnsi="宋体" w:eastAsia="宋体" w:cs="宋体"/>
                <w:sz w:val="18"/>
                <w:szCs w:val="18"/>
              </w:rPr>
            </w:pPr>
            <w:r>
              <w:rPr>
                <w:rFonts w:ascii="宋体" w:hAnsi="宋体" w:eastAsia="宋体" w:cs="宋体"/>
                <w:sz w:val="18"/>
                <w:szCs w:val="18"/>
              </w:rPr>
              <w:t>3,166,666.67</w:t>
            </w:r>
          </w:p>
        </w:tc>
        <w:tc>
          <w:tcPr>
            <w:tcW w:w="1205" w:type="dxa"/>
            <w:tcBorders>
              <w:top w:val="single" w:color="auto" w:sz="2" w:space="0"/>
              <w:left w:val="single" w:color="auto" w:sz="2" w:space="0"/>
              <w:bottom w:val="single" w:color="auto" w:sz="2" w:space="0"/>
              <w:right w:val="single" w:color="auto" w:sz="2" w:space="0"/>
            </w:tcBorders>
            <w:vAlign w:val="center"/>
          </w:tcPr>
          <w:p w14:paraId="33297959">
            <w:pPr>
              <w:spacing w:line="240" w:lineRule="exact"/>
              <w:jc w:val="right"/>
              <w:rPr>
                <w:rFonts w:ascii="宋体" w:hAnsi="宋体" w:eastAsia="宋体" w:cs="宋体"/>
                <w:sz w:val="18"/>
                <w:szCs w:val="18"/>
              </w:rPr>
            </w:pPr>
            <w:r>
              <w:rPr>
                <w:rFonts w:ascii="宋体" w:hAnsi="宋体" w:eastAsia="宋体" w:cs="宋体"/>
                <w:sz w:val="18"/>
                <w:szCs w:val="18"/>
              </w:rPr>
              <w:t>21,515,441.98</w:t>
            </w:r>
          </w:p>
        </w:tc>
      </w:tr>
      <w:tr w14:paraId="7C95F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34FE887">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（1）计提</w:t>
            </w:r>
          </w:p>
        </w:tc>
        <w:tc>
          <w:tcPr>
            <w:tcW w:w="1205" w:type="dxa"/>
            <w:tcBorders>
              <w:top w:val="single" w:color="auto" w:sz="2" w:space="0"/>
              <w:left w:val="single" w:color="auto" w:sz="2" w:space="0"/>
              <w:bottom w:val="single" w:color="auto" w:sz="2" w:space="0"/>
              <w:right w:val="single" w:color="auto" w:sz="2" w:space="0"/>
            </w:tcBorders>
            <w:vAlign w:val="center"/>
          </w:tcPr>
          <w:p w14:paraId="66E6D887">
            <w:pPr>
              <w:spacing w:line="240" w:lineRule="exact"/>
              <w:jc w:val="right"/>
              <w:rPr>
                <w:rFonts w:ascii="宋体" w:hAnsi="宋体" w:eastAsia="宋体" w:cs="宋体"/>
                <w:sz w:val="18"/>
                <w:szCs w:val="18"/>
              </w:rPr>
            </w:pPr>
            <w:r>
              <w:rPr>
                <w:rFonts w:ascii="宋体" w:hAnsi="宋体" w:eastAsia="宋体" w:cs="宋体"/>
                <w:sz w:val="18"/>
                <w:szCs w:val="18"/>
              </w:rPr>
              <w:t>18,098,939.98</w:t>
            </w:r>
          </w:p>
        </w:tc>
        <w:tc>
          <w:tcPr>
            <w:tcW w:w="1205" w:type="dxa"/>
            <w:tcBorders>
              <w:top w:val="single" w:color="auto" w:sz="2" w:space="0"/>
              <w:left w:val="single" w:color="auto" w:sz="2" w:space="0"/>
              <w:bottom w:val="single" w:color="auto" w:sz="2" w:space="0"/>
              <w:right w:val="single" w:color="auto" w:sz="2" w:space="0"/>
            </w:tcBorders>
            <w:vAlign w:val="center"/>
          </w:tcPr>
          <w:p w14:paraId="2ED584C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1BEB6A8">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7E7DE76">
            <w:pPr>
              <w:spacing w:line="240" w:lineRule="exact"/>
              <w:jc w:val="right"/>
              <w:rPr>
                <w:rFonts w:ascii="宋体" w:hAnsi="宋体" w:eastAsia="宋体" w:cs="宋体"/>
                <w:sz w:val="18"/>
                <w:szCs w:val="18"/>
              </w:rPr>
            </w:pPr>
            <w:r>
              <w:rPr>
                <w:rFonts w:ascii="宋体" w:hAnsi="宋体" w:eastAsia="宋体" w:cs="宋体"/>
                <w:sz w:val="18"/>
                <w:szCs w:val="18"/>
              </w:rPr>
              <w:t>2,175,689.51</w:t>
            </w:r>
          </w:p>
        </w:tc>
        <w:tc>
          <w:tcPr>
            <w:tcW w:w="1205" w:type="dxa"/>
            <w:tcBorders>
              <w:top w:val="single" w:color="auto" w:sz="2" w:space="0"/>
              <w:left w:val="single" w:color="auto" w:sz="2" w:space="0"/>
              <w:bottom w:val="single" w:color="auto" w:sz="2" w:space="0"/>
              <w:right w:val="single" w:color="auto" w:sz="2" w:space="0"/>
            </w:tcBorders>
            <w:vAlign w:val="center"/>
          </w:tcPr>
          <w:p w14:paraId="325F6EA7">
            <w:pPr>
              <w:spacing w:line="240" w:lineRule="exact"/>
              <w:jc w:val="right"/>
              <w:rPr>
                <w:rFonts w:ascii="宋体" w:hAnsi="宋体" w:eastAsia="宋体" w:cs="宋体"/>
                <w:sz w:val="18"/>
                <w:szCs w:val="18"/>
              </w:rPr>
            </w:pPr>
            <w:r>
              <w:rPr>
                <w:rFonts w:ascii="宋体" w:hAnsi="宋体" w:eastAsia="宋体" w:cs="宋体"/>
                <w:sz w:val="18"/>
                <w:szCs w:val="18"/>
              </w:rPr>
              <w:t>297,584.06</w:t>
            </w:r>
          </w:p>
        </w:tc>
        <w:tc>
          <w:tcPr>
            <w:tcW w:w="1205" w:type="dxa"/>
            <w:tcBorders>
              <w:top w:val="single" w:color="auto" w:sz="2" w:space="0"/>
              <w:left w:val="single" w:color="auto" w:sz="2" w:space="0"/>
              <w:bottom w:val="single" w:color="auto" w:sz="2" w:space="0"/>
              <w:right w:val="single" w:color="auto" w:sz="2" w:space="0"/>
            </w:tcBorders>
            <w:vAlign w:val="center"/>
          </w:tcPr>
          <w:p w14:paraId="1F0F6863">
            <w:pPr>
              <w:spacing w:line="240" w:lineRule="exact"/>
              <w:jc w:val="right"/>
              <w:rPr>
                <w:rFonts w:ascii="宋体" w:hAnsi="宋体" w:eastAsia="宋体" w:cs="宋体"/>
                <w:sz w:val="18"/>
                <w:szCs w:val="18"/>
              </w:rPr>
            </w:pPr>
            <w:r>
              <w:rPr>
                <w:rFonts w:ascii="宋体" w:hAnsi="宋体" w:eastAsia="宋体" w:cs="宋体"/>
                <w:sz w:val="18"/>
                <w:szCs w:val="18"/>
              </w:rPr>
              <w:t>3,166,666.67</w:t>
            </w:r>
          </w:p>
        </w:tc>
        <w:tc>
          <w:tcPr>
            <w:tcW w:w="1205" w:type="dxa"/>
            <w:tcBorders>
              <w:top w:val="single" w:color="auto" w:sz="2" w:space="0"/>
              <w:left w:val="single" w:color="auto" w:sz="2" w:space="0"/>
              <w:bottom w:val="single" w:color="auto" w:sz="2" w:space="0"/>
              <w:right w:val="single" w:color="auto" w:sz="2" w:space="0"/>
            </w:tcBorders>
            <w:vAlign w:val="center"/>
          </w:tcPr>
          <w:p w14:paraId="7E5AD089">
            <w:pPr>
              <w:spacing w:line="240" w:lineRule="exact"/>
              <w:jc w:val="right"/>
              <w:rPr>
                <w:rFonts w:ascii="宋体" w:hAnsi="宋体" w:eastAsia="宋体" w:cs="宋体"/>
                <w:sz w:val="18"/>
                <w:szCs w:val="18"/>
              </w:rPr>
            </w:pPr>
            <w:r>
              <w:rPr>
                <w:rFonts w:ascii="宋体" w:hAnsi="宋体" w:eastAsia="宋体" w:cs="宋体"/>
                <w:sz w:val="18"/>
                <w:szCs w:val="18"/>
              </w:rPr>
              <w:t>23,738,880.22</w:t>
            </w:r>
          </w:p>
        </w:tc>
      </w:tr>
      <w:tr w14:paraId="0FAA0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60452DD">
            <w:pPr>
              <w:spacing w:line="240" w:lineRule="exact"/>
              <w:rPr>
                <w:rFonts w:ascii="宋体" w:hAnsi="宋体" w:eastAsia="宋体" w:cs="宋体"/>
                <w:sz w:val="18"/>
                <w:szCs w:val="18"/>
              </w:rPr>
            </w:pPr>
            <w:r>
              <w:rPr>
                <w:rFonts w:ascii="宋体" w:hAnsi="宋体" w:eastAsia="宋体" w:cs="宋体"/>
                <w:sz w:val="18"/>
                <w:szCs w:val="18"/>
              </w:rPr>
              <w:t>外币报表折算差额</w:t>
            </w:r>
          </w:p>
        </w:tc>
        <w:tc>
          <w:tcPr>
            <w:tcW w:w="1205" w:type="dxa"/>
            <w:tcBorders>
              <w:top w:val="single" w:color="auto" w:sz="2" w:space="0"/>
              <w:left w:val="single" w:color="auto" w:sz="2" w:space="0"/>
              <w:bottom w:val="single" w:color="auto" w:sz="2" w:space="0"/>
              <w:right w:val="single" w:color="auto" w:sz="2" w:space="0"/>
            </w:tcBorders>
            <w:vAlign w:val="center"/>
          </w:tcPr>
          <w:p w14:paraId="370E5C55">
            <w:pPr>
              <w:spacing w:line="240" w:lineRule="exact"/>
              <w:jc w:val="right"/>
              <w:rPr>
                <w:rFonts w:ascii="宋体" w:hAnsi="宋体" w:eastAsia="宋体" w:cs="宋体"/>
                <w:sz w:val="18"/>
                <w:szCs w:val="18"/>
              </w:rPr>
            </w:pPr>
            <w:r>
              <w:rPr>
                <w:rFonts w:ascii="宋体" w:hAnsi="宋体" w:eastAsia="宋体" w:cs="宋体"/>
                <w:sz w:val="18"/>
                <w:szCs w:val="18"/>
              </w:rPr>
              <w:t>-2,223,438.24</w:t>
            </w:r>
          </w:p>
        </w:tc>
        <w:tc>
          <w:tcPr>
            <w:tcW w:w="1205" w:type="dxa"/>
            <w:tcBorders>
              <w:top w:val="single" w:color="auto" w:sz="2" w:space="0"/>
              <w:left w:val="single" w:color="auto" w:sz="2" w:space="0"/>
              <w:bottom w:val="single" w:color="auto" w:sz="2" w:space="0"/>
              <w:right w:val="single" w:color="auto" w:sz="2" w:space="0"/>
            </w:tcBorders>
            <w:vAlign w:val="center"/>
          </w:tcPr>
          <w:p w14:paraId="161613E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162351D">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48596DA">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E42303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389147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E568398">
            <w:pPr>
              <w:spacing w:line="240" w:lineRule="exact"/>
              <w:jc w:val="right"/>
              <w:rPr>
                <w:rFonts w:ascii="宋体" w:hAnsi="宋体" w:eastAsia="宋体" w:cs="宋体"/>
                <w:sz w:val="18"/>
                <w:szCs w:val="18"/>
              </w:rPr>
            </w:pPr>
            <w:r>
              <w:rPr>
                <w:rFonts w:ascii="宋体" w:hAnsi="宋体" w:eastAsia="宋体" w:cs="宋体"/>
                <w:sz w:val="18"/>
                <w:szCs w:val="18"/>
              </w:rPr>
              <w:t>-2,223,438.24</w:t>
            </w:r>
          </w:p>
        </w:tc>
      </w:tr>
      <w:tr w14:paraId="57D47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68F0233">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3.本期减少金额</w:t>
            </w:r>
          </w:p>
        </w:tc>
        <w:tc>
          <w:tcPr>
            <w:tcW w:w="1205" w:type="dxa"/>
            <w:tcBorders>
              <w:top w:val="single" w:color="auto" w:sz="2" w:space="0"/>
              <w:left w:val="single" w:color="auto" w:sz="2" w:space="0"/>
              <w:bottom w:val="single" w:color="auto" w:sz="2" w:space="0"/>
              <w:right w:val="single" w:color="auto" w:sz="2" w:space="0"/>
            </w:tcBorders>
            <w:vAlign w:val="center"/>
          </w:tcPr>
          <w:p w14:paraId="79D4B5CA">
            <w:pPr>
              <w:spacing w:line="240" w:lineRule="exact"/>
              <w:jc w:val="right"/>
              <w:rPr>
                <w:rFonts w:ascii="宋体" w:hAnsi="宋体" w:eastAsia="宋体" w:cs="宋体"/>
                <w:sz w:val="18"/>
                <w:szCs w:val="18"/>
              </w:rPr>
            </w:pPr>
            <w:r>
              <w:rPr>
                <w:rFonts w:ascii="宋体" w:hAnsi="宋体" w:eastAsia="宋体" w:cs="宋体"/>
                <w:sz w:val="18"/>
                <w:szCs w:val="18"/>
              </w:rPr>
              <w:t>11,134,594.81</w:t>
            </w:r>
          </w:p>
        </w:tc>
        <w:tc>
          <w:tcPr>
            <w:tcW w:w="1205" w:type="dxa"/>
            <w:tcBorders>
              <w:top w:val="single" w:color="auto" w:sz="2" w:space="0"/>
              <w:left w:val="single" w:color="auto" w:sz="2" w:space="0"/>
              <w:bottom w:val="single" w:color="auto" w:sz="2" w:space="0"/>
              <w:right w:val="single" w:color="auto" w:sz="2" w:space="0"/>
            </w:tcBorders>
            <w:vAlign w:val="center"/>
          </w:tcPr>
          <w:p w14:paraId="52D8B0D1">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E8DE53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CE64F74">
            <w:pPr>
              <w:spacing w:line="240" w:lineRule="exact"/>
              <w:jc w:val="right"/>
              <w:rPr>
                <w:rFonts w:ascii="宋体" w:hAnsi="宋体" w:eastAsia="宋体" w:cs="宋体"/>
                <w:sz w:val="18"/>
                <w:szCs w:val="18"/>
              </w:rPr>
            </w:pPr>
            <w:r>
              <w:rPr>
                <w:rFonts w:ascii="宋体" w:hAnsi="宋体" w:eastAsia="宋体" w:cs="宋体"/>
                <w:sz w:val="18"/>
                <w:szCs w:val="18"/>
              </w:rPr>
              <w:t>6,666.66</w:t>
            </w:r>
          </w:p>
        </w:tc>
        <w:tc>
          <w:tcPr>
            <w:tcW w:w="1205" w:type="dxa"/>
            <w:tcBorders>
              <w:top w:val="single" w:color="auto" w:sz="2" w:space="0"/>
              <w:left w:val="single" w:color="auto" w:sz="2" w:space="0"/>
              <w:bottom w:val="single" w:color="auto" w:sz="2" w:space="0"/>
              <w:right w:val="single" w:color="auto" w:sz="2" w:space="0"/>
            </w:tcBorders>
            <w:vAlign w:val="center"/>
          </w:tcPr>
          <w:p w14:paraId="4C13536A">
            <w:pPr>
              <w:spacing w:line="240" w:lineRule="exact"/>
              <w:jc w:val="right"/>
              <w:rPr>
                <w:rFonts w:ascii="宋体" w:hAnsi="宋体" w:eastAsia="宋体" w:cs="宋体"/>
                <w:sz w:val="18"/>
                <w:szCs w:val="18"/>
              </w:rPr>
            </w:pPr>
            <w:r>
              <w:rPr>
                <w:rFonts w:ascii="宋体" w:hAnsi="宋体" w:eastAsia="宋体" w:cs="宋体"/>
                <w:sz w:val="18"/>
                <w:szCs w:val="18"/>
              </w:rPr>
              <w:t>300,000.00</w:t>
            </w:r>
          </w:p>
        </w:tc>
        <w:tc>
          <w:tcPr>
            <w:tcW w:w="1205" w:type="dxa"/>
            <w:tcBorders>
              <w:top w:val="single" w:color="auto" w:sz="2" w:space="0"/>
              <w:left w:val="single" w:color="auto" w:sz="2" w:space="0"/>
              <w:bottom w:val="single" w:color="auto" w:sz="2" w:space="0"/>
              <w:right w:val="single" w:color="auto" w:sz="2" w:space="0"/>
            </w:tcBorders>
            <w:vAlign w:val="center"/>
          </w:tcPr>
          <w:p w14:paraId="0BD45DCE">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9977601">
            <w:pPr>
              <w:spacing w:line="240" w:lineRule="exact"/>
              <w:jc w:val="right"/>
              <w:rPr>
                <w:rFonts w:ascii="宋体" w:hAnsi="宋体" w:eastAsia="宋体" w:cs="宋体"/>
                <w:sz w:val="18"/>
                <w:szCs w:val="18"/>
              </w:rPr>
            </w:pPr>
            <w:r>
              <w:rPr>
                <w:rFonts w:ascii="宋体" w:hAnsi="宋体" w:eastAsia="宋体" w:cs="宋体"/>
                <w:sz w:val="18"/>
                <w:szCs w:val="18"/>
              </w:rPr>
              <w:t>11,441,261.47</w:t>
            </w:r>
          </w:p>
        </w:tc>
      </w:tr>
      <w:tr w14:paraId="44281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D08193F">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（1）处置</w:t>
            </w:r>
          </w:p>
        </w:tc>
        <w:tc>
          <w:tcPr>
            <w:tcW w:w="1205" w:type="dxa"/>
            <w:tcBorders>
              <w:top w:val="single" w:color="auto" w:sz="2" w:space="0"/>
              <w:left w:val="single" w:color="auto" w:sz="2" w:space="0"/>
              <w:bottom w:val="single" w:color="auto" w:sz="2" w:space="0"/>
              <w:right w:val="single" w:color="auto" w:sz="2" w:space="0"/>
            </w:tcBorders>
            <w:vAlign w:val="center"/>
          </w:tcPr>
          <w:p w14:paraId="49C3B9CA">
            <w:pPr>
              <w:spacing w:line="240" w:lineRule="exact"/>
              <w:jc w:val="right"/>
              <w:rPr>
                <w:rFonts w:ascii="宋体" w:hAnsi="宋体" w:eastAsia="宋体" w:cs="宋体"/>
                <w:sz w:val="18"/>
                <w:szCs w:val="18"/>
              </w:rPr>
            </w:pPr>
            <w:r>
              <w:rPr>
                <w:rFonts w:ascii="宋体" w:hAnsi="宋体" w:eastAsia="宋体" w:cs="宋体"/>
                <w:sz w:val="18"/>
                <w:szCs w:val="18"/>
              </w:rPr>
              <w:t>11,134,594.81</w:t>
            </w:r>
          </w:p>
        </w:tc>
        <w:tc>
          <w:tcPr>
            <w:tcW w:w="1205" w:type="dxa"/>
            <w:tcBorders>
              <w:top w:val="single" w:color="auto" w:sz="2" w:space="0"/>
              <w:left w:val="single" w:color="auto" w:sz="2" w:space="0"/>
              <w:bottom w:val="single" w:color="auto" w:sz="2" w:space="0"/>
              <w:right w:val="single" w:color="auto" w:sz="2" w:space="0"/>
            </w:tcBorders>
            <w:vAlign w:val="center"/>
          </w:tcPr>
          <w:p w14:paraId="566336DA">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C0D840F">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4C153A0">
            <w:pPr>
              <w:spacing w:line="240" w:lineRule="exact"/>
              <w:jc w:val="right"/>
              <w:rPr>
                <w:rFonts w:ascii="宋体" w:hAnsi="宋体" w:eastAsia="宋体" w:cs="宋体"/>
                <w:sz w:val="18"/>
                <w:szCs w:val="18"/>
              </w:rPr>
            </w:pPr>
            <w:r>
              <w:rPr>
                <w:rFonts w:ascii="宋体" w:hAnsi="宋体" w:eastAsia="宋体" w:cs="宋体"/>
                <w:sz w:val="18"/>
                <w:szCs w:val="18"/>
              </w:rPr>
              <w:t>6,666.66</w:t>
            </w:r>
          </w:p>
        </w:tc>
        <w:tc>
          <w:tcPr>
            <w:tcW w:w="1205" w:type="dxa"/>
            <w:tcBorders>
              <w:top w:val="single" w:color="auto" w:sz="2" w:space="0"/>
              <w:left w:val="single" w:color="auto" w:sz="2" w:space="0"/>
              <w:bottom w:val="single" w:color="auto" w:sz="2" w:space="0"/>
              <w:right w:val="single" w:color="auto" w:sz="2" w:space="0"/>
            </w:tcBorders>
            <w:vAlign w:val="center"/>
          </w:tcPr>
          <w:p w14:paraId="408099D9">
            <w:pPr>
              <w:spacing w:line="240" w:lineRule="exact"/>
              <w:jc w:val="right"/>
              <w:rPr>
                <w:rFonts w:ascii="宋体" w:hAnsi="宋体" w:eastAsia="宋体" w:cs="宋体"/>
                <w:sz w:val="18"/>
                <w:szCs w:val="18"/>
              </w:rPr>
            </w:pPr>
            <w:r>
              <w:rPr>
                <w:rFonts w:ascii="宋体" w:hAnsi="宋体" w:eastAsia="宋体" w:cs="宋体"/>
                <w:sz w:val="18"/>
                <w:szCs w:val="18"/>
              </w:rPr>
              <w:t>300,000.00</w:t>
            </w:r>
          </w:p>
        </w:tc>
        <w:tc>
          <w:tcPr>
            <w:tcW w:w="1205" w:type="dxa"/>
            <w:tcBorders>
              <w:top w:val="single" w:color="auto" w:sz="2" w:space="0"/>
              <w:left w:val="single" w:color="auto" w:sz="2" w:space="0"/>
              <w:bottom w:val="single" w:color="auto" w:sz="2" w:space="0"/>
              <w:right w:val="single" w:color="auto" w:sz="2" w:space="0"/>
            </w:tcBorders>
            <w:vAlign w:val="center"/>
          </w:tcPr>
          <w:p w14:paraId="1A2DA35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5A9D255">
            <w:pPr>
              <w:spacing w:line="240" w:lineRule="exact"/>
              <w:jc w:val="right"/>
              <w:rPr>
                <w:rFonts w:ascii="宋体" w:hAnsi="宋体" w:eastAsia="宋体" w:cs="宋体"/>
                <w:sz w:val="18"/>
                <w:szCs w:val="18"/>
              </w:rPr>
            </w:pPr>
            <w:r>
              <w:rPr>
                <w:rFonts w:ascii="宋体" w:hAnsi="宋体" w:eastAsia="宋体" w:cs="宋体"/>
                <w:sz w:val="18"/>
                <w:szCs w:val="18"/>
              </w:rPr>
              <w:t>11,441,261.47</w:t>
            </w:r>
          </w:p>
        </w:tc>
      </w:tr>
      <w:tr w14:paraId="2341F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1215EAC">
            <w:pPr>
              <w:spacing w:line="240" w:lineRule="exac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9F0E58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D46188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08E659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422E1C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D3BBC1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726023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F1F411A">
            <w:pPr>
              <w:spacing w:line="240" w:lineRule="exact"/>
              <w:jc w:val="right"/>
              <w:rPr>
                <w:rFonts w:ascii="宋体" w:hAnsi="宋体" w:eastAsia="宋体" w:cs="宋体"/>
                <w:sz w:val="18"/>
                <w:szCs w:val="18"/>
              </w:rPr>
            </w:pPr>
          </w:p>
        </w:tc>
      </w:tr>
      <w:tr w14:paraId="7B98B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20771DE">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4.期末余额</w:t>
            </w:r>
          </w:p>
        </w:tc>
        <w:tc>
          <w:tcPr>
            <w:tcW w:w="1205" w:type="dxa"/>
            <w:tcBorders>
              <w:top w:val="single" w:color="auto" w:sz="2" w:space="0"/>
              <w:left w:val="single" w:color="auto" w:sz="2" w:space="0"/>
              <w:bottom w:val="single" w:color="auto" w:sz="2" w:space="0"/>
              <w:right w:val="single" w:color="auto" w:sz="2" w:space="0"/>
            </w:tcBorders>
            <w:vAlign w:val="center"/>
          </w:tcPr>
          <w:p w14:paraId="569BA70B">
            <w:pPr>
              <w:spacing w:line="240" w:lineRule="exact"/>
              <w:jc w:val="right"/>
              <w:rPr>
                <w:rFonts w:ascii="宋体" w:hAnsi="宋体" w:eastAsia="宋体" w:cs="宋体"/>
                <w:sz w:val="18"/>
                <w:szCs w:val="18"/>
              </w:rPr>
            </w:pPr>
            <w:r>
              <w:rPr>
                <w:rFonts w:ascii="宋体" w:hAnsi="宋体" w:eastAsia="宋体" w:cs="宋体"/>
                <w:sz w:val="18"/>
                <w:szCs w:val="18"/>
              </w:rPr>
              <w:t>217,462,877.97</w:t>
            </w:r>
          </w:p>
        </w:tc>
        <w:tc>
          <w:tcPr>
            <w:tcW w:w="1205" w:type="dxa"/>
            <w:tcBorders>
              <w:top w:val="single" w:color="auto" w:sz="2" w:space="0"/>
              <w:left w:val="single" w:color="auto" w:sz="2" w:space="0"/>
              <w:bottom w:val="single" w:color="auto" w:sz="2" w:space="0"/>
              <w:right w:val="single" w:color="auto" w:sz="2" w:space="0"/>
            </w:tcBorders>
            <w:vAlign w:val="center"/>
          </w:tcPr>
          <w:p w14:paraId="38463C2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47D039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F37B211">
            <w:pPr>
              <w:spacing w:line="240" w:lineRule="exact"/>
              <w:jc w:val="right"/>
              <w:rPr>
                <w:rFonts w:ascii="宋体" w:hAnsi="宋体" w:eastAsia="宋体" w:cs="宋体"/>
                <w:sz w:val="18"/>
                <w:szCs w:val="18"/>
              </w:rPr>
            </w:pPr>
            <w:r>
              <w:rPr>
                <w:rFonts w:ascii="宋体" w:hAnsi="宋体" w:eastAsia="宋体" w:cs="宋体"/>
                <w:sz w:val="18"/>
                <w:szCs w:val="18"/>
              </w:rPr>
              <w:t>28,226,869.91</w:t>
            </w:r>
          </w:p>
        </w:tc>
        <w:tc>
          <w:tcPr>
            <w:tcW w:w="1205" w:type="dxa"/>
            <w:tcBorders>
              <w:top w:val="single" w:color="auto" w:sz="2" w:space="0"/>
              <w:left w:val="single" w:color="auto" w:sz="2" w:space="0"/>
              <w:bottom w:val="single" w:color="auto" w:sz="2" w:space="0"/>
              <w:right w:val="single" w:color="auto" w:sz="2" w:space="0"/>
            </w:tcBorders>
            <w:vAlign w:val="center"/>
          </w:tcPr>
          <w:p w14:paraId="14DA905B">
            <w:pPr>
              <w:spacing w:line="240" w:lineRule="exact"/>
              <w:jc w:val="right"/>
              <w:rPr>
                <w:rFonts w:ascii="宋体" w:hAnsi="宋体" w:eastAsia="宋体" w:cs="宋体"/>
                <w:sz w:val="18"/>
                <w:szCs w:val="18"/>
              </w:rPr>
            </w:pPr>
            <w:r>
              <w:rPr>
                <w:rFonts w:ascii="宋体" w:hAnsi="宋体" w:eastAsia="宋体" w:cs="宋体"/>
                <w:sz w:val="18"/>
                <w:szCs w:val="18"/>
              </w:rPr>
              <w:t>5,912,072.71</w:t>
            </w:r>
          </w:p>
        </w:tc>
        <w:tc>
          <w:tcPr>
            <w:tcW w:w="1205" w:type="dxa"/>
            <w:tcBorders>
              <w:top w:val="single" w:color="auto" w:sz="2" w:space="0"/>
              <w:left w:val="single" w:color="auto" w:sz="2" w:space="0"/>
              <w:bottom w:val="single" w:color="auto" w:sz="2" w:space="0"/>
              <w:right w:val="single" w:color="auto" w:sz="2" w:space="0"/>
            </w:tcBorders>
            <w:vAlign w:val="center"/>
          </w:tcPr>
          <w:p w14:paraId="1DA04212">
            <w:pPr>
              <w:spacing w:line="240" w:lineRule="exact"/>
              <w:jc w:val="right"/>
              <w:rPr>
                <w:rFonts w:ascii="宋体" w:hAnsi="宋体" w:eastAsia="宋体" w:cs="宋体"/>
                <w:sz w:val="18"/>
                <w:szCs w:val="18"/>
              </w:rPr>
            </w:pPr>
            <w:r>
              <w:rPr>
                <w:rFonts w:ascii="宋体" w:hAnsi="宋体" w:eastAsia="宋体" w:cs="宋体"/>
                <w:sz w:val="18"/>
                <w:szCs w:val="18"/>
              </w:rPr>
              <w:t>3,166,666.67</w:t>
            </w:r>
          </w:p>
        </w:tc>
        <w:tc>
          <w:tcPr>
            <w:tcW w:w="1205" w:type="dxa"/>
            <w:tcBorders>
              <w:top w:val="single" w:color="auto" w:sz="2" w:space="0"/>
              <w:left w:val="single" w:color="auto" w:sz="2" w:space="0"/>
              <w:bottom w:val="single" w:color="auto" w:sz="2" w:space="0"/>
              <w:right w:val="single" w:color="auto" w:sz="2" w:space="0"/>
            </w:tcBorders>
            <w:vAlign w:val="center"/>
          </w:tcPr>
          <w:p w14:paraId="4CD22A90">
            <w:pPr>
              <w:spacing w:line="240" w:lineRule="exact"/>
              <w:jc w:val="right"/>
              <w:rPr>
                <w:rFonts w:ascii="宋体" w:hAnsi="宋体" w:eastAsia="宋体" w:cs="宋体"/>
                <w:sz w:val="18"/>
                <w:szCs w:val="18"/>
              </w:rPr>
            </w:pPr>
            <w:r>
              <w:rPr>
                <w:rFonts w:ascii="宋体" w:hAnsi="宋体" w:eastAsia="宋体" w:cs="宋体"/>
                <w:sz w:val="18"/>
                <w:szCs w:val="18"/>
              </w:rPr>
              <w:t>254,768,487.26</w:t>
            </w:r>
          </w:p>
        </w:tc>
      </w:tr>
      <w:tr w14:paraId="7054B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E736114">
            <w:pPr>
              <w:spacing w:before="40" w:after="40" w:line="240" w:lineRule="exact"/>
              <w:rPr>
                <w:rFonts w:ascii="宋体" w:hAnsi="宋体" w:eastAsia="宋体" w:cs="宋体"/>
                <w:sz w:val="18"/>
                <w:szCs w:val="18"/>
              </w:rPr>
            </w:pPr>
            <w:r>
              <w:rPr>
                <w:rFonts w:ascii="宋体" w:hAnsi="宋体" w:eastAsia="宋体" w:cs="宋体"/>
                <w:sz w:val="18"/>
                <w:szCs w:val="18"/>
              </w:rPr>
              <w:t>三、减值准备</w:t>
            </w:r>
          </w:p>
        </w:tc>
        <w:tc>
          <w:tcPr>
            <w:tcW w:w="1205" w:type="dxa"/>
            <w:tcBorders>
              <w:top w:val="single" w:color="auto" w:sz="2" w:space="0"/>
              <w:left w:val="single" w:color="auto" w:sz="2" w:space="0"/>
              <w:bottom w:val="single" w:color="auto" w:sz="2" w:space="0"/>
              <w:right w:val="single" w:color="auto" w:sz="2" w:space="0"/>
            </w:tcBorders>
            <w:vAlign w:val="center"/>
          </w:tcPr>
          <w:p w14:paraId="7F06420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F874C0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3BCB6D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968A1F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DB9B55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9546E7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9886827">
            <w:pPr>
              <w:spacing w:line="240" w:lineRule="exact"/>
              <w:jc w:val="right"/>
              <w:rPr>
                <w:rFonts w:ascii="宋体" w:hAnsi="宋体" w:eastAsia="宋体" w:cs="宋体"/>
                <w:sz w:val="18"/>
                <w:szCs w:val="18"/>
              </w:rPr>
            </w:pPr>
          </w:p>
        </w:tc>
      </w:tr>
      <w:tr w14:paraId="68379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4357961">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1.期初余额</w:t>
            </w:r>
          </w:p>
        </w:tc>
        <w:tc>
          <w:tcPr>
            <w:tcW w:w="1205" w:type="dxa"/>
            <w:tcBorders>
              <w:top w:val="single" w:color="auto" w:sz="2" w:space="0"/>
              <w:left w:val="single" w:color="auto" w:sz="2" w:space="0"/>
              <w:bottom w:val="single" w:color="auto" w:sz="2" w:space="0"/>
              <w:right w:val="single" w:color="auto" w:sz="2" w:space="0"/>
            </w:tcBorders>
            <w:vAlign w:val="center"/>
          </w:tcPr>
          <w:p w14:paraId="6BDB6A4F">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3A0138A">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F538CD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A532AA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68DC29A">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F065DB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FC31F76">
            <w:pPr>
              <w:spacing w:line="240" w:lineRule="exact"/>
              <w:jc w:val="right"/>
              <w:rPr>
                <w:rFonts w:ascii="宋体" w:hAnsi="宋体" w:eastAsia="宋体" w:cs="宋体"/>
                <w:sz w:val="18"/>
                <w:szCs w:val="18"/>
              </w:rPr>
            </w:pPr>
          </w:p>
        </w:tc>
      </w:tr>
      <w:tr w14:paraId="27539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222BC37">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2.本期增加金额</w:t>
            </w:r>
          </w:p>
        </w:tc>
        <w:tc>
          <w:tcPr>
            <w:tcW w:w="1205" w:type="dxa"/>
            <w:tcBorders>
              <w:top w:val="single" w:color="auto" w:sz="2" w:space="0"/>
              <w:left w:val="single" w:color="auto" w:sz="2" w:space="0"/>
              <w:bottom w:val="single" w:color="auto" w:sz="2" w:space="0"/>
              <w:right w:val="single" w:color="auto" w:sz="2" w:space="0"/>
            </w:tcBorders>
            <w:vAlign w:val="center"/>
          </w:tcPr>
          <w:p w14:paraId="7938A1E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D7A9C18">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64DCCCA">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80C495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56D335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AC8AFE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A80581E">
            <w:pPr>
              <w:spacing w:line="240" w:lineRule="exact"/>
              <w:jc w:val="right"/>
              <w:rPr>
                <w:rFonts w:ascii="宋体" w:hAnsi="宋体" w:eastAsia="宋体" w:cs="宋体"/>
                <w:sz w:val="18"/>
                <w:szCs w:val="18"/>
              </w:rPr>
            </w:pPr>
          </w:p>
        </w:tc>
      </w:tr>
      <w:tr w14:paraId="709E3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AEBE7FB">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（1）计提</w:t>
            </w:r>
          </w:p>
        </w:tc>
        <w:tc>
          <w:tcPr>
            <w:tcW w:w="1205" w:type="dxa"/>
            <w:tcBorders>
              <w:top w:val="single" w:color="auto" w:sz="2" w:space="0"/>
              <w:left w:val="single" w:color="auto" w:sz="2" w:space="0"/>
              <w:bottom w:val="single" w:color="auto" w:sz="2" w:space="0"/>
              <w:right w:val="single" w:color="auto" w:sz="2" w:space="0"/>
            </w:tcBorders>
            <w:vAlign w:val="center"/>
          </w:tcPr>
          <w:p w14:paraId="710E15F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573857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24E373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7B4BAF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1E962BF">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42DB904">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35B78C4">
            <w:pPr>
              <w:spacing w:line="240" w:lineRule="exact"/>
              <w:jc w:val="right"/>
              <w:rPr>
                <w:rFonts w:ascii="宋体" w:hAnsi="宋体" w:eastAsia="宋体" w:cs="宋体"/>
                <w:sz w:val="18"/>
                <w:szCs w:val="18"/>
              </w:rPr>
            </w:pPr>
          </w:p>
        </w:tc>
      </w:tr>
      <w:tr w14:paraId="0C7BC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76EEDD9">
            <w:pPr>
              <w:spacing w:line="240" w:lineRule="exac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91C0D28">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8D3FA7E">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280278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84105C4">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1295F6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7B71D9F">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14A333D">
            <w:pPr>
              <w:spacing w:line="240" w:lineRule="exact"/>
              <w:jc w:val="right"/>
              <w:rPr>
                <w:rFonts w:ascii="宋体" w:hAnsi="宋体" w:eastAsia="宋体" w:cs="宋体"/>
                <w:sz w:val="18"/>
                <w:szCs w:val="18"/>
              </w:rPr>
            </w:pPr>
          </w:p>
        </w:tc>
      </w:tr>
      <w:tr w14:paraId="7D01E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8209C9B">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3.本期减少金额</w:t>
            </w:r>
          </w:p>
        </w:tc>
        <w:tc>
          <w:tcPr>
            <w:tcW w:w="1205" w:type="dxa"/>
            <w:tcBorders>
              <w:top w:val="single" w:color="auto" w:sz="2" w:space="0"/>
              <w:left w:val="single" w:color="auto" w:sz="2" w:space="0"/>
              <w:bottom w:val="single" w:color="auto" w:sz="2" w:space="0"/>
              <w:right w:val="single" w:color="auto" w:sz="2" w:space="0"/>
            </w:tcBorders>
            <w:vAlign w:val="center"/>
          </w:tcPr>
          <w:p w14:paraId="00BB296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684024F">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4964A7D">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388761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D85C81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3224CC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1F9061B">
            <w:pPr>
              <w:spacing w:line="240" w:lineRule="exact"/>
              <w:jc w:val="right"/>
              <w:rPr>
                <w:rFonts w:ascii="宋体" w:hAnsi="宋体" w:eastAsia="宋体" w:cs="宋体"/>
                <w:sz w:val="18"/>
                <w:szCs w:val="18"/>
              </w:rPr>
            </w:pPr>
          </w:p>
        </w:tc>
      </w:tr>
      <w:tr w14:paraId="25275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802898A">
            <w:pPr>
              <w:spacing w:before="40" w:after="40" w:line="240" w:lineRule="exact"/>
              <w:ind w:firstLine="720" w:firstLineChars="400"/>
              <w:rPr>
                <w:rFonts w:ascii="宋体" w:hAnsi="宋体" w:eastAsia="宋体" w:cs="宋体"/>
                <w:sz w:val="18"/>
                <w:szCs w:val="18"/>
              </w:rPr>
            </w:pPr>
            <w:r>
              <w:rPr>
                <w:rFonts w:ascii="宋体" w:hAnsi="宋体" w:eastAsia="宋体" w:cs="宋体"/>
                <w:sz w:val="18"/>
                <w:szCs w:val="18"/>
              </w:rPr>
              <w:t>（1）处置</w:t>
            </w:r>
          </w:p>
        </w:tc>
        <w:tc>
          <w:tcPr>
            <w:tcW w:w="1205" w:type="dxa"/>
            <w:tcBorders>
              <w:top w:val="single" w:color="auto" w:sz="2" w:space="0"/>
              <w:left w:val="single" w:color="auto" w:sz="2" w:space="0"/>
              <w:bottom w:val="single" w:color="auto" w:sz="2" w:space="0"/>
              <w:right w:val="single" w:color="auto" w:sz="2" w:space="0"/>
            </w:tcBorders>
            <w:vAlign w:val="center"/>
          </w:tcPr>
          <w:p w14:paraId="4BD1E7AE">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8E0FEA4">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B72C3C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F1DD9A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0F3F55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D4B9341">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DB9881F">
            <w:pPr>
              <w:spacing w:line="240" w:lineRule="exact"/>
              <w:jc w:val="right"/>
              <w:rPr>
                <w:rFonts w:ascii="宋体" w:hAnsi="宋体" w:eastAsia="宋体" w:cs="宋体"/>
                <w:sz w:val="18"/>
                <w:szCs w:val="18"/>
              </w:rPr>
            </w:pPr>
          </w:p>
        </w:tc>
      </w:tr>
      <w:tr w14:paraId="4F63B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DEC5E6F">
            <w:pPr>
              <w:spacing w:line="240" w:lineRule="exac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01CC8B4">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07E72AE">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642EB3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54BCA9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697306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8AD1D0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D2FE464">
            <w:pPr>
              <w:spacing w:line="240" w:lineRule="exact"/>
              <w:jc w:val="right"/>
              <w:rPr>
                <w:rFonts w:ascii="宋体" w:hAnsi="宋体" w:eastAsia="宋体" w:cs="宋体"/>
                <w:sz w:val="18"/>
                <w:szCs w:val="18"/>
              </w:rPr>
            </w:pPr>
          </w:p>
        </w:tc>
      </w:tr>
      <w:tr w14:paraId="3CD14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F5E5B21">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4.期末余额</w:t>
            </w:r>
          </w:p>
        </w:tc>
        <w:tc>
          <w:tcPr>
            <w:tcW w:w="1205" w:type="dxa"/>
            <w:tcBorders>
              <w:top w:val="single" w:color="auto" w:sz="2" w:space="0"/>
              <w:left w:val="single" w:color="auto" w:sz="2" w:space="0"/>
              <w:bottom w:val="single" w:color="auto" w:sz="2" w:space="0"/>
              <w:right w:val="single" w:color="auto" w:sz="2" w:space="0"/>
            </w:tcBorders>
            <w:vAlign w:val="center"/>
          </w:tcPr>
          <w:p w14:paraId="0F6B869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D8F7EC1">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92268CA">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D00831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16E7CB8">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E61CCE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AD83CF2">
            <w:pPr>
              <w:spacing w:line="240" w:lineRule="exact"/>
              <w:jc w:val="right"/>
              <w:rPr>
                <w:rFonts w:ascii="宋体" w:hAnsi="宋体" w:eastAsia="宋体" w:cs="宋体"/>
                <w:sz w:val="18"/>
                <w:szCs w:val="18"/>
              </w:rPr>
            </w:pPr>
          </w:p>
        </w:tc>
      </w:tr>
      <w:tr w14:paraId="74DC6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772264D">
            <w:pPr>
              <w:spacing w:before="40" w:after="40" w:line="240" w:lineRule="exact"/>
              <w:rPr>
                <w:rFonts w:ascii="宋体" w:hAnsi="宋体" w:eastAsia="宋体" w:cs="宋体"/>
                <w:sz w:val="18"/>
                <w:szCs w:val="18"/>
              </w:rPr>
            </w:pPr>
            <w:r>
              <w:rPr>
                <w:rFonts w:ascii="宋体" w:hAnsi="宋体" w:eastAsia="宋体" w:cs="宋体"/>
                <w:sz w:val="18"/>
                <w:szCs w:val="18"/>
              </w:rPr>
              <w:t>四、账面价值</w:t>
            </w:r>
          </w:p>
        </w:tc>
        <w:tc>
          <w:tcPr>
            <w:tcW w:w="1205" w:type="dxa"/>
            <w:tcBorders>
              <w:top w:val="single" w:color="auto" w:sz="2" w:space="0"/>
              <w:left w:val="single" w:color="auto" w:sz="2" w:space="0"/>
              <w:bottom w:val="single" w:color="auto" w:sz="2" w:space="0"/>
              <w:right w:val="single" w:color="auto" w:sz="2" w:space="0"/>
            </w:tcBorders>
            <w:vAlign w:val="center"/>
          </w:tcPr>
          <w:p w14:paraId="3426A9D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E3E287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3D4E761">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7BA223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6A5207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04062D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BB6DCFD">
            <w:pPr>
              <w:spacing w:line="240" w:lineRule="exact"/>
              <w:jc w:val="right"/>
              <w:rPr>
                <w:rFonts w:ascii="宋体" w:hAnsi="宋体" w:eastAsia="宋体" w:cs="宋体"/>
                <w:sz w:val="18"/>
                <w:szCs w:val="18"/>
              </w:rPr>
            </w:pPr>
          </w:p>
        </w:tc>
      </w:tr>
      <w:tr w14:paraId="5C29E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A006D81">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1.期末账面价值</w:t>
            </w:r>
          </w:p>
        </w:tc>
        <w:tc>
          <w:tcPr>
            <w:tcW w:w="1205" w:type="dxa"/>
            <w:tcBorders>
              <w:top w:val="single" w:color="auto" w:sz="2" w:space="0"/>
              <w:left w:val="single" w:color="auto" w:sz="2" w:space="0"/>
              <w:bottom w:val="single" w:color="auto" w:sz="2" w:space="0"/>
              <w:right w:val="single" w:color="auto" w:sz="2" w:space="0"/>
            </w:tcBorders>
            <w:vAlign w:val="center"/>
          </w:tcPr>
          <w:p w14:paraId="301FB44B">
            <w:pPr>
              <w:spacing w:line="240" w:lineRule="exact"/>
              <w:jc w:val="right"/>
              <w:rPr>
                <w:rFonts w:ascii="宋体" w:hAnsi="宋体" w:eastAsia="宋体" w:cs="宋体"/>
                <w:sz w:val="18"/>
                <w:szCs w:val="18"/>
              </w:rPr>
            </w:pPr>
            <w:r>
              <w:rPr>
                <w:rFonts w:ascii="宋体" w:hAnsi="宋体" w:eastAsia="宋体" w:cs="宋体"/>
                <w:sz w:val="18"/>
                <w:szCs w:val="18"/>
              </w:rPr>
              <w:t>780,810,268.18</w:t>
            </w:r>
          </w:p>
        </w:tc>
        <w:tc>
          <w:tcPr>
            <w:tcW w:w="1205" w:type="dxa"/>
            <w:tcBorders>
              <w:top w:val="single" w:color="auto" w:sz="2" w:space="0"/>
              <w:left w:val="single" w:color="auto" w:sz="2" w:space="0"/>
              <w:bottom w:val="single" w:color="auto" w:sz="2" w:space="0"/>
              <w:right w:val="single" w:color="auto" w:sz="2" w:space="0"/>
            </w:tcBorders>
            <w:vAlign w:val="center"/>
          </w:tcPr>
          <w:p w14:paraId="432D502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899D3E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5DAFF61">
            <w:pPr>
              <w:spacing w:line="240" w:lineRule="exact"/>
              <w:jc w:val="right"/>
              <w:rPr>
                <w:rFonts w:ascii="宋体" w:hAnsi="宋体" w:eastAsia="宋体" w:cs="宋体"/>
                <w:sz w:val="18"/>
                <w:szCs w:val="18"/>
              </w:rPr>
            </w:pPr>
            <w:r>
              <w:rPr>
                <w:rFonts w:ascii="宋体" w:hAnsi="宋体" w:eastAsia="宋体" w:cs="宋体"/>
                <w:sz w:val="18"/>
                <w:szCs w:val="18"/>
              </w:rPr>
              <w:t>8,178,385.14</w:t>
            </w:r>
          </w:p>
        </w:tc>
        <w:tc>
          <w:tcPr>
            <w:tcW w:w="1205" w:type="dxa"/>
            <w:tcBorders>
              <w:top w:val="single" w:color="auto" w:sz="2" w:space="0"/>
              <w:left w:val="single" w:color="auto" w:sz="2" w:space="0"/>
              <w:bottom w:val="single" w:color="auto" w:sz="2" w:space="0"/>
              <w:right w:val="single" w:color="auto" w:sz="2" w:space="0"/>
            </w:tcBorders>
            <w:vAlign w:val="center"/>
          </w:tcPr>
          <w:p w14:paraId="04416575">
            <w:pPr>
              <w:spacing w:line="240" w:lineRule="exact"/>
              <w:jc w:val="right"/>
              <w:rPr>
                <w:rFonts w:ascii="宋体" w:hAnsi="宋体" w:eastAsia="宋体" w:cs="宋体"/>
                <w:sz w:val="18"/>
                <w:szCs w:val="18"/>
              </w:rPr>
            </w:pPr>
            <w:r>
              <w:rPr>
                <w:rFonts w:ascii="宋体" w:hAnsi="宋体" w:eastAsia="宋体" w:cs="宋体"/>
                <w:sz w:val="18"/>
                <w:szCs w:val="18"/>
              </w:rPr>
              <w:t>903,751.12</w:t>
            </w:r>
          </w:p>
        </w:tc>
        <w:tc>
          <w:tcPr>
            <w:tcW w:w="1205" w:type="dxa"/>
            <w:tcBorders>
              <w:top w:val="single" w:color="auto" w:sz="2" w:space="0"/>
              <w:left w:val="single" w:color="auto" w:sz="2" w:space="0"/>
              <w:bottom w:val="single" w:color="auto" w:sz="2" w:space="0"/>
              <w:right w:val="single" w:color="auto" w:sz="2" w:space="0"/>
            </w:tcBorders>
            <w:vAlign w:val="center"/>
          </w:tcPr>
          <w:p w14:paraId="68B08C6E">
            <w:pPr>
              <w:spacing w:line="240" w:lineRule="exact"/>
              <w:jc w:val="right"/>
              <w:rPr>
                <w:rFonts w:ascii="宋体" w:hAnsi="宋体" w:eastAsia="宋体" w:cs="宋体"/>
                <w:sz w:val="18"/>
                <w:szCs w:val="18"/>
              </w:rPr>
            </w:pPr>
            <w:r>
              <w:rPr>
                <w:rFonts w:ascii="宋体" w:hAnsi="宋体" w:eastAsia="宋体" w:cs="宋体"/>
                <w:sz w:val="18"/>
                <w:szCs w:val="18"/>
              </w:rPr>
              <w:t>15,833,333.33</w:t>
            </w:r>
          </w:p>
        </w:tc>
        <w:tc>
          <w:tcPr>
            <w:tcW w:w="1205" w:type="dxa"/>
            <w:tcBorders>
              <w:top w:val="single" w:color="auto" w:sz="2" w:space="0"/>
              <w:left w:val="single" w:color="auto" w:sz="2" w:space="0"/>
              <w:bottom w:val="single" w:color="auto" w:sz="2" w:space="0"/>
              <w:right w:val="single" w:color="auto" w:sz="2" w:space="0"/>
            </w:tcBorders>
            <w:vAlign w:val="center"/>
          </w:tcPr>
          <w:p w14:paraId="241E5230">
            <w:pPr>
              <w:spacing w:line="240" w:lineRule="exact"/>
              <w:jc w:val="right"/>
              <w:rPr>
                <w:rFonts w:ascii="宋体" w:hAnsi="宋体" w:eastAsia="宋体" w:cs="宋体"/>
                <w:sz w:val="18"/>
                <w:szCs w:val="18"/>
              </w:rPr>
            </w:pPr>
            <w:r>
              <w:rPr>
                <w:rFonts w:ascii="宋体" w:hAnsi="宋体" w:eastAsia="宋体" w:cs="宋体"/>
                <w:sz w:val="18"/>
                <w:szCs w:val="18"/>
              </w:rPr>
              <w:t>805,725,737.77</w:t>
            </w:r>
          </w:p>
        </w:tc>
      </w:tr>
      <w:tr w14:paraId="55D33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4C88A82">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2.期初账面价值</w:t>
            </w:r>
          </w:p>
        </w:tc>
        <w:tc>
          <w:tcPr>
            <w:tcW w:w="1205" w:type="dxa"/>
            <w:tcBorders>
              <w:top w:val="single" w:color="auto" w:sz="2" w:space="0"/>
              <w:left w:val="single" w:color="auto" w:sz="2" w:space="0"/>
              <w:bottom w:val="single" w:color="auto" w:sz="2" w:space="0"/>
              <w:right w:val="single" w:color="auto" w:sz="2" w:space="0"/>
            </w:tcBorders>
            <w:vAlign w:val="center"/>
          </w:tcPr>
          <w:p w14:paraId="58DC7B13">
            <w:pPr>
              <w:spacing w:line="240" w:lineRule="exact"/>
              <w:jc w:val="right"/>
              <w:rPr>
                <w:rFonts w:ascii="宋体" w:hAnsi="宋体" w:eastAsia="宋体" w:cs="宋体"/>
                <w:sz w:val="18"/>
                <w:szCs w:val="18"/>
              </w:rPr>
            </w:pPr>
            <w:r>
              <w:rPr>
                <w:rFonts w:ascii="宋体" w:hAnsi="宋体" w:eastAsia="宋体" w:cs="宋体"/>
                <w:sz w:val="18"/>
                <w:szCs w:val="18"/>
              </w:rPr>
              <w:t>870,182,182.16</w:t>
            </w:r>
          </w:p>
        </w:tc>
        <w:tc>
          <w:tcPr>
            <w:tcW w:w="1205" w:type="dxa"/>
            <w:tcBorders>
              <w:top w:val="single" w:color="auto" w:sz="2" w:space="0"/>
              <w:left w:val="single" w:color="auto" w:sz="2" w:space="0"/>
              <w:bottom w:val="single" w:color="auto" w:sz="2" w:space="0"/>
              <w:right w:val="single" w:color="auto" w:sz="2" w:space="0"/>
            </w:tcBorders>
            <w:vAlign w:val="center"/>
          </w:tcPr>
          <w:p w14:paraId="0ADA5B0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904F01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4112240">
            <w:pPr>
              <w:spacing w:line="240" w:lineRule="exact"/>
              <w:jc w:val="right"/>
              <w:rPr>
                <w:rFonts w:ascii="宋体" w:hAnsi="宋体" w:eastAsia="宋体" w:cs="宋体"/>
                <w:sz w:val="18"/>
                <w:szCs w:val="18"/>
              </w:rPr>
            </w:pPr>
            <w:r>
              <w:rPr>
                <w:rFonts w:ascii="宋体" w:hAnsi="宋体" w:eastAsia="宋体" w:cs="宋体"/>
                <w:sz w:val="18"/>
                <w:szCs w:val="18"/>
              </w:rPr>
              <w:t>7,447,640.41</w:t>
            </w:r>
          </w:p>
        </w:tc>
        <w:tc>
          <w:tcPr>
            <w:tcW w:w="1205" w:type="dxa"/>
            <w:tcBorders>
              <w:top w:val="single" w:color="auto" w:sz="2" w:space="0"/>
              <w:left w:val="single" w:color="auto" w:sz="2" w:space="0"/>
              <w:bottom w:val="single" w:color="auto" w:sz="2" w:space="0"/>
              <w:right w:val="single" w:color="auto" w:sz="2" w:space="0"/>
            </w:tcBorders>
            <w:vAlign w:val="center"/>
          </w:tcPr>
          <w:p w14:paraId="32F54115">
            <w:pPr>
              <w:spacing w:line="240" w:lineRule="exact"/>
              <w:jc w:val="right"/>
              <w:rPr>
                <w:rFonts w:ascii="宋体" w:hAnsi="宋体" w:eastAsia="宋体" w:cs="宋体"/>
                <w:sz w:val="18"/>
                <w:szCs w:val="18"/>
              </w:rPr>
            </w:pPr>
            <w:r>
              <w:rPr>
                <w:rFonts w:ascii="宋体" w:hAnsi="宋体" w:eastAsia="宋体" w:cs="宋体"/>
                <w:sz w:val="18"/>
                <w:szCs w:val="18"/>
              </w:rPr>
              <w:t>1,014,150.78</w:t>
            </w:r>
          </w:p>
        </w:tc>
        <w:tc>
          <w:tcPr>
            <w:tcW w:w="1205" w:type="dxa"/>
            <w:tcBorders>
              <w:top w:val="single" w:color="auto" w:sz="2" w:space="0"/>
              <w:left w:val="single" w:color="auto" w:sz="2" w:space="0"/>
              <w:bottom w:val="single" w:color="auto" w:sz="2" w:space="0"/>
              <w:right w:val="single" w:color="auto" w:sz="2" w:space="0"/>
            </w:tcBorders>
            <w:vAlign w:val="center"/>
          </w:tcPr>
          <w:p w14:paraId="1424DE4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6DF895A">
            <w:pPr>
              <w:spacing w:line="240" w:lineRule="exact"/>
              <w:jc w:val="right"/>
              <w:rPr>
                <w:rFonts w:ascii="宋体" w:hAnsi="宋体" w:eastAsia="宋体" w:cs="宋体"/>
                <w:sz w:val="18"/>
                <w:szCs w:val="18"/>
              </w:rPr>
            </w:pPr>
            <w:r>
              <w:rPr>
                <w:rFonts w:ascii="宋体" w:hAnsi="宋体" w:eastAsia="宋体" w:cs="宋体"/>
                <w:sz w:val="18"/>
                <w:szCs w:val="18"/>
              </w:rPr>
              <w:t>878,643,973.35</w:t>
            </w:r>
          </w:p>
        </w:tc>
      </w:tr>
    </w:tbl>
    <w:p w14:paraId="23B9B870">
      <w:pPr>
        <w:spacing w:line="240" w:lineRule="exact"/>
        <w:rPr>
          <w:rFonts w:ascii="宋体" w:hAnsi="宋体" w:eastAsia="宋体" w:cs="宋体"/>
          <w:sz w:val="18"/>
          <w:szCs w:val="18"/>
        </w:rPr>
      </w:pPr>
      <w:r>
        <w:rPr>
          <w:rFonts w:ascii="宋体" w:hAnsi="宋体" w:eastAsia="宋体" w:cs="宋体"/>
          <w:sz w:val="18"/>
          <w:szCs w:val="18"/>
        </w:rPr>
        <w:t>本期末通过公司内部研发形成的无形资产占无形资产余额的比例。</w:t>
      </w:r>
    </w:p>
    <w:p w14:paraId="7BF9188E">
      <w:pPr>
        <w:keepNext/>
        <w:keepLines/>
        <w:spacing w:before="300" w:after="300" w:line="280" w:lineRule="exact"/>
        <w:outlineLvl w:val="3"/>
        <w:rPr>
          <w:rFonts w:ascii="宋体" w:hAnsi="宋体" w:eastAsia="宋体" w:cs="宋体"/>
          <w:b/>
          <w:bCs/>
          <w:szCs w:val="21"/>
        </w:rPr>
      </w:pPr>
      <w:bookmarkStart w:id="381" w:name="_Toc989234"/>
      <w:r>
        <w:rPr>
          <w:rFonts w:ascii="宋体" w:hAnsi="宋体" w:eastAsia="宋体" w:cs="宋体"/>
          <w:b/>
          <w:bCs/>
          <w:szCs w:val="21"/>
        </w:rPr>
        <w:t>（2） 确认为无形资产的数据资源</w:t>
      </w:r>
      <w:bookmarkEnd w:id="381"/>
    </w:p>
    <w:p w14:paraId="1F39623A">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C0FFC89">
      <w:pPr>
        <w:keepNext/>
        <w:keepLines/>
        <w:spacing w:before="300" w:after="300" w:line="280" w:lineRule="exact"/>
        <w:outlineLvl w:val="3"/>
        <w:rPr>
          <w:rFonts w:ascii="宋体" w:hAnsi="宋体" w:eastAsia="宋体" w:cs="宋体"/>
          <w:b/>
          <w:bCs/>
          <w:szCs w:val="21"/>
        </w:rPr>
      </w:pPr>
      <w:bookmarkStart w:id="382" w:name="_Toc989235"/>
      <w:r>
        <w:rPr>
          <w:rFonts w:ascii="宋体" w:hAnsi="宋体" w:eastAsia="宋体" w:cs="宋体"/>
          <w:b/>
          <w:bCs/>
          <w:szCs w:val="21"/>
        </w:rPr>
        <w:t>（3） 未办妥产权证书的土地使用权情况</w:t>
      </w:r>
      <w:bookmarkEnd w:id="382"/>
    </w:p>
    <w:p w14:paraId="0C8D7A6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AAC9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BA85E3">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3677D8">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3CDAE2">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r w14:paraId="0599F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A8E34AA">
            <w:pPr>
              <w:spacing w:line="240" w:lineRule="exact"/>
              <w:rPr>
                <w:rFonts w:ascii="宋体" w:hAnsi="宋体" w:eastAsia="宋体" w:cs="宋体"/>
                <w:sz w:val="18"/>
                <w:szCs w:val="18"/>
              </w:rPr>
            </w:pPr>
            <w:r>
              <w:rPr>
                <w:rFonts w:ascii="宋体" w:hAnsi="宋体" w:eastAsia="宋体" w:cs="宋体"/>
                <w:sz w:val="18"/>
                <w:szCs w:val="18"/>
              </w:rPr>
              <w:t>土地使用权</w:t>
            </w:r>
          </w:p>
        </w:tc>
        <w:tc>
          <w:tcPr>
            <w:tcW w:w="3213" w:type="dxa"/>
            <w:tcBorders>
              <w:top w:val="single" w:color="auto" w:sz="2" w:space="0"/>
              <w:left w:val="single" w:color="auto" w:sz="2" w:space="0"/>
              <w:bottom w:val="single" w:color="auto" w:sz="2" w:space="0"/>
              <w:right w:val="single" w:color="auto" w:sz="2" w:space="0"/>
            </w:tcBorders>
            <w:vAlign w:val="center"/>
          </w:tcPr>
          <w:p w14:paraId="6A248DA9">
            <w:pPr>
              <w:spacing w:line="240" w:lineRule="exact"/>
              <w:jc w:val="right"/>
              <w:rPr>
                <w:rFonts w:ascii="宋体" w:hAnsi="宋体" w:eastAsia="宋体" w:cs="宋体"/>
                <w:sz w:val="18"/>
                <w:szCs w:val="18"/>
              </w:rPr>
            </w:pPr>
            <w:r>
              <w:rPr>
                <w:rFonts w:ascii="宋体" w:hAnsi="宋体" w:eastAsia="宋体" w:cs="宋体"/>
                <w:sz w:val="18"/>
                <w:szCs w:val="18"/>
              </w:rPr>
              <w:t>39,127,383.74</w:t>
            </w:r>
          </w:p>
        </w:tc>
        <w:tc>
          <w:tcPr>
            <w:tcW w:w="3213" w:type="dxa"/>
            <w:tcBorders>
              <w:top w:val="single" w:color="auto" w:sz="2" w:space="0"/>
              <w:left w:val="single" w:color="auto" w:sz="2" w:space="0"/>
              <w:bottom w:val="single" w:color="auto" w:sz="2" w:space="0"/>
              <w:right w:val="single" w:color="auto" w:sz="2" w:space="0"/>
            </w:tcBorders>
            <w:vAlign w:val="center"/>
          </w:tcPr>
          <w:p w14:paraId="463E8A6A">
            <w:pPr>
              <w:spacing w:line="240" w:lineRule="exact"/>
              <w:rPr>
                <w:rFonts w:ascii="宋体" w:hAnsi="宋体" w:eastAsia="宋体" w:cs="宋体"/>
                <w:sz w:val="18"/>
                <w:szCs w:val="18"/>
              </w:rPr>
            </w:pPr>
            <w:r>
              <w:rPr>
                <w:rFonts w:ascii="宋体" w:hAnsi="宋体" w:eastAsia="宋体" w:cs="宋体"/>
                <w:sz w:val="18"/>
                <w:szCs w:val="18"/>
              </w:rPr>
              <w:t>正在办理中</w:t>
            </w:r>
          </w:p>
        </w:tc>
      </w:tr>
    </w:tbl>
    <w:p w14:paraId="00D0158A">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41A4251D">
      <w:pPr>
        <w:keepNext/>
        <w:keepLines/>
        <w:spacing w:before="300" w:after="300" w:line="280" w:lineRule="exact"/>
        <w:outlineLvl w:val="3"/>
        <w:rPr>
          <w:rFonts w:ascii="宋体" w:hAnsi="宋体" w:eastAsia="宋体" w:cs="宋体"/>
          <w:b/>
          <w:bCs/>
          <w:szCs w:val="21"/>
        </w:rPr>
      </w:pPr>
      <w:bookmarkStart w:id="383" w:name="_Toc989236"/>
      <w:r>
        <w:rPr>
          <w:rFonts w:ascii="宋体" w:hAnsi="宋体" w:eastAsia="宋体" w:cs="宋体"/>
          <w:b/>
          <w:bCs/>
          <w:szCs w:val="21"/>
        </w:rPr>
        <w:t>（4） 无形资产的减值测试情况</w:t>
      </w:r>
      <w:bookmarkEnd w:id="383"/>
    </w:p>
    <w:p w14:paraId="52412D7D">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9B989AB">
      <w:pPr>
        <w:pStyle w:val="3"/>
        <w:spacing w:line="280" w:lineRule="exact"/>
        <w:jc w:val="left"/>
        <w:rPr>
          <w:rFonts w:ascii="宋体" w:hAnsi="宋体" w:cs="宋体"/>
          <w:b/>
          <w:bCs/>
        </w:rPr>
      </w:pPr>
      <w:bookmarkStart w:id="384" w:name="_Toc989237"/>
      <w:r>
        <w:rPr>
          <w:rFonts w:ascii="宋体" w:hAnsi="宋体" w:cs="宋体"/>
          <w:b/>
          <w:bCs/>
        </w:rPr>
        <w:t>27、商誉</w:t>
      </w:r>
      <w:bookmarkEnd w:id="384"/>
    </w:p>
    <w:p w14:paraId="176FAC9F">
      <w:pPr>
        <w:keepNext/>
        <w:keepLines/>
        <w:spacing w:before="300" w:after="300" w:line="280" w:lineRule="exact"/>
        <w:outlineLvl w:val="3"/>
        <w:rPr>
          <w:rFonts w:ascii="宋体" w:hAnsi="宋体" w:eastAsia="宋体" w:cs="宋体"/>
          <w:b/>
          <w:bCs/>
          <w:szCs w:val="21"/>
        </w:rPr>
      </w:pPr>
      <w:bookmarkStart w:id="385" w:name="_Toc989238"/>
      <w:r>
        <w:rPr>
          <w:rFonts w:ascii="宋体" w:hAnsi="宋体" w:eastAsia="宋体" w:cs="宋体"/>
          <w:b/>
          <w:bCs/>
          <w:szCs w:val="21"/>
        </w:rPr>
        <w:t>（1） 商誉账面原值</w:t>
      </w:r>
      <w:bookmarkEnd w:id="385"/>
    </w:p>
    <w:p w14:paraId="19ABCB4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36847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81D6183">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03D09AB">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1C8454B">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9236030">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D93A63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176AC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85293F7"/>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9ACA7CF"/>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61121C2">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企业合并形成的</w:t>
            </w:r>
          </w:p>
        </w:tc>
        <w:tc>
          <w:tcPr>
            <w:tcW w:w="1377" w:type="dxa"/>
            <w:tcBorders>
              <w:top w:val="single" w:color="auto" w:sz="2" w:space="0"/>
              <w:left w:val="single" w:color="auto" w:sz="2" w:space="0"/>
              <w:bottom w:val="single" w:color="auto" w:sz="2" w:space="0"/>
              <w:right w:val="single" w:color="auto" w:sz="2" w:space="0"/>
            </w:tcBorders>
            <w:vAlign w:val="center"/>
          </w:tcPr>
          <w:p w14:paraId="0663415E">
            <w:pPr>
              <w:spacing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5D82ECE">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14:paraId="6F075FFE">
            <w:pPr>
              <w:spacing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1A7AE4D"/>
        </w:tc>
      </w:tr>
      <w:tr w14:paraId="12E7D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D3B8755">
            <w:pPr>
              <w:spacing w:line="240" w:lineRule="exact"/>
              <w:rPr>
                <w:rFonts w:ascii="宋体" w:hAnsi="宋体" w:eastAsia="宋体" w:cs="宋体"/>
                <w:sz w:val="18"/>
                <w:szCs w:val="18"/>
              </w:rPr>
            </w:pPr>
            <w:r>
              <w:rPr>
                <w:rFonts w:ascii="宋体" w:hAnsi="宋体" w:eastAsia="宋体" w:cs="宋体"/>
                <w:sz w:val="18"/>
                <w:szCs w:val="18"/>
              </w:rPr>
              <w:t>新疆棉花交易市场有限责任公司</w:t>
            </w:r>
          </w:p>
        </w:tc>
        <w:tc>
          <w:tcPr>
            <w:tcW w:w="1377" w:type="dxa"/>
            <w:tcBorders>
              <w:top w:val="single" w:color="auto" w:sz="2" w:space="0"/>
              <w:left w:val="single" w:color="auto" w:sz="2" w:space="0"/>
              <w:bottom w:val="single" w:color="auto" w:sz="2" w:space="0"/>
              <w:right w:val="single" w:color="auto" w:sz="2" w:space="0"/>
            </w:tcBorders>
            <w:vAlign w:val="center"/>
          </w:tcPr>
          <w:p w14:paraId="1C4F5557">
            <w:pPr>
              <w:spacing w:line="240" w:lineRule="exact"/>
              <w:jc w:val="right"/>
              <w:rPr>
                <w:rFonts w:ascii="宋体" w:hAnsi="宋体" w:eastAsia="宋体" w:cs="宋体"/>
                <w:sz w:val="18"/>
                <w:szCs w:val="18"/>
              </w:rPr>
            </w:pPr>
            <w:r>
              <w:rPr>
                <w:rFonts w:ascii="宋体" w:hAnsi="宋体" w:eastAsia="宋体" w:cs="宋体"/>
                <w:sz w:val="18"/>
                <w:szCs w:val="18"/>
              </w:rPr>
              <w:t>3,861,366.21</w:t>
            </w:r>
          </w:p>
        </w:tc>
        <w:tc>
          <w:tcPr>
            <w:tcW w:w="1377" w:type="dxa"/>
            <w:tcBorders>
              <w:top w:val="single" w:color="auto" w:sz="2" w:space="0"/>
              <w:left w:val="single" w:color="auto" w:sz="2" w:space="0"/>
              <w:bottom w:val="single" w:color="auto" w:sz="2" w:space="0"/>
              <w:right w:val="single" w:color="auto" w:sz="2" w:space="0"/>
            </w:tcBorders>
            <w:vAlign w:val="center"/>
          </w:tcPr>
          <w:p w14:paraId="46AF009F">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894E132">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AB00267">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592E1B7">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A4176D3">
            <w:pPr>
              <w:spacing w:line="240" w:lineRule="exact"/>
              <w:jc w:val="right"/>
              <w:rPr>
                <w:rFonts w:ascii="宋体" w:hAnsi="宋体" w:eastAsia="宋体" w:cs="宋体"/>
                <w:sz w:val="18"/>
                <w:szCs w:val="18"/>
              </w:rPr>
            </w:pPr>
            <w:r>
              <w:rPr>
                <w:rFonts w:ascii="宋体" w:hAnsi="宋体" w:eastAsia="宋体" w:cs="宋体"/>
                <w:sz w:val="18"/>
                <w:szCs w:val="18"/>
              </w:rPr>
              <w:t>3,861,366.21</w:t>
            </w:r>
          </w:p>
        </w:tc>
      </w:tr>
      <w:tr w14:paraId="52289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8BAA521">
            <w:pPr>
              <w:spacing w:line="240" w:lineRule="exact"/>
              <w:rPr>
                <w:rFonts w:ascii="宋体" w:hAnsi="宋体" w:eastAsia="宋体" w:cs="宋体"/>
                <w:sz w:val="18"/>
                <w:szCs w:val="18"/>
              </w:rPr>
            </w:pPr>
            <w:r>
              <w:rPr>
                <w:rFonts w:ascii="宋体" w:hAnsi="宋体" w:eastAsia="宋体" w:cs="宋体"/>
                <w:sz w:val="18"/>
                <w:szCs w:val="18"/>
              </w:rPr>
              <w:t>浙江阿大互联科技有限公司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1D7ADF2A">
            <w:pPr>
              <w:spacing w:line="240" w:lineRule="exact"/>
              <w:jc w:val="right"/>
              <w:rPr>
                <w:rFonts w:ascii="宋体" w:hAnsi="宋体" w:eastAsia="宋体" w:cs="宋体"/>
                <w:sz w:val="18"/>
                <w:szCs w:val="18"/>
              </w:rPr>
            </w:pPr>
            <w:r>
              <w:rPr>
                <w:rFonts w:ascii="宋体" w:hAnsi="宋体" w:eastAsia="宋体" w:cs="宋体"/>
                <w:sz w:val="18"/>
                <w:szCs w:val="18"/>
              </w:rPr>
              <w:t>147,900,475.26</w:t>
            </w:r>
          </w:p>
        </w:tc>
        <w:tc>
          <w:tcPr>
            <w:tcW w:w="1377" w:type="dxa"/>
            <w:tcBorders>
              <w:top w:val="single" w:color="auto" w:sz="2" w:space="0"/>
              <w:left w:val="single" w:color="auto" w:sz="2" w:space="0"/>
              <w:bottom w:val="single" w:color="auto" w:sz="2" w:space="0"/>
              <w:right w:val="single" w:color="auto" w:sz="2" w:space="0"/>
            </w:tcBorders>
            <w:vAlign w:val="center"/>
          </w:tcPr>
          <w:p w14:paraId="7811D733">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D6CDA6D">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7930560">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F82D1F8">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DE1BBCE">
            <w:pPr>
              <w:spacing w:line="240" w:lineRule="exact"/>
              <w:jc w:val="right"/>
              <w:rPr>
                <w:rFonts w:ascii="宋体" w:hAnsi="宋体" w:eastAsia="宋体" w:cs="宋体"/>
                <w:sz w:val="18"/>
                <w:szCs w:val="18"/>
              </w:rPr>
            </w:pPr>
            <w:r>
              <w:rPr>
                <w:rFonts w:ascii="宋体" w:hAnsi="宋体" w:eastAsia="宋体" w:cs="宋体"/>
                <w:sz w:val="18"/>
                <w:szCs w:val="18"/>
              </w:rPr>
              <w:t>147,900,475.26</w:t>
            </w:r>
          </w:p>
        </w:tc>
      </w:tr>
      <w:tr w14:paraId="54088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200F26E">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5903A023">
            <w:pPr>
              <w:spacing w:line="240" w:lineRule="exact"/>
              <w:jc w:val="right"/>
              <w:rPr>
                <w:rFonts w:ascii="宋体" w:hAnsi="宋体" w:eastAsia="宋体" w:cs="宋体"/>
                <w:sz w:val="18"/>
                <w:szCs w:val="18"/>
              </w:rPr>
            </w:pPr>
            <w:r>
              <w:rPr>
                <w:rFonts w:ascii="宋体" w:hAnsi="宋体" w:eastAsia="宋体" w:cs="宋体"/>
                <w:sz w:val="18"/>
                <w:szCs w:val="18"/>
              </w:rPr>
              <w:t>151,761,841.47</w:t>
            </w:r>
          </w:p>
        </w:tc>
        <w:tc>
          <w:tcPr>
            <w:tcW w:w="1377" w:type="dxa"/>
            <w:tcBorders>
              <w:top w:val="single" w:color="auto" w:sz="2" w:space="0"/>
              <w:left w:val="single" w:color="auto" w:sz="2" w:space="0"/>
              <w:bottom w:val="single" w:color="auto" w:sz="2" w:space="0"/>
              <w:right w:val="single" w:color="auto" w:sz="2" w:space="0"/>
            </w:tcBorders>
            <w:vAlign w:val="center"/>
          </w:tcPr>
          <w:p w14:paraId="381115F8">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45FD8E7">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43E79E2">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92C88A7">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908F167">
            <w:pPr>
              <w:spacing w:line="240" w:lineRule="exact"/>
              <w:jc w:val="right"/>
              <w:rPr>
                <w:rFonts w:ascii="宋体" w:hAnsi="宋体" w:eastAsia="宋体" w:cs="宋体"/>
                <w:sz w:val="18"/>
                <w:szCs w:val="18"/>
              </w:rPr>
            </w:pPr>
            <w:r>
              <w:rPr>
                <w:rFonts w:ascii="宋体" w:hAnsi="宋体" w:eastAsia="宋体" w:cs="宋体"/>
                <w:sz w:val="18"/>
                <w:szCs w:val="18"/>
              </w:rPr>
              <w:t>151,761,841.47</w:t>
            </w:r>
          </w:p>
        </w:tc>
      </w:tr>
    </w:tbl>
    <w:p w14:paraId="003405F8">
      <w:pPr>
        <w:keepNext/>
        <w:keepLines/>
        <w:spacing w:before="300" w:after="300" w:line="280" w:lineRule="exact"/>
        <w:outlineLvl w:val="3"/>
        <w:rPr>
          <w:rFonts w:ascii="宋体" w:hAnsi="宋体" w:eastAsia="宋体" w:cs="宋体"/>
          <w:b/>
          <w:bCs/>
          <w:szCs w:val="21"/>
        </w:rPr>
      </w:pPr>
      <w:bookmarkStart w:id="386" w:name="_Toc989239"/>
      <w:r>
        <w:rPr>
          <w:rFonts w:ascii="宋体" w:hAnsi="宋体" w:eastAsia="宋体" w:cs="宋体"/>
          <w:b/>
          <w:bCs/>
          <w:szCs w:val="21"/>
        </w:rPr>
        <w:t>（2） 商誉减值准备</w:t>
      </w:r>
      <w:bookmarkEnd w:id="386"/>
    </w:p>
    <w:p w14:paraId="63E6F94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07162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0F97EF1">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4551F07">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10CD99B">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213D31A">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F2F9721">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68656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9F625E2"/>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69822D0"/>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DAB8316">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vAlign w:val="center"/>
          </w:tcPr>
          <w:p w14:paraId="5DBDE5A7">
            <w:pPr>
              <w:spacing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E6BE47A">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14:paraId="04761AD5">
            <w:pPr>
              <w:spacing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4829547"/>
        </w:tc>
      </w:tr>
      <w:tr w14:paraId="70CBB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5A9C143">
            <w:pPr>
              <w:spacing w:line="240" w:lineRule="exact"/>
              <w:rPr>
                <w:rFonts w:ascii="宋体" w:hAnsi="宋体" w:eastAsia="宋体" w:cs="宋体"/>
                <w:sz w:val="18"/>
                <w:szCs w:val="18"/>
              </w:rPr>
            </w:pPr>
            <w:r>
              <w:rPr>
                <w:rFonts w:ascii="宋体" w:hAnsi="宋体" w:eastAsia="宋体" w:cs="宋体"/>
                <w:sz w:val="18"/>
                <w:szCs w:val="18"/>
              </w:rPr>
              <w:t>新疆棉花交易市场有限责任公司</w:t>
            </w:r>
          </w:p>
        </w:tc>
        <w:tc>
          <w:tcPr>
            <w:tcW w:w="1377" w:type="dxa"/>
            <w:tcBorders>
              <w:top w:val="single" w:color="auto" w:sz="2" w:space="0"/>
              <w:left w:val="single" w:color="auto" w:sz="2" w:space="0"/>
              <w:bottom w:val="single" w:color="auto" w:sz="2" w:space="0"/>
              <w:right w:val="single" w:color="auto" w:sz="2" w:space="0"/>
            </w:tcBorders>
            <w:vAlign w:val="center"/>
          </w:tcPr>
          <w:p w14:paraId="75AFCDD2">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859C3B1">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675552A">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039D5F7">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1C3704F">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9B47C37">
            <w:pPr>
              <w:spacing w:line="240" w:lineRule="exact"/>
              <w:jc w:val="right"/>
              <w:rPr>
                <w:rFonts w:ascii="宋体" w:hAnsi="宋体" w:eastAsia="宋体" w:cs="宋体"/>
                <w:sz w:val="18"/>
                <w:szCs w:val="18"/>
              </w:rPr>
            </w:pPr>
          </w:p>
        </w:tc>
      </w:tr>
      <w:tr w14:paraId="08531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7D8E82CF">
            <w:pPr>
              <w:spacing w:line="240" w:lineRule="exact"/>
              <w:rPr>
                <w:rFonts w:ascii="宋体" w:hAnsi="宋体" w:eastAsia="宋体" w:cs="宋体"/>
                <w:sz w:val="18"/>
                <w:szCs w:val="18"/>
              </w:rPr>
            </w:pPr>
            <w:r>
              <w:rPr>
                <w:rFonts w:ascii="宋体" w:hAnsi="宋体" w:eastAsia="宋体" w:cs="宋体"/>
                <w:sz w:val="18"/>
                <w:szCs w:val="18"/>
              </w:rPr>
              <w:t>浙江阿大互联科技有限公司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43204FBC">
            <w:pPr>
              <w:spacing w:line="240" w:lineRule="exact"/>
              <w:jc w:val="right"/>
              <w:rPr>
                <w:rFonts w:ascii="宋体" w:hAnsi="宋体" w:eastAsia="宋体" w:cs="宋体"/>
                <w:sz w:val="18"/>
                <w:szCs w:val="18"/>
              </w:rPr>
            </w:pPr>
            <w:r>
              <w:rPr>
                <w:rFonts w:ascii="宋体" w:hAnsi="宋体" w:eastAsia="宋体" w:cs="宋体"/>
                <w:sz w:val="18"/>
                <w:szCs w:val="18"/>
              </w:rPr>
              <w:t>19,831,313.14</w:t>
            </w:r>
          </w:p>
        </w:tc>
        <w:tc>
          <w:tcPr>
            <w:tcW w:w="1377" w:type="dxa"/>
            <w:tcBorders>
              <w:top w:val="single" w:color="auto" w:sz="2" w:space="0"/>
              <w:left w:val="single" w:color="auto" w:sz="2" w:space="0"/>
              <w:bottom w:val="single" w:color="auto" w:sz="2" w:space="0"/>
              <w:right w:val="single" w:color="auto" w:sz="2" w:space="0"/>
            </w:tcBorders>
            <w:vAlign w:val="center"/>
          </w:tcPr>
          <w:p w14:paraId="6A368037">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3181F59">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8AF7816">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49D17F5">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F2F620C">
            <w:pPr>
              <w:spacing w:line="240" w:lineRule="exact"/>
              <w:jc w:val="right"/>
              <w:rPr>
                <w:rFonts w:ascii="宋体" w:hAnsi="宋体" w:eastAsia="宋体" w:cs="宋体"/>
                <w:sz w:val="18"/>
                <w:szCs w:val="18"/>
              </w:rPr>
            </w:pPr>
            <w:r>
              <w:rPr>
                <w:rFonts w:ascii="宋体" w:hAnsi="宋体" w:eastAsia="宋体" w:cs="宋体"/>
                <w:sz w:val="18"/>
                <w:szCs w:val="18"/>
              </w:rPr>
              <w:t>19,831,313.14</w:t>
            </w:r>
          </w:p>
        </w:tc>
      </w:tr>
      <w:tr w14:paraId="0D101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F3D82C7">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1BD78631">
            <w:pPr>
              <w:spacing w:line="240" w:lineRule="exact"/>
              <w:jc w:val="right"/>
              <w:rPr>
                <w:rFonts w:ascii="宋体" w:hAnsi="宋体" w:eastAsia="宋体" w:cs="宋体"/>
                <w:sz w:val="18"/>
                <w:szCs w:val="18"/>
              </w:rPr>
            </w:pPr>
            <w:r>
              <w:rPr>
                <w:rFonts w:ascii="宋体" w:hAnsi="宋体" w:eastAsia="宋体" w:cs="宋体"/>
                <w:sz w:val="18"/>
                <w:szCs w:val="18"/>
              </w:rPr>
              <w:t>19,831,313.14</w:t>
            </w:r>
          </w:p>
        </w:tc>
        <w:tc>
          <w:tcPr>
            <w:tcW w:w="1377" w:type="dxa"/>
            <w:tcBorders>
              <w:top w:val="single" w:color="auto" w:sz="2" w:space="0"/>
              <w:left w:val="single" w:color="auto" w:sz="2" w:space="0"/>
              <w:bottom w:val="single" w:color="auto" w:sz="2" w:space="0"/>
              <w:right w:val="single" w:color="auto" w:sz="2" w:space="0"/>
            </w:tcBorders>
            <w:vAlign w:val="center"/>
          </w:tcPr>
          <w:p w14:paraId="73C6F3DE">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B1DC125">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94A7D5D">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34DF4C2">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2D7E100">
            <w:pPr>
              <w:spacing w:line="240" w:lineRule="exact"/>
              <w:jc w:val="right"/>
              <w:rPr>
                <w:rFonts w:ascii="宋体" w:hAnsi="宋体" w:eastAsia="宋体" w:cs="宋体"/>
                <w:sz w:val="18"/>
                <w:szCs w:val="18"/>
              </w:rPr>
            </w:pPr>
            <w:r>
              <w:rPr>
                <w:rFonts w:ascii="宋体" w:hAnsi="宋体" w:eastAsia="宋体" w:cs="宋体"/>
                <w:sz w:val="18"/>
                <w:szCs w:val="18"/>
              </w:rPr>
              <w:t>19,831,313.14</w:t>
            </w:r>
          </w:p>
        </w:tc>
      </w:tr>
    </w:tbl>
    <w:p w14:paraId="2828C4C5">
      <w:pPr>
        <w:keepNext/>
        <w:keepLines/>
        <w:spacing w:before="300" w:after="300" w:line="280" w:lineRule="exact"/>
        <w:outlineLvl w:val="3"/>
        <w:rPr>
          <w:rFonts w:ascii="宋体" w:hAnsi="宋体" w:eastAsia="宋体" w:cs="宋体"/>
          <w:b/>
          <w:bCs/>
          <w:szCs w:val="21"/>
        </w:rPr>
      </w:pPr>
      <w:bookmarkStart w:id="387" w:name="_Toc989240"/>
      <w:r>
        <w:rPr>
          <w:rFonts w:ascii="宋体" w:hAnsi="宋体" w:eastAsia="宋体" w:cs="宋体"/>
          <w:b/>
          <w:bCs/>
          <w:szCs w:val="21"/>
        </w:rPr>
        <w:t>（3） 商誉所在资产组或资产组组合的相关信息</w:t>
      </w:r>
      <w:bookmarkEnd w:id="387"/>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01C92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3A610E2">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C8F16B0">
            <w:pPr>
              <w:spacing w:before="40" w:after="40" w:line="240" w:lineRule="exact"/>
              <w:jc w:val="center"/>
              <w:rPr>
                <w:rFonts w:ascii="宋体" w:hAnsi="宋体" w:eastAsia="宋体" w:cs="宋体"/>
                <w:sz w:val="18"/>
                <w:szCs w:val="18"/>
              </w:rPr>
            </w:pPr>
            <w:r>
              <w:rPr>
                <w:rFonts w:ascii="宋体" w:hAnsi="宋体" w:eastAsia="宋体" w:cs="宋体"/>
                <w:sz w:val="18"/>
                <w:szCs w:val="18"/>
              </w:rPr>
              <w:t>所属资产组或组合的构成及依据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B12714B">
            <w:pPr>
              <w:spacing w:before="40" w:after="40" w:line="240" w:lineRule="exact"/>
              <w:jc w:val="center"/>
              <w:rPr>
                <w:rFonts w:ascii="宋体" w:hAnsi="宋体" w:eastAsia="宋体" w:cs="宋体"/>
                <w:sz w:val="18"/>
                <w:szCs w:val="18"/>
              </w:rPr>
            </w:pPr>
            <w:r>
              <w:rPr>
                <w:rFonts w:ascii="宋体" w:hAnsi="宋体" w:eastAsia="宋体" w:cs="宋体"/>
                <w:sz w:val="18"/>
                <w:szCs w:val="18"/>
              </w:rPr>
              <w:t>所属经营分部及依据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55D4F5F">
            <w:pPr>
              <w:spacing w:before="40" w:after="40" w:line="240" w:lineRule="exact"/>
              <w:jc w:val="center"/>
              <w:rPr>
                <w:rFonts w:ascii="宋体" w:hAnsi="宋体" w:eastAsia="宋体" w:cs="宋体"/>
                <w:sz w:val="18"/>
                <w:szCs w:val="18"/>
              </w:rPr>
            </w:pPr>
            <w:r>
              <w:rPr>
                <w:rFonts w:ascii="宋体" w:hAnsi="宋体" w:eastAsia="宋体" w:cs="宋体"/>
                <w:sz w:val="18"/>
                <w:szCs w:val="18"/>
              </w:rPr>
              <w:t>是否与以前年度保持一致</w:t>
            </w:r>
          </w:p>
        </w:tc>
      </w:tr>
    </w:tbl>
    <w:p w14:paraId="63490900">
      <w:pPr>
        <w:spacing w:before="100" w:after="100" w:line="240" w:lineRule="exact"/>
        <w:rPr>
          <w:rFonts w:ascii="宋体" w:hAnsi="宋体" w:eastAsia="宋体" w:cs="宋体"/>
          <w:sz w:val="18"/>
          <w:szCs w:val="18"/>
        </w:rPr>
      </w:pPr>
      <w:r>
        <w:rPr>
          <w:rFonts w:ascii="宋体" w:hAnsi="宋体" w:eastAsia="宋体" w:cs="宋体"/>
          <w:sz w:val="18"/>
          <w:szCs w:val="18"/>
        </w:rPr>
        <w:t>资产组或资产组组合发生变化</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20CC6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1718D14">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BBE643B">
            <w:pPr>
              <w:spacing w:before="40" w:after="40" w:line="240" w:lineRule="exact"/>
              <w:jc w:val="center"/>
              <w:rPr>
                <w:rFonts w:ascii="宋体" w:hAnsi="宋体" w:eastAsia="宋体" w:cs="宋体"/>
                <w:sz w:val="18"/>
                <w:szCs w:val="18"/>
              </w:rPr>
            </w:pPr>
            <w:r>
              <w:rPr>
                <w:rFonts w:ascii="宋体" w:hAnsi="宋体" w:eastAsia="宋体" w:cs="宋体"/>
                <w:sz w:val="18"/>
                <w:szCs w:val="18"/>
              </w:rPr>
              <w:t>变化前的构成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1D81845">
            <w:pPr>
              <w:spacing w:before="40" w:after="40" w:line="240" w:lineRule="exact"/>
              <w:jc w:val="center"/>
              <w:rPr>
                <w:rFonts w:ascii="宋体" w:hAnsi="宋体" w:eastAsia="宋体" w:cs="宋体"/>
                <w:sz w:val="18"/>
                <w:szCs w:val="18"/>
              </w:rPr>
            </w:pPr>
            <w:r>
              <w:rPr>
                <w:rFonts w:ascii="宋体" w:hAnsi="宋体" w:eastAsia="宋体" w:cs="宋体"/>
                <w:sz w:val="18"/>
                <w:szCs w:val="18"/>
              </w:rPr>
              <w:t>变化后的构成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542BA11">
            <w:pPr>
              <w:spacing w:before="40" w:after="40" w:line="240" w:lineRule="exact"/>
              <w:jc w:val="center"/>
              <w:rPr>
                <w:rFonts w:ascii="宋体" w:hAnsi="宋体" w:eastAsia="宋体" w:cs="宋体"/>
                <w:sz w:val="18"/>
                <w:szCs w:val="18"/>
              </w:rPr>
            </w:pPr>
            <w:r>
              <w:rPr>
                <w:rFonts w:ascii="宋体" w:hAnsi="宋体" w:eastAsia="宋体" w:cs="宋体"/>
                <w:sz w:val="18"/>
                <w:szCs w:val="18"/>
              </w:rPr>
              <w:t>导致变化的客观事实及依据</w:t>
            </w:r>
          </w:p>
        </w:tc>
      </w:tr>
    </w:tbl>
    <w:p w14:paraId="22572196">
      <w:pPr>
        <w:spacing w:before="100" w:after="100" w:line="240" w:lineRule="exact"/>
        <w:rPr>
          <w:rFonts w:ascii="宋体" w:hAnsi="宋体" w:eastAsia="宋体" w:cs="宋体"/>
          <w:sz w:val="18"/>
          <w:szCs w:val="18"/>
        </w:rPr>
      </w:pPr>
      <w:r>
        <w:rPr>
          <w:rFonts w:ascii="宋体" w:hAnsi="宋体" w:eastAsia="宋体" w:cs="宋体"/>
          <w:sz w:val="18"/>
          <w:szCs w:val="18"/>
        </w:rPr>
        <w:t>其他说明</w:t>
      </w:r>
    </w:p>
    <w:p w14:paraId="6372DA9A">
      <w:pPr>
        <w:spacing w:before="100" w:after="100" w:line="240" w:lineRule="exact"/>
        <w:rPr>
          <w:rFonts w:ascii="宋体" w:hAnsi="宋体" w:eastAsia="宋体" w:cs="宋体"/>
          <w:sz w:val="18"/>
          <w:szCs w:val="18"/>
        </w:rPr>
      </w:pPr>
      <w:r>
        <w:rPr>
          <w:rFonts w:hint="eastAsia" w:ascii="宋体" w:hAnsi="宋体" w:eastAsia="宋体" w:cs="宋体"/>
          <w:sz w:val="18"/>
          <w:szCs w:val="18"/>
        </w:rPr>
        <w:t>本公司之子公司新疆华孚棉业于2018年1月对新疆棉花交易市场进行增资；注入增资款3,520.00万元，占总价款的100%；合并日，取得的被投资单位可辨认净资产公允价值份额为3,233.86万元，从而形成商誉386.14万元；</w:t>
      </w:r>
    </w:p>
    <w:p w14:paraId="3A024D64">
      <w:pPr>
        <w:spacing w:before="100" w:after="100" w:line="240" w:lineRule="exact"/>
        <w:rPr>
          <w:rFonts w:ascii="宋体" w:hAnsi="宋体" w:eastAsia="宋体" w:cs="宋体"/>
          <w:sz w:val="18"/>
          <w:szCs w:val="18"/>
        </w:rPr>
      </w:pPr>
      <w:r>
        <w:rPr>
          <w:rFonts w:hint="eastAsia" w:ascii="宋体" w:hAnsi="宋体" w:eastAsia="宋体" w:cs="宋体"/>
          <w:sz w:val="18"/>
          <w:szCs w:val="18"/>
        </w:rPr>
        <w:t>本公司子公司深圳网链于2021年8月以现金27,083.00万元和持有的阿克苏纺织小商品产业园有限公司100%股权、浙江博忆纺织科技有限公司51%股权、浙江易孚贸易有限公司70%股权向目标公司浙江鲲驰互联科技有限公司进行增资，投资成本合计为39,161.60万元，取得的被投资单位可辨认净资产公允价值份额为24,371.55万元，从而形成商誉14,790.05万元。</w:t>
      </w:r>
    </w:p>
    <w:p w14:paraId="4C65EBFD">
      <w:pPr>
        <w:spacing w:before="100" w:after="100" w:line="240" w:lineRule="exact"/>
        <w:rPr>
          <w:rFonts w:ascii="宋体" w:hAnsi="宋体" w:eastAsia="宋体" w:cs="宋体"/>
          <w:sz w:val="18"/>
          <w:szCs w:val="18"/>
        </w:rPr>
      </w:pPr>
      <w:r>
        <w:rPr>
          <w:rFonts w:hint="eastAsia" w:ascii="宋体" w:hAnsi="宋体" w:eastAsia="宋体" w:cs="宋体"/>
          <w:sz w:val="18"/>
          <w:szCs w:val="18"/>
        </w:rPr>
        <w:t>上述资产组与购买日所确认的资产组一致。</w:t>
      </w:r>
    </w:p>
    <w:p w14:paraId="40A4944E">
      <w:pPr>
        <w:keepNext/>
        <w:keepLines/>
        <w:spacing w:before="300" w:after="300" w:line="280" w:lineRule="exact"/>
        <w:outlineLvl w:val="3"/>
        <w:rPr>
          <w:rFonts w:ascii="宋体" w:hAnsi="宋体" w:eastAsia="宋体" w:cs="宋体"/>
          <w:b/>
          <w:bCs/>
          <w:szCs w:val="21"/>
        </w:rPr>
      </w:pPr>
      <w:bookmarkStart w:id="388" w:name="_Toc989241"/>
      <w:r>
        <w:rPr>
          <w:rFonts w:ascii="宋体" w:hAnsi="宋体" w:eastAsia="宋体" w:cs="宋体"/>
          <w:b/>
          <w:bCs/>
          <w:szCs w:val="21"/>
        </w:rPr>
        <w:t>（4） 可收回金额的具体确定方法</w:t>
      </w:r>
      <w:bookmarkEnd w:id="388"/>
    </w:p>
    <w:p w14:paraId="331A82B1">
      <w:pPr>
        <w:spacing w:before="100" w:after="100" w:line="240" w:lineRule="exact"/>
        <w:rPr>
          <w:rFonts w:ascii="宋体" w:hAnsi="宋体" w:eastAsia="宋体" w:cs="宋体"/>
          <w:sz w:val="18"/>
          <w:szCs w:val="18"/>
        </w:rPr>
      </w:pPr>
      <w:r>
        <w:rPr>
          <w:rFonts w:ascii="宋体" w:hAnsi="宋体" w:eastAsia="宋体" w:cs="宋体"/>
          <w:sz w:val="18"/>
          <w:szCs w:val="18"/>
        </w:rPr>
        <w:t>可收回金额按公允价值减去处置费用后的净额确定</w:t>
      </w:r>
    </w:p>
    <w:p w14:paraId="6D8866E7">
      <w:pPr>
        <w:spacing w:before="40" w:after="4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4EE60AE">
      <w:pPr>
        <w:spacing w:before="100" w:after="100" w:line="240" w:lineRule="exact"/>
        <w:rPr>
          <w:rFonts w:ascii="宋体" w:hAnsi="宋体" w:eastAsia="宋体" w:cs="宋体"/>
          <w:sz w:val="18"/>
          <w:szCs w:val="18"/>
        </w:rPr>
      </w:pPr>
      <w:r>
        <w:rPr>
          <w:rFonts w:ascii="宋体" w:hAnsi="宋体" w:eastAsia="宋体" w:cs="宋体"/>
          <w:sz w:val="18"/>
          <w:szCs w:val="18"/>
        </w:rPr>
        <w:t>可收回金额按预计未来现金流量的现值确定</w:t>
      </w:r>
    </w:p>
    <w:p w14:paraId="457F02DF">
      <w:pPr>
        <w:spacing w:before="40" w:after="4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1BDE401">
      <w:pPr>
        <w:spacing w:before="100" w:after="100" w:line="240" w:lineRule="exact"/>
        <w:rPr>
          <w:rFonts w:ascii="宋体" w:hAnsi="宋体" w:eastAsia="宋体" w:cs="宋体"/>
          <w:sz w:val="18"/>
          <w:szCs w:val="18"/>
        </w:rPr>
      </w:pPr>
      <w:r>
        <w:rPr>
          <w:rFonts w:ascii="宋体" w:hAnsi="宋体" w:eastAsia="宋体" w:cs="宋体"/>
          <w:sz w:val="18"/>
          <w:szCs w:val="18"/>
        </w:rPr>
        <w:t>前述信息与以前年度减值测试采用的信息或外部信息明显不一致的差异原因</w:t>
      </w:r>
    </w:p>
    <w:p w14:paraId="6420E358">
      <w:pPr>
        <w:pStyle w:val="9"/>
        <w:rPr>
          <w:sz w:val="18"/>
          <w:szCs w:val="18"/>
        </w:rPr>
      </w:pPr>
      <w:r>
        <w:rPr>
          <w:rFonts w:hint="eastAsia"/>
          <w:sz w:val="18"/>
          <w:szCs w:val="18"/>
        </w:rPr>
        <w:t>无</w:t>
      </w:r>
    </w:p>
    <w:p w14:paraId="2F32FB8E">
      <w:pPr>
        <w:spacing w:before="100" w:after="100" w:line="240" w:lineRule="exact"/>
        <w:rPr>
          <w:rFonts w:ascii="宋体" w:hAnsi="宋体" w:eastAsia="宋体" w:cs="宋体"/>
          <w:sz w:val="18"/>
          <w:szCs w:val="18"/>
        </w:rPr>
      </w:pPr>
      <w:r>
        <w:rPr>
          <w:rFonts w:ascii="宋体" w:hAnsi="宋体" w:eastAsia="宋体" w:cs="宋体"/>
          <w:sz w:val="18"/>
          <w:szCs w:val="18"/>
        </w:rPr>
        <w:t>公司以前年度减值测试采用信息与当年实际情况明显不一致的差异原因</w:t>
      </w:r>
    </w:p>
    <w:p w14:paraId="6113C4E6">
      <w:pPr>
        <w:pStyle w:val="9"/>
        <w:rPr>
          <w:sz w:val="18"/>
          <w:szCs w:val="18"/>
        </w:rPr>
      </w:pPr>
      <w:r>
        <w:rPr>
          <w:rFonts w:hint="eastAsia"/>
          <w:sz w:val="18"/>
          <w:szCs w:val="18"/>
        </w:rPr>
        <w:t>无</w:t>
      </w:r>
    </w:p>
    <w:p w14:paraId="5F35913D">
      <w:pPr>
        <w:keepNext/>
        <w:keepLines/>
        <w:spacing w:before="300" w:after="300" w:line="280" w:lineRule="exact"/>
        <w:outlineLvl w:val="3"/>
        <w:rPr>
          <w:rFonts w:ascii="宋体" w:hAnsi="宋体" w:eastAsia="宋体" w:cs="宋体"/>
          <w:b/>
          <w:bCs/>
          <w:szCs w:val="21"/>
        </w:rPr>
      </w:pPr>
      <w:bookmarkStart w:id="389" w:name="_Toc989242"/>
      <w:r>
        <w:rPr>
          <w:rFonts w:ascii="宋体" w:hAnsi="宋体" w:eastAsia="宋体" w:cs="宋体"/>
          <w:b/>
          <w:bCs/>
          <w:szCs w:val="21"/>
        </w:rPr>
        <w:t>（5） 业绩承诺完成及对应商誉减值情况</w:t>
      </w:r>
      <w:bookmarkEnd w:id="389"/>
    </w:p>
    <w:p w14:paraId="5A4DB56A">
      <w:pPr>
        <w:spacing w:before="100" w:after="100" w:line="240" w:lineRule="exact"/>
        <w:rPr>
          <w:rFonts w:ascii="宋体" w:hAnsi="宋体" w:eastAsia="宋体" w:cs="宋体"/>
          <w:sz w:val="18"/>
          <w:szCs w:val="18"/>
        </w:rPr>
      </w:pPr>
      <w:r>
        <w:rPr>
          <w:rFonts w:ascii="宋体" w:hAnsi="宋体" w:eastAsia="宋体" w:cs="宋体"/>
          <w:sz w:val="18"/>
          <w:szCs w:val="18"/>
        </w:rPr>
        <w:t>形成商誉时存在业绩承诺且报告期或报告期上一期间处于业绩承诺期内</w:t>
      </w:r>
    </w:p>
    <w:p w14:paraId="36533C64">
      <w:pPr>
        <w:spacing w:before="40" w:after="4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FAAF400">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761F5981">
      <w:pPr>
        <w:pStyle w:val="3"/>
        <w:spacing w:line="280" w:lineRule="exact"/>
        <w:jc w:val="left"/>
        <w:rPr>
          <w:rFonts w:ascii="宋体" w:hAnsi="宋体" w:cs="宋体"/>
          <w:b/>
          <w:bCs/>
        </w:rPr>
      </w:pPr>
      <w:bookmarkStart w:id="390" w:name="_Toc989243"/>
      <w:r>
        <w:rPr>
          <w:rFonts w:ascii="宋体" w:hAnsi="宋体" w:cs="宋体"/>
          <w:b/>
          <w:bCs/>
        </w:rPr>
        <w:t>28、长期待摊费用</w:t>
      </w:r>
      <w:bookmarkEnd w:id="390"/>
    </w:p>
    <w:p w14:paraId="120097C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14:paraId="756DD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6378FE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491BEFB">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C030DB4">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E5BB7DA">
            <w:pPr>
              <w:spacing w:before="40" w:after="40" w:line="240" w:lineRule="exact"/>
              <w:jc w:val="center"/>
              <w:rPr>
                <w:rFonts w:ascii="宋体" w:hAnsi="宋体" w:eastAsia="宋体" w:cs="宋体"/>
                <w:sz w:val="18"/>
                <w:szCs w:val="18"/>
              </w:rPr>
            </w:pPr>
            <w:r>
              <w:rPr>
                <w:rFonts w:ascii="宋体" w:hAnsi="宋体" w:eastAsia="宋体" w:cs="宋体"/>
                <w:sz w:val="18"/>
                <w:szCs w:val="18"/>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CBFFFDD">
            <w:pPr>
              <w:spacing w:before="40" w:after="40" w:line="240" w:lineRule="exact"/>
              <w:jc w:val="center"/>
              <w:rPr>
                <w:rFonts w:ascii="宋体" w:hAnsi="宋体" w:eastAsia="宋体" w:cs="宋体"/>
                <w:sz w:val="18"/>
                <w:szCs w:val="18"/>
              </w:rPr>
            </w:pPr>
            <w:r>
              <w:rPr>
                <w:rFonts w:ascii="宋体" w:hAnsi="宋体" w:eastAsia="宋体" w:cs="宋体"/>
                <w:sz w:val="18"/>
                <w:szCs w:val="18"/>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81E412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217B5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0556C0F">
            <w:pPr>
              <w:spacing w:line="240" w:lineRule="exact"/>
              <w:rPr>
                <w:rFonts w:ascii="宋体" w:hAnsi="宋体" w:eastAsia="宋体" w:cs="宋体"/>
                <w:sz w:val="18"/>
                <w:szCs w:val="18"/>
              </w:rPr>
            </w:pPr>
            <w:r>
              <w:rPr>
                <w:rFonts w:ascii="宋体" w:hAnsi="宋体" w:eastAsia="宋体" w:cs="宋体"/>
                <w:sz w:val="18"/>
                <w:szCs w:val="18"/>
              </w:rPr>
              <w:t>装修费</w:t>
            </w:r>
          </w:p>
        </w:tc>
        <w:tc>
          <w:tcPr>
            <w:tcW w:w="1606" w:type="dxa"/>
            <w:tcBorders>
              <w:top w:val="single" w:color="auto" w:sz="2" w:space="0"/>
              <w:left w:val="single" w:color="auto" w:sz="2" w:space="0"/>
              <w:bottom w:val="single" w:color="auto" w:sz="2" w:space="0"/>
              <w:right w:val="single" w:color="auto" w:sz="2" w:space="0"/>
            </w:tcBorders>
            <w:vAlign w:val="center"/>
          </w:tcPr>
          <w:p w14:paraId="3870397C">
            <w:pPr>
              <w:spacing w:line="240" w:lineRule="exact"/>
              <w:jc w:val="right"/>
              <w:rPr>
                <w:rFonts w:ascii="宋体" w:hAnsi="宋体" w:eastAsia="宋体" w:cs="宋体"/>
                <w:sz w:val="18"/>
                <w:szCs w:val="18"/>
              </w:rPr>
            </w:pPr>
            <w:r>
              <w:rPr>
                <w:rFonts w:ascii="宋体" w:hAnsi="宋体" w:eastAsia="宋体" w:cs="宋体"/>
                <w:sz w:val="18"/>
                <w:szCs w:val="18"/>
              </w:rPr>
              <w:t>7,037,444.04</w:t>
            </w:r>
          </w:p>
        </w:tc>
        <w:tc>
          <w:tcPr>
            <w:tcW w:w="1606" w:type="dxa"/>
            <w:tcBorders>
              <w:top w:val="single" w:color="auto" w:sz="2" w:space="0"/>
              <w:left w:val="single" w:color="auto" w:sz="2" w:space="0"/>
              <w:bottom w:val="single" w:color="auto" w:sz="2" w:space="0"/>
              <w:right w:val="single" w:color="auto" w:sz="2" w:space="0"/>
            </w:tcBorders>
            <w:vAlign w:val="center"/>
          </w:tcPr>
          <w:p w14:paraId="13FD8292">
            <w:pPr>
              <w:spacing w:line="240" w:lineRule="exact"/>
              <w:jc w:val="right"/>
              <w:rPr>
                <w:rFonts w:ascii="宋体" w:hAnsi="宋体" w:eastAsia="宋体" w:cs="宋体"/>
                <w:sz w:val="18"/>
                <w:szCs w:val="18"/>
              </w:rPr>
            </w:pPr>
            <w:r>
              <w:rPr>
                <w:rFonts w:ascii="宋体" w:hAnsi="宋体" w:eastAsia="宋体" w:cs="宋体"/>
                <w:sz w:val="18"/>
                <w:szCs w:val="18"/>
              </w:rPr>
              <w:t>4,525,335.23</w:t>
            </w:r>
          </w:p>
        </w:tc>
        <w:tc>
          <w:tcPr>
            <w:tcW w:w="1606" w:type="dxa"/>
            <w:tcBorders>
              <w:top w:val="single" w:color="auto" w:sz="2" w:space="0"/>
              <w:left w:val="single" w:color="auto" w:sz="2" w:space="0"/>
              <w:bottom w:val="single" w:color="auto" w:sz="2" w:space="0"/>
              <w:right w:val="single" w:color="auto" w:sz="2" w:space="0"/>
            </w:tcBorders>
            <w:vAlign w:val="center"/>
          </w:tcPr>
          <w:p w14:paraId="73AEC87F">
            <w:pPr>
              <w:spacing w:line="240" w:lineRule="exact"/>
              <w:jc w:val="right"/>
              <w:rPr>
                <w:rFonts w:ascii="宋体" w:hAnsi="宋体" w:eastAsia="宋体" w:cs="宋体"/>
                <w:sz w:val="18"/>
                <w:szCs w:val="18"/>
              </w:rPr>
            </w:pPr>
            <w:r>
              <w:rPr>
                <w:rFonts w:ascii="宋体" w:hAnsi="宋体" w:eastAsia="宋体" w:cs="宋体"/>
                <w:sz w:val="18"/>
                <w:szCs w:val="18"/>
              </w:rPr>
              <w:t>5,933,235.20</w:t>
            </w:r>
          </w:p>
        </w:tc>
        <w:tc>
          <w:tcPr>
            <w:tcW w:w="1606" w:type="dxa"/>
            <w:tcBorders>
              <w:top w:val="single" w:color="auto" w:sz="2" w:space="0"/>
              <w:left w:val="single" w:color="auto" w:sz="2" w:space="0"/>
              <w:bottom w:val="single" w:color="auto" w:sz="2" w:space="0"/>
              <w:right w:val="single" w:color="auto" w:sz="2" w:space="0"/>
            </w:tcBorders>
            <w:vAlign w:val="center"/>
          </w:tcPr>
          <w:p w14:paraId="4A679771">
            <w:pPr>
              <w:spacing w:line="240" w:lineRule="exact"/>
              <w:jc w:val="right"/>
              <w:rPr>
                <w:rFonts w:ascii="宋体" w:hAnsi="宋体" w:eastAsia="宋体" w:cs="宋体"/>
                <w:sz w:val="18"/>
                <w:szCs w:val="18"/>
              </w:rPr>
            </w:pPr>
            <w:r>
              <w:rPr>
                <w:rFonts w:ascii="宋体" w:hAnsi="宋体" w:eastAsia="宋体" w:cs="宋体"/>
                <w:sz w:val="18"/>
                <w:szCs w:val="18"/>
              </w:rPr>
              <w:t>399.18</w:t>
            </w:r>
          </w:p>
        </w:tc>
        <w:tc>
          <w:tcPr>
            <w:tcW w:w="1606" w:type="dxa"/>
            <w:tcBorders>
              <w:top w:val="single" w:color="auto" w:sz="2" w:space="0"/>
              <w:left w:val="single" w:color="auto" w:sz="2" w:space="0"/>
              <w:bottom w:val="single" w:color="auto" w:sz="2" w:space="0"/>
              <w:right w:val="single" w:color="auto" w:sz="2" w:space="0"/>
            </w:tcBorders>
            <w:vAlign w:val="center"/>
          </w:tcPr>
          <w:p w14:paraId="55A4EA6B">
            <w:pPr>
              <w:spacing w:line="240" w:lineRule="exact"/>
              <w:jc w:val="right"/>
              <w:rPr>
                <w:rFonts w:ascii="宋体" w:hAnsi="宋体" w:eastAsia="宋体" w:cs="宋体"/>
                <w:sz w:val="18"/>
                <w:szCs w:val="18"/>
              </w:rPr>
            </w:pPr>
            <w:r>
              <w:rPr>
                <w:rFonts w:ascii="宋体" w:hAnsi="宋体" w:eastAsia="宋体" w:cs="宋体"/>
                <w:sz w:val="18"/>
                <w:szCs w:val="18"/>
              </w:rPr>
              <w:t>5,629,144.89</w:t>
            </w:r>
          </w:p>
        </w:tc>
      </w:tr>
      <w:tr w14:paraId="5D8B4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DA52B1D">
            <w:pPr>
              <w:spacing w:line="240" w:lineRule="exact"/>
              <w:rPr>
                <w:rFonts w:ascii="宋体" w:hAnsi="宋体" w:eastAsia="宋体" w:cs="宋体"/>
                <w:sz w:val="18"/>
                <w:szCs w:val="18"/>
              </w:rPr>
            </w:pPr>
            <w:r>
              <w:rPr>
                <w:rFonts w:ascii="宋体" w:hAnsi="宋体" w:eastAsia="宋体" w:cs="宋体"/>
                <w:sz w:val="18"/>
                <w:szCs w:val="18"/>
              </w:rPr>
              <w:t>机物料</w:t>
            </w:r>
          </w:p>
        </w:tc>
        <w:tc>
          <w:tcPr>
            <w:tcW w:w="1606" w:type="dxa"/>
            <w:tcBorders>
              <w:top w:val="single" w:color="auto" w:sz="2" w:space="0"/>
              <w:left w:val="single" w:color="auto" w:sz="2" w:space="0"/>
              <w:bottom w:val="single" w:color="auto" w:sz="2" w:space="0"/>
              <w:right w:val="single" w:color="auto" w:sz="2" w:space="0"/>
            </w:tcBorders>
            <w:vAlign w:val="center"/>
          </w:tcPr>
          <w:p w14:paraId="5FAD36A8">
            <w:pPr>
              <w:spacing w:line="240" w:lineRule="exact"/>
              <w:jc w:val="right"/>
              <w:rPr>
                <w:rFonts w:ascii="宋体" w:hAnsi="宋体" w:eastAsia="宋体" w:cs="宋体"/>
                <w:sz w:val="18"/>
                <w:szCs w:val="18"/>
              </w:rPr>
            </w:pPr>
            <w:r>
              <w:rPr>
                <w:rFonts w:ascii="宋体" w:hAnsi="宋体" w:eastAsia="宋体" w:cs="宋体"/>
                <w:sz w:val="18"/>
                <w:szCs w:val="18"/>
              </w:rPr>
              <w:t>2,268,946.04</w:t>
            </w:r>
          </w:p>
        </w:tc>
        <w:tc>
          <w:tcPr>
            <w:tcW w:w="1606" w:type="dxa"/>
            <w:tcBorders>
              <w:top w:val="single" w:color="auto" w:sz="2" w:space="0"/>
              <w:left w:val="single" w:color="auto" w:sz="2" w:space="0"/>
              <w:bottom w:val="single" w:color="auto" w:sz="2" w:space="0"/>
              <w:right w:val="single" w:color="auto" w:sz="2" w:space="0"/>
            </w:tcBorders>
            <w:vAlign w:val="center"/>
          </w:tcPr>
          <w:p w14:paraId="4D6467AD">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268EEFF">
            <w:pPr>
              <w:spacing w:line="240" w:lineRule="exact"/>
              <w:jc w:val="right"/>
              <w:rPr>
                <w:rFonts w:ascii="宋体" w:hAnsi="宋体" w:eastAsia="宋体" w:cs="宋体"/>
                <w:sz w:val="18"/>
                <w:szCs w:val="18"/>
              </w:rPr>
            </w:pPr>
            <w:r>
              <w:rPr>
                <w:rFonts w:ascii="宋体" w:hAnsi="宋体" w:eastAsia="宋体" w:cs="宋体"/>
                <w:sz w:val="18"/>
                <w:szCs w:val="18"/>
              </w:rPr>
              <w:t>2,136,925.14</w:t>
            </w:r>
          </w:p>
        </w:tc>
        <w:tc>
          <w:tcPr>
            <w:tcW w:w="1606" w:type="dxa"/>
            <w:tcBorders>
              <w:top w:val="single" w:color="auto" w:sz="2" w:space="0"/>
              <w:left w:val="single" w:color="auto" w:sz="2" w:space="0"/>
              <w:bottom w:val="single" w:color="auto" w:sz="2" w:space="0"/>
              <w:right w:val="single" w:color="auto" w:sz="2" w:space="0"/>
            </w:tcBorders>
            <w:vAlign w:val="center"/>
          </w:tcPr>
          <w:p w14:paraId="25DA6D8F">
            <w:pPr>
              <w:spacing w:line="240" w:lineRule="exact"/>
              <w:jc w:val="right"/>
              <w:rPr>
                <w:rFonts w:ascii="宋体" w:hAnsi="宋体" w:eastAsia="宋体" w:cs="宋体"/>
                <w:sz w:val="18"/>
                <w:szCs w:val="18"/>
              </w:rPr>
            </w:pPr>
            <w:r>
              <w:rPr>
                <w:rFonts w:ascii="宋体" w:hAnsi="宋体" w:eastAsia="宋体" w:cs="宋体"/>
                <w:sz w:val="18"/>
                <w:szCs w:val="18"/>
              </w:rPr>
              <w:t>132,020.90</w:t>
            </w:r>
          </w:p>
        </w:tc>
        <w:tc>
          <w:tcPr>
            <w:tcW w:w="1606" w:type="dxa"/>
            <w:tcBorders>
              <w:top w:val="single" w:color="auto" w:sz="2" w:space="0"/>
              <w:left w:val="single" w:color="auto" w:sz="2" w:space="0"/>
              <w:bottom w:val="single" w:color="auto" w:sz="2" w:space="0"/>
              <w:right w:val="single" w:color="auto" w:sz="2" w:space="0"/>
            </w:tcBorders>
            <w:vAlign w:val="center"/>
          </w:tcPr>
          <w:p w14:paraId="2B4CF65E">
            <w:pPr>
              <w:spacing w:line="240" w:lineRule="exact"/>
              <w:jc w:val="right"/>
              <w:rPr>
                <w:rFonts w:ascii="宋体" w:hAnsi="宋体" w:eastAsia="宋体" w:cs="宋体"/>
                <w:sz w:val="18"/>
                <w:szCs w:val="18"/>
              </w:rPr>
            </w:pPr>
            <w:r>
              <w:rPr>
                <w:rFonts w:ascii="宋体" w:hAnsi="宋体" w:eastAsia="宋体" w:cs="宋体"/>
                <w:sz w:val="18"/>
                <w:szCs w:val="18"/>
              </w:rPr>
              <w:t>0.00</w:t>
            </w:r>
          </w:p>
        </w:tc>
      </w:tr>
      <w:tr w14:paraId="0A0B0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ED49711">
            <w:pPr>
              <w:spacing w:line="240" w:lineRule="exact"/>
              <w:rPr>
                <w:rFonts w:ascii="宋体" w:hAnsi="宋体" w:eastAsia="宋体" w:cs="宋体"/>
                <w:sz w:val="18"/>
                <w:szCs w:val="18"/>
              </w:rPr>
            </w:pPr>
            <w:r>
              <w:rPr>
                <w:rFonts w:ascii="宋体" w:hAnsi="宋体" w:eastAsia="宋体" w:cs="宋体"/>
                <w:sz w:val="18"/>
                <w:szCs w:val="18"/>
              </w:rPr>
              <w:t>租赁费</w:t>
            </w:r>
          </w:p>
        </w:tc>
        <w:tc>
          <w:tcPr>
            <w:tcW w:w="1606" w:type="dxa"/>
            <w:tcBorders>
              <w:top w:val="single" w:color="auto" w:sz="2" w:space="0"/>
              <w:left w:val="single" w:color="auto" w:sz="2" w:space="0"/>
              <w:bottom w:val="single" w:color="auto" w:sz="2" w:space="0"/>
              <w:right w:val="single" w:color="auto" w:sz="2" w:space="0"/>
            </w:tcBorders>
            <w:vAlign w:val="center"/>
          </w:tcPr>
          <w:p w14:paraId="43041B96">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3B0A5EF">
            <w:pPr>
              <w:spacing w:line="240" w:lineRule="exact"/>
              <w:jc w:val="right"/>
              <w:rPr>
                <w:rFonts w:ascii="宋体" w:hAnsi="宋体" w:eastAsia="宋体" w:cs="宋体"/>
                <w:sz w:val="18"/>
                <w:szCs w:val="18"/>
              </w:rPr>
            </w:pPr>
            <w:r>
              <w:rPr>
                <w:rFonts w:ascii="宋体" w:hAnsi="宋体" w:eastAsia="宋体" w:cs="宋体"/>
                <w:sz w:val="18"/>
                <w:szCs w:val="18"/>
              </w:rPr>
              <w:t>90,028,046.17</w:t>
            </w:r>
          </w:p>
        </w:tc>
        <w:tc>
          <w:tcPr>
            <w:tcW w:w="1606" w:type="dxa"/>
            <w:tcBorders>
              <w:top w:val="single" w:color="auto" w:sz="2" w:space="0"/>
              <w:left w:val="single" w:color="auto" w:sz="2" w:space="0"/>
              <w:bottom w:val="single" w:color="auto" w:sz="2" w:space="0"/>
              <w:right w:val="single" w:color="auto" w:sz="2" w:space="0"/>
            </w:tcBorders>
            <w:vAlign w:val="center"/>
          </w:tcPr>
          <w:p w14:paraId="7F2FF12E">
            <w:pPr>
              <w:spacing w:line="240" w:lineRule="exact"/>
              <w:jc w:val="right"/>
              <w:rPr>
                <w:rFonts w:ascii="宋体" w:hAnsi="宋体" w:eastAsia="宋体" w:cs="宋体"/>
                <w:sz w:val="18"/>
                <w:szCs w:val="18"/>
              </w:rPr>
            </w:pPr>
            <w:r>
              <w:rPr>
                <w:rFonts w:ascii="宋体" w:hAnsi="宋体" w:eastAsia="宋体" w:cs="宋体"/>
                <w:sz w:val="18"/>
                <w:szCs w:val="18"/>
              </w:rPr>
              <w:t>9,641,400.00</w:t>
            </w:r>
          </w:p>
        </w:tc>
        <w:tc>
          <w:tcPr>
            <w:tcW w:w="1606" w:type="dxa"/>
            <w:tcBorders>
              <w:top w:val="single" w:color="auto" w:sz="2" w:space="0"/>
              <w:left w:val="single" w:color="auto" w:sz="2" w:space="0"/>
              <w:bottom w:val="single" w:color="auto" w:sz="2" w:space="0"/>
              <w:right w:val="single" w:color="auto" w:sz="2" w:space="0"/>
            </w:tcBorders>
            <w:vAlign w:val="center"/>
          </w:tcPr>
          <w:p w14:paraId="55FCF3A6">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51E79B0">
            <w:pPr>
              <w:spacing w:line="240" w:lineRule="exact"/>
              <w:jc w:val="right"/>
              <w:rPr>
                <w:rFonts w:ascii="宋体" w:hAnsi="宋体" w:eastAsia="宋体" w:cs="宋体"/>
                <w:sz w:val="18"/>
                <w:szCs w:val="18"/>
              </w:rPr>
            </w:pPr>
            <w:r>
              <w:rPr>
                <w:rFonts w:ascii="宋体" w:hAnsi="宋体" w:eastAsia="宋体" w:cs="宋体"/>
                <w:sz w:val="18"/>
                <w:szCs w:val="18"/>
              </w:rPr>
              <w:t>80,386,646.17</w:t>
            </w:r>
          </w:p>
        </w:tc>
      </w:tr>
      <w:tr w14:paraId="22447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1428F4C">
            <w:pPr>
              <w:spacing w:line="240" w:lineRule="exac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14:paraId="5117F6E1">
            <w:pPr>
              <w:spacing w:line="240" w:lineRule="exact"/>
              <w:jc w:val="right"/>
              <w:rPr>
                <w:rFonts w:ascii="宋体" w:hAnsi="宋体" w:eastAsia="宋体" w:cs="宋体"/>
                <w:sz w:val="18"/>
                <w:szCs w:val="18"/>
              </w:rPr>
            </w:pPr>
            <w:r>
              <w:rPr>
                <w:rFonts w:ascii="宋体" w:hAnsi="宋体" w:eastAsia="宋体" w:cs="宋体"/>
                <w:sz w:val="18"/>
                <w:szCs w:val="18"/>
              </w:rPr>
              <w:t>2,314,648.38</w:t>
            </w:r>
          </w:p>
        </w:tc>
        <w:tc>
          <w:tcPr>
            <w:tcW w:w="1606" w:type="dxa"/>
            <w:tcBorders>
              <w:top w:val="single" w:color="auto" w:sz="2" w:space="0"/>
              <w:left w:val="single" w:color="auto" w:sz="2" w:space="0"/>
              <w:bottom w:val="single" w:color="auto" w:sz="2" w:space="0"/>
              <w:right w:val="single" w:color="auto" w:sz="2" w:space="0"/>
            </w:tcBorders>
            <w:vAlign w:val="center"/>
          </w:tcPr>
          <w:p w14:paraId="256C1B40">
            <w:pPr>
              <w:spacing w:line="240" w:lineRule="exact"/>
              <w:jc w:val="right"/>
              <w:rPr>
                <w:rFonts w:ascii="宋体" w:hAnsi="宋体" w:eastAsia="宋体" w:cs="宋体"/>
                <w:sz w:val="18"/>
                <w:szCs w:val="18"/>
              </w:rPr>
            </w:pPr>
            <w:r>
              <w:rPr>
                <w:rFonts w:ascii="宋体" w:hAnsi="宋体" w:eastAsia="宋体" w:cs="宋体"/>
                <w:sz w:val="18"/>
                <w:szCs w:val="18"/>
              </w:rPr>
              <w:t>2,860,856.74</w:t>
            </w:r>
          </w:p>
        </w:tc>
        <w:tc>
          <w:tcPr>
            <w:tcW w:w="1606" w:type="dxa"/>
            <w:tcBorders>
              <w:top w:val="single" w:color="auto" w:sz="2" w:space="0"/>
              <w:left w:val="single" w:color="auto" w:sz="2" w:space="0"/>
              <w:bottom w:val="single" w:color="auto" w:sz="2" w:space="0"/>
              <w:right w:val="single" w:color="auto" w:sz="2" w:space="0"/>
            </w:tcBorders>
            <w:vAlign w:val="center"/>
          </w:tcPr>
          <w:p w14:paraId="5EC6A531">
            <w:pPr>
              <w:spacing w:line="240" w:lineRule="exact"/>
              <w:jc w:val="right"/>
              <w:rPr>
                <w:rFonts w:ascii="宋体" w:hAnsi="宋体" w:eastAsia="宋体" w:cs="宋体"/>
                <w:sz w:val="18"/>
                <w:szCs w:val="18"/>
              </w:rPr>
            </w:pPr>
            <w:r>
              <w:rPr>
                <w:rFonts w:ascii="宋体" w:hAnsi="宋体" w:eastAsia="宋体" w:cs="宋体"/>
                <w:sz w:val="18"/>
                <w:szCs w:val="18"/>
              </w:rPr>
              <w:t>2,204,483.71</w:t>
            </w:r>
          </w:p>
        </w:tc>
        <w:tc>
          <w:tcPr>
            <w:tcW w:w="1606" w:type="dxa"/>
            <w:tcBorders>
              <w:top w:val="single" w:color="auto" w:sz="2" w:space="0"/>
              <w:left w:val="single" w:color="auto" w:sz="2" w:space="0"/>
              <w:bottom w:val="single" w:color="auto" w:sz="2" w:space="0"/>
              <w:right w:val="single" w:color="auto" w:sz="2" w:space="0"/>
            </w:tcBorders>
            <w:vAlign w:val="center"/>
          </w:tcPr>
          <w:p w14:paraId="0A0F1C40">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14:paraId="5C05959B">
            <w:pPr>
              <w:spacing w:line="240" w:lineRule="exact"/>
              <w:jc w:val="right"/>
              <w:rPr>
                <w:rFonts w:ascii="宋体" w:hAnsi="宋体" w:eastAsia="宋体" w:cs="宋体"/>
                <w:sz w:val="18"/>
                <w:szCs w:val="18"/>
              </w:rPr>
            </w:pPr>
            <w:r>
              <w:rPr>
                <w:rFonts w:ascii="宋体" w:hAnsi="宋体" w:eastAsia="宋体" w:cs="宋体"/>
                <w:sz w:val="18"/>
                <w:szCs w:val="18"/>
              </w:rPr>
              <w:t>2,971,021.41</w:t>
            </w:r>
          </w:p>
        </w:tc>
      </w:tr>
      <w:tr w14:paraId="655D3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51FB944">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14:paraId="64299B7A">
            <w:pPr>
              <w:spacing w:line="240" w:lineRule="exact"/>
              <w:jc w:val="right"/>
              <w:rPr>
                <w:rFonts w:ascii="宋体" w:hAnsi="宋体" w:eastAsia="宋体" w:cs="宋体"/>
                <w:sz w:val="18"/>
                <w:szCs w:val="18"/>
              </w:rPr>
            </w:pPr>
            <w:r>
              <w:rPr>
                <w:rFonts w:ascii="宋体" w:hAnsi="宋体" w:eastAsia="宋体" w:cs="宋体"/>
                <w:sz w:val="18"/>
                <w:szCs w:val="18"/>
              </w:rPr>
              <w:t>11,621,038.46</w:t>
            </w:r>
          </w:p>
        </w:tc>
        <w:tc>
          <w:tcPr>
            <w:tcW w:w="1606" w:type="dxa"/>
            <w:tcBorders>
              <w:top w:val="single" w:color="auto" w:sz="2" w:space="0"/>
              <w:left w:val="single" w:color="auto" w:sz="2" w:space="0"/>
              <w:bottom w:val="single" w:color="auto" w:sz="2" w:space="0"/>
              <w:right w:val="single" w:color="auto" w:sz="2" w:space="0"/>
            </w:tcBorders>
            <w:vAlign w:val="center"/>
          </w:tcPr>
          <w:p w14:paraId="6965CAFB">
            <w:pPr>
              <w:spacing w:line="240" w:lineRule="exact"/>
              <w:jc w:val="right"/>
              <w:rPr>
                <w:rFonts w:ascii="宋体" w:hAnsi="宋体" w:eastAsia="宋体" w:cs="宋体"/>
                <w:sz w:val="18"/>
                <w:szCs w:val="18"/>
              </w:rPr>
            </w:pPr>
            <w:r>
              <w:rPr>
                <w:rFonts w:ascii="宋体" w:hAnsi="宋体" w:eastAsia="宋体" w:cs="宋体"/>
                <w:sz w:val="18"/>
                <w:szCs w:val="18"/>
              </w:rPr>
              <w:t>97,414,238.14</w:t>
            </w:r>
          </w:p>
        </w:tc>
        <w:tc>
          <w:tcPr>
            <w:tcW w:w="1606" w:type="dxa"/>
            <w:tcBorders>
              <w:top w:val="single" w:color="auto" w:sz="2" w:space="0"/>
              <w:left w:val="single" w:color="auto" w:sz="2" w:space="0"/>
              <w:bottom w:val="single" w:color="auto" w:sz="2" w:space="0"/>
              <w:right w:val="single" w:color="auto" w:sz="2" w:space="0"/>
            </w:tcBorders>
            <w:vAlign w:val="center"/>
          </w:tcPr>
          <w:p w14:paraId="4B7C37D0">
            <w:pPr>
              <w:spacing w:line="240" w:lineRule="exact"/>
              <w:jc w:val="right"/>
              <w:rPr>
                <w:rFonts w:ascii="宋体" w:hAnsi="宋体" w:eastAsia="宋体" w:cs="宋体"/>
                <w:sz w:val="18"/>
                <w:szCs w:val="18"/>
              </w:rPr>
            </w:pPr>
            <w:r>
              <w:rPr>
                <w:rFonts w:ascii="宋体" w:hAnsi="宋体" w:eastAsia="宋体" w:cs="宋体"/>
                <w:sz w:val="18"/>
                <w:szCs w:val="18"/>
              </w:rPr>
              <w:t>19,916,044.05</w:t>
            </w:r>
          </w:p>
        </w:tc>
        <w:tc>
          <w:tcPr>
            <w:tcW w:w="1606" w:type="dxa"/>
            <w:tcBorders>
              <w:top w:val="single" w:color="auto" w:sz="2" w:space="0"/>
              <w:left w:val="single" w:color="auto" w:sz="2" w:space="0"/>
              <w:bottom w:val="single" w:color="auto" w:sz="2" w:space="0"/>
              <w:right w:val="single" w:color="auto" w:sz="2" w:space="0"/>
            </w:tcBorders>
            <w:vAlign w:val="center"/>
          </w:tcPr>
          <w:p w14:paraId="124A1212">
            <w:pPr>
              <w:spacing w:line="240" w:lineRule="exact"/>
              <w:jc w:val="right"/>
              <w:rPr>
                <w:rFonts w:ascii="宋体" w:hAnsi="宋体" w:eastAsia="宋体" w:cs="宋体"/>
                <w:sz w:val="18"/>
                <w:szCs w:val="18"/>
              </w:rPr>
            </w:pPr>
            <w:r>
              <w:rPr>
                <w:rFonts w:ascii="宋体" w:hAnsi="宋体" w:eastAsia="宋体" w:cs="宋体"/>
                <w:sz w:val="18"/>
                <w:szCs w:val="18"/>
              </w:rPr>
              <w:t>132,420.08</w:t>
            </w:r>
          </w:p>
        </w:tc>
        <w:tc>
          <w:tcPr>
            <w:tcW w:w="1606" w:type="dxa"/>
            <w:tcBorders>
              <w:top w:val="single" w:color="auto" w:sz="2" w:space="0"/>
              <w:left w:val="single" w:color="auto" w:sz="2" w:space="0"/>
              <w:bottom w:val="single" w:color="auto" w:sz="2" w:space="0"/>
              <w:right w:val="single" w:color="auto" w:sz="2" w:space="0"/>
            </w:tcBorders>
            <w:vAlign w:val="center"/>
          </w:tcPr>
          <w:p w14:paraId="7A6FF2E8">
            <w:pPr>
              <w:spacing w:line="240" w:lineRule="exact"/>
              <w:jc w:val="right"/>
              <w:rPr>
                <w:rFonts w:ascii="宋体" w:hAnsi="宋体" w:eastAsia="宋体" w:cs="宋体"/>
                <w:sz w:val="18"/>
                <w:szCs w:val="18"/>
              </w:rPr>
            </w:pPr>
            <w:r>
              <w:rPr>
                <w:rFonts w:ascii="宋体" w:hAnsi="宋体" w:eastAsia="宋体" w:cs="宋体"/>
                <w:sz w:val="18"/>
                <w:szCs w:val="18"/>
              </w:rPr>
              <w:t>88,986,812.47</w:t>
            </w:r>
          </w:p>
        </w:tc>
      </w:tr>
    </w:tbl>
    <w:p w14:paraId="2A601E46">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62504C3E">
      <w:pPr>
        <w:pStyle w:val="3"/>
        <w:spacing w:line="280" w:lineRule="exact"/>
        <w:jc w:val="left"/>
        <w:rPr>
          <w:rFonts w:ascii="宋体" w:hAnsi="宋体" w:cs="宋体"/>
          <w:b/>
          <w:bCs/>
        </w:rPr>
      </w:pPr>
      <w:bookmarkStart w:id="391" w:name="_Toc989244"/>
      <w:r>
        <w:rPr>
          <w:rFonts w:ascii="宋体" w:hAnsi="宋体" w:cs="宋体"/>
          <w:b/>
          <w:bCs/>
        </w:rPr>
        <w:t>29、递延所得税资产/递延所得税负债</w:t>
      </w:r>
      <w:bookmarkEnd w:id="391"/>
    </w:p>
    <w:p w14:paraId="7324DF13">
      <w:pPr>
        <w:keepNext/>
        <w:keepLines/>
        <w:spacing w:before="300" w:after="300" w:line="280" w:lineRule="exact"/>
        <w:outlineLvl w:val="3"/>
        <w:rPr>
          <w:rFonts w:ascii="宋体" w:hAnsi="宋体" w:eastAsia="宋体" w:cs="宋体"/>
          <w:b/>
          <w:bCs/>
          <w:szCs w:val="21"/>
        </w:rPr>
      </w:pPr>
      <w:bookmarkStart w:id="392" w:name="_Toc989245"/>
      <w:r>
        <w:rPr>
          <w:rFonts w:ascii="宋体" w:hAnsi="宋体" w:eastAsia="宋体" w:cs="宋体"/>
          <w:b/>
          <w:bCs/>
          <w:szCs w:val="21"/>
        </w:rPr>
        <w:t>（1） 未经抵销的递延所得税资产</w:t>
      </w:r>
      <w:bookmarkEnd w:id="392"/>
    </w:p>
    <w:p w14:paraId="3C50BAA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44D5F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D49173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D416101">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CAFDBE2">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3BC2F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0EDE2A4"/>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0B245C1">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1AFFFB2">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CDC62E8">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43C2CEC">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r>
      <w:tr w14:paraId="3B478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76D2B885">
            <w:pPr>
              <w:spacing w:line="240" w:lineRule="exact"/>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vAlign w:val="center"/>
          </w:tcPr>
          <w:p w14:paraId="1362E5DB">
            <w:pPr>
              <w:spacing w:line="240" w:lineRule="exact"/>
              <w:jc w:val="right"/>
              <w:rPr>
                <w:rFonts w:ascii="宋体" w:hAnsi="宋体" w:eastAsia="宋体" w:cs="宋体"/>
                <w:sz w:val="18"/>
                <w:szCs w:val="18"/>
              </w:rPr>
            </w:pPr>
            <w:r>
              <w:rPr>
                <w:rFonts w:ascii="宋体" w:hAnsi="宋体" w:eastAsia="宋体" w:cs="宋体"/>
                <w:sz w:val="18"/>
                <w:szCs w:val="18"/>
              </w:rPr>
              <w:t>102,177,101.06</w:t>
            </w:r>
          </w:p>
        </w:tc>
        <w:tc>
          <w:tcPr>
            <w:tcW w:w="1928" w:type="dxa"/>
            <w:tcBorders>
              <w:top w:val="single" w:color="auto" w:sz="2" w:space="0"/>
              <w:left w:val="single" w:color="auto" w:sz="2" w:space="0"/>
              <w:bottom w:val="single" w:color="auto" w:sz="2" w:space="0"/>
              <w:right w:val="single" w:color="auto" w:sz="2" w:space="0"/>
            </w:tcBorders>
            <w:vAlign w:val="center"/>
          </w:tcPr>
          <w:p w14:paraId="0F176BD3">
            <w:pPr>
              <w:spacing w:line="240" w:lineRule="exact"/>
              <w:jc w:val="right"/>
              <w:rPr>
                <w:rFonts w:ascii="宋体" w:hAnsi="宋体" w:eastAsia="宋体" w:cs="宋体"/>
                <w:sz w:val="18"/>
                <w:szCs w:val="18"/>
              </w:rPr>
            </w:pPr>
            <w:r>
              <w:rPr>
                <w:rFonts w:ascii="宋体" w:hAnsi="宋体" w:eastAsia="宋体" w:cs="宋体"/>
                <w:sz w:val="18"/>
                <w:szCs w:val="18"/>
              </w:rPr>
              <w:t>18,894,597.35</w:t>
            </w:r>
          </w:p>
        </w:tc>
        <w:tc>
          <w:tcPr>
            <w:tcW w:w="1928" w:type="dxa"/>
            <w:tcBorders>
              <w:top w:val="single" w:color="auto" w:sz="2" w:space="0"/>
              <w:left w:val="single" w:color="auto" w:sz="2" w:space="0"/>
              <w:bottom w:val="single" w:color="auto" w:sz="2" w:space="0"/>
              <w:right w:val="single" w:color="auto" w:sz="2" w:space="0"/>
            </w:tcBorders>
            <w:vAlign w:val="center"/>
          </w:tcPr>
          <w:p w14:paraId="23ED5C21">
            <w:pPr>
              <w:spacing w:line="240" w:lineRule="exact"/>
              <w:jc w:val="right"/>
              <w:rPr>
                <w:rFonts w:ascii="宋体" w:hAnsi="宋体" w:eastAsia="宋体" w:cs="宋体"/>
                <w:sz w:val="18"/>
                <w:szCs w:val="18"/>
              </w:rPr>
            </w:pPr>
            <w:r>
              <w:rPr>
                <w:rFonts w:ascii="宋体" w:hAnsi="宋体" w:eastAsia="宋体" w:cs="宋体"/>
                <w:sz w:val="18"/>
                <w:szCs w:val="18"/>
              </w:rPr>
              <w:t>119,121,866.71</w:t>
            </w:r>
          </w:p>
        </w:tc>
        <w:tc>
          <w:tcPr>
            <w:tcW w:w="1928" w:type="dxa"/>
            <w:tcBorders>
              <w:top w:val="single" w:color="auto" w:sz="2" w:space="0"/>
              <w:left w:val="single" w:color="auto" w:sz="2" w:space="0"/>
              <w:bottom w:val="single" w:color="auto" w:sz="2" w:space="0"/>
              <w:right w:val="single" w:color="auto" w:sz="2" w:space="0"/>
            </w:tcBorders>
            <w:vAlign w:val="center"/>
          </w:tcPr>
          <w:p w14:paraId="4C4FA77B">
            <w:pPr>
              <w:spacing w:line="240" w:lineRule="exact"/>
              <w:jc w:val="right"/>
              <w:rPr>
                <w:rFonts w:ascii="宋体" w:hAnsi="宋体" w:eastAsia="宋体" w:cs="宋体"/>
                <w:sz w:val="18"/>
                <w:szCs w:val="18"/>
              </w:rPr>
            </w:pPr>
            <w:r>
              <w:rPr>
                <w:rFonts w:ascii="宋体" w:hAnsi="宋体" w:eastAsia="宋体" w:cs="宋体"/>
                <w:sz w:val="18"/>
                <w:szCs w:val="18"/>
              </w:rPr>
              <w:t>24,803,394.71</w:t>
            </w:r>
          </w:p>
        </w:tc>
      </w:tr>
      <w:tr w14:paraId="4B2F6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65923A7">
            <w:pPr>
              <w:spacing w:line="240" w:lineRule="exact"/>
              <w:rPr>
                <w:rFonts w:ascii="宋体" w:hAnsi="宋体" w:eastAsia="宋体" w:cs="宋体"/>
                <w:sz w:val="18"/>
                <w:szCs w:val="18"/>
              </w:rPr>
            </w:pPr>
            <w:r>
              <w:rPr>
                <w:rFonts w:ascii="宋体" w:hAnsi="宋体" w:eastAsia="宋体" w:cs="宋体"/>
                <w:sz w:val="18"/>
                <w:szCs w:val="18"/>
              </w:rPr>
              <w:t>存货跌价准备</w:t>
            </w:r>
          </w:p>
        </w:tc>
        <w:tc>
          <w:tcPr>
            <w:tcW w:w="1928" w:type="dxa"/>
            <w:tcBorders>
              <w:top w:val="single" w:color="auto" w:sz="2" w:space="0"/>
              <w:left w:val="single" w:color="auto" w:sz="2" w:space="0"/>
              <w:bottom w:val="single" w:color="auto" w:sz="2" w:space="0"/>
              <w:right w:val="single" w:color="auto" w:sz="2" w:space="0"/>
            </w:tcBorders>
            <w:vAlign w:val="center"/>
          </w:tcPr>
          <w:p w14:paraId="464E4B67">
            <w:pPr>
              <w:spacing w:line="240" w:lineRule="exact"/>
              <w:jc w:val="right"/>
              <w:rPr>
                <w:rFonts w:ascii="宋体" w:hAnsi="宋体" w:eastAsia="宋体" w:cs="宋体"/>
                <w:sz w:val="18"/>
                <w:szCs w:val="18"/>
              </w:rPr>
            </w:pPr>
            <w:r>
              <w:rPr>
                <w:rFonts w:ascii="宋体" w:hAnsi="宋体" w:eastAsia="宋体" w:cs="宋体"/>
                <w:sz w:val="18"/>
                <w:szCs w:val="18"/>
              </w:rPr>
              <w:t>67,095,103.74</w:t>
            </w:r>
          </w:p>
        </w:tc>
        <w:tc>
          <w:tcPr>
            <w:tcW w:w="1928" w:type="dxa"/>
            <w:tcBorders>
              <w:top w:val="single" w:color="auto" w:sz="2" w:space="0"/>
              <w:left w:val="single" w:color="auto" w:sz="2" w:space="0"/>
              <w:bottom w:val="single" w:color="auto" w:sz="2" w:space="0"/>
              <w:right w:val="single" w:color="auto" w:sz="2" w:space="0"/>
            </w:tcBorders>
            <w:vAlign w:val="center"/>
          </w:tcPr>
          <w:p w14:paraId="3EFE54C2">
            <w:pPr>
              <w:spacing w:line="240" w:lineRule="exact"/>
              <w:jc w:val="right"/>
              <w:rPr>
                <w:rFonts w:ascii="宋体" w:hAnsi="宋体" w:eastAsia="宋体" w:cs="宋体"/>
                <w:sz w:val="18"/>
                <w:szCs w:val="18"/>
              </w:rPr>
            </w:pPr>
            <w:r>
              <w:rPr>
                <w:rFonts w:ascii="宋体" w:hAnsi="宋体" w:eastAsia="宋体" w:cs="宋体"/>
                <w:sz w:val="18"/>
                <w:szCs w:val="18"/>
              </w:rPr>
              <w:t>14,259,096.86</w:t>
            </w:r>
          </w:p>
        </w:tc>
        <w:tc>
          <w:tcPr>
            <w:tcW w:w="1928" w:type="dxa"/>
            <w:tcBorders>
              <w:top w:val="single" w:color="auto" w:sz="2" w:space="0"/>
              <w:left w:val="single" w:color="auto" w:sz="2" w:space="0"/>
              <w:bottom w:val="single" w:color="auto" w:sz="2" w:space="0"/>
              <w:right w:val="single" w:color="auto" w:sz="2" w:space="0"/>
            </w:tcBorders>
            <w:vAlign w:val="center"/>
          </w:tcPr>
          <w:p w14:paraId="1D95C1B2">
            <w:pPr>
              <w:spacing w:line="240" w:lineRule="exact"/>
              <w:jc w:val="right"/>
              <w:rPr>
                <w:rFonts w:ascii="宋体" w:hAnsi="宋体" w:eastAsia="宋体" w:cs="宋体"/>
                <w:sz w:val="18"/>
                <w:szCs w:val="18"/>
              </w:rPr>
            </w:pPr>
            <w:r>
              <w:rPr>
                <w:rFonts w:ascii="宋体" w:hAnsi="宋体" w:eastAsia="宋体" w:cs="宋体"/>
                <w:sz w:val="18"/>
                <w:szCs w:val="18"/>
              </w:rPr>
              <w:t>34,736,020.55</w:t>
            </w:r>
          </w:p>
        </w:tc>
        <w:tc>
          <w:tcPr>
            <w:tcW w:w="1928" w:type="dxa"/>
            <w:tcBorders>
              <w:top w:val="single" w:color="auto" w:sz="2" w:space="0"/>
              <w:left w:val="single" w:color="auto" w:sz="2" w:space="0"/>
              <w:bottom w:val="single" w:color="auto" w:sz="2" w:space="0"/>
              <w:right w:val="single" w:color="auto" w:sz="2" w:space="0"/>
            </w:tcBorders>
            <w:vAlign w:val="center"/>
          </w:tcPr>
          <w:p w14:paraId="5A8A83F4">
            <w:pPr>
              <w:spacing w:line="240" w:lineRule="exact"/>
              <w:jc w:val="right"/>
              <w:rPr>
                <w:rFonts w:ascii="宋体" w:hAnsi="宋体" w:eastAsia="宋体" w:cs="宋体"/>
                <w:sz w:val="18"/>
                <w:szCs w:val="18"/>
              </w:rPr>
            </w:pPr>
            <w:r>
              <w:rPr>
                <w:rFonts w:ascii="宋体" w:hAnsi="宋体" w:eastAsia="宋体" w:cs="宋体"/>
                <w:sz w:val="18"/>
                <w:szCs w:val="18"/>
              </w:rPr>
              <w:t>7,185,546.71</w:t>
            </w:r>
          </w:p>
        </w:tc>
      </w:tr>
      <w:tr w14:paraId="684C4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B78DD63">
            <w:pPr>
              <w:spacing w:line="240" w:lineRule="exact"/>
              <w:rPr>
                <w:rFonts w:ascii="宋体" w:hAnsi="宋体" w:eastAsia="宋体" w:cs="宋体"/>
                <w:sz w:val="18"/>
                <w:szCs w:val="18"/>
              </w:rPr>
            </w:pPr>
            <w:r>
              <w:rPr>
                <w:rFonts w:ascii="宋体" w:hAnsi="宋体" w:eastAsia="宋体" w:cs="宋体"/>
                <w:sz w:val="18"/>
                <w:szCs w:val="18"/>
              </w:rPr>
              <w:t>固定资产减值准备</w:t>
            </w:r>
          </w:p>
        </w:tc>
        <w:tc>
          <w:tcPr>
            <w:tcW w:w="1928" w:type="dxa"/>
            <w:tcBorders>
              <w:top w:val="single" w:color="auto" w:sz="2" w:space="0"/>
              <w:left w:val="single" w:color="auto" w:sz="2" w:space="0"/>
              <w:bottom w:val="single" w:color="auto" w:sz="2" w:space="0"/>
              <w:right w:val="single" w:color="auto" w:sz="2" w:space="0"/>
            </w:tcBorders>
            <w:vAlign w:val="center"/>
          </w:tcPr>
          <w:p w14:paraId="6866D29B">
            <w:pPr>
              <w:spacing w:line="240" w:lineRule="exact"/>
              <w:jc w:val="right"/>
              <w:rPr>
                <w:rFonts w:ascii="宋体" w:hAnsi="宋体" w:eastAsia="宋体" w:cs="宋体"/>
                <w:sz w:val="18"/>
                <w:szCs w:val="18"/>
              </w:rPr>
            </w:pPr>
            <w:r>
              <w:rPr>
                <w:rFonts w:ascii="宋体" w:hAnsi="宋体" w:eastAsia="宋体" w:cs="宋体"/>
                <w:sz w:val="18"/>
                <w:szCs w:val="18"/>
              </w:rPr>
              <w:t>9,345,181.78</w:t>
            </w:r>
          </w:p>
        </w:tc>
        <w:tc>
          <w:tcPr>
            <w:tcW w:w="1928" w:type="dxa"/>
            <w:tcBorders>
              <w:top w:val="single" w:color="auto" w:sz="2" w:space="0"/>
              <w:left w:val="single" w:color="auto" w:sz="2" w:space="0"/>
              <w:bottom w:val="single" w:color="auto" w:sz="2" w:space="0"/>
              <w:right w:val="single" w:color="auto" w:sz="2" w:space="0"/>
            </w:tcBorders>
            <w:vAlign w:val="center"/>
          </w:tcPr>
          <w:p w14:paraId="6DAED7E3">
            <w:pPr>
              <w:spacing w:line="240" w:lineRule="exact"/>
              <w:jc w:val="right"/>
              <w:rPr>
                <w:rFonts w:ascii="宋体" w:hAnsi="宋体" w:eastAsia="宋体" w:cs="宋体"/>
                <w:sz w:val="18"/>
                <w:szCs w:val="18"/>
              </w:rPr>
            </w:pPr>
            <w:r>
              <w:rPr>
                <w:rFonts w:ascii="宋体" w:hAnsi="宋体" w:eastAsia="宋体" w:cs="宋体"/>
                <w:sz w:val="18"/>
                <w:szCs w:val="18"/>
              </w:rPr>
              <w:t>2,330,782.92</w:t>
            </w:r>
          </w:p>
        </w:tc>
        <w:tc>
          <w:tcPr>
            <w:tcW w:w="1928" w:type="dxa"/>
            <w:tcBorders>
              <w:top w:val="single" w:color="auto" w:sz="2" w:space="0"/>
              <w:left w:val="single" w:color="auto" w:sz="2" w:space="0"/>
              <w:bottom w:val="single" w:color="auto" w:sz="2" w:space="0"/>
              <w:right w:val="single" w:color="auto" w:sz="2" w:space="0"/>
            </w:tcBorders>
            <w:vAlign w:val="center"/>
          </w:tcPr>
          <w:p w14:paraId="5219BD2B">
            <w:pPr>
              <w:spacing w:line="240" w:lineRule="exact"/>
              <w:jc w:val="right"/>
              <w:rPr>
                <w:rFonts w:ascii="宋体" w:hAnsi="宋体" w:eastAsia="宋体" w:cs="宋体"/>
                <w:sz w:val="18"/>
                <w:szCs w:val="18"/>
              </w:rPr>
            </w:pPr>
            <w:r>
              <w:rPr>
                <w:rFonts w:ascii="宋体" w:hAnsi="宋体" w:eastAsia="宋体" w:cs="宋体"/>
                <w:sz w:val="18"/>
                <w:szCs w:val="18"/>
              </w:rPr>
              <w:t>9,345,181.78</w:t>
            </w:r>
          </w:p>
        </w:tc>
        <w:tc>
          <w:tcPr>
            <w:tcW w:w="1928" w:type="dxa"/>
            <w:tcBorders>
              <w:top w:val="single" w:color="auto" w:sz="2" w:space="0"/>
              <w:left w:val="single" w:color="auto" w:sz="2" w:space="0"/>
              <w:bottom w:val="single" w:color="auto" w:sz="2" w:space="0"/>
              <w:right w:val="single" w:color="auto" w:sz="2" w:space="0"/>
            </w:tcBorders>
            <w:vAlign w:val="center"/>
          </w:tcPr>
          <w:p w14:paraId="7C0867F2">
            <w:pPr>
              <w:spacing w:line="240" w:lineRule="exact"/>
              <w:jc w:val="right"/>
              <w:rPr>
                <w:rFonts w:ascii="宋体" w:hAnsi="宋体" w:eastAsia="宋体" w:cs="宋体"/>
                <w:sz w:val="18"/>
                <w:szCs w:val="18"/>
              </w:rPr>
            </w:pPr>
            <w:r>
              <w:rPr>
                <w:rFonts w:ascii="宋体" w:hAnsi="宋体" w:eastAsia="宋体" w:cs="宋体"/>
                <w:sz w:val="18"/>
                <w:szCs w:val="18"/>
              </w:rPr>
              <w:t>2,330,782.92</w:t>
            </w:r>
          </w:p>
        </w:tc>
      </w:tr>
      <w:tr w14:paraId="0619A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2AFDF39">
            <w:pPr>
              <w:spacing w:line="240" w:lineRule="exact"/>
              <w:rPr>
                <w:rFonts w:ascii="宋体" w:hAnsi="宋体" w:eastAsia="宋体" w:cs="宋体"/>
                <w:sz w:val="18"/>
                <w:szCs w:val="18"/>
              </w:rPr>
            </w:pPr>
            <w:r>
              <w:rPr>
                <w:rFonts w:ascii="宋体" w:hAnsi="宋体" w:eastAsia="宋体" w:cs="宋体"/>
                <w:sz w:val="18"/>
                <w:szCs w:val="18"/>
              </w:rPr>
              <w:t>未实现利润</w:t>
            </w:r>
          </w:p>
        </w:tc>
        <w:tc>
          <w:tcPr>
            <w:tcW w:w="1928" w:type="dxa"/>
            <w:tcBorders>
              <w:top w:val="single" w:color="auto" w:sz="2" w:space="0"/>
              <w:left w:val="single" w:color="auto" w:sz="2" w:space="0"/>
              <w:bottom w:val="single" w:color="auto" w:sz="2" w:space="0"/>
              <w:right w:val="single" w:color="auto" w:sz="2" w:space="0"/>
            </w:tcBorders>
            <w:vAlign w:val="center"/>
          </w:tcPr>
          <w:p w14:paraId="100B3CAA">
            <w:pPr>
              <w:spacing w:line="240" w:lineRule="exact"/>
              <w:jc w:val="right"/>
              <w:rPr>
                <w:rFonts w:ascii="宋体" w:hAnsi="宋体" w:eastAsia="宋体" w:cs="宋体"/>
                <w:sz w:val="18"/>
                <w:szCs w:val="18"/>
              </w:rPr>
            </w:pPr>
            <w:r>
              <w:rPr>
                <w:rFonts w:ascii="宋体" w:hAnsi="宋体" w:eastAsia="宋体" w:cs="宋体"/>
                <w:sz w:val="18"/>
                <w:szCs w:val="18"/>
              </w:rPr>
              <w:t>17,569,062.94</w:t>
            </w:r>
          </w:p>
        </w:tc>
        <w:tc>
          <w:tcPr>
            <w:tcW w:w="1928" w:type="dxa"/>
            <w:tcBorders>
              <w:top w:val="single" w:color="auto" w:sz="2" w:space="0"/>
              <w:left w:val="single" w:color="auto" w:sz="2" w:space="0"/>
              <w:bottom w:val="single" w:color="auto" w:sz="2" w:space="0"/>
              <w:right w:val="single" w:color="auto" w:sz="2" w:space="0"/>
            </w:tcBorders>
            <w:vAlign w:val="center"/>
          </w:tcPr>
          <w:p w14:paraId="615E1C2C">
            <w:pPr>
              <w:spacing w:line="240" w:lineRule="exact"/>
              <w:jc w:val="right"/>
              <w:rPr>
                <w:rFonts w:ascii="宋体" w:hAnsi="宋体" w:eastAsia="宋体" w:cs="宋体"/>
                <w:sz w:val="18"/>
                <w:szCs w:val="18"/>
              </w:rPr>
            </w:pPr>
            <w:r>
              <w:rPr>
                <w:rFonts w:ascii="宋体" w:hAnsi="宋体" w:eastAsia="宋体" w:cs="宋体"/>
                <w:sz w:val="18"/>
                <w:szCs w:val="18"/>
              </w:rPr>
              <w:t>4,392,265.74</w:t>
            </w:r>
          </w:p>
        </w:tc>
        <w:tc>
          <w:tcPr>
            <w:tcW w:w="1928" w:type="dxa"/>
            <w:tcBorders>
              <w:top w:val="single" w:color="auto" w:sz="2" w:space="0"/>
              <w:left w:val="single" w:color="auto" w:sz="2" w:space="0"/>
              <w:bottom w:val="single" w:color="auto" w:sz="2" w:space="0"/>
              <w:right w:val="single" w:color="auto" w:sz="2" w:space="0"/>
            </w:tcBorders>
            <w:vAlign w:val="center"/>
          </w:tcPr>
          <w:p w14:paraId="6D851B81">
            <w:pPr>
              <w:spacing w:line="240" w:lineRule="exact"/>
              <w:jc w:val="right"/>
              <w:rPr>
                <w:rFonts w:ascii="宋体" w:hAnsi="宋体" w:eastAsia="宋体" w:cs="宋体"/>
                <w:sz w:val="18"/>
                <w:szCs w:val="18"/>
              </w:rPr>
            </w:pPr>
            <w:r>
              <w:rPr>
                <w:rFonts w:ascii="宋体" w:hAnsi="宋体" w:eastAsia="宋体" w:cs="宋体"/>
                <w:sz w:val="18"/>
                <w:szCs w:val="18"/>
              </w:rPr>
              <w:t>5,096,088.26</w:t>
            </w:r>
          </w:p>
        </w:tc>
        <w:tc>
          <w:tcPr>
            <w:tcW w:w="1928" w:type="dxa"/>
            <w:tcBorders>
              <w:top w:val="single" w:color="auto" w:sz="2" w:space="0"/>
              <w:left w:val="single" w:color="auto" w:sz="2" w:space="0"/>
              <w:bottom w:val="single" w:color="auto" w:sz="2" w:space="0"/>
              <w:right w:val="single" w:color="auto" w:sz="2" w:space="0"/>
            </w:tcBorders>
            <w:vAlign w:val="center"/>
          </w:tcPr>
          <w:p w14:paraId="59747F61">
            <w:pPr>
              <w:spacing w:line="240" w:lineRule="exact"/>
              <w:jc w:val="right"/>
              <w:rPr>
                <w:rFonts w:ascii="宋体" w:hAnsi="宋体" w:eastAsia="宋体" w:cs="宋体"/>
                <w:sz w:val="18"/>
                <w:szCs w:val="18"/>
              </w:rPr>
            </w:pPr>
            <w:r>
              <w:rPr>
                <w:rFonts w:ascii="宋体" w:hAnsi="宋体" w:eastAsia="宋体" w:cs="宋体"/>
                <w:sz w:val="18"/>
                <w:szCs w:val="18"/>
              </w:rPr>
              <w:t>1,274,022.06</w:t>
            </w:r>
          </w:p>
        </w:tc>
      </w:tr>
      <w:tr w14:paraId="6131C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06243B6">
            <w:pPr>
              <w:spacing w:line="240" w:lineRule="exact"/>
              <w:rPr>
                <w:rFonts w:ascii="宋体" w:hAnsi="宋体" w:eastAsia="宋体" w:cs="宋体"/>
                <w:sz w:val="18"/>
                <w:szCs w:val="18"/>
              </w:rPr>
            </w:pPr>
            <w:r>
              <w:rPr>
                <w:rFonts w:ascii="宋体" w:hAnsi="宋体" w:eastAsia="宋体" w:cs="宋体"/>
                <w:sz w:val="18"/>
                <w:szCs w:val="18"/>
              </w:rPr>
              <w:t>未弥补亏损</w:t>
            </w:r>
          </w:p>
        </w:tc>
        <w:tc>
          <w:tcPr>
            <w:tcW w:w="1928" w:type="dxa"/>
            <w:tcBorders>
              <w:top w:val="single" w:color="auto" w:sz="2" w:space="0"/>
              <w:left w:val="single" w:color="auto" w:sz="2" w:space="0"/>
              <w:bottom w:val="single" w:color="auto" w:sz="2" w:space="0"/>
              <w:right w:val="single" w:color="auto" w:sz="2" w:space="0"/>
            </w:tcBorders>
            <w:vAlign w:val="center"/>
          </w:tcPr>
          <w:p w14:paraId="14AD7076">
            <w:pPr>
              <w:spacing w:line="240" w:lineRule="exact"/>
              <w:jc w:val="right"/>
              <w:rPr>
                <w:rFonts w:ascii="宋体" w:hAnsi="宋体" w:eastAsia="宋体" w:cs="宋体"/>
                <w:sz w:val="18"/>
                <w:szCs w:val="18"/>
              </w:rPr>
            </w:pPr>
            <w:r>
              <w:rPr>
                <w:rFonts w:ascii="宋体" w:hAnsi="宋体" w:eastAsia="宋体" w:cs="宋体"/>
                <w:sz w:val="18"/>
                <w:szCs w:val="18"/>
              </w:rPr>
              <w:t>696,245,440.65</w:t>
            </w:r>
          </w:p>
        </w:tc>
        <w:tc>
          <w:tcPr>
            <w:tcW w:w="1928" w:type="dxa"/>
            <w:tcBorders>
              <w:top w:val="single" w:color="auto" w:sz="2" w:space="0"/>
              <w:left w:val="single" w:color="auto" w:sz="2" w:space="0"/>
              <w:bottom w:val="single" w:color="auto" w:sz="2" w:space="0"/>
              <w:right w:val="single" w:color="auto" w:sz="2" w:space="0"/>
            </w:tcBorders>
            <w:vAlign w:val="center"/>
          </w:tcPr>
          <w:p w14:paraId="3D0B8E55">
            <w:pPr>
              <w:spacing w:line="240" w:lineRule="exact"/>
              <w:jc w:val="right"/>
              <w:rPr>
                <w:rFonts w:ascii="宋体" w:hAnsi="宋体" w:eastAsia="宋体" w:cs="宋体"/>
                <w:sz w:val="18"/>
                <w:szCs w:val="18"/>
              </w:rPr>
            </w:pPr>
            <w:r>
              <w:rPr>
                <w:rFonts w:ascii="宋体" w:hAnsi="宋体" w:eastAsia="宋体" w:cs="宋体"/>
                <w:sz w:val="18"/>
                <w:szCs w:val="18"/>
              </w:rPr>
              <w:t>163,722,143.73</w:t>
            </w:r>
          </w:p>
        </w:tc>
        <w:tc>
          <w:tcPr>
            <w:tcW w:w="1928" w:type="dxa"/>
            <w:tcBorders>
              <w:top w:val="single" w:color="auto" w:sz="2" w:space="0"/>
              <w:left w:val="single" w:color="auto" w:sz="2" w:space="0"/>
              <w:bottom w:val="single" w:color="auto" w:sz="2" w:space="0"/>
              <w:right w:val="single" w:color="auto" w:sz="2" w:space="0"/>
            </w:tcBorders>
            <w:vAlign w:val="center"/>
          </w:tcPr>
          <w:p w14:paraId="44339B29">
            <w:pPr>
              <w:spacing w:line="240" w:lineRule="exact"/>
              <w:jc w:val="right"/>
              <w:rPr>
                <w:rFonts w:ascii="宋体" w:hAnsi="宋体" w:eastAsia="宋体" w:cs="宋体"/>
                <w:sz w:val="18"/>
                <w:szCs w:val="18"/>
              </w:rPr>
            </w:pPr>
            <w:r>
              <w:rPr>
                <w:rFonts w:ascii="宋体" w:hAnsi="宋体" w:eastAsia="宋体" w:cs="宋体"/>
                <w:sz w:val="18"/>
                <w:szCs w:val="18"/>
              </w:rPr>
              <w:t>824,149,808.03</w:t>
            </w:r>
          </w:p>
        </w:tc>
        <w:tc>
          <w:tcPr>
            <w:tcW w:w="1928" w:type="dxa"/>
            <w:tcBorders>
              <w:top w:val="single" w:color="auto" w:sz="2" w:space="0"/>
              <w:left w:val="single" w:color="auto" w:sz="2" w:space="0"/>
              <w:bottom w:val="single" w:color="auto" w:sz="2" w:space="0"/>
              <w:right w:val="single" w:color="auto" w:sz="2" w:space="0"/>
            </w:tcBorders>
            <w:vAlign w:val="center"/>
          </w:tcPr>
          <w:p w14:paraId="39BA8A92">
            <w:pPr>
              <w:spacing w:line="240" w:lineRule="exact"/>
              <w:jc w:val="right"/>
              <w:rPr>
                <w:rFonts w:ascii="宋体" w:hAnsi="宋体" w:eastAsia="宋体" w:cs="宋体"/>
                <w:sz w:val="18"/>
                <w:szCs w:val="18"/>
              </w:rPr>
            </w:pPr>
            <w:r>
              <w:rPr>
                <w:rFonts w:ascii="宋体" w:hAnsi="宋体" w:eastAsia="宋体" w:cs="宋体"/>
                <w:sz w:val="18"/>
                <w:szCs w:val="18"/>
              </w:rPr>
              <w:t>165,493,035.55</w:t>
            </w:r>
          </w:p>
        </w:tc>
      </w:tr>
      <w:tr w14:paraId="5CDAB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032BA05">
            <w:pPr>
              <w:spacing w:line="240" w:lineRule="exact"/>
              <w:rPr>
                <w:rFonts w:ascii="宋体" w:hAnsi="宋体" w:eastAsia="宋体" w:cs="宋体"/>
                <w:sz w:val="18"/>
                <w:szCs w:val="18"/>
              </w:rPr>
            </w:pPr>
            <w:r>
              <w:rPr>
                <w:rFonts w:ascii="宋体" w:hAnsi="宋体" w:eastAsia="宋体" w:cs="宋体"/>
                <w:sz w:val="18"/>
                <w:szCs w:val="18"/>
              </w:rPr>
              <w:t>递延收益</w:t>
            </w:r>
          </w:p>
        </w:tc>
        <w:tc>
          <w:tcPr>
            <w:tcW w:w="1928" w:type="dxa"/>
            <w:tcBorders>
              <w:top w:val="single" w:color="auto" w:sz="2" w:space="0"/>
              <w:left w:val="single" w:color="auto" w:sz="2" w:space="0"/>
              <w:bottom w:val="single" w:color="auto" w:sz="2" w:space="0"/>
              <w:right w:val="single" w:color="auto" w:sz="2" w:space="0"/>
            </w:tcBorders>
            <w:vAlign w:val="center"/>
          </w:tcPr>
          <w:p w14:paraId="6BF7EC60">
            <w:pPr>
              <w:spacing w:line="240" w:lineRule="exact"/>
              <w:jc w:val="right"/>
              <w:rPr>
                <w:rFonts w:ascii="宋体" w:hAnsi="宋体" w:eastAsia="宋体" w:cs="宋体"/>
                <w:sz w:val="18"/>
                <w:szCs w:val="18"/>
              </w:rPr>
            </w:pPr>
            <w:r>
              <w:rPr>
                <w:rFonts w:ascii="宋体" w:hAnsi="宋体" w:eastAsia="宋体" w:cs="宋体"/>
                <w:sz w:val="18"/>
                <w:szCs w:val="18"/>
              </w:rPr>
              <w:t>48,312,082.63</w:t>
            </w:r>
          </w:p>
        </w:tc>
        <w:tc>
          <w:tcPr>
            <w:tcW w:w="1928" w:type="dxa"/>
            <w:tcBorders>
              <w:top w:val="single" w:color="auto" w:sz="2" w:space="0"/>
              <w:left w:val="single" w:color="auto" w:sz="2" w:space="0"/>
              <w:bottom w:val="single" w:color="auto" w:sz="2" w:space="0"/>
              <w:right w:val="single" w:color="auto" w:sz="2" w:space="0"/>
            </w:tcBorders>
            <w:vAlign w:val="center"/>
          </w:tcPr>
          <w:p w14:paraId="61B7D55A">
            <w:pPr>
              <w:spacing w:line="240" w:lineRule="exact"/>
              <w:jc w:val="right"/>
              <w:rPr>
                <w:rFonts w:ascii="宋体" w:hAnsi="宋体" w:eastAsia="宋体" w:cs="宋体"/>
                <w:sz w:val="18"/>
                <w:szCs w:val="18"/>
              </w:rPr>
            </w:pPr>
            <w:r>
              <w:rPr>
                <w:rFonts w:ascii="宋体" w:hAnsi="宋体" w:eastAsia="宋体" w:cs="宋体"/>
                <w:sz w:val="18"/>
                <w:szCs w:val="18"/>
              </w:rPr>
              <w:t>7,246,812.39</w:t>
            </w:r>
          </w:p>
        </w:tc>
        <w:tc>
          <w:tcPr>
            <w:tcW w:w="1928" w:type="dxa"/>
            <w:tcBorders>
              <w:top w:val="single" w:color="auto" w:sz="2" w:space="0"/>
              <w:left w:val="single" w:color="auto" w:sz="2" w:space="0"/>
              <w:bottom w:val="single" w:color="auto" w:sz="2" w:space="0"/>
              <w:right w:val="single" w:color="auto" w:sz="2" w:space="0"/>
            </w:tcBorders>
            <w:vAlign w:val="center"/>
          </w:tcPr>
          <w:p w14:paraId="4C131712">
            <w:pPr>
              <w:spacing w:line="240" w:lineRule="exact"/>
              <w:jc w:val="right"/>
              <w:rPr>
                <w:rFonts w:ascii="宋体" w:hAnsi="宋体" w:eastAsia="宋体" w:cs="宋体"/>
                <w:sz w:val="18"/>
                <w:szCs w:val="18"/>
              </w:rPr>
            </w:pPr>
            <w:r>
              <w:rPr>
                <w:rFonts w:ascii="宋体" w:hAnsi="宋体" w:eastAsia="宋体" w:cs="宋体"/>
                <w:sz w:val="18"/>
                <w:szCs w:val="18"/>
              </w:rPr>
              <w:t>53,948,374.63</w:t>
            </w:r>
          </w:p>
        </w:tc>
        <w:tc>
          <w:tcPr>
            <w:tcW w:w="1928" w:type="dxa"/>
            <w:tcBorders>
              <w:top w:val="single" w:color="auto" w:sz="2" w:space="0"/>
              <w:left w:val="single" w:color="auto" w:sz="2" w:space="0"/>
              <w:bottom w:val="single" w:color="auto" w:sz="2" w:space="0"/>
              <w:right w:val="single" w:color="auto" w:sz="2" w:space="0"/>
            </w:tcBorders>
            <w:vAlign w:val="center"/>
          </w:tcPr>
          <w:p w14:paraId="4B015175">
            <w:pPr>
              <w:spacing w:line="240" w:lineRule="exact"/>
              <w:jc w:val="right"/>
              <w:rPr>
                <w:rFonts w:ascii="宋体" w:hAnsi="宋体" w:eastAsia="宋体" w:cs="宋体"/>
                <w:sz w:val="18"/>
                <w:szCs w:val="18"/>
              </w:rPr>
            </w:pPr>
            <w:r>
              <w:rPr>
                <w:rFonts w:ascii="宋体" w:hAnsi="宋体" w:eastAsia="宋体" w:cs="宋体"/>
                <w:sz w:val="18"/>
                <w:szCs w:val="18"/>
              </w:rPr>
              <w:t>8,092,256.19</w:t>
            </w:r>
          </w:p>
        </w:tc>
      </w:tr>
      <w:tr w14:paraId="4CF29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6337911A">
            <w:pPr>
              <w:spacing w:line="240" w:lineRule="exact"/>
              <w:rPr>
                <w:rFonts w:ascii="宋体" w:hAnsi="宋体" w:eastAsia="宋体" w:cs="宋体"/>
                <w:sz w:val="18"/>
                <w:szCs w:val="18"/>
              </w:rPr>
            </w:pPr>
            <w:r>
              <w:rPr>
                <w:rFonts w:ascii="宋体" w:hAnsi="宋体" w:eastAsia="宋体" w:cs="宋体"/>
                <w:sz w:val="18"/>
                <w:szCs w:val="18"/>
              </w:rPr>
              <w:t>交易性金融资产公允价值变动</w:t>
            </w:r>
          </w:p>
        </w:tc>
        <w:tc>
          <w:tcPr>
            <w:tcW w:w="1928" w:type="dxa"/>
            <w:tcBorders>
              <w:top w:val="single" w:color="auto" w:sz="2" w:space="0"/>
              <w:left w:val="single" w:color="auto" w:sz="2" w:space="0"/>
              <w:bottom w:val="single" w:color="auto" w:sz="2" w:space="0"/>
              <w:right w:val="single" w:color="auto" w:sz="2" w:space="0"/>
            </w:tcBorders>
            <w:vAlign w:val="center"/>
          </w:tcPr>
          <w:p w14:paraId="474A6D8F">
            <w:pPr>
              <w:spacing w:line="240" w:lineRule="exact"/>
              <w:jc w:val="right"/>
              <w:rPr>
                <w:rFonts w:ascii="宋体" w:hAnsi="宋体" w:eastAsia="宋体" w:cs="宋体"/>
                <w:sz w:val="18"/>
                <w:szCs w:val="18"/>
              </w:rPr>
            </w:pPr>
            <w:r>
              <w:rPr>
                <w:rFonts w:ascii="宋体" w:hAnsi="宋体" w:eastAsia="宋体" w:cs="宋体"/>
                <w:sz w:val="18"/>
                <w:szCs w:val="18"/>
              </w:rPr>
              <w:t>14,333,800.81</w:t>
            </w:r>
          </w:p>
        </w:tc>
        <w:tc>
          <w:tcPr>
            <w:tcW w:w="1928" w:type="dxa"/>
            <w:tcBorders>
              <w:top w:val="single" w:color="auto" w:sz="2" w:space="0"/>
              <w:left w:val="single" w:color="auto" w:sz="2" w:space="0"/>
              <w:bottom w:val="single" w:color="auto" w:sz="2" w:space="0"/>
              <w:right w:val="single" w:color="auto" w:sz="2" w:space="0"/>
            </w:tcBorders>
            <w:vAlign w:val="center"/>
          </w:tcPr>
          <w:p w14:paraId="7847514B">
            <w:pPr>
              <w:spacing w:line="240" w:lineRule="exact"/>
              <w:jc w:val="right"/>
              <w:rPr>
                <w:rFonts w:ascii="宋体" w:hAnsi="宋体" w:eastAsia="宋体" w:cs="宋体"/>
                <w:sz w:val="18"/>
                <w:szCs w:val="18"/>
              </w:rPr>
            </w:pPr>
            <w:r>
              <w:rPr>
                <w:rFonts w:ascii="宋体" w:hAnsi="宋体" w:eastAsia="宋体" w:cs="宋体"/>
                <w:sz w:val="18"/>
                <w:szCs w:val="18"/>
              </w:rPr>
              <w:t>3,581,034.70</w:t>
            </w:r>
          </w:p>
        </w:tc>
        <w:tc>
          <w:tcPr>
            <w:tcW w:w="1928" w:type="dxa"/>
            <w:tcBorders>
              <w:top w:val="single" w:color="auto" w:sz="2" w:space="0"/>
              <w:left w:val="single" w:color="auto" w:sz="2" w:space="0"/>
              <w:bottom w:val="single" w:color="auto" w:sz="2" w:space="0"/>
              <w:right w:val="single" w:color="auto" w:sz="2" w:space="0"/>
            </w:tcBorders>
            <w:vAlign w:val="center"/>
          </w:tcPr>
          <w:p w14:paraId="3A4FFCD4">
            <w:pPr>
              <w:spacing w:line="240" w:lineRule="exact"/>
              <w:jc w:val="right"/>
              <w:rPr>
                <w:rFonts w:ascii="宋体" w:hAnsi="宋体" w:eastAsia="宋体" w:cs="宋体"/>
                <w:sz w:val="18"/>
                <w:szCs w:val="18"/>
              </w:rPr>
            </w:pPr>
            <w:r>
              <w:rPr>
                <w:rFonts w:ascii="宋体" w:hAnsi="宋体" w:eastAsia="宋体" w:cs="宋体"/>
                <w:sz w:val="18"/>
                <w:szCs w:val="18"/>
              </w:rPr>
              <w:t>20,150,176.89</w:t>
            </w:r>
          </w:p>
        </w:tc>
        <w:tc>
          <w:tcPr>
            <w:tcW w:w="1928" w:type="dxa"/>
            <w:tcBorders>
              <w:top w:val="single" w:color="auto" w:sz="2" w:space="0"/>
              <w:left w:val="single" w:color="auto" w:sz="2" w:space="0"/>
              <w:bottom w:val="single" w:color="auto" w:sz="2" w:space="0"/>
              <w:right w:val="single" w:color="auto" w:sz="2" w:space="0"/>
            </w:tcBorders>
            <w:vAlign w:val="center"/>
          </w:tcPr>
          <w:p w14:paraId="381F539B">
            <w:pPr>
              <w:spacing w:line="240" w:lineRule="exact"/>
              <w:jc w:val="right"/>
              <w:rPr>
                <w:rFonts w:ascii="宋体" w:hAnsi="宋体" w:eastAsia="宋体" w:cs="宋体"/>
                <w:sz w:val="18"/>
                <w:szCs w:val="18"/>
              </w:rPr>
            </w:pPr>
            <w:r>
              <w:rPr>
                <w:rFonts w:ascii="宋体" w:hAnsi="宋体" w:eastAsia="宋体" w:cs="宋体"/>
                <w:sz w:val="18"/>
                <w:szCs w:val="18"/>
              </w:rPr>
              <w:t>3,766,778.63</w:t>
            </w:r>
          </w:p>
        </w:tc>
      </w:tr>
      <w:tr w14:paraId="54ED7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F1E8733">
            <w:pPr>
              <w:spacing w:line="240" w:lineRule="exact"/>
              <w:rPr>
                <w:rFonts w:ascii="宋体" w:hAnsi="宋体" w:eastAsia="宋体" w:cs="宋体"/>
                <w:sz w:val="18"/>
                <w:szCs w:val="18"/>
              </w:rPr>
            </w:pPr>
            <w:r>
              <w:rPr>
                <w:rFonts w:ascii="宋体" w:hAnsi="宋体" w:eastAsia="宋体" w:cs="宋体"/>
                <w:sz w:val="18"/>
                <w:szCs w:val="18"/>
              </w:rPr>
              <w:t>使用权资产及租赁负债</w:t>
            </w:r>
          </w:p>
        </w:tc>
        <w:tc>
          <w:tcPr>
            <w:tcW w:w="1928" w:type="dxa"/>
            <w:tcBorders>
              <w:top w:val="single" w:color="auto" w:sz="2" w:space="0"/>
              <w:left w:val="single" w:color="auto" w:sz="2" w:space="0"/>
              <w:bottom w:val="single" w:color="auto" w:sz="2" w:space="0"/>
              <w:right w:val="single" w:color="auto" w:sz="2" w:space="0"/>
            </w:tcBorders>
            <w:vAlign w:val="center"/>
          </w:tcPr>
          <w:p w14:paraId="6CE75137">
            <w:pPr>
              <w:spacing w:line="240" w:lineRule="exact"/>
              <w:jc w:val="right"/>
              <w:rPr>
                <w:rFonts w:ascii="宋体" w:hAnsi="宋体" w:eastAsia="宋体" w:cs="宋体"/>
                <w:sz w:val="18"/>
                <w:szCs w:val="18"/>
              </w:rPr>
            </w:pPr>
            <w:r>
              <w:rPr>
                <w:rFonts w:ascii="宋体" w:hAnsi="宋体" w:eastAsia="宋体" w:cs="宋体"/>
                <w:sz w:val="18"/>
                <w:szCs w:val="18"/>
              </w:rPr>
              <w:t>464,021.14</w:t>
            </w:r>
          </w:p>
        </w:tc>
        <w:tc>
          <w:tcPr>
            <w:tcW w:w="1928" w:type="dxa"/>
            <w:tcBorders>
              <w:top w:val="single" w:color="auto" w:sz="2" w:space="0"/>
              <w:left w:val="single" w:color="auto" w:sz="2" w:space="0"/>
              <w:bottom w:val="single" w:color="auto" w:sz="2" w:space="0"/>
              <w:right w:val="single" w:color="auto" w:sz="2" w:space="0"/>
            </w:tcBorders>
            <w:vAlign w:val="center"/>
          </w:tcPr>
          <w:p w14:paraId="7EA01CCF">
            <w:pPr>
              <w:spacing w:line="240" w:lineRule="exact"/>
              <w:jc w:val="right"/>
              <w:rPr>
                <w:rFonts w:ascii="宋体" w:hAnsi="宋体" w:eastAsia="宋体" w:cs="宋体"/>
                <w:sz w:val="18"/>
                <w:szCs w:val="18"/>
              </w:rPr>
            </w:pPr>
            <w:r>
              <w:rPr>
                <w:rFonts w:ascii="宋体" w:hAnsi="宋体" w:eastAsia="宋体" w:cs="宋体"/>
                <w:sz w:val="18"/>
                <w:szCs w:val="18"/>
              </w:rPr>
              <w:t>112,702.83</w:t>
            </w:r>
          </w:p>
        </w:tc>
        <w:tc>
          <w:tcPr>
            <w:tcW w:w="1928" w:type="dxa"/>
            <w:tcBorders>
              <w:top w:val="single" w:color="auto" w:sz="2" w:space="0"/>
              <w:left w:val="single" w:color="auto" w:sz="2" w:space="0"/>
              <w:bottom w:val="single" w:color="auto" w:sz="2" w:space="0"/>
              <w:right w:val="single" w:color="auto" w:sz="2" w:space="0"/>
            </w:tcBorders>
            <w:vAlign w:val="center"/>
          </w:tcPr>
          <w:p w14:paraId="7D01F9A1">
            <w:pPr>
              <w:spacing w:line="240" w:lineRule="exact"/>
              <w:jc w:val="right"/>
              <w:rPr>
                <w:rFonts w:ascii="宋体" w:hAnsi="宋体" w:eastAsia="宋体" w:cs="宋体"/>
                <w:sz w:val="18"/>
                <w:szCs w:val="18"/>
              </w:rPr>
            </w:pPr>
            <w:r>
              <w:rPr>
                <w:rFonts w:ascii="宋体" w:hAnsi="宋体" w:eastAsia="宋体" w:cs="宋体"/>
                <w:sz w:val="18"/>
                <w:szCs w:val="18"/>
              </w:rPr>
              <w:t>1,657,390.19</w:t>
            </w:r>
          </w:p>
        </w:tc>
        <w:tc>
          <w:tcPr>
            <w:tcW w:w="1928" w:type="dxa"/>
            <w:tcBorders>
              <w:top w:val="single" w:color="auto" w:sz="2" w:space="0"/>
              <w:left w:val="single" w:color="auto" w:sz="2" w:space="0"/>
              <w:bottom w:val="single" w:color="auto" w:sz="2" w:space="0"/>
              <w:right w:val="single" w:color="auto" w:sz="2" w:space="0"/>
            </w:tcBorders>
            <w:vAlign w:val="center"/>
          </w:tcPr>
          <w:p w14:paraId="0677FE46">
            <w:pPr>
              <w:spacing w:line="240" w:lineRule="exact"/>
              <w:jc w:val="right"/>
              <w:rPr>
                <w:rFonts w:ascii="宋体" w:hAnsi="宋体" w:eastAsia="宋体" w:cs="宋体"/>
                <w:sz w:val="18"/>
                <w:szCs w:val="18"/>
              </w:rPr>
            </w:pPr>
            <w:r>
              <w:rPr>
                <w:rFonts w:ascii="宋体" w:hAnsi="宋体" w:eastAsia="宋体" w:cs="宋体"/>
                <w:sz w:val="18"/>
                <w:szCs w:val="18"/>
              </w:rPr>
              <w:t>264,299.80</w:t>
            </w:r>
          </w:p>
        </w:tc>
      </w:tr>
      <w:tr w14:paraId="45D62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9B203E1">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0273285F">
            <w:pPr>
              <w:spacing w:line="240" w:lineRule="exact"/>
              <w:jc w:val="right"/>
              <w:rPr>
                <w:rFonts w:ascii="宋体" w:hAnsi="宋体" w:eastAsia="宋体" w:cs="宋体"/>
                <w:sz w:val="18"/>
                <w:szCs w:val="18"/>
              </w:rPr>
            </w:pPr>
            <w:r>
              <w:rPr>
                <w:rFonts w:ascii="宋体" w:hAnsi="宋体" w:eastAsia="宋体" w:cs="宋体"/>
                <w:sz w:val="18"/>
                <w:szCs w:val="18"/>
              </w:rPr>
              <w:t>955,541,794.75</w:t>
            </w:r>
          </w:p>
        </w:tc>
        <w:tc>
          <w:tcPr>
            <w:tcW w:w="1928" w:type="dxa"/>
            <w:tcBorders>
              <w:top w:val="single" w:color="auto" w:sz="2" w:space="0"/>
              <w:left w:val="single" w:color="auto" w:sz="2" w:space="0"/>
              <w:bottom w:val="single" w:color="auto" w:sz="2" w:space="0"/>
              <w:right w:val="single" w:color="auto" w:sz="2" w:space="0"/>
            </w:tcBorders>
            <w:vAlign w:val="center"/>
          </w:tcPr>
          <w:p w14:paraId="69B659FE">
            <w:pPr>
              <w:spacing w:line="240" w:lineRule="exact"/>
              <w:jc w:val="right"/>
              <w:rPr>
                <w:rFonts w:ascii="宋体" w:hAnsi="宋体" w:eastAsia="宋体" w:cs="宋体"/>
                <w:sz w:val="18"/>
                <w:szCs w:val="18"/>
              </w:rPr>
            </w:pPr>
            <w:r>
              <w:rPr>
                <w:rFonts w:ascii="宋体" w:hAnsi="宋体" w:eastAsia="宋体" w:cs="宋体"/>
                <w:sz w:val="18"/>
                <w:szCs w:val="18"/>
              </w:rPr>
              <w:t>214,539,436.52</w:t>
            </w:r>
          </w:p>
        </w:tc>
        <w:tc>
          <w:tcPr>
            <w:tcW w:w="1928" w:type="dxa"/>
            <w:tcBorders>
              <w:top w:val="single" w:color="auto" w:sz="2" w:space="0"/>
              <w:left w:val="single" w:color="auto" w:sz="2" w:space="0"/>
              <w:bottom w:val="single" w:color="auto" w:sz="2" w:space="0"/>
              <w:right w:val="single" w:color="auto" w:sz="2" w:space="0"/>
            </w:tcBorders>
            <w:vAlign w:val="center"/>
          </w:tcPr>
          <w:p w14:paraId="11743F52">
            <w:pPr>
              <w:spacing w:line="240" w:lineRule="exact"/>
              <w:jc w:val="right"/>
              <w:rPr>
                <w:rFonts w:ascii="宋体" w:hAnsi="宋体" w:eastAsia="宋体" w:cs="宋体"/>
                <w:sz w:val="18"/>
                <w:szCs w:val="18"/>
              </w:rPr>
            </w:pPr>
            <w:r>
              <w:rPr>
                <w:rFonts w:ascii="宋体" w:hAnsi="宋体" w:eastAsia="宋体" w:cs="宋体"/>
                <w:sz w:val="18"/>
                <w:szCs w:val="18"/>
              </w:rPr>
              <w:t>1,068,204,907.04</w:t>
            </w:r>
          </w:p>
        </w:tc>
        <w:tc>
          <w:tcPr>
            <w:tcW w:w="1928" w:type="dxa"/>
            <w:tcBorders>
              <w:top w:val="single" w:color="auto" w:sz="2" w:space="0"/>
              <w:left w:val="single" w:color="auto" w:sz="2" w:space="0"/>
              <w:bottom w:val="single" w:color="auto" w:sz="2" w:space="0"/>
              <w:right w:val="single" w:color="auto" w:sz="2" w:space="0"/>
            </w:tcBorders>
            <w:vAlign w:val="center"/>
          </w:tcPr>
          <w:p w14:paraId="71674DC4">
            <w:pPr>
              <w:spacing w:line="240" w:lineRule="exact"/>
              <w:jc w:val="right"/>
              <w:rPr>
                <w:rFonts w:ascii="宋体" w:hAnsi="宋体" w:eastAsia="宋体" w:cs="宋体"/>
                <w:sz w:val="18"/>
                <w:szCs w:val="18"/>
              </w:rPr>
            </w:pPr>
            <w:r>
              <w:rPr>
                <w:rFonts w:ascii="宋体" w:hAnsi="宋体" w:eastAsia="宋体" w:cs="宋体"/>
                <w:sz w:val="18"/>
                <w:szCs w:val="18"/>
              </w:rPr>
              <w:t>213,210,116.57</w:t>
            </w:r>
          </w:p>
        </w:tc>
      </w:tr>
    </w:tbl>
    <w:p w14:paraId="5620FCF6">
      <w:pPr>
        <w:keepNext/>
        <w:keepLines/>
        <w:spacing w:before="300" w:after="300" w:line="280" w:lineRule="exact"/>
        <w:outlineLvl w:val="3"/>
        <w:rPr>
          <w:rFonts w:ascii="宋体" w:hAnsi="宋体" w:eastAsia="宋体" w:cs="宋体"/>
          <w:b/>
          <w:bCs/>
          <w:szCs w:val="21"/>
        </w:rPr>
      </w:pPr>
      <w:bookmarkStart w:id="393" w:name="_Toc989246"/>
      <w:r>
        <w:rPr>
          <w:rFonts w:ascii="宋体" w:hAnsi="宋体" w:eastAsia="宋体" w:cs="宋体"/>
          <w:b/>
          <w:bCs/>
          <w:szCs w:val="21"/>
        </w:rPr>
        <w:t>（2） 未经抵销的递延所得税负债</w:t>
      </w:r>
      <w:bookmarkEnd w:id="393"/>
    </w:p>
    <w:p w14:paraId="61A4A2C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12A27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53E48E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F20D66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54A0152">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011D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D7E31FD"/>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610E694">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DC2E03A">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E7A940F">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5E7F1A6">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r>
      <w:tr w14:paraId="29AB5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8D7C4B5">
            <w:pPr>
              <w:spacing w:before="40" w:after="40" w:line="240" w:lineRule="exact"/>
              <w:rPr>
                <w:rFonts w:ascii="宋体" w:hAnsi="宋体" w:eastAsia="宋体" w:cs="宋体"/>
                <w:sz w:val="18"/>
                <w:szCs w:val="18"/>
              </w:rPr>
            </w:pPr>
            <w:r>
              <w:rPr>
                <w:rFonts w:ascii="宋体" w:hAnsi="宋体" w:eastAsia="宋体" w:cs="宋体"/>
                <w:sz w:val="18"/>
                <w:szCs w:val="18"/>
              </w:rPr>
              <w:t>其他权益工具投资公允价值变动</w:t>
            </w:r>
          </w:p>
        </w:tc>
        <w:tc>
          <w:tcPr>
            <w:tcW w:w="1928" w:type="dxa"/>
            <w:tcBorders>
              <w:top w:val="single" w:color="auto" w:sz="2" w:space="0"/>
              <w:left w:val="single" w:color="auto" w:sz="2" w:space="0"/>
              <w:bottom w:val="single" w:color="auto" w:sz="2" w:space="0"/>
              <w:right w:val="single" w:color="auto" w:sz="2" w:space="0"/>
            </w:tcBorders>
            <w:vAlign w:val="center"/>
          </w:tcPr>
          <w:p w14:paraId="523B45EE">
            <w:pPr>
              <w:spacing w:line="240" w:lineRule="exact"/>
              <w:jc w:val="right"/>
              <w:rPr>
                <w:rFonts w:ascii="宋体" w:hAnsi="宋体" w:eastAsia="宋体" w:cs="宋体"/>
                <w:sz w:val="18"/>
                <w:szCs w:val="18"/>
              </w:rPr>
            </w:pPr>
            <w:r>
              <w:rPr>
                <w:rFonts w:ascii="宋体" w:hAnsi="宋体" w:eastAsia="宋体" w:cs="宋体"/>
                <w:sz w:val="18"/>
                <w:szCs w:val="18"/>
              </w:rPr>
              <w:t>55,841,886.55</w:t>
            </w:r>
          </w:p>
        </w:tc>
        <w:tc>
          <w:tcPr>
            <w:tcW w:w="1928" w:type="dxa"/>
            <w:tcBorders>
              <w:top w:val="single" w:color="auto" w:sz="2" w:space="0"/>
              <w:left w:val="single" w:color="auto" w:sz="2" w:space="0"/>
              <w:bottom w:val="single" w:color="auto" w:sz="2" w:space="0"/>
              <w:right w:val="single" w:color="auto" w:sz="2" w:space="0"/>
            </w:tcBorders>
            <w:vAlign w:val="center"/>
          </w:tcPr>
          <w:p w14:paraId="65A50257">
            <w:pPr>
              <w:spacing w:line="240" w:lineRule="exact"/>
              <w:jc w:val="right"/>
              <w:rPr>
                <w:rFonts w:ascii="宋体" w:hAnsi="宋体" w:eastAsia="宋体" w:cs="宋体"/>
                <w:sz w:val="18"/>
                <w:szCs w:val="18"/>
              </w:rPr>
            </w:pPr>
            <w:r>
              <w:rPr>
                <w:rFonts w:ascii="宋体" w:hAnsi="宋体" w:eastAsia="宋体" w:cs="宋体"/>
                <w:sz w:val="18"/>
                <w:szCs w:val="18"/>
              </w:rPr>
              <w:t>10,419,912.98</w:t>
            </w:r>
          </w:p>
        </w:tc>
        <w:tc>
          <w:tcPr>
            <w:tcW w:w="1928" w:type="dxa"/>
            <w:tcBorders>
              <w:top w:val="single" w:color="auto" w:sz="2" w:space="0"/>
              <w:left w:val="single" w:color="auto" w:sz="2" w:space="0"/>
              <w:bottom w:val="single" w:color="auto" w:sz="2" w:space="0"/>
              <w:right w:val="single" w:color="auto" w:sz="2" w:space="0"/>
            </w:tcBorders>
            <w:vAlign w:val="center"/>
          </w:tcPr>
          <w:p w14:paraId="1BBC75E7">
            <w:pPr>
              <w:spacing w:line="240" w:lineRule="exact"/>
              <w:jc w:val="right"/>
              <w:rPr>
                <w:rFonts w:ascii="宋体" w:hAnsi="宋体" w:eastAsia="宋体" w:cs="宋体"/>
                <w:sz w:val="18"/>
                <w:szCs w:val="18"/>
              </w:rPr>
            </w:pPr>
            <w:r>
              <w:rPr>
                <w:rFonts w:ascii="宋体" w:hAnsi="宋体" w:eastAsia="宋体" w:cs="宋体"/>
                <w:sz w:val="18"/>
                <w:szCs w:val="18"/>
              </w:rPr>
              <w:t>20,033,017.94</w:t>
            </w:r>
          </w:p>
        </w:tc>
        <w:tc>
          <w:tcPr>
            <w:tcW w:w="1928" w:type="dxa"/>
            <w:tcBorders>
              <w:top w:val="single" w:color="auto" w:sz="2" w:space="0"/>
              <w:left w:val="single" w:color="auto" w:sz="2" w:space="0"/>
              <w:bottom w:val="single" w:color="auto" w:sz="2" w:space="0"/>
              <w:right w:val="single" w:color="auto" w:sz="2" w:space="0"/>
            </w:tcBorders>
            <w:vAlign w:val="center"/>
          </w:tcPr>
          <w:p w14:paraId="479100FF">
            <w:pPr>
              <w:spacing w:line="240" w:lineRule="exact"/>
              <w:jc w:val="right"/>
              <w:rPr>
                <w:rFonts w:ascii="宋体" w:hAnsi="宋体" w:eastAsia="宋体" w:cs="宋体"/>
                <w:sz w:val="18"/>
                <w:szCs w:val="18"/>
              </w:rPr>
            </w:pPr>
            <w:r>
              <w:rPr>
                <w:rFonts w:ascii="宋体" w:hAnsi="宋体" w:eastAsia="宋体" w:cs="宋体"/>
                <w:sz w:val="18"/>
                <w:szCs w:val="18"/>
              </w:rPr>
              <w:t>3,004,952.69</w:t>
            </w:r>
          </w:p>
        </w:tc>
      </w:tr>
      <w:tr w14:paraId="76FED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5E0FD0D">
            <w:pPr>
              <w:spacing w:line="240" w:lineRule="exact"/>
              <w:rPr>
                <w:rFonts w:ascii="宋体" w:hAnsi="宋体" w:eastAsia="宋体" w:cs="宋体"/>
                <w:sz w:val="18"/>
                <w:szCs w:val="18"/>
              </w:rPr>
            </w:pPr>
            <w:r>
              <w:rPr>
                <w:rFonts w:ascii="宋体" w:hAnsi="宋体" w:eastAsia="宋体" w:cs="宋体"/>
                <w:sz w:val="18"/>
                <w:szCs w:val="18"/>
              </w:rPr>
              <w:t>交易性金融资产公允价值变动</w:t>
            </w:r>
          </w:p>
        </w:tc>
        <w:tc>
          <w:tcPr>
            <w:tcW w:w="1928" w:type="dxa"/>
            <w:tcBorders>
              <w:top w:val="single" w:color="auto" w:sz="2" w:space="0"/>
              <w:left w:val="single" w:color="auto" w:sz="2" w:space="0"/>
              <w:bottom w:val="single" w:color="auto" w:sz="2" w:space="0"/>
              <w:right w:val="single" w:color="auto" w:sz="2" w:space="0"/>
            </w:tcBorders>
            <w:vAlign w:val="center"/>
          </w:tcPr>
          <w:p w14:paraId="0DAA3839">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B1638AB">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70A5D95">
            <w:pPr>
              <w:spacing w:line="240" w:lineRule="exact"/>
              <w:jc w:val="right"/>
              <w:rPr>
                <w:rFonts w:ascii="宋体" w:hAnsi="宋体" w:eastAsia="宋体" w:cs="宋体"/>
                <w:sz w:val="18"/>
                <w:szCs w:val="18"/>
              </w:rPr>
            </w:pPr>
            <w:r>
              <w:rPr>
                <w:rFonts w:ascii="宋体" w:hAnsi="宋体" w:eastAsia="宋体" w:cs="宋体"/>
                <w:sz w:val="18"/>
                <w:szCs w:val="18"/>
              </w:rPr>
              <w:t>715,029.85</w:t>
            </w:r>
          </w:p>
        </w:tc>
        <w:tc>
          <w:tcPr>
            <w:tcW w:w="1928" w:type="dxa"/>
            <w:tcBorders>
              <w:top w:val="single" w:color="auto" w:sz="2" w:space="0"/>
              <w:left w:val="single" w:color="auto" w:sz="2" w:space="0"/>
              <w:bottom w:val="single" w:color="auto" w:sz="2" w:space="0"/>
              <w:right w:val="single" w:color="auto" w:sz="2" w:space="0"/>
            </w:tcBorders>
            <w:vAlign w:val="center"/>
          </w:tcPr>
          <w:p w14:paraId="6223D964">
            <w:pPr>
              <w:spacing w:line="240" w:lineRule="exact"/>
              <w:jc w:val="right"/>
              <w:rPr>
                <w:rFonts w:ascii="宋体" w:hAnsi="宋体" w:eastAsia="宋体" w:cs="宋体"/>
                <w:sz w:val="18"/>
                <w:szCs w:val="18"/>
              </w:rPr>
            </w:pPr>
            <w:r>
              <w:rPr>
                <w:rFonts w:ascii="宋体" w:hAnsi="宋体" w:eastAsia="宋体" w:cs="宋体"/>
                <w:sz w:val="18"/>
                <w:szCs w:val="18"/>
              </w:rPr>
              <w:t>178,757.46</w:t>
            </w:r>
          </w:p>
        </w:tc>
      </w:tr>
      <w:tr w14:paraId="0FAFC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398C4A3">
            <w:pPr>
              <w:spacing w:line="240" w:lineRule="exact"/>
              <w:rPr>
                <w:rFonts w:ascii="宋体" w:hAnsi="宋体" w:eastAsia="宋体" w:cs="宋体"/>
                <w:sz w:val="18"/>
                <w:szCs w:val="18"/>
              </w:rPr>
            </w:pPr>
            <w:r>
              <w:rPr>
                <w:rFonts w:ascii="宋体" w:hAnsi="宋体" w:eastAsia="宋体" w:cs="宋体"/>
                <w:sz w:val="18"/>
                <w:szCs w:val="18"/>
              </w:rPr>
              <w:t>已计提尚未收到的政府补助</w:t>
            </w:r>
          </w:p>
        </w:tc>
        <w:tc>
          <w:tcPr>
            <w:tcW w:w="1928" w:type="dxa"/>
            <w:tcBorders>
              <w:top w:val="single" w:color="auto" w:sz="2" w:space="0"/>
              <w:left w:val="single" w:color="auto" w:sz="2" w:space="0"/>
              <w:bottom w:val="single" w:color="auto" w:sz="2" w:space="0"/>
              <w:right w:val="single" w:color="auto" w:sz="2" w:space="0"/>
            </w:tcBorders>
            <w:vAlign w:val="center"/>
          </w:tcPr>
          <w:p w14:paraId="329CC634">
            <w:pPr>
              <w:spacing w:line="240" w:lineRule="exact"/>
              <w:jc w:val="right"/>
              <w:rPr>
                <w:rFonts w:ascii="宋体" w:hAnsi="宋体" w:eastAsia="宋体" w:cs="宋体"/>
                <w:sz w:val="18"/>
                <w:szCs w:val="18"/>
              </w:rPr>
            </w:pPr>
            <w:r>
              <w:rPr>
                <w:rFonts w:ascii="宋体" w:hAnsi="宋体" w:eastAsia="宋体" w:cs="宋体"/>
                <w:sz w:val="18"/>
                <w:szCs w:val="18"/>
              </w:rPr>
              <w:t>58,611,955.56</w:t>
            </w:r>
          </w:p>
        </w:tc>
        <w:tc>
          <w:tcPr>
            <w:tcW w:w="1928" w:type="dxa"/>
            <w:tcBorders>
              <w:top w:val="single" w:color="auto" w:sz="2" w:space="0"/>
              <w:left w:val="single" w:color="auto" w:sz="2" w:space="0"/>
              <w:bottom w:val="single" w:color="auto" w:sz="2" w:space="0"/>
              <w:right w:val="single" w:color="auto" w:sz="2" w:space="0"/>
            </w:tcBorders>
            <w:vAlign w:val="center"/>
          </w:tcPr>
          <w:p w14:paraId="16823652">
            <w:pPr>
              <w:spacing w:line="240" w:lineRule="exact"/>
              <w:jc w:val="right"/>
              <w:rPr>
                <w:rFonts w:ascii="宋体" w:hAnsi="宋体" w:eastAsia="宋体" w:cs="宋体"/>
                <w:sz w:val="18"/>
                <w:szCs w:val="18"/>
              </w:rPr>
            </w:pPr>
            <w:r>
              <w:rPr>
                <w:rFonts w:ascii="宋体" w:hAnsi="宋体" w:eastAsia="宋体" w:cs="宋体"/>
                <w:sz w:val="18"/>
                <w:szCs w:val="18"/>
              </w:rPr>
              <w:t>8,791,793.33</w:t>
            </w:r>
          </w:p>
        </w:tc>
        <w:tc>
          <w:tcPr>
            <w:tcW w:w="1928" w:type="dxa"/>
            <w:tcBorders>
              <w:top w:val="single" w:color="auto" w:sz="2" w:space="0"/>
              <w:left w:val="single" w:color="auto" w:sz="2" w:space="0"/>
              <w:bottom w:val="single" w:color="auto" w:sz="2" w:space="0"/>
              <w:right w:val="single" w:color="auto" w:sz="2" w:space="0"/>
            </w:tcBorders>
            <w:vAlign w:val="center"/>
          </w:tcPr>
          <w:p w14:paraId="03C44796">
            <w:pPr>
              <w:spacing w:line="240" w:lineRule="exact"/>
              <w:jc w:val="right"/>
              <w:rPr>
                <w:rFonts w:ascii="宋体" w:hAnsi="宋体" w:eastAsia="宋体" w:cs="宋体"/>
                <w:sz w:val="18"/>
                <w:szCs w:val="18"/>
              </w:rPr>
            </w:pPr>
            <w:r>
              <w:rPr>
                <w:rFonts w:ascii="宋体" w:hAnsi="宋体" w:eastAsia="宋体" w:cs="宋体"/>
                <w:sz w:val="18"/>
                <w:szCs w:val="18"/>
              </w:rPr>
              <w:t>74,335,389.11</w:t>
            </w:r>
          </w:p>
        </w:tc>
        <w:tc>
          <w:tcPr>
            <w:tcW w:w="1928" w:type="dxa"/>
            <w:tcBorders>
              <w:top w:val="single" w:color="auto" w:sz="2" w:space="0"/>
              <w:left w:val="single" w:color="auto" w:sz="2" w:space="0"/>
              <w:bottom w:val="single" w:color="auto" w:sz="2" w:space="0"/>
              <w:right w:val="single" w:color="auto" w:sz="2" w:space="0"/>
            </w:tcBorders>
            <w:vAlign w:val="center"/>
          </w:tcPr>
          <w:p w14:paraId="040F4DBF">
            <w:pPr>
              <w:spacing w:line="240" w:lineRule="exact"/>
              <w:jc w:val="right"/>
              <w:rPr>
                <w:rFonts w:ascii="宋体" w:hAnsi="宋体" w:eastAsia="宋体" w:cs="宋体"/>
                <w:sz w:val="18"/>
                <w:szCs w:val="18"/>
              </w:rPr>
            </w:pPr>
            <w:r>
              <w:rPr>
                <w:rFonts w:ascii="宋体" w:hAnsi="宋体" w:eastAsia="宋体" w:cs="宋体"/>
                <w:sz w:val="18"/>
                <w:szCs w:val="18"/>
              </w:rPr>
              <w:t>11,150,308.37</w:t>
            </w:r>
          </w:p>
        </w:tc>
      </w:tr>
      <w:tr w14:paraId="1A080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6240F62D">
            <w:pPr>
              <w:spacing w:line="240" w:lineRule="exact"/>
              <w:rPr>
                <w:rFonts w:ascii="宋体" w:hAnsi="宋体" w:eastAsia="宋体" w:cs="宋体"/>
                <w:sz w:val="18"/>
                <w:szCs w:val="18"/>
              </w:rPr>
            </w:pPr>
            <w:r>
              <w:rPr>
                <w:rFonts w:ascii="宋体" w:hAnsi="宋体" w:eastAsia="宋体" w:cs="宋体"/>
                <w:sz w:val="18"/>
                <w:szCs w:val="18"/>
              </w:rPr>
              <w:t>使用权资产及租赁负债</w:t>
            </w:r>
          </w:p>
        </w:tc>
        <w:tc>
          <w:tcPr>
            <w:tcW w:w="1928" w:type="dxa"/>
            <w:tcBorders>
              <w:top w:val="single" w:color="auto" w:sz="2" w:space="0"/>
              <w:left w:val="single" w:color="auto" w:sz="2" w:space="0"/>
              <w:bottom w:val="single" w:color="auto" w:sz="2" w:space="0"/>
              <w:right w:val="single" w:color="auto" w:sz="2" w:space="0"/>
            </w:tcBorders>
            <w:vAlign w:val="center"/>
          </w:tcPr>
          <w:p w14:paraId="6B042CDB">
            <w:pPr>
              <w:spacing w:line="240" w:lineRule="exact"/>
              <w:jc w:val="right"/>
              <w:rPr>
                <w:rFonts w:ascii="宋体" w:hAnsi="宋体" w:eastAsia="宋体" w:cs="宋体"/>
                <w:sz w:val="18"/>
                <w:szCs w:val="18"/>
              </w:rPr>
            </w:pPr>
            <w:r>
              <w:rPr>
                <w:rFonts w:ascii="宋体" w:hAnsi="宋体" w:eastAsia="宋体" w:cs="宋体"/>
                <w:sz w:val="18"/>
                <w:szCs w:val="18"/>
              </w:rPr>
              <w:t>3,651,144.20</w:t>
            </w:r>
          </w:p>
        </w:tc>
        <w:tc>
          <w:tcPr>
            <w:tcW w:w="1928" w:type="dxa"/>
            <w:tcBorders>
              <w:top w:val="single" w:color="auto" w:sz="2" w:space="0"/>
              <w:left w:val="single" w:color="auto" w:sz="2" w:space="0"/>
              <w:bottom w:val="single" w:color="auto" w:sz="2" w:space="0"/>
              <w:right w:val="single" w:color="auto" w:sz="2" w:space="0"/>
            </w:tcBorders>
            <w:vAlign w:val="center"/>
          </w:tcPr>
          <w:p w14:paraId="5AF5C650">
            <w:pPr>
              <w:spacing w:line="240" w:lineRule="exact"/>
              <w:jc w:val="right"/>
              <w:rPr>
                <w:rFonts w:ascii="宋体" w:hAnsi="宋体" w:eastAsia="宋体" w:cs="宋体"/>
                <w:sz w:val="18"/>
                <w:szCs w:val="18"/>
              </w:rPr>
            </w:pPr>
            <w:r>
              <w:rPr>
                <w:rFonts w:ascii="宋体" w:hAnsi="宋体" w:eastAsia="宋体" w:cs="宋体"/>
                <w:sz w:val="18"/>
                <w:szCs w:val="18"/>
              </w:rPr>
              <w:t>241,578.44</w:t>
            </w:r>
          </w:p>
        </w:tc>
        <w:tc>
          <w:tcPr>
            <w:tcW w:w="1928" w:type="dxa"/>
            <w:tcBorders>
              <w:top w:val="single" w:color="auto" w:sz="2" w:space="0"/>
              <w:left w:val="single" w:color="auto" w:sz="2" w:space="0"/>
              <w:bottom w:val="single" w:color="auto" w:sz="2" w:space="0"/>
              <w:right w:val="single" w:color="auto" w:sz="2" w:space="0"/>
            </w:tcBorders>
            <w:vAlign w:val="center"/>
          </w:tcPr>
          <w:p w14:paraId="2567E8A6">
            <w:pPr>
              <w:spacing w:line="240" w:lineRule="exact"/>
              <w:jc w:val="right"/>
              <w:rPr>
                <w:rFonts w:ascii="宋体" w:hAnsi="宋体" w:eastAsia="宋体" w:cs="宋体"/>
                <w:sz w:val="18"/>
                <w:szCs w:val="18"/>
              </w:rPr>
            </w:pPr>
            <w:r>
              <w:rPr>
                <w:rFonts w:ascii="宋体" w:hAnsi="宋体" w:eastAsia="宋体" w:cs="宋体"/>
                <w:sz w:val="18"/>
                <w:szCs w:val="18"/>
              </w:rPr>
              <w:t>13,205.09</w:t>
            </w:r>
          </w:p>
        </w:tc>
        <w:tc>
          <w:tcPr>
            <w:tcW w:w="1928" w:type="dxa"/>
            <w:tcBorders>
              <w:top w:val="single" w:color="auto" w:sz="2" w:space="0"/>
              <w:left w:val="single" w:color="auto" w:sz="2" w:space="0"/>
              <w:bottom w:val="single" w:color="auto" w:sz="2" w:space="0"/>
              <w:right w:val="single" w:color="auto" w:sz="2" w:space="0"/>
            </w:tcBorders>
            <w:vAlign w:val="center"/>
          </w:tcPr>
          <w:p w14:paraId="35E89512">
            <w:pPr>
              <w:spacing w:line="240" w:lineRule="exact"/>
              <w:jc w:val="right"/>
              <w:rPr>
                <w:rFonts w:ascii="宋体" w:hAnsi="宋体" w:eastAsia="宋体" w:cs="宋体"/>
                <w:sz w:val="18"/>
                <w:szCs w:val="18"/>
              </w:rPr>
            </w:pPr>
            <w:r>
              <w:rPr>
                <w:rFonts w:ascii="宋体" w:hAnsi="宋体" w:eastAsia="宋体" w:cs="宋体"/>
                <w:sz w:val="18"/>
                <w:szCs w:val="18"/>
              </w:rPr>
              <w:t>1,980.76</w:t>
            </w:r>
          </w:p>
        </w:tc>
      </w:tr>
      <w:tr w14:paraId="6578F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5B035B2">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3504C3BB">
            <w:pPr>
              <w:spacing w:line="240" w:lineRule="exact"/>
              <w:jc w:val="right"/>
              <w:rPr>
                <w:rFonts w:ascii="宋体" w:hAnsi="宋体" w:eastAsia="宋体" w:cs="宋体"/>
                <w:sz w:val="18"/>
                <w:szCs w:val="18"/>
              </w:rPr>
            </w:pPr>
            <w:r>
              <w:rPr>
                <w:rFonts w:ascii="宋体" w:hAnsi="宋体" w:eastAsia="宋体" w:cs="宋体"/>
                <w:sz w:val="18"/>
                <w:szCs w:val="18"/>
              </w:rPr>
              <w:t>118,104,986.31</w:t>
            </w:r>
          </w:p>
        </w:tc>
        <w:tc>
          <w:tcPr>
            <w:tcW w:w="1928" w:type="dxa"/>
            <w:tcBorders>
              <w:top w:val="single" w:color="auto" w:sz="2" w:space="0"/>
              <w:left w:val="single" w:color="auto" w:sz="2" w:space="0"/>
              <w:bottom w:val="single" w:color="auto" w:sz="2" w:space="0"/>
              <w:right w:val="single" w:color="auto" w:sz="2" w:space="0"/>
            </w:tcBorders>
            <w:vAlign w:val="center"/>
          </w:tcPr>
          <w:p w14:paraId="115A7EA5">
            <w:pPr>
              <w:spacing w:line="240" w:lineRule="exact"/>
              <w:jc w:val="right"/>
              <w:rPr>
                <w:rFonts w:ascii="宋体" w:hAnsi="宋体" w:eastAsia="宋体" w:cs="宋体"/>
                <w:sz w:val="18"/>
                <w:szCs w:val="18"/>
              </w:rPr>
            </w:pPr>
            <w:r>
              <w:rPr>
                <w:rFonts w:ascii="宋体" w:hAnsi="宋体" w:eastAsia="宋体" w:cs="宋体"/>
                <w:sz w:val="18"/>
                <w:szCs w:val="18"/>
              </w:rPr>
              <w:t>19,453,284.75</w:t>
            </w:r>
          </w:p>
        </w:tc>
        <w:tc>
          <w:tcPr>
            <w:tcW w:w="1928" w:type="dxa"/>
            <w:tcBorders>
              <w:top w:val="single" w:color="auto" w:sz="2" w:space="0"/>
              <w:left w:val="single" w:color="auto" w:sz="2" w:space="0"/>
              <w:bottom w:val="single" w:color="auto" w:sz="2" w:space="0"/>
              <w:right w:val="single" w:color="auto" w:sz="2" w:space="0"/>
            </w:tcBorders>
            <w:vAlign w:val="center"/>
          </w:tcPr>
          <w:p w14:paraId="2341F541">
            <w:pPr>
              <w:spacing w:line="240" w:lineRule="exact"/>
              <w:jc w:val="right"/>
              <w:rPr>
                <w:rFonts w:ascii="宋体" w:hAnsi="宋体" w:eastAsia="宋体" w:cs="宋体"/>
                <w:sz w:val="18"/>
                <w:szCs w:val="18"/>
              </w:rPr>
            </w:pPr>
            <w:r>
              <w:rPr>
                <w:rFonts w:ascii="宋体" w:hAnsi="宋体" w:eastAsia="宋体" w:cs="宋体"/>
                <w:sz w:val="18"/>
                <w:szCs w:val="18"/>
              </w:rPr>
              <w:t>95,096,641.99</w:t>
            </w:r>
          </w:p>
        </w:tc>
        <w:tc>
          <w:tcPr>
            <w:tcW w:w="1928" w:type="dxa"/>
            <w:tcBorders>
              <w:top w:val="single" w:color="auto" w:sz="2" w:space="0"/>
              <w:left w:val="single" w:color="auto" w:sz="2" w:space="0"/>
              <w:bottom w:val="single" w:color="auto" w:sz="2" w:space="0"/>
              <w:right w:val="single" w:color="auto" w:sz="2" w:space="0"/>
            </w:tcBorders>
            <w:vAlign w:val="center"/>
          </w:tcPr>
          <w:p w14:paraId="12B73FB1">
            <w:pPr>
              <w:spacing w:line="240" w:lineRule="exact"/>
              <w:jc w:val="right"/>
              <w:rPr>
                <w:rFonts w:ascii="宋体" w:hAnsi="宋体" w:eastAsia="宋体" w:cs="宋体"/>
                <w:sz w:val="18"/>
                <w:szCs w:val="18"/>
              </w:rPr>
            </w:pPr>
            <w:r>
              <w:rPr>
                <w:rFonts w:ascii="宋体" w:hAnsi="宋体" w:eastAsia="宋体" w:cs="宋体"/>
                <w:sz w:val="18"/>
                <w:szCs w:val="18"/>
              </w:rPr>
              <w:t>14,335,999.28</w:t>
            </w:r>
          </w:p>
        </w:tc>
      </w:tr>
    </w:tbl>
    <w:p w14:paraId="69C03AE9">
      <w:pPr>
        <w:keepNext/>
        <w:keepLines/>
        <w:spacing w:before="300" w:after="300" w:line="280" w:lineRule="exact"/>
        <w:outlineLvl w:val="3"/>
        <w:rPr>
          <w:rFonts w:ascii="宋体" w:hAnsi="宋体" w:eastAsia="宋体" w:cs="宋体"/>
          <w:b/>
          <w:bCs/>
          <w:szCs w:val="21"/>
        </w:rPr>
      </w:pPr>
      <w:bookmarkStart w:id="394" w:name="_Toc989247"/>
      <w:r>
        <w:rPr>
          <w:rFonts w:ascii="宋体" w:hAnsi="宋体" w:eastAsia="宋体" w:cs="宋体"/>
          <w:b/>
          <w:bCs/>
          <w:szCs w:val="21"/>
        </w:rPr>
        <w:t>（3） 以抵销后净额列示的递延所得税资产或负债</w:t>
      </w:r>
      <w:bookmarkEnd w:id="394"/>
    </w:p>
    <w:p w14:paraId="6426A9E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3DE48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61C6EF2">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E31EB13">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F752DB2">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F110593">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E79F5D1">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抵销后递延所得税资产或负债期初余额</w:t>
            </w:r>
          </w:p>
        </w:tc>
      </w:tr>
      <w:tr w14:paraId="743FE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710DFE0">
            <w:pPr>
              <w:spacing w:before="40" w:after="40" w:line="240" w:lineRule="exact"/>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vAlign w:val="center"/>
          </w:tcPr>
          <w:p w14:paraId="5657CAC5">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710AFCD">
            <w:pPr>
              <w:spacing w:line="240" w:lineRule="exact"/>
              <w:jc w:val="right"/>
              <w:rPr>
                <w:rFonts w:ascii="宋体" w:hAnsi="宋体" w:eastAsia="宋体" w:cs="宋体"/>
                <w:sz w:val="18"/>
                <w:szCs w:val="18"/>
              </w:rPr>
            </w:pPr>
            <w:r>
              <w:rPr>
                <w:rFonts w:ascii="宋体" w:hAnsi="宋体" w:eastAsia="宋体" w:cs="宋体"/>
                <w:sz w:val="18"/>
                <w:szCs w:val="18"/>
              </w:rPr>
              <w:t>214,539,436.52</w:t>
            </w:r>
          </w:p>
        </w:tc>
        <w:tc>
          <w:tcPr>
            <w:tcW w:w="1928" w:type="dxa"/>
            <w:tcBorders>
              <w:top w:val="single" w:color="auto" w:sz="2" w:space="0"/>
              <w:left w:val="single" w:color="auto" w:sz="2" w:space="0"/>
              <w:bottom w:val="single" w:color="auto" w:sz="2" w:space="0"/>
              <w:right w:val="single" w:color="auto" w:sz="2" w:space="0"/>
            </w:tcBorders>
            <w:vAlign w:val="center"/>
          </w:tcPr>
          <w:p w14:paraId="37263C0F">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2AB1E39">
            <w:pPr>
              <w:spacing w:line="240" w:lineRule="exact"/>
              <w:jc w:val="right"/>
              <w:rPr>
                <w:rFonts w:ascii="宋体" w:hAnsi="宋体" w:eastAsia="宋体" w:cs="宋体"/>
                <w:sz w:val="18"/>
                <w:szCs w:val="18"/>
              </w:rPr>
            </w:pPr>
            <w:r>
              <w:rPr>
                <w:rFonts w:ascii="宋体" w:hAnsi="宋体" w:eastAsia="宋体" w:cs="宋体"/>
                <w:sz w:val="18"/>
                <w:szCs w:val="18"/>
              </w:rPr>
              <w:t>213,210,116.57</w:t>
            </w:r>
          </w:p>
        </w:tc>
      </w:tr>
      <w:tr w14:paraId="65DAC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2322DB4">
            <w:pPr>
              <w:spacing w:before="40" w:after="40" w:line="240" w:lineRule="exact"/>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vAlign w:val="center"/>
          </w:tcPr>
          <w:p w14:paraId="6EA79753">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3DDD866">
            <w:pPr>
              <w:spacing w:line="240" w:lineRule="exact"/>
              <w:jc w:val="right"/>
              <w:rPr>
                <w:rFonts w:ascii="宋体" w:hAnsi="宋体" w:eastAsia="宋体" w:cs="宋体"/>
                <w:sz w:val="18"/>
                <w:szCs w:val="18"/>
              </w:rPr>
            </w:pPr>
            <w:r>
              <w:rPr>
                <w:rFonts w:ascii="宋体" w:hAnsi="宋体" w:eastAsia="宋体" w:cs="宋体"/>
                <w:sz w:val="18"/>
                <w:szCs w:val="18"/>
              </w:rPr>
              <w:t>19,453,284.76</w:t>
            </w:r>
          </w:p>
        </w:tc>
        <w:tc>
          <w:tcPr>
            <w:tcW w:w="1928" w:type="dxa"/>
            <w:tcBorders>
              <w:top w:val="single" w:color="auto" w:sz="2" w:space="0"/>
              <w:left w:val="single" w:color="auto" w:sz="2" w:space="0"/>
              <w:bottom w:val="single" w:color="auto" w:sz="2" w:space="0"/>
              <w:right w:val="single" w:color="auto" w:sz="2" w:space="0"/>
            </w:tcBorders>
            <w:vAlign w:val="center"/>
          </w:tcPr>
          <w:p w14:paraId="5D7F2275">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57AD58D">
            <w:pPr>
              <w:spacing w:line="240" w:lineRule="exact"/>
              <w:jc w:val="right"/>
              <w:rPr>
                <w:rFonts w:ascii="宋体" w:hAnsi="宋体" w:eastAsia="宋体" w:cs="宋体"/>
                <w:sz w:val="18"/>
                <w:szCs w:val="18"/>
              </w:rPr>
            </w:pPr>
            <w:r>
              <w:rPr>
                <w:rFonts w:ascii="宋体" w:hAnsi="宋体" w:eastAsia="宋体" w:cs="宋体"/>
                <w:sz w:val="18"/>
                <w:szCs w:val="18"/>
              </w:rPr>
              <w:t>14,335,999.28</w:t>
            </w:r>
          </w:p>
        </w:tc>
      </w:tr>
    </w:tbl>
    <w:p w14:paraId="76845527">
      <w:pPr>
        <w:keepNext/>
        <w:keepLines/>
        <w:spacing w:before="300" w:after="300" w:line="280" w:lineRule="exact"/>
        <w:outlineLvl w:val="3"/>
        <w:rPr>
          <w:rFonts w:ascii="宋体" w:hAnsi="宋体" w:eastAsia="宋体" w:cs="宋体"/>
          <w:b/>
          <w:bCs/>
          <w:szCs w:val="21"/>
        </w:rPr>
      </w:pPr>
      <w:bookmarkStart w:id="395" w:name="_Toc989248"/>
      <w:r>
        <w:rPr>
          <w:rFonts w:ascii="宋体" w:hAnsi="宋体" w:eastAsia="宋体" w:cs="宋体"/>
          <w:b/>
          <w:bCs/>
          <w:szCs w:val="21"/>
        </w:rPr>
        <w:t>（4） 未确认递延所得税资产明细</w:t>
      </w:r>
      <w:bookmarkEnd w:id="395"/>
    </w:p>
    <w:p w14:paraId="66D4156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0652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60974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A2F6DE">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EFEB93">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199A5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46F79D2">
            <w:pPr>
              <w:spacing w:line="240" w:lineRule="exact"/>
              <w:rPr>
                <w:rFonts w:ascii="宋体" w:hAnsi="宋体" w:eastAsia="宋体" w:cs="宋体"/>
                <w:sz w:val="18"/>
                <w:szCs w:val="18"/>
              </w:rPr>
            </w:pPr>
            <w:r>
              <w:rPr>
                <w:rFonts w:ascii="宋体" w:hAnsi="宋体" w:eastAsia="宋体" w:cs="宋体"/>
                <w:sz w:val="18"/>
                <w:szCs w:val="18"/>
              </w:rPr>
              <w:t>坏账准备</w:t>
            </w:r>
          </w:p>
        </w:tc>
        <w:tc>
          <w:tcPr>
            <w:tcW w:w="3213" w:type="dxa"/>
            <w:tcBorders>
              <w:top w:val="single" w:color="auto" w:sz="2" w:space="0"/>
              <w:left w:val="single" w:color="auto" w:sz="2" w:space="0"/>
              <w:bottom w:val="single" w:color="auto" w:sz="2" w:space="0"/>
              <w:right w:val="single" w:color="auto" w:sz="2" w:space="0"/>
            </w:tcBorders>
            <w:vAlign w:val="center"/>
          </w:tcPr>
          <w:p w14:paraId="2FC7FE13">
            <w:pPr>
              <w:spacing w:line="240" w:lineRule="exact"/>
              <w:jc w:val="right"/>
              <w:rPr>
                <w:rFonts w:ascii="宋体" w:hAnsi="宋体" w:eastAsia="宋体" w:cs="宋体"/>
                <w:sz w:val="18"/>
                <w:szCs w:val="18"/>
              </w:rPr>
            </w:pPr>
            <w:r>
              <w:rPr>
                <w:rFonts w:ascii="宋体" w:hAnsi="宋体" w:eastAsia="宋体" w:cs="宋体"/>
                <w:sz w:val="18"/>
                <w:szCs w:val="18"/>
              </w:rPr>
              <w:t>59,001,883.81</w:t>
            </w:r>
          </w:p>
        </w:tc>
        <w:tc>
          <w:tcPr>
            <w:tcW w:w="3213" w:type="dxa"/>
            <w:tcBorders>
              <w:top w:val="single" w:color="auto" w:sz="2" w:space="0"/>
              <w:left w:val="single" w:color="auto" w:sz="2" w:space="0"/>
              <w:bottom w:val="single" w:color="auto" w:sz="2" w:space="0"/>
              <w:right w:val="single" w:color="auto" w:sz="2" w:space="0"/>
            </w:tcBorders>
            <w:vAlign w:val="center"/>
          </w:tcPr>
          <w:p w14:paraId="01F72270">
            <w:pPr>
              <w:spacing w:line="240" w:lineRule="exact"/>
              <w:jc w:val="right"/>
              <w:rPr>
                <w:rFonts w:ascii="宋体" w:hAnsi="宋体" w:eastAsia="宋体" w:cs="宋体"/>
                <w:sz w:val="18"/>
                <w:szCs w:val="18"/>
              </w:rPr>
            </w:pPr>
            <w:r>
              <w:rPr>
                <w:rFonts w:ascii="宋体" w:hAnsi="宋体" w:eastAsia="宋体" w:cs="宋体"/>
                <w:sz w:val="18"/>
                <w:szCs w:val="18"/>
              </w:rPr>
              <w:t>106,100,059.37</w:t>
            </w:r>
          </w:p>
        </w:tc>
      </w:tr>
      <w:tr w14:paraId="74713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CCAAC86">
            <w:pPr>
              <w:spacing w:line="240" w:lineRule="exact"/>
              <w:rPr>
                <w:rFonts w:ascii="宋体" w:hAnsi="宋体" w:eastAsia="宋体" w:cs="宋体"/>
                <w:sz w:val="18"/>
                <w:szCs w:val="18"/>
              </w:rPr>
            </w:pPr>
            <w:r>
              <w:rPr>
                <w:rFonts w:ascii="宋体" w:hAnsi="宋体" w:eastAsia="宋体" w:cs="宋体"/>
                <w:sz w:val="18"/>
                <w:szCs w:val="18"/>
              </w:rPr>
              <w:t>存货跌价准备</w:t>
            </w:r>
          </w:p>
        </w:tc>
        <w:tc>
          <w:tcPr>
            <w:tcW w:w="3213" w:type="dxa"/>
            <w:tcBorders>
              <w:top w:val="single" w:color="auto" w:sz="2" w:space="0"/>
              <w:left w:val="single" w:color="auto" w:sz="2" w:space="0"/>
              <w:bottom w:val="single" w:color="auto" w:sz="2" w:space="0"/>
              <w:right w:val="single" w:color="auto" w:sz="2" w:space="0"/>
            </w:tcBorders>
            <w:vAlign w:val="center"/>
          </w:tcPr>
          <w:p w14:paraId="62D46AC0">
            <w:pPr>
              <w:spacing w:line="240" w:lineRule="exact"/>
              <w:jc w:val="right"/>
              <w:rPr>
                <w:rFonts w:ascii="宋体" w:hAnsi="宋体" w:eastAsia="宋体" w:cs="宋体"/>
                <w:sz w:val="18"/>
                <w:szCs w:val="18"/>
              </w:rPr>
            </w:pPr>
            <w:r>
              <w:rPr>
                <w:rFonts w:ascii="宋体" w:hAnsi="宋体" w:eastAsia="宋体" w:cs="宋体"/>
                <w:sz w:val="18"/>
                <w:szCs w:val="18"/>
              </w:rPr>
              <w:t>15,466,557.09</w:t>
            </w:r>
          </w:p>
        </w:tc>
        <w:tc>
          <w:tcPr>
            <w:tcW w:w="3213" w:type="dxa"/>
            <w:tcBorders>
              <w:top w:val="single" w:color="auto" w:sz="2" w:space="0"/>
              <w:left w:val="single" w:color="auto" w:sz="2" w:space="0"/>
              <w:bottom w:val="single" w:color="auto" w:sz="2" w:space="0"/>
              <w:right w:val="single" w:color="auto" w:sz="2" w:space="0"/>
            </w:tcBorders>
            <w:vAlign w:val="center"/>
          </w:tcPr>
          <w:p w14:paraId="4960B2A5">
            <w:pPr>
              <w:spacing w:line="240" w:lineRule="exact"/>
              <w:jc w:val="right"/>
              <w:rPr>
                <w:rFonts w:ascii="宋体" w:hAnsi="宋体" w:eastAsia="宋体" w:cs="宋体"/>
                <w:sz w:val="18"/>
                <w:szCs w:val="18"/>
              </w:rPr>
            </w:pPr>
            <w:r>
              <w:rPr>
                <w:rFonts w:ascii="宋体" w:hAnsi="宋体" w:eastAsia="宋体" w:cs="宋体"/>
                <w:sz w:val="18"/>
                <w:szCs w:val="18"/>
              </w:rPr>
              <w:t>32,353,225.25</w:t>
            </w:r>
          </w:p>
        </w:tc>
      </w:tr>
      <w:tr w14:paraId="02AD5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7E32FF0">
            <w:pPr>
              <w:spacing w:line="240" w:lineRule="exac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14:paraId="5DDE65F5">
            <w:pPr>
              <w:spacing w:line="240" w:lineRule="exact"/>
              <w:jc w:val="right"/>
              <w:rPr>
                <w:rFonts w:ascii="宋体" w:hAnsi="宋体" w:eastAsia="宋体" w:cs="宋体"/>
                <w:sz w:val="18"/>
                <w:szCs w:val="18"/>
              </w:rPr>
            </w:pPr>
            <w:r>
              <w:rPr>
                <w:rFonts w:ascii="宋体" w:hAnsi="宋体" w:eastAsia="宋体" w:cs="宋体"/>
                <w:sz w:val="18"/>
                <w:szCs w:val="18"/>
              </w:rPr>
              <w:t>5,985,139.63</w:t>
            </w:r>
          </w:p>
        </w:tc>
        <w:tc>
          <w:tcPr>
            <w:tcW w:w="3213" w:type="dxa"/>
            <w:tcBorders>
              <w:top w:val="single" w:color="auto" w:sz="2" w:space="0"/>
              <w:left w:val="single" w:color="auto" w:sz="2" w:space="0"/>
              <w:bottom w:val="single" w:color="auto" w:sz="2" w:space="0"/>
              <w:right w:val="single" w:color="auto" w:sz="2" w:space="0"/>
            </w:tcBorders>
            <w:vAlign w:val="center"/>
          </w:tcPr>
          <w:p w14:paraId="5935B398">
            <w:pPr>
              <w:spacing w:line="240" w:lineRule="exact"/>
              <w:jc w:val="right"/>
              <w:rPr>
                <w:rFonts w:ascii="宋体" w:hAnsi="宋体" w:eastAsia="宋体" w:cs="宋体"/>
                <w:sz w:val="18"/>
                <w:szCs w:val="18"/>
              </w:rPr>
            </w:pPr>
            <w:r>
              <w:rPr>
                <w:rFonts w:ascii="宋体" w:hAnsi="宋体" w:eastAsia="宋体" w:cs="宋体"/>
                <w:sz w:val="18"/>
                <w:szCs w:val="18"/>
              </w:rPr>
              <w:t>6,403,118.11</w:t>
            </w:r>
          </w:p>
        </w:tc>
      </w:tr>
      <w:tr w14:paraId="44B70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3ADAAE0">
            <w:pPr>
              <w:spacing w:line="240" w:lineRule="exact"/>
              <w:rPr>
                <w:rFonts w:ascii="宋体" w:hAnsi="宋体" w:eastAsia="宋体" w:cs="宋体"/>
                <w:sz w:val="18"/>
                <w:szCs w:val="18"/>
              </w:rPr>
            </w:pPr>
            <w:r>
              <w:rPr>
                <w:rFonts w:ascii="宋体" w:hAnsi="宋体" w:eastAsia="宋体" w:cs="宋体"/>
                <w:sz w:val="18"/>
                <w:szCs w:val="18"/>
              </w:rPr>
              <w:t>未弥补亏损 .</w:t>
            </w:r>
          </w:p>
        </w:tc>
        <w:tc>
          <w:tcPr>
            <w:tcW w:w="3213" w:type="dxa"/>
            <w:tcBorders>
              <w:top w:val="single" w:color="auto" w:sz="2" w:space="0"/>
              <w:left w:val="single" w:color="auto" w:sz="2" w:space="0"/>
              <w:bottom w:val="single" w:color="auto" w:sz="2" w:space="0"/>
              <w:right w:val="single" w:color="auto" w:sz="2" w:space="0"/>
            </w:tcBorders>
            <w:vAlign w:val="center"/>
          </w:tcPr>
          <w:p w14:paraId="75E93283">
            <w:pPr>
              <w:spacing w:line="240" w:lineRule="exact"/>
              <w:jc w:val="right"/>
              <w:rPr>
                <w:rFonts w:ascii="宋体" w:hAnsi="宋体" w:eastAsia="宋体" w:cs="宋体"/>
                <w:sz w:val="18"/>
                <w:szCs w:val="18"/>
              </w:rPr>
            </w:pPr>
            <w:r>
              <w:rPr>
                <w:rFonts w:ascii="宋体" w:hAnsi="宋体" w:eastAsia="宋体" w:cs="宋体"/>
                <w:sz w:val="18"/>
                <w:szCs w:val="18"/>
              </w:rPr>
              <w:t>1,436,493,682.02</w:t>
            </w:r>
          </w:p>
        </w:tc>
        <w:tc>
          <w:tcPr>
            <w:tcW w:w="3213" w:type="dxa"/>
            <w:tcBorders>
              <w:top w:val="single" w:color="auto" w:sz="2" w:space="0"/>
              <w:left w:val="single" w:color="auto" w:sz="2" w:space="0"/>
              <w:bottom w:val="single" w:color="auto" w:sz="2" w:space="0"/>
              <w:right w:val="single" w:color="auto" w:sz="2" w:space="0"/>
            </w:tcBorders>
            <w:vAlign w:val="center"/>
          </w:tcPr>
          <w:p w14:paraId="47FD71E4">
            <w:pPr>
              <w:spacing w:line="240" w:lineRule="exact"/>
              <w:jc w:val="right"/>
              <w:rPr>
                <w:rFonts w:ascii="宋体" w:hAnsi="宋体" w:eastAsia="宋体" w:cs="宋体"/>
                <w:sz w:val="18"/>
                <w:szCs w:val="18"/>
              </w:rPr>
            </w:pPr>
            <w:r>
              <w:rPr>
                <w:rFonts w:ascii="宋体" w:hAnsi="宋体" w:eastAsia="宋体" w:cs="宋体"/>
                <w:sz w:val="18"/>
                <w:szCs w:val="18"/>
              </w:rPr>
              <w:t>1,832,237,504.45</w:t>
            </w:r>
          </w:p>
        </w:tc>
      </w:tr>
      <w:tr w14:paraId="5770E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2F32598">
            <w:pPr>
              <w:spacing w:line="240" w:lineRule="exact"/>
              <w:rPr>
                <w:rFonts w:ascii="宋体" w:hAnsi="宋体" w:eastAsia="宋体" w:cs="宋体"/>
                <w:sz w:val="18"/>
                <w:szCs w:val="18"/>
              </w:rPr>
            </w:pPr>
            <w:r>
              <w:rPr>
                <w:rFonts w:ascii="宋体" w:hAnsi="宋体" w:eastAsia="宋体" w:cs="宋体"/>
                <w:sz w:val="18"/>
                <w:szCs w:val="18"/>
              </w:rPr>
              <w:t>公允价值变动</w:t>
            </w:r>
          </w:p>
        </w:tc>
        <w:tc>
          <w:tcPr>
            <w:tcW w:w="3213" w:type="dxa"/>
            <w:tcBorders>
              <w:top w:val="single" w:color="auto" w:sz="2" w:space="0"/>
              <w:left w:val="single" w:color="auto" w:sz="2" w:space="0"/>
              <w:bottom w:val="single" w:color="auto" w:sz="2" w:space="0"/>
              <w:right w:val="single" w:color="auto" w:sz="2" w:space="0"/>
            </w:tcBorders>
            <w:vAlign w:val="center"/>
          </w:tcPr>
          <w:p w14:paraId="73585CE5">
            <w:pPr>
              <w:spacing w:line="240" w:lineRule="exact"/>
              <w:jc w:val="right"/>
              <w:rPr>
                <w:rFonts w:ascii="宋体" w:hAnsi="宋体" w:eastAsia="宋体" w:cs="宋体"/>
                <w:sz w:val="18"/>
                <w:szCs w:val="18"/>
              </w:rPr>
            </w:pPr>
            <w:r>
              <w:rPr>
                <w:rFonts w:ascii="宋体" w:hAnsi="宋体" w:eastAsia="宋体" w:cs="宋体"/>
                <w:sz w:val="18"/>
                <w:szCs w:val="18"/>
              </w:rPr>
              <w:t>1,725,318.54</w:t>
            </w:r>
          </w:p>
        </w:tc>
        <w:tc>
          <w:tcPr>
            <w:tcW w:w="3213" w:type="dxa"/>
            <w:tcBorders>
              <w:top w:val="single" w:color="auto" w:sz="2" w:space="0"/>
              <w:left w:val="single" w:color="auto" w:sz="2" w:space="0"/>
              <w:bottom w:val="single" w:color="auto" w:sz="2" w:space="0"/>
              <w:right w:val="single" w:color="auto" w:sz="2" w:space="0"/>
            </w:tcBorders>
            <w:vAlign w:val="center"/>
          </w:tcPr>
          <w:p w14:paraId="71354ACF">
            <w:pPr>
              <w:spacing w:line="240" w:lineRule="exact"/>
              <w:jc w:val="right"/>
              <w:rPr>
                <w:rFonts w:ascii="宋体" w:hAnsi="宋体" w:eastAsia="宋体" w:cs="宋体"/>
                <w:sz w:val="18"/>
                <w:szCs w:val="18"/>
              </w:rPr>
            </w:pPr>
            <w:r>
              <w:rPr>
                <w:rFonts w:ascii="宋体" w:hAnsi="宋体" w:eastAsia="宋体" w:cs="宋体"/>
                <w:sz w:val="18"/>
                <w:szCs w:val="18"/>
              </w:rPr>
              <w:t>19,163,405.00</w:t>
            </w:r>
          </w:p>
        </w:tc>
      </w:tr>
      <w:tr w14:paraId="6C161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58D7B8F">
            <w:pPr>
              <w:spacing w:line="240" w:lineRule="exact"/>
              <w:rPr>
                <w:rFonts w:ascii="宋体" w:hAnsi="宋体" w:eastAsia="宋体" w:cs="宋体"/>
                <w:sz w:val="18"/>
                <w:szCs w:val="18"/>
              </w:rPr>
            </w:pPr>
            <w:r>
              <w:rPr>
                <w:rFonts w:ascii="宋体" w:hAnsi="宋体" w:eastAsia="宋体" w:cs="宋体"/>
                <w:sz w:val="18"/>
                <w:szCs w:val="18"/>
              </w:rPr>
              <w:t>固定资产减值准备</w:t>
            </w:r>
          </w:p>
        </w:tc>
        <w:tc>
          <w:tcPr>
            <w:tcW w:w="3213" w:type="dxa"/>
            <w:tcBorders>
              <w:top w:val="single" w:color="auto" w:sz="2" w:space="0"/>
              <w:left w:val="single" w:color="auto" w:sz="2" w:space="0"/>
              <w:bottom w:val="single" w:color="auto" w:sz="2" w:space="0"/>
              <w:right w:val="single" w:color="auto" w:sz="2" w:space="0"/>
            </w:tcBorders>
            <w:vAlign w:val="center"/>
          </w:tcPr>
          <w:p w14:paraId="4B2EC846">
            <w:pPr>
              <w:spacing w:line="240" w:lineRule="exact"/>
              <w:jc w:val="right"/>
              <w:rPr>
                <w:rFonts w:ascii="宋体" w:hAnsi="宋体" w:eastAsia="宋体" w:cs="宋体"/>
                <w:sz w:val="18"/>
                <w:szCs w:val="18"/>
              </w:rPr>
            </w:pPr>
            <w:r>
              <w:rPr>
                <w:rFonts w:ascii="宋体" w:hAnsi="宋体" w:eastAsia="宋体" w:cs="宋体"/>
                <w:sz w:val="18"/>
                <w:szCs w:val="18"/>
              </w:rPr>
              <w:t>24,365,678.21</w:t>
            </w:r>
          </w:p>
        </w:tc>
        <w:tc>
          <w:tcPr>
            <w:tcW w:w="3213" w:type="dxa"/>
            <w:tcBorders>
              <w:top w:val="single" w:color="auto" w:sz="2" w:space="0"/>
              <w:left w:val="single" w:color="auto" w:sz="2" w:space="0"/>
              <w:bottom w:val="single" w:color="auto" w:sz="2" w:space="0"/>
              <w:right w:val="single" w:color="auto" w:sz="2" w:space="0"/>
            </w:tcBorders>
            <w:vAlign w:val="center"/>
          </w:tcPr>
          <w:p w14:paraId="1134DA64">
            <w:pPr>
              <w:spacing w:line="240" w:lineRule="exact"/>
              <w:jc w:val="right"/>
              <w:rPr>
                <w:rFonts w:ascii="宋体" w:hAnsi="宋体" w:eastAsia="宋体" w:cs="宋体"/>
                <w:sz w:val="18"/>
                <w:szCs w:val="18"/>
              </w:rPr>
            </w:pPr>
            <w:r>
              <w:rPr>
                <w:rFonts w:ascii="宋体" w:hAnsi="宋体" w:eastAsia="宋体" w:cs="宋体"/>
                <w:sz w:val="18"/>
                <w:szCs w:val="18"/>
              </w:rPr>
              <w:t>24,573,168.01</w:t>
            </w:r>
          </w:p>
        </w:tc>
      </w:tr>
      <w:tr w14:paraId="7134E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C244758">
            <w:pPr>
              <w:spacing w:line="240" w:lineRule="exact"/>
              <w:rPr>
                <w:rFonts w:ascii="宋体" w:hAnsi="宋体" w:eastAsia="宋体" w:cs="宋体"/>
                <w:sz w:val="18"/>
                <w:szCs w:val="18"/>
              </w:rPr>
            </w:pPr>
            <w:r>
              <w:rPr>
                <w:rFonts w:ascii="宋体" w:hAnsi="宋体" w:eastAsia="宋体" w:cs="宋体"/>
                <w:sz w:val="18"/>
                <w:szCs w:val="18"/>
              </w:rPr>
              <w:t>使用权资产及租赁负债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5CE45ECB">
            <w:pPr>
              <w:spacing w:line="240" w:lineRule="exact"/>
              <w:jc w:val="right"/>
              <w:rPr>
                <w:rFonts w:ascii="宋体" w:hAnsi="宋体" w:eastAsia="宋体" w:cs="宋体"/>
                <w:sz w:val="18"/>
                <w:szCs w:val="18"/>
              </w:rPr>
            </w:pPr>
            <w:r>
              <w:rPr>
                <w:rFonts w:ascii="宋体" w:hAnsi="宋体" w:eastAsia="宋体" w:cs="宋体"/>
                <w:sz w:val="18"/>
                <w:szCs w:val="18"/>
              </w:rPr>
              <w:t>482,252.00</w:t>
            </w:r>
          </w:p>
        </w:tc>
        <w:tc>
          <w:tcPr>
            <w:tcW w:w="3213" w:type="dxa"/>
            <w:tcBorders>
              <w:top w:val="single" w:color="auto" w:sz="2" w:space="0"/>
              <w:left w:val="single" w:color="auto" w:sz="2" w:space="0"/>
              <w:bottom w:val="single" w:color="auto" w:sz="2" w:space="0"/>
              <w:right w:val="single" w:color="auto" w:sz="2" w:space="0"/>
            </w:tcBorders>
            <w:vAlign w:val="center"/>
          </w:tcPr>
          <w:p w14:paraId="056E0BB5">
            <w:pPr>
              <w:spacing w:line="240" w:lineRule="exact"/>
              <w:jc w:val="right"/>
              <w:rPr>
                <w:rFonts w:ascii="宋体" w:hAnsi="宋体" w:eastAsia="宋体" w:cs="宋体"/>
                <w:sz w:val="18"/>
                <w:szCs w:val="18"/>
              </w:rPr>
            </w:pPr>
            <w:r>
              <w:rPr>
                <w:rFonts w:ascii="宋体" w:hAnsi="宋体" w:eastAsia="宋体" w:cs="宋体"/>
                <w:sz w:val="18"/>
                <w:szCs w:val="18"/>
              </w:rPr>
              <w:t>929,282.26</w:t>
            </w:r>
          </w:p>
        </w:tc>
      </w:tr>
      <w:tr w14:paraId="5B41D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B5DA79">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AC6ADBB">
            <w:pPr>
              <w:spacing w:line="240" w:lineRule="exact"/>
              <w:jc w:val="right"/>
              <w:rPr>
                <w:rFonts w:ascii="宋体" w:hAnsi="宋体" w:eastAsia="宋体" w:cs="宋体"/>
                <w:sz w:val="18"/>
                <w:szCs w:val="18"/>
              </w:rPr>
            </w:pPr>
            <w:r>
              <w:rPr>
                <w:rFonts w:ascii="宋体" w:hAnsi="宋体" w:eastAsia="宋体" w:cs="宋体"/>
                <w:sz w:val="18"/>
                <w:szCs w:val="18"/>
              </w:rPr>
              <w:t>1,543,520,511.30</w:t>
            </w:r>
          </w:p>
        </w:tc>
        <w:tc>
          <w:tcPr>
            <w:tcW w:w="3213" w:type="dxa"/>
            <w:tcBorders>
              <w:top w:val="single" w:color="auto" w:sz="2" w:space="0"/>
              <w:left w:val="single" w:color="auto" w:sz="2" w:space="0"/>
              <w:bottom w:val="single" w:color="auto" w:sz="2" w:space="0"/>
              <w:right w:val="single" w:color="auto" w:sz="2" w:space="0"/>
            </w:tcBorders>
            <w:vAlign w:val="center"/>
          </w:tcPr>
          <w:p w14:paraId="15CD3D9C">
            <w:pPr>
              <w:spacing w:line="240" w:lineRule="exact"/>
              <w:jc w:val="right"/>
              <w:rPr>
                <w:rFonts w:ascii="宋体" w:hAnsi="宋体" w:eastAsia="宋体" w:cs="宋体"/>
                <w:sz w:val="18"/>
                <w:szCs w:val="18"/>
              </w:rPr>
            </w:pPr>
            <w:r>
              <w:rPr>
                <w:rFonts w:ascii="宋体" w:hAnsi="宋体" w:eastAsia="宋体" w:cs="宋体"/>
                <w:sz w:val="18"/>
                <w:szCs w:val="18"/>
              </w:rPr>
              <w:t>2,021,759,762.45</w:t>
            </w:r>
          </w:p>
        </w:tc>
      </w:tr>
    </w:tbl>
    <w:p w14:paraId="060C0680">
      <w:pPr>
        <w:keepNext/>
        <w:keepLines/>
        <w:spacing w:before="300" w:after="300" w:line="280" w:lineRule="exact"/>
        <w:outlineLvl w:val="3"/>
        <w:rPr>
          <w:rFonts w:ascii="宋体" w:hAnsi="宋体" w:eastAsia="宋体" w:cs="宋体"/>
          <w:b/>
          <w:bCs/>
          <w:szCs w:val="21"/>
        </w:rPr>
      </w:pPr>
      <w:bookmarkStart w:id="396" w:name="_Toc989249"/>
      <w:r>
        <w:rPr>
          <w:rFonts w:ascii="宋体" w:hAnsi="宋体" w:eastAsia="宋体" w:cs="宋体"/>
          <w:b/>
          <w:bCs/>
          <w:szCs w:val="21"/>
        </w:rPr>
        <w:t>（5） 未确认递延所得税资产的可抵扣亏损将于以下年度到期</w:t>
      </w:r>
      <w:bookmarkEnd w:id="396"/>
    </w:p>
    <w:p w14:paraId="2DF88A05">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39A3EFC4">
      <w:pPr>
        <w:pStyle w:val="3"/>
        <w:spacing w:line="280" w:lineRule="exact"/>
        <w:jc w:val="left"/>
        <w:rPr>
          <w:rFonts w:ascii="宋体" w:hAnsi="宋体" w:cs="宋体"/>
          <w:b/>
          <w:bCs/>
        </w:rPr>
      </w:pPr>
      <w:bookmarkStart w:id="397" w:name="_Toc989250"/>
      <w:r>
        <w:rPr>
          <w:rFonts w:ascii="宋体" w:hAnsi="宋体" w:cs="宋体"/>
          <w:b/>
          <w:bCs/>
        </w:rPr>
        <w:t>30、其他非流动资产</w:t>
      </w:r>
      <w:bookmarkEnd w:id="397"/>
    </w:p>
    <w:p w14:paraId="2609184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540E4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E42D873">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6D2730D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4A29004B">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10731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9B63611"/>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2F3100D">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9C5A875">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126C7CD">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14C0926">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1E8CA1C">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1FB8FA0">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68A27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05CFA92F">
            <w:pPr>
              <w:spacing w:line="240" w:lineRule="exact"/>
              <w:rPr>
                <w:rFonts w:ascii="宋体" w:hAnsi="宋体" w:eastAsia="宋体" w:cs="宋体"/>
                <w:sz w:val="18"/>
                <w:szCs w:val="18"/>
              </w:rPr>
            </w:pPr>
            <w:r>
              <w:rPr>
                <w:rFonts w:ascii="宋体" w:hAnsi="宋体" w:eastAsia="宋体" w:cs="宋体"/>
                <w:sz w:val="18"/>
                <w:szCs w:val="18"/>
              </w:rPr>
              <w:t>预付工程设备款</w:t>
            </w:r>
          </w:p>
        </w:tc>
        <w:tc>
          <w:tcPr>
            <w:tcW w:w="1377" w:type="dxa"/>
            <w:tcBorders>
              <w:top w:val="single" w:color="auto" w:sz="2" w:space="0"/>
              <w:left w:val="single" w:color="auto" w:sz="2" w:space="0"/>
              <w:bottom w:val="single" w:color="auto" w:sz="2" w:space="0"/>
              <w:right w:val="single" w:color="auto" w:sz="2" w:space="0"/>
            </w:tcBorders>
            <w:vAlign w:val="center"/>
          </w:tcPr>
          <w:p w14:paraId="56CC00F7">
            <w:pPr>
              <w:spacing w:line="240" w:lineRule="exact"/>
              <w:jc w:val="right"/>
              <w:rPr>
                <w:rFonts w:ascii="宋体" w:hAnsi="宋体" w:eastAsia="宋体" w:cs="宋体"/>
                <w:sz w:val="18"/>
                <w:szCs w:val="18"/>
              </w:rPr>
            </w:pPr>
            <w:r>
              <w:rPr>
                <w:rFonts w:ascii="宋体" w:hAnsi="宋体" w:eastAsia="宋体" w:cs="宋体"/>
                <w:sz w:val="18"/>
                <w:szCs w:val="18"/>
              </w:rPr>
              <w:t>167,294,211.76</w:t>
            </w:r>
          </w:p>
        </w:tc>
        <w:tc>
          <w:tcPr>
            <w:tcW w:w="1377" w:type="dxa"/>
            <w:tcBorders>
              <w:top w:val="single" w:color="auto" w:sz="2" w:space="0"/>
              <w:left w:val="single" w:color="auto" w:sz="2" w:space="0"/>
              <w:bottom w:val="single" w:color="auto" w:sz="2" w:space="0"/>
              <w:right w:val="single" w:color="auto" w:sz="2" w:space="0"/>
            </w:tcBorders>
            <w:vAlign w:val="center"/>
          </w:tcPr>
          <w:p w14:paraId="3B6CE66A">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F500A08">
            <w:pPr>
              <w:spacing w:line="240" w:lineRule="exact"/>
              <w:jc w:val="right"/>
              <w:rPr>
                <w:rFonts w:ascii="宋体" w:hAnsi="宋体" w:eastAsia="宋体" w:cs="宋体"/>
                <w:sz w:val="18"/>
                <w:szCs w:val="18"/>
              </w:rPr>
            </w:pPr>
            <w:r>
              <w:rPr>
                <w:rFonts w:ascii="宋体" w:hAnsi="宋体" w:eastAsia="宋体" w:cs="宋体"/>
                <w:sz w:val="18"/>
                <w:szCs w:val="18"/>
              </w:rPr>
              <w:t>167,294,211.76</w:t>
            </w:r>
          </w:p>
        </w:tc>
        <w:tc>
          <w:tcPr>
            <w:tcW w:w="1377" w:type="dxa"/>
            <w:tcBorders>
              <w:top w:val="single" w:color="auto" w:sz="2" w:space="0"/>
              <w:left w:val="single" w:color="auto" w:sz="2" w:space="0"/>
              <w:bottom w:val="single" w:color="auto" w:sz="2" w:space="0"/>
              <w:right w:val="single" w:color="auto" w:sz="2" w:space="0"/>
            </w:tcBorders>
            <w:vAlign w:val="center"/>
          </w:tcPr>
          <w:p w14:paraId="171F2370">
            <w:pPr>
              <w:spacing w:line="240" w:lineRule="exact"/>
              <w:jc w:val="right"/>
              <w:rPr>
                <w:rFonts w:ascii="宋体" w:hAnsi="宋体" w:eastAsia="宋体" w:cs="宋体"/>
                <w:sz w:val="18"/>
                <w:szCs w:val="18"/>
              </w:rPr>
            </w:pPr>
            <w:r>
              <w:rPr>
                <w:rFonts w:ascii="宋体" w:hAnsi="宋体" w:eastAsia="宋体" w:cs="宋体"/>
                <w:sz w:val="18"/>
                <w:szCs w:val="18"/>
              </w:rPr>
              <w:t>80,652,289.73</w:t>
            </w:r>
          </w:p>
        </w:tc>
        <w:tc>
          <w:tcPr>
            <w:tcW w:w="1377" w:type="dxa"/>
            <w:tcBorders>
              <w:top w:val="single" w:color="auto" w:sz="2" w:space="0"/>
              <w:left w:val="single" w:color="auto" w:sz="2" w:space="0"/>
              <w:bottom w:val="single" w:color="auto" w:sz="2" w:space="0"/>
              <w:right w:val="single" w:color="auto" w:sz="2" w:space="0"/>
            </w:tcBorders>
            <w:vAlign w:val="center"/>
          </w:tcPr>
          <w:p w14:paraId="00B02FD4">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5FF900F">
            <w:pPr>
              <w:spacing w:line="240" w:lineRule="exact"/>
              <w:jc w:val="right"/>
              <w:rPr>
                <w:rFonts w:ascii="宋体" w:hAnsi="宋体" w:eastAsia="宋体" w:cs="宋体"/>
                <w:sz w:val="18"/>
                <w:szCs w:val="18"/>
              </w:rPr>
            </w:pPr>
            <w:r>
              <w:rPr>
                <w:rFonts w:ascii="宋体" w:hAnsi="宋体" w:eastAsia="宋体" w:cs="宋体"/>
                <w:sz w:val="18"/>
                <w:szCs w:val="18"/>
              </w:rPr>
              <w:t>80,652,289.73</w:t>
            </w:r>
          </w:p>
        </w:tc>
      </w:tr>
      <w:tr w14:paraId="61140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41FFCCB">
            <w:pPr>
              <w:spacing w:line="240" w:lineRule="exact"/>
              <w:rPr>
                <w:rFonts w:ascii="宋体" w:hAnsi="宋体" w:eastAsia="宋体" w:cs="宋体"/>
                <w:sz w:val="18"/>
                <w:szCs w:val="18"/>
              </w:rPr>
            </w:pPr>
            <w:r>
              <w:rPr>
                <w:rFonts w:ascii="宋体" w:hAnsi="宋体" w:eastAsia="宋体" w:cs="宋体"/>
                <w:sz w:val="18"/>
                <w:szCs w:val="18"/>
              </w:rPr>
              <w:t>预付土地款</w:t>
            </w:r>
          </w:p>
        </w:tc>
        <w:tc>
          <w:tcPr>
            <w:tcW w:w="1377" w:type="dxa"/>
            <w:tcBorders>
              <w:top w:val="single" w:color="auto" w:sz="2" w:space="0"/>
              <w:left w:val="single" w:color="auto" w:sz="2" w:space="0"/>
              <w:bottom w:val="single" w:color="auto" w:sz="2" w:space="0"/>
              <w:right w:val="single" w:color="auto" w:sz="2" w:space="0"/>
            </w:tcBorders>
            <w:vAlign w:val="center"/>
          </w:tcPr>
          <w:p w14:paraId="312D8F72">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1367ECA">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D55DCB9">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799C9A9">
            <w:pPr>
              <w:spacing w:line="240" w:lineRule="exact"/>
              <w:jc w:val="right"/>
              <w:rPr>
                <w:rFonts w:ascii="宋体" w:hAnsi="宋体" w:eastAsia="宋体" w:cs="宋体"/>
                <w:sz w:val="18"/>
                <w:szCs w:val="18"/>
              </w:rPr>
            </w:pPr>
            <w:r>
              <w:rPr>
                <w:rFonts w:ascii="宋体" w:hAnsi="宋体" w:eastAsia="宋体" w:cs="宋体"/>
                <w:sz w:val="18"/>
                <w:szCs w:val="18"/>
              </w:rPr>
              <w:t>90,000,000.00</w:t>
            </w:r>
          </w:p>
        </w:tc>
        <w:tc>
          <w:tcPr>
            <w:tcW w:w="1377" w:type="dxa"/>
            <w:tcBorders>
              <w:top w:val="single" w:color="auto" w:sz="2" w:space="0"/>
              <w:left w:val="single" w:color="auto" w:sz="2" w:space="0"/>
              <w:bottom w:val="single" w:color="auto" w:sz="2" w:space="0"/>
              <w:right w:val="single" w:color="auto" w:sz="2" w:space="0"/>
            </w:tcBorders>
            <w:vAlign w:val="center"/>
          </w:tcPr>
          <w:p w14:paraId="6EA4FC5B">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89D6F84">
            <w:pPr>
              <w:spacing w:line="240" w:lineRule="exact"/>
              <w:jc w:val="right"/>
              <w:rPr>
                <w:rFonts w:ascii="宋体" w:hAnsi="宋体" w:eastAsia="宋体" w:cs="宋体"/>
                <w:sz w:val="18"/>
                <w:szCs w:val="18"/>
              </w:rPr>
            </w:pPr>
            <w:r>
              <w:rPr>
                <w:rFonts w:ascii="宋体" w:hAnsi="宋体" w:eastAsia="宋体" w:cs="宋体"/>
                <w:sz w:val="18"/>
                <w:szCs w:val="18"/>
              </w:rPr>
              <w:t>90,000,000.00</w:t>
            </w:r>
          </w:p>
        </w:tc>
      </w:tr>
      <w:tr w14:paraId="4DA26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70F9FF5E">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3D4E2218">
            <w:pPr>
              <w:spacing w:line="240" w:lineRule="exact"/>
              <w:jc w:val="right"/>
              <w:rPr>
                <w:rFonts w:ascii="宋体" w:hAnsi="宋体" w:eastAsia="宋体" w:cs="宋体"/>
                <w:sz w:val="18"/>
                <w:szCs w:val="18"/>
              </w:rPr>
            </w:pPr>
            <w:r>
              <w:rPr>
                <w:rFonts w:ascii="宋体" w:hAnsi="宋体" w:eastAsia="宋体" w:cs="宋体"/>
                <w:sz w:val="18"/>
                <w:szCs w:val="18"/>
              </w:rPr>
              <w:t>167,294,211.76</w:t>
            </w:r>
          </w:p>
        </w:tc>
        <w:tc>
          <w:tcPr>
            <w:tcW w:w="1377" w:type="dxa"/>
            <w:tcBorders>
              <w:top w:val="single" w:color="auto" w:sz="2" w:space="0"/>
              <w:left w:val="single" w:color="auto" w:sz="2" w:space="0"/>
              <w:bottom w:val="single" w:color="auto" w:sz="2" w:space="0"/>
              <w:right w:val="single" w:color="auto" w:sz="2" w:space="0"/>
            </w:tcBorders>
            <w:vAlign w:val="center"/>
          </w:tcPr>
          <w:p w14:paraId="2A649260">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67D4130">
            <w:pPr>
              <w:spacing w:line="240" w:lineRule="exact"/>
              <w:jc w:val="right"/>
              <w:rPr>
                <w:rFonts w:ascii="宋体" w:hAnsi="宋体" w:eastAsia="宋体" w:cs="宋体"/>
                <w:sz w:val="18"/>
                <w:szCs w:val="18"/>
              </w:rPr>
            </w:pPr>
            <w:r>
              <w:rPr>
                <w:rFonts w:ascii="宋体" w:hAnsi="宋体" w:eastAsia="宋体" w:cs="宋体"/>
                <w:sz w:val="18"/>
                <w:szCs w:val="18"/>
              </w:rPr>
              <w:t>167,294,211.76</w:t>
            </w:r>
          </w:p>
        </w:tc>
        <w:tc>
          <w:tcPr>
            <w:tcW w:w="1377" w:type="dxa"/>
            <w:tcBorders>
              <w:top w:val="single" w:color="auto" w:sz="2" w:space="0"/>
              <w:left w:val="single" w:color="auto" w:sz="2" w:space="0"/>
              <w:bottom w:val="single" w:color="auto" w:sz="2" w:space="0"/>
              <w:right w:val="single" w:color="auto" w:sz="2" w:space="0"/>
            </w:tcBorders>
            <w:vAlign w:val="center"/>
          </w:tcPr>
          <w:p w14:paraId="749A6834">
            <w:pPr>
              <w:spacing w:line="240" w:lineRule="exact"/>
              <w:jc w:val="right"/>
              <w:rPr>
                <w:rFonts w:ascii="宋体" w:hAnsi="宋体" w:eastAsia="宋体" w:cs="宋体"/>
                <w:sz w:val="18"/>
                <w:szCs w:val="18"/>
              </w:rPr>
            </w:pPr>
            <w:r>
              <w:rPr>
                <w:rFonts w:ascii="宋体" w:hAnsi="宋体" w:eastAsia="宋体" w:cs="宋体"/>
                <w:sz w:val="18"/>
                <w:szCs w:val="18"/>
              </w:rPr>
              <w:t>170,652,289.73</w:t>
            </w:r>
          </w:p>
        </w:tc>
        <w:tc>
          <w:tcPr>
            <w:tcW w:w="1377" w:type="dxa"/>
            <w:tcBorders>
              <w:top w:val="single" w:color="auto" w:sz="2" w:space="0"/>
              <w:left w:val="single" w:color="auto" w:sz="2" w:space="0"/>
              <w:bottom w:val="single" w:color="auto" w:sz="2" w:space="0"/>
              <w:right w:val="single" w:color="auto" w:sz="2" w:space="0"/>
            </w:tcBorders>
            <w:vAlign w:val="center"/>
          </w:tcPr>
          <w:p w14:paraId="2E50C7ED">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9924A0F">
            <w:pPr>
              <w:spacing w:line="240" w:lineRule="exact"/>
              <w:jc w:val="right"/>
              <w:rPr>
                <w:rFonts w:ascii="宋体" w:hAnsi="宋体" w:eastAsia="宋体" w:cs="宋体"/>
                <w:sz w:val="18"/>
                <w:szCs w:val="18"/>
              </w:rPr>
            </w:pPr>
            <w:r>
              <w:rPr>
                <w:rFonts w:ascii="宋体" w:hAnsi="宋体" w:eastAsia="宋体" w:cs="宋体"/>
                <w:sz w:val="18"/>
                <w:szCs w:val="18"/>
              </w:rPr>
              <w:t>170,652,289.73</w:t>
            </w:r>
          </w:p>
        </w:tc>
      </w:tr>
    </w:tbl>
    <w:p w14:paraId="336434DC">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272F8A30">
      <w:pPr>
        <w:pStyle w:val="3"/>
        <w:spacing w:line="280" w:lineRule="exact"/>
        <w:jc w:val="left"/>
        <w:rPr>
          <w:rFonts w:ascii="宋体" w:hAnsi="宋体" w:cs="宋体"/>
          <w:b/>
          <w:bCs/>
        </w:rPr>
      </w:pPr>
      <w:bookmarkStart w:id="398" w:name="_Toc989251"/>
      <w:r>
        <w:rPr>
          <w:rFonts w:ascii="宋体" w:hAnsi="宋体" w:cs="宋体"/>
          <w:b/>
          <w:bCs/>
        </w:rPr>
        <w:t>31、所有权或使用权受到限制的资产</w:t>
      </w:r>
      <w:bookmarkEnd w:id="398"/>
    </w:p>
    <w:p w14:paraId="6238345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48CBC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F00EA1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3DE195EC">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2FC7A6BE">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r>
      <w:tr w14:paraId="45DEE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75B5C5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F7BBDB0">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F24BCBC">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287F254">
            <w:pPr>
              <w:spacing w:before="40" w:after="40" w:line="240" w:lineRule="exact"/>
              <w:jc w:val="center"/>
              <w:rPr>
                <w:rFonts w:ascii="宋体" w:hAnsi="宋体" w:eastAsia="宋体" w:cs="宋体"/>
                <w:sz w:val="18"/>
                <w:szCs w:val="18"/>
              </w:rPr>
            </w:pPr>
            <w:r>
              <w:rPr>
                <w:rFonts w:ascii="宋体" w:hAnsi="宋体" w:eastAsia="宋体" w:cs="宋体"/>
                <w:sz w:val="18"/>
                <w:szCs w:val="18"/>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167B923">
            <w:pPr>
              <w:spacing w:before="40" w:after="40" w:line="240" w:lineRule="exact"/>
              <w:jc w:val="center"/>
              <w:rPr>
                <w:rFonts w:ascii="宋体" w:hAnsi="宋体" w:eastAsia="宋体" w:cs="宋体"/>
                <w:sz w:val="18"/>
                <w:szCs w:val="18"/>
              </w:rPr>
            </w:pPr>
            <w:r>
              <w:rPr>
                <w:rFonts w:ascii="宋体" w:hAnsi="宋体" w:eastAsia="宋体" w:cs="宋体"/>
                <w:sz w:val="18"/>
                <w:szCs w:val="18"/>
              </w:rPr>
              <w:t>受限情况</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1DA5077">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8CAAAD3">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3325912">
            <w:pPr>
              <w:spacing w:before="40" w:after="40" w:line="240" w:lineRule="exact"/>
              <w:jc w:val="center"/>
              <w:rPr>
                <w:rFonts w:ascii="宋体" w:hAnsi="宋体" w:eastAsia="宋体" w:cs="宋体"/>
                <w:sz w:val="18"/>
                <w:szCs w:val="18"/>
              </w:rPr>
            </w:pPr>
            <w:r>
              <w:rPr>
                <w:rFonts w:ascii="宋体" w:hAnsi="宋体" w:eastAsia="宋体" w:cs="宋体"/>
                <w:sz w:val="18"/>
                <w:szCs w:val="18"/>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C8BFC2C">
            <w:pPr>
              <w:spacing w:before="40" w:after="40" w:line="240" w:lineRule="exact"/>
              <w:jc w:val="center"/>
              <w:rPr>
                <w:rFonts w:ascii="宋体" w:hAnsi="宋体" w:eastAsia="宋体" w:cs="宋体"/>
                <w:sz w:val="18"/>
                <w:szCs w:val="18"/>
              </w:rPr>
            </w:pPr>
            <w:r>
              <w:rPr>
                <w:rFonts w:ascii="宋体" w:hAnsi="宋体" w:eastAsia="宋体" w:cs="宋体"/>
                <w:sz w:val="18"/>
                <w:szCs w:val="18"/>
              </w:rPr>
              <w:t>受限情况</w:t>
            </w:r>
          </w:p>
        </w:tc>
      </w:tr>
      <w:tr w14:paraId="7E275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92DD24B">
            <w:pPr>
              <w:spacing w:before="40" w:after="40" w:line="240" w:lineRule="exact"/>
              <w:rPr>
                <w:rFonts w:ascii="宋体" w:hAnsi="宋体" w:eastAsia="宋体" w:cs="宋体"/>
                <w:sz w:val="18"/>
                <w:szCs w:val="18"/>
              </w:rPr>
            </w:pPr>
            <w:r>
              <w:rPr>
                <w:rFonts w:ascii="宋体" w:hAnsi="宋体" w:eastAsia="宋体" w:cs="宋体"/>
                <w:sz w:val="18"/>
                <w:szCs w:val="18"/>
              </w:rPr>
              <w:t>货币资金</w:t>
            </w:r>
          </w:p>
        </w:tc>
        <w:tc>
          <w:tcPr>
            <w:tcW w:w="1071" w:type="dxa"/>
            <w:tcBorders>
              <w:top w:val="single" w:color="auto" w:sz="2" w:space="0"/>
              <w:left w:val="single" w:color="auto" w:sz="2" w:space="0"/>
              <w:bottom w:val="single" w:color="auto" w:sz="2" w:space="0"/>
              <w:right w:val="single" w:color="auto" w:sz="2" w:space="0"/>
            </w:tcBorders>
            <w:vAlign w:val="center"/>
          </w:tcPr>
          <w:p w14:paraId="111146D0">
            <w:pPr>
              <w:spacing w:line="240" w:lineRule="exact"/>
              <w:jc w:val="right"/>
              <w:rPr>
                <w:rFonts w:ascii="宋体" w:hAnsi="宋体" w:eastAsia="宋体" w:cs="宋体"/>
                <w:sz w:val="18"/>
                <w:szCs w:val="18"/>
              </w:rPr>
            </w:pPr>
            <w:r>
              <w:rPr>
                <w:rFonts w:ascii="宋体" w:hAnsi="宋体" w:eastAsia="宋体" w:cs="宋体"/>
                <w:sz w:val="18"/>
                <w:szCs w:val="18"/>
              </w:rPr>
              <w:t>465,979,066.84</w:t>
            </w:r>
          </w:p>
        </w:tc>
        <w:tc>
          <w:tcPr>
            <w:tcW w:w="1071" w:type="dxa"/>
            <w:tcBorders>
              <w:top w:val="single" w:color="auto" w:sz="2" w:space="0"/>
              <w:left w:val="single" w:color="auto" w:sz="2" w:space="0"/>
              <w:bottom w:val="single" w:color="auto" w:sz="2" w:space="0"/>
              <w:right w:val="single" w:color="auto" w:sz="2" w:space="0"/>
            </w:tcBorders>
            <w:vAlign w:val="center"/>
          </w:tcPr>
          <w:p w14:paraId="42AC4D0D">
            <w:pPr>
              <w:spacing w:line="240" w:lineRule="exact"/>
              <w:jc w:val="right"/>
              <w:rPr>
                <w:rFonts w:ascii="宋体" w:hAnsi="宋体" w:eastAsia="宋体" w:cs="宋体"/>
                <w:sz w:val="18"/>
                <w:szCs w:val="18"/>
              </w:rPr>
            </w:pPr>
            <w:r>
              <w:rPr>
                <w:rFonts w:ascii="宋体" w:hAnsi="宋体" w:eastAsia="宋体" w:cs="宋体"/>
                <w:sz w:val="18"/>
                <w:szCs w:val="18"/>
              </w:rPr>
              <w:t>465,979,066.84</w:t>
            </w:r>
          </w:p>
        </w:tc>
        <w:tc>
          <w:tcPr>
            <w:tcW w:w="1071" w:type="dxa"/>
            <w:tcBorders>
              <w:top w:val="single" w:color="auto" w:sz="2" w:space="0"/>
              <w:left w:val="single" w:color="auto" w:sz="2" w:space="0"/>
              <w:bottom w:val="single" w:color="auto" w:sz="2" w:space="0"/>
              <w:right w:val="single" w:color="auto" w:sz="2" w:space="0"/>
            </w:tcBorders>
            <w:vAlign w:val="center"/>
          </w:tcPr>
          <w:p w14:paraId="66910156">
            <w:pPr>
              <w:spacing w:line="240" w:lineRule="exac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D708EF5">
            <w:pPr>
              <w:spacing w:line="240" w:lineRule="exact"/>
              <w:rPr>
                <w:rFonts w:ascii="宋体" w:hAnsi="宋体" w:eastAsia="宋体" w:cs="宋体"/>
                <w:sz w:val="18"/>
                <w:szCs w:val="18"/>
              </w:rPr>
            </w:pPr>
            <w:r>
              <w:rPr>
                <w:rFonts w:ascii="宋体" w:hAnsi="宋体" w:eastAsia="宋体" w:cs="宋体"/>
                <w:sz w:val="18"/>
                <w:szCs w:val="18"/>
              </w:rPr>
              <w:t>票据及借款等保证金</w:t>
            </w:r>
          </w:p>
        </w:tc>
        <w:tc>
          <w:tcPr>
            <w:tcW w:w="1071" w:type="dxa"/>
            <w:tcBorders>
              <w:top w:val="single" w:color="auto" w:sz="2" w:space="0"/>
              <w:left w:val="single" w:color="auto" w:sz="2" w:space="0"/>
              <w:bottom w:val="single" w:color="auto" w:sz="2" w:space="0"/>
              <w:right w:val="single" w:color="auto" w:sz="2" w:space="0"/>
            </w:tcBorders>
            <w:vAlign w:val="center"/>
          </w:tcPr>
          <w:p w14:paraId="2625C22E">
            <w:pPr>
              <w:spacing w:line="240" w:lineRule="exact"/>
              <w:jc w:val="right"/>
              <w:rPr>
                <w:rFonts w:ascii="宋体" w:hAnsi="宋体" w:eastAsia="宋体" w:cs="宋体"/>
                <w:sz w:val="18"/>
                <w:szCs w:val="18"/>
              </w:rPr>
            </w:pPr>
            <w:r>
              <w:rPr>
                <w:rFonts w:ascii="宋体" w:hAnsi="宋体" w:eastAsia="宋体" w:cs="宋体"/>
                <w:sz w:val="18"/>
                <w:szCs w:val="18"/>
              </w:rPr>
              <w:t>338,342,899.49</w:t>
            </w:r>
          </w:p>
        </w:tc>
        <w:tc>
          <w:tcPr>
            <w:tcW w:w="1071" w:type="dxa"/>
            <w:tcBorders>
              <w:top w:val="single" w:color="auto" w:sz="2" w:space="0"/>
              <w:left w:val="single" w:color="auto" w:sz="2" w:space="0"/>
              <w:bottom w:val="single" w:color="auto" w:sz="2" w:space="0"/>
              <w:right w:val="single" w:color="auto" w:sz="2" w:space="0"/>
            </w:tcBorders>
            <w:vAlign w:val="center"/>
          </w:tcPr>
          <w:p w14:paraId="01A87C91">
            <w:pPr>
              <w:spacing w:line="240" w:lineRule="exact"/>
              <w:jc w:val="right"/>
              <w:rPr>
                <w:rFonts w:ascii="宋体" w:hAnsi="宋体" w:eastAsia="宋体" w:cs="宋体"/>
                <w:sz w:val="18"/>
                <w:szCs w:val="18"/>
              </w:rPr>
            </w:pPr>
            <w:r>
              <w:rPr>
                <w:rFonts w:ascii="宋体" w:hAnsi="宋体" w:eastAsia="宋体" w:cs="宋体"/>
                <w:sz w:val="18"/>
                <w:szCs w:val="18"/>
              </w:rPr>
              <w:t>338,342,899.49</w:t>
            </w:r>
          </w:p>
        </w:tc>
        <w:tc>
          <w:tcPr>
            <w:tcW w:w="1071" w:type="dxa"/>
            <w:tcBorders>
              <w:top w:val="single" w:color="auto" w:sz="2" w:space="0"/>
              <w:left w:val="single" w:color="auto" w:sz="2" w:space="0"/>
              <w:bottom w:val="single" w:color="auto" w:sz="2" w:space="0"/>
              <w:right w:val="single" w:color="auto" w:sz="2" w:space="0"/>
            </w:tcBorders>
            <w:vAlign w:val="center"/>
          </w:tcPr>
          <w:p w14:paraId="5F85316A">
            <w:pPr>
              <w:spacing w:line="240" w:lineRule="exac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49B88BC">
            <w:pPr>
              <w:spacing w:line="240" w:lineRule="exact"/>
              <w:rPr>
                <w:rFonts w:ascii="宋体" w:hAnsi="宋体" w:eastAsia="宋体" w:cs="宋体"/>
                <w:sz w:val="18"/>
                <w:szCs w:val="18"/>
              </w:rPr>
            </w:pPr>
            <w:r>
              <w:rPr>
                <w:rFonts w:ascii="宋体" w:hAnsi="宋体" w:eastAsia="宋体" w:cs="宋体"/>
                <w:sz w:val="18"/>
                <w:szCs w:val="18"/>
              </w:rPr>
              <w:t>票据及借款等保证金</w:t>
            </w:r>
          </w:p>
        </w:tc>
      </w:tr>
      <w:tr w14:paraId="1FAEB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6C9F8B1">
            <w:pPr>
              <w:spacing w:before="40" w:after="40" w:line="240" w:lineRule="exact"/>
              <w:rPr>
                <w:rFonts w:ascii="宋体" w:hAnsi="宋体" w:eastAsia="宋体" w:cs="宋体"/>
                <w:sz w:val="18"/>
                <w:szCs w:val="18"/>
              </w:rPr>
            </w:pPr>
            <w:r>
              <w:rPr>
                <w:rFonts w:ascii="宋体" w:hAnsi="宋体" w:eastAsia="宋体" w:cs="宋体"/>
                <w:sz w:val="18"/>
                <w:szCs w:val="18"/>
              </w:rPr>
              <w:t>应收票据</w:t>
            </w:r>
          </w:p>
        </w:tc>
        <w:tc>
          <w:tcPr>
            <w:tcW w:w="1071" w:type="dxa"/>
            <w:tcBorders>
              <w:top w:val="single" w:color="auto" w:sz="2" w:space="0"/>
              <w:left w:val="single" w:color="auto" w:sz="2" w:space="0"/>
              <w:bottom w:val="single" w:color="auto" w:sz="2" w:space="0"/>
              <w:right w:val="single" w:color="auto" w:sz="2" w:space="0"/>
            </w:tcBorders>
            <w:vAlign w:val="center"/>
          </w:tcPr>
          <w:p w14:paraId="03633A15">
            <w:pPr>
              <w:spacing w:line="240" w:lineRule="exact"/>
              <w:jc w:val="right"/>
              <w:rPr>
                <w:rFonts w:ascii="宋体" w:hAnsi="宋体" w:eastAsia="宋体" w:cs="宋体"/>
                <w:sz w:val="18"/>
                <w:szCs w:val="18"/>
              </w:rPr>
            </w:pPr>
            <w:r>
              <w:rPr>
                <w:rFonts w:ascii="宋体" w:hAnsi="宋体" w:eastAsia="宋体" w:cs="宋体"/>
                <w:sz w:val="18"/>
                <w:szCs w:val="18"/>
              </w:rPr>
              <w:t>25,946,028.76</w:t>
            </w:r>
          </w:p>
        </w:tc>
        <w:tc>
          <w:tcPr>
            <w:tcW w:w="1071" w:type="dxa"/>
            <w:tcBorders>
              <w:top w:val="single" w:color="auto" w:sz="2" w:space="0"/>
              <w:left w:val="single" w:color="auto" w:sz="2" w:space="0"/>
              <w:bottom w:val="single" w:color="auto" w:sz="2" w:space="0"/>
              <w:right w:val="single" w:color="auto" w:sz="2" w:space="0"/>
            </w:tcBorders>
            <w:vAlign w:val="center"/>
          </w:tcPr>
          <w:p w14:paraId="572281CE">
            <w:pPr>
              <w:spacing w:line="240" w:lineRule="exact"/>
              <w:jc w:val="right"/>
              <w:rPr>
                <w:rFonts w:ascii="宋体" w:hAnsi="宋体" w:eastAsia="宋体" w:cs="宋体"/>
                <w:sz w:val="18"/>
                <w:szCs w:val="18"/>
              </w:rPr>
            </w:pPr>
            <w:r>
              <w:rPr>
                <w:rFonts w:ascii="宋体" w:hAnsi="宋体" w:eastAsia="宋体" w:cs="宋体"/>
                <w:sz w:val="18"/>
                <w:szCs w:val="18"/>
              </w:rPr>
              <w:t>25,946,028.76</w:t>
            </w:r>
          </w:p>
        </w:tc>
        <w:tc>
          <w:tcPr>
            <w:tcW w:w="1071" w:type="dxa"/>
            <w:tcBorders>
              <w:top w:val="single" w:color="auto" w:sz="2" w:space="0"/>
              <w:left w:val="single" w:color="auto" w:sz="2" w:space="0"/>
              <w:bottom w:val="single" w:color="auto" w:sz="2" w:space="0"/>
              <w:right w:val="single" w:color="auto" w:sz="2" w:space="0"/>
            </w:tcBorders>
            <w:vAlign w:val="center"/>
          </w:tcPr>
          <w:p w14:paraId="42EDB770">
            <w:pPr>
              <w:spacing w:line="240" w:lineRule="exac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6D609AB">
            <w:pPr>
              <w:spacing w:line="240" w:lineRule="exact"/>
              <w:rPr>
                <w:rFonts w:ascii="宋体" w:hAnsi="宋体" w:eastAsia="宋体" w:cs="宋体"/>
                <w:sz w:val="18"/>
                <w:szCs w:val="18"/>
              </w:rPr>
            </w:pPr>
            <w:r>
              <w:rPr>
                <w:rFonts w:ascii="宋体" w:hAnsi="宋体" w:eastAsia="宋体" w:cs="宋体"/>
                <w:sz w:val="18"/>
                <w:szCs w:val="18"/>
              </w:rPr>
              <w:t>应收票据质押借款</w:t>
            </w:r>
          </w:p>
        </w:tc>
        <w:tc>
          <w:tcPr>
            <w:tcW w:w="1071" w:type="dxa"/>
            <w:tcBorders>
              <w:top w:val="single" w:color="auto" w:sz="2" w:space="0"/>
              <w:left w:val="single" w:color="auto" w:sz="2" w:space="0"/>
              <w:bottom w:val="single" w:color="auto" w:sz="2" w:space="0"/>
              <w:right w:val="single" w:color="auto" w:sz="2" w:space="0"/>
            </w:tcBorders>
            <w:vAlign w:val="center"/>
          </w:tcPr>
          <w:p w14:paraId="1C55FDD6">
            <w:pPr>
              <w:spacing w:line="240" w:lineRule="exact"/>
              <w:jc w:val="right"/>
              <w:rPr>
                <w:rFonts w:ascii="宋体" w:hAnsi="宋体" w:eastAsia="宋体" w:cs="宋体"/>
                <w:sz w:val="18"/>
                <w:szCs w:val="18"/>
              </w:rPr>
            </w:pPr>
            <w:r>
              <w:rPr>
                <w:rFonts w:ascii="宋体" w:hAnsi="宋体" w:eastAsia="宋体" w:cs="宋体"/>
                <w:sz w:val="18"/>
                <w:szCs w:val="18"/>
              </w:rPr>
              <w:t>17,303,319.98</w:t>
            </w:r>
          </w:p>
        </w:tc>
        <w:tc>
          <w:tcPr>
            <w:tcW w:w="1071" w:type="dxa"/>
            <w:tcBorders>
              <w:top w:val="single" w:color="auto" w:sz="2" w:space="0"/>
              <w:left w:val="single" w:color="auto" w:sz="2" w:space="0"/>
              <w:bottom w:val="single" w:color="auto" w:sz="2" w:space="0"/>
              <w:right w:val="single" w:color="auto" w:sz="2" w:space="0"/>
            </w:tcBorders>
            <w:vAlign w:val="center"/>
          </w:tcPr>
          <w:p w14:paraId="6FDA0C4E">
            <w:pPr>
              <w:spacing w:line="240" w:lineRule="exact"/>
              <w:jc w:val="right"/>
              <w:rPr>
                <w:rFonts w:ascii="宋体" w:hAnsi="宋体" w:eastAsia="宋体" w:cs="宋体"/>
                <w:sz w:val="18"/>
                <w:szCs w:val="18"/>
              </w:rPr>
            </w:pPr>
            <w:r>
              <w:rPr>
                <w:rFonts w:ascii="宋体" w:hAnsi="宋体" w:eastAsia="宋体" w:cs="宋体"/>
                <w:sz w:val="18"/>
                <w:szCs w:val="18"/>
              </w:rPr>
              <w:t>17,303,319.98</w:t>
            </w:r>
          </w:p>
        </w:tc>
        <w:tc>
          <w:tcPr>
            <w:tcW w:w="1071" w:type="dxa"/>
            <w:tcBorders>
              <w:top w:val="single" w:color="auto" w:sz="2" w:space="0"/>
              <w:left w:val="single" w:color="auto" w:sz="2" w:space="0"/>
              <w:bottom w:val="single" w:color="auto" w:sz="2" w:space="0"/>
              <w:right w:val="single" w:color="auto" w:sz="2" w:space="0"/>
            </w:tcBorders>
            <w:vAlign w:val="center"/>
          </w:tcPr>
          <w:p w14:paraId="2366AC63">
            <w:pPr>
              <w:spacing w:line="240" w:lineRule="exac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6957C72">
            <w:pPr>
              <w:spacing w:line="240" w:lineRule="exact"/>
              <w:rPr>
                <w:rFonts w:ascii="宋体" w:hAnsi="宋体" w:eastAsia="宋体" w:cs="宋体"/>
                <w:sz w:val="18"/>
                <w:szCs w:val="18"/>
              </w:rPr>
            </w:pPr>
            <w:r>
              <w:rPr>
                <w:rFonts w:ascii="宋体" w:hAnsi="宋体" w:eastAsia="宋体" w:cs="宋体"/>
                <w:sz w:val="18"/>
                <w:szCs w:val="18"/>
              </w:rPr>
              <w:t>应收票据质押借款</w:t>
            </w:r>
          </w:p>
        </w:tc>
      </w:tr>
      <w:tr w14:paraId="72F35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B4D6E81">
            <w:pPr>
              <w:spacing w:before="40" w:after="40" w:line="240" w:lineRule="exact"/>
              <w:rPr>
                <w:rFonts w:ascii="宋体" w:hAnsi="宋体" w:eastAsia="宋体" w:cs="宋体"/>
                <w:sz w:val="18"/>
                <w:szCs w:val="18"/>
              </w:rPr>
            </w:pPr>
            <w:r>
              <w:rPr>
                <w:rFonts w:ascii="宋体" w:hAnsi="宋体" w:eastAsia="宋体" w:cs="宋体"/>
                <w:sz w:val="18"/>
                <w:szCs w:val="18"/>
              </w:rPr>
              <w:t>固定资产</w:t>
            </w:r>
          </w:p>
        </w:tc>
        <w:tc>
          <w:tcPr>
            <w:tcW w:w="1071" w:type="dxa"/>
            <w:tcBorders>
              <w:top w:val="single" w:color="auto" w:sz="2" w:space="0"/>
              <w:left w:val="single" w:color="auto" w:sz="2" w:space="0"/>
              <w:bottom w:val="single" w:color="auto" w:sz="2" w:space="0"/>
              <w:right w:val="single" w:color="auto" w:sz="2" w:space="0"/>
            </w:tcBorders>
            <w:vAlign w:val="center"/>
          </w:tcPr>
          <w:p w14:paraId="4D81AB56">
            <w:pPr>
              <w:spacing w:line="240" w:lineRule="exact"/>
              <w:jc w:val="right"/>
              <w:rPr>
                <w:rFonts w:ascii="宋体" w:hAnsi="宋体" w:eastAsia="宋体" w:cs="宋体"/>
                <w:sz w:val="18"/>
                <w:szCs w:val="18"/>
              </w:rPr>
            </w:pPr>
            <w:r>
              <w:rPr>
                <w:rFonts w:ascii="宋体" w:hAnsi="宋体" w:eastAsia="宋体" w:cs="宋体"/>
                <w:sz w:val="18"/>
                <w:szCs w:val="18"/>
              </w:rPr>
              <w:t>2,939,782,099.74</w:t>
            </w:r>
          </w:p>
        </w:tc>
        <w:tc>
          <w:tcPr>
            <w:tcW w:w="1071" w:type="dxa"/>
            <w:tcBorders>
              <w:top w:val="single" w:color="auto" w:sz="2" w:space="0"/>
              <w:left w:val="single" w:color="auto" w:sz="2" w:space="0"/>
              <w:bottom w:val="single" w:color="auto" w:sz="2" w:space="0"/>
              <w:right w:val="single" w:color="auto" w:sz="2" w:space="0"/>
            </w:tcBorders>
            <w:vAlign w:val="center"/>
          </w:tcPr>
          <w:p w14:paraId="6D196EFC">
            <w:pPr>
              <w:spacing w:line="240" w:lineRule="exact"/>
              <w:jc w:val="right"/>
              <w:rPr>
                <w:rFonts w:ascii="宋体" w:hAnsi="宋体" w:eastAsia="宋体" w:cs="宋体"/>
                <w:sz w:val="18"/>
                <w:szCs w:val="18"/>
              </w:rPr>
            </w:pPr>
            <w:r>
              <w:rPr>
                <w:rFonts w:ascii="宋体" w:hAnsi="宋体" w:eastAsia="宋体" w:cs="宋体"/>
                <w:sz w:val="18"/>
                <w:szCs w:val="18"/>
              </w:rPr>
              <w:t>1,479,851,043.54</w:t>
            </w:r>
          </w:p>
        </w:tc>
        <w:tc>
          <w:tcPr>
            <w:tcW w:w="1071" w:type="dxa"/>
            <w:tcBorders>
              <w:top w:val="single" w:color="auto" w:sz="2" w:space="0"/>
              <w:left w:val="single" w:color="auto" w:sz="2" w:space="0"/>
              <w:bottom w:val="single" w:color="auto" w:sz="2" w:space="0"/>
              <w:right w:val="single" w:color="auto" w:sz="2" w:space="0"/>
            </w:tcBorders>
            <w:vAlign w:val="center"/>
          </w:tcPr>
          <w:p w14:paraId="18211330">
            <w:pPr>
              <w:spacing w:line="240" w:lineRule="exac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C55426B">
            <w:pPr>
              <w:spacing w:line="240" w:lineRule="exact"/>
              <w:rPr>
                <w:rFonts w:ascii="宋体" w:hAnsi="宋体" w:eastAsia="宋体" w:cs="宋体"/>
                <w:sz w:val="18"/>
                <w:szCs w:val="18"/>
              </w:rPr>
            </w:pPr>
            <w:r>
              <w:rPr>
                <w:rFonts w:ascii="宋体" w:hAnsi="宋体" w:eastAsia="宋体" w:cs="宋体"/>
                <w:sz w:val="18"/>
                <w:szCs w:val="18"/>
              </w:rPr>
              <w:t>抵押贷款</w:t>
            </w:r>
          </w:p>
        </w:tc>
        <w:tc>
          <w:tcPr>
            <w:tcW w:w="1071" w:type="dxa"/>
            <w:tcBorders>
              <w:top w:val="single" w:color="auto" w:sz="2" w:space="0"/>
              <w:left w:val="single" w:color="auto" w:sz="2" w:space="0"/>
              <w:bottom w:val="single" w:color="auto" w:sz="2" w:space="0"/>
              <w:right w:val="single" w:color="auto" w:sz="2" w:space="0"/>
            </w:tcBorders>
            <w:vAlign w:val="center"/>
          </w:tcPr>
          <w:p w14:paraId="23569091">
            <w:pPr>
              <w:spacing w:line="240" w:lineRule="exact"/>
              <w:jc w:val="right"/>
              <w:rPr>
                <w:rFonts w:ascii="宋体" w:hAnsi="宋体" w:eastAsia="宋体" w:cs="宋体"/>
                <w:sz w:val="18"/>
                <w:szCs w:val="18"/>
              </w:rPr>
            </w:pPr>
            <w:r>
              <w:rPr>
                <w:rFonts w:ascii="宋体" w:hAnsi="宋体" w:eastAsia="宋体" w:cs="宋体"/>
                <w:sz w:val="18"/>
                <w:szCs w:val="18"/>
              </w:rPr>
              <w:t>3,534,281,575.43</w:t>
            </w:r>
          </w:p>
        </w:tc>
        <w:tc>
          <w:tcPr>
            <w:tcW w:w="1071" w:type="dxa"/>
            <w:tcBorders>
              <w:top w:val="single" w:color="auto" w:sz="2" w:space="0"/>
              <w:left w:val="single" w:color="auto" w:sz="2" w:space="0"/>
              <w:bottom w:val="single" w:color="auto" w:sz="2" w:space="0"/>
              <w:right w:val="single" w:color="auto" w:sz="2" w:space="0"/>
            </w:tcBorders>
            <w:vAlign w:val="center"/>
          </w:tcPr>
          <w:p w14:paraId="7F517A58">
            <w:pPr>
              <w:spacing w:line="240" w:lineRule="exact"/>
              <w:jc w:val="right"/>
              <w:rPr>
                <w:rFonts w:ascii="宋体" w:hAnsi="宋体" w:eastAsia="宋体" w:cs="宋体"/>
                <w:sz w:val="18"/>
                <w:szCs w:val="18"/>
              </w:rPr>
            </w:pPr>
            <w:r>
              <w:rPr>
                <w:rFonts w:ascii="宋体" w:hAnsi="宋体" w:eastAsia="宋体" w:cs="宋体"/>
                <w:sz w:val="18"/>
                <w:szCs w:val="18"/>
              </w:rPr>
              <w:t>1,959,719,011.79</w:t>
            </w:r>
          </w:p>
        </w:tc>
        <w:tc>
          <w:tcPr>
            <w:tcW w:w="1071" w:type="dxa"/>
            <w:tcBorders>
              <w:top w:val="single" w:color="auto" w:sz="2" w:space="0"/>
              <w:left w:val="single" w:color="auto" w:sz="2" w:space="0"/>
              <w:bottom w:val="single" w:color="auto" w:sz="2" w:space="0"/>
              <w:right w:val="single" w:color="auto" w:sz="2" w:space="0"/>
            </w:tcBorders>
            <w:vAlign w:val="center"/>
          </w:tcPr>
          <w:p w14:paraId="08B72318">
            <w:pPr>
              <w:spacing w:line="240" w:lineRule="exac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FF3CB94">
            <w:pPr>
              <w:spacing w:line="240" w:lineRule="exact"/>
              <w:rPr>
                <w:rFonts w:ascii="宋体" w:hAnsi="宋体" w:eastAsia="宋体" w:cs="宋体"/>
                <w:sz w:val="18"/>
                <w:szCs w:val="18"/>
              </w:rPr>
            </w:pPr>
            <w:r>
              <w:rPr>
                <w:rFonts w:ascii="宋体" w:hAnsi="宋体" w:eastAsia="宋体" w:cs="宋体"/>
                <w:sz w:val="18"/>
                <w:szCs w:val="18"/>
              </w:rPr>
              <w:t>抵押贷款</w:t>
            </w:r>
          </w:p>
        </w:tc>
      </w:tr>
      <w:tr w14:paraId="044DA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1D550FC">
            <w:pPr>
              <w:spacing w:before="40" w:after="40" w:line="240" w:lineRule="exact"/>
              <w:rPr>
                <w:rFonts w:ascii="宋体" w:hAnsi="宋体" w:eastAsia="宋体" w:cs="宋体"/>
                <w:sz w:val="18"/>
                <w:szCs w:val="18"/>
              </w:rPr>
            </w:pPr>
            <w:r>
              <w:rPr>
                <w:rFonts w:ascii="宋体" w:hAnsi="宋体" w:eastAsia="宋体" w:cs="宋体"/>
                <w:sz w:val="18"/>
                <w:szCs w:val="18"/>
              </w:rPr>
              <w:t>无形资产</w:t>
            </w:r>
          </w:p>
        </w:tc>
        <w:tc>
          <w:tcPr>
            <w:tcW w:w="1071" w:type="dxa"/>
            <w:tcBorders>
              <w:top w:val="single" w:color="auto" w:sz="2" w:space="0"/>
              <w:left w:val="single" w:color="auto" w:sz="2" w:space="0"/>
              <w:bottom w:val="single" w:color="auto" w:sz="2" w:space="0"/>
              <w:right w:val="single" w:color="auto" w:sz="2" w:space="0"/>
            </w:tcBorders>
            <w:vAlign w:val="center"/>
          </w:tcPr>
          <w:p w14:paraId="2671227E">
            <w:pPr>
              <w:spacing w:line="240" w:lineRule="exact"/>
              <w:jc w:val="right"/>
              <w:rPr>
                <w:rFonts w:ascii="宋体" w:hAnsi="宋体" w:eastAsia="宋体" w:cs="宋体"/>
                <w:sz w:val="18"/>
                <w:szCs w:val="18"/>
              </w:rPr>
            </w:pPr>
            <w:r>
              <w:rPr>
                <w:rFonts w:ascii="宋体" w:hAnsi="宋体" w:eastAsia="宋体" w:cs="宋体"/>
                <w:sz w:val="18"/>
                <w:szCs w:val="18"/>
              </w:rPr>
              <w:t>78,724,892.24</w:t>
            </w:r>
          </w:p>
        </w:tc>
        <w:tc>
          <w:tcPr>
            <w:tcW w:w="1071" w:type="dxa"/>
            <w:tcBorders>
              <w:top w:val="single" w:color="auto" w:sz="2" w:space="0"/>
              <w:left w:val="single" w:color="auto" w:sz="2" w:space="0"/>
              <w:bottom w:val="single" w:color="auto" w:sz="2" w:space="0"/>
              <w:right w:val="single" w:color="auto" w:sz="2" w:space="0"/>
            </w:tcBorders>
            <w:vAlign w:val="center"/>
          </w:tcPr>
          <w:p w14:paraId="14274A19">
            <w:pPr>
              <w:spacing w:line="240" w:lineRule="exact"/>
              <w:jc w:val="right"/>
              <w:rPr>
                <w:rFonts w:ascii="宋体" w:hAnsi="宋体" w:eastAsia="宋体" w:cs="宋体"/>
                <w:sz w:val="18"/>
                <w:szCs w:val="18"/>
              </w:rPr>
            </w:pPr>
            <w:r>
              <w:rPr>
                <w:rFonts w:ascii="宋体" w:hAnsi="宋体" w:eastAsia="宋体" w:cs="宋体"/>
                <w:sz w:val="18"/>
                <w:szCs w:val="18"/>
              </w:rPr>
              <w:t>58,580,082.77</w:t>
            </w:r>
          </w:p>
        </w:tc>
        <w:tc>
          <w:tcPr>
            <w:tcW w:w="1071" w:type="dxa"/>
            <w:tcBorders>
              <w:top w:val="single" w:color="auto" w:sz="2" w:space="0"/>
              <w:left w:val="single" w:color="auto" w:sz="2" w:space="0"/>
              <w:bottom w:val="single" w:color="auto" w:sz="2" w:space="0"/>
              <w:right w:val="single" w:color="auto" w:sz="2" w:space="0"/>
            </w:tcBorders>
            <w:vAlign w:val="center"/>
          </w:tcPr>
          <w:p w14:paraId="4A7F84B3">
            <w:pPr>
              <w:spacing w:line="240" w:lineRule="exac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9E1BA95">
            <w:pPr>
              <w:spacing w:line="240" w:lineRule="exact"/>
              <w:rPr>
                <w:rFonts w:ascii="宋体" w:hAnsi="宋体" w:eastAsia="宋体" w:cs="宋体"/>
                <w:sz w:val="18"/>
                <w:szCs w:val="18"/>
              </w:rPr>
            </w:pPr>
            <w:r>
              <w:rPr>
                <w:rFonts w:ascii="宋体" w:hAnsi="宋体" w:eastAsia="宋体" w:cs="宋体"/>
                <w:sz w:val="18"/>
                <w:szCs w:val="18"/>
              </w:rPr>
              <w:t>抵押贷款</w:t>
            </w:r>
          </w:p>
        </w:tc>
        <w:tc>
          <w:tcPr>
            <w:tcW w:w="1071" w:type="dxa"/>
            <w:tcBorders>
              <w:top w:val="single" w:color="auto" w:sz="2" w:space="0"/>
              <w:left w:val="single" w:color="auto" w:sz="2" w:space="0"/>
              <w:bottom w:val="single" w:color="auto" w:sz="2" w:space="0"/>
              <w:right w:val="single" w:color="auto" w:sz="2" w:space="0"/>
            </w:tcBorders>
            <w:vAlign w:val="center"/>
          </w:tcPr>
          <w:p w14:paraId="3138DD07">
            <w:pPr>
              <w:spacing w:line="240" w:lineRule="exact"/>
              <w:jc w:val="right"/>
              <w:rPr>
                <w:rFonts w:ascii="宋体" w:hAnsi="宋体" w:eastAsia="宋体" w:cs="宋体"/>
                <w:sz w:val="18"/>
                <w:szCs w:val="18"/>
              </w:rPr>
            </w:pPr>
            <w:r>
              <w:rPr>
                <w:rFonts w:ascii="宋体" w:hAnsi="宋体" w:eastAsia="宋体" w:cs="宋体"/>
                <w:sz w:val="18"/>
                <w:szCs w:val="18"/>
              </w:rPr>
              <w:t>79,338,472.99</w:t>
            </w:r>
          </w:p>
        </w:tc>
        <w:tc>
          <w:tcPr>
            <w:tcW w:w="1071" w:type="dxa"/>
            <w:tcBorders>
              <w:top w:val="single" w:color="auto" w:sz="2" w:space="0"/>
              <w:left w:val="single" w:color="auto" w:sz="2" w:space="0"/>
              <w:bottom w:val="single" w:color="auto" w:sz="2" w:space="0"/>
              <w:right w:val="single" w:color="auto" w:sz="2" w:space="0"/>
            </w:tcBorders>
            <w:vAlign w:val="center"/>
          </w:tcPr>
          <w:p w14:paraId="4A696EBE">
            <w:pPr>
              <w:spacing w:line="240" w:lineRule="exact"/>
              <w:jc w:val="right"/>
              <w:rPr>
                <w:rFonts w:ascii="宋体" w:hAnsi="宋体" w:eastAsia="宋体" w:cs="宋体"/>
                <w:sz w:val="18"/>
                <w:szCs w:val="18"/>
              </w:rPr>
            </w:pPr>
            <w:r>
              <w:rPr>
                <w:rFonts w:ascii="宋体" w:hAnsi="宋体" w:eastAsia="宋体" w:cs="宋体"/>
                <w:sz w:val="18"/>
                <w:szCs w:val="18"/>
              </w:rPr>
              <w:t>60,296,927.65</w:t>
            </w:r>
          </w:p>
        </w:tc>
        <w:tc>
          <w:tcPr>
            <w:tcW w:w="1071" w:type="dxa"/>
            <w:tcBorders>
              <w:top w:val="single" w:color="auto" w:sz="2" w:space="0"/>
              <w:left w:val="single" w:color="auto" w:sz="2" w:space="0"/>
              <w:bottom w:val="single" w:color="auto" w:sz="2" w:space="0"/>
              <w:right w:val="single" w:color="auto" w:sz="2" w:space="0"/>
            </w:tcBorders>
            <w:vAlign w:val="center"/>
          </w:tcPr>
          <w:p w14:paraId="248A8D07">
            <w:pPr>
              <w:spacing w:line="240" w:lineRule="exac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6DB4440">
            <w:pPr>
              <w:spacing w:line="240" w:lineRule="exact"/>
              <w:rPr>
                <w:rFonts w:ascii="宋体" w:hAnsi="宋体" w:eastAsia="宋体" w:cs="宋体"/>
                <w:sz w:val="18"/>
                <w:szCs w:val="18"/>
              </w:rPr>
            </w:pPr>
            <w:r>
              <w:rPr>
                <w:rFonts w:ascii="宋体" w:hAnsi="宋体" w:eastAsia="宋体" w:cs="宋体"/>
                <w:sz w:val="18"/>
                <w:szCs w:val="18"/>
              </w:rPr>
              <w:t>抵押贷款</w:t>
            </w:r>
          </w:p>
        </w:tc>
      </w:tr>
      <w:tr w14:paraId="02CFD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F388AB3">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14:paraId="5A2F4DF9">
            <w:pPr>
              <w:spacing w:line="240" w:lineRule="exact"/>
              <w:jc w:val="right"/>
              <w:rPr>
                <w:rFonts w:ascii="宋体" w:hAnsi="宋体" w:eastAsia="宋体" w:cs="宋体"/>
                <w:sz w:val="18"/>
                <w:szCs w:val="18"/>
              </w:rPr>
            </w:pPr>
            <w:r>
              <w:rPr>
                <w:rFonts w:ascii="宋体" w:hAnsi="宋体" w:eastAsia="宋体" w:cs="宋体"/>
                <w:sz w:val="18"/>
                <w:szCs w:val="18"/>
              </w:rPr>
              <w:t>3,510,432,087.58</w:t>
            </w:r>
          </w:p>
        </w:tc>
        <w:tc>
          <w:tcPr>
            <w:tcW w:w="1071" w:type="dxa"/>
            <w:tcBorders>
              <w:top w:val="single" w:color="auto" w:sz="2" w:space="0"/>
              <w:left w:val="single" w:color="auto" w:sz="2" w:space="0"/>
              <w:bottom w:val="single" w:color="auto" w:sz="2" w:space="0"/>
              <w:right w:val="single" w:color="auto" w:sz="2" w:space="0"/>
            </w:tcBorders>
            <w:vAlign w:val="center"/>
          </w:tcPr>
          <w:p w14:paraId="07608442">
            <w:pPr>
              <w:spacing w:line="240" w:lineRule="exact"/>
              <w:jc w:val="right"/>
              <w:rPr>
                <w:rFonts w:ascii="宋体" w:hAnsi="宋体" w:eastAsia="宋体" w:cs="宋体"/>
                <w:sz w:val="18"/>
                <w:szCs w:val="18"/>
              </w:rPr>
            </w:pPr>
            <w:r>
              <w:rPr>
                <w:rFonts w:ascii="宋体" w:hAnsi="宋体" w:eastAsia="宋体" w:cs="宋体"/>
                <w:sz w:val="18"/>
                <w:szCs w:val="18"/>
              </w:rPr>
              <w:t>2,030,356,221.91</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59C127E"/>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A94A4C7"/>
        </w:tc>
        <w:tc>
          <w:tcPr>
            <w:tcW w:w="1071" w:type="dxa"/>
            <w:tcBorders>
              <w:top w:val="single" w:color="auto" w:sz="2" w:space="0"/>
              <w:left w:val="single" w:color="auto" w:sz="2" w:space="0"/>
              <w:bottom w:val="single" w:color="auto" w:sz="2" w:space="0"/>
              <w:right w:val="single" w:color="auto" w:sz="2" w:space="0"/>
            </w:tcBorders>
            <w:vAlign w:val="center"/>
          </w:tcPr>
          <w:p w14:paraId="19D3A71D">
            <w:pPr>
              <w:spacing w:line="240" w:lineRule="exact"/>
              <w:jc w:val="right"/>
              <w:rPr>
                <w:rFonts w:ascii="宋体" w:hAnsi="宋体" w:eastAsia="宋体" w:cs="宋体"/>
                <w:sz w:val="18"/>
                <w:szCs w:val="18"/>
              </w:rPr>
            </w:pPr>
            <w:r>
              <w:rPr>
                <w:rFonts w:ascii="宋体" w:hAnsi="宋体" w:eastAsia="宋体" w:cs="宋体"/>
                <w:sz w:val="18"/>
                <w:szCs w:val="18"/>
              </w:rPr>
              <w:t>3,969,266,267.89</w:t>
            </w:r>
          </w:p>
        </w:tc>
        <w:tc>
          <w:tcPr>
            <w:tcW w:w="1071" w:type="dxa"/>
            <w:tcBorders>
              <w:top w:val="single" w:color="auto" w:sz="2" w:space="0"/>
              <w:left w:val="single" w:color="auto" w:sz="2" w:space="0"/>
              <w:bottom w:val="single" w:color="auto" w:sz="2" w:space="0"/>
              <w:right w:val="single" w:color="auto" w:sz="2" w:space="0"/>
            </w:tcBorders>
            <w:vAlign w:val="center"/>
          </w:tcPr>
          <w:p w14:paraId="7AE2D703">
            <w:pPr>
              <w:spacing w:line="240" w:lineRule="exact"/>
              <w:jc w:val="right"/>
              <w:rPr>
                <w:rFonts w:ascii="宋体" w:hAnsi="宋体" w:eastAsia="宋体" w:cs="宋体"/>
                <w:sz w:val="18"/>
                <w:szCs w:val="18"/>
              </w:rPr>
            </w:pPr>
            <w:r>
              <w:rPr>
                <w:rFonts w:ascii="宋体" w:hAnsi="宋体" w:eastAsia="宋体" w:cs="宋体"/>
                <w:sz w:val="18"/>
                <w:szCs w:val="18"/>
              </w:rPr>
              <w:t>2,375,662,158.91</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A6ADB3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E1E1922"/>
        </w:tc>
      </w:tr>
    </w:tbl>
    <w:p w14:paraId="37EC5EDF">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2154388F">
      <w:pPr>
        <w:pStyle w:val="3"/>
        <w:spacing w:line="280" w:lineRule="exact"/>
        <w:jc w:val="left"/>
        <w:rPr>
          <w:rFonts w:ascii="宋体" w:hAnsi="宋体" w:cs="宋体"/>
          <w:b/>
          <w:bCs/>
        </w:rPr>
      </w:pPr>
      <w:bookmarkStart w:id="399" w:name="_Toc989252"/>
      <w:r>
        <w:rPr>
          <w:rFonts w:ascii="宋体" w:hAnsi="宋体" w:cs="宋体"/>
          <w:b/>
          <w:bCs/>
        </w:rPr>
        <w:t>32、短期借款</w:t>
      </w:r>
      <w:bookmarkEnd w:id="399"/>
    </w:p>
    <w:p w14:paraId="1D6CC923">
      <w:pPr>
        <w:keepNext/>
        <w:keepLines/>
        <w:spacing w:before="300" w:after="300" w:line="280" w:lineRule="exact"/>
        <w:outlineLvl w:val="3"/>
        <w:rPr>
          <w:rFonts w:ascii="宋体" w:hAnsi="宋体" w:eastAsia="宋体" w:cs="宋体"/>
          <w:b/>
          <w:bCs/>
          <w:szCs w:val="21"/>
        </w:rPr>
      </w:pPr>
      <w:bookmarkStart w:id="400" w:name="_Toc989253"/>
      <w:r>
        <w:rPr>
          <w:rFonts w:ascii="宋体" w:hAnsi="宋体" w:eastAsia="宋体" w:cs="宋体"/>
          <w:b/>
          <w:bCs/>
          <w:szCs w:val="21"/>
        </w:rPr>
        <w:t>（1） 短期借款分类</w:t>
      </w:r>
      <w:bookmarkEnd w:id="400"/>
    </w:p>
    <w:p w14:paraId="0001FEA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2BE2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5F950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4C1156">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B2BEB4">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3845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2D27AA">
            <w:pPr>
              <w:spacing w:before="40" w:after="40" w:line="240" w:lineRule="exact"/>
              <w:rPr>
                <w:rFonts w:ascii="宋体" w:hAnsi="宋体" w:eastAsia="宋体" w:cs="宋体"/>
                <w:sz w:val="18"/>
                <w:szCs w:val="18"/>
              </w:rPr>
            </w:pPr>
            <w:r>
              <w:rPr>
                <w:rFonts w:ascii="宋体" w:hAnsi="宋体" w:eastAsia="宋体" w:cs="宋体"/>
                <w:sz w:val="18"/>
                <w:szCs w:val="18"/>
              </w:rPr>
              <w:t>质押借款</w:t>
            </w:r>
          </w:p>
        </w:tc>
        <w:tc>
          <w:tcPr>
            <w:tcW w:w="3213" w:type="dxa"/>
            <w:tcBorders>
              <w:top w:val="single" w:color="auto" w:sz="2" w:space="0"/>
              <w:left w:val="single" w:color="auto" w:sz="2" w:space="0"/>
              <w:bottom w:val="single" w:color="auto" w:sz="2" w:space="0"/>
              <w:right w:val="single" w:color="auto" w:sz="2" w:space="0"/>
            </w:tcBorders>
            <w:vAlign w:val="center"/>
          </w:tcPr>
          <w:p w14:paraId="5267E408">
            <w:pPr>
              <w:spacing w:line="240" w:lineRule="exact"/>
              <w:jc w:val="right"/>
              <w:rPr>
                <w:rFonts w:ascii="宋体" w:hAnsi="宋体" w:eastAsia="宋体" w:cs="宋体"/>
                <w:sz w:val="18"/>
                <w:szCs w:val="18"/>
              </w:rPr>
            </w:pPr>
            <w:r>
              <w:rPr>
                <w:rFonts w:ascii="宋体" w:hAnsi="宋体" w:eastAsia="宋体" w:cs="宋体"/>
                <w:sz w:val="18"/>
                <w:szCs w:val="18"/>
              </w:rPr>
              <w:t>53,146,843.03</w:t>
            </w:r>
          </w:p>
        </w:tc>
        <w:tc>
          <w:tcPr>
            <w:tcW w:w="3213" w:type="dxa"/>
            <w:tcBorders>
              <w:top w:val="single" w:color="auto" w:sz="2" w:space="0"/>
              <w:left w:val="single" w:color="auto" w:sz="2" w:space="0"/>
              <w:bottom w:val="single" w:color="auto" w:sz="2" w:space="0"/>
              <w:right w:val="single" w:color="auto" w:sz="2" w:space="0"/>
            </w:tcBorders>
            <w:vAlign w:val="center"/>
          </w:tcPr>
          <w:p w14:paraId="0B29BB33">
            <w:pPr>
              <w:spacing w:line="240" w:lineRule="exact"/>
              <w:jc w:val="right"/>
              <w:rPr>
                <w:rFonts w:ascii="宋体" w:hAnsi="宋体" w:eastAsia="宋体" w:cs="宋体"/>
                <w:sz w:val="18"/>
                <w:szCs w:val="18"/>
              </w:rPr>
            </w:pPr>
            <w:r>
              <w:rPr>
                <w:rFonts w:ascii="宋体" w:hAnsi="宋体" w:eastAsia="宋体" w:cs="宋体"/>
                <w:sz w:val="18"/>
                <w:szCs w:val="18"/>
              </w:rPr>
              <w:t>0.00</w:t>
            </w:r>
          </w:p>
        </w:tc>
      </w:tr>
      <w:tr w14:paraId="4D356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A6BAEB">
            <w:pPr>
              <w:spacing w:before="40" w:after="40" w:line="240" w:lineRule="exact"/>
              <w:rPr>
                <w:rFonts w:ascii="宋体" w:hAnsi="宋体" w:eastAsia="宋体" w:cs="宋体"/>
                <w:sz w:val="18"/>
                <w:szCs w:val="18"/>
              </w:rPr>
            </w:pPr>
            <w:r>
              <w:rPr>
                <w:rFonts w:ascii="宋体" w:hAnsi="宋体" w:eastAsia="宋体" w:cs="宋体"/>
                <w:sz w:val="18"/>
                <w:szCs w:val="18"/>
              </w:rPr>
              <w:t>抵押借款</w:t>
            </w:r>
          </w:p>
        </w:tc>
        <w:tc>
          <w:tcPr>
            <w:tcW w:w="3213" w:type="dxa"/>
            <w:tcBorders>
              <w:top w:val="single" w:color="auto" w:sz="2" w:space="0"/>
              <w:left w:val="single" w:color="auto" w:sz="2" w:space="0"/>
              <w:bottom w:val="single" w:color="auto" w:sz="2" w:space="0"/>
              <w:right w:val="single" w:color="auto" w:sz="2" w:space="0"/>
            </w:tcBorders>
            <w:vAlign w:val="center"/>
          </w:tcPr>
          <w:p w14:paraId="78DBC247">
            <w:pPr>
              <w:spacing w:line="240" w:lineRule="exact"/>
              <w:jc w:val="right"/>
              <w:rPr>
                <w:rFonts w:ascii="宋体" w:hAnsi="宋体" w:eastAsia="宋体" w:cs="宋体"/>
                <w:sz w:val="18"/>
                <w:szCs w:val="18"/>
              </w:rPr>
            </w:pPr>
            <w:r>
              <w:rPr>
                <w:rFonts w:ascii="宋体" w:hAnsi="宋体" w:eastAsia="宋体" w:cs="宋体"/>
                <w:sz w:val="18"/>
                <w:szCs w:val="18"/>
              </w:rPr>
              <w:t>90,660,236.90</w:t>
            </w:r>
          </w:p>
        </w:tc>
        <w:tc>
          <w:tcPr>
            <w:tcW w:w="3213" w:type="dxa"/>
            <w:tcBorders>
              <w:top w:val="single" w:color="auto" w:sz="2" w:space="0"/>
              <w:left w:val="single" w:color="auto" w:sz="2" w:space="0"/>
              <w:bottom w:val="single" w:color="auto" w:sz="2" w:space="0"/>
              <w:right w:val="single" w:color="auto" w:sz="2" w:space="0"/>
            </w:tcBorders>
            <w:vAlign w:val="center"/>
          </w:tcPr>
          <w:p w14:paraId="4CBD0854">
            <w:pPr>
              <w:spacing w:line="240" w:lineRule="exact"/>
              <w:jc w:val="right"/>
              <w:rPr>
                <w:rFonts w:ascii="宋体" w:hAnsi="宋体" w:eastAsia="宋体" w:cs="宋体"/>
                <w:sz w:val="18"/>
                <w:szCs w:val="18"/>
              </w:rPr>
            </w:pPr>
            <w:r>
              <w:rPr>
                <w:rFonts w:ascii="宋体" w:hAnsi="宋体" w:eastAsia="宋体" w:cs="宋体"/>
                <w:sz w:val="18"/>
                <w:szCs w:val="18"/>
              </w:rPr>
              <w:t>1,174,352,235.07</w:t>
            </w:r>
          </w:p>
        </w:tc>
      </w:tr>
      <w:tr w14:paraId="3D193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1A2E25">
            <w:pPr>
              <w:spacing w:before="40" w:after="40" w:line="240" w:lineRule="exact"/>
              <w:rPr>
                <w:rFonts w:ascii="宋体" w:hAnsi="宋体" w:eastAsia="宋体" w:cs="宋体"/>
                <w:sz w:val="18"/>
                <w:szCs w:val="18"/>
              </w:rPr>
            </w:pPr>
            <w:r>
              <w:rPr>
                <w:rFonts w:ascii="宋体" w:hAnsi="宋体" w:eastAsia="宋体" w:cs="宋体"/>
                <w:sz w:val="18"/>
                <w:szCs w:val="18"/>
              </w:rPr>
              <w:t>保证借款</w:t>
            </w:r>
          </w:p>
        </w:tc>
        <w:tc>
          <w:tcPr>
            <w:tcW w:w="3213" w:type="dxa"/>
            <w:tcBorders>
              <w:top w:val="single" w:color="auto" w:sz="2" w:space="0"/>
              <w:left w:val="single" w:color="auto" w:sz="2" w:space="0"/>
              <w:bottom w:val="single" w:color="auto" w:sz="2" w:space="0"/>
              <w:right w:val="single" w:color="auto" w:sz="2" w:space="0"/>
            </w:tcBorders>
            <w:vAlign w:val="center"/>
          </w:tcPr>
          <w:p w14:paraId="1E2AA775">
            <w:pPr>
              <w:spacing w:line="240" w:lineRule="exact"/>
              <w:jc w:val="right"/>
              <w:rPr>
                <w:rFonts w:ascii="宋体" w:hAnsi="宋体" w:eastAsia="宋体" w:cs="宋体"/>
                <w:sz w:val="18"/>
                <w:szCs w:val="18"/>
              </w:rPr>
            </w:pPr>
            <w:r>
              <w:rPr>
                <w:rFonts w:ascii="宋体" w:hAnsi="宋体" w:eastAsia="宋体" w:cs="宋体"/>
                <w:sz w:val="18"/>
                <w:szCs w:val="18"/>
              </w:rPr>
              <w:t>3,668,122,297.29</w:t>
            </w:r>
          </w:p>
        </w:tc>
        <w:tc>
          <w:tcPr>
            <w:tcW w:w="3213" w:type="dxa"/>
            <w:tcBorders>
              <w:top w:val="single" w:color="auto" w:sz="2" w:space="0"/>
              <w:left w:val="single" w:color="auto" w:sz="2" w:space="0"/>
              <w:bottom w:val="single" w:color="auto" w:sz="2" w:space="0"/>
              <w:right w:val="single" w:color="auto" w:sz="2" w:space="0"/>
            </w:tcBorders>
            <w:vAlign w:val="center"/>
          </w:tcPr>
          <w:p w14:paraId="77400293">
            <w:pPr>
              <w:spacing w:line="240" w:lineRule="exact"/>
              <w:jc w:val="right"/>
              <w:rPr>
                <w:rFonts w:ascii="宋体" w:hAnsi="宋体" w:eastAsia="宋体" w:cs="宋体"/>
                <w:sz w:val="18"/>
                <w:szCs w:val="18"/>
              </w:rPr>
            </w:pPr>
            <w:r>
              <w:rPr>
                <w:rFonts w:ascii="宋体" w:hAnsi="宋体" w:eastAsia="宋体" w:cs="宋体"/>
                <w:sz w:val="18"/>
                <w:szCs w:val="18"/>
              </w:rPr>
              <w:t>3,444,050,000.00</w:t>
            </w:r>
          </w:p>
        </w:tc>
      </w:tr>
      <w:tr w14:paraId="4485F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A1C78F">
            <w:pPr>
              <w:spacing w:before="40" w:after="40" w:line="240" w:lineRule="exact"/>
              <w:rPr>
                <w:rFonts w:ascii="宋体" w:hAnsi="宋体" w:eastAsia="宋体" w:cs="宋体"/>
                <w:sz w:val="18"/>
                <w:szCs w:val="18"/>
              </w:rPr>
            </w:pPr>
            <w:r>
              <w:rPr>
                <w:rFonts w:ascii="宋体" w:hAnsi="宋体" w:eastAsia="宋体" w:cs="宋体"/>
                <w:sz w:val="18"/>
                <w:szCs w:val="18"/>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14:paraId="048F85E4">
            <w:pPr>
              <w:spacing w:line="240" w:lineRule="exact"/>
              <w:jc w:val="right"/>
              <w:rPr>
                <w:rFonts w:ascii="宋体" w:hAnsi="宋体" w:eastAsia="宋体" w:cs="宋体"/>
                <w:sz w:val="18"/>
                <w:szCs w:val="18"/>
              </w:rPr>
            </w:pPr>
            <w:r>
              <w:rPr>
                <w:rFonts w:ascii="宋体" w:hAnsi="宋体" w:eastAsia="宋体" w:cs="宋体"/>
                <w:sz w:val="18"/>
                <w:szCs w:val="18"/>
              </w:rPr>
              <w:t>122,000,000.00</w:t>
            </w:r>
          </w:p>
        </w:tc>
        <w:tc>
          <w:tcPr>
            <w:tcW w:w="3213" w:type="dxa"/>
            <w:tcBorders>
              <w:top w:val="single" w:color="auto" w:sz="2" w:space="0"/>
              <w:left w:val="single" w:color="auto" w:sz="2" w:space="0"/>
              <w:bottom w:val="single" w:color="auto" w:sz="2" w:space="0"/>
              <w:right w:val="single" w:color="auto" w:sz="2" w:space="0"/>
            </w:tcBorders>
            <w:vAlign w:val="center"/>
          </w:tcPr>
          <w:p w14:paraId="45EE0B03">
            <w:pPr>
              <w:spacing w:line="240" w:lineRule="exact"/>
              <w:jc w:val="right"/>
              <w:rPr>
                <w:rFonts w:ascii="宋体" w:hAnsi="宋体" w:eastAsia="宋体" w:cs="宋体"/>
                <w:sz w:val="18"/>
                <w:szCs w:val="18"/>
              </w:rPr>
            </w:pPr>
            <w:r>
              <w:rPr>
                <w:rFonts w:ascii="宋体" w:hAnsi="宋体" w:eastAsia="宋体" w:cs="宋体"/>
                <w:sz w:val="18"/>
                <w:szCs w:val="18"/>
              </w:rPr>
              <w:t>1,034,670,000.00</w:t>
            </w:r>
          </w:p>
        </w:tc>
      </w:tr>
      <w:tr w14:paraId="45809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9510697">
            <w:pPr>
              <w:spacing w:line="240" w:lineRule="exact"/>
              <w:rPr>
                <w:rFonts w:ascii="宋体" w:hAnsi="宋体" w:eastAsia="宋体" w:cs="宋体"/>
                <w:sz w:val="18"/>
                <w:szCs w:val="18"/>
              </w:rPr>
            </w:pPr>
            <w:r>
              <w:rPr>
                <w:rFonts w:ascii="宋体" w:hAnsi="宋体" w:eastAsia="宋体" w:cs="宋体"/>
                <w:sz w:val="18"/>
                <w:szCs w:val="18"/>
              </w:rPr>
              <w:t>保证及抵押借款</w:t>
            </w:r>
          </w:p>
        </w:tc>
        <w:tc>
          <w:tcPr>
            <w:tcW w:w="3213" w:type="dxa"/>
            <w:tcBorders>
              <w:top w:val="single" w:color="auto" w:sz="2" w:space="0"/>
              <w:left w:val="single" w:color="auto" w:sz="2" w:space="0"/>
              <w:bottom w:val="single" w:color="auto" w:sz="2" w:space="0"/>
              <w:right w:val="single" w:color="auto" w:sz="2" w:space="0"/>
            </w:tcBorders>
            <w:vAlign w:val="center"/>
          </w:tcPr>
          <w:p w14:paraId="3FC3182A">
            <w:pPr>
              <w:spacing w:line="240" w:lineRule="exact"/>
              <w:jc w:val="right"/>
              <w:rPr>
                <w:rFonts w:ascii="宋体" w:hAnsi="宋体" w:eastAsia="宋体" w:cs="宋体"/>
                <w:sz w:val="18"/>
                <w:szCs w:val="18"/>
              </w:rPr>
            </w:pPr>
            <w:r>
              <w:rPr>
                <w:rFonts w:ascii="宋体" w:hAnsi="宋体" w:eastAsia="宋体" w:cs="宋体"/>
                <w:sz w:val="18"/>
                <w:szCs w:val="18"/>
              </w:rPr>
              <w:t>490,900,000.00</w:t>
            </w:r>
          </w:p>
        </w:tc>
        <w:tc>
          <w:tcPr>
            <w:tcW w:w="3213" w:type="dxa"/>
            <w:tcBorders>
              <w:top w:val="single" w:color="auto" w:sz="2" w:space="0"/>
              <w:left w:val="single" w:color="auto" w:sz="2" w:space="0"/>
              <w:bottom w:val="single" w:color="auto" w:sz="2" w:space="0"/>
              <w:right w:val="single" w:color="auto" w:sz="2" w:space="0"/>
            </w:tcBorders>
            <w:vAlign w:val="center"/>
          </w:tcPr>
          <w:p w14:paraId="5E658118">
            <w:pPr>
              <w:spacing w:line="240" w:lineRule="exact"/>
              <w:jc w:val="right"/>
              <w:rPr>
                <w:rFonts w:ascii="宋体" w:hAnsi="宋体" w:eastAsia="宋体" w:cs="宋体"/>
                <w:sz w:val="18"/>
                <w:szCs w:val="18"/>
              </w:rPr>
            </w:pPr>
            <w:r>
              <w:rPr>
                <w:rFonts w:ascii="宋体" w:hAnsi="宋体" w:eastAsia="宋体" w:cs="宋体"/>
                <w:sz w:val="18"/>
                <w:szCs w:val="18"/>
              </w:rPr>
              <w:t>944,000,000.00</w:t>
            </w:r>
          </w:p>
        </w:tc>
      </w:tr>
      <w:tr w14:paraId="3ADC6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65E0D99">
            <w:pPr>
              <w:spacing w:line="240" w:lineRule="exact"/>
              <w:rPr>
                <w:rFonts w:ascii="宋体" w:hAnsi="宋体" w:eastAsia="宋体" w:cs="宋体"/>
                <w:sz w:val="18"/>
                <w:szCs w:val="18"/>
              </w:rPr>
            </w:pPr>
            <w:r>
              <w:rPr>
                <w:rFonts w:ascii="宋体" w:hAnsi="宋体" w:eastAsia="宋体" w:cs="宋体"/>
                <w:sz w:val="18"/>
                <w:szCs w:val="18"/>
              </w:rPr>
              <w:t>保证、抵押及质押借款</w:t>
            </w:r>
          </w:p>
        </w:tc>
        <w:tc>
          <w:tcPr>
            <w:tcW w:w="3213" w:type="dxa"/>
            <w:tcBorders>
              <w:top w:val="single" w:color="auto" w:sz="2" w:space="0"/>
              <w:left w:val="single" w:color="auto" w:sz="2" w:space="0"/>
              <w:bottom w:val="single" w:color="auto" w:sz="2" w:space="0"/>
              <w:right w:val="single" w:color="auto" w:sz="2" w:space="0"/>
            </w:tcBorders>
            <w:vAlign w:val="center"/>
          </w:tcPr>
          <w:p w14:paraId="252CBA54">
            <w:pPr>
              <w:spacing w:line="240" w:lineRule="exact"/>
              <w:jc w:val="right"/>
              <w:rPr>
                <w:rFonts w:ascii="宋体" w:hAnsi="宋体" w:eastAsia="宋体" w:cs="宋体"/>
                <w:sz w:val="18"/>
                <w:szCs w:val="18"/>
              </w:rPr>
            </w:pPr>
            <w:r>
              <w:rPr>
                <w:rFonts w:ascii="宋体" w:hAnsi="宋体" w:eastAsia="宋体" w:cs="宋体"/>
                <w:sz w:val="18"/>
                <w:szCs w:val="18"/>
              </w:rPr>
              <w:t>359,990,000.00</w:t>
            </w:r>
          </w:p>
        </w:tc>
        <w:tc>
          <w:tcPr>
            <w:tcW w:w="3213" w:type="dxa"/>
            <w:tcBorders>
              <w:top w:val="single" w:color="auto" w:sz="2" w:space="0"/>
              <w:left w:val="single" w:color="auto" w:sz="2" w:space="0"/>
              <w:bottom w:val="single" w:color="auto" w:sz="2" w:space="0"/>
              <w:right w:val="single" w:color="auto" w:sz="2" w:space="0"/>
            </w:tcBorders>
            <w:vAlign w:val="center"/>
          </w:tcPr>
          <w:p w14:paraId="44D69581">
            <w:pPr>
              <w:spacing w:line="240" w:lineRule="exact"/>
              <w:jc w:val="right"/>
              <w:rPr>
                <w:rFonts w:ascii="宋体" w:hAnsi="宋体" w:eastAsia="宋体" w:cs="宋体"/>
                <w:sz w:val="18"/>
                <w:szCs w:val="18"/>
              </w:rPr>
            </w:pPr>
            <w:r>
              <w:rPr>
                <w:rFonts w:ascii="宋体" w:hAnsi="宋体" w:eastAsia="宋体" w:cs="宋体"/>
                <w:sz w:val="18"/>
                <w:szCs w:val="18"/>
              </w:rPr>
              <w:t>899,390,000.00</w:t>
            </w:r>
          </w:p>
        </w:tc>
      </w:tr>
      <w:tr w14:paraId="3B707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46D811B">
            <w:pPr>
              <w:spacing w:line="240" w:lineRule="exact"/>
              <w:rPr>
                <w:rFonts w:ascii="宋体" w:hAnsi="宋体" w:eastAsia="宋体" w:cs="宋体"/>
                <w:sz w:val="18"/>
                <w:szCs w:val="18"/>
              </w:rPr>
            </w:pPr>
            <w:r>
              <w:rPr>
                <w:rFonts w:ascii="宋体" w:hAnsi="宋体" w:eastAsia="宋体" w:cs="宋体"/>
                <w:sz w:val="18"/>
                <w:szCs w:val="18"/>
              </w:rPr>
              <w:t>抵押、质押借款</w:t>
            </w:r>
          </w:p>
        </w:tc>
        <w:tc>
          <w:tcPr>
            <w:tcW w:w="3213" w:type="dxa"/>
            <w:tcBorders>
              <w:top w:val="single" w:color="auto" w:sz="2" w:space="0"/>
              <w:left w:val="single" w:color="auto" w:sz="2" w:space="0"/>
              <w:bottom w:val="single" w:color="auto" w:sz="2" w:space="0"/>
              <w:right w:val="single" w:color="auto" w:sz="2" w:space="0"/>
            </w:tcBorders>
            <w:vAlign w:val="center"/>
          </w:tcPr>
          <w:p w14:paraId="3D816E00">
            <w:pPr>
              <w:spacing w:line="240" w:lineRule="exact"/>
              <w:jc w:val="right"/>
              <w:rPr>
                <w:rFonts w:ascii="宋体" w:hAnsi="宋体" w:eastAsia="宋体" w:cs="宋体"/>
                <w:sz w:val="18"/>
                <w:szCs w:val="18"/>
              </w:rPr>
            </w:pPr>
            <w:r>
              <w:rPr>
                <w:rFonts w:ascii="宋体" w:hAnsi="宋体" w:eastAsia="宋体" w:cs="宋体"/>
                <w:sz w:val="18"/>
                <w:szCs w:val="18"/>
              </w:rPr>
              <w:t>1,329,590,000.00</w:t>
            </w:r>
          </w:p>
        </w:tc>
        <w:tc>
          <w:tcPr>
            <w:tcW w:w="3213" w:type="dxa"/>
            <w:tcBorders>
              <w:top w:val="single" w:color="auto" w:sz="2" w:space="0"/>
              <w:left w:val="single" w:color="auto" w:sz="2" w:space="0"/>
              <w:bottom w:val="single" w:color="auto" w:sz="2" w:space="0"/>
              <w:right w:val="single" w:color="auto" w:sz="2" w:space="0"/>
            </w:tcBorders>
            <w:vAlign w:val="center"/>
          </w:tcPr>
          <w:p w14:paraId="2AF56B1A">
            <w:pPr>
              <w:spacing w:line="240" w:lineRule="exact"/>
              <w:jc w:val="right"/>
              <w:rPr>
                <w:rFonts w:ascii="宋体" w:hAnsi="宋体" w:eastAsia="宋体" w:cs="宋体"/>
                <w:sz w:val="18"/>
                <w:szCs w:val="18"/>
              </w:rPr>
            </w:pPr>
            <w:r>
              <w:rPr>
                <w:rFonts w:ascii="宋体" w:hAnsi="宋体" w:eastAsia="宋体" w:cs="宋体"/>
                <w:sz w:val="18"/>
                <w:szCs w:val="18"/>
              </w:rPr>
              <w:t>269,360,000.00</w:t>
            </w:r>
          </w:p>
        </w:tc>
      </w:tr>
      <w:tr w14:paraId="5A746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CB6E00A">
            <w:pPr>
              <w:spacing w:line="240" w:lineRule="exact"/>
              <w:rPr>
                <w:rFonts w:ascii="宋体" w:hAnsi="宋体" w:eastAsia="宋体" w:cs="宋体"/>
                <w:sz w:val="18"/>
                <w:szCs w:val="18"/>
              </w:rPr>
            </w:pPr>
            <w:r>
              <w:rPr>
                <w:rFonts w:ascii="宋体" w:hAnsi="宋体" w:eastAsia="宋体" w:cs="宋体"/>
                <w:sz w:val="18"/>
                <w:szCs w:val="18"/>
              </w:rPr>
              <w:t>短期借款利息</w:t>
            </w:r>
          </w:p>
        </w:tc>
        <w:tc>
          <w:tcPr>
            <w:tcW w:w="3213" w:type="dxa"/>
            <w:tcBorders>
              <w:top w:val="single" w:color="auto" w:sz="2" w:space="0"/>
              <w:left w:val="single" w:color="auto" w:sz="2" w:space="0"/>
              <w:bottom w:val="single" w:color="auto" w:sz="2" w:space="0"/>
              <w:right w:val="single" w:color="auto" w:sz="2" w:space="0"/>
            </w:tcBorders>
            <w:vAlign w:val="center"/>
          </w:tcPr>
          <w:p w14:paraId="03317551">
            <w:pPr>
              <w:spacing w:line="240" w:lineRule="exact"/>
              <w:jc w:val="right"/>
              <w:rPr>
                <w:rFonts w:ascii="宋体" w:hAnsi="宋体" w:eastAsia="宋体" w:cs="宋体"/>
                <w:sz w:val="18"/>
                <w:szCs w:val="18"/>
              </w:rPr>
            </w:pPr>
            <w:r>
              <w:rPr>
                <w:rFonts w:ascii="宋体" w:hAnsi="宋体" w:eastAsia="宋体" w:cs="宋体"/>
                <w:sz w:val="18"/>
                <w:szCs w:val="18"/>
              </w:rPr>
              <w:t>2,881,436.84</w:t>
            </w:r>
          </w:p>
        </w:tc>
        <w:tc>
          <w:tcPr>
            <w:tcW w:w="3213" w:type="dxa"/>
            <w:tcBorders>
              <w:top w:val="single" w:color="auto" w:sz="2" w:space="0"/>
              <w:left w:val="single" w:color="auto" w:sz="2" w:space="0"/>
              <w:bottom w:val="single" w:color="auto" w:sz="2" w:space="0"/>
              <w:right w:val="single" w:color="auto" w:sz="2" w:space="0"/>
            </w:tcBorders>
            <w:vAlign w:val="center"/>
          </w:tcPr>
          <w:p w14:paraId="70F3CFEA">
            <w:pPr>
              <w:spacing w:line="240" w:lineRule="exact"/>
              <w:jc w:val="right"/>
              <w:rPr>
                <w:rFonts w:ascii="宋体" w:hAnsi="宋体" w:eastAsia="宋体" w:cs="宋体"/>
                <w:sz w:val="18"/>
                <w:szCs w:val="18"/>
              </w:rPr>
            </w:pPr>
            <w:r>
              <w:rPr>
                <w:rFonts w:ascii="宋体" w:hAnsi="宋体" w:eastAsia="宋体" w:cs="宋体"/>
                <w:sz w:val="18"/>
                <w:szCs w:val="18"/>
              </w:rPr>
              <w:t>5,660,840.51</w:t>
            </w:r>
          </w:p>
        </w:tc>
      </w:tr>
      <w:tr w14:paraId="227F4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8ACD77">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07861CF">
            <w:pPr>
              <w:spacing w:line="240" w:lineRule="exact"/>
              <w:jc w:val="right"/>
              <w:rPr>
                <w:rFonts w:ascii="宋体" w:hAnsi="宋体" w:eastAsia="宋体" w:cs="宋体"/>
                <w:sz w:val="18"/>
                <w:szCs w:val="18"/>
              </w:rPr>
            </w:pPr>
            <w:r>
              <w:rPr>
                <w:rFonts w:ascii="宋体" w:hAnsi="宋体" w:eastAsia="宋体" w:cs="宋体"/>
                <w:sz w:val="18"/>
                <w:szCs w:val="18"/>
              </w:rPr>
              <w:t>6,117,290,814.06</w:t>
            </w:r>
          </w:p>
        </w:tc>
        <w:tc>
          <w:tcPr>
            <w:tcW w:w="3213" w:type="dxa"/>
            <w:tcBorders>
              <w:top w:val="single" w:color="auto" w:sz="2" w:space="0"/>
              <w:left w:val="single" w:color="auto" w:sz="2" w:space="0"/>
              <w:bottom w:val="single" w:color="auto" w:sz="2" w:space="0"/>
              <w:right w:val="single" w:color="auto" w:sz="2" w:space="0"/>
            </w:tcBorders>
            <w:vAlign w:val="center"/>
          </w:tcPr>
          <w:p w14:paraId="6330E144">
            <w:pPr>
              <w:spacing w:line="240" w:lineRule="exact"/>
              <w:jc w:val="right"/>
              <w:rPr>
                <w:rFonts w:ascii="宋体" w:hAnsi="宋体" w:eastAsia="宋体" w:cs="宋体"/>
                <w:sz w:val="18"/>
                <w:szCs w:val="18"/>
              </w:rPr>
            </w:pPr>
            <w:r>
              <w:rPr>
                <w:rFonts w:ascii="宋体" w:hAnsi="宋体" w:eastAsia="宋体" w:cs="宋体"/>
                <w:sz w:val="18"/>
                <w:szCs w:val="18"/>
              </w:rPr>
              <w:t>7,771,483,075.58</w:t>
            </w:r>
          </w:p>
        </w:tc>
      </w:tr>
    </w:tbl>
    <w:p w14:paraId="3252FCC4">
      <w:pPr>
        <w:spacing w:before="100" w:after="100" w:line="240" w:lineRule="exact"/>
        <w:rPr>
          <w:rFonts w:ascii="宋体" w:hAnsi="宋体" w:eastAsia="宋体" w:cs="宋体"/>
          <w:sz w:val="18"/>
          <w:szCs w:val="18"/>
        </w:rPr>
      </w:pPr>
      <w:r>
        <w:rPr>
          <w:rFonts w:hint="eastAsia" w:ascii="宋体" w:hAnsi="宋体" w:eastAsia="宋体" w:cs="宋体"/>
          <w:sz w:val="18"/>
          <w:szCs w:val="18"/>
        </w:rPr>
        <w:t>备注：其中籽棉收购贷款金额约13.3亿，用于土地经营种植等贷款约2.5亿。</w:t>
      </w:r>
    </w:p>
    <w:p w14:paraId="7EC2DA36">
      <w:pPr>
        <w:keepNext/>
        <w:keepLines/>
        <w:spacing w:before="300" w:after="300" w:line="280" w:lineRule="exact"/>
        <w:outlineLvl w:val="3"/>
        <w:rPr>
          <w:rFonts w:ascii="宋体" w:hAnsi="宋体" w:eastAsia="宋体" w:cs="宋体"/>
          <w:b/>
          <w:bCs/>
          <w:szCs w:val="21"/>
        </w:rPr>
      </w:pPr>
      <w:bookmarkStart w:id="401" w:name="_Toc989254"/>
      <w:r>
        <w:rPr>
          <w:rFonts w:ascii="宋体" w:hAnsi="宋体" w:eastAsia="宋体" w:cs="宋体"/>
          <w:b/>
          <w:bCs/>
          <w:szCs w:val="21"/>
        </w:rPr>
        <w:t>（2） 已逾期未偿还的短期借款情况</w:t>
      </w:r>
      <w:bookmarkEnd w:id="401"/>
    </w:p>
    <w:p w14:paraId="5C084315">
      <w:pPr>
        <w:spacing w:before="100" w:after="100" w:line="240" w:lineRule="exact"/>
        <w:rPr>
          <w:rFonts w:ascii="宋体" w:hAnsi="宋体" w:eastAsia="宋体" w:cs="宋体"/>
          <w:sz w:val="18"/>
          <w:szCs w:val="18"/>
        </w:rPr>
      </w:pPr>
      <w:r>
        <w:rPr>
          <w:rFonts w:ascii="宋体" w:hAnsi="宋体" w:eastAsia="宋体" w:cs="宋体"/>
          <w:sz w:val="18"/>
          <w:szCs w:val="18"/>
        </w:rPr>
        <w:t>本期末已逾期未偿还的短期借款总额为元，其中重要的已逾期未偿还的短期借款情况如下：</w:t>
      </w:r>
    </w:p>
    <w:p w14:paraId="1CC8D397">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5B08CE02">
      <w:pPr>
        <w:pStyle w:val="3"/>
        <w:spacing w:line="280" w:lineRule="exact"/>
        <w:jc w:val="left"/>
        <w:rPr>
          <w:rFonts w:ascii="宋体" w:hAnsi="宋体" w:cs="宋体"/>
          <w:b/>
          <w:bCs/>
        </w:rPr>
      </w:pPr>
      <w:bookmarkStart w:id="402" w:name="_Toc989255"/>
      <w:r>
        <w:rPr>
          <w:rFonts w:ascii="宋体" w:hAnsi="宋体" w:cs="宋体"/>
          <w:b/>
          <w:bCs/>
        </w:rPr>
        <w:t>33、交易性金融负债</w:t>
      </w:r>
      <w:bookmarkEnd w:id="402"/>
    </w:p>
    <w:p w14:paraId="05D6088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BBC9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17787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B35940">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C6A39F">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198B7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A75CA0">
            <w:pPr>
              <w:spacing w:before="40" w:after="40" w:line="240" w:lineRule="exac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7A972814">
            <w:pPr>
              <w:spacing w:line="240" w:lineRule="exact"/>
              <w:jc w:val="right"/>
              <w:rPr>
                <w:rFonts w:ascii="宋体" w:hAnsi="宋体" w:eastAsia="宋体" w:cs="宋体"/>
                <w:sz w:val="18"/>
                <w:szCs w:val="18"/>
              </w:rPr>
            </w:pPr>
            <w:r>
              <w:rPr>
                <w:rFonts w:ascii="宋体" w:hAnsi="宋体" w:eastAsia="宋体" w:cs="宋体"/>
                <w:sz w:val="18"/>
                <w:szCs w:val="18"/>
              </w:rPr>
              <w:t>6,428,047.30</w:t>
            </w:r>
          </w:p>
        </w:tc>
        <w:tc>
          <w:tcPr>
            <w:tcW w:w="3213" w:type="dxa"/>
            <w:tcBorders>
              <w:top w:val="single" w:color="auto" w:sz="2" w:space="0"/>
              <w:left w:val="single" w:color="auto" w:sz="2" w:space="0"/>
              <w:bottom w:val="single" w:color="auto" w:sz="2" w:space="0"/>
              <w:right w:val="single" w:color="auto" w:sz="2" w:space="0"/>
            </w:tcBorders>
            <w:vAlign w:val="center"/>
          </w:tcPr>
          <w:p w14:paraId="71666A4D">
            <w:pPr>
              <w:spacing w:line="240" w:lineRule="exact"/>
              <w:jc w:val="right"/>
              <w:rPr>
                <w:rFonts w:ascii="宋体" w:hAnsi="宋体" w:eastAsia="宋体" w:cs="宋体"/>
                <w:sz w:val="18"/>
                <w:szCs w:val="18"/>
              </w:rPr>
            </w:pPr>
            <w:r>
              <w:rPr>
                <w:rFonts w:ascii="宋体" w:hAnsi="宋体" w:eastAsia="宋体" w:cs="宋体"/>
                <w:sz w:val="18"/>
                <w:szCs w:val="18"/>
              </w:rPr>
              <w:t>199,494.26</w:t>
            </w:r>
          </w:p>
        </w:tc>
      </w:tr>
      <w:tr w14:paraId="5F779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6CE291">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D0570A"/>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30B543"/>
        </w:tc>
      </w:tr>
      <w:tr w14:paraId="326B9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FAF5AB8">
            <w:pPr>
              <w:spacing w:line="240" w:lineRule="exac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2068AFF1">
            <w:pPr>
              <w:spacing w:line="240" w:lineRule="exact"/>
              <w:jc w:val="right"/>
              <w:rPr>
                <w:rFonts w:ascii="宋体" w:hAnsi="宋体" w:eastAsia="宋体" w:cs="宋体"/>
                <w:sz w:val="18"/>
                <w:szCs w:val="18"/>
              </w:rPr>
            </w:pPr>
            <w:r>
              <w:rPr>
                <w:rFonts w:ascii="宋体" w:hAnsi="宋体" w:eastAsia="宋体" w:cs="宋体"/>
                <w:sz w:val="18"/>
                <w:szCs w:val="18"/>
              </w:rPr>
              <w:t>6,428,047.30</w:t>
            </w:r>
          </w:p>
        </w:tc>
        <w:tc>
          <w:tcPr>
            <w:tcW w:w="3213" w:type="dxa"/>
            <w:tcBorders>
              <w:top w:val="single" w:color="auto" w:sz="2" w:space="0"/>
              <w:left w:val="single" w:color="auto" w:sz="2" w:space="0"/>
              <w:bottom w:val="single" w:color="auto" w:sz="2" w:space="0"/>
              <w:right w:val="single" w:color="auto" w:sz="2" w:space="0"/>
            </w:tcBorders>
            <w:vAlign w:val="center"/>
          </w:tcPr>
          <w:p w14:paraId="5D54C3DF">
            <w:pPr>
              <w:spacing w:line="240" w:lineRule="exact"/>
              <w:jc w:val="right"/>
              <w:rPr>
                <w:rFonts w:ascii="宋体" w:hAnsi="宋体" w:eastAsia="宋体" w:cs="宋体"/>
                <w:sz w:val="18"/>
                <w:szCs w:val="18"/>
              </w:rPr>
            </w:pPr>
            <w:r>
              <w:rPr>
                <w:rFonts w:ascii="宋体" w:hAnsi="宋体" w:eastAsia="宋体" w:cs="宋体"/>
                <w:sz w:val="18"/>
                <w:szCs w:val="18"/>
              </w:rPr>
              <w:t>199,494.26</w:t>
            </w:r>
          </w:p>
        </w:tc>
      </w:tr>
      <w:tr w14:paraId="25D02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5C296B">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B96EBB"/>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CBC6F4"/>
        </w:tc>
      </w:tr>
      <w:tr w14:paraId="061B2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F95823">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9CF79F7">
            <w:pPr>
              <w:spacing w:line="240" w:lineRule="exact"/>
              <w:jc w:val="right"/>
              <w:rPr>
                <w:rFonts w:ascii="宋体" w:hAnsi="宋体" w:eastAsia="宋体" w:cs="宋体"/>
                <w:sz w:val="18"/>
                <w:szCs w:val="18"/>
              </w:rPr>
            </w:pPr>
            <w:r>
              <w:rPr>
                <w:rFonts w:ascii="宋体" w:hAnsi="宋体" w:eastAsia="宋体" w:cs="宋体"/>
                <w:sz w:val="18"/>
                <w:szCs w:val="18"/>
              </w:rPr>
              <w:t>6,428,047.30</w:t>
            </w:r>
          </w:p>
        </w:tc>
        <w:tc>
          <w:tcPr>
            <w:tcW w:w="3213" w:type="dxa"/>
            <w:tcBorders>
              <w:top w:val="single" w:color="auto" w:sz="2" w:space="0"/>
              <w:left w:val="single" w:color="auto" w:sz="2" w:space="0"/>
              <w:bottom w:val="single" w:color="auto" w:sz="2" w:space="0"/>
              <w:right w:val="single" w:color="auto" w:sz="2" w:space="0"/>
            </w:tcBorders>
            <w:vAlign w:val="center"/>
          </w:tcPr>
          <w:p w14:paraId="7612D8EE">
            <w:pPr>
              <w:spacing w:line="240" w:lineRule="exact"/>
              <w:jc w:val="right"/>
              <w:rPr>
                <w:rFonts w:ascii="宋体" w:hAnsi="宋体" w:eastAsia="宋体" w:cs="宋体"/>
                <w:sz w:val="18"/>
                <w:szCs w:val="18"/>
              </w:rPr>
            </w:pPr>
            <w:r>
              <w:rPr>
                <w:rFonts w:ascii="宋体" w:hAnsi="宋体" w:eastAsia="宋体" w:cs="宋体"/>
                <w:sz w:val="18"/>
                <w:szCs w:val="18"/>
              </w:rPr>
              <w:t>199,494.26</w:t>
            </w:r>
          </w:p>
        </w:tc>
      </w:tr>
    </w:tbl>
    <w:p w14:paraId="073E322D">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0D53F5D3">
      <w:pPr>
        <w:pStyle w:val="3"/>
        <w:spacing w:line="280" w:lineRule="exact"/>
        <w:jc w:val="left"/>
        <w:rPr>
          <w:rFonts w:ascii="宋体" w:hAnsi="宋体" w:cs="宋体"/>
          <w:b/>
          <w:bCs/>
        </w:rPr>
      </w:pPr>
      <w:bookmarkStart w:id="403" w:name="_Toc989256"/>
      <w:r>
        <w:rPr>
          <w:rFonts w:ascii="宋体" w:hAnsi="宋体" w:cs="宋体"/>
          <w:b/>
          <w:bCs/>
        </w:rPr>
        <w:t>34、衍生金融负债</w:t>
      </w:r>
      <w:bookmarkEnd w:id="403"/>
    </w:p>
    <w:p w14:paraId="39679576">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674E6F61">
      <w:pPr>
        <w:pStyle w:val="3"/>
        <w:spacing w:line="280" w:lineRule="exact"/>
        <w:jc w:val="left"/>
        <w:rPr>
          <w:rFonts w:ascii="宋体" w:hAnsi="宋体" w:cs="宋体"/>
          <w:b/>
          <w:bCs/>
        </w:rPr>
      </w:pPr>
      <w:bookmarkStart w:id="404" w:name="_Toc989257"/>
      <w:r>
        <w:rPr>
          <w:rFonts w:ascii="宋体" w:hAnsi="宋体" w:cs="宋体"/>
          <w:b/>
          <w:bCs/>
        </w:rPr>
        <w:t>35、应付票据</w:t>
      </w:r>
      <w:bookmarkEnd w:id="404"/>
    </w:p>
    <w:p w14:paraId="2843500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6F6F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FB0BFB">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88DB7E">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0840D0">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3B3E2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687C00">
            <w:pPr>
              <w:spacing w:before="40" w:after="40" w:line="240" w:lineRule="exact"/>
              <w:rPr>
                <w:rFonts w:ascii="宋体" w:hAnsi="宋体" w:eastAsia="宋体" w:cs="宋体"/>
                <w:sz w:val="18"/>
                <w:szCs w:val="18"/>
              </w:rPr>
            </w:pPr>
            <w:r>
              <w:rPr>
                <w:rFonts w:ascii="宋体" w:hAnsi="宋体" w:eastAsia="宋体" w:cs="宋体"/>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14:paraId="6DD962C5">
            <w:pPr>
              <w:spacing w:line="240" w:lineRule="exact"/>
              <w:jc w:val="right"/>
              <w:rPr>
                <w:rFonts w:ascii="宋体" w:hAnsi="宋体" w:eastAsia="宋体" w:cs="宋体"/>
                <w:sz w:val="18"/>
                <w:szCs w:val="18"/>
              </w:rPr>
            </w:pPr>
            <w:r>
              <w:rPr>
                <w:rFonts w:ascii="宋体" w:hAnsi="宋体" w:eastAsia="宋体" w:cs="宋体"/>
                <w:sz w:val="18"/>
                <w:szCs w:val="18"/>
              </w:rPr>
              <w:t>163,941,811.59</w:t>
            </w:r>
          </w:p>
        </w:tc>
        <w:tc>
          <w:tcPr>
            <w:tcW w:w="3213" w:type="dxa"/>
            <w:tcBorders>
              <w:top w:val="single" w:color="auto" w:sz="2" w:space="0"/>
              <w:left w:val="single" w:color="auto" w:sz="2" w:space="0"/>
              <w:bottom w:val="single" w:color="auto" w:sz="2" w:space="0"/>
              <w:right w:val="single" w:color="auto" w:sz="2" w:space="0"/>
            </w:tcBorders>
            <w:vAlign w:val="center"/>
          </w:tcPr>
          <w:p w14:paraId="6956D074">
            <w:pPr>
              <w:spacing w:line="240" w:lineRule="exact"/>
              <w:jc w:val="right"/>
              <w:rPr>
                <w:rFonts w:ascii="宋体" w:hAnsi="宋体" w:eastAsia="宋体" w:cs="宋体"/>
                <w:sz w:val="18"/>
                <w:szCs w:val="18"/>
              </w:rPr>
            </w:pPr>
            <w:r>
              <w:rPr>
                <w:rFonts w:ascii="宋体" w:hAnsi="宋体" w:eastAsia="宋体" w:cs="宋体"/>
                <w:sz w:val="18"/>
                <w:szCs w:val="18"/>
              </w:rPr>
              <w:t>66,703,857.91</w:t>
            </w:r>
          </w:p>
        </w:tc>
      </w:tr>
      <w:tr w14:paraId="048C2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CD43D3E">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B18DFDF">
            <w:pPr>
              <w:spacing w:line="240" w:lineRule="exact"/>
              <w:jc w:val="right"/>
              <w:rPr>
                <w:rFonts w:ascii="宋体" w:hAnsi="宋体" w:eastAsia="宋体" w:cs="宋体"/>
                <w:sz w:val="18"/>
                <w:szCs w:val="18"/>
              </w:rPr>
            </w:pPr>
            <w:r>
              <w:rPr>
                <w:rFonts w:ascii="宋体" w:hAnsi="宋体" w:eastAsia="宋体" w:cs="宋体"/>
                <w:sz w:val="18"/>
                <w:szCs w:val="18"/>
              </w:rPr>
              <w:t>163,941,811.59</w:t>
            </w:r>
          </w:p>
        </w:tc>
        <w:tc>
          <w:tcPr>
            <w:tcW w:w="3213" w:type="dxa"/>
            <w:tcBorders>
              <w:top w:val="single" w:color="auto" w:sz="2" w:space="0"/>
              <w:left w:val="single" w:color="auto" w:sz="2" w:space="0"/>
              <w:bottom w:val="single" w:color="auto" w:sz="2" w:space="0"/>
              <w:right w:val="single" w:color="auto" w:sz="2" w:space="0"/>
            </w:tcBorders>
            <w:vAlign w:val="center"/>
          </w:tcPr>
          <w:p w14:paraId="611A6652">
            <w:pPr>
              <w:spacing w:line="240" w:lineRule="exact"/>
              <w:jc w:val="right"/>
              <w:rPr>
                <w:rFonts w:ascii="宋体" w:hAnsi="宋体" w:eastAsia="宋体" w:cs="宋体"/>
                <w:sz w:val="18"/>
                <w:szCs w:val="18"/>
              </w:rPr>
            </w:pPr>
            <w:r>
              <w:rPr>
                <w:rFonts w:ascii="宋体" w:hAnsi="宋体" w:eastAsia="宋体" w:cs="宋体"/>
                <w:sz w:val="18"/>
                <w:szCs w:val="18"/>
              </w:rPr>
              <w:t>66,703,857.91</w:t>
            </w:r>
          </w:p>
        </w:tc>
      </w:tr>
    </w:tbl>
    <w:p w14:paraId="1C42C10B">
      <w:pPr>
        <w:spacing w:before="100" w:after="100" w:line="240" w:lineRule="exact"/>
        <w:rPr>
          <w:rFonts w:ascii="宋体" w:hAnsi="宋体" w:eastAsia="宋体" w:cs="宋体"/>
          <w:sz w:val="18"/>
          <w:szCs w:val="18"/>
        </w:rPr>
      </w:pPr>
      <w:r>
        <w:rPr>
          <w:rFonts w:ascii="宋体" w:hAnsi="宋体" w:eastAsia="宋体" w:cs="宋体"/>
          <w:sz w:val="18"/>
          <w:szCs w:val="18"/>
        </w:rPr>
        <w:t>本期末已到期未支付的应付票据总额为0.00元，到期未付的原因为。</w:t>
      </w:r>
    </w:p>
    <w:p w14:paraId="21D7FAA3">
      <w:pPr>
        <w:pStyle w:val="3"/>
        <w:spacing w:line="280" w:lineRule="exact"/>
        <w:jc w:val="left"/>
        <w:rPr>
          <w:rFonts w:ascii="宋体" w:hAnsi="宋体" w:cs="宋体"/>
          <w:b/>
          <w:bCs/>
        </w:rPr>
      </w:pPr>
      <w:bookmarkStart w:id="405" w:name="_Toc989258"/>
      <w:r>
        <w:rPr>
          <w:rFonts w:ascii="宋体" w:hAnsi="宋体" w:cs="宋体"/>
          <w:b/>
          <w:bCs/>
        </w:rPr>
        <w:t>36、应付账款</w:t>
      </w:r>
      <w:bookmarkEnd w:id="405"/>
    </w:p>
    <w:p w14:paraId="169DD530">
      <w:pPr>
        <w:keepNext/>
        <w:keepLines/>
        <w:spacing w:before="300" w:after="300" w:line="280" w:lineRule="exact"/>
        <w:outlineLvl w:val="3"/>
        <w:rPr>
          <w:rFonts w:ascii="宋体" w:hAnsi="宋体" w:eastAsia="宋体" w:cs="宋体"/>
          <w:b/>
          <w:bCs/>
          <w:sz w:val="18"/>
          <w:szCs w:val="18"/>
        </w:rPr>
      </w:pPr>
      <w:bookmarkStart w:id="406" w:name="_Toc989259"/>
      <w:r>
        <w:rPr>
          <w:rFonts w:ascii="宋体" w:hAnsi="宋体" w:eastAsia="宋体" w:cs="宋体"/>
          <w:b/>
          <w:bCs/>
          <w:sz w:val="18"/>
          <w:szCs w:val="18"/>
        </w:rPr>
        <w:t>（1） 应付账款列示</w:t>
      </w:r>
      <w:bookmarkEnd w:id="406"/>
    </w:p>
    <w:p w14:paraId="4AF07F6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3F42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506A4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7E4DB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D83391">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730A0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6CE358C">
            <w:pPr>
              <w:spacing w:line="240" w:lineRule="exact"/>
              <w:rPr>
                <w:rFonts w:ascii="宋体" w:hAnsi="宋体" w:eastAsia="宋体" w:cs="宋体"/>
                <w:sz w:val="18"/>
                <w:szCs w:val="18"/>
              </w:rPr>
            </w:pPr>
            <w:r>
              <w:rPr>
                <w:rFonts w:ascii="宋体" w:hAnsi="宋体" w:eastAsia="宋体" w:cs="宋体"/>
                <w:sz w:val="18"/>
                <w:szCs w:val="18"/>
              </w:rPr>
              <w:t>应付货款</w:t>
            </w:r>
          </w:p>
        </w:tc>
        <w:tc>
          <w:tcPr>
            <w:tcW w:w="3213" w:type="dxa"/>
            <w:tcBorders>
              <w:top w:val="single" w:color="auto" w:sz="2" w:space="0"/>
              <w:left w:val="single" w:color="auto" w:sz="2" w:space="0"/>
              <w:bottom w:val="single" w:color="auto" w:sz="2" w:space="0"/>
              <w:right w:val="single" w:color="auto" w:sz="2" w:space="0"/>
            </w:tcBorders>
            <w:vAlign w:val="center"/>
          </w:tcPr>
          <w:p w14:paraId="39B5210D">
            <w:pPr>
              <w:spacing w:line="240" w:lineRule="exact"/>
              <w:jc w:val="right"/>
              <w:rPr>
                <w:rFonts w:ascii="宋体" w:hAnsi="宋体" w:eastAsia="宋体" w:cs="宋体"/>
                <w:sz w:val="18"/>
                <w:szCs w:val="18"/>
              </w:rPr>
            </w:pPr>
            <w:r>
              <w:rPr>
                <w:rFonts w:ascii="宋体" w:hAnsi="宋体" w:eastAsia="宋体" w:cs="宋体"/>
                <w:sz w:val="18"/>
                <w:szCs w:val="18"/>
              </w:rPr>
              <w:t>736,356,154.25</w:t>
            </w:r>
          </w:p>
        </w:tc>
        <w:tc>
          <w:tcPr>
            <w:tcW w:w="3213" w:type="dxa"/>
            <w:tcBorders>
              <w:top w:val="single" w:color="auto" w:sz="2" w:space="0"/>
              <w:left w:val="single" w:color="auto" w:sz="2" w:space="0"/>
              <w:bottom w:val="single" w:color="auto" w:sz="2" w:space="0"/>
              <w:right w:val="single" w:color="auto" w:sz="2" w:space="0"/>
            </w:tcBorders>
            <w:vAlign w:val="center"/>
          </w:tcPr>
          <w:p w14:paraId="6BA1C8D7">
            <w:pPr>
              <w:spacing w:line="240" w:lineRule="exact"/>
              <w:jc w:val="right"/>
              <w:rPr>
                <w:rFonts w:ascii="宋体" w:hAnsi="宋体" w:eastAsia="宋体" w:cs="宋体"/>
                <w:sz w:val="18"/>
                <w:szCs w:val="18"/>
              </w:rPr>
            </w:pPr>
            <w:r>
              <w:rPr>
                <w:rFonts w:ascii="宋体" w:hAnsi="宋体" w:eastAsia="宋体" w:cs="宋体"/>
                <w:sz w:val="18"/>
                <w:szCs w:val="18"/>
              </w:rPr>
              <w:t>700,424,592.87</w:t>
            </w:r>
          </w:p>
        </w:tc>
      </w:tr>
      <w:tr w14:paraId="68711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D2F35F8">
            <w:pPr>
              <w:spacing w:line="240" w:lineRule="exact"/>
              <w:rPr>
                <w:rFonts w:ascii="宋体" w:hAnsi="宋体" w:eastAsia="宋体" w:cs="宋体"/>
                <w:sz w:val="18"/>
                <w:szCs w:val="18"/>
              </w:rPr>
            </w:pPr>
            <w:r>
              <w:rPr>
                <w:rFonts w:ascii="宋体" w:hAnsi="宋体" w:eastAsia="宋体" w:cs="宋体"/>
                <w:sz w:val="18"/>
                <w:szCs w:val="18"/>
              </w:rPr>
              <w:t>应付工程款</w:t>
            </w:r>
          </w:p>
        </w:tc>
        <w:tc>
          <w:tcPr>
            <w:tcW w:w="3213" w:type="dxa"/>
            <w:tcBorders>
              <w:top w:val="single" w:color="auto" w:sz="2" w:space="0"/>
              <w:left w:val="single" w:color="auto" w:sz="2" w:space="0"/>
              <w:bottom w:val="single" w:color="auto" w:sz="2" w:space="0"/>
              <w:right w:val="single" w:color="auto" w:sz="2" w:space="0"/>
            </w:tcBorders>
            <w:vAlign w:val="center"/>
          </w:tcPr>
          <w:p w14:paraId="3A2DCE1C">
            <w:pPr>
              <w:spacing w:line="240" w:lineRule="exact"/>
              <w:jc w:val="right"/>
              <w:rPr>
                <w:rFonts w:ascii="宋体" w:hAnsi="宋体" w:eastAsia="宋体" w:cs="宋体"/>
                <w:sz w:val="18"/>
                <w:szCs w:val="18"/>
              </w:rPr>
            </w:pPr>
            <w:r>
              <w:rPr>
                <w:rFonts w:ascii="宋体" w:hAnsi="宋体" w:eastAsia="宋体" w:cs="宋体"/>
                <w:sz w:val="18"/>
                <w:szCs w:val="18"/>
              </w:rPr>
              <w:t>251,299,947.19</w:t>
            </w:r>
          </w:p>
        </w:tc>
        <w:tc>
          <w:tcPr>
            <w:tcW w:w="3213" w:type="dxa"/>
            <w:tcBorders>
              <w:top w:val="single" w:color="auto" w:sz="2" w:space="0"/>
              <w:left w:val="single" w:color="auto" w:sz="2" w:space="0"/>
              <w:bottom w:val="single" w:color="auto" w:sz="2" w:space="0"/>
              <w:right w:val="single" w:color="auto" w:sz="2" w:space="0"/>
            </w:tcBorders>
            <w:vAlign w:val="center"/>
          </w:tcPr>
          <w:p w14:paraId="420692A8">
            <w:pPr>
              <w:spacing w:line="240" w:lineRule="exact"/>
              <w:jc w:val="right"/>
              <w:rPr>
                <w:rFonts w:ascii="宋体" w:hAnsi="宋体" w:eastAsia="宋体" w:cs="宋体"/>
                <w:sz w:val="18"/>
                <w:szCs w:val="18"/>
              </w:rPr>
            </w:pPr>
            <w:r>
              <w:rPr>
                <w:rFonts w:ascii="宋体" w:hAnsi="宋体" w:eastAsia="宋体" w:cs="宋体"/>
                <w:sz w:val="18"/>
                <w:szCs w:val="18"/>
              </w:rPr>
              <w:t>107,171,647.86</w:t>
            </w:r>
          </w:p>
        </w:tc>
      </w:tr>
      <w:tr w14:paraId="50B2E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2A104DA">
            <w:pPr>
              <w:spacing w:line="240" w:lineRule="exact"/>
              <w:rPr>
                <w:rFonts w:ascii="宋体" w:hAnsi="宋体" w:eastAsia="宋体" w:cs="宋体"/>
                <w:sz w:val="18"/>
                <w:szCs w:val="18"/>
              </w:rPr>
            </w:pPr>
            <w:r>
              <w:rPr>
                <w:rFonts w:ascii="宋体" w:hAnsi="宋体" w:eastAsia="宋体" w:cs="宋体"/>
                <w:sz w:val="18"/>
                <w:szCs w:val="18"/>
              </w:rPr>
              <w:t>应付设备款</w:t>
            </w:r>
          </w:p>
        </w:tc>
        <w:tc>
          <w:tcPr>
            <w:tcW w:w="3213" w:type="dxa"/>
            <w:tcBorders>
              <w:top w:val="single" w:color="auto" w:sz="2" w:space="0"/>
              <w:left w:val="single" w:color="auto" w:sz="2" w:space="0"/>
              <w:bottom w:val="single" w:color="auto" w:sz="2" w:space="0"/>
              <w:right w:val="single" w:color="auto" w:sz="2" w:space="0"/>
            </w:tcBorders>
            <w:vAlign w:val="center"/>
          </w:tcPr>
          <w:p w14:paraId="3CAAA623">
            <w:pPr>
              <w:spacing w:line="240" w:lineRule="exact"/>
              <w:jc w:val="right"/>
              <w:rPr>
                <w:rFonts w:ascii="宋体" w:hAnsi="宋体" w:eastAsia="宋体" w:cs="宋体"/>
                <w:sz w:val="18"/>
                <w:szCs w:val="18"/>
              </w:rPr>
            </w:pPr>
            <w:r>
              <w:rPr>
                <w:rFonts w:ascii="宋体" w:hAnsi="宋体" w:eastAsia="宋体" w:cs="宋体"/>
                <w:sz w:val="18"/>
                <w:szCs w:val="18"/>
              </w:rPr>
              <w:t>73,667,063.65</w:t>
            </w:r>
          </w:p>
        </w:tc>
        <w:tc>
          <w:tcPr>
            <w:tcW w:w="3213" w:type="dxa"/>
            <w:tcBorders>
              <w:top w:val="single" w:color="auto" w:sz="2" w:space="0"/>
              <w:left w:val="single" w:color="auto" w:sz="2" w:space="0"/>
              <w:bottom w:val="single" w:color="auto" w:sz="2" w:space="0"/>
              <w:right w:val="single" w:color="auto" w:sz="2" w:space="0"/>
            </w:tcBorders>
            <w:vAlign w:val="center"/>
          </w:tcPr>
          <w:p w14:paraId="16A049E4">
            <w:pPr>
              <w:spacing w:line="240" w:lineRule="exact"/>
              <w:jc w:val="right"/>
              <w:rPr>
                <w:rFonts w:ascii="宋体" w:hAnsi="宋体" w:eastAsia="宋体" w:cs="宋体"/>
                <w:sz w:val="18"/>
                <w:szCs w:val="18"/>
              </w:rPr>
            </w:pPr>
            <w:r>
              <w:rPr>
                <w:rFonts w:ascii="宋体" w:hAnsi="宋体" w:eastAsia="宋体" w:cs="宋体"/>
                <w:sz w:val="18"/>
                <w:szCs w:val="18"/>
              </w:rPr>
              <w:t>54,029,744.22</w:t>
            </w:r>
          </w:p>
        </w:tc>
      </w:tr>
      <w:tr w14:paraId="17464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A014BE4">
            <w:pPr>
              <w:spacing w:line="240" w:lineRule="exac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354BC4AC">
            <w:pPr>
              <w:spacing w:line="240" w:lineRule="exact"/>
              <w:jc w:val="right"/>
              <w:rPr>
                <w:rFonts w:ascii="宋体" w:hAnsi="宋体" w:eastAsia="宋体" w:cs="宋体"/>
                <w:sz w:val="18"/>
                <w:szCs w:val="18"/>
              </w:rPr>
            </w:pPr>
            <w:r>
              <w:rPr>
                <w:rFonts w:ascii="宋体" w:hAnsi="宋体" w:eastAsia="宋体" w:cs="宋体"/>
                <w:sz w:val="18"/>
                <w:szCs w:val="18"/>
              </w:rPr>
              <w:t>19,608,031.13</w:t>
            </w:r>
          </w:p>
        </w:tc>
        <w:tc>
          <w:tcPr>
            <w:tcW w:w="3213" w:type="dxa"/>
            <w:tcBorders>
              <w:top w:val="single" w:color="auto" w:sz="2" w:space="0"/>
              <w:left w:val="single" w:color="auto" w:sz="2" w:space="0"/>
              <w:bottom w:val="single" w:color="auto" w:sz="2" w:space="0"/>
              <w:right w:val="single" w:color="auto" w:sz="2" w:space="0"/>
            </w:tcBorders>
            <w:vAlign w:val="center"/>
          </w:tcPr>
          <w:p w14:paraId="2FE90501">
            <w:pPr>
              <w:spacing w:line="240" w:lineRule="exact"/>
              <w:jc w:val="right"/>
              <w:rPr>
                <w:rFonts w:ascii="宋体" w:hAnsi="宋体" w:eastAsia="宋体" w:cs="宋体"/>
                <w:sz w:val="18"/>
                <w:szCs w:val="18"/>
              </w:rPr>
            </w:pPr>
            <w:r>
              <w:rPr>
                <w:rFonts w:ascii="宋体" w:hAnsi="宋体" w:eastAsia="宋体" w:cs="宋体"/>
                <w:sz w:val="18"/>
                <w:szCs w:val="18"/>
              </w:rPr>
              <w:t>17,199,552.83</w:t>
            </w:r>
          </w:p>
        </w:tc>
      </w:tr>
      <w:tr w14:paraId="36CB3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91E6AB">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0512ACD8">
            <w:pPr>
              <w:spacing w:line="240" w:lineRule="exact"/>
              <w:jc w:val="right"/>
              <w:rPr>
                <w:rFonts w:ascii="宋体" w:hAnsi="宋体" w:eastAsia="宋体" w:cs="宋体"/>
                <w:sz w:val="18"/>
                <w:szCs w:val="18"/>
              </w:rPr>
            </w:pPr>
            <w:r>
              <w:rPr>
                <w:rFonts w:ascii="宋体" w:hAnsi="宋体" w:eastAsia="宋体" w:cs="宋体"/>
                <w:sz w:val="18"/>
                <w:szCs w:val="18"/>
              </w:rPr>
              <w:t>1,080,931,196.22</w:t>
            </w:r>
          </w:p>
        </w:tc>
        <w:tc>
          <w:tcPr>
            <w:tcW w:w="3213" w:type="dxa"/>
            <w:tcBorders>
              <w:top w:val="single" w:color="auto" w:sz="2" w:space="0"/>
              <w:left w:val="single" w:color="auto" w:sz="2" w:space="0"/>
              <w:bottom w:val="single" w:color="auto" w:sz="2" w:space="0"/>
              <w:right w:val="single" w:color="auto" w:sz="2" w:space="0"/>
            </w:tcBorders>
            <w:vAlign w:val="center"/>
          </w:tcPr>
          <w:p w14:paraId="6EE5794D">
            <w:pPr>
              <w:spacing w:line="240" w:lineRule="exact"/>
              <w:jc w:val="right"/>
              <w:rPr>
                <w:rFonts w:ascii="宋体" w:hAnsi="宋体" w:eastAsia="宋体" w:cs="宋体"/>
                <w:sz w:val="18"/>
                <w:szCs w:val="18"/>
              </w:rPr>
            </w:pPr>
            <w:r>
              <w:rPr>
                <w:rFonts w:ascii="宋体" w:hAnsi="宋体" w:eastAsia="宋体" w:cs="宋体"/>
                <w:sz w:val="18"/>
                <w:szCs w:val="18"/>
              </w:rPr>
              <w:t>878,825,537.78</w:t>
            </w:r>
          </w:p>
        </w:tc>
      </w:tr>
    </w:tbl>
    <w:p w14:paraId="2103F744">
      <w:pPr>
        <w:keepNext/>
        <w:keepLines/>
        <w:spacing w:before="300" w:after="300" w:line="280" w:lineRule="exact"/>
        <w:outlineLvl w:val="3"/>
        <w:rPr>
          <w:rFonts w:ascii="宋体" w:hAnsi="宋体" w:eastAsia="宋体" w:cs="宋体"/>
          <w:b/>
          <w:bCs/>
          <w:sz w:val="18"/>
          <w:szCs w:val="18"/>
        </w:rPr>
      </w:pPr>
      <w:bookmarkStart w:id="407" w:name="_Toc989260"/>
      <w:r>
        <w:rPr>
          <w:rFonts w:ascii="宋体" w:hAnsi="宋体" w:eastAsia="宋体" w:cs="宋体"/>
          <w:b/>
          <w:bCs/>
          <w:sz w:val="18"/>
          <w:szCs w:val="18"/>
        </w:rPr>
        <w:t>（2） 账龄超过1年或逾期的重要应付账款</w:t>
      </w:r>
      <w:bookmarkEnd w:id="407"/>
    </w:p>
    <w:p w14:paraId="43268C8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313B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BCFF5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7A0D5E">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97E530">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r w14:paraId="34D33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4CE5C0A">
            <w:pPr>
              <w:spacing w:line="240" w:lineRule="exact"/>
              <w:rPr>
                <w:rFonts w:ascii="宋体" w:hAnsi="宋体" w:eastAsia="宋体" w:cs="宋体"/>
                <w:sz w:val="18"/>
                <w:szCs w:val="18"/>
              </w:rPr>
            </w:pPr>
            <w:r>
              <w:rPr>
                <w:rFonts w:ascii="宋体" w:hAnsi="宋体" w:eastAsia="宋体" w:cs="宋体"/>
                <w:sz w:val="18"/>
                <w:szCs w:val="18"/>
              </w:rPr>
              <w:t>阿克苏威乐建设集团有限公司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1057F269">
            <w:pPr>
              <w:spacing w:line="240" w:lineRule="exact"/>
              <w:jc w:val="right"/>
              <w:rPr>
                <w:rFonts w:ascii="宋体" w:hAnsi="宋体" w:eastAsia="宋体" w:cs="宋体"/>
                <w:sz w:val="18"/>
                <w:szCs w:val="18"/>
              </w:rPr>
            </w:pPr>
            <w:r>
              <w:rPr>
                <w:rFonts w:ascii="宋体" w:hAnsi="宋体" w:eastAsia="宋体" w:cs="宋体"/>
                <w:sz w:val="18"/>
                <w:szCs w:val="18"/>
              </w:rPr>
              <w:t>6,089,524.98</w:t>
            </w:r>
          </w:p>
        </w:tc>
        <w:tc>
          <w:tcPr>
            <w:tcW w:w="3213" w:type="dxa"/>
            <w:tcBorders>
              <w:top w:val="single" w:color="auto" w:sz="2" w:space="0"/>
              <w:left w:val="single" w:color="auto" w:sz="2" w:space="0"/>
              <w:bottom w:val="single" w:color="auto" w:sz="2" w:space="0"/>
              <w:right w:val="single" w:color="auto" w:sz="2" w:space="0"/>
            </w:tcBorders>
            <w:vAlign w:val="center"/>
          </w:tcPr>
          <w:p w14:paraId="5AF492CF">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3A4F8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65BAF59">
            <w:pPr>
              <w:spacing w:line="240" w:lineRule="exact"/>
              <w:rPr>
                <w:rFonts w:ascii="宋体" w:hAnsi="宋体" w:eastAsia="宋体" w:cs="宋体"/>
                <w:sz w:val="18"/>
                <w:szCs w:val="18"/>
              </w:rPr>
            </w:pPr>
            <w:r>
              <w:rPr>
                <w:rFonts w:ascii="宋体" w:hAnsi="宋体" w:eastAsia="宋体" w:cs="宋体"/>
                <w:sz w:val="18"/>
                <w:szCs w:val="18"/>
              </w:rPr>
              <w:t>奎屯佳多信商贸有限公司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5818D4FE">
            <w:pPr>
              <w:spacing w:line="240" w:lineRule="exact"/>
              <w:jc w:val="right"/>
              <w:rPr>
                <w:rFonts w:ascii="宋体" w:hAnsi="宋体" w:eastAsia="宋体" w:cs="宋体"/>
                <w:sz w:val="18"/>
                <w:szCs w:val="18"/>
              </w:rPr>
            </w:pPr>
            <w:r>
              <w:rPr>
                <w:rFonts w:ascii="宋体" w:hAnsi="宋体" w:eastAsia="宋体" w:cs="宋体"/>
                <w:sz w:val="18"/>
                <w:szCs w:val="18"/>
              </w:rPr>
              <w:t>5,636,024.00</w:t>
            </w:r>
          </w:p>
        </w:tc>
        <w:tc>
          <w:tcPr>
            <w:tcW w:w="3213" w:type="dxa"/>
            <w:tcBorders>
              <w:top w:val="single" w:color="auto" w:sz="2" w:space="0"/>
              <w:left w:val="single" w:color="auto" w:sz="2" w:space="0"/>
              <w:bottom w:val="single" w:color="auto" w:sz="2" w:space="0"/>
              <w:right w:val="single" w:color="auto" w:sz="2" w:space="0"/>
            </w:tcBorders>
            <w:vAlign w:val="center"/>
          </w:tcPr>
          <w:p w14:paraId="5E137B28">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6FC80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09A3D46">
            <w:pPr>
              <w:spacing w:line="240" w:lineRule="exact"/>
              <w:rPr>
                <w:rFonts w:ascii="宋体" w:hAnsi="宋体" w:eastAsia="宋体" w:cs="宋体"/>
                <w:sz w:val="18"/>
                <w:szCs w:val="18"/>
              </w:rPr>
            </w:pPr>
            <w:r>
              <w:rPr>
                <w:rFonts w:ascii="宋体" w:hAnsi="宋体" w:eastAsia="宋体" w:cs="宋体"/>
                <w:sz w:val="18"/>
                <w:szCs w:val="18"/>
              </w:rPr>
              <w:t>浙江津膜环境科技有限公司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1B2F4088">
            <w:pPr>
              <w:spacing w:line="240" w:lineRule="exact"/>
              <w:jc w:val="right"/>
              <w:rPr>
                <w:rFonts w:ascii="宋体" w:hAnsi="宋体" w:eastAsia="宋体" w:cs="宋体"/>
                <w:sz w:val="18"/>
                <w:szCs w:val="18"/>
              </w:rPr>
            </w:pPr>
            <w:r>
              <w:rPr>
                <w:rFonts w:ascii="宋体" w:hAnsi="宋体" w:eastAsia="宋体" w:cs="宋体"/>
                <w:sz w:val="18"/>
                <w:szCs w:val="18"/>
              </w:rPr>
              <w:t>5,549,506.56</w:t>
            </w:r>
          </w:p>
        </w:tc>
        <w:tc>
          <w:tcPr>
            <w:tcW w:w="3213" w:type="dxa"/>
            <w:tcBorders>
              <w:top w:val="single" w:color="auto" w:sz="2" w:space="0"/>
              <w:left w:val="single" w:color="auto" w:sz="2" w:space="0"/>
              <w:bottom w:val="single" w:color="auto" w:sz="2" w:space="0"/>
              <w:right w:val="single" w:color="auto" w:sz="2" w:space="0"/>
            </w:tcBorders>
            <w:vAlign w:val="center"/>
          </w:tcPr>
          <w:p w14:paraId="3F3B596F">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76C08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6963260">
            <w:pPr>
              <w:spacing w:line="240" w:lineRule="exact"/>
              <w:rPr>
                <w:rFonts w:ascii="宋体" w:hAnsi="宋体" w:eastAsia="宋体" w:cs="宋体"/>
                <w:sz w:val="18"/>
                <w:szCs w:val="18"/>
              </w:rPr>
            </w:pPr>
            <w:r>
              <w:rPr>
                <w:rFonts w:ascii="宋体" w:hAnsi="宋体" w:eastAsia="宋体" w:cs="宋体"/>
                <w:sz w:val="18"/>
                <w:szCs w:val="18"/>
              </w:rPr>
              <w:t>新疆塔建三五九建工有限责任公司</w:t>
            </w:r>
          </w:p>
        </w:tc>
        <w:tc>
          <w:tcPr>
            <w:tcW w:w="3213" w:type="dxa"/>
            <w:tcBorders>
              <w:top w:val="single" w:color="auto" w:sz="2" w:space="0"/>
              <w:left w:val="single" w:color="auto" w:sz="2" w:space="0"/>
              <w:bottom w:val="single" w:color="auto" w:sz="2" w:space="0"/>
              <w:right w:val="single" w:color="auto" w:sz="2" w:space="0"/>
            </w:tcBorders>
            <w:vAlign w:val="center"/>
          </w:tcPr>
          <w:p w14:paraId="7D81616A">
            <w:pPr>
              <w:spacing w:line="240" w:lineRule="exact"/>
              <w:jc w:val="right"/>
              <w:rPr>
                <w:rFonts w:ascii="宋体" w:hAnsi="宋体" w:eastAsia="宋体" w:cs="宋体"/>
                <w:sz w:val="18"/>
                <w:szCs w:val="18"/>
              </w:rPr>
            </w:pPr>
            <w:r>
              <w:rPr>
                <w:rFonts w:ascii="宋体" w:hAnsi="宋体" w:eastAsia="宋体" w:cs="宋体"/>
                <w:sz w:val="18"/>
                <w:szCs w:val="18"/>
              </w:rPr>
              <w:t>5,496,824.56</w:t>
            </w:r>
          </w:p>
        </w:tc>
        <w:tc>
          <w:tcPr>
            <w:tcW w:w="3213" w:type="dxa"/>
            <w:tcBorders>
              <w:top w:val="single" w:color="auto" w:sz="2" w:space="0"/>
              <w:left w:val="single" w:color="auto" w:sz="2" w:space="0"/>
              <w:bottom w:val="single" w:color="auto" w:sz="2" w:space="0"/>
              <w:right w:val="single" w:color="auto" w:sz="2" w:space="0"/>
            </w:tcBorders>
            <w:vAlign w:val="center"/>
          </w:tcPr>
          <w:p w14:paraId="16E2B007">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79D74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F3E128B">
            <w:pPr>
              <w:spacing w:line="240" w:lineRule="exact"/>
              <w:rPr>
                <w:rFonts w:ascii="宋体" w:hAnsi="宋体" w:eastAsia="宋体" w:cs="宋体"/>
                <w:sz w:val="18"/>
                <w:szCs w:val="18"/>
              </w:rPr>
            </w:pPr>
            <w:r>
              <w:rPr>
                <w:rFonts w:ascii="宋体" w:hAnsi="宋体" w:eastAsia="宋体" w:cs="宋体"/>
                <w:sz w:val="18"/>
                <w:szCs w:val="18"/>
              </w:rPr>
              <w:t>迈安德集团有限公司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21FB93C1">
            <w:pPr>
              <w:spacing w:line="240" w:lineRule="exact"/>
              <w:jc w:val="right"/>
              <w:rPr>
                <w:rFonts w:ascii="宋体" w:hAnsi="宋体" w:eastAsia="宋体" w:cs="宋体"/>
                <w:sz w:val="18"/>
                <w:szCs w:val="18"/>
              </w:rPr>
            </w:pPr>
            <w:r>
              <w:rPr>
                <w:rFonts w:ascii="宋体" w:hAnsi="宋体" w:eastAsia="宋体" w:cs="宋体"/>
                <w:sz w:val="18"/>
                <w:szCs w:val="18"/>
              </w:rPr>
              <w:t>4,336,283.20</w:t>
            </w:r>
          </w:p>
        </w:tc>
        <w:tc>
          <w:tcPr>
            <w:tcW w:w="3213" w:type="dxa"/>
            <w:tcBorders>
              <w:top w:val="single" w:color="auto" w:sz="2" w:space="0"/>
              <w:left w:val="single" w:color="auto" w:sz="2" w:space="0"/>
              <w:bottom w:val="single" w:color="auto" w:sz="2" w:space="0"/>
              <w:right w:val="single" w:color="auto" w:sz="2" w:space="0"/>
            </w:tcBorders>
            <w:vAlign w:val="center"/>
          </w:tcPr>
          <w:p w14:paraId="6ADE0C7A">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696D8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3B00C0B">
            <w:pPr>
              <w:spacing w:line="240" w:lineRule="exact"/>
              <w:rPr>
                <w:rFonts w:ascii="宋体" w:hAnsi="宋体" w:eastAsia="宋体" w:cs="宋体"/>
                <w:sz w:val="18"/>
                <w:szCs w:val="18"/>
              </w:rPr>
            </w:pPr>
            <w:r>
              <w:rPr>
                <w:rFonts w:ascii="宋体" w:hAnsi="宋体" w:eastAsia="宋体" w:cs="宋体"/>
                <w:sz w:val="18"/>
                <w:szCs w:val="18"/>
              </w:rPr>
              <w:t>天津港保税区友达国际物流有限公司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063B3404">
            <w:pPr>
              <w:spacing w:line="240" w:lineRule="exact"/>
              <w:jc w:val="right"/>
              <w:rPr>
                <w:rFonts w:ascii="宋体" w:hAnsi="宋体" w:eastAsia="宋体" w:cs="宋体"/>
                <w:sz w:val="18"/>
                <w:szCs w:val="18"/>
              </w:rPr>
            </w:pPr>
            <w:r>
              <w:rPr>
                <w:rFonts w:ascii="宋体" w:hAnsi="宋体" w:eastAsia="宋体" w:cs="宋体"/>
                <w:sz w:val="18"/>
                <w:szCs w:val="18"/>
              </w:rPr>
              <w:t>3,715,004.80</w:t>
            </w:r>
          </w:p>
        </w:tc>
        <w:tc>
          <w:tcPr>
            <w:tcW w:w="3213" w:type="dxa"/>
            <w:tcBorders>
              <w:top w:val="single" w:color="auto" w:sz="2" w:space="0"/>
              <w:left w:val="single" w:color="auto" w:sz="2" w:space="0"/>
              <w:bottom w:val="single" w:color="auto" w:sz="2" w:space="0"/>
              <w:right w:val="single" w:color="auto" w:sz="2" w:space="0"/>
            </w:tcBorders>
            <w:vAlign w:val="center"/>
          </w:tcPr>
          <w:p w14:paraId="71BBEDCA">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5D96B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305C910">
            <w:pPr>
              <w:spacing w:line="240" w:lineRule="exact"/>
              <w:rPr>
                <w:rFonts w:ascii="宋体" w:hAnsi="宋体" w:eastAsia="宋体" w:cs="宋体"/>
                <w:sz w:val="18"/>
                <w:szCs w:val="18"/>
              </w:rPr>
            </w:pPr>
            <w:r>
              <w:rPr>
                <w:rFonts w:ascii="宋体" w:hAnsi="宋体" w:eastAsia="宋体" w:cs="宋体"/>
                <w:sz w:val="18"/>
                <w:szCs w:val="18"/>
              </w:rPr>
              <w:t>新疆盛豪建筑安装工程有限公司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0590CC8F">
            <w:pPr>
              <w:spacing w:line="240" w:lineRule="exact"/>
              <w:jc w:val="right"/>
              <w:rPr>
                <w:rFonts w:ascii="宋体" w:hAnsi="宋体" w:eastAsia="宋体" w:cs="宋体"/>
                <w:sz w:val="18"/>
                <w:szCs w:val="18"/>
              </w:rPr>
            </w:pPr>
            <w:r>
              <w:rPr>
                <w:rFonts w:ascii="宋体" w:hAnsi="宋体" w:eastAsia="宋体" w:cs="宋体"/>
                <w:sz w:val="18"/>
                <w:szCs w:val="18"/>
              </w:rPr>
              <w:t>3,598,493.09</w:t>
            </w:r>
          </w:p>
        </w:tc>
        <w:tc>
          <w:tcPr>
            <w:tcW w:w="3213" w:type="dxa"/>
            <w:tcBorders>
              <w:top w:val="single" w:color="auto" w:sz="2" w:space="0"/>
              <w:left w:val="single" w:color="auto" w:sz="2" w:space="0"/>
              <w:bottom w:val="single" w:color="auto" w:sz="2" w:space="0"/>
              <w:right w:val="single" w:color="auto" w:sz="2" w:space="0"/>
            </w:tcBorders>
            <w:vAlign w:val="center"/>
          </w:tcPr>
          <w:p w14:paraId="744643D5">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0AAAF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8BE07FC">
            <w:pPr>
              <w:spacing w:line="240" w:lineRule="exact"/>
              <w:rPr>
                <w:rFonts w:ascii="宋体" w:hAnsi="宋体" w:eastAsia="宋体" w:cs="宋体"/>
                <w:sz w:val="18"/>
                <w:szCs w:val="18"/>
              </w:rPr>
            </w:pPr>
            <w:r>
              <w:rPr>
                <w:rFonts w:ascii="宋体" w:hAnsi="宋体" w:eastAsia="宋体" w:cs="宋体"/>
                <w:sz w:val="18"/>
                <w:szCs w:val="18"/>
              </w:rPr>
              <w:t>江西鑫质气低碳科技有限公司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41A07102">
            <w:pPr>
              <w:spacing w:line="240" w:lineRule="exact"/>
              <w:jc w:val="right"/>
              <w:rPr>
                <w:rFonts w:ascii="宋体" w:hAnsi="宋体" w:eastAsia="宋体" w:cs="宋体"/>
                <w:sz w:val="18"/>
                <w:szCs w:val="18"/>
              </w:rPr>
            </w:pPr>
            <w:r>
              <w:rPr>
                <w:rFonts w:ascii="宋体" w:hAnsi="宋体" w:eastAsia="宋体" w:cs="宋体"/>
                <w:sz w:val="18"/>
                <w:szCs w:val="18"/>
              </w:rPr>
              <w:t>3,501,414.50</w:t>
            </w:r>
          </w:p>
        </w:tc>
        <w:tc>
          <w:tcPr>
            <w:tcW w:w="3213" w:type="dxa"/>
            <w:tcBorders>
              <w:top w:val="single" w:color="auto" w:sz="2" w:space="0"/>
              <w:left w:val="single" w:color="auto" w:sz="2" w:space="0"/>
              <w:bottom w:val="single" w:color="auto" w:sz="2" w:space="0"/>
              <w:right w:val="single" w:color="auto" w:sz="2" w:space="0"/>
            </w:tcBorders>
            <w:vAlign w:val="center"/>
          </w:tcPr>
          <w:p w14:paraId="75FEF3E9">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5D198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A7CC019">
            <w:pPr>
              <w:spacing w:line="240" w:lineRule="exact"/>
              <w:rPr>
                <w:rFonts w:ascii="宋体" w:hAnsi="宋体" w:eastAsia="宋体" w:cs="宋体"/>
                <w:sz w:val="18"/>
                <w:szCs w:val="18"/>
              </w:rPr>
            </w:pPr>
            <w:r>
              <w:rPr>
                <w:rFonts w:ascii="宋体" w:hAnsi="宋体" w:eastAsia="宋体" w:cs="宋体"/>
                <w:sz w:val="18"/>
                <w:szCs w:val="18"/>
              </w:rPr>
              <w:t>九江第一建筑公司</w:t>
            </w:r>
          </w:p>
        </w:tc>
        <w:tc>
          <w:tcPr>
            <w:tcW w:w="3213" w:type="dxa"/>
            <w:tcBorders>
              <w:top w:val="single" w:color="auto" w:sz="2" w:space="0"/>
              <w:left w:val="single" w:color="auto" w:sz="2" w:space="0"/>
              <w:bottom w:val="single" w:color="auto" w:sz="2" w:space="0"/>
              <w:right w:val="single" w:color="auto" w:sz="2" w:space="0"/>
            </w:tcBorders>
            <w:vAlign w:val="center"/>
          </w:tcPr>
          <w:p w14:paraId="02F1A90D">
            <w:pPr>
              <w:spacing w:line="240" w:lineRule="exact"/>
              <w:jc w:val="right"/>
              <w:rPr>
                <w:rFonts w:ascii="宋体" w:hAnsi="宋体" w:eastAsia="宋体" w:cs="宋体"/>
                <w:sz w:val="18"/>
                <w:szCs w:val="18"/>
              </w:rPr>
            </w:pPr>
            <w:r>
              <w:rPr>
                <w:rFonts w:ascii="宋体" w:hAnsi="宋体" w:eastAsia="宋体" w:cs="宋体"/>
                <w:sz w:val="18"/>
                <w:szCs w:val="18"/>
              </w:rPr>
              <w:t>1,749,164.50</w:t>
            </w:r>
          </w:p>
        </w:tc>
        <w:tc>
          <w:tcPr>
            <w:tcW w:w="3213" w:type="dxa"/>
            <w:tcBorders>
              <w:top w:val="single" w:color="auto" w:sz="2" w:space="0"/>
              <w:left w:val="single" w:color="auto" w:sz="2" w:space="0"/>
              <w:bottom w:val="single" w:color="auto" w:sz="2" w:space="0"/>
              <w:right w:val="single" w:color="auto" w:sz="2" w:space="0"/>
            </w:tcBorders>
            <w:vAlign w:val="center"/>
          </w:tcPr>
          <w:p w14:paraId="15C552B7">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5ECEA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4B5D0BC">
            <w:pPr>
              <w:spacing w:line="240" w:lineRule="exact"/>
              <w:rPr>
                <w:rFonts w:ascii="宋体" w:hAnsi="宋体" w:eastAsia="宋体" w:cs="宋体"/>
                <w:sz w:val="18"/>
                <w:szCs w:val="18"/>
              </w:rPr>
            </w:pPr>
            <w:r>
              <w:rPr>
                <w:rFonts w:ascii="宋体" w:hAnsi="宋体" w:eastAsia="宋体" w:cs="宋体"/>
                <w:sz w:val="18"/>
                <w:szCs w:val="18"/>
              </w:rPr>
              <w:t>新疆天元建设有限责任公司</w:t>
            </w:r>
          </w:p>
        </w:tc>
        <w:tc>
          <w:tcPr>
            <w:tcW w:w="3213" w:type="dxa"/>
            <w:tcBorders>
              <w:top w:val="single" w:color="auto" w:sz="2" w:space="0"/>
              <w:left w:val="single" w:color="auto" w:sz="2" w:space="0"/>
              <w:bottom w:val="single" w:color="auto" w:sz="2" w:space="0"/>
              <w:right w:val="single" w:color="auto" w:sz="2" w:space="0"/>
            </w:tcBorders>
            <w:vAlign w:val="center"/>
          </w:tcPr>
          <w:p w14:paraId="50048EFB">
            <w:pPr>
              <w:spacing w:line="240" w:lineRule="exact"/>
              <w:jc w:val="right"/>
              <w:rPr>
                <w:rFonts w:ascii="宋体" w:hAnsi="宋体" w:eastAsia="宋体" w:cs="宋体"/>
                <w:sz w:val="18"/>
                <w:szCs w:val="18"/>
              </w:rPr>
            </w:pPr>
            <w:r>
              <w:rPr>
                <w:rFonts w:ascii="宋体" w:hAnsi="宋体" w:eastAsia="宋体" w:cs="宋体"/>
                <w:sz w:val="18"/>
                <w:szCs w:val="18"/>
              </w:rPr>
              <w:t>1,668,933.67</w:t>
            </w:r>
          </w:p>
        </w:tc>
        <w:tc>
          <w:tcPr>
            <w:tcW w:w="3213" w:type="dxa"/>
            <w:tcBorders>
              <w:top w:val="single" w:color="auto" w:sz="2" w:space="0"/>
              <w:left w:val="single" w:color="auto" w:sz="2" w:space="0"/>
              <w:bottom w:val="single" w:color="auto" w:sz="2" w:space="0"/>
              <w:right w:val="single" w:color="auto" w:sz="2" w:space="0"/>
            </w:tcBorders>
            <w:vAlign w:val="center"/>
          </w:tcPr>
          <w:p w14:paraId="0A88AD80">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7C87D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52DC4D9">
            <w:pPr>
              <w:spacing w:line="240" w:lineRule="exact"/>
              <w:rPr>
                <w:rFonts w:ascii="宋体" w:hAnsi="宋体" w:eastAsia="宋体" w:cs="宋体"/>
                <w:sz w:val="18"/>
                <w:szCs w:val="18"/>
              </w:rPr>
            </w:pPr>
            <w:r>
              <w:rPr>
                <w:rFonts w:ascii="宋体" w:hAnsi="宋体" w:eastAsia="宋体" w:cs="宋体"/>
                <w:sz w:val="18"/>
                <w:szCs w:val="18"/>
              </w:rPr>
              <w:t>新疆曙源建设工程有限公司阿克苏分公司</w:t>
            </w:r>
          </w:p>
        </w:tc>
        <w:tc>
          <w:tcPr>
            <w:tcW w:w="3213" w:type="dxa"/>
            <w:tcBorders>
              <w:top w:val="single" w:color="auto" w:sz="2" w:space="0"/>
              <w:left w:val="single" w:color="auto" w:sz="2" w:space="0"/>
              <w:bottom w:val="single" w:color="auto" w:sz="2" w:space="0"/>
              <w:right w:val="single" w:color="auto" w:sz="2" w:space="0"/>
            </w:tcBorders>
            <w:vAlign w:val="center"/>
          </w:tcPr>
          <w:p w14:paraId="0B5426D2">
            <w:pPr>
              <w:spacing w:line="240" w:lineRule="exact"/>
              <w:jc w:val="right"/>
              <w:rPr>
                <w:rFonts w:ascii="宋体" w:hAnsi="宋体" w:eastAsia="宋体" w:cs="宋体"/>
                <w:sz w:val="18"/>
                <w:szCs w:val="18"/>
              </w:rPr>
            </w:pPr>
            <w:r>
              <w:rPr>
                <w:rFonts w:ascii="宋体" w:hAnsi="宋体" w:eastAsia="宋体" w:cs="宋体"/>
                <w:sz w:val="18"/>
                <w:szCs w:val="18"/>
              </w:rPr>
              <w:t>1,474,426.60</w:t>
            </w:r>
          </w:p>
        </w:tc>
        <w:tc>
          <w:tcPr>
            <w:tcW w:w="3213" w:type="dxa"/>
            <w:tcBorders>
              <w:top w:val="single" w:color="auto" w:sz="2" w:space="0"/>
              <w:left w:val="single" w:color="auto" w:sz="2" w:space="0"/>
              <w:bottom w:val="single" w:color="auto" w:sz="2" w:space="0"/>
              <w:right w:val="single" w:color="auto" w:sz="2" w:space="0"/>
            </w:tcBorders>
            <w:vAlign w:val="center"/>
          </w:tcPr>
          <w:p w14:paraId="5E98E3DF">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68DE5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09A4082">
            <w:pPr>
              <w:spacing w:line="240" w:lineRule="exact"/>
              <w:rPr>
                <w:rFonts w:ascii="宋体" w:hAnsi="宋体" w:eastAsia="宋体" w:cs="宋体"/>
                <w:sz w:val="18"/>
                <w:szCs w:val="18"/>
              </w:rPr>
            </w:pPr>
            <w:r>
              <w:rPr>
                <w:rFonts w:ascii="宋体" w:hAnsi="宋体" w:eastAsia="宋体" w:cs="宋体"/>
                <w:sz w:val="18"/>
                <w:szCs w:val="18"/>
              </w:rPr>
              <w:t>河南至诚纺织技术服务有限公司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458852A2">
            <w:pPr>
              <w:spacing w:line="240" w:lineRule="exact"/>
              <w:jc w:val="right"/>
              <w:rPr>
                <w:rFonts w:ascii="宋体" w:hAnsi="宋体" w:eastAsia="宋体" w:cs="宋体"/>
                <w:sz w:val="18"/>
                <w:szCs w:val="18"/>
              </w:rPr>
            </w:pPr>
            <w:r>
              <w:rPr>
                <w:rFonts w:ascii="宋体" w:hAnsi="宋体" w:eastAsia="宋体" w:cs="宋体"/>
                <w:sz w:val="18"/>
                <w:szCs w:val="18"/>
              </w:rPr>
              <w:t>1,435,356.87</w:t>
            </w:r>
          </w:p>
        </w:tc>
        <w:tc>
          <w:tcPr>
            <w:tcW w:w="3213" w:type="dxa"/>
            <w:tcBorders>
              <w:top w:val="single" w:color="auto" w:sz="2" w:space="0"/>
              <w:left w:val="single" w:color="auto" w:sz="2" w:space="0"/>
              <w:bottom w:val="single" w:color="auto" w:sz="2" w:space="0"/>
              <w:right w:val="single" w:color="auto" w:sz="2" w:space="0"/>
            </w:tcBorders>
            <w:vAlign w:val="center"/>
          </w:tcPr>
          <w:p w14:paraId="4BA25678">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26EC4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D112DD7">
            <w:pPr>
              <w:spacing w:line="240" w:lineRule="exact"/>
              <w:rPr>
                <w:rFonts w:ascii="宋体" w:hAnsi="宋体" w:eastAsia="宋体" w:cs="宋体"/>
                <w:sz w:val="18"/>
                <w:szCs w:val="18"/>
              </w:rPr>
            </w:pPr>
            <w:r>
              <w:rPr>
                <w:rFonts w:ascii="宋体" w:hAnsi="宋体" w:eastAsia="宋体" w:cs="宋体"/>
                <w:sz w:val="18"/>
                <w:szCs w:val="18"/>
              </w:rPr>
              <w:t>宿迁立方自动化设备有限公司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3F2987D4">
            <w:pPr>
              <w:spacing w:line="240" w:lineRule="exact"/>
              <w:jc w:val="right"/>
              <w:rPr>
                <w:rFonts w:ascii="宋体" w:hAnsi="宋体" w:eastAsia="宋体" w:cs="宋体"/>
                <w:sz w:val="18"/>
                <w:szCs w:val="18"/>
              </w:rPr>
            </w:pPr>
            <w:r>
              <w:rPr>
                <w:rFonts w:ascii="宋体" w:hAnsi="宋体" w:eastAsia="宋体" w:cs="宋体"/>
                <w:sz w:val="18"/>
                <w:szCs w:val="18"/>
              </w:rPr>
              <w:t>1,332,485.80</w:t>
            </w:r>
          </w:p>
        </w:tc>
        <w:tc>
          <w:tcPr>
            <w:tcW w:w="3213" w:type="dxa"/>
            <w:tcBorders>
              <w:top w:val="single" w:color="auto" w:sz="2" w:space="0"/>
              <w:left w:val="single" w:color="auto" w:sz="2" w:space="0"/>
              <w:bottom w:val="single" w:color="auto" w:sz="2" w:space="0"/>
              <w:right w:val="single" w:color="auto" w:sz="2" w:space="0"/>
            </w:tcBorders>
            <w:vAlign w:val="center"/>
          </w:tcPr>
          <w:p w14:paraId="0338329A">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67471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30B9F65">
            <w:pPr>
              <w:spacing w:line="240" w:lineRule="exact"/>
              <w:rPr>
                <w:rFonts w:ascii="宋体" w:hAnsi="宋体" w:eastAsia="宋体" w:cs="宋体"/>
                <w:sz w:val="18"/>
                <w:szCs w:val="18"/>
              </w:rPr>
            </w:pPr>
            <w:r>
              <w:rPr>
                <w:rFonts w:ascii="宋体" w:hAnsi="宋体" w:eastAsia="宋体" w:cs="宋体"/>
                <w:sz w:val="18"/>
                <w:szCs w:val="18"/>
              </w:rPr>
              <w:t>新疆金牌建筑装饰安装工程有限公司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6402A3D4">
            <w:pPr>
              <w:spacing w:line="240" w:lineRule="exact"/>
              <w:jc w:val="right"/>
              <w:rPr>
                <w:rFonts w:ascii="宋体" w:hAnsi="宋体" w:eastAsia="宋体" w:cs="宋体"/>
                <w:sz w:val="18"/>
                <w:szCs w:val="18"/>
              </w:rPr>
            </w:pPr>
            <w:r>
              <w:rPr>
                <w:rFonts w:ascii="宋体" w:hAnsi="宋体" w:eastAsia="宋体" w:cs="宋体"/>
                <w:sz w:val="18"/>
                <w:szCs w:val="18"/>
              </w:rPr>
              <w:t>1,302,417.89</w:t>
            </w:r>
          </w:p>
        </w:tc>
        <w:tc>
          <w:tcPr>
            <w:tcW w:w="3213" w:type="dxa"/>
            <w:tcBorders>
              <w:top w:val="single" w:color="auto" w:sz="2" w:space="0"/>
              <w:left w:val="single" w:color="auto" w:sz="2" w:space="0"/>
              <w:bottom w:val="single" w:color="auto" w:sz="2" w:space="0"/>
              <w:right w:val="single" w:color="auto" w:sz="2" w:space="0"/>
            </w:tcBorders>
            <w:vAlign w:val="center"/>
          </w:tcPr>
          <w:p w14:paraId="00B0D6C4">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77C53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D5F0917">
            <w:pPr>
              <w:spacing w:line="240" w:lineRule="exact"/>
              <w:rPr>
                <w:rFonts w:ascii="宋体" w:hAnsi="宋体" w:eastAsia="宋体" w:cs="宋体"/>
                <w:sz w:val="18"/>
                <w:szCs w:val="18"/>
              </w:rPr>
            </w:pPr>
            <w:r>
              <w:rPr>
                <w:rFonts w:ascii="宋体" w:hAnsi="宋体" w:eastAsia="宋体" w:cs="宋体"/>
                <w:sz w:val="18"/>
                <w:szCs w:val="18"/>
              </w:rPr>
              <w:t>芜湖恒驰钢构有限公司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33F56C49">
            <w:pPr>
              <w:spacing w:line="240" w:lineRule="exact"/>
              <w:jc w:val="right"/>
              <w:rPr>
                <w:rFonts w:ascii="宋体" w:hAnsi="宋体" w:eastAsia="宋体" w:cs="宋体"/>
                <w:sz w:val="18"/>
                <w:szCs w:val="18"/>
              </w:rPr>
            </w:pPr>
            <w:r>
              <w:rPr>
                <w:rFonts w:ascii="宋体" w:hAnsi="宋体" w:eastAsia="宋体" w:cs="宋体"/>
                <w:sz w:val="18"/>
                <w:szCs w:val="18"/>
              </w:rPr>
              <w:t>1,244,862.12</w:t>
            </w:r>
          </w:p>
        </w:tc>
        <w:tc>
          <w:tcPr>
            <w:tcW w:w="3213" w:type="dxa"/>
            <w:tcBorders>
              <w:top w:val="single" w:color="auto" w:sz="2" w:space="0"/>
              <w:left w:val="single" w:color="auto" w:sz="2" w:space="0"/>
              <w:bottom w:val="single" w:color="auto" w:sz="2" w:space="0"/>
              <w:right w:val="single" w:color="auto" w:sz="2" w:space="0"/>
            </w:tcBorders>
            <w:vAlign w:val="center"/>
          </w:tcPr>
          <w:p w14:paraId="7A4C38FB">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3BA9E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EF37C78">
            <w:pPr>
              <w:spacing w:line="240" w:lineRule="exact"/>
              <w:rPr>
                <w:rFonts w:ascii="宋体" w:hAnsi="宋体" w:eastAsia="宋体" w:cs="宋体"/>
                <w:sz w:val="18"/>
                <w:szCs w:val="18"/>
              </w:rPr>
            </w:pPr>
            <w:r>
              <w:rPr>
                <w:rFonts w:ascii="宋体" w:hAnsi="宋体" w:eastAsia="宋体" w:cs="宋体"/>
                <w:sz w:val="18"/>
                <w:szCs w:val="18"/>
              </w:rPr>
              <w:t>浙江世诺建设工程有限公司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7F2F3F09">
            <w:pPr>
              <w:spacing w:line="240" w:lineRule="exact"/>
              <w:jc w:val="right"/>
              <w:rPr>
                <w:rFonts w:ascii="宋体" w:hAnsi="宋体" w:eastAsia="宋体" w:cs="宋体"/>
                <w:sz w:val="18"/>
                <w:szCs w:val="18"/>
              </w:rPr>
            </w:pPr>
            <w:r>
              <w:rPr>
                <w:rFonts w:ascii="宋体" w:hAnsi="宋体" w:eastAsia="宋体" w:cs="宋体"/>
                <w:sz w:val="18"/>
                <w:szCs w:val="18"/>
              </w:rPr>
              <w:t>1,130,383.52</w:t>
            </w:r>
          </w:p>
        </w:tc>
        <w:tc>
          <w:tcPr>
            <w:tcW w:w="3213" w:type="dxa"/>
            <w:tcBorders>
              <w:top w:val="single" w:color="auto" w:sz="2" w:space="0"/>
              <w:left w:val="single" w:color="auto" w:sz="2" w:space="0"/>
              <w:bottom w:val="single" w:color="auto" w:sz="2" w:space="0"/>
              <w:right w:val="single" w:color="auto" w:sz="2" w:space="0"/>
            </w:tcBorders>
            <w:vAlign w:val="center"/>
          </w:tcPr>
          <w:p w14:paraId="65DC1431">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03870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068602">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1559BD09">
            <w:pPr>
              <w:spacing w:line="240" w:lineRule="exact"/>
              <w:jc w:val="right"/>
              <w:rPr>
                <w:rFonts w:ascii="宋体" w:hAnsi="宋体" w:eastAsia="宋体" w:cs="宋体"/>
                <w:sz w:val="18"/>
                <w:szCs w:val="18"/>
              </w:rPr>
            </w:pPr>
            <w:r>
              <w:rPr>
                <w:rFonts w:ascii="宋体" w:hAnsi="宋体" w:eastAsia="宋体" w:cs="宋体"/>
                <w:sz w:val="18"/>
                <w:szCs w:val="18"/>
              </w:rPr>
              <w:t>49,261,106.66</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71A0AD"/>
        </w:tc>
      </w:tr>
    </w:tbl>
    <w:p w14:paraId="6B817027">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4E939AEE">
      <w:pPr>
        <w:keepNext/>
        <w:keepLines/>
        <w:spacing w:before="300" w:after="300" w:line="280" w:lineRule="exact"/>
        <w:outlineLvl w:val="3"/>
        <w:rPr>
          <w:rFonts w:ascii="宋体" w:hAnsi="宋体" w:eastAsia="宋体" w:cs="宋体"/>
          <w:b/>
          <w:bCs/>
          <w:sz w:val="18"/>
          <w:szCs w:val="18"/>
        </w:rPr>
      </w:pPr>
      <w:bookmarkStart w:id="408" w:name="_Toc989261"/>
      <w:r>
        <w:rPr>
          <w:rFonts w:ascii="宋体" w:hAnsi="宋体" w:eastAsia="宋体" w:cs="宋体"/>
          <w:b/>
          <w:bCs/>
          <w:sz w:val="18"/>
          <w:szCs w:val="18"/>
        </w:rPr>
        <w:t>（3） 是否存在逾期尚未支付中小企业款项的情况</w:t>
      </w:r>
      <w:bookmarkEnd w:id="408"/>
    </w:p>
    <w:p w14:paraId="78D71861">
      <w:pPr>
        <w:spacing w:before="100" w:after="100" w:line="240" w:lineRule="exact"/>
        <w:rPr>
          <w:rFonts w:ascii="宋体" w:hAnsi="宋体" w:eastAsia="宋体" w:cs="宋体"/>
          <w:sz w:val="18"/>
          <w:szCs w:val="18"/>
        </w:rPr>
      </w:pPr>
      <w:r>
        <w:rPr>
          <w:rFonts w:ascii="宋体" w:hAnsi="宋体" w:eastAsia="宋体" w:cs="宋体"/>
          <w:sz w:val="18"/>
          <w:szCs w:val="18"/>
        </w:rPr>
        <w:t>是否属于大型企业</w:t>
      </w:r>
    </w:p>
    <w:p w14:paraId="7C30E6C5">
      <w:pPr>
        <w:spacing w:before="40" w:after="4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14:paraId="5CB7FB27">
      <w:pPr>
        <w:spacing w:before="100" w:after="100" w:line="240" w:lineRule="exact"/>
        <w:rPr>
          <w:rFonts w:ascii="宋体" w:hAnsi="宋体" w:eastAsia="宋体" w:cs="宋体"/>
          <w:sz w:val="18"/>
          <w:szCs w:val="18"/>
        </w:rPr>
      </w:pPr>
      <w:r>
        <w:rPr>
          <w:rFonts w:ascii="宋体" w:hAnsi="宋体" w:eastAsia="宋体" w:cs="宋体"/>
          <w:sz w:val="18"/>
          <w:szCs w:val="18"/>
        </w:rPr>
        <w:t>是否存在逾期尚未支付中小企业款项的情况</w:t>
      </w:r>
    </w:p>
    <w:p w14:paraId="08362AB5">
      <w:pPr>
        <w:spacing w:before="40" w:after="4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019646AA">
      <w:pPr>
        <w:pStyle w:val="3"/>
        <w:spacing w:line="280" w:lineRule="exact"/>
        <w:jc w:val="left"/>
        <w:rPr>
          <w:rFonts w:ascii="宋体" w:hAnsi="宋体" w:cs="宋体"/>
          <w:b/>
          <w:bCs/>
        </w:rPr>
      </w:pPr>
      <w:bookmarkStart w:id="409" w:name="_Toc989262"/>
      <w:r>
        <w:rPr>
          <w:rFonts w:ascii="宋体" w:hAnsi="宋体" w:cs="宋体"/>
          <w:b/>
          <w:bCs/>
        </w:rPr>
        <w:t>37、其他应付款</w:t>
      </w:r>
      <w:bookmarkEnd w:id="409"/>
    </w:p>
    <w:p w14:paraId="6228B37D"/>
    <w:p w14:paraId="09B9508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66FB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00A6E7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3081CE">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ED243D">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52288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E33094B">
            <w:pPr>
              <w:spacing w:before="40" w:after="40" w:line="240" w:lineRule="exac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14:paraId="097A57BB">
            <w:pPr>
              <w:spacing w:line="240" w:lineRule="exact"/>
              <w:jc w:val="right"/>
              <w:rPr>
                <w:rFonts w:ascii="宋体" w:hAnsi="宋体" w:eastAsia="宋体" w:cs="宋体"/>
                <w:sz w:val="18"/>
                <w:szCs w:val="18"/>
              </w:rPr>
            </w:pPr>
            <w:r>
              <w:rPr>
                <w:rFonts w:ascii="宋体" w:hAnsi="宋体" w:eastAsia="宋体" w:cs="宋体"/>
                <w:sz w:val="18"/>
                <w:szCs w:val="18"/>
              </w:rPr>
              <w:t>164,100,483.00</w:t>
            </w:r>
          </w:p>
        </w:tc>
        <w:tc>
          <w:tcPr>
            <w:tcW w:w="3213" w:type="dxa"/>
            <w:tcBorders>
              <w:top w:val="single" w:color="auto" w:sz="2" w:space="0"/>
              <w:left w:val="single" w:color="auto" w:sz="2" w:space="0"/>
              <w:bottom w:val="single" w:color="auto" w:sz="2" w:space="0"/>
              <w:right w:val="single" w:color="auto" w:sz="2" w:space="0"/>
            </w:tcBorders>
            <w:vAlign w:val="center"/>
          </w:tcPr>
          <w:p w14:paraId="5443222D">
            <w:pPr>
              <w:spacing w:line="240" w:lineRule="exact"/>
              <w:jc w:val="right"/>
              <w:rPr>
                <w:rFonts w:ascii="宋体" w:hAnsi="宋体" w:eastAsia="宋体" w:cs="宋体"/>
                <w:sz w:val="18"/>
                <w:szCs w:val="18"/>
              </w:rPr>
            </w:pPr>
            <w:r>
              <w:rPr>
                <w:rFonts w:ascii="宋体" w:hAnsi="宋体" w:eastAsia="宋体" w:cs="宋体"/>
                <w:sz w:val="18"/>
                <w:szCs w:val="18"/>
              </w:rPr>
              <w:t>156,199,710.67</w:t>
            </w:r>
          </w:p>
        </w:tc>
      </w:tr>
      <w:tr w14:paraId="10C34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F547CA">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714ADEBD">
            <w:pPr>
              <w:spacing w:line="240" w:lineRule="exact"/>
              <w:jc w:val="right"/>
              <w:rPr>
                <w:rFonts w:ascii="宋体" w:hAnsi="宋体" w:eastAsia="宋体" w:cs="宋体"/>
                <w:sz w:val="18"/>
                <w:szCs w:val="18"/>
              </w:rPr>
            </w:pPr>
            <w:r>
              <w:rPr>
                <w:rFonts w:ascii="宋体" w:hAnsi="宋体" w:eastAsia="宋体" w:cs="宋体"/>
                <w:sz w:val="18"/>
                <w:szCs w:val="18"/>
              </w:rPr>
              <w:t>164,100,483.00</w:t>
            </w:r>
          </w:p>
        </w:tc>
        <w:tc>
          <w:tcPr>
            <w:tcW w:w="3213" w:type="dxa"/>
            <w:tcBorders>
              <w:top w:val="single" w:color="auto" w:sz="2" w:space="0"/>
              <w:left w:val="single" w:color="auto" w:sz="2" w:space="0"/>
              <w:bottom w:val="single" w:color="auto" w:sz="2" w:space="0"/>
              <w:right w:val="single" w:color="auto" w:sz="2" w:space="0"/>
            </w:tcBorders>
            <w:vAlign w:val="center"/>
          </w:tcPr>
          <w:p w14:paraId="6DAA3588">
            <w:pPr>
              <w:spacing w:line="240" w:lineRule="exact"/>
              <w:jc w:val="right"/>
              <w:rPr>
                <w:rFonts w:ascii="宋体" w:hAnsi="宋体" w:eastAsia="宋体" w:cs="宋体"/>
                <w:sz w:val="18"/>
                <w:szCs w:val="18"/>
              </w:rPr>
            </w:pPr>
            <w:r>
              <w:rPr>
                <w:rFonts w:ascii="宋体" w:hAnsi="宋体" w:eastAsia="宋体" w:cs="宋体"/>
                <w:sz w:val="18"/>
                <w:szCs w:val="18"/>
              </w:rPr>
              <w:t>156,199,710.67</w:t>
            </w:r>
          </w:p>
        </w:tc>
      </w:tr>
    </w:tbl>
    <w:p w14:paraId="1EFFA149">
      <w:pPr>
        <w:keepNext/>
        <w:keepLines/>
        <w:spacing w:before="300" w:after="300" w:line="280" w:lineRule="exact"/>
        <w:outlineLvl w:val="3"/>
        <w:rPr>
          <w:rFonts w:ascii="宋体" w:hAnsi="宋体" w:eastAsia="宋体" w:cs="宋体"/>
          <w:b/>
          <w:bCs/>
          <w:sz w:val="18"/>
          <w:szCs w:val="18"/>
        </w:rPr>
      </w:pPr>
      <w:bookmarkStart w:id="410" w:name="_Toc989263"/>
      <w:r>
        <w:rPr>
          <w:rFonts w:ascii="宋体" w:hAnsi="宋体" w:eastAsia="宋体" w:cs="宋体"/>
          <w:b/>
          <w:bCs/>
          <w:sz w:val="18"/>
          <w:szCs w:val="18"/>
        </w:rPr>
        <w:t>（1） 应付利息</w:t>
      </w:r>
      <w:bookmarkEnd w:id="410"/>
    </w:p>
    <w:p w14:paraId="526C530B">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155365D4">
      <w:pPr>
        <w:keepNext/>
        <w:keepLines/>
        <w:spacing w:before="300" w:after="300" w:line="280" w:lineRule="exact"/>
        <w:outlineLvl w:val="3"/>
        <w:rPr>
          <w:rFonts w:ascii="宋体" w:hAnsi="宋体" w:eastAsia="宋体" w:cs="宋体"/>
          <w:b/>
          <w:bCs/>
          <w:sz w:val="18"/>
          <w:szCs w:val="18"/>
        </w:rPr>
      </w:pPr>
      <w:bookmarkStart w:id="411" w:name="_Toc989264"/>
      <w:r>
        <w:rPr>
          <w:rFonts w:ascii="宋体" w:hAnsi="宋体" w:eastAsia="宋体" w:cs="宋体"/>
          <w:b/>
          <w:bCs/>
          <w:sz w:val="18"/>
          <w:szCs w:val="18"/>
        </w:rPr>
        <w:t>（2） 应付股利</w:t>
      </w:r>
      <w:bookmarkEnd w:id="411"/>
    </w:p>
    <w:p w14:paraId="4837FAFA">
      <w:pPr>
        <w:spacing w:before="100" w:after="100" w:line="240" w:lineRule="exact"/>
        <w:rPr>
          <w:rFonts w:ascii="宋体" w:hAnsi="宋体" w:eastAsia="宋体" w:cs="宋体"/>
          <w:sz w:val="18"/>
          <w:szCs w:val="18"/>
        </w:rPr>
      </w:pPr>
      <w:r>
        <w:rPr>
          <w:rFonts w:ascii="宋体" w:hAnsi="宋体" w:eastAsia="宋体" w:cs="宋体"/>
          <w:sz w:val="18"/>
          <w:szCs w:val="18"/>
        </w:rPr>
        <w:t>其他说明，包括重要的超过1年未支付的应付股利，应披露未支付原因：</w:t>
      </w:r>
      <w:r>
        <w:rPr>
          <w:rFonts w:hint="eastAsia"/>
          <w:sz w:val="18"/>
          <w:szCs w:val="18"/>
        </w:rPr>
        <w:t>无</w:t>
      </w:r>
    </w:p>
    <w:p w14:paraId="42324355">
      <w:pPr>
        <w:keepNext/>
        <w:keepLines/>
        <w:spacing w:before="300" w:after="300" w:line="280" w:lineRule="exact"/>
        <w:outlineLvl w:val="3"/>
        <w:rPr>
          <w:rFonts w:ascii="宋体" w:hAnsi="宋体" w:eastAsia="宋体" w:cs="宋体"/>
          <w:b/>
          <w:bCs/>
          <w:sz w:val="18"/>
          <w:szCs w:val="18"/>
        </w:rPr>
      </w:pPr>
      <w:bookmarkStart w:id="412" w:name="_Toc989265"/>
      <w:r>
        <w:rPr>
          <w:rFonts w:ascii="宋体" w:hAnsi="宋体" w:eastAsia="宋体" w:cs="宋体"/>
          <w:b/>
          <w:bCs/>
          <w:sz w:val="18"/>
          <w:szCs w:val="18"/>
        </w:rPr>
        <w:t>（3） 其他应付款</w:t>
      </w:r>
      <w:bookmarkEnd w:id="412"/>
    </w:p>
    <w:p w14:paraId="51893D8F">
      <w:pPr>
        <w:keepNext/>
        <w:keepLines/>
        <w:spacing w:before="300" w:after="300" w:line="280" w:lineRule="exact"/>
        <w:outlineLvl w:val="4"/>
        <w:rPr>
          <w:rFonts w:ascii="宋体" w:hAnsi="宋体" w:eastAsia="宋体" w:cs="宋体"/>
          <w:b/>
          <w:bCs/>
          <w:sz w:val="18"/>
          <w:szCs w:val="18"/>
        </w:rPr>
      </w:pPr>
      <w:bookmarkStart w:id="413" w:name="_Toc989266"/>
      <w:r>
        <w:rPr>
          <w:rFonts w:ascii="宋体" w:hAnsi="宋体" w:eastAsia="宋体" w:cs="宋体"/>
          <w:b/>
          <w:bCs/>
          <w:sz w:val="18"/>
          <w:szCs w:val="18"/>
        </w:rPr>
        <w:t>1） 按款项性质列示其他应付款</w:t>
      </w:r>
      <w:bookmarkEnd w:id="413"/>
    </w:p>
    <w:p w14:paraId="59A9BBA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E19E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245D86">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A8F334">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F64885">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6A172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390EFFB">
            <w:pPr>
              <w:spacing w:line="240" w:lineRule="exact"/>
              <w:rPr>
                <w:rFonts w:ascii="宋体" w:hAnsi="宋体" w:eastAsia="宋体" w:cs="宋体"/>
                <w:sz w:val="18"/>
                <w:szCs w:val="18"/>
              </w:rPr>
            </w:pPr>
            <w:r>
              <w:rPr>
                <w:rFonts w:ascii="宋体" w:hAnsi="宋体" w:eastAsia="宋体" w:cs="宋体"/>
                <w:sz w:val="18"/>
                <w:szCs w:val="18"/>
              </w:rPr>
              <w:t>质保金</w:t>
            </w:r>
          </w:p>
        </w:tc>
        <w:tc>
          <w:tcPr>
            <w:tcW w:w="3213" w:type="dxa"/>
            <w:tcBorders>
              <w:top w:val="single" w:color="auto" w:sz="2" w:space="0"/>
              <w:left w:val="single" w:color="auto" w:sz="2" w:space="0"/>
              <w:bottom w:val="single" w:color="auto" w:sz="2" w:space="0"/>
              <w:right w:val="single" w:color="auto" w:sz="2" w:space="0"/>
            </w:tcBorders>
            <w:vAlign w:val="center"/>
          </w:tcPr>
          <w:p w14:paraId="1C223CD9">
            <w:pPr>
              <w:spacing w:line="240" w:lineRule="exact"/>
              <w:jc w:val="right"/>
              <w:rPr>
                <w:rFonts w:ascii="宋体" w:hAnsi="宋体" w:eastAsia="宋体" w:cs="宋体"/>
                <w:sz w:val="18"/>
                <w:szCs w:val="18"/>
              </w:rPr>
            </w:pPr>
            <w:r>
              <w:rPr>
                <w:rFonts w:ascii="宋体" w:hAnsi="宋体" w:eastAsia="宋体" w:cs="宋体"/>
                <w:sz w:val="18"/>
                <w:szCs w:val="18"/>
              </w:rPr>
              <w:t>1,038,494.39</w:t>
            </w:r>
          </w:p>
        </w:tc>
        <w:tc>
          <w:tcPr>
            <w:tcW w:w="3213" w:type="dxa"/>
            <w:tcBorders>
              <w:top w:val="single" w:color="auto" w:sz="2" w:space="0"/>
              <w:left w:val="single" w:color="auto" w:sz="2" w:space="0"/>
              <w:bottom w:val="single" w:color="auto" w:sz="2" w:space="0"/>
              <w:right w:val="single" w:color="auto" w:sz="2" w:space="0"/>
            </w:tcBorders>
            <w:vAlign w:val="center"/>
          </w:tcPr>
          <w:p w14:paraId="29993963">
            <w:pPr>
              <w:spacing w:line="240" w:lineRule="exact"/>
              <w:jc w:val="right"/>
              <w:rPr>
                <w:rFonts w:ascii="宋体" w:hAnsi="宋体" w:eastAsia="宋体" w:cs="宋体"/>
                <w:sz w:val="18"/>
                <w:szCs w:val="18"/>
              </w:rPr>
            </w:pPr>
            <w:r>
              <w:rPr>
                <w:rFonts w:ascii="宋体" w:hAnsi="宋体" w:eastAsia="宋体" w:cs="宋体"/>
                <w:sz w:val="18"/>
                <w:szCs w:val="18"/>
              </w:rPr>
              <w:t>1,171,193.70</w:t>
            </w:r>
          </w:p>
        </w:tc>
      </w:tr>
      <w:tr w14:paraId="30248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6152087">
            <w:pPr>
              <w:spacing w:line="240" w:lineRule="exact"/>
              <w:rPr>
                <w:rFonts w:ascii="宋体" w:hAnsi="宋体" w:eastAsia="宋体" w:cs="宋体"/>
                <w:sz w:val="18"/>
                <w:szCs w:val="18"/>
              </w:rPr>
            </w:pPr>
            <w:r>
              <w:rPr>
                <w:rFonts w:ascii="宋体" w:hAnsi="宋体" w:eastAsia="宋体" w:cs="宋体"/>
                <w:sz w:val="18"/>
                <w:szCs w:val="18"/>
              </w:rPr>
              <w:t>押金及保证金</w:t>
            </w:r>
          </w:p>
        </w:tc>
        <w:tc>
          <w:tcPr>
            <w:tcW w:w="3213" w:type="dxa"/>
            <w:tcBorders>
              <w:top w:val="single" w:color="auto" w:sz="2" w:space="0"/>
              <w:left w:val="single" w:color="auto" w:sz="2" w:space="0"/>
              <w:bottom w:val="single" w:color="auto" w:sz="2" w:space="0"/>
              <w:right w:val="single" w:color="auto" w:sz="2" w:space="0"/>
            </w:tcBorders>
            <w:vAlign w:val="center"/>
          </w:tcPr>
          <w:p w14:paraId="7E69E790">
            <w:pPr>
              <w:spacing w:line="240" w:lineRule="exact"/>
              <w:jc w:val="right"/>
              <w:rPr>
                <w:rFonts w:ascii="宋体" w:hAnsi="宋体" w:eastAsia="宋体" w:cs="宋体"/>
                <w:sz w:val="18"/>
                <w:szCs w:val="18"/>
              </w:rPr>
            </w:pPr>
            <w:r>
              <w:rPr>
                <w:rFonts w:ascii="宋体" w:hAnsi="宋体" w:eastAsia="宋体" w:cs="宋体"/>
                <w:sz w:val="18"/>
                <w:szCs w:val="18"/>
              </w:rPr>
              <w:t>38,187,513.42</w:t>
            </w:r>
          </w:p>
        </w:tc>
        <w:tc>
          <w:tcPr>
            <w:tcW w:w="3213" w:type="dxa"/>
            <w:tcBorders>
              <w:top w:val="single" w:color="auto" w:sz="2" w:space="0"/>
              <w:left w:val="single" w:color="auto" w:sz="2" w:space="0"/>
              <w:bottom w:val="single" w:color="auto" w:sz="2" w:space="0"/>
              <w:right w:val="single" w:color="auto" w:sz="2" w:space="0"/>
            </w:tcBorders>
            <w:vAlign w:val="center"/>
          </w:tcPr>
          <w:p w14:paraId="64D51106">
            <w:pPr>
              <w:spacing w:line="240" w:lineRule="exact"/>
              <w:jc w:val="right"/>
              <w:rPr>
                <w:rFonts w:ascii="宋体" w:hAnsi="宋体" w:eastAsia="宋体" w:cs="宋体"/>
                <w:sz w:val="18"/>
                <w:szCs w:val="18"/>
              </w:rPr>
            </w:pPr>
            <w:r>
              <w:rPr>
                <w:rFonts w:ascii="宋体" w:hAnsi="宋体" w:eastAsia="宋体" w:cs="宋体"/>
                <w:sz w:val="18"/>
                <w:szCs w:val="18"/>
              </w:rPr>
              <w:t>67,647,395.24</w:t>
            </w:r>
          </w:p>
        </w:tc>
      </w:tr>
      <w:tr w14:paraId="06ABA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64B9F13">
            <w:pPr>
              <w:spacing w:line="240" w:lineRule="exact"/>
              <w:rPr>
                <w:rFonts w:ascii="宋体" w:hAnsi="宋体" w:eastAsia="宋体" w:cs="宋体"/>
                <w:sz w:val="18"/>
                <w:szCs w:val="18"/>
              </w:rPr>
            </w:pPr>
            <w:r>
              <w:rPr>
                <w:rFonts w:ascii="宋体" w:hAnsi="宋体" w:eastAsia="宋体" w:cs="宋体"/>
                <w:sz w:val="18"/>
                <w:szCs w:val="18"/>
              </w:rPr>
              <w:t>关联方往来</w:t>
            </w:r>
          </w:p>
        </w:tc>
        <w:tc>
          <w:tcPr>
            <w:tcW w:w="3213" w:type="dxa"/>
            <w:tcBorders>
              <w:top w:val="single" w:color="auto" w:sz="2" w:space="0"/>
              <w:left w:val="single" w:color="auto" w:sz="2" w:space="0"/>
              <w:bottom w:val="single" w:color="auto" w:sz="2" w:space="0"/>
              <w:right w:val="single" w:color="auto" w:sz="2" w:space="0"/>
            </w:tcBorders>
            <w:vAlign w:val="center"/>
          </w:tcPr>
          <w:p w14:paraId="2CCCB827">
            <w:pPr>
              <w:spacing w:line="240" w:lineRule="exact"/>
              <w:jc w:val="right"/>
              <w:rPr>
                <w:rFonts w:ascii="宋体" w:hAnsi="宋体" w:eastAsia="宋体" w:cs="宋体"/>
                <w:sz w:val="18"/>
                <w:szCs w:val="18"/>
              </w:rPr>
            </w:pPr>
            <w:r>
              <w:rPr>
                <w:rFonts w:ascii="宋体" w:hAnsi="宋体" w:eastAsia="宋体" w:cs="宋体"/>
                <w:sz w:val="18"/>
                <w:szCs w:val="18"/>
              </w:rPr>
              <w:t>13,842,982.86</w:t>
            </w:r>
          </w:p>
        </w:tc>
        <w:tc>
          <w:tcPr>
            <w:tcW w:w="3213" w:type="dxa"/>
            <w:tcBorders>
              <w:top w:val="single" w:color="auto" w:sz="2" w:space="0"/>
              <w:left w:val="single" w:color="auto" w:sz="2" w:space="0"/>
              <w:bottom w:val="single" w:color="auto" w:sz="2" w:space="0"/>
              <w:right w:val="single" w:color="auto" w:sz="2" w:space="0"/>
            </w:tcBorders>
            <w:vAlign w:val="center"/>
          </w:tcPr>
          <w:p w14:paraId="3A231404">
            <w:pPr>
              <w:spacing w:line="240" w:lineRule="exact"/>
              <w:jc w:val="right"/>
              <w:rPr>
                <w:rFonts w:ascii="宋体" w:hAnsi="宋体" w:eastAsia="宋体" w:cs="宋体"/>
                <w:sz w:val="18"/>
                <w:szCs w:val="18"/>
              </w:rPr>
            </w:pPr>
            <w:r>
              <w:rPr>
                <w:rFonts w:ascii="宋体" w:hAnsi="宋体" w:eastAsia="宋体" w:cs="宋体"/>
                <w:sz w:val="18"/>
                <w:szCs w:val="18"/>
              </w:rPr>
              <w:t>2,280,039.41</w:t>
            </w:r>
          </w:p>
        </w:tc>
      </w:tr>
      <w:tr w14:paraId="2655E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716920B">
            <w:pPr>
              <w:spacing w:line="240" w:lineRule="exact"/>
              <w:rPr>
                <w:rFonts w:ascii="宋体" w:hAnsi="宋体" w:eastAsia="宋体" w:cs="宋体"/>
                <w:sz w:val="18"/>
                <w:szCs w:val="18"/>
              </w:rPr>
            </w:pPr>
            <w:r>
              <w:rPr>
                <w:rFonts w:ascii="宋体" w:hAnsi="宋体" w:eastAsia="宋体" w:cs="宋体"/>
                <w:sz w:val="18"/>
                <w:szCs w:val="18"/>
              </w:rPr>
              <w:t>暂收款</w:t>
            </w:r>
          </w:p>
        </w:tc>
        <w:tc>
          <w:tcPr>
            <w:tcW w:w="3213" w:type="dxa"/>
            <w:tcBorders>
              <w:top w:val="single" w:color="auto" w:sz="2" w:space="0"/>
              <w:left w:val="single" w:color="auto" w:sz="2" w:space="0"/>
              <w:bottom w:val="single" w:color="auto" w:sz="2" w:space="0"/>
              <w:right w:val="single" w:color="auto" w:sz="2" w:space="0"/>
            </w:tcBorders>
            <w:vAlign w:val="center"/>
          </w:tcPr>
          <w:p w14:paraId="558DD3ED">
            <w:pPr>
              <w:spacing w:line="240" w:lineRule="exact"/>
              <w:jc w:val="right"/>
              <w:rPr>
                <w:rFonts w:ascii="宋体" w:hAnsi="宋体" w:eastAsia="宋体" w:cs="宋体"/>
                <w:sz w:val="18"/>
                <w:szCs w:val="18"/>
              </w:rPr>
            </w:pPr>
            <w:r>
              <w:rPr>
                <w:rFonts w:ascii="宋体" w:hAnsi="宋体" w:eastAsia="宋体" w:cs="宋体"/>
                <w:sz w:val="18"/>
                <w:szCs w:val="18"/>
              </w:rPr>
              <w:t>17,900,438.08</w:t>
            </w:r>
          </w:p>
        </w:tc>
        <w:tc>
          <w:tcPr>
            <w:tcW w:w="3213" w:type="dxa"/>
            <w:tcBorders>
              <w:top w:val="single" w:color="auto" w:sz="2" w:space="0"/>
              <w:left w:val="single" w:color="auto" w:sz="2" w:space="0"/>
              <w:bottom w:val="single" w:color="auto" w:sz="2" w:space="0"/>
              <w:right w:val="single" w:color="auto" w:sz="2" w:space="0"/>
            </w:tcBorders>
            <w:vAlign w:val="center"/>
          </w:tcPr>
          <w:p w14:paraId="7ACA247A">
            <w:pPr>
              <w:spacing w:line="240" w:lineRule="exact"/>
              <w:jc w:val="right"/>
              <w:rPr>
                <w:rFonts w:ascii="宋体" w:hAnsi="宋体" w:eastAsia="宋体" w:cs="宋体"/>
                <w:sz w:val="18"/>
                <w:szCs w:val="18"/>
              </w:rPr>
            </w:pPr>
            <w:r>
              <w:rPr>
                <w:rFonts w:ascii="宋体" w:hAnsi="宋体" w:eastAsia="宋体" w:cs="宋体"/>
                <w:sz w:val="18"/>
                <w:szCs w:val="18"/>
              </w:rPr>
              <w:t>19,326,328.26</w:t>
            </w:r>
          </w:p>
        </w:tc>
      </w:tr>
      <w:tr w14:paraId="7B05A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AD380A1">
            <w:pPr>
              <w:spacing w:line="240" w:lineRule="exact"/>
              <w:rPr>
                <w:rFonts w:ascii="宋体" w:hAnsi="宋体" w:eastAsia="宋体" w:cs="宋体"/>
                <w:sz w:val="18"/>
                <w:szCs w:val="18"/>
              </w:rPr>
            </w:pPr>
            <w:r>
              <w:rPr>
                <w:rFonts w:ascii="宋体" w:hAnsi="宋体" w:eastAsia="宋体" w:cs="宋体"/>
                <w:sz w:val="18"/>
                <w:szCs w:val="18"/>
              </w:rPr>
              <w:t>运费、电费、修理费</w:t>
            </w:r>
          </w:p>
        </w:tc>
        <w:tc>
          <w:tcPr>
            <w:tcW w:w="3213" w:type="dxa"/>
            <w:tcBorders>
              <w:top w:val="single" w:color="auto" w:sz="2" w:space="0"/>
              <w:left w:val="single" w:color="auto" w:sz="2" w:space="0"/>
              <w:bottom w:val="single" w:color="auto" w:sz="2" w:space="0"/>
              <w:right w:val="single" w:color="auto" w:sz="2" w:space="0"/>
            </w:tcBorders>
            <w:vAlign w:val="center"/>
          </w:tcPr>
          <w:p w14:paraId="0F51C7AD">
            <w:pPr>
              <w:spacing w:line="240" w:lineRule="exact"/>
              <w:jc w:val="right"/>
              <w:rPr>
                <w:rFonts w:ascii="宋体" w:hAnsi="宋体" w:eastAsia="宋体" w:cs="宋体"/>
                <w:sz w:val="18"/>
                <w:szCs w:val="18"/>
              </w:rPr>
            </w:pPr>
            <w:r>
              <w:rPr>
                <w:rFonts w:ascii="宋体" w:hAnsi="宋体" w:eastAsia="宋体" w:cs="宋体"/>
                <w:sz w:val="18"/>
                <w:szCs w:val="18"/>
              </w:rPr>
              <w:t>44,488,155.70</w:t>
            </w:r>
          </w:p>
        </w:tc>
        <w:tc>
          <w:tcPr>
            <w:tcW w:w="3213" w:type="dxa"/>
            <w:tcBorders>
              <w:top w:val="single" w:color="auto" w:sz="2" w:space="0"/>
              <w:left w:val="single" w:color="auto" w:sz="2" w:space="0"/>
              <w:bottom w:val="single" w:color="auto" w:sz="2" w:space="0"/>
              <w:right w:val="single" w:color="auto" w:sz="2" w:space="0"/>
            </w:tcBorders>
            <w:vAlign w:val="center"/>
          </w:tcPr>
          <w:p w14:paraId="5B3D39F9">
            <w:pPr>
              <w:spacing w:line="240" w:lineRule="exact"/>
              <w:jc w:val="right"/>
              <w:rPr>
                <w:rFonts w:ascii="宋体" w:hAnsi="宋体" w:eastAsia="宋体" w:cs="宋体"/>
                <w:sz w:val="18"/>
                <w:szCs w:val="18"/>
              </w:rPr>
            </w:pPr>
            <w:r>
              <w:rPr>
                <w:rFonts w:ascii="宋体" w:hAnsi="宋体" w:eastAsia="宋体" w:cs="宋体"/>
                <w:sz w:val="18"/>
                <w:szCs w:val="18"/>
              </w:rPr>
              <w:t>19,442,264.67</w:t>
            </w:r>
          </w:p>
        </w:tc>
      </w:tr>
      <w:tr w14:paraId="31C13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597045B">
            <w:pPr>
              <w:spacing w:line="240" w:lineRule="exact"/>
              <w:rPr>
                <w:rFonts w:ascii="宋体" w:hAnsi="宋体" w:eastAsia="宋体" w:cs="宋体"/>
                <w:sz w:val="18"/>
                <w:szCs w:val="18"/>
              </w:rPr>
            </w:pPr>
            <w:r>
              <w:rPr>
                <w:rFonts w:ascii="宋体" w:hAnsi="宋体" w:eastAsia="宋体" w:cs="宋体"/>
                <w:sz w:val="18"/>
                <w:szCs w:val="18"/>
              </w:rPr>
              <w:t>其他预提费用</w:t>
            </w:r>
          </w:p>
        </w:tc>
        <w:tc>
          <w:tcPr>
            <w:tcW w:w="3213" w:type="dxa"/>
            <w:tcBorders>
              <w:top w:val="single" w:color="auto" w:sz="2" w:space="0"/>
              <w:left w:val="single" w:color="auto" w:sz="2" w:space="0"/>
              <w:bottom w:val="single" w:color="auto" w:sz="2" w:space="0"/>
              <w:right w:val="single" w:color="auto" w:sz="2" w:space="0"/>
            </w:tcBorders>
            <w:vAlign w:val="center"/>
          </w:tcPr>
          <w:p w14:paraId="31A88554">
            <w:pPr>
              <w:spacing w:line="240" w:lineRule="exact"/>
              <w:jc w:val="right"/>
              <w:rPr>
                <w:rFonts w:ascii="宋体" w:hAnsi="宋体" w:eastAsia="宋体" w:cs="宋体"/>
                <w:sz w:val="18"/>
                <w:szCs w:val="18"/>
              </w:rPr>
            </w:pPr>
            <w:r>
              <w:rPr>
                <w:rFonts w:ascii="宋体" w:hAnsi="宋体" w:eastAsia="宋体" w:cs="宋体"/>
                <w:sz w:val="18"/>
                <w:szCs w:val="18"/>
              </w:rPr>
              <w:t>29,659,363.37</w:t>
            </w:r>
          </w:p>
        </w:tc>
        <w:tc>
          <w:tcPr>
            <w:tcW w:w="3213" w:type="dxa"/>
            <w:tcBorders>
              <w:top w:val="single" w:color="auto" w:sz="2" w:space="0"/>
              <w:left w:val="single" w:color="auto" w:sz="2" w:space="0"/>
              <w:bottom w:val="single" w:color="auto" w:sz="2" w:space="0"/>
              <w:right w:val="single" w:color="auto" w:sz="2" w:space="0"/>
            </w:tcBorders>
            <w:vAlign w:val="center"/>
          </w:tcPr>
          <w:p w14:paraId="0D7ADA7A">
            <w:pPr>
              <w:spacing w:line="240" w:lineRule="exact"/>
              <w:jc w:val="right"/>
              <w:rPr>
                <w:rFonts w:ascii="宋体" w:hAnsi="宋体" w:eastAsia="宋体" w:cs="宋体"/>
                <w:sz w:val="18"/>
                <w:szCs w:val="18"/>
              </w:rPr>
            </w:pPr>
            <w:r>
              <w:rPr>
                <w:rFonts w:ascii="宋体" w:hAnsi="宋体" w:eastAsia="宋体" w:cs="宋体"/>
                <w:sz w:val="18"/>
                <w:szCs w:val="18"/>
              </w:rPr>
              <w:t>31,220,403.99</w:t>
            </w:r>
          </w:p>
        </w:tc>
      </w:tr>
      <w:tr w14:paraId="07CB8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95059F6">
            <w:pPr>
              <w:spacing w:line="240" w:lineRule="exact"/>
              <w:rPr>
                <w:rFonts w:ascii="宋体" w:hAnsi="宋体" w:eastAsia="宋体" w:cs="宋体"/>
                <w:sz w:val="18"/>
                <w:szCs w:val="18"/>
              </w:rPr>
            </w:pPr>
            <w:r>
              <w:rPr>
                <w:rFonts w:ascii="宋体" w:hAnsi="宋体" w:eastAsia="宋体" w:cs="宋体"/>
                <w:sz w:val="18"/>
                <w:szCs w:val="18"/>
              </w:rPr>
              <w:t>土地费用</w:t>
            </w:r>
          </w:p>
        </w:tc>
        <w:tc>
          <w:tcPr>
            <w:tcW w:w="3213" w:type="dxa"/>
            <w:tcBorders>
              <w:top w:val="single" w:color="auto" w:sz="2" w:space="0"/>
              <w:left w:val="single" w:color="auto" w:sz="2" w:space="0"/>
              <w:bottom w:val="single" w:color="auto" w:sz="2" w:space="0"/>
              <w:right w:val="single" w:color="auto" w:sz="2" w:space="0"/>
            </w:tcBorders>
            <w:vAlign w:val="center"/>
          </w:tcPr>
          <w:p w14:paraId="6A04B772">
            <w:pPr>
              <w:spacing w:line="240" w:lineRule="exact"/>
              <w:jc w:val="right"/>
              <w:rPr>
                <w:rFonts w:ascii="宋体" w:hAnsi="宋体" w:eastAsia="宋体" w:cs="宋体"/>
                <w:sz w:val="18"/>
                <w:szCs w:val="18"/>
              </w:rPr>
            </w:pPr>
            <w:r>
              <w:rPr>
                <w:rFonts w:ascii="宋体" w:hAnsi="宋体" w:eastAsia="宋体" w:cs="宋体"/>
                <w:sz w:val="18"/>
                <w:szCs w:val="18"/>
              </w:rPr>
              <w:t>6,902,394.20</w:t>
            </w:r>
          </w:p>
        </w:tc>
        <w:tc>
          <w:tcPr>
            <w:tcW w:w="3213" w:type="dxa"/>
            <w:tcBorders>
              <w:top w:val="single" w:color="auto" w:sz="2" w:space="0"/>
              <w:left w:val="single" w:color="auto" w:sz="2" w:space="0"/>
              <w:bottom w:val="single" w:color="auto" w:sz="2" w:space="0"/>
              <w:right w:val="single" w:color="auto" w:sz="2" w:space="0"/>
            </w:tcBorders>
            <w:vAlign w:val="center"/>
          </w:tcPr>
          <w:p w14:paraId="6CB397B2">
            <w:pPr>
              <w:spacing w:line="240" w:lineRule="exact"/>
              <w:jc w:val="right"/>
              <w:rPr>
                <w:rFonts w:ascii="宋体" w:hAnsi="宋体" w:eastAsia="宋体" w:cs="宋体"/>
                <w:sz w:val="18"/>
                <w:szCs w:val="18"/>
              </w:rPr>
            </w:pPr>
            <w:r>
              <w:rPr>
                <w:rFonts w:ascii="宋体" w:hAnsi="宋体" w:eastAsia="宋体" w:cs="宋体"/>
                <w:sz w:val="18"/>
                <w:szCs w:val="18"/>
              </w:rPr>
              <w:t>5,887,828.70</w:t>
            </w:r>
          </w:p>
        </w:tc>
      </w:tr>
      <w:tr w14:paraId="5A9F4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D436EB7">
            <w:pPr>
              <w:spacing w:line="240" w:lineRule="exact"/>
              <w:rPr>
                <w:rFonts w:ascii="宋体" w:hAnsi="宋体" w:eastAsia="宋体" w:cs="宋体"/>
                <w:sz w:val="18"/>
                <w:szCs w:val="18"/>
              </w:rPr>
            </w:pPr>
            <w:r>
              <w:rPr>
                <w:rFonts w:ascii="宋体" w:hAnsi="宋体" w:eastAsia="宋体" w:cs="宋体"/>
                <w:sz w:val="18"/>
                <w:szCs w:val="18"/>
              </w:rPr>
              <w:t>其他往来</w:t>
            </w:r>
          </w:p>
        </w:tc>
        <w:tc>
          <w:tcPr>
            <w:tcW w:w="3213" w:type="dxa"/>
            <w:tcBorders>
              <w:top w:val="single" w:color="auto" w:sz="2" w:space="0"/>
              <w:left w:val="single" w:color="auto" w:sz="2" w:space="0"/>
              <w:bottom w:val="single" w:color="auto" w:sz="2" w:space="0"/>
              <w:right w:val="single" w:color="auto" w:sz="2" w:space="0"/>
            </w:tcBorders>
            <w:vAlign w:val="center"/>
          </w:tcPr>
          <w:p w14:paraId="1F10169F">
            <w:pPr>
              <w:spacing w:line="240" w:lineRule="exact"/>
              <w:jc w:val="right"/>
              <w:rPr>
                <w:rFonts w:ascii="宋体" w:hAnsi="宋体" w:eastAsia="宋体" w:cs="宋体"/>
                <w:sz w:val="18"/>
                <w:szCs w:val="18"/>
              </w:rPr>
            </w:pPr>
            <w:r>
              <w:rPr>
                <w:rFonts w:ascii="宋体" w:hAnsi="宋体" w:eastAsia="宋体" w:cs="宋体"/>
                <w:sz w:val="18"/>
                <w:szCs w:val="18"/>
              </w:rPr>
              <w:t>12,081,140.98</w:t>
            </w:r>
          </w:p>
        </w:tc>
        <w:tc>
          <w:tcPr>
            <w:tcW w:w="3213" w:type="dxa"/>
            <w:tcBorders>
              <w:top w:val="single" w:color="auto" w:sz="2" w:space="0"/>
              <w:left w:val="single" w:color="auto" w:sz="2" w:space="0"/>
              <w:bottom w:val="single" w:color="auto" w:sz="2" w:space="0"/>
              <w:right w:val="single" w:color="auto" w:sz="2" w:space="0"/>
            </w:tcBorders>
            <w:vAlign w:val="center"/>
          </w:tcPr>
          <w:p w14:paraId="135B989F">
            <w:pPr>
              <w:spacing w:line="240" w:lineRule="exact"/>
              <w:jc w:val="right"/>
              <w:rPr>
                <w:rFonts w:ascii="宋体" w:hAnsi="宋体" w:eastAsia="宋体" w:cs="宋体"/>
                <w:sz w:val="18"/>
                <w:szCs w:val="18"/>
              </w:rPr>
            </w:pPr>
            <w:r>
              <w:rPr>
                <w:rFonts w:ascii="宋体" w:hAnsi="宋体" w:eastAsia="宋体" w:cs="宋体"/>
                <w:sz w:val="18"/>
                <w:szCs w:val="18"/>
              </w:rPr>
              <w:t>9,224,256.70</w:t>
            </w:r>
          </w:p>
        </w:tc>
      </w:tr>
      <w:tr w14:paraId="78A86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30D9476">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1B345052">
            <w:pPr>
              <w:spacing w:line="240" w:lineRule="exact"/>
              <w:jc w:val="right"/>
              <w:rPr>
                <w:rFonts w:ascii="宋体" w:hAnsi="宋体" w:eastAsia="宋体" w:cs="宋体"/>
                <w:sz w:val="18"/>
                <w:szCs w:val="18"/>
              </w:rPr>
            </w:pPr>
            <w:r>
              <w:rPr>
                <w:rFonts w:ascii="宋体" w:hAnsi="宋体" w:eastAsia="宋体" w:cs="宋体"/>
                <w:sz w:val="18"/>
                <w:szCs w:val="18"/>
              </w:rPr>
              <w:t>164,100,483.00</w:t>
            </w:r>
          </w:p>
        </w:tc>
        <w:tc>
          <w:tcPr>
            <w:tcW w:w="3213" w:type="dxa"/>
            <w:tcBorders>
              <w:top w:val="single" w:color="auto" w:sz="2" w:space="0"/>
              <w:left w:val="single" w:color="auto" w:sz="2" w:space="0"/>
              <w:bottom w:val="single" w:color="auto" w:sz="2" w:space="0"/>
              <w:right w:val="single" w:color="auto" w:sz="2" w:space="0"/>
            </w:tcBorders>
            <w:vAlign w:val="center"/>
          </w:tcPr>
          <w:p w14:paraId="27D839F0">
            <w:pPr>
              <w:spacing w:line="240" w:lineRule="exact"/>
              <w:jc w:val="right"/>
              <w:rPr>
                <w:rFonts w:ascii="宋体" w:hAnsi="宋体" w:eastAsia="宋体" w:cs="宋体"/>
                <w:sz w:val="18"/>
                <w:szCs w:val="18"/>
              </w:rPr>
            </w:pPr>
            <w:r>
              <w:rPr>
                <w:rFonts w:ascii="宋体" w:hAnsi="宋体" w:eastAsia="宋体" w:cs="宋体"/>
                <w:sz w:val="18"/>
                <w:szCs w:val="18"/>
              </w:rPr>
              <w:t>156,199,710.67</w:t>
            </w:r>
          </w:p>
        </w:tc>
      </w:tr>
    </w:tbl>
    <w:p w14:paraId="2244FA83">
      <w:pPr>
        <w:keepNext/>
        <w:keepLines/>
        <w:spacing w:before="300" w:after="300" w:line="280" w:lineRule="exact"/>
        <w:outlineLvl w:val="4"/>
        <w:rPr>
          <w:rFonts w:ascii="宋体" w:hAnsi="宋体" w:eastAsia="宋体" w:cs="宋体"/>
          <w:b/>
          <w:bCs/>
          <w:sz w:val="18"/>
          <w:szCs w:val="18"/>
        </w:rPr>
      </w:pPr>
      <w:bookmarkStart w:id="414" w:name="_Toc989267"/>
      <w:r>
        <w:rPr>
          <w:rFonts w:ascii="宋体" w:hAnsi="宋体" w:eastAsia="宋体" w:cs="宋体"/>
          <w:b/>
          <w:bCs/>
          <w:sz w:val="18"/>
          <w:szCs w:val="18"/>
        </w:rPr>
        <w:t>2） 账龄超过1年或逾期的重要其他应付款</w:t>
      </w:r>
      <w:bookmarkEnd w:id="414"/>
    </w:p>
    <w:p w14:paraId="6954385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AFE8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CDF4A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29C1574">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FC5A87">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r w14:paraId="792E2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9403F21">
            <w:pPr>
              <w:spacing w:line="240" w:lineRule="exact"/>
              <w:rPr>
                <w:rFonts w:ascii="宋体" w:hAnsi="宋体" w:eastAsia="宋体" w:cs="宋体"/>
                <w:sz w:val="18"/>
                <w:szCs w:val="18"/>
              </w:rPr>
            </w:pPr>
            <w:r>
              <w:rPr>
                <w:rFonts w:ascii="宋体" w:hAnsi="宋体" w:eastAsia="宋体" w:cs="宋体"/>
                <w:sz w:val="18"/>
                <w:szCs w:val="18"/>
              </w:rPr>
              <w:t>双五千资金</w:t>
            </w:r>
          </w:p>
        </w:tc>
        <w:tc>
          <w:tcPr>
            <w:tcW w:w="3213" w:type="dxa"/>
            <w:tcBorders>
              <w:top w:val="single" w:color="auto" w:sz="2" w:space="0"/>
              <w:left w:val="single" w:color="auto" w:sz="2" w:space="0"/>
              <w:bottom w:val="single" w:color="auto" w:sz="2" w:space="0"/>
              <w:right w:val="single" w:color="auto" w:sz="2" w:space="0"/>
            </w:tcBorders>
            <w:vAlign w:val="center"/>
          </w:tcPr>
          <w:p w14:paraId="516ECD81">
            <w:pPr>
              <w:spacing w:line="240" w:lineRule="exact"/>
              <w:jc w:val="right"/>
              <w:rPr>
                <w:rFonts w:ascii="宋体" w:hAnsi="宋体" w:eastAsia="宋体" w:cs="宋体"/>
                <w:sz w:val="18"/>
                <w:szCs w:val="18"/>
              </w:rPr>
            </w:pPr>
            <w:r>
              <w:rPr>
                <w:rFonts w:ascii="宋体" w:hAnsi="宋体" w:eastAsia="宋体" w:cs="宋体"/>
                <w:sz w:val="18"/>
                <w:szCs w:val="18"/>
              </w:rPr>
              <w:t>9,325,675.25</w:t>
            </w:r>
          </w:p>
        </w:tc>
        <w:tc>
          <w:tcPr>
            <w:tcW w:w="3213" w:type="dxa"/>
            <w:tcBorders>
              <w:top w:val="single" w:color="auto" w:sz="2" w:space="0"/>
              <w:left w:val="single" w:color="auto" w:sz="2" w:space="0"/>
              <w:bottom w:val="single" w:color="auto" w:sz="2" w:space="0"/>
              <w:right w:val="single" w:color="auto" w:sz="2" w:space="0"/>
            </w:tcBorders>
            <w:vAlign w:val="center"/>
          </w:tcPr>
          <w:p w14:paraId="4529E5EF">
            <w:pPr>
              <w:spacing w:line="240" w:lineRule="exact"/>
              <w:rPr>
                <w:rFonts w:ascii="宋体" w:hAnsi="宋体" w:eastAsia="宋体" w:cs="宋体"/>
                <w:sz w:val="18"/>
                <w:szCs w:val="18"/>
              </w:rPr>
            </w:pPr>
            <w:r>
              <w:rPr>
                <w:rFonts w:ascii="宋体" w:hAnsi="宋体" w:eastAsia="宋体" w:cs="宋体"/>
                <w:sz w:val="18"/>
                <w:szCs w:val="18"/>
              </w:rPr>
              <w:t>尚未拨付的款项</w:t>
            </w:r>
          </w:p>
        </w:tc>
      </w:tr>
      <w:tr w14:paraId="58362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5ED945E">
            <w:pPr>
              <w:spacing w:line="240" w:lineRule="exact"/>
              <w:rPr>
                <w:rFonts w:ascii="宋体" w:hAnsi="宋体" w:eastAsia="宋体" w:cs="宋体"/>
                <w:sz w:val="18"/>
                <w:szCs w:val="18"/>
              </w:rPr>
            </w:pPr>
            <w:r>
              <w:rPr>
                <w:rFonts w:ascii="宋体" w:hAnsi="宋体" w:eastAsia="宋体" w:cs="宋体"/>
                <w:sz w:val="18"/>
                <w:szCs w:val="18"/>
              </w:rPr>
              <w:t>阿瓦提县天宏资产投资经营有限责任公司</w:t>
            </w:r>
          </w:p>
        </w:tc>
        <w:tc>
          <w:tcPr>
            <w:tcW w:w="3213" w:type="dxa"/>
            <w:tcBorders>
              <w:top w:val="single" w:color="auto" w:sz="2" w:space="0"/>
              <w:left w:val="single" w:color="auto" w:sz="2" w:space="0"/>
              <w:bottom w:val="single" w:color="auto" w:sz="2" w:space="0"/>
              <w:right w:val="single" w:color="auto" w:sz="2" w:space="0"/>
            </w:tcBorders>
            <w:vAlign w:val="center"/>
          </w:tcPr>
          <w:p w14:paraId="46C6F40C">
            <w:pPr>
              <w:spacing w:line="240" w:lineRule="exact"/>
              <w:jc w:val="right"/>
              <w:rPr>
                <w:rFonts w:ascii="宋体" w:hAnsi="宋体" w:eastAsia="宋体" w:cs="宋体"/>
                <w:sz w:val="18"/>
                <w:szCs w:val="18"/>
              </w:rPr>
            </w:pPr>
            <w:r>
              <w:rPr>
                <w:rFonts w:ascii="宋体" w:hAnsi="宋体" w:eastAsia="宋体" w:cs="宋体"/>
                <w:sz w:val="18"/>
                <w:szCs w:val="18"/>
              </w:rPr>
              <w:t>5,887,828.70</w:t>
            </w:r>
          </w:p>
        </w:tc>
        <w:tc>
          <w:tcPr>
            <w:tcW w:w="3213" w:type="dxa"/>
            <w:tcBorders>
              <w:top w:val="single" w:color="auto" w:sz="2" w:space="0"/>
              <w:left w:val="single" w:color="auto" w:sz="2" w:space="0"/>
              <w:bottom w:val="single" w:color="auto" w:sz="2" w:space="0"/>
              <w:right w:val="single" w:color="auto" w:sz="2" w:space="0"/>
            </w:tcBorders>
            <w:vAlign w:val="center"/>
          </w:tcPr>
          <w:p w14:paraId="7BCD83FB">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41418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770CFA5">
            <w:pPr>
              <w:spacing w:line="240" w:lineRule="exact"/>
              <w:rPr>
                <w:rFonts w:ascii="宋体" w:hAnsi="宋体" w:eastAsia="宋体" w:cs="宋体"/>
                <w:sz w:val="18"/>
                <w:szCs w:val="18"/>
              </w:rPr>
            </w:pPr>
            <w:r>
              <w:rPr>
                <w:rFonts w:ascii="宋体" w:hAnsi="宋体" w:eastAsia="宋体" w:cs="宋体"/>
                <w:sz w:val="18"/>
                <w:szCs w:val="18"/>
              </w:rPr>
              <w:t>中煤第三建设（集团）有限责任公司</w:t>
            </w:r>
          </w:p>
        </w:tc>
        <w:tc>
          <w:tcPr>
            <w:tcW w:w="3213" w:type="dxa"/>
            <w:tcBorders>
              <w:top w:val="single" w:color="auto" w:sz="2" w:space="0"/>
              <w:left w:val="single" w:color="auto" w:sz="2" w:space="0"/>
              <w:bottom w:val="single" w:color="auto" w:sz="2" w:space="0"/>
              <w:right w:val="single" w:color="auto" w:sz="2" w:space="0"/>
            </w:tcBorders>
            <w:vAlign w:val="center"/>
          </w:tcPr>
          <w:p w14:paraId="69FEC7C2">
            <w:pPr>
              <w:spacing w:line="240" w:lineRule="exact"/>
              <w:jc w:val="right"/>
              <w:rPr>
                <w:rFonts w:ascii="宋体" w:hAnsi="宋体" w:eastAsia="宋体" w:cs="宋体"/>
                <w:sz w:val="18"/>
                <w:szCs w:val="18"/>
              </w:rPr>
            </w:pPr>
            <w:r>
              <w:rPr>
                <w:rFonts w:ascii="宋体" w:hAnsi="宋体" w:eastAsia="宋体" w:cs="宋体"/>
                <w:sz w:val="18"/>
                <w:szCs w:val="18"/>
              </w:rPr>
              <w:t>5,000,000.00</w:t>
            </w:r>
          </w:p>
        </w:tc>
        <w:tc>
          <w:tcPr>
            <w:tcW w:w="3213" w:type="dxa"/>
            <w:tcBorders>
              <w:top w:val="single" w:color="auto" w:sz="2" w:space="0"/>
              <w:left w:val="single" w:color="auto" w:sz="2" w:space="0"/>
              <w:bottom w:val="single" w:color="auto" w:sz="2" w:space="0"/>
              <w:right w:val="single" w:color="auto" w:sz="2" w:space="0"/>
            </w:tcBorders>
            <w:vAlign w:val="center"/>
          </w:tcPr>
          <w:p w14:paraId="6E2D1E94">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2A753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140C9D6">
            <w:pPr>
              <w:spacing w:line="240" w:lineRule="exact"/>
              <w:rPr>
                <w:rFonts w:ascii="宋体" w:hAnsi="宋体" w:eastAsia="宋体" w:cs="宋体"/>
                <w:sz w:val="18"/>
                <w:szCs w:val="18"/>
              </w:rPr>
            </w:pPr>
            <w:r>
              <w:rPr>
                <w:rFonts w:ascii="宋体" w:hAnsi="宋体" w:eastAsia="宋体" w:cs="宋体"/>
                <w:sz w:val="18"/>
                <w:szCs w:val="18"/>
              </w:rPr>
              <w:t>喀什泽普银星商贸有限公司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4AC5BE89">
            <w:pPr>
              <w:spacing w:line="240" w:lineRule="exact"/>
              <w:jc w:val="right"/>
              <w:rPr>
                <w:rFonts w:ascii="宋体" w:hAnsi="宋体" w:eastAsia="宋体" w:cs="宋体"/>
                <w:sz w:val="18"/>
                <w:szCs w:val="18"/>
              </w:rPr>
            </w:pPr>
            <w:r>
              <w:rPr>
                <w:rFonts w:ascii="宋体" w:hAnsi="宋体" w:eastAsia="宋体" w:cs="宋体"/>
                <w:sz w:val="18"/>
                <w:szCs w:val="18"/>
              </w:rPr>
              <w:t>2,805,555.84</w:t>
            </w:r>
          </w:p>
        </w:tc>
        <w:tc>
          <w:tcPr>
            <w:tcW w:w="3213" w:type="dxa"/>
            <w:tcBorders>
              <w:top w:val="single" w:color="auto" w:sz="2" w:space="0"/>
              <w:left w:val="single" w:color="auto" w:sz="2" w:space="0"/>
              <w:bottom w:val="single" w:color="auto" w:sz="2" w:space="0"/>
              <w:right w:val="single" w:color="auto" w:sz="2" w:space="0"/>
            </w:tcBorders>
            <w:vAlign w:val="center"/>
          </w:tcPr>
          <w:p w14:paraId="3FB87366">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15239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E2FE62B">
            <w:pPr>
              <w:spacing w:line="240" w:lineRule="exact"/>
              <w:rPr>
                <w:rFonts w:ascii="宋体" w:hAnsi="宋体" w:eastAsia="宋体" w:cs="宋体"/>
                <w:sz w:val="18"/>
                <w:szCs w:val="18"/>
              </w:rPr>
            </w:pPr>
            <w:r>
              <w:rPr>
                <w:rFonts w:ascii="宋体" w:hAnsi="宋体" w:eastAsia="宋体" w:cs="宋体"/>
                <w:sz w:val="18"/>
                <w:szCs w:val="18"/>
              </w:rPr>
              <w:t>芜湖恒驰钢构有限公司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66CCB441">
            <w:pPr>
              <w:spacing w:line="240" w:lineRule="exact"/>
              <w:jc w:val="right"/>
              <w:rPr>
                <w:rFonts w:ascii="宋体" w:hAnsi="宋体" w:eastAsia="宋体" w:cs="宋体"/>
                <w:sz w:val="18"/>
                <w:szCs w:val="18"/>
              </w:rPr>
            </w:pPr>
            <w:r>
              <w:rPr>
                <w:rFonts w:ascii="宋体" w:hAnsi="宋体" w:eastAsia="宋体" w:cs="宋体"/>
                <w:sz w:val="18"/>
                <w:szCs w:val="18"/>
              </w:rPr>
              <w:t>2,427,659.49</w:t>
            </w:r>
          </w:p>
        </w:tc>
        <w:tc>
          <w:tcPr>
            <w:tcW w:w="3213" w:type="dxa"/>
            <w:tcBorders>
              <w:top w:val="single" w:color="auto" w:sz="2" w:space="0"/>
              <w:left w:val="single" w:color="auto" w:sz="2" w:space="0"/>
              <w:bottom w:val="single" w:color="auto" w:sz="2" w:space="0"/>
              <w:right w:val="single" w:color="auto" w:sz="2" w:space="0"/>
            </w:tcBorders>
            <w:vAlign w:val="center"/>
          </w:tcPr>
          <w:p w14:paraId="7F44C7C6">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3CDF9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EC0A857">
            <w:pPr>
              <w:spacing w:line="240" w:lineRule="exact"/>
              <w:rPr>
                <w:rFonts w:ascii="宋体" w:hAnsi="宋体" w:eastAsia="宋体" w:cs="宋体"/>
                <w:sz w:val="18"/>
                <w:szCs w:val="18"/>
              </w:rPr>
            </w:pPr>
            <w:r>
              <w:rPr>
                <w:rFonts w:ascii="宋体" w:hAnsi="宋体" w:eastAsia="宋体" w:cs="宋体"/>
                <w:sz w:val="18"/>
                <w:szCs w:val="18"/>
              </w:rPr>
              <w:t>新疆塔建三五九建工有限责任公司</w:t>
            </w:r>
          </w:p>
        </w:tc>
        <w:tc>
          <w:tcPr>
            <w:tcW w:w="3213" w:type="dxa"/>
            <w:tcBorders>
              <w:top w:val="single" w:color="auto" w:sz="2" w:space="0"/>
              <w:left w:val="single" w:color="auto" w:sz="2" w:space="0"/>
              <w:bottom w:val="single" w:color="auto" w:sz="2" w:space="0"/>
              <w:right w:val="single" w:color="auto" w:sz="2" w:space="0"/>
            </w:tcBorders>
            <w:vAlign w:val="center"/>
          </w:tcPr>
          <w:p w14:paraId="7748E802">
            <w:pPr>
              <w:spacing w:line="240" w:lineRule="exact"/>
              <w:jc w:val="right"/>
              <w:rPr>
                <w:rFonts w:ascii="宋体" w:hAnsi="宋体" w:eastAsia="宋体" w:cs="宋体"/>
                <w:sz w:val="18"/>
                <w:szCs w:val="18"/>
              </w:rPr>
            </w:pPr>
            <w:r>
              <w:rPr>
                <w:rFonts w:ascii="宋体" w:hAnsi="宋体" w:eastAsia="宋体" w:cs="宋体"/>
                <w:sz w:val="18"/>
                <w:szCs w:val="18"/>
              </w:rPr>
              <w:t>1,573,735.00</w:t>
            </w:r>
          </w:p>
        </w:tc>
        <w:tc>
          <w:tcPr>
            <w:tcW w:w="3213" w:type="dxa"/>
            <w:tcBorders>
              <w:top w:val="single" w:color="auto" w:sz="2" w:space="0"/>
              <w:left w:val="single" w:color="auto" w:sz="2" w:space="0"/>
              <w:bottom w:val="single" w:color="auto" w:sz="2" w:space="0"/>
              <w:right w:val="single" w:color="auto" w:sz="2" w:space="0"/>
            </w:tcBorders>
            <w:vAlign w:val="center"/>
          </w:tcPr>
          <w:p w14:paraId="489FAEBE">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2A41F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A4A5B22">
            <w:pPr>
              <w:spacing w:line="240" w:lineRule="exact"/>
              <w:rPr>
                <w:rFonts w:ascii="宋体" w:hAnsi="宋体" w:eastAsia="宋体" w:cs="宋体"/>
                <w:sz w:val="18"/>
                <w:szCs w:val="18"/>
              </w:rPr>
            </w:pPr>
            <w:r>
              <w:rPr>
                <w:rFonts w:ascii="宋体" w:hAnsi="宋体" w:eastAsia="宋体" w:cs="宋体"/>
                <w:sz w:val="18"/>
                <w:szCs w:val="18"/>
              </w:rPr>
              <w:t>吉安供应链管理淮安有限公司</w:t>
            </w:r>
          </w:p>
        </w:tc>
        <w:tc>
          <w:tcPr>
            <w:tcW w:w="3213" w:type="dxa"/>
            <w:tcBorders>
              <w:top w:val="single" w:color="auto" w:sz="2" w:space="0"/>
              <w:left w:val="single" w:color="auto" w:sz="2" w:space="0"/>
              <w:bottom w:val="single" w:color="auto" w:sz="2" w:space="0"/>
              <w:right w:val="single" w:color="auto" w:sz="2" w:space="0"/>
            </w:tcBorders>
            <w:vAlign w:val="center"/>
          </w:tcPr>
          <w:p w14:paraId="09721D64">
            <w:pPr>
              <w:spacing w:line="240" w:lineRule="exact"/>
              <w:jc w:val="right"/>
              <w:rPr>
                <w:rFonts w:ascii="宋体" w:hAnsi="宋体" w:eastAsia="宋体" w:cs="宋体"/>
                <w:sz w:val="18"/>
                <w:szCs w:val="18"/>
              </w:rPr>
            </w:pPr>
            <w:r>
              <w:rPr>
                <w:rFonts w:ascii="宋体" w:hAnsi="宋体" w:eastAsia="宋体" w:cs="宋体"/>
                <w:sz w:val="18"/>
                <w:szCs w:val="18"/>
              </w:rPr>
              <w:t>1,500,000.00</w:t>
            </w:r>
          </w:p>
        </w:tc>
        <w:tc>
          <w:tcPr>
            <w:tcW w:w="3213" w:type="dxa"/>
            <w:tcBorders>
              <w:top w:val="single" w:color="auto" w:sz="2" w:space="0"/>
              <w:left w:val="single" w:color="auto" w:sz="2" w:space="0"/>
              <w:bottom w:val="single" w:color="auto" w:sz="2" w:space="0"/>
              <w:right w:val="single" w:color="auto" w:sz="2" w:space="0"/>
            </w:tcBorders>
            <w:vAlign w:val="center"/>
          </w:tcPr>
          <w:p w14:paraId="51E2BFEB">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19D67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41A4DC3">
            <w:pPr>
              <w:spacing w:line="240" w:lineRule="exact"/>
              <w:rPr>
                <w:rFonts w:ascii="宋体" w:hAnsi="宋体" w:eastAsia="宋体" w:cs="宋体"/>
                <w:sz w:val="18"/>
                <w:szCs w:val="18"/>
              </w:rPr>
            </w:pPr>
            <w:r>
              <w:rPr>
                <w:rFonts w:ascii="宋体" w:hAnsi="宋体" w:eastAsia="宋体" w:cs="宋体"/>
                <w:sz w:val="18"/>
                <w:szCs w:val="18"/>
              </w:rPr>
              <w:t>库尔勒银海服务公司</w:t>
            </w:r>
          </w:p>
        </w:tc>
        <w:tc>
          <w:tcPr>
            <w:tcW w:w="3213" w:type="dxa"/>
            <w:tcBorders>
              <w:top w:val="single" w:color="auto" w:sz="2" w:space="0"/>
              <w:left w:val="single" w:color="auto" w:sz="2" w:space="0"/>
              <w:bottom w:val="single" w:color="auto" w:sz="2" w:space="0"/>
              <w:right w:val="single" w:color="auto" w:sz="2" w:space="0"/>
            </w:tcBorders>
            <w:vAlign w:val="center"/>
          </w:tcPr>
          <w:p w14:paraId="08FA75CD">
            <w:pPr>
              <w:spacing w:line="240" w:lineRule="exact"/>
              <w:jc w:val="right"/>
              <w:rPr>
                <w:rFonts w:ascii="宋体" w:hAnsi="宋体" w:eastAsia="宋体" w:cs="宋体"/>
                <w:sz w:val="18"/>
                <w:szCs w:val="18"/>
              </w:rPr>
            </w:pPr>
            <w:r>
              <w:rPr>
                <w:rFonts w:ascii="宋体" w:hAnsi="宋体" w:eastAsia="宋体" w:cs="宋体"/>
                <w:sz w:val="18"/>
                <w:szCs w:val="18"/>
              </w:rPr>
              <w:t>1,036,409.80</w:t>
            </w:r>
          </w:p>
        </w:tc>
        <w:tc>
          <w:tcPr>
            <w:tcW w:w="3213" w:type="dxa"/>
            <w:tcBorders>
              <w:top w:val="single" w:color="auto" w:sz="2" w:space="0"/>
              <w:left w:val="single" w:color="auto" w:sz="2" w:space="0"/>
              <w:bottom w:val="single" w:color="auto" w:sz="2" w:space="0"/>
              <w:right w:val="single" w:color="auto" w:sz="2" w:space="0"/>
            </w:tcBorders>
            <w:vAlign w:val="center"/>
          </w:tcPr>
          <w:p w14:paraId="2E21025E">
            <w:pPr>
              <w:spacing w:line="240" w:lineRule="exact"/>
              <w:rPr>
                <w:rFonts w:ascii="宋体" w:hAnsi="宋体" w:eastAsia="宋体" w:cs="宋体"/>
                <w:sz w:val="18"/>
                <w:szCs w:val="18"/>
              </w:rPr>
            </w:pPr>
            <w:r>
              <w:rPr>
                <w:rFonts w:ascii="宋体" w:hAnsi="宋体" w:eastAsia="宋体" w:cs="宋体"/>
                <w:sz w:val="18"/>
                <w:szCs w:val="18"/>
              </w:rPr>
              <w:t>未达到结算条件</w:t>
            </w:r>
          </w:p>
        </w:tc>
      </w:tr>
      <w:tr w14:paraId="386A2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902F490">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4B300BD">
            <w:pPr>
              <w:spacing w:line="240" w:lineRule="exact"/>
              <w:jc w:val="right"/>
              <w:rPr>
                <w:rFonts w:ascii="宋体" w:hAnsi="宋体" w:eastAsia="宋体" w:cs="宋体"/>
                <w:sz w:val="18"/>
                <w:szCs w:val="18"/>
              </w:rPr>
            </w:pPr>
            <w:r>
              <w:rPr>
                <w:rFonts w:ascii="宋体" w:hAnsi="宋体" w:eastAsia="宋体" w:cs="宋体"/>
                <w:sz w:val="18"/>
                <w:szCs w:val="18"/>
              </w:rPr>
              <w:t>29,556,864.08</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121820"/>
        </w:tc>
      </w:tr>
    </w:tbl>
    <w:p w14:paraId="07C11CB8">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61D29D57">
      <w:pPr>
        <w:pStyle w:val="3"/>
        <w:spacing w:line="280" w:lineRule="exact"/>
        <w:jc w:val="left"/>
        <w:rPr>
          <w:rFonts w:ascii="宋体" w:hAnsi="宋体" w:cs="宋体"/>
          <w:b/>
          <w:bCs/>
        </w:rPr>
      </w:pPr>
      <w:bookmarkStart w:id="415" w:name="_Toc989268"/>
      <w:r>
        <w:rPr>
          <w:rFonts w:ascii="宋体" w:hAnsi="宋体" w:cs="宋体"/>
          <w:b/>
          <w:bCs/>
        </w:rPr>
        <w:t>38、预收款项</w:t>
      </w:r>
      <w:bookmarkEnd w:id="415"/>
    </w:p>
    <w:p w14:paraId="2EA778CD">
      <w:pPr>
        <w:keepNext/>
        <w:keepLines/>
        <w:spacing w:before="300" w:after="300" w:line="280" w:lineRule="exact"/>
        <w:outlineLvl w:val="3"/>
        <w:rPr>
          <w:rFonts w:ascii="宋体" w:hAnsi="宋体" w:eastAsia="宋体" w:cs="宋体"/>
          <w:b/>
          <w:bCs/>
          <w:sz w:val="18"/>
          <w:szCs w:val="18"/>
        </w:rPr>
      </w:pPr>
      <w:bookmarkStart w:id="416" w:name="_Toc989269"/>
      <w:r>
        <w:rPr>
          <w:rFonts w:ascii="宋体" w:hAnsi="宋体" w:eastAsia="宋体" w:cs="宋体"/>
          <w:b/>
          <w:bCs/>
          <w:sz w:val="18"/>
          <w:szCs w:val="18"/>
        </w:rPr>
        <w:t>（1） 预收款项列示</w:t>
      </w:r>
      <w:bookmarkEnd w:id="416"/>
    </w:p>
    <w:p w14:paraId="7F4009F6">
      <w:pPr>
        <w:keepNext/>
        <w:keepLines/>
        <w:spacing w:before="300" w:after="300" w:line="280" w:lineRule="exact"/>
        <w:outlineLvl w:val="3"/>
        <w:rPr>
          <w:rFonts w:ascii="宋体" w:hAnsi="宋体" w:eastAsia="宋体" w:cs="宋体"/>
          <w:b/>
          <w:bCs/>
          <w:sz w:val="18"/>
          <w:szCs w:val="18"/>
        </w:rPr>
      </w:pPr>
    </w:p>
    <w:p w14:paraId="6B125E1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D053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CB27BE">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83467E">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211F85">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1A317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5AC1F67">
            <w:pPr>
              <w:spacing w:line="240" w:lineRule="exact"/>
              <w:rPr>
                <w:rFonts w:ascii="宋体" w:hAnsi="宋体" w:eastAsia="宋体" w:cs="宋体"/>
                <w:sz w:val="18"/>
                <w:szCs w:val="18"/>
              </w:rPr>
            </w:pPr>
            <w:r>
              <w:rPr>
                <w:rFonts w:ascii="宋体" w:hAnsi="宋体" w:eastAsia="宋体" w:cs="宋体"/>
                <w:sz w:val="18"/>
                <w:szCs w:val="18"/>
              </w:rPr>
              <w:t>预收租金</w:t>
            </w:r>
          </w:p>
        </w:tc>
        <w:tc>
          <w:tcPr>
            <w:tcW w:w="3213" w:type="dxa"/>
            <w:tcBorders>
              <w:top w:val="single" w:color="auto" w:sz="2" w:space="0"/>
              <w:left w:val="single" w:color="auto" w:sz="2" w:space="0"/>
              <w:bottom w:val="single" w:color="auto" w:sz="2" w:space="0"/>
              <w:right w:val="single" w:color="auto" w:sz="2" w:space="0"/>
            </w:tcBorders>
            <w:vAlign w:val="center"/>
          </w:tcPr>
          <w:p w14:paraId="2F15EF1D">
            <w:pPr>
              <w:spacing w:line="240" w:lineRule="exact"/>
              <w:jc w:val="right"/>
              <w:rPr>
                <w:rFonts w:ascii="宋体" w:hAnsi="宋体" w:eastAsia="宋体" w:cs="宋体"/>
                <w:sz w:val="18"/>
                <w:szCs w:val="18"/>
              </w:rPr>
            </w:pPr>
            <w:r>
              <w:rPr>
                <w:rFonts w:ascii="宋体" w:hAnsi="宋体" w:eastAsia="宋体" w:cs="宋体"/>
                <w:sz w:val="18"/>
                <w:szCs w:val="18"/>
              </w:rPr>
              <w:t>8,722,679.16</w:t>
            </w:r>
          </w:p>
        </w:tc>
        <w:tc>
          <w:tcPr>
            <w:tcW w:w="3213" w:type="dxa"/>
            <w:tcBorders>
              <w:top w:val="single" w:color="auto" w:sz="2" w:space="0"/>
              <w:left w:val="single" w:color="auto" w:sz="2" w:space="0"/>
              <w:bottom w:val="single" w:color="auto" w:sz="2" w:space="0"/>
              <w:right w:val="single" w:color="auto" w:sz="2" w:space="0"/>
            </w:tcBorders>
            <w:vAlign w:val="center"/>
          </w:tcPr>
          <w:p w14:paraId="59827BEB">
            <w:pPr>
              <w:spacing w:line="240" w:lineRule="exact"/>
              <w:jc w:val="right"/>
              <w:rPr>
                <w:rFonts w:ascii="宋体" w:hAnsi="宋体" w:eastAsia="宋体" w:cs="宋体"/>
                <w:sz w:val="18"/>
                <w:szCs w:val="18"/>
              </w:rPr>
            </w:pPr>
            <w:r>
              <w:rPr>
                <w:rFonts w:ascii="宋体" w:hAnsi="宋体" w:eastAsia="宋体" w:cs="宋体"/>
                <w:sz w:val="18"/>
                <w:szCs w:val="18"/>
              </w:rPr>
              <w:t>7,589,549.18</w:t>
            </w:r>
          </w:p>
        </w:tc>
      </w:tr>
      <w:tr w14:paraId="44452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EC8BF0">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A222615">
            <w:pPr>
              <w:spacing w:line="240" w:lineRule="exact"/>
              <w:jc w:val="right"/>
              <w:rPr>
                <w:rFonts w:ascii="宋体" w:hAnsi="宋体" w:eastAsia="宋体" w:cs="宋体"/>
                <w:sz w:val="18"/>
                <w:szCs w:val="18"/>
              </w:rPr>
            </w:pPr>
            <w:r>
              <w:rPr>
                <w:rFonts w:ascii="宋体" w:hAnsi="宋体" w:eastAsia="宋体" w:cs="宋体"/>
                <w:sz w:val="18"/>
                <w:szCs w:val="18"/>
              </w:rPr>
              <w:t>8,722,679.16</w:t>
            </w:r>
          </w:p>
        </w:tc>
        <w:tc>
          <w:tcPr>
            <w:tcW w:w="3213" w:type="dxa"/>
            <w:tcBorders>
              <w:top w:val="single" w:color="auto" w:sz="2" w:space="0"/>
              <w:left w:val="single" w:color="auto" w:sz="2" w:space="0"/>
              <w:bottom w:val="single" w:color="auto" w:sz="2" w:space="0"/>
              <w:right w:val="single" w:color="auto" w:sz="2" w:space="0"/>
            </w:tcBorders>
            <w:vAlign w:val="center"/>
          </w:tcPr>
          <w:p w14:paraId="30C9F90A">
            <w:pPr>
              <w:spacing w:line="240" w:lineRule="exact"/>
              <w:jc w:val="right"/>
              <w:rPr>
                <w:rFonts w:ascii="宋体" w:hAnsi="宋体" w:eastAsia="宋体" w:cs="宋体"/>
                <w:sz w:val="18"/>
                <w:szCs w:val="18"/>
              </w:rPr>
            </w:pPr>
            <w:r>
              <w:rPr>
                <w:rFonts w:ascii="宋体" w:hAnsi="宋体" w:eastAsia="宋体" w:cs="宋体"/>
                <w:sz w:val="18"/>
                <w:szCs w:val="18"/>
              </w:rPr>
              <w:t>7,589,549.18</w:t>
            </w:r>
          </w:p>
        </w:tc>
      </w:tr>
    </w:tbl>
    <w:p w14:paraId="204683FA">
      <w:pPr>
        <w:keepNext/>
        <w:keepLines/>
        <w:spacing w:before="300" w:after="300" w:line="280" w:lineRule="exact"/>
        <w:outlineLvl w:val="3"/>
        <w:rPr>
          <w:rFonts w:ascii="宋体" w:hAnsi="宋体" w:eastAsia="宋体" w:cs="宋体"/>
          <w:b/>
          <w:bCs/>
          <w:sz w:val="18"/>
          <w:szCs w:val="18"/>
        </w:rPr>
      </w:pPr>
      <w:bookmarkStart w:id="417" w:name="_Toc989270"/>
      <w:r>
        <w:rPr>
          <w:rFonts w:ascii="宋体" w:hAnsi="宋体" w:eastAsia="宋体" w:cs="宋体"/>
          <w:b/>
          <w:bCs/>
          <w:sz w:val="18"/>
          <w:szCs w:val="18"/>
        </w:rPr>
        <w:t>（2） 账龄超过1年或逾期的重要预收款项</w:t>
      </w:r>
      <w:bookmarkEnd w:id="417"/>
    </w:p>
    <w:p w14:paraId="6398D5BD">
      <w:pPr>
        <w:pStyle w:val="3"/>
        <w:spacing w:line="280" w:lineRule="exact"/>
        <w:jc w:val="left"/>
        <w:rPr>
          <w:rFonts w:ascii="宋体" w:hAnsi="宋体" w:cs="宋体"/>
          <w:b/>
          <w:bCs/>
        </w:rPr>
      </w:pPr>
      <w:bookmarkStart w:id="418" w:name="_Toc989271"/>
      <w:r>
        <w:rPr>
          <w:rFonts w:ascii="宋体" w:hAnsi="宋体" w:cs="宋体"/>
          <w:b/>
          <w:bCs/>
        </w:rPr>
        <w:t>39、合同负债</w:t>
      </w:r>
      <w:bookmarkEnd w:id="418"/>
    </w:p>
    <w:p w14:paraId="5D34526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4F76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07BC0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B9B7CA">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DD4DBE">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3836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0D05D0E">
            <w:pPr>
              <w:spacing w:line="240" w:lineRule="exact"/>
              <w:rPr>
                <w:rFonts w:ascii="宋体" w:hAnsi="宋体" w:eastAsia="宋体" w:cs="宋体"/>
                <w:sz w:val="18"/>
                <w:szCs w:val="18"/>
              </w:rPr>
            </w:pPr>
            <w:r>
              <w:rPr>
                <w:rFonts w:ascii="宋体" w:hAnsi="宋体" w:eastAsia="宋体" w:cs="宋体"/>
                <w:sz w:val="18"/>
                <w:szCs w:val="18"/>
              </w:rPr>
              <w:t>预收货款</w:t>
            </w:r>
          </w:p>
        </w:tc>
        <w:tc>
          <w:tcPr>
            <w:tcW w:w="3213" w:type="dxa"/>
            <w:tcBorders>
              <w:top w:val="single" w:color="auto" w:sz="2" w:space="0"/>
              <w:left w:val="single" w:color="auto" w:sz="2" w:space="0"/>
              <w:bottom w:val="single" w:color="auto" w:sz="2" w:space="0"/>
              <w:right w:val="single" w:color="auto" w:sz="2" w:space="0"/>
            </w:tcBorders>
            <w:vAlign w:val="center"/>
          </w:tcPr>
          <w:p w14:paraId="69DE2AC6">
            <w:pPr>
              <w:spacing w:line="240" w:lineRule="exact"/>
              <w:jc w:val="right"/>
              <w:rPr>
                <w:rFonts w:ascii="宋体" w:hAnsi="宋体" w:eastAsia="宋体" w:cs="宋体"/>
                <w:sz w:val="18"/>
                <w:szCs w:val="18"/>
              </w:rPr>
            </w:pPr>
            <w:r>
              <w:rPr>
                <w:rFonts w:ascii="宋体" w:hAnsi="宋体" w:eastAsia="宋体" w:cs="宋体"/>
                <w:sz w:val="18"/>
                <w:szCs w:val="18"/>
              </w:rPr>
              <w:t>265,178,053.59</w:t>
            </w:r>
          </w:p>
        </w:tc>
        <w:tc>
          <w:tcPr>
            <w:tcW w:w="3213" w:type="dxa"/>
            <w:tcBorders>
              <w:top w:val="single" w:color="auto" w:sz="2" w:space="0"/>
              <w:left w:val="single" w:color="auto" w:sz="2" w:space="0"/>
              <w:bottom w:val="single" w:color="auto" w:sz="2" w:space="0"/>
              <w:right w:val="single" w:color="auto" w:sz="2" w:space="0"/>
            </w:tcBorders>
            <w:vAlign w:val="center"/>
          </w:tcPr>
          <w:p w14:paraId="54327E5D">
            <w:pPr>
              <w:spacing w:line="240" w:lineRule="exact"/>
              <w:jc w:val="right"/>
              <w:rPr>
                <w:rFonts w:ascii="宋体" w:hAnsi="宋体" w:eastAsia="宋体" w:cs="宋体"/>
                <w:sz w:val="18"/>
                <w:szCs w:val="18"/>
              </w:rPr>
            </w:pPr>
            <w:r>
              <w:rPr>
                <w:rFonts w:ascii="宋体" w:hAnsi="宋体" w:eastAsia="宋体" w:cs="宋体"/>
                <w:sz w:val="18"/>
                <w:szCs w:val="18"/>
              </w:rPr>
              <w:t>557,556,525.74</w:t>
            </w:r>
          </w:p>
        </w:tc>
      </w:tr>
      <w:tr w14:paraId="6F439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BD35E2">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BBF517D">
            <w:pPr>
              <w:spacing w:line="240" w:lineRule="exact"/>
              <w:jc w:val="right"/>
              <w:rPr>
                <w:rFonts w:ascii="宋体" w:hAnsi="宋体" w:eastAsia="宋体" w:cs="宋体"/>
                <w:sz w:val="18"/>
                <w:szCs w:val="18"/>
              </w:rPr>
            </w:pPr>
            <w:r>
              <w:rPr>
                <w:rFonts w:ascii="宋体" w:hAnsi="宋体" w:eastAsia="宋体" w:cs="宋体"/>
                <w:sz w:val="18"/>
                <w:szCs w:val="18"/>
              </w:rPr>
              <w:t>265,178,053.59</w:t>
            </w:r>
          </w:p>
        </w:tc>
        <w:tc>
          <w:tcPr>
            <w:tcW w:w="3213" w:type="dxa"/>
            <w:tcBorders>
              <w:top w:val="single" w:color="auto" w:sz="2" w:space="0"/>
              <w:left w:val="single" w:color="auto" w:sz="2" w:space="0"/>
              <w:bottom w:val="single" w:color="auto" w:sz="2" w:space="0"/>
              <w:right w:val="single" w:color="auto" w:sz="2" w:space="0"/>
            </w:tcBorders>
            <w:vAlign w:val="center"/>
          </w:tcPr>
          <w:p w14:paraId="276B3E58">
            <w:pPr>
              <w:spacing w:line="240" w:lineRule="exact"/>
              <w:jc w:val="right"/>
              <w:rPr>
                <w:rFonts w:ascii="宋体" w:hAnsi="宋体" w:eastAsia="宋体" w:cs="宋体"/>
                <w:sz w:val="18"/>
                <w:szCs w:val="18"/>
              </w:rPr>
            </w:pPr>
            <w:r>
              <w:rPr>
                <w:rFonts w:ascii="宋体" w:hAnsi="宋体" w:eastAsia="宋体" w:cs="宋体"/>
                <w:sz w:val="18"/>
                <w:szCs w:val="18"/>
              </w:rPr>
              <w:t>557,556,525.74</w:t>
            </w:r>
          </w:p>
        </w:tc>
      </w:tr>
    </w:tbl>
    <w:p w14:paraId="5FDC5827">
      <w:pPr>
        <w:spacing w:line="240" w:lineRule="exact"/>
        <w:rPr>
          <w:rFonts w:ascii="宋体" w:hAnsi="宋体" w:eastAsia="宋体" w:cs="宋体"/>
          <w:sz w:val="18"/>
          <w:szCs w:val="18"/>
        </w:rPr>
      </w:pPr>
      <w:r>
        <w:rPr>
          <w:rFonts w:ascii="宋体" w:hAnsi="宋体" w:eastAsia="宋体" w:cs="宋体"/>
          <w:sz w:val="18"/>
          <w:szCs w:val="18"/>
        </w:rPr>
        <w:t>账龄超过1年的重要合同负债</w:t>
      </w:r>
    </w:p>
    <w:p w14:paraId="77D28C4D">
      <w:pPr>
        <w:pStyle w:val="3"/>
        <w:spacing w:line="280" w:lineRule="exact"/>
        <w:jc w:val="left"/>
        <w:rPr>
          <w:rFonts w:ascii="宋体" w:hAnsi="宋体" w:cs="宋体"/>
          <w:b/>
          <w:bCs/>
        </w:rPr>
      </w:pPr>
      <w:bookmarkStart w:id="419" w:name="_Toc989272"/>
      <w:r>
        <w:rPr>
          <w:rFonts w:ascii="宋体" w:hAnsi="宋体" w:cs="宋体"/>
          <w:b/>
          <w:bCs/>
        </w:rPr>
        <w:t>40、应付职工薪酬</w:t>
      </w:r>
      <w:bookmarkEnd w:id="419"/>
    </w:p>
    <w:p w14:paraId="58121869">
      <w:pPr>
        <w:keepNext/>
        <w:keepLines/>
        <w:spacing w:before="300" w:after="300" w:line="280" w:lineRule="exact"/>
        <w:outlineLvl w:val="3"/>
        <w:rPr>
          <w:rFonts w:ascii="宋体" w:hAnsi="宋体" w:eastAsia="宋体" w:cs="宋体"/>
          <w:b/>
          <w:bCs/>
          <w:szCs w:val="21"/>
        </w:rPr>
      </w:pPr>
      <w:bookmarkStart w:id="420" w:name="_Toc989273"/>
      <w:r>
        <w:rPr>
          <w:rFonts w:ascii="宋体" w:hAnsi="宋体" w:eastAsia="宋体" w:cs="宋体"/>
          <w:b/>
          <w:bCs/>
          <w:szCs w:val="21"/>
        </w:rPr>
        <w:t>（1） 应付职工薪酬列示</w:t>
      </w:r>
      <w:bookmarkEnd w:id="420"/>
    </w:p>
    <w:p w14:paraId="46EA9D6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1BE35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4BE0EB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0FAD278">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839019F">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207EBC5">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76BD45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50E6A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4880534">
            <w:pPr>
              <w:spacing w:before="40" w:after="40" w:line="240" w:lineRule="exact"/>
              <w:rPr>
                <w:rFonts w:ascii="宋体" w:hAnsi="宋体" w:eastAsia="宋体" w:cs="宋体"/>
                <w:sz w:val="18"/>
                <w:szCs w:val="18"/>
              </w:rPr>
            </w:pPr>
            <w:r>
              <w:rPr>
                <w:rFonts w:ascii="宋体" w:hAnsi="宋体" w:eastAsia="宋体" w:cs="宋体"/>
                <w:sz w:val="18"/>
                <w:szCs w:val="18"/>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14:paraId="3AAECF5A">
            <w:pPr>
              <w:spacing w:line="240" w:lineRule="exact"/>
              <w:jc w:val="right"/>
              <w:rPr>
                <w:rFonts w:ascii="宋体" w:hAnsi="宋体" w:eastAsia="宋体" w:cs="宋体"/>
                <w:sz w:val="18"/>
                <w:szCs w:val="18"/>
              </w:rPr>
            </w:pPr>
            <w:r>
              <w:rPr>
                <w:rFonts w:ascii="宋体" w:hAnsi="宋体" w:eastAsia="宋体" w:cs="宋体"/>
                <w:sz w:val="18"/>
                <w:szCs w:val="18"/>
              </w:rPr>
              <w:t>70,461,124.45</w:t>
            </w:r>
          </w:p>
        </w:tc>
        <w:tc>
          <w:tcPr>
            <w:tcW w:w="1928" w:type="dxa"/>
            <w:tcBorders>
              <w:top w:val="single" w:color="auto" w:sz="2" w:space="0"/>
              <w:left w:val="single" w:color="auto" w:sz="2" w:space="0"/>
              <w:bottom w:val="single" w:color="auto" w:sz="2" w:space="0"/>
              <w:right w:val="single" w:color="auto" w:sz="2" w:space="0"/>
            </w:tcBorders>
            <w:vAlign w:val="center"/>
          </w:tcPr>
          <w:p w14:paraId="147361C5">
            <w:pPr>
              <w:spacing w:line="240" w:lineRule="exact"/>
              <w:jc w:val="right"/>
              <w:rPr>
                <w:rFonts w:ascii="宋体" w:hAnsi="宋体" w:eastAsia="宋体" w:cs="宋体"/>
                <w:sz w:val="18"/>
                <w:szCs w:val="18"/>
              </w:rPr>
            </w:pPr>
            <w:r>
              <w:rPr>
                <w:rFonts w:ascii="宋体" w:hAnsi="宋体" w:eastAsia="宋体" w:cs="宋体"/>
                <w:sz w:val="18"/>
                <w:szCs w:val="18"/>
              </w:rPr>
              <w:t>789,696,701.33</w:t>
            </w:r>
          </w:p>
        </w:tc>
        <w:tc>
          <w:tcPr>
            <w:tcW w:w="1928" w:type="dxa"/>
            <w:tcBorders>
              <w:top w:val="single" w:color="auto" w:sz="2" w:space="0"/>
              <w:left w:val="single" w:color="auto" w:sz="2" w:space="0"/>
              <w:bottom w:val="single" w:color="auto" w:sz="2" w:space="0"/>
              <w:right w:val="single" w:color="auto" w:sz="2" w:space="0"/>
            </w:tcBorders>
            <w:vAlign w:val="center"/>
          </w:tcPr>
          <w:p w14:paraId="7B7487AA">
            <w:pPr>
              <w:spacing w:line="240" w:lineRule="exact"/>
              <w:jc w:val="right"/>
              <w:rPr>
                <w:rFonts w:ascii="宋体" w:hAnsi="宋体" w:eastAsia="宋体" w:cs="宋体"/>
                <w:sz w:val="18"/>
                <w:szCs w:val="18"/>
              </w:rPr>
            </w:pPr>
            <w:r>
              <w:rPr>
                <w:rFonts w:ascii="宋体" w:hAnsi="宋体" w:eastAsia="宋体" w:cs="宋体"/>
                <w:sz w:val="18"/>
                <w:szCs w:val="18"/>
              </w:rPr>
              <w:t>788,335,969.41</w:t>
            </w:r>
          </w:p>
        </w:tc>
        <w:tc>
          <w:tcPr>
            <w:tcW w:w="1928" w:type="dxa"/>
            <w:tcBorders>
              <w:top w:val="single" w:color="auto" w:sz="2" w:space="0"/>
              <w:left w:val="single" w:color="auto" w:sz="2" w:space="0"/>
              <w:bottom w:val="single" w:color="auto" w:sz="2" w:space="0"/>
              <w:right w:val="single" w:color="auto" w:sz="2" w:space="0"/>
            </w:tcBorders>
            <w:vAlign w:val="center"/>
          </w:tcPr>
          <w:p w14:paraId="7A747FCB">
            <w:pPr>
              <w:spacing w:line="240" w:lineRule="exact"/>
              <w:jc w:val="right"/>
              <w:rPr>
                <w:rFonts w:ascii="宋体" w:hAnsi="宋体" w:eastAsia="宋体" w:cs="宋体"/>
                <w:sz w:val="18"/>
                <w:szCs w:val="18"/>
              </w:rPr>
            </w:pPr>
            <w:r>
              <w:rPr>
                <w:rFonts w:ascii="宋体" w:hAnsi="宋体" w:eastAsia="宋体" w:cs="宋体"/>
                <w:sz w:val="18"/>
                <w:szCs w:val="18"/>
              </w:rPr>
              <w:t>71,821,856.37</w:t>
            </w:r>
          </w:p>
        </w:tc>
      </w:tr>
      <w:tr w14:paraId="21B16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19BBE81">
            <w:pPr>
              <w:spacing w:before="40" w:after="40" w:line="240" w:lineRule="exact"/>
              <w:rPr>
                <w:rFonts w:ascii="宋体" w:hAnsi="宋体" w:eastAsia="宋体" w:cs="宋体"/>
                <w:sz w:val="18"/>
                <w:szCs w:val="18"/>
              </w:rPr>
            </w:pPr>
            <w:r>
              <w:rPr>
                <w:rFonts w:ascii="宋体" w:hAnsi="宋体" w:eastAsia="宋体" w:cs="宋体"/>
                <w:sz w:val="18"/>
                <w:szCs w:val="18"/>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14:paraId="553C562B">
            <w:pPr>
              <w:spacing w:line="240" w:lineRule="exact"/>
              <w:jc w:val="right"/>
              <w:rPr>
                <w:rFonts w:ascii="宋体" w:hAnsi="宋体" w:eastAsia="宋体" w:cs="宋体"/>
                <w:sz w:val="18"/>
                <w:szCs w:val="18"/>
              </w:rPr>
            </w:pPr>
            <w:r>
              <w:rPr>
                <w:rFonts w:ascii="宋体" w:hAnsi="宋体" w:eastAsia="宋体" w:cs="宋体"/>
                <w:sz w:val="18"/>
                <w:szCs w:val="18"/>
              </w:rPr>
              <w:t>761,966.95</w:t>
            </w:r>
          </w:p>
        </w:tc>
        <w:tc>
          <w:tcPr>
            <w:tcW w:w="1928" w:type="dxa"/>
            <w:tcBorders>
              <w:top w:val="single" w:color="auto" w:sz="2" w:space="0"/>
              <w:left w:val="single" w:color="auto" w:sz="2" w:space="0"/>
              <w:bottom w:val="single" w:color="auto" w:sz="2" w:space="0"/>
              <w:right w:val="single" w:color="auto" w:sz="2" w:space="0"/>
            </w:tcBorders>
            <w:vAlign w:val="center"/>
          </w:tcPr>
          <w:p w14:paraId="029F893A">
            <w:pPr>
              <w:spacing w:line="240" w:lineRule="exact"/>
              <w:jc w:val="right"/>
              <w:rPr>
                <w:rFonts w:ascii="宋体" w:hAnsi="宋体" w:eastAsia="宋体" w:cs="宋体"/>
                <w:sz w:val="18"/>
                <w:szCs w:val="18"/>
              </w:rPr>
            </w:pPr>
            <w:r>
              <w:rPr>
                <w:rFonts w:ascii="宋体" w:hAnsi="宋体" w:eastAsia="宋体" w:cs="宋体"/>
                <w:sz w:val="18"/>
                <w:szCs w:val="18"/>
              </w:rPr>
              <w:t>57,565,526.12</w:t>
            </w:r>
          </w:p>
        </w:tc>
        <w:tc>
          <w:tcPr>
            <w:tcW w:w="1928" w:type="dxa"/>
            <w:tcBorders>
              <w:top w:val="single" w:color="auto" w:sz="2" w:space="0"/>
              <w:left w:val="single" w:color="auto" w:sz="2" w:space="0"/>
              <w:bottom w:val="single" w:color="auto" w:sz="2" w:space="0"/>
              <w:right w:val="single" w:color="auto" w:sz="2" w:space="0"/>
            </w:tcBorders>
            <w:vAlign w:val="center"/>
          </w:tcPr>
          <w:p w14:paraId="26A1A830">
            <w:pPr>
              <w:spacing w:line="240" w:lineRule="exact"/>
              <w:jc w:val="right"/>
              <w:rPr>
                <w:rFonts w:ascii="宋体" w:hAnsi="宋体" w:eastAsia="宋体" w:cs="宋体"/>
                <w:sz w:val="18"/>
                <w:szCs w:val="18"/>
              </w:rPr>
            </w:pPr>
            <w:r>
              <w:rPr>
                <w:rFonts w:ascii="宋体" w:hAnsi="宋体" w:eastAsia="宋体" w:cs="宋体"/>
                <w:sz w:val="18"/>
                <w:szCs w:val="18"/>
              </w:rPr>
              <w:t>57,494,483.58</w:t>
            </w:r>
          </w:p>
        </w:tc>
        <w:tc>
          <w:tcPr>
            <w:tcW w:w="1928" w:type="dxa"/>
            <w:tcBorders>
              <w:top w:val="single" w:color="auto" w:sz="2" w:space="0"/>
              <w:left w:val="single" w:color="auto" w:sz="2" w:space="0"/>
              <w:bottom w:val="single" w:color="auto" w:sz="2" w:space="0"/>
              <w:right w:val="single" w:color="auto" w:sz="2" w:space="0"/>
            </w:tcBorders>
            <w:vAlign w:val="center"/>
          </w:tcPr>
          <w:p w14:paraId="2D1E065C">
            <w:pPr>
              <w:spacing w:line="240" w:lineRule="exact"/>
              <w:jc w:val="right"/>
              <w:rPr>
                <w:rFonts w:ascii="宋体" w:hAnsi="宋体" w:eastAsia="宋体" w:cs="宋体"/>
                <w:sz w:val="18"/>
                <w:szCs w:val="18"/>
              </w:rPr>
            </w:pPr>
            <w:r>
              <w:rPr>
                <w:rFonts w:ascii="宋体" w:hAnsi="宋体" w:eastAsia="宋体" w:cs="宋体"/>
                <w:sz w:val="18"/>
                <w:szCs w:val="18"/>
              </w:rPr>
              <w:t>833,009.49</w:t>
            </w:r>
          </w:p>
        </w:tc>
      </w:tr>
      <w:tr w14:paraId="052C4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3DB1EF6">
            <w:pPr>
              <w:spacing w:before="40" w:after="40" w:line="240" w:lineRule="exact"/>
              <w:rPr>
                <w:rFonts w:ascii="宋体" w:hAnsi="宋体" w:eastAsia="宋体" w:cs="宋体"/>
                <w:sz w:val="18"/>
                <w:szCs w:val="18"/>
              </w:rPr>
            </w:pPr>
            <w:r>
              <w:rPr>
                <w:rFonts w:ascii="宋体" w:hAnsi="宋体" w:eastAsia="宋体" w:cs="宋体"/>
                <w:sz w:val="18"/>
                <w:szCs w:val="18"/>
              </w:rPr>
              <w:t>三、辞退福利</w:t>
            </w:r>
          </w:p>
        </w:tc>
        <w:tc>
          <w:tcPr>
            <w:tcW w:w="1928" w:type="dxa"/>
            <w:tcBorders>
              <w:top w:val="single" w:color="auto" w:sz="2" w:space="0"/>
              <w:left w:val="single" w:color="auto" w:sz="2" w:space="0"/>
              <w:bottom w:val="single" w:color="auto" w:sz="2" w:space="0"/>
              <w:right w:val="single" w:color="auto" w:sz="2" w:space="0"/>
            </w:tcBorders>
            <w:vAlign w:val="center"/>
          </w:tcPr>
          <w:p w14:paraId="78792B4E">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EAF50DD">
            <w:pPr>
              <w:spacing w:line="240" w:lineRule="exact"/>
              <w:jc w:val="right"/>
              <w:rPr>
                <w:rFonts w:ascii="宋体" w:hAnsi="宋体" w:eastAsia="宋体" w:cs="宋体"/>
                <w:sz w:val="18"/>
                <w:szCs w:val="18"/>
              </w:rPr>
            </w:pPr>
            <w:r>
              <w:rPr>
                <w:rFonts w:ascii="宋体" w:hAnsi="宋体" w:eastAsia="宋体" w:cs="宋体"/>
                <w:sz w:val="18"/>
                <w:szCs w:val="18"/>
              </w:rPr>
              <w:t>1,691,696.52</w:t>
            </w:r>
          </w:p>
        </w:tc>
        <w:tc>
          <w:tcPr>
            <w:tcW w:w="1928" w:type="dxa"/>
            <w:tcBorders>
              <w:top w:val="single" w:color="auto" w:sz="2" w:space="0"/>
              <w:left w:val="single" w:color="auto" w:sz="2" w:space="0"/>
              <w:bottom w:val="single" w:color="auto" w:sz="2" w:space="0"/>
              <w:right w:val="single" w:color="auto" w:sz="2" w:space="0"/>
            </w:tcBorders>
            <w:vAlign w:val="center"/>
          </w:tcPr>
          <w:p w14:paraId="6D087428">
            <w:pPr>
              <w:spacing w:line="240" w:lineRule="exact"/>
              <w:jc w:val="right"/>
              <w:rPr>
                <w:rFonts w:ascii="宋体" w:hAnsi="宋体" w:eastAsia="宋体" w:cs="宋体"/>
                <w:sz w:val="18"/>
                <w:szCs w:val="18"/>
              </w:rPr>
            </w:pPr>
            <w:r>
              <w:rPr>
                <w:rFonts w:ascii="宋体" w:hAnsi="宋体" w:eastAsia="宋体" w:cs="宋体"/>
                <w:sz w:val="18"/>
                <w:szCs w:val="18"/>
              </w:rPr>
              <w:t>1,691,696.52</w:t>
            </w:r>
          </w:p>
        </w:tc>
        <w:tc>
          <w:tcPr>
            <w:tcW w:w="1928" w:type="dxa"/>
            <w:tcBorders>
              <w:top w:val="single" w:color="auto" w:sz="2" w:space="0"/>
              <w:left w:val="single" w:color="auto" w:sz="2" w:space="0"/>
              <w:bottom w:val="single" w:color="auto" w:sz="2" w:space="0"/>
              <w:right w:val="single" w:color="auto" w:sz="2" w:space="0"/>
            </w:tcBorders>
            <w:vAlign w:val="center"/>
          </w:tcPr>
          <w:p w14:paraId="5D785D69">
            <w:pPr>
              <w:spacing w:line="240" w:lineRule="exact"/>
              <w:jc w:val="right"/>
              <w:rPr>
                <w:rFonts w:ascii="宋体" w:hAnsi="宋体" w:eastAsia="宋体" w:cs="宋体"/>
                <w:sz w:val="18"/>
                <w:szCs w:val="18"/>
              </w:rPr>
            </w:pPr>
          </w:p>
        </w:tc>
      </w:tr>
      <w:tr w14:paraId="1BFDA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AFEAB0A">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3EB66E37">
            <w:pPr>
              <w:spacing w:line="240" w:lineRule="exact"/>
              <w:jc w:val="right"/>
              <w:rPr>
                <w:rFonts w:ascii="宋体" w:hAnsi="宋体" w:eastAsia="宋体" w:cs="宋体"/>
                <w:sz w:val="18"/>
                <w:szCs w:val="18"/>
              </w:rPr>
            </w:pPr>
            <w:r>
              <w:rPr>
                <w:rFonts w:ascii="宋体" w:hAnsi="宋体" w:eastAsia="宋体" w:cs="宋体"/>
                <w:sz w:val="18"/>
                <w:szCs w:val="18"/>
              </w:rPr>
              <w:t>71,223,091.40</w:t>
            </w:r>
          </w:p>
        </w:tc>
        <w:tc>
          <w:tcPr>
            <w:tcW w:w="1928" w:type="dxa"/>
            <w:tcBorders>
              <w:top w:val="single" w:color="auto" w:sz="2" w:space="0"/>
              <w:left w:val="single" w:color="auto" w:sz="2" w:space="0"/>
              <w:bottom w:val="single" w:color="auto" w:sz="2" w:space="0"/>
              <w:right w:val="single" w:color="auto" w:sz="2" w:space="0"/>
            </w:tcBorders>
            <w:vAlign w:val="center"/>
          </w:tcPr>
          <w:p w14:paraId="37FE9AF0">
            <w:pPr>
              <w:spacing w:line="240" w:lineRule="exact"/>
              <w:jc w:val="right"/>
              <w:rPr>
                <w:rFonts w:ascii="宋体" w:hAnsi="宋体" w:eastAsia="宋体" w:cs="宋体"/>
                <w:sz w:val="18"/>
                <w:szCs w:val="18"/>
              </w:rPr>
            </w:pPr>
            <w:r>
              <w:rPr>
                <w:rFonts w:ascii="宋体" w:hAnsi="宋体" w:eastAsia="宋体" w:cs="宋体"/>
                <w:sz w:val="18"/>
                <w:szCs w:val="18"/>
              </w:rPr>
              <w:t>848,953,923.97</w:t>
            </w:r>
          </w:p>
        </w:tc>
        <w:tc>
          <w:tcPr>
            <w:tcW w:w="1928" w:type="dxa"/>
            <w:tcBorders>
              <w:top w:val="single" w:color="auto" w:sz="2" w:space="0"/>
              <w:left w:val="single" w:color="auto" w:sz="2" w:space="0"/>
              <w:bottom w:val="single" w:color="auto" w:sz="2" w:space="0"/>
              <w:right w:val="single" w:color="auto" w:sz="2" w:space="0"/>
            </w:tcBorders>
            <w:vAlign w:val="center"/>
          </w:tcPr>
          <w:p w14:paraId="56265BB2">
            <w:pPr>
              <w:spacing w:line="240" w:lineRule="exact"/>
              <w:jc w:val="right"/>
              <w:rPr>
                <w:rFonts w:ascii="宋体" w:hAnsi="宋体" w:eastAsia="宋体" w:cs="宋体"/>
                <w:sz w:val="18"/>
                <w:szCs w:val="18"/>
              </w:rPr>
            </w:pPr>
            <w:r>
              <w:rPr>
                <w:rFonts w:ascii="宋体" w:hAnsi="宋体" w:eastAsia="宋体" w:cs="宋体"/>
                <w:sz w:val="18"/>
                <w:szCs w:val="18"/>
              </w:rPr>
              <w:t>847,522,149.51</w:t>
            </w:r>
          </w:p>
        </w:tc>
        <w:tc>
          <w:tcPr>
            <w:tcW w:w="1928" w:type="dxa"/>
            <w:tcBorders>
              <w:top w:val="single" w:color="auto" w:sz="2" w:space="0"/>
              <w:left w:val="single" w:color="auto" w:sz="2" w:space="0"/>
              <w:bottom w:val="single" w:color="auto" w:sz="2" w:space="0"/>
              <w:right w:val="single" w:color="auto" w:sz="2" w:space="0"/>
            </w:tcBorders>
            <w:vAlign w:val="center"/>
          </w:tcPr>
          <w:p w14:paraId="55BDAA2A">
            <w:pPr>
              <w:spacing w:line="240" w:lineRule="exact"/>
              <w:jc w:val="right"/>
              <w:rPr>
                <w:rFonts w:ascii="宋体" w:hAnsi="宋体" w:eastAsia="宋体" w:cs="宋体"/>
                <w:sz w:val="18"/>
                <w:szCs w:val="18"/>
              </w:rPr>
            </w:pPr>
            <w:r>
              <w:rPr>
                <w:rFonts w:ascii="宋体" w:hAnsi="宋体" w:eastAsia="宋体" w:cs="宋体"/>
                <w:sz w:val="18"/>
                <w:szCs w:val="18"/>
              </w:rPr>
              <w:t>72,654,865.86</w:t>
            </w:r>
          </w:p>
        </w:tc>
      </w:tr>
    </w:tbl>
    <w:p w14:paraId="5D6A28D7">
      <w:pPr>
        <w:keepNext/>
        <w:keepLines/>
        <w:spacing w:before="300" w:after="300" w:line="280" w:lineRule="exact"/>
        <w:outlineLvl w:val="3"/>
        <w:rPr>
          <w:rFonts w:ascii="宋体" w:hAnsi="宋体" w:eastAsia="宋体" w:cs="宋体"/>
          <w:b/>
          <w:bCs/>
          <w:szCs w:val="21"/>
        </w:rPr>
      </w:pPr>
      <w:bookmarkStart w:id="421" w:name="_Toc989274"/>
      <w:r>
        <w:rPr>
          <w:rFonts w:ascii="宋体" w:hAnsi="宋体" w:eastAsia="宋体" w:cs="宋体"/>
          <w:b/>
          <w:bCs/>
          <w:szCs w:val="21"/>
        </w:rPr>
        <w:t>（2） 短期薪酬列示</w:t>
      </w:r>
      <w:bookmarkEnd w:id="421"/>
    </w:p>
    <w:p w14:paraId="7C4DD3C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23A4C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5EB0137">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1F49786">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5B62B8C">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F6DD20B">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D66421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57ECD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3105CD5">
            <w:pPr>
              <w:spacing w:before="40" w:after="40" w:line="240" w:lineRule="exact"/>
              <w:rPr>
                <w:rFonts w:ascii="宋体" w:hAnsi="宋体" w:eastAsia="宋体" w:cs="宋体"/>
                <w:sz w:val="18"/>
                <w:szCs w:val="18"/>
              </w:rPr>
            </w:pPr>
            <w:r>
              <w:rPr>
                <w:rFonts w:ascii="宋体" w:hAnsi="宋体" w:eastAsia="宋体" w:cs="宋体"/>
                <w:sz w:val="18"/>
                <w:szCs w:val="18"/>
              </w:rPr>
              <w:t>1、工资、奖金、津贴和补贴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14:paraId="51FBF7A8">
            <w:pPr>
              <w:spacing w:line="240" w:lineRule="exact"/>
              <w:jc w:val="right"/>
              <w:rPr>
                <w:rFonts w:ascii="宋体" w:hAnsi="宋体" w:eastAsia="宋体" w:cs="宋体"/>
                <w:sz w:val="18"/>
                <w:szCs w:val="18"/>
              </w:rPr>
            </w:pPr>
            <w:r>
              <w:rPr>
                <w:rFonts w:ascii="宋体" w:hAnsi="宋体" w:eastAsia="宋体" w:cs="宋体"/>
                <w:sz w:val="18"/>
                <w:szCs w:val="18"/>
              </w:rPr>
              <w:t>64,221,214.51</w:t>
            </w:r>
          </w:p>
        </w:tc>
        <w:tc>
          <w:tcPr>
            <w:tcW w:w="1928" w:type="dxa"/>
            <w:tcBorders>
              <w:top w:val="single" w:color="auto" w:sz="2" w:space="0"/>
              <w:left w:val="single" w:color="auto" w:sz="2" w:space="0"/>
              <w:bottom w:val="single" w:color="auto" w:sz="2" w:space="0"/>
              <w:right w:val="single" w:color="auto" w:sz="2" w:space="0"/>
            </w:tcBorders>
            <w:vAlign w:val="center"/>
          </w:tcPr>
          <w:p w14:paraId="6D616588">
            <w:pPr>
              <w:spacing w:line="240" w:lineRule="exact"/>
              <w:jc w:val="right"/>
              <w:rPr>
                <w:rFonts w:ascii="宋体" w:hAnsi="宋体" w:eastAsia="宋体" w:cs="宋体"/>
                <w:sz w:val="18"/>
                <w:szCs w:val="18"/>
              </w:rPr>
            </w:pPr>
            <w:r>
              <w:rPr>
                <w:rFonts w:ascii="宋体" w:hAnsi="宋体" w:eastAsia="宋体" w:cs="宋体"/>
                <w:sz w:val="18"/>
                <w:szCs w:val="18"/>
              </w:rPr>
              <w:t>742,688,831.26</w:t>
            </w:r>
          </w:p>
        </w:tc>
        <w:tc>
          <w:tcPr>
            <w:tcW w:w="1928" w:type="dxa"/>
            <w:tcBorders>
              <w:top w:val="single" w:color="auto" w:sz="2" w:space="0"/>
              <w:left w:val="single" w:color="auto" w:sz="2" w:space="0"/>
              <w:bottom w:val="single" w:color="auto" w:sz="2" w:space="0"/>
              <w:right w:val="single" w:color="auto" w:sz="2" w:space="0"/>
            </w:tcBorders>
            <w:vAlign w:val="center"/>
          </w:tcPr>
          <w:p w14:paraId="1DAAF6D8">
            <w:pPr>
              <w:spacing w:line="240" w:lineRule="exact"/>
              <w:jc w:val="right"/>
              <w:rPr>
                <w:rFonts w:ascii="宋体" w:hAnsi="宋体" w:eastAsia="宋体" w:cs="宋体"/>
                <w:sz w:val="18"/>
                <w:szCs w:val="18"/>
              </w:rPr>
            </w:pPr>
            <w:r>
              <w:rPr>
                <w:rFonts w:ascii="宋体" w:hAnsi="宋体" w:eastAsia="宋体" w:cs="宋体"/>
                <w:sz w:val="18"/>
                <w:szCs w:val="18"/>
              </w:rPr>
              <w:t>740,013,380.64</w:t>
            </w:r>
          </w:p>
        </w:tc>
        <w:tc>
          <w:tcPr>
            <w:tcW w:w="1928" w:type="dxa"/>
            <w:tcBorders>
              <w:top w:val="single" w:color="auto" w:sz="2" w:space="0"/>
              <w:left w:val="single" w:color="auto" w:sz="2" w:space="0"/>
              <w:bottom w:val="single" w:color="auto" w:sz="2" w:space="0"/>
              <w:right w:val="single" w:color="auto" w:sz="2" w:space="0"/>
            </w:tcBorders>
            <w:vAlign w:val="center"/>
          </w:tcPr>
          <w:p w14:paraId="420F3CC5">
            <w:pPr>
              <w:spacing w:line="240" w:lineRule="exact"/>
              <w:jc w:val="right"/>
              <w:rPr>
                <w:rFonts w:ascii="宋体" w:hAnsi="宋体" w:eastAsia="宋体" w:cs="宋体"/>
                <w:sz w:val="18"/>
                <w:szCs w:val="18"/>
              </w:rPr>
            </w:pPr>
            <w:r>
              <w:rPr>
                <w:rFonts w:ascii="宋体" w:hAnsi="宋体" w:eastAsia="宋体" w:cs="宋体"/>
                <w:sz w:val="18"/>
                <w:szCs w:val="18"/>
              </w:rPr>
              <w:t>66,896,665.13</w:t>
            </w:r>
          </w:p>
        </w:tc>
      </w:tr>
      <w:tr w14:paraId="6DB56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8E155CC">
            <w:pPr>
              <w:spacing w:before="40" w:after="40" w:line="240" w:lineRule="exact"/>
              <w:rPr>
                <w:rFonts w:ascii="宋体" w:hAnsi="宋体" w:eastAsia="宋体" w:cs="宋体"/>
                <w:sz w:val="18"/>
                <w:szCs w:val="18"/>
              </w:rPr>
            </w:pPr>
            <w:r>
              <w:rPr>
                <w:rFonts w:ascii="宋体" w:hAnsi="宋体" w:eastAsia="宋体" w:cs="宋体"/>
                <w:sz w:val="18"/>
                <w:szCs w:val="18"/>
              </w:rPr>
              <w:t>2、职工福利费</w:t>
            </w:r>
          </w:p>
        </w:tc>
        <w:tc>
          <w:tcPr>
            <w:tcW w:w="1928" w:type="dxa"/>
            <w:tcBorders>
              <w:top w:val="single" w:color="auto" w:sz="2" w:space="0"/>
              <w:left w:val="single" w:color="auto" w:sz="2" w:space="0"/>
              <w:bottom w:val="single" w:color="auto" w:sz="2" w:space="0"/>
              <w:right w:val="single" w:color="auto" w:sz="2" w:space="0"/>
            </w:tcBorders>
            <w:vAlign w:val="center"/>
          </w:tcPr>
          <w:p w14:paraId="7A759C81">
            <w:pPr>
              <w:spacing w:line="240" w:lineRule="exact"/>
              <w:jc w:val="right"/>
              <w:rPr>
                <w:rFonts w:ascii="宋体" w:hAnsi="宋体" w:eastAsia="宋体" w:cs="宋体"/>
                <w:sz w:val="18"/>
                <w:szCs w:val="18"/>
              </w:rPr>
            </w:pPr>
            <w:r>
              <w:rPr>
                <w:rFonts w:ascii="宋体" w:hAnsi="宋体" w:eastAsia="宋体" w:cs="宋体"/>
                <w:sz w:val="18"/>
                <w:szCs w:val="18"/>
              </w:rPr>
              <w:t>566,717.44</w:t>
            </w:r>
          </w:p>
        </w:tc>
        <w:tc>
          <w:tcPr>
            <w:tcW w:w="1928" w:type="dxa"/>
            <w:tcBorders>
              <w:top w:val="single" w:color="auto" w:sz="2" w:space="0"/>
              <w:left w:val="single" w:color="auto" w:sz="2" w:space="0"/>
              <w:bottom w:val="single" w:color="auto" w:sz="2" w:space="0"/>
              <w:right w:val="single" w:color="auto" w:sz="2" w:space="0"/>
            </w:tcBorders>
            <w:vAlign w:val="center"/>
          </w:tcPr>
          <w:p w14:paraId="3451C931">
            <w:pPr>
              <w:spacing w:line="240" w:lineRule="exact"/>
              <w:jc w:val="right"/>
              <w:rPr>
                <w:rFonts w:ascii="宋体" w:hAnsi="宋体" w:eastAsia="宋体" w:cs="宋体"/>
                <w:sz w:val="18"/>
                <w:szCs w:val="18"/>
              </w:rPr>
            </w:pPr>
            <w:r>
              <w:rPr>
                <w:rFonts w:ascii="宋体" w:hAnsi="宋体" w:eastAsia="宋体" w:cs="宋体"/>
                <w:sz w:val="18"/>
                <w:szCs w:val="18"/>
              </w:rPr>
              <w:t>10,504,529.22</w:t>
            </w:r>
          </w:p>
        </w:tc>
        <w:tc>
          <w:tcPr>
            <w:tcW w:w="1928" w:type="dxa"/>
            <w:tcBorders>
              <w:top w:val="single" w:color="auto" w:sz="2" w:space="0"/>
              <w:left w:val="single" w:color="auto" w:sz="2" w:space="0"/>
              <w:bottom w:val="single" w:color="auto" w:sz="2" w:space="0"/>
              <w:right w:val="single" w:color="auto" w:sz="2" w:space="0"/>
            </w:tcBorders>
            <w:vAlign w:val="center"/>
          </w:tcPr>
          <w:p w14:paraId="725F7689">
            <w:pPr>
              <w:spacing w:line="240" w:lineRule="exact"/>
              <w:jc w:val="right"/>
              <w:rPr>
                <w:rFonts w:ascii="宋体" w:hAnsi="宋体" w:eastAsia="宋体" w:cs="宋体"/>
                <w:sz w:val="18"/>
                <w:szCs w:val="18"/>
              </w:rPr>
            </w:pPr>
            <w:r>
              <w:rPr>
                <w:rFonts w:ascii="宋体" w:hAnsi="宋体" w:eastAsia="宋体" w:cs="宋体"/>
                <w:sz w:val="18"/>
                <w:szCs w:val="18"/>
              </w:rPr>
              <w:t>10,393,906.72</w:t>
            </w:r>
          </w:p>
        </w:tc>
        <w:tc>
          <w:tcPr>
            <w:tcW w:w="1928" w:type="dxa"/>
            <w:tcBorders>
              <w:top w:val="single" w:color="auto" w:sz="2" w:space="0"/>
              <w:left w:val="single" w:color="auto" w:sz="2" w:space="0"/>
              <w:bottom w:val="single" w:color="auto" w:sz="2" w:space="0"/>
              <w:right w:val="single" w:color="auto" w:sz="2" w:space="0"/>
            </w:tcBorders>
            <w:vAlign w:val="center"/>
          </w:tcPr>
          <w:p w14:paraId="645D2C47">
            <w:pPr>
              <w:spacing w:line="240" w:lineRule="exact"/>
              <w:jc w:val="right"/>
              <w:rPr>
                <w:rFonts w:ascii="宋体" w:hAnsi="宋体" w:eastAsia="宋体" w:cs="宋体"/>
                <w:sz w:val="18"/>
                <w:szCs w:val="18"/>
              </w:rPr>
            </w:pPr>
            <w:r>
              <w:rPr>
                <w:rFonts w:ascii="宋体" w:hAnsi="宋体" w:eastAsia="宋体" w:cs="宋体"/>
                <w:sz w:val="18"/>
                <w:szCs w:val="18"/>
              </w:rPr>
              <w:t>677,339.94</w:t>
            </w:r>
          </w:p>
        </w:tc>
      </w:tr>
      <w:tr w14:paraId="389C0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8B6271F">
            <w:pPr>
              <w:spacing w:before="40" w:after="40" w:line="240" w:lineRule="exact"/>
              <w:rPr>
                <w:rFonts w:ascii="宋体" w:hAnsi="宋体" w:eastAsia="宋体" w:cs="宋体"/>
                <w:sz w:val="18"/>
                <w:szCs w:val="18"/>
              </w:rPr>
            </w:pPr>
            <w:r>
              <w:rPr>
                <w:rFonts w:ascii="宋体" w:hAnsi="宋体" w:eastAsia="宋体" w:cs="宋体"/>
                <w:sz w:val="18"/>
                <w:szCs w:val="18"/>
              </w:rPr>
              <w:t>3、社会保险费</w:t>
            </w:r>
          </w:p>
        </w:tc>
        <w:tc>
          <w:tcPr>
            <w:tcW w:w="1928" w:type="dxa"/>
            <w:tcBorders>
              <w:top w:val="single" w:color="auto" w:sz="2" w:space="0"/>
              <w:left w:val="single" w:color="auto" w:sz="2" w:space="0"/>
              <w:bottom w:val="single" w:color="auto" w:sz="2" w:space="0"/>
              <w:right w:val="single" w:color="auto" w:sz="2" w:space="0"/>
            </w:tcBorders>
            <w:vAlign w:val="center"/>
          </w:tcPr>
          <w:p w14:paraId="556FF0E8">
            <w:pPr>
              <w:spacing w:line="240" w:lineRule="exact"/>
              <w:jc w:val="right"/>
              <w:rPr>
                <w:rFonts w:ascii="宋体" w:hAnsi="宋体" w:eastAsia="宋体" w:cs="宋体"/>
                <w:sz w:val="18"/>
                <w:szCs w:val="18"/>
              </w:rPr>
            </w:pPr>
            <w:r>
              <w:rPr>
                <w:rFonts w:ascii="宋体" w:hAnsi="宋体" w:eastAsia="宋体" w:cs="宋体"/>
                <w:sz w:val="18"/>
                <w:szCs w:val="18"/>
              </w:rPr>
              <w:t>2,946,232.67</w:t>
            </w:r>
          </w:p>
        </w:tc>
        <w:tc>
          <w:tcPr>
            <w:tcW w:w="1928" w:type="dxa"/>
            <w:tcBorders>
              <w:top w:val="single" w:color="auto" w:sz="2" w:space="0"/>
              <w:left w:val="single" w:color="auto" w:sz="2" w:space="0"/>
              <w:bottom w:val="single" w:color="auto" w:sz="2" w:space="0"/>
              <w:right w:val="single" w:color="auto" w:sz="2" w:space="0"/>
            </w:tcBorders>
            <w:vAlign w:val="center"/>
          </w:tcPr>
          <w:p w14:paraId="02A33746">
            <w:pPr>
              <w:spacing w:line="240" w:lineRule="exact"/>
              <w:jc w:val="right"/>
              <w:rPr>
                <w:rFonts w:ascii="宋体" w:hAnsi="宋体" w:eastAsia="宋体" w:cs="宋体"/>
                <w:sz w:val="18"/>
                <w:szCs w:val="18"/>
              </w:rPr>
            </w:pPr>
            <w:r>
              <w:rPr>
                <w:rFonts w:ascii="宋体" w:hAnsi="宋体" w:eastAsia="宋体" w:cs="宋体"/>
                <w:sz w:val="18"/>
                <w:szCs w:val="18"/>
              </w:rPr>
              <w:t>33,091,440.44</w:t>
            </w:r>
          </w:p>
        </w:tc>
        <w:tc>
          <w:tcPr>
            <w:tcW w:w="1928" w:type="dxa"/>
            <w:tcBorders>
              <w:top w:val="single" w:color="auto" w:sz="2" w:space="0"/>
              <w:left w:val="single" w:color="auto" w:sz="2" w:space="0"/>
              <w:bottom w:val="single" w:color="auto" w:sz="2" w:space="0"/>
              <w:right w:val="single" w:color="auto" w:sz="2" w:space="0"/>
            </w:tcBorders>
            <w:vAlign w:val="center"/>
          </w:tcPr>
          <w:p w14:paraId="359EA850">
            <w:pPr>
              <w:spacing w:line="240" w:lineRule="exact"/>
              <w:jc w:val="right"/>
              <w:rPr>
                <w:rFonts w:ascii="宋体" w:hAnsi="宋体" w:eastAsia="宋体" w:cs="宋体"/>
                <w:sz w:val="18"/>
                <w:szCs w:val="18"/>
              </w:rPr>
            </w:pPr>
            <w:r>
              <w:rPr>
                <w:rFonts w:ascii="宋体" w:hAnsi="宋体" w:eastAsia="宋体" w:cs="宋体"/>
                <w:sz w:val="18"/>
                <w:szCs w:val="18"/>
              </w:rPr>
              <w:t>33,119,050.92</w:t>
            </w:r>
          </w:p>
        </w:tc>
        <w:tc>
          <w:tcPr>
            <w:tcW w:w="1928" w:type="dxa"/>
            <w:tcBorders>
              <w:top w:val="single" w:color="auto" w:sz="2" w:space="0"/>
              <w:left w:val="single" w:color="auto" w:sz="2" w:space="0"/>
              <w:bottom w:val="single" w:color="auto" w:sz="2" w:space="0"/>
              <w:right w:val="single" w:color="auto" w:sz="2" w:space="0"/>
            </w:tcBorders>
            <w:vAlign w:val="center"/>
          </w:tcPr>
          <w:p w14:paraId="09892605">
            <w:pPr>
              <w:spacing w:line="240" w:lineRule="exact"/>
              <w:jc w:val="right"/>
              <w:rPr>
                <w:rFonts w:ascii="宋体" w:hAnsi="宋体" w:eastAsia="宋体" w:cs="宋体"/>
                <w:sz w:val="18"/>
                <w:szCs w:val="18"/>
              </w:rPr>
            </w:pPr>
            <w:r>
              <w:rPr>
                <w:rFonts w:ascii="宋体" w:hAnsi="宋体" w:eastAsia="宋体" w:cs="宋体"/>
                <w:sz w:val="18"/>
                <w:szCs w:val="18"/>
              </w:rPr>
              <w:t>2,918,622.19</w:t>
            </w:r>
          </w:p>
        </w:tc>
      </w:tr>
      <w:tr w14:paraId="3D3FF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D4398A5">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其中：医疗保险费</w:t>
            </w:r>
          </w:p>
        </w:tc>
        <w:tc>
          <w:tcPr>
            <w:tcW w:w="1928" w:type="dxa"/>
            <w:tcBorders>
              <w:top w:val="single" w:color="auto" w:sz="2" w:space="0"/>
              <w:left w:val="single" w:color="auto" w:sz="2" w:space="0"/>
              <w:bottom w:val="single" w:color="auto" w:sz="2" w:space="0"/>
              <w:right w:val="single" w:color="auto" w:sz="2" w:space="0"/>
            </w:tcBorders>
            <w:vAlign w:val="center"/>
          </w:tcPr>
          <w:p w14:paraId="3B454AD1">
            <w:pPr>
              <w:spacing w:line="240" w:lineRule="exact"/>
              <w:jc w:val="right"/>
              <w:rPr>
                <w:rFonts w:ascii="宋体" w:hAnsi="宋体" w:eastAsia="宋体" w:cs="宋体"/>
                <w:sz w:val="18"/>
                <w:szCs w:val="18"/>
              </w:rPr>
            </w:pPr>
            <w:r>
              <w:rPr>
                <w:rFonts w:ascii="宋体" w:hAnsi="宋体" w:eastAsia="宋体" w:cs="宋体"/>
                <w:sz w:val="18"/>
                <w:szCs w:val="18"/>
              </w:rPr>
              <w:t>2,900,578.05</w:t>
            </w:r>
          </w:p>
        </w:tc>
        <w:tc>
          <w:tcPr>
            <w:tcW w:w="1928" w:type="dxa"/>
            <w:tcBorders>
              <w:top w:val="single" w:color="auto" w:sz="2" w:space="0"/>
              <w:left w:val="single" w:color="auto" w:sz="2" w:space="0"/>
              <w:bottom w:val="single" w:color="auto" w:sz="2" w:space="0"/>
              <w:right w:val="single" w:color="auto" w:sz="2" w:space="0"/>
            </w:tcBorders>
            <w:vAlign w:val="center"/>
          </w:tcPr>
          <w:p w14:paraId="6BD86713">
            <w:pPr>
              <w:spacing w:line="240" w:lineRule="exact"/>
              <w:jc w:val="right"/>
              <w:rPr>
                <w:rFonts w:ascii="宋体" w:hAnsi="宋体" w:eastAsia="宋体" w:cs="宋体"/>
                <w:sz w:val="18"/>
                <w:szCs w:val="18"/>
              </w:rPr>
            </w:pPr>
            <w:r>
              <w:rPr>
                <w:rFonts w:ascii="宋体" w:hAnsi="宋体" w:eastAsia="宋体" w:cs="宋体"/>
                <w:sz w:val="18"/>
                <w:szCs w:val="18"/>
              </w:rPr>
              <w:t>29,504,660.60</w:t>
            </w:r>
          </w:p>
        </w:tc>
        <w:tc>
          <w:tcPr>
            <w:tcW w:w="1928" w:type="dxa"/>
            <w:tcBorders>
              <w:top w:val="single" w:color="auto" w:sz="2" w:space="0"/>
              <w:left w:val="single" w:color="auto" w:sz="2" w:space="0"/>
              <w:bottom w:val="single" w:color="auto" w:sz="2" w:space="0"/>
              <w:right w:val="single" w:color="auto" w:sz="2" w:space="0"/>
            </w:tcBorders>
            <w:vAlign w:val="center"/>
          </w:tcPr>
          <w:p w14:paraId="7E09073B">
            <w:pPr>
              <w:spacing w:line="240" w:lineRule="exact"/>
              <w:jc w:val="right"/>
              <w:rPr>
                <w:rFonts w:ascii="宋体" w:hAnsi="宋体" w:eastAsia="宋体" w:cs="宋体"/>
                <w:sz w:val="18"/>
                <w:szCs w:val="18"/>
              </w:rPr>
            </w:pPr>
            <w:r>
              <w:rPr>
                <w:rFonts w:ascii="宋体" w:hAnsi="宋体" w:eastAsia="宋体" w:cs="宋体"/>
                <w:sz w:val="18"/>
                <w:szCs w:val="18"/>
              </w:rPr>
              <w:t>29,527,655.78</w:t>
            </w:r>
          </w:p>
        </w:tc>
        <w:tc>
          <w:tcPr>
            <w:tcW w:w="1928" w:type="dxa"/>
            <w:tcBorders>
              <w:top w:val="single" w:color="auto" w:sz="2" w:space="0"/>
              <w:left w:val="single" w:color="auto" w:sz="2" w:space="0"/>
              <w:bottom w:val="single" w:color="auto" w:sz="2" w:space="0"/>
              <w:right w:val="single" w:color="auto" w:sz="2" w:space="0"/>
            </w:tcBorders>
            <w:vAlign w:val="center"/>
          </w:tcPr>
          <w:p w14:paraId="1628D866">
            <w:pPr>
              <w:spacing w:line="240" w:lineRule="exact"/>
              <w:jc w:val="right"/>
              <w:rPr>
                <w:rFonts w:ascii="宋体" w:hAnsi="宋体" w:eastAsia="宋体" w:cs="宋体"/>
                <w:sz w:val="18"/>
                <w:szCs w:val="18"/>
              </w:rPr>
            </w:pPr>
            <w:r>
              <w:rPr>
                <w:rFonts w:ascii="宋体" w:hAnsi="宋体" w:eastAsia="宋体" w:cs="宋体"/>
                <w:sz w:val="18"/>
                <w:szCs w:val="18"/>
              </w:rPr>
              <w:t>2,877,582.87</w:t>
            </w:r>
          </w:p>
        </w:tc>
      </w:tr>
      <w:tr w14:paraId="2C60F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237753E">
            <w:pPr>
              <w:spacing w:before="40" w:after="40" w:line="240" w:lineRule="exact"/>
              <w:ind w:firstLine="900" w:firstLineChars="500"/>
              <w:rPr>
                <w:rFonts w:ascii="宋体" w:hAnsi="宋体" w:eastAsia="宋体" w:cs="宋体"/>
                <w:sz w:val="18"/>
                <w:szCs w:val="18"/>
              </w:rPr>
            </w:pPr>
            <w:r>
              <w:rPr>
                <w:rFonts w:ascii="宋体" w:hAnsi="宋体" w:eastAsia="宋体" w:cs="宋体"/>
                <w:sz w:val="18"/>
                <w:szCs w:val="18"/>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14:paraId="00C8B60E">
            <w:pPr>
              <w:spacing w:line="240" w:lineRule="exact"/>
              <w:jc w:val="right"/>
              <w:rPr>
                <w:rFonts w:ascii="宋体" w:hAnsi="宋体" w:eastAsia="宋体" w:cs="宋体"/>
                <w:sz w:val="18"/>
                <w:szCs w:val="18"/>
              </w:rPr>
            </w:pPr>
            <w:r>
              <w:rPr>
                <w:rFonts w:ascii="宋体" w:hAnsi="宋体" w:eastAsia="宋体" w:cs="宋体"/>
                <w:sz w:val="18"/>
                <w:szCs w:val="18"/>
              </w:rPr>
              <w:t>45,654.62</w:t>
            </w:r>
          </w:p>
        </w:tc>
        <w:tc>
          <w:tcPr>
            <w:tcW w:w="1928" w:type="dxa"/>
            <w:tcBorders>
              <w:top w:val="single" w:color="auto" w:sz="2" w:space="0"/>
              <w:left w:val="single" w:color="auto" w:sz="2" w:space="0"/>
              <w:bottom w:val="single" w:color="auto" w:sz="2" w:space="0"/>
              <w:right w:val="single" w:color="auto" w:sz="2" w:space="0"/>
            </w:tcBorders>
            <w:vAlign w:val="center"/>
          </w:tcPr>
          <w:p w14:paraId="4FF24D5B">
            <w:pPr>
              <w:spacing w:line="240" w:lineRule="exact"/>
              <w:jc w:val="right"/>
              <w:rPr>
                <w:rFonts w:ascii="宋体" w:hAnsi="宋体" w:eastAsia="宋体" w:cs="宋体"/>
                <w:sz w:val="18"/>
                <w:szCs w:val="18"/>
              </w:rPr>
            </w:pPr>
            <w:r>
              <w:rPr>
                <w:rFonts w:ascii="宋体" w:hAnsi="宋体" w:eastAsia="宋体" w:cs="宋体"/>
                <w:sz w:val="18"/>
                <w:szCs w:val="18"/>
              </w:rPr>
              <w:t>3,432,153.16</w:t>
            </w:r>
          </w:p>
        </w:tc>
        <w:tc>
          <w:tcPr>
            <w:tcW w:w="1928" w:type="dxa"/>
            <w:tcBorders>
              <w:top w:val="single" w:color="auto" w:sz="2" w:space="0"/>
              <w:left w:val="single" w:color="auto" w:sz="2" w:space="0"/>
              <w:bottom w:val="single" w:color="auto" w:sz="2" w:space="0"/>
              <w:right w:val="single" w:color="auto" w:sz="2" w:space="0"/>
            </w:tcBorders>
            <w:vAlign w:val="center"/>
          </w:tcPr>
          <w:p w14:paraId="4C604C39">
            <w:pPr>
              <w:spacing w:line="240" w:lineRule="exact"/>
              <w:jc w:val="right"/>
              <w:rPr>
                <w:rFonts w:ascii="宋体" w:hAnsi="宋体" w:eastAsia="宋体" w:cs="宋体"/>
                <w:sz w:val="18"/>
                <w:szCs w:val="18"/>
              </w:rPr>
            </w:pPr>
            <w:r>
              <w:rPr>
                <w:rFonts w:ascii="宋体" w:hAnsi="宋体" w:eastAsia="宋体" w:cs="宋体"/>
                <w:sz w:val="18"/>
                <w:szCs w:val="18"/>
              </w:rPr>
              <w:t>3,436,768.46</w:t>
            </w:r>
          </w:p>
        </w:tc>
        <w:tc>
          <w:tcPr>
            <w:tcW w:w="1928" w:type="dxa"/>
            <w:tcBorders>
              <w:top w:val="single" w:color="auto" w:sz="2" w:space="0"/>
              <w:left w:val="single" w:color="auto" w:sz="2" w:space="0"/>
              <w:bottom w:val="single" w:color="auto" w:sz="2" w:space="0"/>
              <w:right w:val="single" w:color="auto" w:sz="2" w:space="0"/>
            </w:tcBorders>
            <w:vAlign w:val="center"/>
          </w:tcPr>
          <w:p w14:paraId="4E76BF42">
            <w:pPr>
              <w:spacing w:line="240" w:lineRule="exact"/>
              <w:jc w:val="right"/>
              <w:rPr>
                <w:rFonts w:ascii="宋体" w:hAnsi="宋体" w:eastAsia="宋体" w:cs="宋体"/>
                <w:sz w:val="18"/>
                <w:szCs w:val="18"/>
              </w:rPr>
            </w:pPr>
            <w:r>
              <w:rPr>
                <w:rFonts w:ascii="宋体" w:hAnsi="宋体" w:eastAsia="宋体" w:cs="宋体"/>
                <w:sz w:val="18"/>
                <w:szCs w:val="18"/>
              </w:rPr>
              <w:t>41,039.32</w:t>
            </w:r>
          </w:p>
        </w:tc>
      </w:tr>
      <w:tr w14:paraId="144C0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B8427B8">
            <w:pPr>
              <w:spacing w:before="40" w:after="40" w:line="240" w:lineRule="exact"/>
              <w:ind w:firstLine="900" w:firstLineChars="500"/>
              <w:rPr>
                <w:rFonts w:ascii="宋体" w:hAnsi="宋体" w:eastAsia="宋体" w:cs="宋体"/>
                <w:sz w:val="18"/>
                <w:szCs w:val="18"/>
              </w:rPr>
            </w:pPr>
            <w:r>
              <w:rPr>
                <w:rFonts w:ascii="宋体" w:hAnsi="宋体" w:eastAsia="宋体" w:cs="宋体"/>
                <w:sz w:val="18"/>
                <w:szCs w:val="18"/>
              </w:rPr>
              <w:t>生育保险费</w:t>
            </w:r>
          </w:p>
        </w:tc>
        <w:tc>
          <w:tcPr>
            <w:tcW w:w="1928" w:type="dxa"/>
            <w:tcBorders>
              <w:top w:val="single" w:color="auto" w:sz="2" w:space="0"/>
              <w:left w:val="single" w:color="auto" w:sz="2" w:space="0"/>
              <w:bottom w:val="single" w:color="auto" w:sz="2" w:space="0"/>
              <w:right w:val="single" w:color="auto" w:sz="2" w:space="0"/>
            </w:tcBorders>
            <w:vAlign w:val="center"/>
          </w:tcPr>
          <w:p w14:paraId="7C4A8FFB">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5AE599A">
            <w:pPr>
              <w:spacing w:line="240" w:lineRule="exact"/>
              <w:jc w:val="right"/>
              <w:rPr>
                <w:rFonts w:ascii="宋体" w:hAnsi="宋体" w:eastAsia="宋体" w:cs="宋体"/>
                <w:sz w:val="18"/>
                <w:szCs w:val="18"/>
              </w:rPr>
            </w:pPr>
            <w:r>
              <w:rPr>
                <w:rFonts w:ascii="宋体" w:hAnsi="宋体" w:eastAsia="宋体" w:cs="宋体"/>
                <w:sz w:val="18"/>
                <w:szCs w:val="18"/>
              </w:rPr>
              <w:t>154,626.68</w:t>
            </w:r>
          </w:p>
        </w:tc>
        <w:tc>
          <w:tcPr>
            <w:tcW w:w="1928" w:type="dxa"/>
            <w:tcBorders>
              <w:top w:val="single" w:color="auto" w:sz="2" w:space="0"/>
              <w:left w:val="single" w:color="auto" w:sz="2" w:space="0"/>
              <w:bottom w:val="single" w:color="auto" w:sz="2" w:space="0"/>
              <w:right w:val="single" w:color="auto" w:sz="2" w:space="0"/>
            </w:tcBorders>
            <w:vAlign w:val="center"/>
          </w:tcPr>
          <w:p w14:paraId="2D5FD323">
            <w:pPr>
              <w:spacing w:line="240" w:lineRule="exact"/>
              <w:jc w:val="right"/>
              <w:rPr>
                <w:rFonts w:ascii="宋体" w:hAnsi="宋体" w:eastAsia="宋体" w:cs="宋体"/>
                <w:sz w:val="18"/>
                <w:szCs w:val="18"/>
              </w:rPr>
            </w:pPr>
            <w:r>
              <w:rPr>
                <w:rFonts w:ascii="宋体" w:hAnsi="宋体" w:eastAsia="宋体" w:cs="宋体"/>
                <w:sz w:val="18"/>
                <w:szCs w:val="18"/>
              </w:rPr>
              <w:t>154,626.68</w:t>
            </w:r>
          </w:p>
        </w:tc>
        <w:tc>
          <w:tcPr>
            <w:tcW w:w="1928" w:type="dxa"/>
            <w:tcBorders>
              <w:top w:val="single" w:color="auto" w:sz="2" w:space="0"/>
              <w:left w:val="single" w:color="auto" w:sz="2" w:space="0"/>
              <w:bottom w:val="single" w:color="auto" w:sz="2" w:space="0"/>
              <w:right w:val="single" w:color="auto" w:sz="2" w:space="0"/>
            </w:tcBorders>
            <w:vAlign w:val="center"/>
          </w:tcPr>
          <w:p w14:paraId="794FE6DB">
            <w:pPr>
              <w:spacing w:line="240" w:lineRule="exact"/>
              <w:jc w:val="right"/>
              <w:rPr>
                <w:rFonts w:ascii="宋体" w:hAnsi="宋体" w:eastAsia="宋体" w:cs="宋体"/>
                <w:sz w:val="18"/>
                <w:szCs w:val="18"/>
              </w:rPr>
            </w:pPr>
          </w:p>
        </w:tc>
      </w:tr>
      <w:tr w14:paraId="3D50D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7469E57">
            <w:pPr>
              <w:spacing w:before="40" w:after="40" w:line="240" w:lineRule="exact"/>
              <w:rPr>
                <w:rFonts w:ascii="宋体" w:hAnsi="宋体" w:eastAsia="宋体" w:cs="宋体"/>
                <w:sz w:val="18"/>
                <w:szCs w:val="18"/>
              </w:rPr>
            </w:pPr>
            <w:r>
              <w:rPr>
                <w:rFonts w:ascii="宋体" w:hAnsi="宋体" w:eastAsia="宋体" w:cs="宋体"/>
                <w:sz w:val="18"/>
                <w:szCs w:val="18"/>
              </w:rPr>
              <w:t>4、住房公积金</w:t>
            </w:r>
          </w:p>
        </w:tc>
        <w:tc>
          <w:tcPr>
            <w:tcW w:w="1928" w:type="dxa"/>
            <w:tcBorders>
              <w:top w:val="single" w:color="auto" w:sz="2" w:space="0"/>
              <w:left w:val="single" w:color="auto" w:sz="2" w:space="0"/>
              <w:bottom w:val="single" w:color="auto" w:sz="2" w:space="0"/>
              <w:right w:val="single" w:color="auto" w:sz="2" w:space="0"/>
            </w:tcBorders>
            <w:vAlign w:val="center"/>
          </w:tcPr>
          <w:p w14:paraId="1889AC7A">
            <w:pPr>
              <w:spacing w:line="240" w:lineRule="exact"/>
              <w:jc w:val="right"/>
              <w:rPr>
                <w:rFonts w:ascii="宋体" w:hAnsi="宋体" w:eastAsia="宋体" w:cs="宋体"/>
                <w:sz w:val="18"/>
                <w:szCs w:val="18"/>
              </w:rPr>
            </w:pPr>
            <w:r>
              <w:rPr>
                <w:rFonts w:ascii="宋体" w:hAnsi="宋体" w:eastAsia="宋体" w:cs="宋体"/>
                <w:sz w:val="18"/>
                <w:szCs w:val="18"/>
              </w:rPr>
              <w:t>117,147.00</w:t>
            </w:r>
          </w:p>
        </w:tc>
        <w:tc>
          <w:tcPr>
            <w:tcW w:w="1928" w:type="dxa"/>
            <w:tcBorders>
              <w:top w:val="single" w:color="auto" w:sz="2" w:space="0"/>
              <w:left w:val="single" w:color="auto" w:sz="2" w:space="0"/>
              <w:bottom w:val="single" w:color="auto" w:sz="2" w:space="0"/>
              <w:right w:val="single" w:color="auto" w:sz="2" w:space="0"/>
            </w:tcBorders>
            <w:vAlign w:val="center"/>
          </w:tcPr>
          <w:p w14:paraId="1EA256B1">
            <w:pPr>
              <w:spacing w:line="240" w:lineRule="exact"/>
              <w:jc w:val="right"/>
              <w:rPr>
                <w:rFonts w:ascii="宋体" w:hAnsi="宋体" w:eastAsia="宋体" w:cs="宋体"/>
                <w:sz w:val="18"/>
                <w:szCs w:val="18"/>
              </w:rPr>
            </w:pPr>
            <w:r>
              <w:rPr>
                <w:rFonts w:ascii="宋体" w:hAnsi="宋体" w:eastAsia="宋体" w:cs="宋体"/>
                <w:sz w:val="18"/>
                <w:szCs w:val="18"/>
              </w:rPr>
              <w:t>1,942,374.84</w:t>
            </w:r>
          </w:p>
        </w:tc>
        <w:tc>
          <w:tcPr>
            <w:tcW w:w="1928" w:type="dxa"/>
            <w:tcBorders>
              <w:top w:val="single" w:color="auto" w:sz="2" w:space="0"/>
              <w:left w:val="single" w:color="auto" w:sz="2" w:space="0"/>
              <w:bottom w:val="single" w:color="auto" w:sz="2" w:space="0"/>
              <w:right w:val="single" w:color="auto" w:sz="2" w:space="0"/>
            </w:tcBorders>
            <w:vAlign w:val="center"/>
          </w:tcPr>
          <w:p w14:paraId="12886493">
            <w:pPr>
              <w:spacing w:line="240" w:lineRule="exact"/>
              <w:jc w:val="right"/>
              <w:rPr>
                <w:rFonts w:ascii="宋体" w:hAnsi="宋体" w:eastAsia="宋体" w:cs="宋体"/>
                <w:sz w:val="18"/>
                <w:szCs w:val="18"/>
              </w:rPr>
            </w:pPr>
            <w:r>
              <w:rPr>
                <w:rFonts w:ascii="宋体" w:hAnsi="宋体" w:eastAsia="宋体" w:cs="宋体"/>
                <w:sz w:val="18"/>
                <w:szCs w:val="18"/>
              </w:rPr>
              <w:t>1,942,874.84</w:t>
            </w:r>
          </w:p>
        </w:tc>
        <w:tc>
          <w:tcPr>
            <w:tcW w:w="1928" w:type="dxa"/>
            <w:tcBorders>
              <w:top w:val="single" w:color="auto" w:sz="2" w:space="0"/>
              <w:left w:val="single" w:color="auto" w:sz="2" w:space="0"/>
              <w:bottom w:val="single" w:color="auto" w:sz="2" w:space="0"/>
              <w:right w:val="single" w:color="auto" w:sz="2" w:space="0"/>
            </w:tcBorders>
            <w:vAlign w:val="center"/>
          </w:tcPr>
          <w:p w14:paraId="7E447318">
            <w:pPr>
              <w:spacing w:line="240" w:lineRule="exact"/>
              <w:jc w:val="right"/>
              <w:rPr>
                <w:rFonts w:ascii="宋体" w:hAnsi="宋体" w:eastAsia="宋体" w:cs="宋体"/>
                <w:sz w:val="18"/>
                <w:szCs w:val="18"/>
              </w:rPr>
            </w:pPr>
            <w:r>
              <w:rPr>
                <w:rFonts w:ascii="宋体" w:hAnsi="宋体" w:eastAsia="宋体" w:cs="宋体"/>
                <w:sz w:val="18"/>
                <w:szCs w:val="18"/>
              </w:rPr>
              <w:t>116,647.00</w:t>
            </w:r>
          </w:p>
        </w:tc>
      </w:tr>
      <w:tr w14:paraId="55092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0BD7206">
            <w:pPr>
              <w:spacing w:before="40" w:after="40" w:line="240" w:lineRule="exact"/>
              <w:rPr>
                <w:rFonts w:ascii="宋体" w:hAnsi="宋体" w:eastAsia="宋体" w:cs="宋体"/>
                <w:sz w:val="18"/>
                <w:szCs w:val="18"/>
              </w:rPr>
            </w:pPr>
            <w:r>
              <w:rPr>
                <w:rFonts w:ascii="宋体" w:hAnsi="宋体" w:eastAsia="宋体" w:cs="宋体"/>
                <w:sz w:val="18"/>
                <w:szCs w:val="18"/>
              </w:rPr>
              <w:t>5、工会经费和职工教育经费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14:paraId="5257B049">
            <w:pPr>
              <w:spacing w:line="240" w:lineRule="exact"/>
              <w:jc w:val="right"/>
              <w:rPr>
                <w:rFonts w:ascii="宋体" w:hAnsi="宋体" w:eastAsia="宋体" w:cs="宋体"/>
                <w:sz w:val="18"/>
                <w:szCs w:val="18"/>
              </w:rPr>
            </w:pPr>
            <w:r>
              <w:rPr>
                <w:rFonts w:ascii="宋体" w:hAnsi="宋体" w:eastAsia="宋体" w:cs="宋体"/>
                <w:sz w:val="18"/>
                <w:szCs w:val="18"/>
              </w:rPr>
              <w:t>2,609,812.83</w:t>
            </w:r>
          </w:p>
        </w:tc>
        <w:tc>
          <w:tcPr>
            <w:tcW w:w="1928" w:type="dxa"/>
            <w:tcBorders>
              <w:top w:val="single" w:color="auto" w:sz="2" w:space="0"/>
              <w:left w:val="single" w:color="auto" w:sz="2" w:space="0"/>
              <w:bottom w:val="single" w:color="auto" w:sz="2" w:space="0"/>
              <w:right w:val="single" w:color="auto" w:sz="2" w:space="0"/>
            </w:tcBorders>
            <w:vAlign w:val="center"/>
          </w:tcPr>
          <w:p w14:paraId="2DB5F622">
            <w:pPr>
              <w:spacing w:line="240" w:lineRule="exact"/>
              <w:jc w:val="right"/>
              <w:rPr>
                <w:rFonts w:ascii="宋体" w:hAnsi="宋体" w:eastAsia="宋体" w:cs="宋体"/>
                <w:sz w:val="18"/>
                <w:szCs w:val="18"/>
              </w:rPr>
            </w:pPr>
            <w:r>
              <w:rPr>
                <w:rFonts w:ascii="宋体" w:hAnsi="宋体" w:eastAsia="宋体" w:cs="宋体"/>
                <w:sz w:val="18"/>
                <w:szCs w:val="18"/>
              </w:rPr>
              <w:t>1,469,525.57</w:t>
            </w:r>
          </w:p>
        </w:tc>
        <w:tc>
          <w:tcPr>
            <w:tcW w:w="1928" w:type="dxa"/>
            <w:tcBorders>
              <w:top w:val="single" w:color="auto" w:sz="2" w:space="0"/>
              <w:left w:val="single" w:color="auto" w:sz="2" w:space="0"/>
              <w:bottom w:val="single" w:color="auto" w:sz="2" w:space="0"/>
              <w:right w:val="single" w:color="auto" w:sz="2" w:space="0"/>
            </w:tcBorders>
            <w:vAlign w:val="center"/>
          </w:tcPr>
          <w:p w14:paraId="5E1B149D">
            <w:pPr>
              <w:spacing w:line="240" w:lineRule="exact"/>
              <w:jc w:val="right"/>
              <w:rPr>
                <w:rFonts w:ascii="宋体" w:hAnsi="宋体" w:eastAsia="宋体" w:cs="宋体"/>
                <w:sz w:val="18"/>
                <w:szCs w:val="18"/>
              </w:rPr>
            </w:pPr>
            <w:r>
              <w:rPr>
                <w:rFonts w:ascii="宋体" w:hAnsi="宋体" w:eastAsia="宋体" w:cs="宋体"/>
                <w:sz w:val="18"/>
                <w:szCs w:val="18"/>
              </w:rPr>
              <w:t>2,866,756.29</w:t>
            </w:r>
          </w:p>
        </w:tc>
        <w:tc>
          <w:tcPr>
            <w:tcW w:w="1928" w:type="dxa"/>
            <w:tcBorders>
              <w:top w:val="single" w:color="auto" w:sz="2" w:space="0"/>
              <w:left w:val="single" w:color="auto" w:sz="2" w:space="0"/>
              <w:bottom w:val="single" w:color="auto" w:sz="2" w:space="0"/>
              <w:right w:val="single" w:color="auto" w:sz="2" w:space="0"/>
            </w:tcBorders>
            <w:vAlign w:val="center"/>
          </w:tcPr>
          <w:p w14:paraId="500B9C9D">
            <w:pPr>
              <w:spacing w:line="240" w:lineRule="exact"/>
              <w:jc w:val="right"/>
              <w:rPr>
                <w:rFonts w:ascii="宋体" w:hAnsi="宋体" w:eastAsia="宋体" w:cs="宋体"/>
                <w:sz w:val="18"/>
                <w:szCs w:val="18"/>
              </w:rPr>
            </w:pPr>
            <w:r>
              <w:rPr>
                <w:rFonts w:ascii="宋体" w:hAnsi="宋体" w:eastAsia="宋体" w:cs="宋体"/>
                <w:sz w:val="18"/>
                <w:szCs w:val="18"/>
              </w:rPr>
              <w:t>1,212,582.11</w:t>
            </w:r>
          </w:p>
        </w:tc>
      </w:tr>
      <w:tr w14:paraId="16093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EA50C26">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690AD8B9">
            <w:pPr>
              <w:spacing w:line="240" w:lineRule="exact"/>
              <w:jc w:val="right"/>
              <w:rPr>
                <w:rFonts w:ascii="宋体" w:hAnsi="宋体" w:eastAsia="宋体" w:cs="宋体"/>
                <w:sz w:val="18"/>
                <w:szCs w:val="18"/>
              </w:rPr>
            </w:pPr>
            <w:r>
              <w:rPr>
                <w:rFonts w:ascii="宋体" w:hAnsi="宋体" w:eastAsia="宋体" w:cs="宋体"/>
                <w:sz w:val="18"/>
                <w:szCs w:val="18"/>
              </w:rPr>
              <w:t>70,461,124.45</w:t>
            </w:r>
          </w:p>
        </w:tc>
        <w:tc>
          <w:tcPr>
            <w:tcW w:w="1928" w:type="dxa"/>
            <w:tcBorders>
              <w:top w:val="single" w:color="auto" w:sz="2" w:space="0"/>
              <w:left w:val="single" w:color="auto" w:sz="2" w:space="0"/>
              <w:bottom w:val="single" w:color="auto" w:sz="2" w:space="0"/>
              <w:right w:val="single" w:color="auto" w:sz="2" w:space="0"/>
            </w:tcBorders>
            <w:vAlign w:val="center"/>
          </w:tcPr>
          <w:p w14:paraId="2CAF63BD">
            <w:pPr>
              <w:spacing w:line="240" w:lineRule="exact"/>
              <w:jc w:val="right"/>
              <w:rPr>
                <w:rFonts w:ascii="宋体" w:hAnsi="宋体" w:eastAsia="宋体" w:cs="宋体"/>
                <w:sz w:val="18"/>
                <w:szCs w:val="18"/>
              </w:rPr>
            </w:pPr>
            <w:r>
              <w:rPr>
                <w:rFonts w:ascii="宋体" w:hAnsi="宋体" w:eastAsia="宋体" w:cs="宋体"/>
                <w:sz w:val="18"/>
                <w:szCs w:val="18"/>
              </w:rPr>
              <w:t>789,696,701.33</w:t>
            </w:r>
          </w:p>
        </w:tc>
        <w:tc>
          <w:tcPr>
            <w:tcW w:w="1928" w:type="dxa"/>
            <w:tcBorders>
              <w:top w:val="single" w:color="auto" w:sz="2" w:space="0"/>
              <w:left w:val="single" w:color="auto" w:sz="2" w:space="0"/>
              <w:bottom w:val="single" w:color="auto" w:sz="2" w:space="0"/>
              <w:right w:val="single" w:color="auto" w:sz="2" w:space="0"/>
            </w:tcBorders>
            <w:vAlign w:val="center"/>
          </w:tcPr>
          <w:p w14:paraId="0ED028CF">
            <w:pPr>
              <w:spacing w:line="240" w:lineRule="exact"/>
              <w:jc w:val="right"/>
              <w:rPr>
                <w:rFonts w:ascii="宋体" w:hAnsi="宋体" w:eastAsia="宋体" w:cs="宋体"/>
                <w:sz w:val="18"/>
                <w:szCs w:val="18"/>
              </w:rPr>
            </w:pPr>
            <w:r>
              <w:rPr>
                <w:rFonts w:ascii="宋体" w:hAnsi="宋体" w:eastAsia="宋体" w:cs="宋体"/>
                <w:sz w:val="18"/>
                <w:szCs w:val="18"/>
              </w:rPr>
              <w:t>788,335,969.41</w:t>
            </w:r>
          </w:p>
        </w:tc>
        <w:tc>
          <w:tcPr>
            <w:tcW w:w="1928" w:type="dxa"/>
            <w:tcBorders>
              <w:top w:val="single" w:color="auto" w:sz="2" w:space="0"/>
              <w:left w:val="single" w:color="auto" w:sz="2" w:space="0"/>
              <w:bottom w:val="single" w:color="auto" w:sz="2" w:space="0"/>
              <w:right w:val="single" w:color="auto" w:sz="2" w:space="0"/>
            </w:tcBorders>
            <w:vAlign w:val="center"/>
          </w:tcPr>
          <w:p w14:paraId="6B648FA6">
            <w:pPr>
              <w:spacing w:line="240" w:lineRule="exact"/>
              <w:jc w:val="right"/>
              <w:rPr>
                <w:rFonts w:ascii="宋体" w:hAnsi="宋体" w:eastAsia="宋体" w:cs="宋体"/>
                <w:sz w:val="18"/>
                <w:szCs w:val="18"/>
              </w:rPr>
            </w:pPr>
            <w:r>
              <w:rPr>
                <w:rFonts w:ascii="宋体" w:hAnsi="宋体" w:eastAsia="宋体" w:cs="宋体"/>
                <w:sz w:val="18"/>
                <w:szCs w:val="18"/>
              </w:rPr>
              <w:t>71,821,856.37</w:t>
            </w:r>
          </w:p>
        </w:tc>
      </w:tr>
    </w:tbl>
    <w:p w14:paraId="50AF8FBD">
      <w:pPr>
        <w:keepNext/>
        <w:keepLines/>
        <w:spacing w:before="300" w:after="300" w:line="280" w:lineRule="exact"/>
        <w:outlineLvl w:val="3"/>
        <w:rPr>
          <w:rFonts w:ascii="宋体" w:hAnsi="宋体" w:eastAsia="宋体" w:cs="宋体"/>
          <w:b/>
          <w:bCs/>
          <w:szCs w:val="21"/>
        </w:rPr>
      </w:pPr>
      <w:bookmarkStart w:id="422" w:name="_Toc989275"/>
      <w:r>
        <w:rPr>
          <w:rFonts w:ascii="宋体" w:hAnsi="宋体" w:eastAsia="宋体" w:cs="宋体"/>
          <w:b/>
          <w:bCs/>
          <w:szCs w:val="21"/>
        </w:rPr>
        <w:t>（3） 设定提存计划列示</w:t>
      </w:r>
      <w:bookmarkEnd w:id="422"/>
    </w:p>
    <w:p w14:paraId="3BF3695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06786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A5AD4A5">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2D14A3A">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0DB6A0C">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A723846">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E420FC1">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79D8F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C4DC04B">
            <w:pPr>
              <w:spacing w:before="40" w:after="40" w:line="240" w:lineRule="exact"/>
              <w:rPr>
                <w:rFonts w:ascii="宋体" w:hAnsi="宋体" w:eastAsia="宋体" w:cs="宋体"/>
                <w:sz w:val="18"/>
                <w:szCs w:val="18"/>
              </w:rPr>
            </w:pPr>
            <w:r>
              <w:rPr>
                <w:rFonts w:ascii="宋体" w:hAnsi="宋体" w:eastAsia="宋体" w:cs="宋体"/>
                <w:sz w:val="18"/>
                <w:szCs w:val="18"/>
              </w:rPr>
              <w:t>1、基本养老保险</w:t>
            </w:r>
          </w:p>
        </w:tc>
        <w:tc>
          <w:tcPr>
            <w:tcW w:w="1928" w:type="dxa"/>
            <w:tcBorders>
              <w:top w:val="single" w:color="auto" w:sz="2" w:space="0"/>
              <w:left w:val="single" w:color="auto" w:sz="2" w:space="0"/>
              <w:bottom w:val="single" w:color="auto" w:sz="2" w:space="0"/>
              <w:right w:val="single" w:color="auto" w:sz="2" w:space="0"/>
            </w:tcBorders>
            <w:vAlign w:val="center"/>
          </w:tcPr>
          <w:p w14:paraId="4F8FC469">
            <w:pPr>
              <w:spacing w:line="240" w:lineRule="exact"/>
              <w:jc w:val="right"/>
              <w:rPr>
                <w:rFonts w:ascii="宋体" w:hAnsi="宋体" w:eastAsia="宋体" w:cs="宋体"/>
                <w:sz w:val="18"/>
                <w:szCs w:val="18"/>
              </w:rPr>
            </w:pPr>
            <w:r>
              <w:rPr>
                <w:rFonts w:ascii="宋体" w:hAnsi="宋体" w:eastAsia="宋体" w:cs="宋体"/>
                <w:sz w:val="18"/>
                <w:szCs w:val="18"/>
              </w:rPr>
              <w:t>666,950.06</w:t>
            </w:r>
          </w:p>
        </w:tc>
        <w:tc>
          <w:tcPr>
            <w:tcW w:w="1928" w:type="dxa"/>
            <w:tcBorders>
              <w:top w:val="single" w:color="auto" w:sz="2" w:space="0"/>
              <w:left w:val="single" w:color="auto" w:sz="2" w:space="0"/>
              <w:bottom w:val="single" w:color="auto" w:sz="2" w:space="0"/>
              <w:right w:val="single" w:color="auto" w:sz="2" w:space="0"/>
            </w:tcBorders>
            <w:vAlign w:val="center"/>
          </w:tcPr>
          <w:p w14:paraId="64B4C21D">
            <w:pPr>
              <w:spacing w:line="240" w:lineRule="exact"/>
              <w:jc w:val="right"/>
              <w:rPr>
                <w:rFonts w:ascii="宋体" w:hAnsi="宋体" w:eastAsia="宋体" w:cs="宋体"/>
                <w:sz w:val="18"/>
                <w:szCs w:val="18"/>
              </w:rPr>
            </w:pPr>
            <w:r>
              <w:rPr>
                <w:rFonts w:ascii="宋体" w:hAnsi="宋体" w:eastAsia="宋体" w:cs="宋体"/>
                <w:sz w:val="18"/>
                <w:szCs w:val="18"/>
              </w:rPr>
              <w:t>55,804,126.37</w:t>
            </w:r>
          </w:p>
        </w:tc>
        <w:tc>
          <w:tcPr>
            <w:tcW w:w="1928" w:type="dxa"/>
            <w:tcBorders>
              <w:top w:val="single" w:color="auto" w:sz="2" w:space="0"/>
              <w:left w:val="single" w:color="auto" w:sz="2" w:space="0"/>
              <w:bottom w:val="single" w:color="auto" w:sz="2" w:space="0"/>
              <w:right w:val="single" w:color="auto" w:sz="2" w:space="0"/>
            </w:tcBorders>
            <w:vAlign w:val="center"/>
          </w:tcPr>
          <w:p w14:paraId="5EC0B868">
            <w:pPr>
              <w:spacing w:line="240" w:lineRule="exact"/>
              <w:jc w:val="right"/>
              <w:rPr>
                <w:rFonts w:ascii="宋体" w:hAnsi="宋体" w:eastAsia="宋体" w:cs="宋体"/>
                <w:sz w:val="18"/>
                <w:szCs w:val="18"/>
              </w:rPr>
            </w:pPr>
            <w:r>
              <w:rPr>
                <w:rFonts w:ascii="宋体" w:hAnsi="宋体" w:eastAsia="宋体" w:cs="宋体"/>
                <w:sz w:val="18"/>
                <w:szCs w:val="18"/>
              </w:rPr>
              <w:t>55,709,495.15</w:t>
            </w:r>
          </w:p>
        </w:tc>
        <w:tc>
          <w:tcPr>
            <w:tcW w:w="1928" w:type="dxa"/>
            <w:tcBorders>
              <w:top w:val="single" w:color="auto" w:sz="2" w:space="0"/>
              <w:left w:val="single" w:color="auto" w:sz="2" w:space="0"/>
              <w:bottom w:val="single" w:color="auto" w:sz="2" w:space="0"/>
              <w:right w:val="single" w:color="auto" w:sz="2" w:space="0"/>
            </w:tcBorders>
            <w:vAlign w:val="center"/>
          </w:tcPr>
          <w:p w14:paraId="05F17151">
            <w:pPr>
              <w:spacing w:line="240" w:lineRule="exact"/>
              <w:jc w:val="right"/>
              <w:rPr>
                <w:rFonts w:ascii="宋体" w:hAnsi="宋体" w:eastAsia="宋体" w:cs="宋体"/>
                <w:sz w:val="18"/>
                <w:szCs w:val="18"/>
              </w:rPr>
            </w:pPr>
            <w:r>
              <w:rPr>
                <w:rFonts w:ascii="宋体" w:hAnsi="宋体" w:eastAsia="宋体" w:cs="宋体"/>
                <w:sz w:val="18"/>
                <w:szCs w:val="18"/>
              </w:rPr>
              <w:t>761,581.28</w:t>
            </w:r>
          </w:p>
        </w:tc>
      </w:tr>
      <w:tr w14:paraId="569B3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7142B93">
            <w:pPr>
              <w:spacing w:before="40" w:after="40" w:line="240" w:lineRule="exact"/>
              <w:rPr>
                <w:rFonts w:ascii="宋体" w:hAnsi="宋体" w:eastAsia="宋体" w:cs="宋体"/>
                <w:sz w:val="18"/>
                <w:szCs w:val="18"/>
              </w:rPr>
            </w:pPr>
            <w:r>
              <w:rPr>
                <w:rFonts w:ascii="宋体" w:hAnsi="宋体" w:eastAsia="宋体" w:cs="宋体"/>
                <w:sz w:val="18"/>
                <w:szCs w:val="18"/>
              </w:rPr>
              <w:t>2、失业保险费</w:t>
            </w:r>
          </w:p>
        </w:tc>
        <w:tc>
          <w:tcPr>
            <w:tcW w:w="1928" w:type="dxa"/>
            <w:tcBorders>
              <w:top w:val="single" w:color="auto" w:sz="2" w:space="0"/>
              <w:left w:val="single" w:color="auto" w:sz="2" w:space="0"/>
              <w:bottom w:val="single" w:color="auto" w:sz="2" w:space="0"/>
              <w:right w:val="single" w:color="auto" w:sz="2" w:space="0"/>
            </w:tcBorders>
            <w:vAlign w:val="center"/>
          </w:tcPr>
          <w:p w14:paraId="41DA9E82">
            <w:pPr>
              <w:spacing w:line="240" w:lineRule="exact"/>
              <w:jc w:val="right"/>
              <w:rPr>
                <w:rFonts w:ascii="宋体" w:hAnsi="宋体" w:eastAsia="宋体" w:cs="宋体"/>
                <w:sz w:val="18"/>
                <w:szCs w:val="18"/>
              </w:rPr>
            </w:pPr>
            <w:r>
              <w:rPr>
                <w:rFonts w:ascii="宋体" w:hAnsi="宋体" w:eastAsia="宋体" w:cs="宋体"/>
                <w:sz w:val="18"/>
                <w:szCs w:val="18"/>
              </w:rPr>
              <w:t>95,016.89</w:t>
            </w:r>
          </w:p>
        </w:tc>
        <w:tc>
          <w:tcPr>
            <w:tcW w:w="1928" w:type="dxa"/>
            <w:tcBorders>
              <w:top w:val="single" w:color="auto" w:sz="2" w:space="0"/>
              <w:left w:val="single" w:color="auto" w:sz="2" w:space="0"/>
              <w:bottom w:val="single" w:color="auto" w:sz="2" w:space="0"/>
              <w:right w:val="single" w:color="auto" w:sz="2" w:space="0"/>
            </w:tcBorders>
            <w:vAlign w:val="center"/>
          </w:tcPr>
          <w:p w14:paraId="53F554C8">
            <w:pPr>
              <w:spacing w:line="240" w:lineRule="exact"/>
              <w:jc w:val="right"/>
              <w:rPr>
                <w:rFonts w:ascii="宋体" w:hAnsi="宋体" w:eastAsia="宋体" w:cs="宋体"/>
                <w:sz w:val="18"/>
                <w:szCs w:val="18"/>
              </w:rPr>
            </w:pPr>
            <w:r>
              <w:rPr>
                <w:rFonts w:ascii="宋体" w:hAnsi="宋体" w:eastAsia="宋体" w:cs="宋体"/>
                <w:sz w:val="18"/>
                <w:szCs w:val="18"/>
              </w:rPr>
              <w:t>1,761,399.75</w:t>
            </w:r>
          </w:p>
        </w:tc>
        <w:tc>
          <w:tcPr>
            <w:tcW w:w="1928" w:type="dxa"/>
            <w:tcBorders>
              <w:top w:val="single" w:color="auto" w:sz="2" w:space="0"/>
              <w:left w:val="single" w:color="auto" w:sz="2" w:space="0"/>
              <w:bottom w:val="single" w:color="auto" w:sz="2" w:space="0"/>
              <w:right w:val="single" w:color="auto" w:sz="2" w:space="0"/>
            </w:tcBorders>
            <w:vAlign w:val="center"/>
          </w:tcPr>
          <w:p w14:paraId="403EB92B">
            <w:pPr>
              <w:spacing w:line="240" w:lineRule="exact"/>
              <w:jc w:val="right"/>
              <w:rPr>
                <w:rFonts w:ascii="宋体" w:hAnsi="宋体" w:eastAsia="宋体" w:cs="宋体"/>
                <w:sz w:val="18"/>
                <w:szCs w:val="18"/>
              </w:rPr>
            </w:pPr>
            <w:r>
              <w:rPr>
                <w:rFonts w:ascii="宋体" w:hAnsi="宋体" w:eastAsia="宋体" w:cs="宋体"/>
                <w:sz w:val="18"/>
                <w:szCs w:val="18"/>
              </w:rPr>
              <w:t>1,784,988.43</w:t>
            </w:r>
          </w:p>
        </w:tc>
        <w:tc>
          <w:tcPr>
            <w:tcW w:w="1928" w:type="dxa"/>
            <w:tcBorders>
              <w:top w:val="single" w:color="auto" w:sz="2" w:space="0"/>
              <w:left w:val="single" w:color="auto" w:sz="2" w:space="0"/>
              <w:bottom w:val="single" w:color="auto" w:sz="2" w:space="0"/>
              <w:right w:val="single" w:color="auto" w:sz="2" w:space="0"/>
            </w:tcBorders>
            <w:vAlign w:val="center"/>
          </w:tcPr>
          <w:p w14:paraId="5CDDE0A0">
            <w:pPr>
              <w:spacing w:line="240" w:lineRule="exact"/>
              <w:jc w:val="right"/>
              <w:rPr>
                <w:rFonts w:ascii="宋体" w:hAnsi="宋体" w:eastAsia="宋体" w:cs="宋体"/>
                <w:sz w:val="18"/>
                <w:szCs w:val="18"/>
              </w:rPr>
            </w:pPr>
            <w:r>
              <w:rPr>
                <w:rFonts w:ascii="宋体" w:hAnsi="宋体" w:eastAsia="宋体" w:cs="宋体"/>
                <w:sz w:val="18"/>
                <w:szCs w:val="18"/>
              </w:rPr>
              <w:t>71,428.21</w:t>
            </w:r>
          </w:p>
        </w:tc>
      </w:tr>
      <w:tr w14:paraId="20591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FC547FB">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0D526279">
            <w:pPr>
              <w:spacing w:line="240" w:lineRule="exact"/>
              <w:jc w:val="right"/>
              <w:rPr>
                <w:rFonts w:ascii="宋体" w:hAnsi="宋体" w:eastAsia="宋体" w:cs="宋体"/>
                <w:sz w:val="18"/>
                <w:szCs w:val="18"/>
              </w:rPr>
            </w:pPr>
            <w:r>
              <w:rPr>
                <w:rFonts w:ascii="宋体" w:hAnsi="宋体" w:eastAsia="宋体" w:cs="宋体"/>
                <w:sz w:val="18"/>
                <w:szCs w:val="18"/>
              </w:rPr>
              <w:t>761,966.95</w:t>
            </w:r>
          </w:p>
        </w:tc>
        <w:tc>
          <w:tcPr>
            <w:tcW w:w="1928" w:type="dxa"/>
            <w:tcBorders>
              <w:top w:val="single" w:color="auto" w:sz="2" w:space="0"/>
              <w:left w:val="single" w:color="auto" w:sz="2" w:space="0"/>
              <w:bottom w:val="single" w:color="auto" w:sz="2" w:space="0"/>
              <w:right w:val="single" w:color="auto" w:sz="2" w:space="0"/>
            </w:tcBorders>
            <w:vAlign w:val="center"/>
          </w:tcPr>
          <w:p w14:paraId="13289BFA">
            <w:pPr>
              <w:spacing w:line="240" w:lineRule="exact"/>
              <w:jc w:val="right"/>
              <w:rPr>
                <w:rFonts w:ascii="宋体" w:hAnsi="宋体" w:eastAsia="宋体" w:cs="宋体"/>
                <w:sz w:val="18"/>
                <w:szCs w:val="18"/>
              </w:rPr>
            </w:pPr>
            <w:r>
              <w:rPr>
                <w:rFonts w:ascii="宋体" w:hAnsi="宋体" w:eastAsia="宋体" w:cs="宋体"/>
                <w:sz w:val="18"/>
                <w:szCs w:val="18"/>
              </w:rPr>
              <w:t>57,565,526.12</w:t>
            </w:r>
          </w:p>
        </w:tc>
        <w:tc>
          <w:tcPr>
            <w:tcW w:w="1928" w:type="dxa"/>
            <w:tcBorders>
              <w:top w:val="single" w:color="auto" w:sz="2" w:space="0"/>
              <w:left w:val="single" w:color="auto" w:sz="2" w:space="0"/>
              <w:bottom w:val="single" w:color="auto" w:sz="2" w:space="0"/>
              <w:right w:val="single" w:color="auto" w:sz="2" w:space="0"/>
            </w:tcBorders>
            <w:vAlign w:val="center"/>
          </w:tcPr>
          <w:p w14:paraId="5B9C7F35">
            <w:pPr>
              <w:spacing w:line="240" w:lineRule="exact"/>
              <w:jc w:val="right"/>
              <w:rPr>
                <w:rFonts w:ascii="宋体" w:hAnsi="宋体" w:eastAsia="宋体" w:cs="宋体"/>
                <w:sz w:val="18"/>
                <w:szCs w:val="18"/>
              </w:rPr>
            </w:pPr>
            <w:r>
              <w:rPr>
                <w:rFonts w:ascii="宋体" w:hAnsi="宋体" w:eastAsia="宋体" w:cs="宋体"/>
                <w:sz w:val="18"/>
                <w:szCs w:val="18"/>
              </w:rPr>
              <w:t>57,494,483.58</w:t>
            </w:r>
          </w:p>
        </w:tc>
        <w:tc>
          <w:tcPr>
            <w:tcW w:w="1928" w:type="dxa"/>
            <w:tcBorders>
              <w:top w:val="single" w:color="auto" w:sz="2" w:space="0"/>
              <w:left w:val="single" w:color="auto" w:sz="2" w:space="0"/>
              <w:bottom w:val="single" w:color="auto" w:sz="2" w:space="0"/>
              <w:right w:val="single" w:color="auto" w:sz="2" w:space="0"/>
            </w:tcBorders>
            <w:vAlign w:val="center"/>
          </w:tcPr>
          <w:p w14:paraId="7D9226C0">
            <w:pPr>
              <w:spacing w:line="240" w:lineRule="exact"/>
              <w:jc w:val="right"/>
              <w:rPr>
                <w:rFonts w:ascii="宋体" w:hAnsi="宋体" w:eastAsia="宋体" w:cs="宋体"/>
                <w:sz w:val="18"/>
                <w:szCs w:val="18"/>
              </w:rPr>
            </w:pPr>
            <w:r>
              <w:rPr>
                <w:rFonts w:ascii="宋体" w:hAnsi="宋体" w:eastAsia="宋体" w:cs="宋体"/>
                <w:sz w:val="18"/>
                <w:szCs w:val="18"/>
              </w:rPr>
              <w:t>833,009.49</w:t>
            </w:r>
          </w:p>
        </w:tc>
      </w:tr>
    </w:tbl>
    <w:p w14:paraId="4CF6FBC3">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2BA05282">
      <w:pPr>
        <w:pStyle w:val="3"/>
        <w:spacing w:line="280" w:lineRule="exact"/>
        <w:jc w:val="left"/>
        <w:rPr>
          <w:rFonts w:ascii="宋体" w:hAnsi="宋体" w:cs="宋体"/>
          <w:b/>
          <w:bCs/>
        </w:rPr>
      </w:pPr>
      <w:bookmarkStart w:id="423" w:name="_Toc989276"/>
      <w:r>
        <w:rPr>
          <w:rFonts w:ascii="宋体" w:hAnsi="宋体" w:cs="宋体"/>
          <w:b/>
          <w:bCs/>
        </w:rPr>
        <w:t>41、应交税费</w:t>
      </w:r>
      <w:bookmarkEnd w:id="423"/>
    </w:p>
    <w:p w14:paraId="5BC8328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0B45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C38EA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AB4C83">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E00BB28">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0D3A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589B8B">
            <w:pPr>
              <w:spacing w:before="40" w:after="40" w:line="240" w:lineRule="exac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14:paraId="11A9C940">
            <w:pPr>
              <w:spacing w:line="240" w:lineRule="exact"/>
              <w:jc w:val="right"/>
              <w:rPr>
                <w:rFonts w:ascii="宋体" w:hAnsi="宋体" w:eastAsia="宋体" w:cs="宋体"/>
                <w:sz w:val="18"/>
                <w:szCs w:val="18"/>
              </w:rPr>
            </w:pPr>
            <w:r>
              <w:rPr>
                <w:rFonts w:ascii="宋体" w:hAnsi="宋体" w:eastAsia="宋体" w:cs="宋体"/>
                <w:sz w:val="18"/>
                <w:szCs w:val="18"/>
              </w:rPr>
              <w:t>22,303,611.46</w:t>
            </w:r>
          </w:p>
        </w:tc>
        <w:tc>
          <w:tcPr>
            <w:tcW w:w="3213" w:type="dxa"/>
            <w:tcBorders>
              <w:top w:val="single" w:color="auto" w:sz="2" w:space="0"/>
              <w:left w:val="single" w:color="auto" w:sz="2" w:space="0"/>
              <w:bottom w:val="single" w:color="auto" w:sz="2" w:space="0"/>
              <w:right w:val="single" w:color="auto" w:sz="2" w:space="0"/>
            </w:tcBorders>
            <w:vAlign w:val="center"/>
          </w:tcPr>
          <w:p w14:paraId="7F098050">
            <w:pPr>
              <w:spacing w:line="240" w:lineRule="exact"/>
              <w:jc w:val="right"/>
              <w:rPr>
                <w:rFonts w:ascii="宋体" w:hAnsi="宋体" w:eastAsia="宋体" w:cs="宋体"/>
                <w:sz w:val="18"/>
                <w:szCs w:val="18"/>
              </w:rPr>
            </w:pPr>
            <w:r>
              <w:rPr>
                <w:rFonts w:ascii="宋体" w:hAnsi="宋体" w:eastAsia="宋体" w:cs="宋体"/>
                <w:sz w:val="18"/>
                <w:szCs w:val="18"/>
              </w:rPr>
              <w:t>8,699,137.52</w:t>
            </w:r>
          </w:p>
        </w:tc>
      </w:tr>
      <w:tr w14:paraId="01A5A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69AEB7">
            <w:pPr>
              <w:spacing w:before="40" w:after="40" w:line="240" w:lineRule="exac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14:paraId="5836E1DB">
            <w:pPr>
              <w:spacing w:line="240" w:lineRule="exact"/>
              <w:jc w:val="right"/>
              <w:rPr>
                <w:rFonts w:ascii="宋体" w:hAnsi="宋体" w:eastAsia="宋体" w:cs="宋体"/>
                <w:sz w:val="18"/>
                <w:szCs w:val="18"/>
              </w:rPr>
            </w:pPr>
            <w:r>
              <w:rPr>
                <w:rFonts w:ascii="宋体" w:hAnsi="宋体" w:eastAsia="宋体" w:cs="宋体"/>
                <w:sz w:val="18"/>
                <w:szCs w:val="18"/>
              </w:rPr>
              <w:t>7,578,394.80</w:t>
            </w:r>
          </w:p>
        </w:tc>
        <w:tc>
          <w:tcPr>
            <w:tcW w:w="3213" w:type="dxa"/>
            <w:tcBorders>
              <w:top w:val="single" w:color="auto" w:sz="2" w:space="0"/>
              <w:left w:val="single" w:color="auto" w:sz="2" w:space="0"/>
              <w:bottom w:val="single" w:color="auto" w:sz="2" w:space="0"/>
              <w:right w:val="single" w:color="auto" w:sz="2" w:space="0"/>
            </w:tcBorders>
            <w:vAlign w:val="center"/>
          </w:tcPr>
          <w:p w14:paraId="645D415C">
            <w:pPr>
              <w:spacing w:line="240" w:lineRule="exact"/>
              <w:jc w:val="right"/>
              <w:rPr>
                <w:rFonts w:ascii="宋体" w:hAnsi="宋体" w:eastAsia="宋体" w:cs="宋体"/>
                <w:sz w:val="18"/>
                <w:szCs w:val="18"/>
              </w:rPr>
            </w:pPr>
            <w:r>
              <w:rPr>
                <w:rFonts w:ascii="宋体" w:hAnsi="宋体" w:eastAsia="宋体" w:cs="宋体"/>
                <w:sz w:val="18"/>
                <w:szCs w:val="18"/>
              </w:rPr>
              <w:t>14,017,357.47</w:t>
            </w:r>
          </w:p>
        </w:tc>
      </w:tr>
      <w:tr w14:paraId="601AE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3FC1CA">
            <w:pPr>
              <w:spacing w:before="40" w:after="40" w:line="240" w:lineRule="exact"/>
              <w:rPr>
                <w:rFonts w:ascii="宋体" w:hAnsi="宋体" w:eastAsia="宋体" w:cs="宋体"/>
                <w:sz w:val="18"/>
                <w:szCs w:val="18"/>
              </w:rPr>
            </w:pPr>
            <w:r>
              <w:rPr>
                <w:rFonts w:ascii="宋体" w:hAnsi="宋体" w:eastAsia="宋体" w:cs="宋体"/>
                <w:sz w:val="18"/>
                <w:szCs w:val="18"/>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14:paraId="25F7DAA5">
            <w:pPr>
              <w:spacing w:line="240" w:lineRule="exact"/>
              <w:jc w:val="right"/>
              <w:rPr>
                <w:rFonts w:ascii="宋体" w:hAnsi="宋体" w:eastAsia="宋体" w:cs="宋体"/>
                <w:sz w:val="18"/>
                <w:szCs w:val="18"/>
              </w:rPr>
            </w:pPr>
            <w:r>
              <w:rPr>
                <w:rFonts w:ascii="宋体" w:hAnsi="宋体" w:eastAsia="宋体" w:cs="宋体"/>
                <w:sz w:val="18"/>
                <w:szCs w:val="18"/>
              </w:rPr>
              <w:t>1,536,124.81</w:t>
            </w:r>
          </w:p>
        </w:tc>
        <w:tc>
          <w:tcPr>
            <w:tcW w:w="3213" w:type="dxa"/>
            <w:tcBorders>
              <w:top w:val="single" w:color="auto" w:sz="2" w:space="0"/>
              <w:left w:val="single" w:color="auto" w:sz="2" w:space="0"/>
              <w:bottom w:val="single" w:color="auto" w:sz="2" w:space="0"/>
              <w:right w:val="single" w:color="auto" w:sz="2" w:space="0"/>
            </w:tcBorders>
            <w:vAlign w:val="center"/>
          </w:tcPr>
          <w:p w14:paraId="6FB00B53">
            <w:pPr>
              <w:spacing w:line="240" w:lineRule="exact"/>
              <w:jc w:val="right"/>
              <w:rPr>
                <w:rFonts w:ascii="宋体" w:hAnsi="宋体" w:eastAsia="宋体" w:cs="宋体"/>
                <w:sz w:val="18"/>
                <w:szCs w:val="18"/>
              </w:rPr>
            </w:pPr>
            <w:r>
              <w:rPr>
                <w:rFonts w:ascii="宋体" w:hAnsi="宋体" w:eastAsia="宋体" w:cs="宋体"/>
                <w:sz w:val="18"/>
                <w:szCs w:val="18"/>
              </w:rPr>
              <w:t>1,621,731.87</w:t>
            </w:r>
          </w:p>
        </w:tc>
      </w:tr>
      <w:tr w14:paraId="7384E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0C2DD7">
            <w:pPr>
              <w:spacing w:before="40" w:after="40" w:line="240" w:lineRule="exac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14:paraId="5AC8C65B">
            <w:pPr>
              <w:spacing w:line="240" w:lineRule="exact"/>
              <w:jc w:val="right"/>
              <w:rPr>
                <w:rFonts w:ascii="宋体" w:hAnsi="宋体" w:eastAsia="宋体" w:cs="宋体"/>
                <w:sz w:val="18"/>
                <w:szCs w:val="18"/>
              </w:rPr>
            </w:pPr>
            <w:r>
              <w:rPr>
                <w:rFonts w:ascii="宋体" w:hAnsi="宋体" w:eastAsia="宋体" w:cs="宋体"/>
                <w:sz w:val="18"/>
                <w:szCs w:val="18"/>
              </w:rPr>
              <w:t>1,824,191.94</w:t>
            </w:r>
          </w:p>
        </w:tc>
        <w:tc>
          <w:tcPr>
            <w:tcW w:w="3213" w:type="dxa"/>
            <w:tcBorders>
              <w:top w:val="single" w:color="auto" w:sz="2" w:space="0"/>
              <w:left w:val="single" w:color="auto" w:sz="2" w:space="0"/>
              <w:bottom w:val="single" w:color="auto" w:sz="2" w:space="0"/>
              <w:right w:val="single" w:color="auto" w:sz="2" w:space="0"/>
            </w:tcBorders>
            <w:vAlign w:val="center"/>
          </w:tcPr>
          <w:p w14:paraId="174F626B">
            <w:pPr>
              <w:spacing w:line="240" w:lineRule="exact"/>
              <w:jc w:val="right"/>
              <w:rPr>
                <w:rFonts w:ascii="宋体" w:hAnsi="宋体" w:eastAsia="宋体" w:cs="宋体"/>
                <w:sz w:val="18"/>
                <w:szCs w:val="18"/>
              </w:rPr>
            </w:pPr>
            <w:r>
              <w:rPr>
                <w:rFonts w:ascii="宋体" w:hAnsi="宋体" w:eastAsia="宋体" w:cs="宋体"/>
                <w:sz w:val="18"/>
                <w:szCs w:val="18"/>
              </w:rPr>
              <w:t>689,024.84</w:t>
            </w:r>
          </w:p>
        </w:tc>
      </w:tr>
      <w:tr w14:paraId="7F2EA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059C6E3">
            <w:pPr>
              <w:spacing w:line="240" w:lineRule="exac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14:paraId="2C314BBE">
            <w:pPr>
              <w:spacing w:line="240" w:lineRule="exact"/>
              <w:jc w:val="right"/>
              <w:rPr>
                <w:rFonts w:ascii="宋体" w:hAnsi="宋体" w:eastAsia="宋体" w:cs="宋体"/>
                <w:sz w:val="18"/>
                <w:szCs w:val="18"/>
              </w:rPr>
            </w:pPr>
            <w:r>
              <w:rPr>
                <w:rFonts w:ascii="宋体" w:hAnsi="宋体" w:eastAsia="宋体" w:cs="宋体"/>
                <w:sz w:val="18"/>
                <w:szCs w:val="18"/>
              </w:rPr>
              <w:t>6,537,494.01</w:t>
            </w:r>
          </w:p>
        </w:tc>
        <w:tc>
          <w:tcPr>
            <w:tcW w:w="3213" w:type="dxa"/>
            <w:tcBorders>
              <w:top w:val="single" w:color="auto" w:sz="2" w:space="0"/>
              <w:left w:val="single" w:color="auto" w:sz="2" w:space="0"/>
              <w:bottom w:val="single" w:color="auto" w:sz="2" w:space="0"/>
              <w:right w:val="single" w:color="auto" w:sz="2" w:space="0"/>
            </w:tcBorders>
            <w:vAlign w:val="center"/>
          </w:tcPr>
          <w:p w14:paraId="0EEB9D35">
            <w:pPr>
              <w:spacing w:line="240" w:lineRule="exact"/>
              <w:jc w:val="right"/>
              <w:rPr>
                <w:rFonts w:ascii="宋体" w:hAnsi="宋体" w:eastAsia="宋体" w:cs="宋体"/>
                <w:sz w:val="18"/>
                <w:szCs w:val="18"/>
              </w:rPr>
            </w:pPr>
            <w:r>
              <w:rPr>
                <w:rFonts w:ascii="宋体" w:hAnsi="宋体" w:eastAsia="宋体" w:cs="宋体"/>
                <w:sz w:val="18"/>
                <w:szCs w:val="18"/>
              </w:rPr>
              <w:t>5,581,658.99</w:t>
            </w:r>
          </w:p>
        </w:tc>
      </w:tr>
      <w:tr w14:paraId="17931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3C91EB3">
            <w:pPr>
              <w:spacing w:line="240" w:lineRule="exact"/>
              <w:rPr>
                <w:rFonts w:ascii="宋体" w:hAnsi="宋体" w:eastAsia="宋体" w:cs="宋体"/>
                <w:sz w:val="18"/>
                <w:szCs w:val="18"/>
              </w:rPr>
            </w:pPr>
            <w:r>
              <w:rPr>
                <w:rFonts w:ascii="宋体" w:hAnsi="宋体" w:eastAsia="宋体" w:cs="宋体"/>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14:paraId="2676D2FE">
            <w:pPr>
              <w:spacing w:line="240" w:lineRule="exact"/>
              <w:jc w:val="right"/>
              <w:rPr>
                <w:rFonts w:ascii="宋体" w:hAnsi="宋体" w:eastAsia="宋体" w:cs="宋体"/>
                <w:sz w:val="18"/>
                <w:szCs w:val="18"/>
              </w:rPr>
            </w:pPr>
            <w:r>
              <w:rPr>
                <w:rFonts w:ascii="宋体" w:hAnsi="宋体" w:eastAsia="宋体" w:cs="宋体"/>
                <w:sz w:val="18"/>
                <w:szCs w:val="18"/>
              </w:rPr>
              <w:t>7,056,331.88</w:t>
            </w:r>
          </w:p>
        </w:tc>
        <w:tc>
          <w:tcPr>
            <w:tcW w:w="3213" w:type="dxa"/>
            <w:tcBorders>
              <w:top w:val="single" w:color="auto" w:sz="2" w:space="0"/>
              <w:left w:val="single" w:color="auto" w:sz="2" w:space="0"/>
              <w:bottom w:val="single" w:color="auto" w:sz="2" w:space="0"/>
              <w:right w:val="single" w:color="auto" w:sz="2" w:space="0"/>
            </w:tcBorders>
            <w:vAlign w:val="center"/>
          </w:tcPr>
          <w:p w14:paraId="3EB3FB43">
            <w:pPr>
              <w:spacing w:line="240" w:lineRule="exact"/>
              <w:jc w:val="right"/>
              <w:rPr>
                <w:rFonts w:ascii="宋体" w:hAnsi="宋体" w:eastAsia="宋体" w:cs="宋体"/>
                <w:sz w:val="18"/>
                <w:szCs w:val="18"/>
              </w:rPr>
            </w:pPr>
            <w:r>
              <w:rPr>
                <w:rFonts w:ascii="宋体" w:hAnsi="宋体" w:eastAsia="宋体" w:cs="宋体"/>
                <w:sz w:val="18"/>
                <w:szCs w:val="18"/>
              </w:rPr>
              <w:t>6,749,295.27</w:t>
            </w:r>
          </w:p>
        </w:tc>
      </w:tr>
      <w:tr w14:paraId="369DF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207D2DC">
            <w:pPr>
              <w:spacing w:line="240" w:lineRule="exac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14:paraId="2BE687A0">
            <w:pPr>
              <w:spacing w:line="240" w:lineRule="exact"/>
              <w:jc w:val="right"/>
              <w:rPr>
                <w:rFonts w:ascii="宋体" w:hAnsi="宋体" w:eastAsia="宋体" w:cs="宋体"/>
                <w:sz w:val="18"/>
                <w:szCs w:val="18"/>
              </w:rPr>
            </w:pPr>
            <w:r>
              <w:rPr>
                <w:rFonts w:ascii="宋体" w:hAnsi="宋体" w:eastAsia="宋体" w:cs="宋体"/>
                <w:sz w:val="18"/>
                <w:szCs w:val="18"/>
              </w:rPr>
              <w:t>1,313,721.83</w:t>
            </w:r>
          </w:p>
        </w:tc>
        <w:tc>
          <w:tcPr>
            <w:tcW w:w="3213" w:type="dxa"/>
            <w:tcBorders>
              <w:top w:val="single" w:color="auto" w:sz="2" w:space="0"/>
              <w:left w:val="single" w:color="auto" w:sz="2" w:space="0"/>
              <w:bottom w:val="single" w:color="auto" w:sz="2" w:space="0"/>
              <w:right w:val="single" w:color="auto" w:sz="2" w:space="0"/>
            </w:tcBorders>
            <w:vAlign w:val="center"/>
          </w:tcPr>
          <w:p w14:paraId="5156BBD7">
            <w:pPr>
              <w:spacing w:line="240" w:lineRule="exact"/>
              <w:jc w:val="right"/>
              <w:rPr>
                <w:rFonts w:ascii="宋体" w:hAnsi="宋体" w:eastAsia="宋体" w:cs="宋体"/>
                <w:sz w:val="18"/>
                <w:szCs w:val="18"/>
              </w:rPr>
            </w:pPr>
            <w:r>
              <w:rPr>
                <w:rFonts w:ascii="宋体" w:hAnsi="宋体" w:eastAsia="宋体" w:cs="宋体"/>
                <w:sz w:val="18"/>
                <w:szCs w:val="18"/>
              </w:rPr>
              <w:t>485,006.17</w:t>
            </w:r>
          </w:p>
        </w:tc>
      </w:tr>
      <w:tr w14:paraId="45789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AF6D4C4">
            <w:pPr>
              <w:spacing w:line="240" w:lineRule="exac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1D6A79D1">
            <w:pPr>
              <w:spacing w:line="240" w:lineRule="exact"/>
              <w:jc w:val="right"/>
              <w:rPr>
                <w:rFonts w:ascii="宋体" w:hAnsi="宋体" w:eastAsia="宋体" w:cs="宋体"/>
                <w:sz w:val="18"/>
                <w:szCs w:val="18"/>
              </w:rPr>
            </w:pPr>
            <w:r>
              <w:rPr>
                <w:rFonts w:ascii="宋体" w:hAnsi="宋体" w:eastAsia="宋体" w:cs="宋体"/>
                <w:sz w:val="18"/>
                <w:szCs w:val="18"/>
              </w:rPr>
              <w:t>3,853,350.56</w:t>
            </w:r>
          </w:p>
        </w:tc>
        <w:tc>
          <w:tcPr>
            <w:tcW w:w="3213" w:type="dxa"/>
            <w:tcBorders>
              <w:top w:val="single" w:color="auto" w:sz="2" w:space="0"/>
              <w:left w:val="single" w:color="auto" w:sz="2" w:space="0"/>
              <w:bottom w:val="single" w:color="auto" w:sz="2" w:space="0"/>
              <w:right w:val="single" w:color="auto" w:sz="2" w:space="0"/>
            </w:tcBorders>
            <w:vAlign w:val="center"/>
          </w:tcPr>
          <w:p w14:paraId="59A8EBB9">
            <w:pPr>
              <w:spacing w:line="240" w:lineRule="exact"/>
              <w:jc w:val="right"/>
              <w:rPr>
                <w:rFonts w:ascii="宋体" w:hAnsi="宋体" w:eastAsia="宋体" w:cs="宋体"/>
                <w:sz w:val="18"/>
                <w:szCs w:val="18"/>
              </w:rPr>
            </w:pPr>
            <w:r>
              <w:rPr>
                <w:rFonts w:ascii="宋体" w:hAnsi="宋体" w:eastAsia="宋体" w:cs="宋体"/>
                <w:sz w:val="18"/>
                <w:szCs w:val="18"/>
              </w:rPr>
              <w:t>4,870,191.24</w:t>
            </w:r>
          </w:p>
        </w:tc>
      </w:tr>
      <w:tr w14:paraId="22B19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18F704">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D4841BD">
            <w:pPr>
              <w:spacing w:line="240" w:lineRule="exact"/>
              <w:jc w:val="right"/>
              <w:rPr>
                <w:rFonts w:ascii="宋体" w:hAnsi="宋体" w:eastAsia="宋体" w:cs="宋体"/>
                <w:sz w:val="18"/>
                <w:szCs w:val="18"/>
              </w:rPr>
            </w:pPr>
            <w:r>
              <w:rPr>
                <w:rFonts w:ascii="宋体" w:hAnsi="宋体" w:eastAsia="宋体" w:cs="宋体"/>
                <w:sz w:val="18"/>
                <w:szCs w:val="18"/>
              </w:rPr>
              <w:t>52,003,221.29</w:t>
            </w:r>
          </w:p>
        </w:tc>
        <w:tc>
          <w:tcPr>
            <w:tcW w:w="3213" w:type="dxa"/>
            <w:tcBorders>
              <w:top w:val="single" w:color="auto" w:sz="2" w:space="0"/>
              <w:left w:val="single" w:color="auto" w:sz="2" w:space="0"/>
              <w:bottom w:val="single" w:color="auto" w:sz="2" w:space="0"/>
              <w:right w:val="single" w:color="auto" w:sz="2" w:space="0"/>
            </w:tcBorders>
            <w:vAlign w:val="center"/>
          </w:tcPr>
          <w:p w14:paraId="317ADB81">
            <w:pPr>
              <w:spacing w:line="240" w:lineRule="exact"/>
              <w:jc w:val="right"/>
              <w:rPr>
                <w:rFonts w:ascii="宋体" w:hAnsi="宋体" w:eastAsia="宋体" w:cs="宋体"/>
                <w:sz w:val="18"/>
                <w:szCs w:val="18"/>
              </w:rPr>
            </w:pPr>
            <w:r>
              <w:rPr>
                <w:rFonts w:ascii="宋体" w:hAnsi="宋体" w:eastAsia="宋体" w:cs="宋体"/>
                <w:sz w:val="18"/>
                <w:szCs w:val="18"/>
              </w:rPr>
              <w:t>42,713,403.37</w:t>
            </w:r>
          </w:p>
        </w:tc>
      </w:tr>
    </w:tbl>
    <w:p w14:paraId="2C4C7717">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59A3BAB4">
      <w:pPr>
        <w:pStyle w:val="3"/>
        <w:spacing w:line="280" w:lineRule="exact"/>
        <w:jc w:val="left"/>
        <w:rPr>
          <w:rFonts w:ascii="宋体" w:hAnsi="宋体" w:cs="宋体"/>
          <w:b/>
          <w:bCs/>
        </w:rPr>
      </w:pPr>
      <w:bookmarkStart w:id="424" w:name="_Toc989277"/>
      <w:r>
        <w:rPr>
          <w:rFonts w:ascii="宋体" w:hAnsi="宋体" w:cs="宋体"/>
          <w:b/>
          <w:bCs/>
        </w:rPr>
        <w:t>42、持有待售负债</w:t>
      </w:r>
      <w:bookmarkEnd w:id="424"/>
    </w:p>
    <w:p w14:paraId="345FFC3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8A5C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1D5E3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98089B5">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C75173">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14:paraId="1B3418AD">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28FD989A">
      <w:pPr>
        <w:pStyle w:val="3"/>
        <w:spacing w:line="280" w:lineRule="exact"/>
        <w:jc w:val="left"/>
        <w:rPr>
          <w:rFonts w:ascii="宋体" w:hAnsi="宋体" w:cs="宋体"/>
          <w:b/>
          <w:bCs/>
        </w:rPr>
      </w:pPr>
      <w:bookmarkStart w:id="425" w:name="_Toc989278"/>
      <w:r>
        <w:rPr>
          <w:rFonts w:ascii="宋体" w:hAnsi="宋体" w:cs="宋体"/>
          <w:b/>
          <w:bCs/>
        </w:rPr>
        <w:t>43、一年内到期的非流动负债</w:t>
      </w:r>
      <w:bookmarkEnd w:id="425"/>
    </w:p>
    <w:p w14:paraId="4CE8729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B3C5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3B8449">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55C283">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872139">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77488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271802">
            <w:pPr>
              <w:spacing w:before="40" w:after="40" w:line="240" w:lineRule="exact"/>
              <w:rPr>
                <w:rFonts w:ascii="宋体" w:hAnsi="宋体" w:eastAsia="宋体" w:cs="宋体"/>
                <w:sz w:val="18"/>
                <w:szCs w:val="18"/>
              </w:rPr>
            </w:pPr>
            <w:r>
              <w:rPr>
                <w:rFonts w:ascii="宋体" w:hAnsi="宋体" w:eastAsia="宋体" w:cs="宋体"/>
                <w:sz w:val="18"/>
                <w:szCs w:val="18"/>
              </w:rPr>
              <w:t>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14:paraId="6E009585">
            <w:pPr>
              <w:spacing w:line="240" w:lineRule="exact"/>
              <w:jc w:val="right"/>
              <w:rPr>
                <w:rFonts w:ascii="宋体" w:hAnsi="宋体" w:eastAsia="宋体" w:cs="宋体"/>
                <w:sz w:val="18"/>
                <w:szCs w:val="18"/>
              </w:rPr>
            </w:pPr>
            <w:r>
              <w:rPr>
                <w:rFonts w:ascii="宋体" w:hAnsi="宋体" w:eastAsia="宋体" w:cs="宋体"/>
                <w:sz w:val="18"/>
                <w:szCs w:val="18"/>
              </w:rPr>
              <w:t>524,838,927.78</w:t>
            </w:r>
          </w:p>
        </w:tc>
        <w:tc>
          <w:tcPr>
            <w:tcW w:w="3213" w:type="dxa"/>
            <w:tcBorders>
              <w:top w:val="single" w:color="auto" w:sz="2" w:space="0"/>
              <w:left w:val="single" w:color="auto" w:sz="2" w:space="0"/>
              <w:bottom w:val="single" w:color="auto" w:sz="2" w:space="0"/>
              <w:right w:val="single" w:color="auto" w:sz="2" w:space="0"/>
            </w:tcBorders>
            <w:vAlign w:val="center"/>
          </w:tcPr>
          <w:p w14:paraId="393C398A">
            <w:pPr>
              <w:spacing w:line="240" w:lineRule="exact"/>
              <w:jc w:val="right"/>
              <w:rPr>
                <w:rFonts w:ascii="宋体" w:hAnsi="宋体" w:eastAsia="宋体" w:cs="宋体"/>
                <w:sz w:val="18"/>
                <w:szCs w:val="18"/>
              </w:rPr>
            </w:pPr>
            <w:r>
              <w:rPr>
                <w:rFonts w:ascii="宋体" w:hAnsi="宋体" w:eastAsia="宋体" w:cs="宋体"/>
                <w:sz w:val="18"/>
                <w:szCs w:val="18"/>
              </w:rPr>
              <w:t>312,180,000.00</w:t>
            </w:r>
          </w:p>
        </w:tc>
      </w:tr>
      <w:tr w14:paraId="6F21B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ACF663">
            <w:pPr>
              <w:spacing w:before="40" w:after="40" w:line="240" w:lineRule="exact"/>
              <w:rPr>
                <w:rFonts w:ascii="宋体" w:hAnsi="宋体" w:eastAsia="宋体" w:cs="宋体"/>
                <w:sz w:val="18"/>
                <w:szCs w:val="18"/>
              </w:rPr>
            </w:pPr>
            <w:r>
              <w:rPr>
                <w:rFonts w:ascii="宋体" w:hAnsi="宋体" w:eastAsia="宋体" w:cs="宋体"/>
                <w:sz w:val="18"/>
                <w:szCs w:val="18"/>
              </w:rPr>
              <w:t>一年内到期的租赁负债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116436F7">
            <w:pPr>
              <w:spacing w:line="240" w:lineRule="exact"/>
              <w:jc w:val="right"/>
              <w:rPr>
                <w:rFonts w:ascii="宋体" w:hAnsi="宋体" w:eastAsia="宋体" w:cs="宋体"/>
                <w:sz w:val="18"/>
                <w:szCs w:val="18"/>
              </w:rPr>
            </w:pPr>
            <w:r>
              <w:rPr>
                <w:rFonts w:ascii="宋体" w:hAnsi="宋体" w:eastAsia="宋体" w:cs="宋体"/>
                <w:sz w:val="18"/>
                <w:szCs w:val="18"/>
              </w:rPr>
              <w:t>7,171,986.72</w:t>
            </w:r>
          </w:p>
        </w:tc>
        <w:tc>
          <w:tcPr>
            <w:tcW w:w="3213" w:type="dxa"/>
            <w:tcBorders>
              <w:top w:val="single" w:color="auto" w:sz="2" w:space="0"/>
              <w:left w:val="single" w:color="auto" w:sz="2" w:space="0"/>
              <w:bottom w:val="single" w:color="auto" w:sz="2" w:space="0"/>
              <w:right w:val="single" w:color="auto" w:sz="2" w:space="0"/>
            </w:tcBorders>
            <w:vAlign w:val="center"/>
          </w:tcPr>
          <w:p w14:paraId="02D1B0B0">
            <w:pPr>
              <w:spacing w:line="240" w:lineRule="exact"/>
              <w:jc w:val="right"/>
              <w:rPr>
                <w:rFonts w:ascii="宋体" w:hAnsi="宋体" w:eastAsia="宋体" w:cs="宋体"/>
                <w:sz w:val="18"/>
                <w:szCs w:val="18"/>
              </w:rPr>
            </w:pPr>
            <w:r>
              <w:rPr>
                <w:rFonts w:ascii="宋体" w:hAnsi="宋体" w:eastAsia="宋体" w:cs="宋体"/>
                <w:sz w:val="18"/>
                <w:szCs w:val="18"/>
              </w:rPr>
              <w:t>4,281,566.77</w:t>
            </w:r>
          </w:p>
        </w:tc>
      </w:tr>
      <w:tr w14:paraId="7BD99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3874A7E">
            <w:pPr>
              <w:spacing w:line="240" w:lineRule="exact"/>
              <w:rPr>
                <w:rFonts w:ascii="宋体" w:hAnsi="宋体" w:eastAsia="宋体" w:cs="宋体"/>
                <w:sz w:val="18"/>
                <w:szCs w:val="18"/>
              </w:rPr>
            </w:pPr>
            <w:r>
              <w:rPr>
                <w:rFonts w:ascii="宋体" w:hAnsi="宋体" w:eastAsia="宋体" w:cs="宋体"/>
                <w:sz w:val="18"/>
                <w:szCs w:val="18"/>
              </w:rPr>
              <w:t>计提的长期借款利息</w:t>
            </w:r>
          </w:p>
        </w:tc>
        <w:tc>
          <w:tcPr>
            <w:tcW w:w="3213" w:type="dxa"/>
            <w:tcBorders>
              <w:top w:val="single" w:color="auto" w:sz="2" w:space="0"/>
              <w:left w:val="single" w:color="auto" w:sz="2" w:space="0"/>
              <w:bottom w:val="single" w:color="auto" w:sz="2" w:space="0"/>
              <w:right w:val="single" w:color="auto" w:sz="2" w:space="0"/>
            </w:tcBorders>
            <w:vAlign w:val="center"/>
          </w:tcPr>
          <w:p w14:paraId="730EB450">
            <w:pPr>
              <w:spacing w:line="240" w:lineRule="exact"/>
              <w:jc w:val="right"/>
              <w:rPr>
                <w:rFonts w:ascii="宋体" w:hAnsi="宋体" w:eastAsia="宋体" w:cs="宋体"/>
                <w:sz w:val="18"/>
                <w:szCs w:val="18"/>
              </w:rPr>
            </w:pPr>
            <w:r>
              <w:rPr>
                <w:rFonts w:ascii="宋体" w:hAnsi="宋体" w:eastAsia="宋体" w:cs="宋体"/>
                <w:sz w:val="18"/>
                <w:szCs w:val="18"/>
              </w:rPr>
              <w:t>707,972.23</w:t>
            </w:r>
          </w:p>
        </w:tc>
        <w:tc>
          <w:tcPr>
            <w:tcW w:w="3213" w:type="dxa"/>
            <w:tcBorders>
              <w:top w:val="single" w:color="auto" w:sz="2" w:space="0"/>
              <w:left w:val="single" w:color="auto" w:sz="2" w:space="0"/>
              <w:bottom w:val="single" w:color="auto" w:sz="2" w:space="0"/>
              <w:right w:val="single" w:color="auto" w:sz="2" w:space="0"/>
            </w:tcBorders>
            <w:vAlign w:val="center"/>
          </w:tcPr>
          <w:p w14:paraId="3EA2742B">
            <w:pPr>
              <w:spacing w:line="240" w:lineRule="exact"/>
              <w:jc w:val="right"/>
              <w:rPr>
                <w:rFonts w:ascii="宋体" w:hAnsi="宋体" w:eastAsia="宋体" w:cs="宋体"/>
                <w:sz w:val="18"/>
                <w:szCs w:val="18"/>
              </w:rPr>
            </w:pPr>
            <w:r>
              <w:rPr>
                <w:rFonts w:ascii="宋体" w:hAnsi="宋体" w:eastAsia="宋体" w:cs="宋体"/>
                <w:sz w:val="18"/>
                <w:szCs w:val="18"/>
              </w:rPr>
              <w:t>1,355,306.65</w:t>
            </w:r>
          </w:p>
        </w:tc>
      </w:tr>
      <w:tr w14:paraId="3E1A0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5BDC7F">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133473F2">
            <w:pPr>
              <w:spacing w:line="240" w:lineRule="exact"/>
              <w:jc w:val="right"/>
              <w:rPr>
                <w:rFonts w:ascii="宋体" w:hAnsi="宋体" w:eastAsia="宋体" w:cs="宋体"/>
                <w:sz w:val="18"/>
                <w:szCs w:val="18"/>
              </w:rPr>
            </w:pPr>
            <w:r>
              <w:rPr>
                <w:rFonts w:ascii="宋体" w:hAnsi="宋体" w:eastAsia="宋体" w:cs="宋体"/>
                <w:sz w:val="18"/>
                <w:szCs w:val="18"/>
              </w:rPr>
              <w:t>532,718,886.73</w:t>
            </w:r>
          </w:p>
        </w:tc>
        <w:tc>
          <w:tcPr>
            <w:tcW w:w="3213" w:type="dxa"/>
            <w:tcBorders>
              <w:top w:val="single" w:color="auto" w:sz="2" w:space="0"/>
              <w:left w:val="single" w:color="auto" w:sz="2" w:space="0"/>
              <w:bottom w:val="single" w:color="auto" w:sz="2" w:space="0"/>
              <w:right w:val="single" w:color="auto" w:sz="2" w:space="0"/>
            </w:tcBorders>
            <w:vAlign w:val="center"/>
          </w:tcPr>
          <w:p w14:paraId="35C9C035">
            <w:pPr>
              <w:spacing w:line="240" w:lineRule="exact"/>
              <w:jc w:val="right"/>
              <w:rPr>
                <w:rFonts w:ascii="宋体" w:hAnsi="宋体" w:eastAsia="宋体" w:cs="宋体"/>
                <w:sz w:val="18"/>
                <w:szCs w:val="18"/>
              </w:rPr>
            </w:pPr>
            <w:r>
              <w:rPr>
                <w:rFonts w:ascii="宋体" w:hAnsi="宋体" w:eastAsia="宋体" w:cs="宋体"/>
                <w:sz w:val="18"/>
                <w:szCs w:val="18"/>
              </w:rPr>
              <w:t>317,816,873.42</w:t>
            </w:r>
          </w:p>
        </w:tc>
      </w:tr>
    </w:tbl>
    <w:p w14:paraId="1F708A32">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2E67509C">
      <w:pPr>
        <w:pStyle w:val="3"/>
        <w:spacing w:line="280" w:lineRule="exact"/>
        <w:jc w:val="left"/>
        <w:rPr>
          <w:rFonts w:ascii="宋体" w:hAnsi="宋体" w:cs="宋体"/>
          <w:b/>
          <w:bCs/>
        </w:rPr>
      </w:pPr>
      <w:bookmarkStart w:id="426" w:name="_Toc989279"/>
      <w:r>
        <w:rPr>
          <w:rFonts w:ascii="宋体" w:hAnsi="宋体" w:cs="宋体"/>
          <w:b/>
          <w:bCs/>
        </w:rPr>
        <w:t>44、其他流动负债</w:t>
      </w:r>
      <w:bookmarkEnd w:id="426"/>
    </w:p>
    <w:p w14:paraId="7FF703C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C0B6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950D3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F6A22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09B09A">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79C1F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4552C65">
            <w:pPr>
              <w:spacing w:line="240" w:lineRule="exact"/>
              <w:rPr>
                <w:rFonts w:ascii="宋体" w:hAnsi="宋体" w:eastAsia="宋体" w:cs="宋体"/>
                <w:sz w:val="18"/>
                <w:szCs w:val="18"/>
              </w:rPr>
            </w:pPr>
            <w:r>
              <w:rPr>
                <w:rFonts w:ascii="宋体" w:hAnsi="宋体" w:eastAsia="宋体" w:cs="宋体"/>
                <w:sz w:val="18"/>
                <w:szCs w:val="18"/>
              </w:rPr>
              <w:t>待结转增值税额</w:t>
            </w:r>
          </w:p>
        </w:tc>
        <w:tc>
          <w:tcPr>
            <w:tcW w:w="3213" w:type="dxa"/>
            <w:tcBorders>
              <w:top w:val="single" w:color="auto" w:sz="2" w:space="0"/>
              <w:left w:val="single" w:color="auto" w:sz="2" w:space="0"/>
              <w:bottom w:val="single" w:color="auto" w:sz="2" w:space="0"/>
              <w:right w:val="single" w:color="auto" w:sz="2" w:space="0"/>
            </w:tcBorders>
            <w:vAlign w:val="center"/>
          </w:tcPr>
          <w:p w14:paraId="25244F17">
            <w:pPr>
              <w:spacing w:line="240" w:lineRule="exact"/>
              <w:jc w:val="right"/>
              <w:rPr>
                <w:rFonts w:ascii="宋体" w:hAnsi="宋体" w:eastAsia="宋体" w:cs="宋体"/>
                <w:sz w:val="18"/>
                <w:szCs w:val="18"/>
              </w:rPr>
            </w:pPr>
            <w:r>
              <w:rPr>
                <w:rFonts w:ascii="宋体" w:hAnsi="宋体" w:eastAsia="宋体" w:cs="宋体"/>
                <w:sz w:val="18"/>
                <w:szCs w:val="18"/>
              </w:rPr>
              <w:t>28,072,035.65</w:t>
            </w:r>
          </w:p>
        </w:tc>
        <w:tc>
          <w:tcPr>
            <w:tcW w:w="3213" w:type="dxa"/>
            <w:tcBorders>
              <w:top w:val="single" w:color="auto" w:sz="2" w:space="0"/>
              <w:left w:val="single" w:color="auto" w:sz="2" w:space="0"/>
              <w:bottom w:val="single" w:color="auto" w:sz="2" w:space="0"/>
              <w:right w:val="single" w:color="auto" w:sz="2" w:space="0"/>
            </w:tcBorders>
            <w:vAlign w:val="center"/>
          </w:tcPr>
          <w:p w14:paraId="4411E3B7">
            <w:pPr>
              <w:spacing w:line="240" w:lineRule="exact"/>
              <w:jc w:val="right"/>
              <w:rPr>
                <w:rFonts w:ascii="宋体" w:hAnsi="宋体" w:eastAsia="宋体" w:cs="宋体"/>
                <w:sz w:val="18"/>
                <w:szCs w:val="18"/>
              </w:rPr>
            </w:pPr>
            <w:r>
              <w:rPr>
                <w:rFonts w:ascii="宋体" w:hAnsi="宋体" w:eastAsia="宋体" w:cs="宋体"/>
                <w:sz w:val="18"/>
                <w:szCs w:val="18"/>
              </w:rPr>
              <w:t>60,619,344.22</w:t>
            </w:r>
          </w:p>
        </w:tc>
      </w:tr>
      <w:tr w14:paraId="40C1A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C89DEC">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2EA0A118">
            <w:pPr>
              <w:spacing w:line="240" w:lineRule="exact"/>
              <w:jc w:val="right"/>
              <w:rPr>
                <w:rFonts w:ascii="宋体" w:hAnsi="宋体" w:eastAsia="宋体" w:cs="宋体"/>
                <w:sz w:val="18"/>
                <w:szCs w:val="18"/>
              </w:rPr>
            </w:pPr>
            <w:r>
              <w:rPr>
                <w:rFonts w:ascii="宋体" w:hAnsi="宋体" w:eastAsia="宋体" w:cs="宋体"/>
                <w:sz w:val="18"/>
                <w:szCs w:val="18"/>
              </w:rPr>
              <w:t>28,072,035.65</w:t>
            </w:r>
          </w:p>
        </w:tc>
        <w:tc>
          <w:tcPr>
            <w:tcW w:w="3213" w:type="dxa"/>
            <w:tcBorders>
              <w:top w:val="single" w:color="auto" w:sz="2" w:space="0"/>
              <w:left w:val="single" w:color="auto" w:sz="2" w:space="0"/>
              <w:bottom w:val="single" w:color="auto" w:sz="2" w:space="0"/>
              <w:right w:val="single" w:color="auto" w:sz="2" w:space="0"/>
            </w:tcBorders>
            <w:vAlign w:val="center"/>
          </w:tcPr>
          <w:p w14:paraId="37056242">
            <w:pPr>
              <w:spacing w:line="240" w:lineRule="exact"/>
              <w:jc w:val="right"/>
              <w:rPr>
                <w:rFonts w:ascii="宋体" w:hAnsi="宋体" w:eastAsia="宋体" w:cs="宋体"/>
                <w:sz w:val="18"/>
                <w:szCs w:val="18"/>
              </w:rPr>
            </w:pPr>
            <w:r>
              <w:rPr>
                <w:rFonts w:ascii="宋体" w:hAnsi="宋体" w:eastAsia="宋体" w:cs="宋体"/>
                <w:sz w:val="18"/>
                <w:szCs w:val="18"/>
              </w:rPr>
              <w:t>60,619,344.22</w:t>
            </w:r>
          </w:p>
        </w:tc>
      </w:tr>
    </w:tbl>
    <w:p w14:paraId="144E8FD6">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4A4C3BE7">
      <w:pPr>
        <w:pStyle w:val="3"/>
        <w:spacing w:line="280" w:lineRule="exact"/>
        <w:jc w:val="left"/>
        <w:rPr>
          <w:rFonts w:ascii="宋体" w:hAnsi="宋体" w:cs="宋体"/>
          <w:b/>
          <w:bCs/>
        </w:rPr>
      </w:pPr>
      <w:bookmarkStart w:id="427" w:name="_Toc989280"/>
      <w:r>
        <w:rPr>
          <w:rFonts w:ascii="宋体" w:hAnsi="宋体" w:cs="宋体"/>
          <w:b/>
          <w:bCs/>
        </w:rPr>
        <w:t>45、长期借款</w:t>
      </w:r>
      <w:bookmarkEnd w:id="427"/>
    </w:p>
    <w:p w14:paraId="289A68A3">
      <w:pPr>
        <w:keepNext/>
        <w:keepLines/>
        <w:spacing w:before="300" w:after="300" w:line="280" w:lineRule="exact"/>
        <w:outlineLvl w:val="3"/>
        <w:rPr>
          <w:rFonts w:ascii="宋体" w:hAnsi="宋体" w:eastAsia="宋体" w:cs="宋体"/>
          <w:b/>
          <w:bCs/>
          <w:sz w:val="18"/>
          <w:szCs w:val="18"/>
        </w:rPr>
      </w:pPr>
      <w:bookmarkStart w:id="428" w:name="_Toc989281"/>
      <w:r>
        <w:rPr>
          <w:rFonts w:ascii="宋体" w:hAnsi="宋体" w:eastAsia="宋体" w:cs="宋体"/>
          <w:b/>
          <w:bCs/>
          <w:sz w:val="18"/>
          <w:szCs w:val="18"/>
        </w:rPr>
        <w:t>（1） 长期借款分类</w:t>
      </w:r>
      <w:bookmarkEnd w:id="428"/>
    </w:p>
    <w:p w14:paraId="65C8681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4E73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F272E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C1F2EF">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775A62">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7B38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99A099">
            <w:pPr>
              <w:spacing w:before="40" w:after="40" w:line="240" w:lineRule="exact"/>
              <w:rPr>
                <w:rFonts w:ascii="宋体" w:hAnsi="宋体" w:eastAsia="宋体" w:cs="宋体"/>
                <w:sz w:val="18"/>
                <w:szCs w:val="18"/>
              </w:rPr>
            </w:pPr>
            <w:r>
              <w:rPr>
                <w:rFonts w:ascii="宋体" w:hAnsi="宋体" w:eastAsia="宋体" w:cs="宋体"/>
                <w:sz w:val="18"/>
                <w:szCs w:val="18"/>
              </w:rPr>
              <w:t>抵押借款</w:t>
            </w:r>
          </w:p>
        </w:tc>
        <w:tc>
          <w:tcPr>
            <w:tcW w:w="3213" w:type="dxa"/>
            <w:tcBorders>
              <w:top w:val="single" w:color="auto" w:sz="2" w:space="0"/>
              <w:left w:val="single" w:color="auto" w:sz="2" w:space="0"/>
              <w:bottom w:val="single" w:color="auto" w:sz="2" w:space="0"/>
              <w:right w:val="single" w:color="auto" w:sz="2" w:space="0"/>
            </w:tcBorders>
            <w:vAlign w:val="center"/>
          </w:tcPr>
          <w:p w14:paraId="13EAE30E">
            <w:pPr>
              <w:spacing w:line="240" w:lineRule="exact"/>
              <w:jc w:val="right"/>
              <w:rPr>
                <w:rFonts w:ascii="宋体" w:hAnsi="宋体" w:eastAsia="宋体" w:cs="宋体"/>
                <w:sz w:val="18"/>
                <w:szCs w:val="18"/>
              </w:rPr>
            </w:pPr>
            <w:r>
              <w:rPr>
                <w:rFonts w:ascii="宋体" w:hAnsi="宋体" w:eastAsia="宋体" w:cs="宋体"/>
                <w:sz w:val="18"/>
                <w:szCs w:val="18"/>
              </w:rPr>
              <w:t>383,991,436.67</w:t>
            </w:r>
          </w:p>
        </w:tc>
        <w:tc>
          <w:tcPr>
            <w:tcW w:w="3213" w:type="dxa"/>
            <w:tcBorders>
              <w:top w:val="single" w:color="auto" w:sz="2" w:space="0"/>
              <w:left w:val="single" w:color="auto" w:sz="2" w:space="0"/>
              <w:bottom w:val="single" w:color="auto" w:sz="2" w:space="0"/>
              <w:right w:val="single" w:color="auto" w:sz="2" w:space="0"/>
            </w:tcBorders>
            <w:vAlign w:val="center"/>
          </w:tcPr>
          <w:p w14:paraId="5AF3CDD5">
            <w:pPr>
              <w:spacing w:line="240" w:lineRule="exact"/>
              <w:jc w:val="right"/>
              <w:rPr>
                <w:rFonts w:ascii="宋体" w:hAnsi="宋体" w:eastAsia="宋体" w:cs="宋体"/>
                <w:sz w:val="18"/>
                <w:szCs w:val="18"/>
              </w:rPr>
            </w:pPr>
            <w:r>
              <w:rPr>
                <w:rFonts w:ascii="宋体" w:hAnsi="宋体" w:eastAsia="宋体" w:cs="宋体"/>
                <w:sz w:val="18"/>
                <w:szCs w:val="18"/>
              </w:rPr>
              <w:t>414,182,438.84</w:t>
            </w:r>
          </w:p>
        </w:tc>
      </w:tr>
      <w:tr w14:paraId="56635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4D2FB44">
            <w:pPr>
              <w:spacing w:before="40" w:after="40" w:line="240" w:lineRule="exact"/>
              <w:rPr>
                <w:rFonts w:ascii="宋体" w:hAnsi="宋体" w:eastAsia="宋体" w:cs="宋体"/>
                <w:sz w:val="18"/>
                <w:szCs w:val="18"/>
              </w:rPr>
            </w:pPr>
            <w:r>
              <w:rPr>
                <w:rFonts w:ascii="宋体" w:hAnsi="宋体" w:eastAsia="宋体" w:cs="宋体"/>
                <w:sz w:val="18"/>
                <w:szCs w:val="18"/>
              </w:rPr>
              <w:t>保证借款</w:t>
            </w:r>
          </w:p>
        </w:tc>
        <w:tc>
          <w:tcPr>
            <w:tcW w:w="3213" w:type="dxa"/>
            <w:tcBorders>
              <w:top w:val="single" w:color="auto" w:sz="2" w:space="0"/>
              <w:left w:val="single" w:color="auto" w:sz="2" w:space="0"/>
              <w:bottom w:val="single" w:color="auto" w:sz="2" w:space="0"/>
              <w:right w:val="single" w:color="auto" w:sz="2" w:space="0"/>
            </w:tcBorders>
            <w:vAlign w:val="center"/>
          </w:tcPr>
          <w:p w14:paraId="259B589A">
            <w:pPr>
              <w:spacing w:line="240" w:lineRule="exact"/>
              <w:jc w:val="right"/>
              <w:rPr>
                <w:rFonts w:ascii="宋体" w:hAnsi="宋体" w:eastAsia="宋体" w:cs="宋体"/>
                <w:sz w:val="18"/>
                <w:szCs w:val="18"/>
              </w:rPr>
            </w:pPr>
            <w:r>
              <w:rPr>
                <w:rFonts w:ascii="宋体" w:hAnsi="宋体" w:eastAsia="宋体" w:cs="宋体"/>
                <w:sz w:val="18"/>
                <w:szCs w:val="18"/>
              </w:rPr>
              <w:t>342,000,000.00</w:t>
            </w:r>
          </w:p>
        </w:tc>
        <w:tc>
          <w:tcPr>
            <w:tcW w:w="3213" w:type="dxa"/>
            <w:tcBorders>
              <w:top w:val="single" w:color="auto" w:sz="2" w:space="0"/>
              <w:left w:val="single" w:color="auto" w:sz="2" w:space="0"/>
              <w:bottom w:val="single" w:color="auto" w:sz="2" w:space="0"/>
              <w:right w:val="single" w:color="auto" w:sz="2" w:space="0"/>
            </w:tcBorders>
            <w:vAlign w:val="center"/>
          </w:tcPr>
          <w:p w14:paraId="2CBE0C22">
            <w:pPr>
              <w:spacing w:line="240" w:lineRule="exact"/>
              <w:jc w:val="right"/>
              <w:rPr>
                <w:rFonts w:ascii="宋体" w:hAnsi="宋体" w:eastAsia="宋体" w:cs="宋体"/>
                <w:sz w:val="18"/>
                <w:szCs w:val="18"/>
              </w:rPr>
            </w:pPr>
            <w:r>
              <w:rPr>
                <w:rFonts w:ascii="宋体" w:hAnsi="宋体" w:eastAsia="宋体" w:cs="宋体"/>
                <w:sz w:val="18"/>
                <w:szCs w:val="18"/>
              </w:rPr>
              <w:t>299,980,000.00</w:t>
            </w:r>
          </w:p>
        </w:tc>
      </w:tr>
      <w:tr w14:paraId="716CB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DBFDA8">
            <w:pPr>
              <w:spacing w:before="40" w:after="40" w:line="240" w:lineRule="exact"/>
              <w:rPr>
                <w:rFonts w:ascii="宋体" w:hAnsi="宋体" w:eastAsia="宋体" w:cs="宋体"/>
                <w:sz w:val="18"/>
                <w:szCs w:val="18"/>
              </w:rPr>
            </w:pPr>
            <w:r>
              <w:rPr>
                <w:rFonts w:ascii="宋体" w:hAnsi="宋体" w:eastAsia="宋体" w:cs="宋体"/>
                <w:sz w:val="18"/>
                <w:szCs w:val="18"/>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14:paraId="012F4605">
            <w:pPr>
              <w:spacing w:line="240" w:lineRule="exact"/>
              <w:jc w:val="right"/>
              <w:rPr>
                <w:rFonts w:ascii="宋体" w:hAnsi="宋体" w:eastAsia="宋体" w:cs="宋体"/>
                <w:sz w:val="18"/>
                <w:szCs w:val="18"/>
              </w:rPr>
            </w:pPr>
            <w:r>
              <w:rPr>
                <w:rFonts w:ascii="宋体" w:hAnsi="宋体" w:eastAsia="宋体" w:cs="宋体"/>
                <w:sz w:val="18"/>
                <w:szCs w:val="18"/>
              </w:rPr>
              <w:t>79,381,818.00</w:t>
            </w:r>
          </w:p>
        </w:tc>
        <w:tc>
          <w:tcPr>
            <w:tcW w:w="3213" w:type="dxa"/>
            <w:tcBorders>
              <w:top w:val="single" w:color="auto" w:sz="2" w:space="0"/>
              <w:left w:val="single" w:color="auto" w:sz="2" w:space="0"/>
              <w:bottom w:val="single" w:color="auto" w:sz="2" w:space="0"/>
              <w:right w:val="single" w:color="auto" w:sz="2" w:space="0"/>
            </w:tcBorders>
            <w:vAlign w:val="center"/>
          </w:tcPr>
          <w:p w14:paraId="3D183CF8">
            <w:pPr>
              <w:spacing w:line="240" w:lineRule="exact"/>
              <w:jc w:val="right"/>
              <w:rPr>
                <w:rFonts w:ascii="宋体" w:hAnsi="宋体" w:eastAsia="宋体" w:cs="宋体"/>
                <w:sz w:val="18"/>
                <w:szCs w:val="18"/>
              </w:rPr>
            </w:pPr>
            <w:r>
              <w:rPr>
                <w:rFonts w:ascii="宋体" w:hAnsi="宋体" w:eastAsia="宋体" w:cs="宋体"/>
                <w:sz w:val="18"/>
                <w:szCs w:val="18"/>
              </w:rPr>
              <w:t>35,067,415.43</w:t>
            </w:r>
          </w:p>
        </w:tc>
      </w:tr>
      <w:tr w14:paraId="4733D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E70ACE3">
            <w:pPr>
              <w:spacing w:line="240" w:lineRule="exact"/>
              <w:rPr>
                <w:rFonts w:ascii="宋体" w:hAnsi="宋体" w:eastAsia="宋体" w:cs="宋体"/>
                <w:sz w:val="18"/>
                <w:szCs w:val="18"/>
              </w:rPr>
            </w:pPr>
            <w:r>
              <w:rPr>
                <w:rFonts w:ascii="宋体" w:hAnsi="宋体" w:eastAsia="宋体" w:cs="宋体"/>
                <w:sz w:val="18"/>
                <w:szCs w:val="18"/>
              </w:rPr>
              <w:t>保证、抵押借款</w:t>
            </w:r>
          </w:p>
        </w:tc>
        <w:tc>
          <w:tcPr>
            <w:tcW w:w="3213" w:type="dxa"/>
            <w:tcBorders>
              <w:top w:val="single" w:color="auto" w:sz="2" w:space="0"/>
              <w:left w:val="single" w:color="auto" w:sz="2" w:space="0"/>
              <w:bottom w:val="single" w:color="auto" w:sz="2" w:space="0"/>
              <w:right w:val="single" w:color="auto" w:sz="2" w:space="0"/>
            </w:tcBorders>
            <w:vAlign w:val="center"/>
          </w:tcPr>
          <w:p w14:paraId="2A442608">
            <w:pPr>
              <w:spacing w:line="240" w:lineRule="exact"/>
              <w:jc w:val="right"/>
              <w:rPr>
                <w:rFonts w:ascii="宋体" w:hAnsi="宋体" w:eastAsia="宋体" w:cs="宋体"/>
                <w:sz w:val="18"/>
                <w:szCs w:val="18"/>
              </w:rPr>
            </w:pPr>
            <w:r>
              <w:rPr>
                <w:rFonts w:ascii="宋体" w:hAnsi="宋体" w:eastAsia="宋体" w:cs="宋体"/>
                <w:sz w:val="18"/>
                <w:szCs w:val="18"/>
              </w:rPr>
              <w:t>381,600,000.00</w:t>
            </w:r>
          </w:p>
        </w:tc>
        <w:tc>
          <w:tcPr>
            <w:tcW w:w="3213" w:type="dxa"/>
            <w:tcBorders>
              <w:top w:val="single" w:color="auto" w:sz="2" w:space="0"/>
              <w:left w:val="single" w:color="auto" w:sz="2" w:space="0"/>
              <w:bottom w:val="single" w:color="auto" w:sz="2" w:space="0"/>
              <w:right w:val="single" w:color="auto" w:sz="2" w:space="0"/>
            </w:tcBorders>
            <w:vAlign w:val="center"/>
          </w:tcPr>
          <w:p w14:paraId="4F05FE60">
            <w:pPr>
              <w:spacing w:line="240" w:lineRule="exact"/>
              <w:jc w:val="right"/>
              <w:rPr>
                <w:rFonts w:ascii="宋体" w:hAnsi="宋体" w:eastAsia="宋体" w:cs="宋体"/>
                <w:sz w:val="18"/>
                <w:szCs w:val="18"/>
              </w:rPr>
            </w:pPr>
            <w:r>
              <w:rPr>
                <w:rFonts w:ascii="宋体" w:hAnsi="宋体" w:eastAsia="宋体" w:cs="宋体"/>
                <w:sz w:val="18"/>
                <w:szCs w:val="18"/>
              </w:rPr>
              <w:t>381,806,000.00</w:t>
            </w:r>
          </w:p>
        </w:tc>
      </w:tr>
      <w:tr w14:paraId="64341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E60AD31">
            <w:pPr>
              <w:spacing w:line="240" w:lineRule="exact"/>
              <w:rPr>
                <w:rFonts w:ascii="宋体" w:hAnsi="宋体" w:eastAsia="宋体" w:cs="宋体"/>
                <w:sz w:val="18"/>
                <w:szCs w:val="18"/>
              </w:rPr>
            </w:pPr>
            <w:r>
              <w:rPr>
                <w:rFonts w:ascii="宋体" w:hAnsi="宋体" w:eastAsia="宋体" w:cs="宋体"/>
                <w:sz w:val="18"/>
                <w:szCs w:val="18"/>
              </w:rPr>
              <w:t>未到期应付利息</w:t>
            </w:r>
          </w:p>
        </w:tc>
        <w:tc>
          <w:tcPr>
            <w:tcW w:w="3213" w:type="dxa"/>
            <w:tcBorders>
              <w:top w:val="single" w:color="auto" w:sz="2" w:space="0"/>
              <w:left w:val="single" w:color="auto" w:sz="2" w:space="0"/>
              <w:bottom w:val="single" w:color="auto" w:sz="2" w:space="0"/>
              <w:right w:val="single" w:color="auto" w:sz="2" w:space="0"/>
            </w:tcBorders>
            <w:vAlign w:val="center"/>
          </w:tcPr>
          <w:p w14:paraId="1751D91B">
            <w:pPr>
              <w:spacing w:line="240" w:lineRule="exact"/>
              <w:jc w:val="right"/>
              <w:rPr>
                <w:rFonts w:ascii="宋体" w:hAnsi="宋体" w:eastAsia="宋体" w:cs="宋体"/>
                <w:sz w:val="18"/>
                <w:szCs w:val="18"/>
              </w:rPr>
            </w:pPr>
            <w:r>
              <w:rPr>
                <w:rFonts w:ascii="宋体" w:hAnsi="宋体" w:eastAsia="宋体" w:cs="宋体"/>
                <w:sz w:val="18"/>
                <w:szCs w:val="18"/>
              </w:rPr>
              <w:t>2,301,607.30</w:t>
            </w:r>
          </w:p>
        </w:tc>
        <w:tc>
          <w:tcPr>
            <w:tcW w:w="3213" w:type="dxa"/>
            <w:tcBorders>
              <w:top w:val="single" w:color="auto" w:sz="2" w:space="0"/>
              <w:left w:val="single" w:color="auto" w:sz="2" w:space="0"/>
              <w:bottom w:val="single" w:color="auto" w:sz="2" w:space="0"/>
              <w:right w:val="single" w:color="auto" w:sz="2" w:space="0"/>
            </w:tcBorders>
            <w:vAlign w:val="center"/>
          </w:tcPr>
          <w:p w14:paraId="54B3045C">
            <w:pPr>
              <w:spacing w:line="240" w:lineRule="exact"/>
              <w:jc w:val="right"/>
              <w:rPr>
                <w:rFonts w:ascii="宋体" w:hAnsi="宋体" w:eastAsia="宋体" w:cs="宋体"/>
                <w:sz w:val="18"/>
                <w:szCs w:val="18"/>
              </w:rPr>
            </w:pPr>
            <w:r>
              <w:rPr>
                <w:rFonts w:ascii="宋体" w:hAnsi="宋体" w:eastAsia="宋体" w:cs="宋体"/>
                <w:sz w:val="18"/>
                <w:szCs w:val="18"/>
              </w:rPr>
              <w:t>1,355,306.65</w:t>
            </w:r>
          </w:p>
        </w:tc>
      </w:tr>
      <w:tr w14:paraId="1CEE6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50BC875">
            <w:pPr>
              <w:spacing w:line="240" w:lineRule="exact"/>
              <w:rPr>
                <w:rFonts w:ascii="宋体" w:hAnsi="宋体" w:eastAsia="宋体" w:cs="宋体"/>
                <w:sz w:val="18"/>
                <w:szCs w:val="18"/>
              </w:rPr>
            </w:pPr>
            <w:r>
              <w:rPr>
                <w:rFonts w:ascii="宋体" w:hAnsi="宋体" w:eastAsia="宋体" w:cs="宋体"/>
                <w:sz w:val="18"/>
                <w:szCs w:val="18"/>
              </w:rPr>
              <w:t>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14:paraId="403F1173">
            <w:pPr>
              <w:spacing w:line="240" w:lineRule="exact"/>
              <w:jc w:val="right"/>
              <w:rPr>
                <w:rFonts w:ascii="宋体" w:hAnsi="宋体" w:eastAsia="宋体" w:cs="宋体"/>
                <w:sz w:val="18"/>
                <w:szCs w:val="18"/>
              </w:rPr>
            </w:pPr>
            <w:r>
              <w:rPr>
                <w:rFonts w:ascii="宋体" w:hAnsi="宋体" w:eastAsia="宋体" w:cs="宋体"/>
                <w:sz w:val="18"/>
                <w:szCs w:val="18"/>
              </w:rPr>
              <w:t>-525,546,900.01</w:t>
            </w:r>
          </w:p>
        </w:tc>
        <w:tc>
          <w:tcPr>
            <w:tcW w:w="3213" w:type="dxa"/>
            <w:tcBorders>
              <w:top w:val="single" w:color="auto" w:sz="2" w:space="0"/>
              <w:left w:val="single" w:color="auto" w:sz="2" w:space="0"/>
              <w:bottom w:val="single" w:color="auto" w:sz="2" w:space="0"/>
              <w:right w:val="single" w:color="auto" w:sz="2" w:space="0"/>
            </w:tcBorders>
            <w:vAlign w:val="center"/>
          </w:tcPr>
          <w:p w14:paraId="0CE08DE7">
            <w:pPr>
              <w:spacing w:line="240" w:lineRule="exact"/>
              <w:jc w:val="right"/>
              <w:rPr>
                <w:rFonts w:ascii="宋体" w:hAnsi="宋体" w:eastAsia="宋体" w:cs="宋体"/>
                <w:sz w:val="18"/>
                <w:szCs w:val="18"/>
              </w:rPr>
            </w:pPr>
            <w:r>
              <w:rPr>
                <w:rFonts w:ascii="宋体" w:hAnsi="宋体" w:eastAsia="宋体" w:cs="宋体"/>
                <w:sz w:val="18"/>
                <w:szCs w:val="18"/>
              </w:rPr>
              <w:t>-313,535,306.65</w:t>
            </w:r>
          </w:p>
        </w:tc>
      </w:tr>
      <w:tr w14:paraId="48F1E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9D2A5C">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676AA1F">
            <w:pPr>
              <w:spacing w:line="240" w:lineRule="exact"/>
              <w:jc w:val="right"/>
              <w:rPr>
                <w:rFonts w:ascii="宋体" w:hAnsi="宋体" w:eastAsia="宋体" w:cs="宋体"/>
                <w:sz w:val="18"/>
                <w:szCs w:val="18"/>
              </w:rPr>
            </w:pPr>
            <w:r>
              <w:rPr>
                <w:rFonts w:ascii="宋体" w:hAnsi="宋体" w:eastAsia="宋体" w:cs="宋体"/>
                <w:sz w:val="18"/>
                <w:szCs w:val="18"/>
              </w:rPr>
              <w:t>663,727,961.96</w:t>
            </w:r>
          </w:p>
        </w:tc>
        <w:tc>
          <w:tcPr>
            <w:tcW w:w="3213" w:type="dxa"/>
            <w:tcBorders>
              <w:top w:val="single" w:color="auto" w:sz="2" w:space="0"/>
              <w:left w:val="single" w:color="auto" w:sz="2" w:space="0"/>
              <w:bottom w:val="single" w:color="auto" w:sz="2" w:space="0"/>
              <w:right w:val="single" w:color="auto" w:sz="2" w:space="0"/>
            </w:tcBorders>
            <w:vAlign w:val="center"/>
          </w:tcPr>
          <w:p w14:paraId="7E17AFDC">
            <w:pPr>
              <w:spacing w:line="240" w:lineRule="exact"/>
              <w:jc w:val="right"/>
              <w:rPr>
                <w:rFonts w:ascii="宋体" w:hAnsi="宋体" w:eastAsia="宋体" w:cs="宋体"/>
                <w:sz w:val="18"/>
                <w:szCs w:val="18"/>
              </w:rPr>
            </w:pPr>
            <w:r>
              <w:rPr>
                <w:rFonts w:ascii="宋体" w:hAnsi="宋体" w:eastAsia="宋体" w:cs="宋体"/>
                <w:sz w:val="18"/>
                <w:szCs w:val="18"/>
              </w:rPr>
              <w:t>818,855,854.27</w:t>
            </w:r>
          </w:p>
        </w:tc>
      </w:tr>
    </w:tbl>
    <w:p w14:paraId="16BE7EC9">
      <w:pPr>
        <w:spacing w:before="100" w:after="100" w:line="240" w:lineRule="exact"/>
        <w:rPr>
          <w:rFonts w:ascii="宋体" w:hAnsi="宋体" w:eastAsia="宋体" w:cs="宋体"/>
          <w:sz w:val="18"/>
          <w:szCs w:val="18"/>
        </w:rPr>
      </w:pPr>
      <w:r>
        <w:rPr>
          <w:rFonts w:ascii="宋体" w:hAnsi="宋体" w:eastAsia="宋体" w:cs="宋体"/>
          <w:sz w:val="18"/>
          <w:szCs w:val="18"/>
        </w:rPr>
        <w:t>长期借款分类的说明：</w:t>
      </w:r>
      <w:r>
        <w:rPr>
          <w:rFonts w:hint="eastAsia"/>
          <w:sz w:val="18"/>
          <w:szCs w:val="18"/>
        </w:rPr>
        <w:t>无</w:t>
      </w:r>
    </w:p>
    <w:p w14:paraId="3FB0563C">
      <w:pPr>
        <w:spacing w:before="100" w:after="100" w:line="240" w:lineRule="exact"/>
        <w:rPr>
          <w:rFonts w:ascii="宋体" w:hAnsi="宋体" w:eastAsia="宋体" w:cs="宋体"/>
          <w:sz w:val="18"/>
          <w:szCs w:val="18"/>
        </w:rPr>
      </w:pPr>
      <w:r>
        <w:rPr>
          <w:rFonts w:ascii="宋体" w:hAnsi="宋体" w:eastAsia="宋体" w:cs="宋体"/>
          <w:sz w:val="18"/>
          <w:szCs w:val="18"/>
        </w:rPr>
        <w:t>其他说明，包括利率区间：</w:t>
      </w:r>
      <w:r>
        <w:rPr>
          <w:rFonts w:hint="eastAsia"/>
          <w:sz w:val="18"/>
          <w:szCs w:val="18"/>
        </w:rPr>
        <w:t>无</w:t>
      </w:r>
    </w:p>
    <w:p w14:paraId="1CAC38BC">
      <w:pPr>
        <w:pStyle w:val="3"/>
        <w:spacing w:line="280" w:lineRule="exact"/>
        <w:jc w:val="left"/>
        <w:rPr>
          <w:rFonts w:ascii="宋体" w:hAnsi="宋体" w:cs="宋体"/>
          <w:b/>
          <w:bCs/>
        </w:rPr>
      </w:pPr>
      <w:bookmarkStart w:id="429" w:name="_Toc989282"/>
      <w:r>
        <w:rPr>
          <w:rFonts w:ascii="宋体" w:hAnsi="宋体" w:cs="宋体"/>
          <w:b/>
          <w:bCs/>
        </w:rPr>
        <w:t>46、应付债券</w:t>
      </w:r>
      <w:bookmarkEnd w:id="429"/>
    </w:p>
    <w:p w14:paraId="1867DA8F">
      <w:pPr>
        <w:keepNext/>
        <w:keepLines/>
        <w:spacing w:before="300" w:after="300" w:line="280" w:lineRule="exact"/>
        <w:outlineLvl w:val="3"/>
        <w:rPr>
          <w:rFonts w:ascii="宋体" w:hAnsi="宋体" w:eastAsia="宋体" w:cs="宋体"/>
          <w:b/>
          <w:bCs/>
          <w:szCs w:val="21"/>
        </w:rPr>
      </w:pPr>
      <w:bookmarkStart w:id="430" w:name="_Toc989283"/>
      <w:r>
        <w:rPr>
          <w:rFonts w:ascii="宋体" w:hAnsi="宋体" w:eastAsia="宋体" w:cs="宋体"/>
          <w:b/>
          <w:bCs/>
          <w:szCs w:val="21"/>
        </w:rPr>
        <w:t>（1） 应付债券</w:t>
      </w:r>
      <w:bookmarkEnd w:id="430"/>
    </w:p>
    <w:p w14:paraId="560393DA">
      <w:pPr>
        <w:keepNext/>
        <w:keepLines/>
        <w:spacing w:before="300" w:after="300" w:line="280" w:lineRule="exact"/>
        <w:outlineLvl w:val="3"/>
        <w:rPr>
          <w:rFonts w:ascii="宋体" w:hAnsi="宋体" w:eastAsia="宋体" w:cs="宋体"/>
          <w:b/>
          <w:bCs/>
          <w:szCs w:val="21"/>
        </w:rPr>
      </w:pPr>
      <w:bookmarkStart w:id="431" w:name="_Toc989285"/>
      <w:r>
        <w:rPr>
          <w:rFonts w:ascii="宋体" w:hAnsi="宋体" w:eastAsia="宋体" w:cs="宋体"/>
          <w:b/>
          <w:bCs/>
          <w:szCs w:val="21"/>
        </w:rPr>
        <w:t>（3） 可转换公司债券的说明</w:t>
      </w:r>
      <w:bookmarkEnd w:id="431"/>
    </w:p>
    <w:p w14:paraId="124FD298">
      <w:pPr>
        <w:keepNext/>
        <w:keepLines/>
        <w:spacing w:before="300" w:after="300" w:line="280" w:lineRule="exact"/>
        <w:outlineLvl w:val="3"/>
        <w:rPr>
          <w:rFonts w:ascii="宋体" w:hAnsi="宋体" w:eastAsia="宋体" w:cs="宋体"/>
          <w:b/>
          <w:bCs/>
          <w:szCs w:val="21"/>
        </w:rPr>
      </w:pPr>
      <w:bookmarkStart w:id="432" w:name="_Toc989286"/>
      <w:r>
        <w:rPr>
          <w:rFonts w:ascii="宋体" w:hAnsi="宋体" w:eastAsia="宋体" w:cs="宋体"/>
          <w:b/>
          <w:bCs/>
          <w:szCs w:val="21"/>
        </w:rPr>
        <w:t>（4） 划分为金融负债的其他金融工具说明</w:t>
      </w:r>
      <w:bookmarkEnd w:id="432"/>
    </w:p>
    <w:p w14:paraId="58C67343">
      <w:pPr>
        <w:spacing w:before="100" w:after="100" w:line="240" w:lineRule="exact"/>
        <w:rPr>
          <w:rFonts w:ascii="宋体" w:hAnsi="宋体" w:eastAsia="宋体" w:cs="宋体"/>
          <w:sz w:val="18"/>
          <w:szCs w:val="18"/>
        </w:rPr>
      </w:pPr>
      <w:r>
        <w:rPr>
          <w:rFonts w:ascii="宋体" w:hAnsi="宋体" w:eastAsia="宋体" w:cs="宋体"/>
          <w:sz w:val="18"/>
          <w:szCs w:val="18"/>
        </w:rPr>
        <w:t>期末发行在外的优先股、永续债等其他金融工具基本情况</w:t>
      </w:r>
    </w:p>
    <w:p w14:paraId="2C079D18">
      <w:pPr>
        <w:rPr>
          <w:sz w:val="18"/>
          <w:szCs w:val="18"/>
        </w:rPr>
      </w:pPr>
    </w:p>
    <w:p w14:paraId="5C7BAE65">
      <w:pPr>
        <w:spacing w:before="100" w:after="100" w:line="240" w:lineRule="exact"/>
        <w:rPr>
          <w:rFonts w:ascii="宋体" w:hAnsi="宋体" w:eastAsia="宋体" w:cs="宋体"/>
          <w:sz w:val="18"/>
          <w:szCs w:val="18"/>
        </w:rPr>
      </w:pPr>
      <w:r>
        <w:rPr>
          <w:rFonts w:ascii="宋体" w:hAnsi="宋体" w:eastAsia="宋体" w:cs="宋体"/>
          <w:sz w:val="18"/>
          <w:szCs w:val="18"/>
        </w:rPr>
        <w:t>期末发行在外的优先股、永续债等金融工具变动情况表</w:t>
      </w:r>
    </w:p>
    <w:p w14:paraId="03796BF3">
      <w:pPr>
        <w:spacing w:before="100" w:after="100" w:line="240" w:lineRule="exact"/>
        <w:rPr>
          <w:rFonts w:ascii="宋体" w:hAnsi="宋体" w:eastAsia="宋体" w:cs="宋体"/>
          <w:sz w:val="18"/>
          <w:szCs w:val="18"/>
        </w:rPr>
      </w:pPr>
      <w:r>
        <w:rPr>
          <w:rFonts w:ascii="宋体" w:hAnsi="宋体" w:eastAsia="宋体" w:cs="宋体"/>
          <w:sz w:val="18"/>
          <w:szCs w:val="18"/>
        </w:rPr>
        <w:t>其他金融工具划分为金融负债的依据说明</w:t>
      </w:r>
    </w:p>
    <w:p w14:paraId="3D09AC0F">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ascii="宋体" w:hAnsi="宋体" w:eastAsia="宋体" w:cs="宋体"/>
          <w:sz w:val="18"/>
          <w:szCs w:val="18"/>
        </w:rPr>
        <w:t>无</w:t>
      </w:r>
    </w:p>
    <w:p w14:paraId="32637E88">
      <w:pPr>
        <w:pStyle w:val="3"/>
        <w:spacing w:line="280" w:lineRule="exact"/>
        <w:jc w:val="left"/>
        <w:rPr>
          <w:rFonts w:ascii="宋体" w:hAnsi="宋体" w:cs="宋体"/>
          <w:b/>
          <w:bCs/>
        </w:rPr>
      </w:pPr>
      <w:bookmarkStart w:id="433" w:name="_Toc989287"/>
      <w:r>
        <w:rPr>
          <w:rFonts w:ascii="宋体" w:hAnsi="宋体" w:cs="宋体"/>
          <w:b/>
          <w:bCs/>
        </w:rPr>
        <w:t>47、租赁负债</w:t>
      </w:r>
      <w:bookmarkEnd w:id="433"/>
    </w:p>
    <w:p w14:paraId="0EC608A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533F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C5B5B4">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997805">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F7F952">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3140A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5E752DF">
            <w:pPr>
              <w:spacing w:line="240" w:lineRule="exact"/>
              <w:rPr>
                <w:rFonts w:ascii="宋体" w:hAnsi="宋体" w:eastAsia="宋体" w:cs="宋体"/>
                <w:sz w:val="18"/>
                <w:szCs w:val="18"/>
              </w:rPr>
            </w:pPr>
            <w:r>
              <w:rPr>
                <w:rFonts w:ascii="宋体" w:hAnsi="宋体" w:eastAsia="宋体" w:cs="宋体"/>
                <w:sz w:val="18"/>
                <w:szCs w:val="18"/>
              </w:rPr>
              <w:t>租赁房屋建筑物</w:t>
            </w:r>
          </w:p>
        </w:tc>
        <w:tc>
          <w:tcPr>
            <w:tcW w:w="3213" w:type="dxa"/>
            <w:tcBorders>
              <w:top w:val="single" w:color="auto" w:sz="2" w:space="0"/>
              <w:left w:val="single" w:color="auto" w:sz="2" w:space="0"/>
              <w:bottom w:val="single" w:color="auto" w:sz="2" w:space="0"/>
              <w:right w:val="single" w:color="auto" w:sz="2" w:space="0"/>
            </w:tcBorders>
            <w:vAlign w:val="center"/>
          </w:tcPr>
          <w:p w14:paraId="40CA611D">
            <w:pPr>
              <w:spacing w:line="240" w:lineRule="exact"/>
              <w:jc w:val="right"/>
              <w:rPr>
                <w:rFonts w:ascii="宋体" w:hAnsi="宋体" w:eastAsia="宋体" w:cs="宋体"/>
                <w:sz w:val="18"/>
                <w:szCs w:val="18"/>
              </w:rPr>
            </w:pPr>
            <w:r>
              <w:rPr>
                <w:rFonts w:ascii="宋体" w:hAnsi="宋体" w:eastAsia="宋体" w:cs="宋体"/>
                <w:sz w:val="18"/>
                <w:szCs w:val="18"/>
              </w:rPr>
              <w:t>20,942,895.91</w:t>
            </w:r>
          </w:p>
        </w:tc>
        <w:tc>
          <w:tcPr>
            <w:tcW w:w="3213" w:type="dxa"/>
            <w:tcBorders>
              <w:top w:val="single" w:color="auto" w:sz="2" w:space="0"/>
              <w:left w:val="single" w:color="auto" w:sz="2" w:space="0"/>
              <w:bottom w:val="single" w:color="auto" w:sz="2" w:space="0"/>
              <w:right w:val="single" w:color="auto" w:sz="2" w:space="0"/>
            </w:tcBorders>
            <w:vAlign w:val="center"/>
          </w:tcPr>
          <w:p w14:paraId="7DCBC67D">
            <w:pPr>
              <w:spacing w:line="240" w:lineRule="exact"/>
              <w:jc w:val="right"/>
              <w:rPr>
                <w:rFonts w:ascii="宋体" w:hAnsi="宋体" w:eastAsia="宋体" w:cs="宋体"/>
                <w:sz w:val="18"/>
                <w:szCs w:val="18"/>
              </w:rPr>
            </w:pPr>
            <w:r>
              <w:rPr>
                <w:rFonts w:ascii="宋体" w:hAnsi="宋体" w:eastAsia="宋体" w:cs="宋体"/>
                <w:sz w:val="18"/>
                <w:szCs w:val="18"/>
              </w:rPr>
              <w:t>27,939,315.71</w:t>
            </w:r>
          </w:p>
        </w:tc>
      </w:tr>
      <w:tr w14:paraId="64BFF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CC8D8EA">
            <w:pPr>
              <w:spacing w:line="240" w:lineRule="exact"/>
              <w:rPr>
                <w:rFonts w:ascii="宋体" w:hAnsi="宋体" w:eastAsia="宋体" w:cs="宋体"/>
                <w:sz w:val="18"/>
                <w:szCs w:val="18"/>
              </w:rPr>
            </w:pPr>
            <w:r>
              <w:rPr>
                <w:rFonts w:ascii="宋体" w:hAnsi="宋体" w:eastAsia="宋体" w:cs="宋体"/>
                <w:sz w:val="18"/>
                <w:szCs w:val="18"/>
              </w:rPr>
              <w:t>租赁设备</w:t>
            </w:r>
          </w:p>
        </w:tc>
        <w:tc>
          <w:tcPr>
            <w:tcW w:w="3213" w:type="dxa"/>
            <w:tcBorders>
              <w:top w:val="single" w:color="auto" w:sz="2" w:space="0"/>
              <w:left w:val="single" w:color="auto" w:sz="2" w:space="0"/>
              <w:bottom w:val="single" w:color="auto" w:sz="2" w:space="0"/>
              <w:right w:val="single" w:color="auto" w:sz="2" w:space="0"/>
            </w:tcBorders>
            <w:vAlign w:val="center"/>
          </w:tcPr>
          <w:p w14:paraId="5EE8DCED">
            <w:pPr>
              <w:spacing w:line="240" w:lineRule="exact"/>
              <w:jc w:val="right"/>
              <w:rPr>
                <w:rFonts w:ascii="宋体" w:hAnsi="宋体" w:eastAsia="宋体" w:cs="宋体"/>
                <w:sz w:val="18"/>
                <w:szCs w:val="18"/>
              </w:rPr>
            </w:pPr>
            <w:r>
              <w:rPr>
                <w:rFonts w:ascii="宋体" w:hAnsi="宋体" w:eastAsia="宋体" w:cs="宋体"/>
                <w:sz w:val="18"/>
                <w:szCs w:val="18"/>
              </w:rPr>
              <w:t>346,607.61</w:t>
            </w:r>
          </w:p>
        </w:tc>
        <w:tc>
          <w:tcPr>
            <w:tcW w:w="3213" w:type="dxa"/>
            <w:tcBorders>
              <w:top w:val="single" w:color="auto" w:sz="2" w:space="0"/>
              <w:left w:val="single" w:color="auto" w:sz="2" w:space="0"/>
              <w:bottom w:val="single" w:color="auto" w:sz="2" w:space="0"/>
              <w:right w:val="single" w:color="auto" w:sz="2" w:space="0"/>
            </w:tcBorders>
            <w:vAlign w:val="center"/>
          </w:tcPr>
          <w:p w14:paraId="33B51D7F">
            <w:pPr>
              <w:spacing w:line="240" w:lineRule="exact"/>
              <w:jc w:val="right"/>
              <w:rPr>
                <w:rFonts w:ascii="宋体" w:hAnsi="宋体" w:eastAsia="宋体" w:cs="宋体"/>
                <w:sz w:val="18"/>
                <w:szCs w:val="18"/>
              </w:rPr>
            </w:pPr>
            <w:r>
              <w:rPr>
                <w:rFonts w:ascii="宋体" w:hAnsi="宋体" w:eastAsia="宋体" w:cs="宋体"/>
                <w:sz w:val="18"/>
                <w:szCs w:val="18"/>
              </w:rPr>
              <w:t>435,103.17</w:t>
            </w:r>
          </w:p>
        </w:tc>
      </w:tr>
      <w:tr w14:paraId="1D769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25748E4">
            <w:pPr>
              <w:spacing w:line="240" w:lineRule="exact"/>
              <w:rPr>
                <w:rFonts w:ascii="宋体" w:hAnsi="宋体" w:eastAsia="宋体" w:cs="宋体"/>
                <w:sz w:val="18"/>
                <w:szCs w:val="18"/>
              </w:rPr>
            </w:pPr>
            <w:r>
              <w:rPr>
                <w:rFonts w:ascii="宋体" w:hAnsi="宋体" w:eastAsia="宋体" w:cs="宋体"/>
                <w:sz w:val="18"/>
                <w:szCs w:val="18"/>
              </w:rPr>
              <w:t>减：未确认融资费用</w:t>
            </w:r>
          </w:p>
        </w:tc>
        <w:tc>
          <w:tcPr>
            <w:tcW w:w="3213" w:type="dxa"/>
            <w:tcBorders>
              <w:top w:val="single" w:color="auto" w:sz="2" w:space="0"/>
              <w:left w:val="single" w:color="auto" w:sz="2" w:space="0"/>
              <w:bottom w:val="single" w:color="auto" w:sz="2" w:space="0"/>
              <w:right w:val="single" w:color="auto" w:sz="2" w:space="0"/>
            </w:tcBorders>
            <w:vAlign w:val="center"/>
          </w:tcPr>
          <w:p w14:paraId="6FACEA2B">
            <w:pPr>
              <w:spacing w:line="240" w:lineRule="exact"/>
              <w:jc w:val="right"/>
              <w:rPr>
                <w:rFonts w:ascii="宋体" w:hAnsi="宋体" w:eastAsia="宋体" w:cs="宋体"/>
                <w:sz w:val="18"/>
                <w:szCs w:val="18"/>
              </w:rPr>
            </w:pPr>
            <w:r>
              <w:rPr>
                <w:rFonts w:ascii="宋体" w:hAnsi="宋体" w:eastAsia="宋体" w:cs="宋体"/>
                <w:sz w:val="18"/>
                <w:szCs w:val="18"/>
              </w:rPr>
              <w:t>-1,289,203.27</w:t>
            </w:r>
          </w:p>
        </w:tc>
        <w:tc>
          <w:tcPr>
            <w:tcW w:w="3213" w:type="dxa"/>
            <w:tcBorders>
              <w:top w:val="single" w:color="auto" w:sz="2" w:space="0"/>
              <w:left w:val="single" w:color="auto" w:sz="2" w:space="0"/>
              <w:bottom w:val="single" w:color="auto" w:sz="2" w:space="0"/>
              <w:right w:val="single" w:color="auto" w:sz="2" w:space="0"/>
            </w:tcBorders>
            <w:vAlign w:val="center"/>
          </w:tcPr>
          <w:p w14:paraId="743EEB94">
            <w:pPr>
              <w:spacing w:line="240" w:lineRule="exact"/>
              <w:jc w:val="right"/>
              <w:rPr>
                <w:rFonts w:ascii="宋体" w:hAnsi="宋体" w:eastAsia="宋体" w:cs="宋体"/>
                <w:sz w:val="18"/>
                <w:szCs w:val="18"/>
              </w:rPr>
            </w:pPr>
            <w:r>
              <w:rPr>
                <w:rFonts w:ascii="宋体" w:hAnsi="宋体" w:eastAsia="宋体" w:cs="宋体"/>
                <w:sz w:val="18"/>
                <w:szCs w:val="18"/>
              </w:rPr>
              <w:t>-757,272.14</w:t>
            </w:r>
          </w:p>
        </w:tc>
      </w:tr>
      <w:tr w14:paraId="3B9CD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D95B23E">
            <w:pPr>
              <w:spacing w:line="240" w:lineRule="exact"/>
              <w:rPr>
                <w:rFonts w:ascii="宋体" w:hAnsi="宋体" w:eastAsia="宋体" w:cs="宋体"/>
                <w:sz w:val="18"/>
                <w:szCs w:val="18"/>
              </w:rPr>
            </w:pPr>
            <w:r>
              <w:rPr>
                <w:rFonts w:ascii="宋体" w:hAnsi="宋体" w:eastAsia="宋体" w:cs="宋体"/>
                <w:sz w:val="18"/>
                <w:szCs w:val="18"/>
              </w:rPr>
              <w:t>减：一年内到期的租赁负债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6A6922D9">
            <w:pPr>
              <w:spacing w:line="240" w:lineRule="exact"/>
              <w:jc w:val="right"/>
              <w:rPr>
                <w:rFonts w:ascii="宋体" w:hAnsi="宋体" w:eastAsia="宋体" w:cs="宋体"/>
                <w:sz w:val="18"/>
                <w:szCs w:val="18"/>
              </w:rPr>
            </w:pPr>
            <w:r>
              <w:rPr>
                <w:rFonts w:ascii="宋体" w:hAnsi="宋体" w:eastAsia="宋体" w:cs="宋体"/>
                <w:sz w:val="18"/>
                <w:szCs w:val="18"/>
              </w:rPr>
              <w:t>-7,171,986.72</w:t>
            </w:r>
          </w:p>
        </w:tc>
        <w:tc>
          <w:tcPr>
            <w:tcW w:w="3213" w:type="dxa"/>
            <w:tcBorders>
              <w:top w:val="single" w:color="auto" w:sz="2" w:space="0"/>
              <w:left w:val="single" w:color="auto" w:sz="2" w:space="0"/>
              <w:bottom w:val="single" w:color="auto" w:sz="2" w:space="0"/>
              <w:right w:val="single" w:color="auto" w:sz="2" w:space="0"/>
            </w:tcBorders>
            <w:vAlign w:val="center"/>
          </w:tcPr>
          <w:p w14:paraId="10DFB2FC">
            <w:pPr>
              <w:spacing w:line="240" w:lineRule="exact"/>
              <w:jc w:val="right"/>
              <w:rPr>
                <w:rFonts w:ascii="宋体" w:hAnsi="宋体" w:eastAsia="宋体" w:cs="宋体"/>
                <w:sz w:val="18"/>
                <w:szCs w:val="18"/>
              </w:rPr>
            </w:pPr>
            <w:r>
              <w:rPr>
                <w:rFonts w:ascii="宋体" w:hAnsi="宋体" w:eastAsia="宋体" w:cs="宋体"/>
                <w:sz w:val="18"/>
                <w:szCs w:val="18"/>
              </w:rPr>
              <w:t>-4,281,566.77</w:t>
            </w:r>
          </w:p>
        </w:tc>
      </w:tr>
      <w:tr w14:paraId="0450C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A59CF3">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73742668">
            <w:pPr>
              <w:spacing w:line="240" w:lineRule="exact"/>
              <w:jc w:val="right"/>
              <w:rPr>
                <w:rFonts w:ascii="宋体" w:hAnsi="宋体" w:eastAsia="宋体" w:cs="宋体"/>
                <w:sz w:val="18"/>
                <w:szCs w:val="18"/>
              </w:rPr>
            </w:pPr>
            <w:r>
              <w:rPr>
                <w:rFonts w:ascii="宋体" w:hAnsi="宋体" w:eastAsia="宋体" w:cs="宋体"/>
                <w:sz w:val="18"/>
                <w:szCs w:val="18"/>
              </w:rPr>
              <w:t>12,828,313.53</w:t>
            </w:r>
          </w:p>
        </w:tc>
        <w:tc>
          <w:tcPr>
            <w:tcW w:w="3213" w:type="dxa"/>
            <w:tcBorders>
              <w:top w:val="single" w:color="auto" w:sz="2" w:space="0"/>
              <w:left w:val="single" w:color="auto" w:sz="2" w:space="0"/>
              <w:bottom w:val="single" w:color="auto" w:sz="2" w:space="0"/>
              <w:right w:val="single" w:color="auto" w:sz="2" w:space="0"/>
            </w:tcBorders>
            <w:vAlign w:val="center"/>
          </w:tcPr>
          <w:p w14:paraId="474C5353">
            <w:pPr>
              <w:spacing w:line="240" w:lineRule="exact"/>
              <w:jc w:val="right"/>
              <w:rPr>
                <w:rFonts w:ascii="宋体" w:hAnsi="宋体" w:eastAsia="宋体" w:cs="宋体"/>
                <w:sz w:val="18"/>
                <w:szCs w:val="18"/>
              </w:rPr>
            </w:pPr>
            <w:r>
              <w:rPr>
                <w:rFonts w:ascii="宋体" w:hAnsi="宋体" w:eastAsia="宋体" w:cs="宋体"/>
                <w:sz w:val="18"/>
                <w:szCs w:val="18"/>
              </w:rPr>
              <w:t>23,335,579.97</w:t>
            </w:r>
          </w:p>
        </w:tc>
      </w:tr>
    </w:tbl>
    <w:p w14:paraId="6F1C9484">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166B96D5">
      <w:pPr>
        <w:pStyle w:val="3"/>
        <w:spacing w:line="280" w:lineRule="exact"/>
        <w:jc w:val="left"/>
        <w:rPr>
          <w:rFonts w:ascii="宋体" w:hAnsi="宋体" w:cs="宋体"/>
          <w:b/>
          <w:bCs/>
        </w:rPr>
      </w:pPr>
      <w:bookmarkStart w:id="434" w:name="_Toc989288"/>
      <w:r>
        <w:rPr>
          <w:rFonts w:ascii="宋体" w:hAnsi="宋体" w:cs="宋体"/>
          <w:b/>
          <w:bCs/>
        </w:rPr>
        <w:t>48、长期应付款</w:t>
      </w:r>
      <w:bookmarkEnd w:id="434"/>
    </w:p>
    <w:p w14:paraId="5D467A6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229B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66BE2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AD1EB5">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BD016E">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69CCD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CFDF99">
            <w:pPr>
              <w:spacing w:before="40" w:after="40" w:line="240" w:lineRule="exac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14:paraId="65C2BD44">
            <w:pPr>
              <w:spacing w:line="240" w:lineRule="exact"/>
              <w:jc w:val="right"/>
              <w:rPr>
                <w:rFonts w:ascii="宋体" w:hAnsi="宋体" w:eastAsia="宋体" w:cs="宋体"/>
                <w:sz w:val="18"/>
                <w:szCs w:val="18"/>
              </w:rPr>
            </w:pPr>
            <w:r>
              <w:rPr>
                <w:rFonts w:ascii="宋体" w:hAnsi="宋体" w:eastAsia="宋体" w:cs="宋体"/>
                <w:sz w:val="18"/>
                <w:szCs w:val="18"/>
              </w:rPr>
              <w:t>244,367,138.45</w:t>
            </w:r>
          </w:p>
        </w:tc>
        <w:tc>
          <w:tcPr>
            <w:tcW w:w="3213" w:type="dxa"/>
            <w:tcBorders>
              <w:top w:val="single" w:color="auto" w:sz="2" w:space="0"/>
              <w:left w:val="single" w:color="auto" w:sz="2" w:space="0"/>
              <w:bottom w:val="single" w:color="auto" w:sz="2" w:space="0"/>
              <w:right w:val="single" w:color="auto" w:sz="2" w:space="0"/>
            </w:tcBorders>
            <w:vAlign w:val="center"/>
          </w:tcPr>
          <w:p w14:paraId="4079640B">
            <w:pPr>
              <w:spacing w:line="240" w:lineRule="exact"/>
              <w:jc w:val="right"/>
              <w:rPr>
                <w:rFonts w:ascii="宋体" w:hAnsi="宋体" w:eastAsia="宋体" w:cs="宋体"/>
                <w:sz w:val="18"/>
                <w:szCs w:val="18"/>
              </w:rPr>
            </w:pPr>
            <w:r>
              <w:rPr>
                <w:rFonts w:ascii="宋体" w:hAnsi="宋体" w:eastAsia="宋体" w:cs="宋体"/>
                <w:sz w:val="18"/>
                <w:szCs w:val="18"/>
              </w:rPr>
              <w:t>244,367,138.45</w:t>
            </w:r>
          </w:p>
        </w:tc>
      </w:tr>
      <w:tr w14:paraId="70A5B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105E13">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856E581">
            <w:pPr>
              <w:spacing w:line="240" w:lineRule="exact"/>
              <w:jc w:val="right"/>
              <w:rPr>
                <w:rFonts w:ascii="宋体" w:hAnsi="宋体" w:eastAsia="宋体" w:cs="宋体"/>
                <w:sz w:val="18"/>
                <w:szCs w:val="18"/>
              </w:rPr>
            </w:pPr>
            <w:r>
              <w:rPr>
                <w:rFonts w:ascii="宋体" w:hAnsi="宋体" w:eastAsia="宋体" w:cs="宋体"/>
                <w:sz w:val="18"/>
                <w:szCs w:val="18"/>
              </w:rPr>
              <w:t>244,367,138.45</w:t>
            </w:r>
          </w:p>
        </w:tc>
        <w:tc>
          <w:tcPr>
            <w:tcW w:w="3213" w:type="dxa"/>
            <w:tcBorders>
              <w:top w:val="single" w:color="auto" w:sz="2" w:space="0"/>
              <w:left w:val="single" w:color="auto" w:sz="2" w:space="0"/>
              <w:bottom w:val="single" w:color="auto" w:sz="2" w:space="0"/>
              <w:right w:val="single" w:color="auto" w:sz="2" w:space="0"/>
            </w:tcBorders>
            <w:vAlign w:val="center"/>
          </w:tcPr>
          <w:p w14:paraId="29C66054">
            <w:pPr>
              <w:spacing w:line="240" w:lineRule="exact"/>
              <w:jc w:val="right"/>
              <w:rPr>
                <w:rFonts w:ascii="宋体" w:hAnsi="宋体" w:eastAsia="宋体" w:cs="宋体"/>
                <w:sz w:val="18"/>
                <w:szCs w:val="18"/>
              </w:rPr>
            </w:pPr>
            <w:r>
              <w:rPr>
                <w:rFonts w:ascii="宋体" w:hAnsi="宋体" w:eastAsia="宋体" w:cs="宋体"/>
                <w:sz w:val="18"/>
                <w:szCs w:val="18"/>
              </w:rPr>
              <w:t>244,367,138.45</w:t>
            </w:r>
          </w:p>
        </w:tc>
      </w:tr>
    </w:tbl>
    <w:p w14:paraId="02EA4E2B">
      <w:pPr>
        <w:keepNext/>
        <w:keepLines/>
        <w:spacing w:before="300" w:after="300" w:line="280" w:lineRule="exact"/>
        <w:outlineLvl w:val="3"/>
        <w:rPr>
          <w:rFonts w:ascii="宋体" w:hAnsi="宋体" w:eastAsia="宋体" w:cs="宋体"/>
          <w:b/>
          <w:bCs/>
          <w:sz w:val="18"/>
          <w:szCs w:val="18"/>
        </w:rPr>
      </w:pPr>
      <w:bookmarkStart w:id="435" w:name="_Toc989289"/>
      <w:r>
        <w:rPr>
          <w:rFonts w:ascii="宋体" w:hAnsi="宋体" w:eastAsia="宋体" w:cs="宋体"/>
          <w:b/>
          <w:bCs/>
          <w:sz w:val="18"/>
          <w:szCs w:val="18"/>
        </w:rPr>
        <w:t>（1） 按款项性质列示长期应付款</w:t>
      </w:r>
      <w:bookmarkEnd w:id="435"/>
    </w:p>
    <w:p w14:paraId="6929EAC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4AAB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9C0B0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E612516">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6FC29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B034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B4BD0D8">
            <w:pPr>
              <w:spacing w:line="240" w:lineRule="exact"/>
              <w:rPr>
                <w:rFonts w:ascii="宋体" w:hAnsi="宋体" w:eastAsia="宋体" w:cs="宋体"/>
                <w:sz w:val="18"/>
                <w:szCs w:val="18"/>
              </w:rPr>
            </w:pPr>
            <w:r>
              <w:rPr>
                <w:rFonts w:ascii="宋体" w:hAnsi="宋体" w:eastAsia="宋体" w:cs="宋体"/>
                <w:sz w:val="18"/>
                <w:szCs w:val="18"/>
              </w:rPr>
              <w:t>担保损失备付金（注1）</w:t>
            </w:r>
          </w:p>
        </w:tc>
        <w:tc>
          <w:tcPr>
            <w:tcW w:w="3213" w:type="dxa"/>
            <w:tcBorders>
              <w:top w:val="single" w:color="auto" w:sz="2" w:space="0"/>
              <w:left w:val="single" w:color="auto" w:sz="2" w:space="0"/>
              <w:bottom w:val="single" w:color="auto" w:sz="2" w:space="0"/>
              <w:right w:val="single" w:color="auto" w:sz="2" w:space="0"/>
            </w:tcBorders>
            <w:vAlign w:val="center"/>
          </w:tcPr>
          <w:p w14:paraId="1D202354">
            <w:pPr>
              <w:spacing w:line="240" w:lineRule="exact"/>
              <w:jc w:val="right"/>
              <w:rPr>
                <w:rFonts w:ascii="宋体" w:hAnsi="宋体" w:eastAsia="宋体" w:cs="宋体"/>
                <w:sz w:val="18"/>
                <w:szCs w:val="18"/>
              </w:rPr>
            </w:pPr>
            <w:r>
              <w:rPr>
                <w:rFonts w:ascii="宋体" w:hAnsi="宋体" w:eastAsia="宋体" w:cs="宋体"/>
                <w:sz w:val="18"/>
                <w:szCs w:val="18"/>
              </w:rPr>
              <w:t>4,367,138.45</w:t>
            </w:r>
          </w:p>
        </w:tc>
        <w:tc>
          <w:tcPr>
            <w:tcW w:w="3213" w:type="dxa"/>
            <w:tcBorders>
              <w:top w:val="single" w:color="auto" w:sz="2" w:space="0"/>
              <w:left w:val="single" w:color="auto" w:sz="2" w:space="0"/>
              <w:bottom w:val="single" w:color="auto" w:sz="2" w:space="0"/>
              <w:right w:val="single" w:color="auto" w:sz="2" w:space="0"/>
            </w:tcBorders>
            <w:vAlign w:val="center"/>
          </w:tcPr>
          <w:p w14:paraId="41E27991">
            <w:pPr>
              <w:spacing w:line="240" w:lineRule="exact"/>
              <w:jc w:val="right"/>
              <w:rPr>
                <w:rFonts w:ascii="宋体" w:hAnsi="宋体" w:eastAsia="宋体" w:cs="宋体"/>
                <w:sz w:val="18"/>
                <w:szCs w:val="18"/>
              </w:rPr>
            </w:pPr>
            <w:r>
              <w:rPr>
                <w:rFonts w:ascii="宋体" w:hAnsi="宋体" w:eastAsia="宋体" w:cs="宋体"/>
                <w:sz w:val="18"/>
                <w:szCs w:val="18"/>
              </w:rPr>
              <w:t>4,367,138.45</w:t>
            </w:r>
          </w:p>
        </w:tc>
      </w:tr>
      <w:tr w14:paraId="30F4A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FECB8C6">
            <w:pPr>
              <w:spacing w:line="240" w:lineRule="exact"/>
              <w:rPr>
                <w:rFonts w:ascii="宋体" w:hAnsi="宋体" w:eastAsia="宋体" w:cs="宋体"/>
                <w:sz w:val="18"/>
                <w:szCs w:val="18"/>
              </w:rPr>
            </w:pPr>
            <w:r>
              <w:rPr>
                <w:rFonts w:ascii="宋体" w:hAnsi="宋体" w:eastAsia="宋体" w:cs="宋体"/>
                <w:sz w:val="18"/>
                <w:szCs w:val="18"/>
              </w:rPr>
              <w:t>附限制条件的投资款</w:t>
            </w:r>
          </w:p>
        </w:tc>
        <w:tc>
          <w:tcPr>
            <w:tcW w:w="3213" w:type="dxa"/>
            <w:tcBorders>
              <w:top w:val="single" w:color="auto" w:sz="2" w:space="0"/>
              <w:left w:val="single" w:color="auto" w:sz="2" w:space="0"/>
              <w:bottom w:val="single" w:color="auto" w:sz="2" w:space="0"/>
              <w:right w:val="single" w:color="auto" w:sz="2" w:space="0"/>
            </w:tcBorders>
            <w:vAlign w:val="center"/>
          </w:tcPr>
          <w:p w14:paraId="5B426E9E">
            <w:pPr>
              <w:spacing w:line="240" w:lineRule="exact"/>
              <w:jc w:val="right"/>
              <w:rPr>
                <w:rFonts w:ascii="宋体" w:hAnsi="宋体" w:eastAsia="宋体" w:cs="宋体"/>
                <w:sz w:val="18"/>
                <w:szCs w:val="18"/>
              </w:rPr>
            </w:pPr>
            <w:r>
              <w:rPr>
                <w:rFonts w:ascii="宋体" w:hAnsi="宋体" w:eastAsia="宋体" w:cs="宋体"/>
                <w:sz w:val="18"/>
                <w:szCs w:val="18"/>
              </w:rPr>
              <w:t>220,000,000.00</w:t>
            </w:r>
          </w:p>
        </w:tc>
        <w:tc>
          <w:tcPr>
            <w:tcW w:w="3213" w:type="dxa"/>
            <w:tcBorders>
              <w:top w:val="single" w:color="auto" w:sz="2" w:space="0"/>
              <w:left w:val="single" w:color="auto" w:sz="2" w:space="0"/>
              <w:bottom w:val="single" w:color="auto" w:sz="2" w:space="0"/>
              <w:right w:val="single" w:color="auto" w:sz="2" w:space="0"/>
            </w:tcBorders>
            <w:vAlign w:val="center"/>
          </w:tcPr>
          <w:p w14:paraId="2CD9854A">
            <w:pPr>
              <w:spacing w:line="240" w:lineRule="exact"/>
              <w:jc w:val="right"/>
              <w:rPr>
                <w:rFonts w:ascii="宋体" w:hAnsi="宋体" w:eastAsia="宋体" w:cs="宋体"/>
                <w:sz w:val="18"/>
                <w:szCs w:val="18"/>
              </w:rPr>
            </w:pPr>
            <w:r>
              <w:rPr>
                <w:rFonts w:ascii="宋体" w:hAnsi="宋体" w:eastAsia="宋体" w:cs="宋体"/>
                <w:sz w:val="18"/>
                <w:szCs w:val="18"/>
              </w:rPr>
              <w:t>220,000,000.00</w:t>
            </w:r>
          </w:p>
        </w:tc>
      </w:tr>
      <w:tr w14:paraId="5DE86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5D24885">
            <w:pPr>
              <w:spacing w:line="240" w:lineRule="exact"/>
              <w:rPr>
                <w:rFonts w:ascii="宋体" w:hAnsi="宋体" w:eastAsia="宋体" w:cs="宋体"/>
                <w:sz w:val="18"/>
                <w:szCs w:val="18"/>
              </w:rPr>
            </w:pPr>
            <w:r>
              <w:rPr>
                <w:rFonts w:ascii="宋体" w:hAnsi="宋体" w:eastAsia="宋体" w:cs="宋体"/>
                <w:sz w:val="18"/>
                <w:szCs w:val="18"/>
              </w:rPr>
              <w:t>应付股权收购款（注2）</w:t>
            </w:r>
          </w:p>
        </w:tc>
        <w:tc>
          <w:tcPr>
            <w:tcW w:w="3213" w:type="dxa"/>
            <w:tcBorders>
              <w:top w:val="single" w:color="auto" w:sz="2" w:space="0"/>
              <w:left w:val="single" w:color="auto" w:sz="2" w:space="0"/>
              <w:bottom w:val="single" w:color="auto" w:sz="2" w:space="0"/>
              <w:right w:val="single" w:color="auto" w:sz="2" w:space="0"/>
            </w:tcBorders>
            <w:vAlign w:val="center"/>
          </w:tcPr>
          <w:p w14:paraId="28A341D4">
            <w:pPr>
              <w:spacing w:line="240" w:lineRule="exact"/>
              <w:jc w:val="right"/>
              <w:rPr>
                <w:rFonts w:ascii="宋体" w:hAnsi="宋体" w:eastAsia="宋体" w:cs="宋体"/>
                <w:sz w:val="18"/>
                <w:szCs w:val="18"/>
              </w:rPr>
            </w:pPr>
            <w:r>
              <w:rPr>
                <w:rFonts w:ascii="宋体" w:hAnsi="宋体" w:eastAsia="宋体" w:cs="宋体"/>
                <w:sz w:val="18"/>
                <w:szCs w:val="18"/>
              </w:rPr>
              <w:t>20,000,000.00</w:t>
            </w:r>
          </w:p>
        </w:tc>
        <w:tc>
          <w:tcPr>
            <w:tcW w:w="3213" w:type="dxa"/>
            <w:tcBorders>
              <w:top w:val="single" w:color="auto" w:sz="2" w:space="0"/>
              <w:left w:val="single" w:color="auto" w:sz="2" w:space="0"/>
              <w:bottom w:val="single" w:color="auto" w:sz="2" w:space="0"/>
              <w:right w:val="single" w:color="auto" w:sz="2" w:space="0"/>
            </w:tcBorders>
            <w:vAlign w:val="center"/>
          </w:tcPr>
          <w:p w14:paraId="342C7711">
            <w:pPr>
              <w:spacing w:line="240" w:lineRule="exact"/>
              <w:jc w:val="right"/>
              <w:rPr>
                <w:rFonts w:ascii="宋体" w:hAnsi="宋体" w:eastAsia="宋体" w:cs="宋体"/>
                <w:sz w:val="18"/>
                <w:szCs w:val="18"/>
              </w:rPr>
            </w:pPr>
            <w:r>
              <w:rPr>
                <w:rFonts w:ascii="宋体" w:hAnsi="宋体" w:eastAsia="宋体" w:cs="宋体"/>
                <w:sz w:val="18"/>
                <w:szCs w:val="18"/>
              </w:rPr>
              <w:t>20,000,000.00</w:t>
            </w:r>
          </w:p>
        </w:tc>
      </w:tr>
      <w:tr w14:paraId="66072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F8E6ADF">
            <w:pPr>
              <w:spacing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183D4B0F">
            <w:pPr>
              <w:spacing w:line="240" w:lineRule="exact"/>
              <w:jc w:val="right"/>
              <w:rPr>
                <w:rFonts w:ascii="宋体" w:hAnsi="宋体" w:eastAsia="宋体" w:cs="宋体"/>
                <w:sz w:val="18"/>
                <w:szCs w:val="18"/>
              </w:rPr>
            </w:pPr>
            <w:r>
              <w:rPr>
                <w:rFonts w:ascii="宋体" w:hAnsi="宋体" w:eastAsia="宋体" w:cs="宋体"/>
                <w:sz w:val="18"/>
                <w:szCs w:val="18"/>
              </w:rPr>
              <w:t>244,367,138.45</w:t>
            </w:r>
          </w:p>
        </w:tc>
        <w:tc>
          <w:tcPr>
            <w:tcW w:w="3213" w:type="dxa"/>
            <w:tcBorders>
              <w:top w:val="single" w:color="auto" w:sz="2" w:space="0"/>
              <w:left w:val="single" w:color="auto" w:sz="2" w:space="0"/>
              <w:bottom w:val="single" w:color="auto" w:sz="2" w:space="0"/>
              <w:right w:val="single" w:color="auto" w:sz="2" w:space="0"/>
            </w:tcBorders>
            <w:vAlign w:val="center"/>
          </w:tcPr>
          <w:p w14:paraId="234BA40D">
            <w:pPr>
              <w:spacing w:line="240" w:lineRule="exact"/>
              <w:jc w:val="right"/>
              <w:rPr>
                <w:rFonts w:ascii="宋体" w:hAnsi="宋体" w:eastAsia="宋体" w:cs="宋体"/>
                <w:sz w:val="18"/>
                <w:szCs w:val="18"/>
              </w:rPr>
            </w:pPr>
            <w:r>
              <w:rPr>
                <w:rFonts w:ascii="宋体" w:hAnsi="宋体" w:eastAsia="宋体" w:cs="宋体"/>
                <w:sz w:val="18"/>
                <w:szCs w:val="18"/>
              </w:rPr>
              <w:t>244,367,138.45</w:t>
            </w:r>
          </w:p>
        </w:tc>
      </w:tr>
    </w:tbl>
    <w:p w14:paraId="786028BD">
      <w:pPr>
        <w:spacing w:before="100" w:after="100" w:line="240" w:lineRule="exact"/>
        <w:rPr>
          <w:rFonts w:ascii="宋体" w:hAnsi="宋体" w:eastAsia="宋体" w:cs="宋体"/>
          <w:sz w:val="18"/>
          <w:szCs w:val="18"/>
        </w:rPr>
      </w:pPr>
      <w:r>
        <w:rPr>
          <w:rFonts w:ascii="宋体" w:hAnsi="宋体" w:eastAsia="宋体" w:cs="宋体"/>
          <w:sz w:val="18"/>
          <w:szCs w:val="18"/>
        </w:rPr>
        <w:t>其他说明：</w:t>
      </w:r>
    </w:p>
    <w:p w14:paraId="19FC7888">
      <w:pPr>
        <w:spacing w:before="100" w:after="100" w:line="240" w:lineRule="exact"/>
        <w:rPr>
          <w:rFonts w:ascii="宋体" w:hAnsi="宋体" w:eastAsia="宋体" w:cs="宋体"/>
          <w:sz w:val="18"/>
          <w:szCs w:val="18"/>
        </w:rPr>
      </w:pPr>
      <w:r>
        <w:rPr>
          <w:rFonts w:hint="eastAsia" w:ascii="宋体" w:hAnsi="宋体" w:eastAsia="宋体" w:cs="宋体"/>
          <w:sz w:val="18"/>
          <w:szCs w:val="18"/>
        </w:rPr>
        <w:t>注1：担保损失备付金4,367,138.45元系本公司之子公司金华市金棉纺织有限公司1996年为金华市罐头食品厂和金华市染整厂贷款提供担保负连带责任形成的损失因属于控股子公司改制前形成的历史遗留问题，其产权关系待界定;2008年本公司吸收合并金华金棉，金华金棉已于2008年12月29日注销工商登记。</w:t>
      </w:r>
    </w:p>
    <w:p w14:paraId="6DE92095">
      <w:pPr>
        <w:spacing w:before="100" w:after="100" w:line="240" w:lineRule="exact"/>
        <w:rPr>
          <w:rFonts w:ascii="宋体" w:hAnsi="宋体" w:eastAsia="宋体" w:cs="宋体"/>
          <w:sz w:val="18"/>
          <w:szCs w:val="18"/>
        </w:rPr>
      </w:pPr>
      <w:r>
        <w:rPr>
          <w:rFonts w:hint="eastAsia" w:ascii="宋体" w:hAnsi="宋体" w:eastAsia="宋体" w:cs="宋体"/>
          <w:sz w:val="18"/>
          <w:szCs w:val="18"/>
        </w:rPr>
        <w:t>注2：2009年11月30日，新疆华孚纺织有限公司与石河子国有资产经营(集团)有限公司签订的股权转让合同，公司将以人民币4,000万元购买石河子国有资产经营(集团)有限公司及其子公司新疆石河子造纸厂共同持有的天宏新八棉全部股份，全部转让款分两次付清，即第一次在本协议签字生效后一个月内支付人民币2,000万元，第二次在四至五年内全部付清。</w:t>
      </w:r>
    </w:p>
    <w:p w14:paraId="744E749E">
      <w:pPr>
        <w:keepNext/>
        <w:keepLines/>
        <w:spacing w:before="300" w:after="300" w:line="280" w:lineRule="exact"/>
        <w:outlineLvl w:val="3"/>
        <w:rPr>
          <w:rFonts w:ascii="宋体" w:hAnsi="宋体" w:eastAsia="宋体" w:cs="宋体"/>
          <w:b/>
          <w:bCs/>
          <w:sz w:val="18"/>
          <w:szCs w:val="18"/>
        </w:rPr>
      </w:pPr>
      <w:bookmarkStart w:id="436" w:name="_Toc989290"/>
      <w:r>
        <w:rPr>
          <w:rFonts w:ascii="宋体" w:hAnsi="宋体" w:eastAsia="宋体" w:cs="宋体"/>
          <w:b/>
          <w:bCs/>
          <w:sz w:val="18"/>
          <w:szCs w:val="18"/>
        </w:rPr>
        <w:t>（2） 专项应付款</w:t>
      </w:r>
      <w:bookmarkEnd w:id="436"/>
    </w:p>
    <w:p w14:paraId="2E28BF6F">
      <w:pPr>
        <w:pStyle w:val="3"/>
        <w:spacing w:line="280" w:lineRule="exact"/>
        <w:jc w:val="left"/>
        <w:rPr>
          <w:rFonts w:ascii="宋体" w:hAnsi="宋体" w:cs="宋体"/>
          <w:b/>
          <w:bCs/>
        </w:rPr>
      </w:pPr>
      <w:bookmarkStart w:id="437" w:name="_Toc989291"/>
      <w:r>
        <w:rPr>
          <w:rFonts w:ascii="宋体" w:hAnsi="宋体" w:cs="宋体"/>
          <w:b/>
          <w:bCs/>
        </w:rPr>
        <w:t>49、长期应付职工薪酬</w:t>
      </w:r>
      <w:bookmarkEnd w:id="437"/>
    </w:p>
    <w:p w14:paraId="7780C7C3">
      <w:pPr>
        <w:keepNext/>
        <w:keepLines/>
        <w:spacing w:before="300" w:after="300" w:line="280" w:lineRule="exact"/>
        <w:outlineLvl w:val="3"/>
        <w:rPr>
          <w:rFonts w:ascii="宋体" w:hAnsi="宋体" w:eastAsia="宋体" w:cs="宋体"/>
          <w:b/>
          <w:bCs/>
          <w:sz w:val="18"/>
          <w:szCs w:val="18"/>
        </w:rPr>
      </w:pPr>
      <w:bookmarkStart w:id="438" w:name="_Toc989292"/>
      <w:r>
        <w:rPr>
          <w:rFonts w:ascii="宋体" w:hAnsi="宋体" w:eastAsia="宋体" w:cs="宋体"/>
          <w:b/>
          <w:bCs/>
          <w:sz w:val="18"/>
          <w:szCs w:val="18"/>
        </w:rPr>
        <w:t>（1） 长期应付职工薪酬表</w:t>
      </w:r>
      <w:bookmarkEnd w:id="438"/>
      <w:bookmarkStart w:id="439" w:name="_Toc989293"/>
    </w:p>
    <w:p w14:paraId="762A74FB">
      <w:pPr>
        <w:keepNext/>
        <w:keepLines/>
        <w:spacing w:before="300" w:after="300" w:line="280" w:lineRule="exact"/>
        <w:outlineLvl w:val="3"/>
        <w:rPr>
          <w:rFonts w:ascii="宋体" w:hAnsi="宋体" w:eastAsia="宋体" w:cs="宋体"/>
          <w:b/>
          <w:bCs/>
          <w:sz w:val="18"/>
          <w:szCs w:val="18"/>
        </w:rPr>
      </w:pPr>
      <w:r>
        <w:rPr>
          <w:rFonts w:ascii="宋体" w:hAnsi="宋体" w:eastAsia="宋体" w:cs="宋体"/>
          <w:b/>
          <w:bCs/>
          <w:sz w:val="18"/>
          <w:szCs w:val="18"/>
        </w:rPr>
        <w:t>（2） 设定受益计划变动情况</w:t>
      </w:r>
      <w:bookmarkEnd w:id="439"/>
    </w:p>
    <w:p w14:paraId="6B560242">
      <w:pPr>
        <w:spacing w:before="120" w:after="120" w:line="240" w:lineRule="exact"/>
        <w:rPr>
          <w:rFonts w:ascii="宋体" w:hAnsi="宋体" w:eastAsia="宋体" w:cs="宋体"/>
          <w:sz w:val="18"/>
          <w:szCs w:val="18"/>
        </w:rPr>
      </w:pPr>
      <w:r>
        <w:rPr>
          <w:rFonts w:ascii="宋体" w:hAnsi="宋体" w:eastAsia="宋体" w:cs="宋体"/>
          <w:sz w:val="18"/>
          <w:szCs w:val="18"/>
        </w:rPr>
        <w:t>设定受益计划义务现值：</w:t>
      </w:r>
    </w:p>
    <w:p w14:paraId="55743ACB">
      <w:pPr>
        <w:spacing w:before="100" w:after="100" w:line="240" w:lineRule="exact"/>
        <w:rPr>
          <w:rFonts w:ascii="宋体" w:hAnsi="宋体" w:eastAsia="宋体" w:cs="宋体"/>
          <w:sz w:val="18"/>
          <w:szCs w:val="18"/>
        </w:rPr>
      </w:pPr>
      <w:r>
        <w:rPr>
          <w:rFonts w:ascii="宋体" w:hAnsi="宋体" w:eastAsia="宋体" w:cs="宋体"/>
          <w:sz w:val="18"/>
          <w:szCs w:val="18"/>
        </w:rPr>
        <w:t>设定受益计划的内容及与之相关风险、对公司未来现金流量、时间和不确定性的影响说明：无</w:t>
      </w:r>
    </w:p>
    <w:p w14:paraId="04D54453">
      <w:pPr>
        <w:spacing w:before="100" w:after="100" w:line="240" w:lineRule="exact"/>
        <w:rPr>
          <w:rFonts w:ascii="宋体" w:hAnsi="宋体" w:eastAsia="宋体" w:cs="宋体"/>
          <w:sz w:val="18"/>
          <w:szCs w:val="18"/>
        </w:rPr>
      </w:pPr>
      <w:r>
        <w:rPr>
          <w:rFonts w:ascii="宋体" w:hAnsi="宋体" w:eastAsia="宋体" w:cs="宋体"/>
          <w:sz w:val="18"/>
          <w:szCs w:val="18"/>
        </w:rPr>
        <w:t>设定受益计划重大精算假设及敏感性分析结果说明：无</w:t>
      </w:r>
    </w:p>
    <w:p w14:paraId="2842022A">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69A9D157">
      <w:pPr>
        <w:pStyle w:val="3"/>
        <w:spacing w:line="280" w:lineRule="exact"/>
        <w:jc w:val="left"/>
        <w:rPr>
          <w:rFonts w:ascii="宋体" w:hAnsi="宋体" w:cs="宋体"/>
          <w:b/>
          <w:bCs/>
        </w:rPr>
      </w:pPr>
      <w:bookmarkStart w:id="440" w:name="_Toc989294"/>
      <w:r>
        <w:rPr>
          <w:rFonts w:ascii="宋体" w:hAnsi="宋体" w:cs="宋体"/>
          <w:b/>
          <w:bCs/>
        </w:rPr>
        <w:t>50、预计负债</w:t>
      </w:r>
      <w:bookmarkEnd w:id="440"/>
    </w:p>
    <w:p w14:paraId="226F693C">
      <w:pPr>
        <w:spacing w:before="100" w:after="100" w:line="240" w:lineRule="exact"/>
        <w:rPr>
          <w:rFonts w:ascii="宋体" w:hAnsi="宋体" w:eastAsia="宋体" w:cs="宋体"/>
          <w:sz w:val="18"/>
          <w:szCs w:val="18"/>
        </w:rPr>
      </w:pPr>
      <w:r>
        <w:rPr>
          <w:rFonts w:ascii="宋体" w:hAnsi="宋体" w:eastAsia="宋体" w:cs="宋体"/>
          <w:sz w:val="18"/>
          <w:szCs w:val="18"/>
        </w:rPr>
        <w:t>其他说明，包括重要预计负债的相关重要假设、估计说明：无</w:t>
      </w:r>
    </w:p>
    <w:p w14:paraId="4EE649CD">
      <w:pPr>
        <w:pStyle w:val="3"/>
        <w:spacing w:line="280" w:lineRule="exact"/>
        <w:jc w:val="left"/>
        <w:rPr>
          <w:rFonts w:ascii="宋体" w:hAnsi="宋体" w:cs="宋体"/>
          <w:b/>
          <w:bCs/>
        </w:rPr>
      </w:pPr>
      <w:bookmarkStart w:id="441" w:name="_Toc989295"/>
      <w:r>
        <w:rPr>
          <w:rFonts w:ascii="宋体" w:hAnsi="宋体" w:cs="宋体"/>
          <w:b/>
          <w:bCs/>
        </w:rPr>
        <w:t>51、递延收益</w:t>
      </w:r>
      <w:bookmarkEnd w:id="441"/>
    </w:p>
    <w:p w14:paraId="570C028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14:paraId="22B8B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AF585AE">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1B89AB9">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B585B96">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00A509A">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790CE38">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EF40CEC">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14:paraId="54679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3E3134E">
            <w:pPr>
              <w:spacing w:before="40" w:after="40" w:line="240" w:lineRule="exact"/>
              <w:rPr>
                <w:rFonts w:ascii="宋体" w:hAnsi="宋体" w:eastAsia="宋体" w:cs="宋体"/>
                <w:sz w:val="18"/>
                <w:szCs w:val="18"/>
              </w:rPr>
            </w:pPr>
            <w:r>
              <w:rPr>
                <w:rFonts w:ascii="宋体" w:hAnsi="宋体" w:eastAsia="宋体" w:cs="宋体"/>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14:paraId="2604E280">
            <w:pPr>
              <w:spacing w:line="240" w:lineRule="exact"/>
              <w:jc w:val="right"/>
              <w:rPr>
                <w:rFonts w:ascii="宋体" w:hAnsi="宋体" w:eastAsia="宋体" w:cs="宋体"/>
                <w:sz w:val="18"/>
                <w:szCs w:val="18"/>
              </w:rPr>
            </w:pPr>
            <w:r>
              <w:rPr>
                <w:rFonts w:ascii="宋体" w:hAnsi="宋体" w:eastAsia="宋体" w:cs="宋体"/>
                <w:sz w:val="18"/>
                <w:szCs w:val="18"/>
              </w:rPr>
              <w:t>73,373,233.50</w:t>
            </w:r>
          </w:p>
        </w:tc>
        <w:tc>
          <w:tcPr>
            <w:tcW w:w="1606" w:type="dxa"/>
            <w:tcBorders>
              <w:top w:val="single" w:color="auto" w:sz="2" w:space="0"/>
              <w:left w:val="single" w:color="auto" w:sz="2" w:space="0"/>
              <w:bottom w:val="single" w:color="auto" w:sz="2" w:space="0"/>
              <w:right w:val="single" w:color="auto" w:sz="2" w:space="0"/>
            </w:tcBorders>
            <w:vAlign w:val="center"/>
          </w:tcPr>
          <w:p w14:paraId="21DBF0E8">
            <w:pPr>
              <w:spacing w:line="240" w:lineRule="exact"/>
              <w:jc w:val="right"/>
              <w:rPr>
                <w:rFonts w:ascii="宋体" w:hAnsi="宋体" w:eastAsia="宋体" w:cs="宋体"/>
                <w:sz w:val="18"/>
                <w:szCs w:val="18"/>
              </w:rPr>
            </w:pPr>
            <w:r>
              <w:rPr>
                <w:rFonts w:ascii="宋体" w:hAnsi="宋体" w:eastAsia="宋体" w:cs="宋体"/>
                <w:sz w:val="18"/>
                <w:szCs w:val="18"/>
              </w:rPr>
              <w:t>171,500,000.00</w:t>
            </w:r>
          </w:p>
        </w:tc>
        <w:tc>
          <w:tcPr>
            <w:tcW w:w="1606" w:type="dxa"/>
            <w:tcBorders>
              <w:top w:val="single" w:color="auto" w:sz="2" w:space="0"/>
              <w:left w:val="single" w:color="auto" w:sz="2" w:space="0"/>
              <w:bottom w:val="single" w:color="auto" w:sz="2" w:space="0"/>
              <w:right w:val="single" w:color="auto" w:sz="2" w:space="0"/>
            </w:tcBorders>
            <w:vAlign w:val="center"/>
          </w:tcPr>
          <w:p w14:paraId="48750FFA">
            <w:pPr>
              <w:spacing w:line="240" w:lineRule="exact"/>
              <w:jc w:val="right"/>
              <w:rPr>
                <w:rFonts w:ascii="宋体" w:hAnsi="宋体" w:eastAsia="宋体" w:cs="宋体"/>
                <w:sz w:val="18"/>
                <w:szCs w:val="18"/>
              </w:rPr>
            </w:pPr>
            <w:r>
              <w:rPr>
                <w:rFonts w:ascii="宋体" w:hAnsi="宋体" w:eastAsia="宋体" w:cs="宋体"/>
                <w:sz w:val="18"/>
                <w:szCs w:val="18"/>
              </w:rPr>
              <w:t>6,893,082.96</w:t>
            </w:r>
          </w:p>
        </w:tc>
        <w:tc>
          <w:tcPr>
            <w:tcW w:w="1606" w:type="dxa"/>
            <w:tcBorders>
              <w:top w:val="single" w:color="auto" w:sz="2" w:space="0"/>
              <w:left w:val="single" w:color="auto" w:sz="2" w:space="0"/>
              <w:bottom w:val="single" w:color="auto" w:sz="2" w:space="0"/>
              <w:right w:val="single" w:color="auto" w:sz="2" w:space="0"/>
            </w:tcBorders>
            <w:vAlign w:val="center"/>
          </w:tcPr>
          <w:p w14:paraId="1164A472">
            <w:pPr>
              <w:spacing w:line="240" w:lineRule="exact"/>
              <w:jc w:val="right"/>
              <w:rPr>
                <w:rFonts w:ascii="宋体" w:hAnsi="宋体" w:eastAsia="宋体" w:cs="宋体"/>
                <w:sz w:val="18"/>
                <w:szCs w:val="18"/>
              </w:rPr>
            </w:pPr>
            <w:r>
              <w:rPr>
                <w:rFonts w:ascii="宋体" w:hAnsi="宋体" w:eastAsia="宋体" w:cs="宋体"/>
                <w:sz w:val="18"/>
                <w:szCs w:val="18"/>
              </w:rPr>
              <w:t>237,980,150.54</w:t>
            </w:r>
          </w:p>
        </w:tc>
        <w:tc>
          <w:tcPr>
            <w:tcW w:w="1606" w:type="dxa"/>
            <w:tcBorders>
              <w:top w:val="single" w:color="auto" w:sz="2" w:space="0"/>
              <w:left w:val="single" w:color="auto" w:sz="2" w:space="0"/>
              <w:bottom w:val="single" w:color="auto" w:sz="2" w:space="0"/>
              <w:right w:val="single" w:color="auto" w:sz="2" w:space="0"/>
            </w:tcBorders>
            <w:vAlign w:val="center"/>
          </w:tcPr>
          <w:p w14:paraId="6B884A9F">
            <w:pPr>
              <w:spacing w:line="240" w:lineRule="exact"/>
              <w:rPr>
                <w:rFonts w:ascii="宋体" w:hAnsi="宋体" w:eastAsia="宋体" w:cs="宋体"/>
                <w:sz w:val="18"/>
                <w:szCs w:val="18"/>
              </w:rPr>
            </w:pPr>
            <w:r>
              <w:rPr>
                <w:rFonts w:ascii="宋体" w:hAnsi="宋体" w:eastAsia="宋体" w:cs="宋体"/>
                <w:sz w:val="18"/>
                <w:szCs w:val="18"/>
              </w:rPr>
              <w:t>详见十一、政府补助</w:t>
            </w:r>
          </w:p>
        </w:tc>
      </w:tr>
      <w:tr w14:paraId="0F880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1208A44">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14:paraId="41DDCF66">
            <w:pPr>
              <w:spacing w:line="240" w:lineRule="exact"/>
              <w:jc w:val="right"/>
              <w:rPr>
                <w:rFonts w:ascii="宋体" w:hAnsi="宋体" w:eastAsia="宋体" w:cs="宋体"/>
                <w:sz w:val="18"/>
                <w:szCs w:val="18"/>
              </w:rPr>
            </w:pPr>
            <w:r>
              <w:rPr>
                <w:rFonts w:ascii="宋体" w:hAnsi="宋体" w:eastAsia="宋体" w:cs="宋体"/>
                <w:sz w:val="18"/>
                <w:szCs w:val="18"/>
              </w:rPr>
              <w:t>73,373,233.50</w:t>
            </w:r>
          </w:p>
        </w:tc>
        <w:tc>
          <w:tcPr>
            <w:tcW w:w="1606" w:type="dxa"/>
            <w:tcBorders>
              <w:top w:val="single" w:color="auto" w:sz="2" w:space="0"/>
              <w:left w:val="single" w:color="auto" w:sz="2" w:space="0"/>
              <w:bottom w:val="single" w:color="auto" w:sz="2" w:space="0"/>
              <w:right w:val="single" w:color="auto" w:sz="2" w:space="0"/>
            </w:tcBorders>
            <w:vAlign w:val="center"/>
          </w:tcPr>
          <w:p w14:paraId="3A10CACF">
            <w:pPr>
              <w:spacing w:line="240" w:lineRule="exact"/>
              <w:jc w:val="right"/>
              <w:rPr>
                <w:rFonts w:ascii="宋体" w:hAnsi="宋体" w:eastAsia="宋体" w:cs="宋体"/>
                <w:sz w:val="18"/>
                <w:szCs w:val="18"/>
              </w:rPr>
            </w:pPr>
            <w:r>
              <w:rPr>
                <w:rFonts w:ascii="宋体" w:hAnsi="宋体" w:eastAsia="宋体" w:cs="宋体"/>
                <w:sz w:val="18"/>
                <w:szCs w:val="18"/>
              </w:rPr>
              <w:t>171,500,000.00</w:t>
            </w:r>
          </w:p>
        </w:tc>
        <w:tc>
          <w:tcPr>
            <w:tcW w:w="1606" w:type="dxa"/>
            <w:tcBorders>
              <w:top w:val="single" w:color="auto" w:sz="2" w:space="0"/>
              <w:left w:val="single" w:color="auto" w:sz="2" w:space="0"/>
              <w:bottom w:val="single" w:color="auto" w:sz="2" w:space="0"/>
              <w:right w:val="single" w:color="auto" w:sz="2" w:space="0"/>
            </w:tcBorders>
            <w:vAlign w:val="center"/>
          </w:tcPr>
          <w:p w14:paraId="6D01F17C">
            <w:pPr>
              <w:spacing w:line="240" w:lineRule="exact"/>
              <w:jc w:val="right"/>
              <w:rPr>
                <w:rFonts w:ascii="宋体" w:hAnsi="宋体" w:eastAsia="宋体" w:cs="宋体"/>
                <w:sz w:val="18"/>
                <w:szCs w:val="18"/>
              </w:rPr>
            </w:pPr>
            <w:r>
              <w:rPr>
                <w:rFonts w:ascii="宋体" w:hAnsi="宋体" w:eastAsia="宋体" w:cs="宋体"/>
                <w:sz w:val="18"/>
                <w:szCs w:val="18"/>
              </w:rPr>
              <w:t>6,893,082.96</w:t>
            </w:r>
          </w:p>
        </w:tc>
        <w:tc>
          <w:tcPr>
            <w:tcW w:w="1606" w:type="dxa"/>
            <w:tcBorders>
              <w:top w:val="single" w:color="auto" w:sz="2" w:space="0"/>
              <w:left w:val="single" w:color="auto" w:sz="2" w:space="0"/>
              <w:bottom w:val="single" w:color="auto" w:sz="2" w:space="0"/>
              <w:right w:val="single" w:color="auto" w:sz="2" w:space="0"/>
            </w:tcBorders>
            <w:vAlign w:val="center"/>
          </w:tcPr>
          <w:p w14:paraId="57B7089D">
            <w:pPr>
              <w:spacing w:line="240" w:lineRule="exact"/>
              <w:jc w:val="right"/>
              <w:rPr>
                <w:rFonts w:ascii="宋体" w:hAnsi="宋体" w:eastAsia="宋体" w:cs="宋体"/>
                <w:sz w:val="18"/>
                <w:szCs w:val="18"/>
              </w:rPr>
            </w:pPr>
            <w:r>
              <w:rPr>
                <w:rFonts w:ascii="宋体" w:hAnsi="宋体" w:eastAsia="宋体" w:cs="宋体"/>
                <w:sz w:val="18"/>
                <w:szCs w:val="18"/>
              </w:rPr>
              <w:t>237,980,150.54</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79D0B8C">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14:paraId="13743597">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71D4A06F">
      <w:pPr>
        <w:pStyle w:val="3"/>
        <w:spacing w:line="280" w:lineRule="exact"/>
        <w:jc w:val="left"/>
        <w:rPr>
          <w:rFonts w:ascii="宋体" w:hAnsi="宋体" w:cs="宋体"/>
          <w:b/>
          <w:bCs/>
        </w:rPr>
      </w:pPr>
      <w:bookmarkStart w:id="442" w:name="_Toc989296"/>
      <w:r>
        <w:rPr>
          <w:rFonts w:ascii="宋体" w:hAnsi="宋体" w:cs="宋体"/>
          <w:b/>
          <w:bCs/>
        </w:rPr>
        <w:t>52、其他非流动负债</w:t>
      </w:r>
      <w:bookmarkEnd w:id="442"/>
    </w:p>
    <w:p w14:paraId="0A6E9847">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4C336BFD">
      <w:pPr>
        <w:pStyle w:val="3"/>
        <w:spacing w:line="280" w:lineRule="exact"/>
        <w:jc w:val="left"/>
        <w:rPr>
          <w:rFonts w:ascii="宋体" w:hAnsi="宋体" w:cs="宋体"/>
          <w:b/>
          <w:bCs/>
        </w:rPr>
      </w:pPr>
      <w:bookmarkStart w:id="443" w:name="_Toc989297"/>
      <w:r>
        <w:rPr>
          <w:rFonts w:ascii="宋体" w:hAnsi="宋体" w:cs="宋体"/>
          <w:b/>
          <w:bCs/>
        </w:rPr>
        <w:t>53、股本</w:t>
      </w:r>
      <w:bookmarkEnd w:id="443"/>
    </w:p>
    <w:p w14:paraId="489F379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14:paraId="6DE4A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2E95F41"/>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7FCA4B3">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13159777">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45BA88E">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24E6D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E794821"/>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3A62987"/>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510CA9E7">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431C1E23">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8FB275D">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7829EF6">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191F406">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9E42B4B"/>
        </w:tc>
      </w:tr>
      <w:tr w14:paraId="6618E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8F13801">
            <w:pPr>
              <w:spacing w:before="40" w:after="40" w:line="240" w:lineRule="exact"/>
              <w:rPr>
                <w:rFonts w:ascii="宋体" w:hAnsi="宋体" w:eastAsia="宋体" w:cs="宋体"/>
                <w:sz w:val="18"/>
                <w:szCs w:val="18"/>
              </w:rPr>
            </w:pPr>
            <w:r>
              <w:rPr>
                <w:rFonts w:ascii="宋体" w:hAnsi="宋体" w:eastAsia="宋体" w:cs="宋体"/>
                <w:sz w:val="18"/>
                <w:szCs w:val="18"/>
              </w:rPr>
              <w:t>股份总数</w:t>
            </w:r>
          </w:p>
        </w:tc>
        <w:tc>
          <w:tcPr>
            <w:tcW w:w="1205" w:type="dxa"/>
            <w:tcBorders>
              <w:top w:val="single" w:color="auto" w:sz="2" w:space="0"/>
              <w:left w:val="single" w:color="auto" w:sz="2" w:space="0"/>
              <w:bottom w:val="single" w:color="auto" w:sz="2" w:space="0"/>
              <w:right w:val="single" w:color="auto" w:sz="2" w:space="0"/>
            </w:tcBorders>
            <w:vAlign w:val="center"/>
          </w:tcPr>
          <w:p w14:paraId="5455A24E">
            <w:pPr>
              <w:spacing w:line="240" w:lineRule="exact"/>
              <w:jc w:val="right"/>
              <w:rPr>
                <w:rFonts w:ascii="宋体" w:hAnsi="宋体" w:eastAsia="宋体" w:cs="宋体"/>
                <w:sz w:val="18"/>
                <w:szCs w:val="18"/>
              </w:rPr>
            </w:pPr>
            <w:r>
              <w:rPr>
                <w:rFonts w:ascii="宋体" w:hAnsi="宋体" w:eastAsia="宋体" w:cs="宋体"/>
                <w:sz w:val="18"/>
                <w:szCs w:val="18"/>
              </w:rPr>
              <w:t>1,700,681,355.00</w:t>
            </w:r>
          </w:p>
        </w:tc>
        <w:tc>
          <w:tcPr>
            <w:tcW w:w="1205" w:type="dxa"/>
            <w:tcBorders>
              <w:top w:val="single" w:color="auto" w:sz="2" w:space="0"/>
              <w:left w:val="single" w:color="auto" w:sz="2" w:space="0"/>
              <w:bottom w:val="single" w:color="auto" w:sz="2" w:space="0"/>
              <w:right w:val="single" w:color="auto" w:sz="2" w:space="0"/>
            </w:tcBorders>
            <w:vAlign w:val="center"/>
          </w:tcPr>
          <w:p w14:paraId="5647B22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87EC95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2B071B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889151D">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8B3499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4AA0875">
            <w:pPr>
              <w:spacing w:line="240" w:lineRule="exact"/>
              <w:jc w:val="right"/>
              <w:rPr>
                <w:rFonts w:ascii="宋体" w:hAnsi="宋体" w:eastAsia="宋体" w:cs="宋体"/>
                <w:sz w:val="18"/>
                <w:szCs w:val="18"/>
              </w:rPr>
            </w:pPr>
            <w:r>
              <w:rPr>
                <w:rFonts w:ascii="宋体" w:hAnsi="宋体" w:eastAsia="宋体" w:cs="宋体"/>
                <w:sz w:val="18"/>
                <w:szCs w:val="18"/>
              </w:rPr>
              <w:t>1,700,681,355.00</w:t>
            </w:r>
          </w:p>
        </w:tc>
      </w:tr>
    </w:tbl>
    <w:p w14:paraId="193CD910">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0B304BB9">
      <w:pPr>
        <w:pStyle w:val="3"/>
        <w:spacing w:line="280" w:lineRule="exact"/>
        <w:jc w:val="left"/>
        <w:rPr>
          <w:rFonts w:ascii="宋体" w:hAnsi="宋体" w:cs="宋体"/>
          <w:b/>
          <w:bCs/>
        </w:rPr>
      </w:pPr>
      <w:bookmarkStart w:id="444" w:name="_Toc989298"/>
      <w:r>
        <w:rPr>
          <w:rFonts w:ascii="宋体" w:hAnsi="宋体" w:cs="宋体"/>
          <w:b/>
          <w:bCs/>
        </w:rPr>
        <w:t>54、其他权益工具</w:t>
      </w:r>
      <w:bookmarkEnd w:id="444"/>
    </w:p>
    <w:p w14:paraId="403E0B25">
      <w:pPr>
        <w:keepNext/>
        <w:keepLines/>
        <w:spacing w:before="300" w:after="300" w:line="280" w:lineRule="exact"/>
        <w:outlineLvl w:val="3"/>
        <w:rPr>
          <w:rFonts w:ascii="宋体" w:hAnsi="宋体" w:eastAsia="宋体" w:cs="宋体"/>
          <w:b/>
          <w:bCs/>
          <w:sz w:val="18"/>
          <w:szCs w:val="18"/>
        </w:rPr>
      </w:pPr>
      <w:bookmarkStart w:id="445" w:name="_Toc989299"/>
      <w:r>
        <w:rPr>
          <w:rFonts w:ascii="宋体" w:hAnsi="宋体" w:eastAsia="宋体" w:cs="宋体"/>
          <w:b/>
          <w:bCs/>
          <w:sz w:val="18"/>
          <w:szCs w:val="18"/>
        </w:rPr>
        <w:t>（1） 期末发行在外的优先股、永续债等其他金融工具基本情况</w:t>
      </w:r>
      <w:bookmarkEnd w:id="445"/>
    </w:p>
    <w:p w14:paraId="54896404">
      <w:pPr>
        <w:pStyle w:val="9"/>
        <w:rPr>
          <w:sz w:val="18"/>
          <w:szCs w:val="18"/>
        </w:rPr>
      </w:pPr>
      <w:r>
        <w:rPr>
          <w:rFonts w:hint="eastAsia"/>
          <w:sz w:val="18"/>
          <w:szCs w:val="18"/>
        </w:rPr>
        <w:t>无</w:t>
      </w:r>
    </w:p>
    <w:p w14:paraId="4C57CAF5">
      <w:pPr>
        <w:keepNext/>
        <w:keepLines/>
        <w:spacing w:before="300" w:after="300" w:line="280" w:lineRule="exact"/>
        <w:outlineLvl w:val="3"/>
        <w:rPr>
          <w:rFonts w:ascii="宋体" w:hAnsi="宋体" w:eastAsia="宋体" w:cs="宋体"/>
          <w:b/>
          <w:bCs/>
          <w:sz w:val="18"/>
          <w:szCs w:val="18"/>
        </w:rPr>
      </w:pPr>
      <w:bookmarkStart w:id="446" w:name="_Toc989300"/>
      <w:r>
        <w:rPr>
          <w:rFonts w:ascii="宋体" w:hAnsi="宋体" w:eastAsia="宋体" w:cs="宋体"/>
          <w:b/>
          <w:bCs/>
          <w:sz w:val="18"/>
          <w:szCs w:val="18"/>
        </w:rPr>
        <w:t>（2） 期末发行在外的优先股、永续债等金融工具变动情况表</w:t>
      </w:r>
      <w:bookmarkEnd w:id="446"/>
    </w:p>
    <w:p w14:paraId="69EA5B3F">
      <w:pPr>
        <w:spacing w:before="100" w:after="100" w:line="240" w:lineRule="exact"/>
        <w:rPr>
          <w:rFonts w:ascii="宋体" w:hAnsi="宋体" w:eastAsia="宋体" w:cs="宋体"/>
          <w:sz w:val="18"/>
          <w:szCs w:val="18"/>
        </w:rPr>
      </w:pPr>
      <w:r>
        <w:rPr>
          <w:rFonts w:ascii="宋体" w:hAnsi="宋体" w:eastAsia="宋体" w:cs="宋体"/>
          <w:sz w:val="18"/>
          <w:szCs w:val="18"/>
        </w:rPr>
        <w:t>其他权益工具本期增减变动情况、变动原因说明，以及相关会计处理的依据：</w:t>
      </w:r>
      <w:r>
        <w:rPr>
          <w:rFonts w:hint="eastAsia"/>
          <w:sz w:val="18"/>
          <w:szCs w:val="18"/>
        </w:rPr>
        <w:t>无</w:t>
      </w:r>
    </w:p>
    <w:p w14:paraId="0AF270CA">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6513ACAB">
      <w:pPr>
        <w:pStyle w:val="3"/>
        <w:spacing w:line="280" w:lineRule="exact"/>
        <w:jc w:val="left"/>
        <w:rPr>
          <w:rFonts w:ascii="宋体" w:hAnsi="宋体" w:cs="宋体"/>
          <w:b/>
          <w:bCs/>
        </w:rPr>
      </w:pPr>
      <w:bookmarkStart w:id="447" w:name="_Toc989301"/>
      <w:r>
        <w:rPr>
          <w:rFonts w:ascii="宋体" w:hAnsi="宋体" w:cs="宋体"/>
          <w:b/>
          <w:bCs/>
        </w:rPr>
        <w:t>55、资本公积</w:t>
      </w:r>
      <w:bookmarkEnd w:id="447"/>
    </w:p>
    <w:p w14:paraId="7E8BFB4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40A82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C6039F1">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221804A">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65332C4">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D08014D">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CF67933">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6DC6B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4C3AC95">
            <w:pPr>
              <w:spacing w:before="40" w:after="40" w:line="240" w:lineRule="exact"/>
              <w:rPr>
                <w:rFonts w:ascii="宋体" w:hAnsi="宋体" w:eastAsia="宋体" w:cs="宋体"/>
                <w:sz w:val="18"/>
                <w:szCs w:val="18"/>
              </w:rPr>
            </w:pPr>
            <w:r>
              <w:rPr>
                <w:rFonts w:ascii="宋体" w:hAnsi="宋体" w:eastAsia="宋体" w:cs="宋体"/>
                <w:sz w:val="18"/>
                <w:szCs w:val="18"/>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14:paraId="42EA70BF">
            <w:pPr>
              <w:spacing w:line="240" w:lineRule="exact"/>
              <w:jc w:val="right"/>
              <w:rPr>
                <w:rFonts w:ascii="宋体" w:hAnsi="宋体" w:eastAsia="宋体" w:cs="宋体"/>
                <w:sz w:val="18"/>
                <w:szCs w:val="18"/>
              </w:rPr>
            </w:pPr>
            <w:r>
              <w:rPr>
                <w:rFonts w:ascii="宋体" w:hAnsi="宋体" w:eastAsia="宋体" w:cs="宋体"/>
                <w:sz w:val="18"/>
                <w:szCs w:val="18"/>
              </w:rPr>
              <w:t>2,715,159,506.76</w:t>
            </w:r>
          </w:p>
        </w:tc>
        <w:tc>
          <w:tcPr>
            <w:tcW w:w="1928" w:type="dxa"/>
            <w:tcBorders>
              <w:top w:val="single" w:color="auto" w:sz="2" w:space="0"/>
              <w:left w:val="single" w:color="auto" w:sz="2" w:space="0"/>
              <w:bottom w:val="single" w:color="auto" w:sz="2" w:space="0"/>
              <w:right w:val="single" w:color="auto" w:sz="2" w:space="0"/>
            </w:tcBorders>
            <w:vAlign w:val="center"/>
          </w:tcPr>
          <w:p w14:paraId="37829407">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D9C6A77">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35722F6">
            <w:pPr>
              <w:spacing w:line="240" w:lineRule="exact"/>
              <w:jc w:val="right"/>
              <w:rPr>
                <w:rFonts w:ascii="宋体" w:hAnsi="宋体" w:eastAsia="宋体" w:cs="宋体"/>
                <w:sz w:val="18"/>
                <w:szCs w:val="18"/>
              </w:rPr>
            </w:pPr>
            <w:r>
              <w:rPr>
                <w:rFonts w:ascii="宋体" w:hAnsi="宋体" w:eastAsia="宋体" w:cs="宋体"/>
                <w:sz w:val="18"/>
                <w:szCs w:val="18"/>
              </w:rPr>
              <w:t>2,715,159,506.76</w:t>
            </w:r>
          </w:p>
        </w:tc>
      </w:tr>
      <w:tr w14:paraId="40B8B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53C04DA">
            <w:pPr>
              <w:spacing w:before="40" w:after="40" w:line="240" w:lineRule="exact"/>
              <w:rPr>
                <w:rFonts w:ascii="宋体" w:hAnsi="宋体" w:eastAsia="宋体" w:cs="宋体"/>
                <w:sz w:val="18"/>
                <w:szCs w:val="18"/>
              </w:rPr>
            </w:pPr>
            <w:r>
              <w:rPr>
                <w:rFonts w:ascii="宋体" w:hAnsi="宋体" w:eastAsia="宋体" w:cs="宋体"/>
                <w:sz w:val="18"/>
                <w:szCs w:val="18"/>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14:paraId="6C46D572">
            <w:pPr>
              <w:spacing w:line="240" w:lineRule="exact"/>
              <w:jc w:val="right"/>
              <w:rPr>
                <w:rFonts w:ascii="宋体" w:hAnsi="宋体" w:eastAsia="宋体" w:cs="宋体"/>
                <w:sz w:val="18"/>
                <w:szCs w:val="18"/>
              </w:rPr>
            </w:pPr>
            <w:r>
              <w:rPr>
                <w:rFonts w:ascii="宋体" w:hAnsi="宋体" w:eastAsia="宋体" w:cs="宋体"/>
                <w:sz w:val="18"/>
                <w:szCs w:val="18"/>
              </w:rPr>
              <w:t>23,189,447.04</w:t>
            </w:r>
          </w:p>
        </w:tc>
        <w:tc>
          <w:tcPr>
            <w:tcW w:w="1928" w:type="dxa"/>
            <w:tcBorders>
              <w:top w:val="single" w:color="auto" w:sz="2" w:space="0"/>
              <w:left w:val="single" w:color="auto" w:sz="2" w:space="0"/>
              <w:bottom w:val="single" w:color="auto" w:sz="2" w:space="0"/>
              <w:right w:val="single" w:color="auto" w:sz="2" w:space="0"/>
            </w:tcBorders>
            <w:vAlign w:val="center"/>
          </w:tcPr>
          <w:p w14:paraId="2D4AFE44">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496AE9B">
            <w:pPr>
              <w:spacing w:line="240" w:lineRule="exact"/>
              <w:jc w:val="right"/>
              <w:rPr>
                <w:rFonts w:ascii="宋体" w:hAnsi="宋体" w:eastAsia="宋体" w:cs="宋体"/>
                <w:sz w:val="18"/>
                <w:szCs w:val="18"/>
              </w:rPr>
            </w:pPr>
            <w:r>
              <w:rPr>
                <w:rFonts w:ascii="宋体" w:hAnsi="宋体" w:eastAsia="宋体" w:cs="宋体"/>
                <w:sz w:val="18"/>
                <w:szCs w:val="18"/>
              </w:rPr>
              <w:t>80,706.80</w:t>
            </w:r>
          </w:p>
        </w:tc>
        <w:tc>
          <w:tcPr>
            <w:tcW w:w="1928" w:type="dxa"/>
            <w:tcBorders>
              <w:top w:val="single" w:color="auto" w:sz="2" w:space="0"/>
              <w:left w:val="single" w:color="auto" w:sz="2" w:space="0"/>
              <w:bottom w:val="single" w:color="auto" w:sz="2" w:space="0"/>
              <w:right w:val="single" w:color="auto" w:sz="2" w:space="0"/>
            </w:tcBorders>
            <w:vAlign w:val="center"/>
          </w:tcPr>
          <w:p w14:paraId="58955154">
            <w:pPr>
              <w:spacing w:line="240" w:lineRule="exact"/>
              <w:jc w:val="right"/>
              <w:rPr>
                <w:rFonts w:ascii="宋体" w:hAnsi="宋体" w:eastAsia="宋体" w:cs="宋体"/>
                <w:sz w:val="18"/>
                <w:szCs w:val="18"/>
              </w:rPr>
            </w:pPr>
            <w:r>
              <w:rPr>
                <w:rFonts w:ascii="宋体" w:hAnsi="宋体" w:eastAsia="宋体" w:cs="宋体"/>
                <w:sz w:val="18"/>
                <w:szCs w:val="18"/>
              </w:rPr>
              <w:t>23,108,740.24</w:t>
            </w:r>
          </w:p>
        </w:tc>
      </w:tr>
      <w:tr w14:paraId="462F9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CD74529">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7022245D">
            <w:pPr>
              <w:spacing w:line="240" w:lineRule="exact"/>
              <w:jc w:val="right"/>
              <w:rPr>
                <w:rFonts w:ascii="宋体" w:hAnsi="宋体" w:eastAsia="宋体" w:cs="宋体"/>
                <w:sz w:val="18"/>
                <w:szCs w:val="18"/>
              </w:rPr>
            </w:pPr>
            <w:r>
              <w:rPr>
                <w:rFonts w:ascii="宋体" w:hAnsi="宋体" w:eastAsia="宋体" w:cs="宋体"/>
                <w:sz w:val="18"/>
                <w:szCs w:val="18"/>
              </w:rPr>
              <w:t>2,738,348,953.80</w:t>
            </w:r>
          </w:p>
        </w:tc>
        <w:tc>
          <w:tcPr>
            <w:tcW w:w="1928" w:type="dxa"/>
            <w:tcBorders>
              <w:top w:val="single" w:color="auto" w:sz="2" w:space="0"/>
              <w:left w:val="single" w:color="auto" w:sz="2" w:space="0"/>
              <w:bottom w:val="single" w:color="auto" w:sz="2" w:space="0"/>
              <w:right w:val="single" w:color="auto" w:sz="2" w:space="0"/>
            </w:tcBorders>
            <w:vAlign w:val="center"/>
          </w:tcPr>
          <w:p w14:paraId="03B934DA">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C556411">
            <w:pPr>
              <w:spacing w:line="240" w:lineRule="exact"/>
              <w:jc w:val="right"/>
              <w:rPr>
                <w:rFonts w:ascii="宋体" w:hAnsi="宋体" w:eastAsia="宋体" w:cs="宋体"/>
                <w:sz w:val="18"/>
                <w:szCs w:val="18"/>
              </w:rPr>
            </w:pPr>
            <w:r>
              <w:rPr>
                <w:rFonts w:ascii="宋体" w:hAnsi="宋体" w:eastAsia="宋体" w:cs="宋体"/>
                <w:sz w:val="18"/>
                <w:szCs w:val="18"/>
              </w:rPr>
              <w:t>80,706.80</w:t>
            </w:r>
          </w:p>
        </w:tc>
        <w:tc>
          <w:tcPr>
            <w:tcW w:w="1928" w:type="dxa"/>
            <w:tcBorders>
              <w:top w:val="single" w:color="auto" w:sz="2" w:space="0"/>
              <w:left w:val="single" w:color="auto" w:sz="2" w:space="0"/>
              <w:bottom w:val="single" w:color="auto" w:sz="2" w:space="0"/>
              <w:right w:val="single" w:color="auto" w:sz="2" w:space="0"/>
            </w:tcBorders>
            <w:vAlign w:val="center"/>
          </w:tcPr>
          <w:p w14:paraId="598D5952">
            <w:pPr>
              <w:spacing w:line="240" w:lineRule="exact"/>
              <w:jc w:val="right"/>
              <w:rPr>
                <w:rFonts w:ascii="宋体" w:hAnsi="宋体" w:eastAsia="宋体" w:cs="宋体"/>
                <w:sz w:val="18"/>
                <w:szCs w:val="18"/>
              </w:rPr>
            </w:pPr>
            <w:r>
              <w:rPr>
                <w:rFonts w:ascii="宋体" w:hAnsi="宋体" w:eastAsia="宋体" w:cs="宋体"/>
                <w:sz w:val="18"/>
                <w:szCs w:val="18"/>
              </w:rPr>
              <w:t>2,738,268,247.00</w:t>
            </w:r>
          </w:p>
        </w:tc>
      </w:tr>
    </w:tbl>
    <w:p w14:paraId="32781153">
      <w:pPr>
        <w:spacing w:before="100" w:after="100" w:line="240" w:lineRule="exact"/>
        <w:rPr>
          <w:rFonts w:ascii="宋体" w:hAnsi="宋体" w:eastAsia="宋体" w:cs="宋体"/>
          <w:sz w:val="18"/>
          <w:szCs w:val="18"/>
        </w:rPr>
      </w:pPr>
      <w:r>
        <w:rPr>
          <w:rFonts w:ascii="宋体" w:hAnsi="宋体" w:eastAsia="宋体" w:cs="宋体"/>
          <w:sz w:val="18"/>
          <w:szCs w:val="18"/>
        </w:rPr>
        <w:t>其他说明，包括本期增减变动情况、变动原因说明：</w:t>
      </w:r>
      <w:r>
        <w:rPr>
          <w:rFonts w:hint="eastAsia"/>
          <w:sz w:val="18"/>
          <w:szCs w:val="18"/>
        </w:rPr>
        <w:t>无</w:t>
      </w:r>
    </w:p>
    <w:p w14:paraId="7D08C6DC">
      <w:pPr>
        <w:pStyle w:val="3"/>
        <w:spacing w:line="280" w:lineRule="exact"/>
        <w:jc w:val="left"/>
        <w:rPr>
          <w:rFonts w:ascii="宋体" w:hAnsi="宋体" w:cs="宋体"/>
          <w:b/>
          <w:bCs/>
        </w:rPr>
      </w:pPr>
      <w:bookmarkStart w:id="448" w:name="_Toc989302"/>
      <w:r>
        <w:rPr>
          <w:rFonts w:ascii="宋体" w:hAnsi="宋体" w:cs="宋体"/>
          <w:b/>
          <w:bCs/>
        </w:rPr>
        <w:t>56、库存股</w:t>
      </w:r>
      <w:bookmarkEnd w:id="448"/>
    </w:p>
    <w:p w14:paraId="1E1FEF9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1CA32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AF86515">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4A95854">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0E2E0D0">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F1DCCC7">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D7F959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1B671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7EF7B993">
            <w:pPr>
              <w:spacing w:line="240" w:lineRule="exact"/>
              <w:rPr>
                <w:rFonts w:ascii="宋体" w:hAnsi="宋体" w:eastAsia="宋体" w:cs="宋体"/>
                <w:sz w:val="18"/>
                <w:szCs w:val="18"/>
              </w:rPr>
            </w:pPr>
            <w:r>
              <w:rPr>
                <w:rFonts w:ascii="宋体" w:hAnsi="宋体" w:eastAsia="宋体" w:cs="宋体"/>
                <w:sz w:val="18"/>
                <w:szCs w:val="18"/>
              </w:rPr>
              <w:t>减少注册资本回购</w:t>
            </w:r>
          </w:p>
        </w:tc>
        <w:tc>
          <w:tcPr>
            <w:tcW w:w="1928" w:type="dxa"/>
            <w:tcBorders>
              <w:top w:val="single" w:color="auto" w:sz="2" w:space="0"/>
              <w:left w:val="single" w:color="auto" w:sz="2" w:space="0"/>
              <w:bottom w:val="single" w:color="auto" w:sz="2" w:space="0"/>
              <w:right w:val="single" w:color="auto" w:sz="2" w:space="0"/>
            </w:tcBorders>
            <w:vAlign w:val="center"/>
          </w:tcPr>
          <w:p w14:paraId="216E4960">
            <w:pPr>
              <w:spacing w:line="240" w:lineRule="exact"/>
              <w:jc w:val="right"/>
              <w:rPr>
                <w:rFonts w:ascii="宋体" w:hAnsi="宋体" w:eastAsia="宋体" w:cs="宋体"/>
                <w:sz w:val="18"/>
                <w:szCs w:val="18"/>
              </w:rPr>
            </w:pPr>
            <w:r>
              <w:rPr>
                <w:rFonts w:ascii="宋体" w:hAnsi="宋体" w:eastAsia="宋体" w:cs="宋体"/>
                <w:sz w:val="18"/>
                <w:szCs w:val="18"/>
              </w:rPr>
              <w:t>300,104,207.84</w:t>
            </w:r>
          </w:p>
        </w:tc>
        <w:tc>
          <w:tcPr>
            <w:tcW w:w="1928" w:type="dxa"/>
            <w:tcBorders>
              <w:top w:val="single" w:color="auto" w:sz="2" w:space="0"/>
              <w:left w:val="single" w:color="auto" w:sz="2" w:space="0"/>
              <w:bottom w:val="single" w:color="auto" w:sz="2" w:space="0"/>
              <w:right w:val="single" w:color="auto" w:sz="2" w:space="0"/>
            </w:tcBorders>
            <w:vAlign w:val="center"/>
          </w:tcPr>
          <w:p w14:paraId="71DDD71D">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07F124F">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6FF8363">
            <w:pPr>
              <w:spacing w:line="240" w:lineRule="exact"/>
              <w:jc w:val="right"/>
              <w:rPr>
                <w:rFonts w:ascii="宋体" w:hAnsi="宋体" w:eastAsia="宋体" w:cs="宋体"/>
                <w:sz w:val="18"/>
                <w:szCs w:val="18"/>
              </w:rPr>
            </w:pPr>
            <w:r>
              <w:rPr>
                <w:rFonts w:ascii="宋体" w:hAnsi="宋体" w:eastAsia="宋体" w:cs="宋体"/>
                <w:sz w:val="18"/>
                <w:szCs w:val="18"/>
              </w:rPr>
              <w:t>300,104,207.84</w:t>
            </w:r>
          </w:p>
        </w:tc>
      </w:tr>
      <w:tr w14:paraId="39574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D099B19">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32314C52">
            <w:pPr>
              <w:spacing w:line="240" w:lineRule="exact"/>
              <w:jc w:val="right"/>
              <w:rPr>
                <w:rFonts w:ascii="宋体" w:hAnsi="宋体" w:eastAsia="宋体" w:cs="宋体"/>
                <w:sz w:val="18"/>
                <w:szCs w:val="18"/>
              </w:rPr>
            </w:pPr>
            <w:r>
              <w:rPr>
                <w:rFonts w:ascii="宋体" w:hAnsi="宋体" w:eastAsia="宋体" w:cs="宋体"/>
                <w:sz w:val="18"/>
                <w:szCs w:val="18"/>
              </w:rPr>
              <w:t>300,104,207.84</w:t>
            </w:r>
          </w:p>
        </w:tc>
        <w:tc>
          <w:tcPr>
            <w:tcW w:w="1928" w:type="dxa"/>
            <w:tcBorders>
              <w:top w:val="single" w:color="auto" w:sz="2" w:space="0"/>
              <w:left w:val="single" w:color="auto" w:sz="2" w:space="0"/>
              <w:bottom w:val="single" w:color="auto" w:sz="2" w:space="0"/>
              <w:right w:val="single" w:color="auto" w:sz="2" w:space="0"/>
            </w:tcBorders>
            <w:vAlign w:val="center"/>
          </w:tcPr>
          <w:p w14:paraId="05159B59">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8A34759">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3E05974">
            <w:pPr>
              <w:spacing w:line="240" w:lineRule="exact"/>
              <w:jc w:val="right"/>
              <w:rPr>
                <w:rFonts w:ascii="宋体" w:hAnsi="宋体" w:eastAsia="宋体" w:cs="宋体"/>
                <w:sz w:val="18"/>
                <w:szCs w:val="18"/>
              </w:rPr>
            </w:pPr>
            <w:r>
              <w:rPr>
                <w:rFonts w:ascii="宋体" w:hAnsi="宋体" w:eastAsia="宋体" w:cs="宋体"/>
                <w:sz w:val="18"/>
                <w:szCs w:val="18"/>
              </w:rPr>
              <w:t>300,104,207.84</w:t>
            </w:r>
          </w:p>
        </w:tc>
      </w:tr>
    </w:tbl>
    <w:p w14:paraId="13312721">
      <w:pPr>
        <w:spacing w:before="100" w:after="100" w:line="240" w:lineRule="exact"/>
        <w:rPr>
          <w:rFonts w:ascii="宋体" w:hAnsi="宋体" w:eastAsia="宋体" w:cs="宋体"/>
          <w:sz w:val="18"/>
          <w:szCs w:val="18"/>
        </w:rPr>
      </w:pPr>
      <w:r>
        <w:rPr>
          <w:rFonts w:ascii="宋体" w:hAnsi="宋体" w:eastAsia="宋体" w:cs="宋体"/>
          <w:sz w:val="18"/>
          <w:szCs w:val="18"/>
        </w:rPr>
        <w:t>其他说明，包括本期增减变动情况、变动原因说明：</w:t>
      </w:r>
    </w:p>
    <w:p w14:paraId="64033412">
      <w:pPr>
        <w:spacing w:before="100" w:after="100" w:line="240" w:lineRule="exact"/>
        <w:rPr>
          <w:rFonts w:ascii="宋体" w:hAnsi="宋体" w:eastAsia="宋体" w:cs="宋体"/>
          <w:sz w:val="18"/>
          <w:szCs w:val="18"/>
        </w:rPr>
      </w:pPr>
      <w:r>
        <w:rPr>
          <w:rFonts w:hint="eastAsia" w:ascii="宋体" w:hAnsi="宋体" w:eastAsia="宋体" w:cs="宋体"/>
          <w:sz w:val="18"/>
          <w:szCs w:val="18"/>
        </w:rPr>
        <w:t>库存股情况说明：</w:t>
      </w:r>
    </w:p>
    <w:p w14:paraId="78F2E09E">
      <w:pPr>
        <w:spacing w:before="100" w:after="100" w:line="240" w:lineRule="exact"/>
        <w:rPr>
          <w:rFonts w:ascii="宋体" w:hAnsi="宋体" w:eastAsia="宋体" w:cs="宋体"/>
          <w:sz w:val="18"/>
          <w:szCs w:val="18"/>
        </w:rPr>
      </w:pPr>
      <w:r>
        <w:rPr>
          <w:rFonts w:hint="eastAsia" w:ascii="宋体" w:hAnsi="宋体" w:eastAsia="宋体" w:cs="宋体"/>
          <w:sz w:val="18"/>
          <w:szCs w:val="18"/>
        </w:rPr>
        <w:t>华孚时尚股份有限公司（以下简称“公司”）于</w:t>
      </w:r>
      <w:r>
        <w:rPr>
          <w:rFonts w:ascii="宋体" w:hAnsi="宋体" w:eastAsia="宋体" w:cs="宋体"/>
          <w:sz w:val="18"/>
          <w:szCs w:val="18"/>
        </w:rPr>
        <w:t xml:space="preserve"> 2022 </w:t>
      </w:r>
      <w:r>
        <w:rPr>
          <w:rFonts w:hint="eastAsia" w:ascii="宋体" w:hAnsi="宋体" w:eastAsia="宋体" w:cs="宋体"/>
          <w:sz w:val="18"/>
          <w:szCs w:val="18"/>
        </w:rPr>
        <w:t>年</w:t>
      </w:r>
      <w:r>
        <w:rPr>
          <w:rFonts w:ascii="宋体" w:hAnsi="宋体" w:eastAsia="宋体" w:cs="宋体"/>
          <w:sz w:val="18"/>
          <w:szCs w:val="18"/>
        </w:rPr>
        <w:t xml:space="preserve"> 3 </w:t>
      </w:r>
      <w:r>
        <w:rPr>
          <w:rFonts w:hint="eastAsia" w:ascii="宋体" w:hAnsi="宋体" w:eastAsia="宋体" w:cs="宋体"/>
          <w:sz w:val="18"/>
          <w:szCs w:val="18"/>
        </w:rPr>
        <w:t>月</w:t>
      </w:r>
      <w:r>
        <w:rPr>
          <w:rFonts w:ascii="宋体" w:hAnsi="宋体" w:eastAsia="宋体" w:cs="宋体"/>
          <w:sz w:val="18"/>
          <w:szCs w:val="18"/>
        </w:rPr>
        <w:t xml:space="preserve"> 21 </w:t>
      </w:r>
      <w:r>
        <w:rPr>
          <w:rFonts w:hint="eastAsia" w:ascii="宋体" w:hAnsi="宋体" w:eastAsia="宋体" w:cs="宋体"/>
          <w:sz w:val="18"/>
          <w:szCs w:val="18"/>
        </w:rPr>
        <w:t>日召开第八届董事会</w:t>
      </w:r>
      <w:r>
        <w:rPr>
          <w:rFonts w:ascii="宋体" w:hAnsi="宋体" w:eastAsia="宋体" w:cs="宋体"/>
          <w:sz w:val="18"/>
          <w:szCs w:val="18"/>
        </w:rPr>
        <w:t xml:space="preserve"> 2022 </w:t>
      </w:r>
      <w:r>
        <w:rPr>
          <w:rFonts w:hint="eastAsia" w:ascii="宋体" w:hAnsi="宋体" w:eastAsia="宋体" w:cs="宋体"/>
          <w:sz w:val="18"/>
          <w:szCs w:val="18"/>
        </w:rPr>
        <w:t>年第二次临时会议审议通过《关于回购公司股份方案的议案》，公司拟使用自有资金以集中竞价交易方式回购已发行的人民币普通股（</w:t>
      </w:r>
      <w:r>
        <w:rPr>
          <w:rFonts w:ascii="宋体" w:hAnsi="宋体" w:eastAsia="宋体" w:cs="宋体"/>
          <w:sz w:val="18"/>
          <w:szCs w:val="18"/>
        </w:rPr>
        <w:t xml:space="preserve">A </w:t>
      </w:r>
      <w:r>
        <w:rPr>
          <w:rFonts w:hint="eastAsia" w:ascii="宋体" w:hAnsi="宋体" w:eastAsia="宋体" w:cs="宋体"/>
          <w:sz w:val="18"/>
          <w:szCs w:val="18"/>
        </w:rPr>
        <w:t>股）股份，回购股份用于公司后续员工持股计划或者股权激励。回购总金额为不低于人民币</w:t>
      </w:r>
      <w:r>
        <w:rPr>
          <w:rFonts w:ascii="宋体" w:hAnsi="宋体" w:eastAsia="宋体" w:cs="宋体"/>
          <w:sz w:val="18"/>
          <w:szCs w:val="18"/>
        </w:rPr>
        <w:t xml:space="preserve"> 5,000 </w:t>
      </w:r>
      <w:r>
        <w:rPr>
          <w:rFonts w:hint="eastAsia" w:ascii="宋体" w:hAnsi="宋体" w:eastAsia="宋体" w:cs="宋体"/>
          <w:sz w:val="18"/>
          <w:szCs w:val="18"/>
        </w:rPr>
        <w:t>万元</w:t>
      </w:r>
      <w:r>
        <w:rPr>
          <w:rFonts w:ascii="宋体" w:hAnsi="宋体" w:eastAsia="宋体" w:cs="宋体"/>
          <w:sz w:val="18"/>
          <w:szCs w:val="18"/>
        </w:rPr>
        <w:t>,</w:t>
      </w:r>
      <w:r>
        <w:rPr>
          <w:rFonts w:hint="eastAsia" w:ascii="宋体" w:hAnsi="宋体" w:eastAsia="宋体" w:cs="宋体"/>
          <w:sz w:val="18"/>
          <w:szCs w:val="18"/>
        </w:rPr>
        <w:t>不超过人民币</w:t>
      </w:r>
      <w:r>
        <w:rPr>
          <w:rFonts w:ascii="宋体" w:hAnsi="宋体" w:eastAsia="宋体" w:cs="宋体"/>
          <w:sz w:val="18"/>
          <w:szCs w:val="18"/>
        </w:rPr>
        <w:t xml:space="preserve"> 10,000 </w:t>
      </w:r>
      <w:r>
        <w:rPr>
          <w:rFonts w:hint="eastAsia" w:ascii="宋体" w:hAnsi="宋体" w:eastAsia="宋体" w:cs="宋体"/>
          <w:sz w:val="18"/>
          <w:szCs w:val="18"/>
        </w:rPr>
        <w:t>万元，回购价格不超过</w:t>
      </w:r>
      <w:r>
        <w:rPr>
          <w:rFonts w:ascii="宋体" w:hAnsi="宋体" w:eastAsia="宋体" w:cs="宋体"/>
          <w:sz w:val="18"/>
          <w:szCs w:val="18"/>
        </w:rPr>
        <w:t xml:space="preserve"> 6.50 </w:t>
      </w:r>
      <w:r>
        <w:rPr>
          <w:rFonts w:hint="eastAsia" w:ascii="宋体" w:hAnsi="宋体" w:eastAsia="宋体" w:cs="宋体"/>
          <w:sz w:val="18"/>
          <w:szCs w:val="18"/>
        </w:rPr>
        <w:t>元</w:t>
      </w:r>
      <w:r>
        <w:rPr>
          <w:rFonts w:ascii="宋体" w:hAnsi="宋体" w:eastAsia="宋体" w:cs="宋体"/>
          <w:sz w:val="18"/>
          <w:szCs w:val="18"/>
        </w:rPr>
        <w:t>/</w:t>
      </w:r>
      <w:r>
        <w:rPr>
          <w:rFonts w:hint="eastAsia" w:ascii="宋体" w:hAnsi="宋体" w:eastAsia="宋体" w:cs="宋体"/>
          <w:sz w:val="18"/>
          <w:szCs w:val="18"/>
        </w:rPr>
        <w:t>股。</w:t>
      </w:r>
    </w:p>
    <w:p w14:paraId="633B6FFE">
      <w:pPr>
        <w:spacing w:before="100" w:after="100" w:line="240" w:lineRule="exact"/>
        <w:rPr>
          <w:rFonts w:ascii="宋体" w:hAnsi="宋体" w:eastAsia="宋体" w:cs="宋体"/>
          <w:sz w:val="18"/>
          <w:szCs w:val="18"/>
        </w:rPr>
      </w:pPr>
      <w:r>
        <w:rPr>
          <w:rFonts w:hint="eastAsia" w:ascii="宋体" w:hAnsi="宋体" w:eastAsia="宋体" w:cs="宋体"/>
          <w:sz w:val="18"/>
          <w:szCs w:val="18"/>
        </w:rPr>
        <w:t>华孚时尚股份有限公司（以下简称“公司”）于</w:t>
      </w:r>
      <w:r>
        <w:rPr>
          <w:rFonts w:ascii="宋体" w:hAnsi="宋体" w:eastAsia="宋体" w:cs="宋体"/>
          <w:sz w:val="18"/>
          <w:szCs w:val="18"/>
        </w:rPr>
        <w:t>2023</w:t>
      </w:r>
      <w:r>
        <w:rPr>
          <w:rFonts w:hint="eastAsia" w:ascii="宋体" w:hAnsi="宋体" w:eastAsia="宋体" w:cs="宋体"/>
          <w:sz w:val="18"/>
          <w:szCs w:val="18"/>
        </w:rPr>
        <w:t>年</w:t>
      </w:r>
      <w:r>
        <w:rPr>
          <w:rFonts w:ascii="宋体" w:hAnsi="宋体" w:eastAsia="宋体" w:cs="宋体"/>
          <w:sz w:val="18"/>
          <w:szCs w:val="18"/>
        </w:rPr>
        <w:t>3</w:t>
      </w:r>
      <w:r>
        <w:rPr>
          <w:rFonts w:hint="eastAsia" w:ascii="宋体" w:hAnsi="宋体" w:eastAsia="宋体" w:cs="宋体"/>
          <w:sz w:val="18"/>
          <w:szCs w:val="18"/>
        </w:rPr>
        <w:t>月</w:t>
      </w:r>
      <w:r>
        <w:rPr>
          <w:rFonts w:ascii="宋体" w:hAnsi="宋体" w:eastAsia="宋体" w:cs="宋体"/>
          <w:sz w:val="18"/>
          <w:szCs w:val="18"/>
        </w:rPr>
        <w:t>17</w:t>
      </w:r>
      <w:r>
        <w:rPr>
          <w:rFonts w:hint="eastAsia" w:ascii="宋体" w:hAnsi="宋体" w:eastAsia="宋体" w:cs="宋体"/>
          <w:sz w:val="18"/>
          <w:szCs w:val="18"/>
        </w:rPr>
        <w:t>日召开的第八届董事会</w:t>
      </w:r>
      <w:r>
        <w:rPr>
          <w:rFonts w:ascii="宋体" w:hAnsi="宋体" w:eastAsia="宋体" w:cs="宋体"/>
          <w:sz w:val="18"/>
          <w:szCs w:val="18"/>
        </w:rPr>
        <w:t>2023</w:t>
      </w:r>
      <w:r>
        <w:rPr>
          <w:rFonts w:hint="eastAsia" w:ascii="宋体" w:hAnsi="宋体" w:eastAsia="宋体" w:cs="宋体"/>
          <w:sz w:val="18"/>
          <w:szCs w:val="18"/>
        </w:rPr>
        <w:t>年第一次临时会议、第八届监事会第十一次会议审议通过本次回购公司股份的方案。拟使用自有资金以集中竞价交易方式回购已发行的人民币普通股（</w:t>
      </w:r>
      <w:r>
        <w:rPr>
          <w:rFonts w:ascii="宋体" w:hAnsi="宋体" w:eastAsia="宋体" w:cs="宋体"/>
          <w:sz w:val="18"/>
          <w:szCs w:val="18"/>
        </w:rPr>
        <w:t>A</w:t>
      </w:r>
      <w:r>
        <w:rPr>
          <w:rFonts w:hint="eastAsia" w:ascii="宋体" w:hAnsi="宋体" w:eastAsia="宋体" w:cs="宋体"/>
          <w:sz w:val="18"/>
          <w:szCs w:val="18"/>
        </w:rPr>
        <w:t>股）股份，回购股份用于维护公司价值及股东权益所必需，公司本次回购的股份后续将按有关规定予以全部出售。回购总金额为不低于人民币</w:t>
      </w:r>
      <w:r>
        <w:rPr>
          <w:rFonts w:ascii="宋体" w:hAnsi="宋体" w:eastAsia="宋体" w:cs="宋体"/>
          <w:sz w:val="18"/>
          <w:szCs w:val="18"/>
        </w:rPr>
        <w:t>10,000</w:t>
      </w:r>
      <w:r>
        <w:rPr>
          <w:rFonts w:hint="eastAsia" w:ascii="宋体" w:hAnsi="宋体" w:eastAsia="宋体" w:cs="宋体"/>
          <w:sz w:val="18"/>
          <w:szCs w:val="18"/>
        </w:rPr>
        <w:t>万元，不超过人民币</w:t>
      </w:r>
      <w:r>
        <w:rPr>
          <w:rFonts w:ascii="宋体" w:hAnsi="宋体" w:eastAsia="宋体" w:cs="宋体"/>
          <w:sz w:val="18"/>
          <w:szCs w:val="18"/>
        </w:rPr>
        <w:t>20,000</w:t>
      </w:r>
      <w:r>
        <w:rPr>
          <w:rFonts w:hint="eastAsia" w:ascii="宋体" w:hAnsi="宋体" w:eastAsia="宋体" w:cs="宋体"/>
          <w:sz w:val="18"/>
          <w:szCs w:val="18"/>
        </w:rPr>
        <w:t>万元，回购价格不超过</w:t>
      </w:r>
      <w:r>
        <w:rPr>
          <w:rFonts w:ascii="宋体" w:hAnsi="宋体" w:eastAsia="宋体" w:cs="宋体"/>
          <w:sz w:val="18"/>
          <w:szCs w:val="18"/>
        </w:rPr>
        <w:t>4.60</w:t>
      </w:r>
      <w:r>
        <w:rPr>
          <w:rFonts w:hint="eastAsia" w:ascii="宋体" w:hAnsi="宋体" w:eastAsia="宋体" w:cs="宋体"/>
          <w:sz w:val="18"/>
          <w:szCs w:val="18"/>
        </w:rPr>
        <w:t>元</w:t>
      </w:r>
      <w:r>
        <w:rPr>
          <w:rFonts w:ascii="宋体" w:hAnsi="宋体" w:eastAsia="宋体" w:cs="宋体"/>
          <w:sz w:val="18"/>
          <w:szCs w:val="18"/>
        </w:rPr>
        <w:t>/</w:t>
      </w:r>
      <w:r>
        <w:rPr>
          <w:rFonts w:hint="eastAsia" w:ascii="宋体" w:hAnsi="宋体" w:eastAsia="宋体" w:cs="宋体"/>
          <w:sz w:val="18"/>
          <w:szCs w:val="18"/>
        </w:rPr>
        <w:t>股，</w:t>
      </w:r>
    </w:p>
    <w:p w14:paraId="3295143D">
      <w:pPr>
        <w:spacing w:before="100" w:after="100" w:line="240" w:lineRule="exact"/>
        <w:rPr>
          <w:rFonts w:ascii="宋体" w:hAnsi="宋体" w:eastAsia="宋体" w:cs="宋体"/>
          <w:sz w:val="18"/>
          <w:szCs w:val="18"/>
        </w:rPr>
      </w:pPr>
      <w:r>
        <w:rPr>
          <w:rFonts w:hint="eastAsia" w:ascii="宋体" w:hAnsi="宋体" w:eastAsia="宋体" w:cs="宋体"/>
          <w:sz w:val="18"/>
          <w:szCs w:val="18"/>
        </w:rPr>
        <w:t>截止</w:t>
      </w:r>
      <w:r>
        <w:rPr>
          <w:rFonts w:ascii="宋体" w:hAnsi="宋体" w:eastAsia="宋体" w:cs="宋体"/>
          <w:sz w:val="18"/>
          <w:szCs w:val="18"/>
        </w:rPr>
        <w:t>2025</w:t>
      </w:r>
      <w:r>
        <w:rPr>
          <w:rFonts w:hint="eastAsia" w:ascii="宋体" w:hAnsi="宋体" w:eastAsia="宋体" w:cs="宋体"/>
          <w:sz w:val="18"/>
          <w:szCs w:val="18"/>
        </w:rPr>
        <w:t>年</w:t>
      </w:r>
      <w:r>
        <w:rPr>
          <w:rFonts w:ascii="宋体" w:hAnsi="宋体" w:eastAsia="宋体" w:cs="宋体"/>
          <w:sz w:val="18"/>
          <w:szCs w:val="18"/>
        </w:rPr>
        <w:t>12</w:t>
      </w:r>
      <w:r>
        <w:rPr>
          <w:rFonts w:hint="eastAsia" w:ascii="宋体" w:hAnsi="宋体" w:eastAsia="宋体" w:cs="宋体"/>
          <w:sz w:val="18"/>
          <w:szCs w:val="18"/>
        </w:rPr>
        <w:t>月</w:t>
      </w:r>
      <w:r>
        <w:rPr>
          <w:rFonts w:ascii="宋体" w:hAnsi="宋体" w:eastAsia="宋体" w:cs="宋体"/>
          <w:sz w:val="18"/>
          <w:szCs w:val="18"/>
        </w:rPr>
        <w:t>31</w:t>
      </w:r>
      <w:r>
        <w:rPr>
          <w:rFonts w:hint="eastAsia" w:ascii="宋体" w:hAnsi="宋体" w:eastAsia="宋体" w:cs="宋体"/>
          <w:sz w:val="18"/>
          <w:szCs w:val="18"/>
        </w:rPr>
        <w:t>日，通过股份回购专用证券账户以集中竞价方式回购股份数量</w:t>
      </w:r>
      <w:r>
        <w:rPr>
          <w:rFonts w:ascii="宋体" w:hAnsi="宋体" w:eastAsia="宋体" w:cs="宋体"/>
          <w:sz w:val="18"/>
          <w:szCs w:val="18"/>
        </w:rPr>
        <w:t>94,478,485</w:t>
      </w:r>
      <w:r>
        <w:rPr>
          <w:rFonts w:hint="eastAsia" w:ascii="宋体" w:hAnsi="宋体" w:eastAsia="宋体" w:cs="宋体"/>
          <w:sz w:val="18"/>
          <w:szCs w:val="18"/>
        </w:rPr>
        <w:t>股，占公司目前总股本的</w:t>
      </w:r>
      <w:r>
        <w:rPr>
          <w:rFonts w:ascii="宋体" w:hAnsi="宋体" w:eastAsia="宋体" w:cs="宋体"/>
          <w:sz w:val="18"/>
          <w:szCs w:val="18"/>
        </w:rPr>
        <w:t>5.61%</w:t>
      </w:r>
      <w:r>
        <w:rPr>
          <w:rFonts w:hint="eastAsia" w:ascii="宋体" w:hAnsi="宋体" w:eastAsia="宋体" w:cs="宋体"/>
          <w:sz w:val="18"/>
          <w:szCs w:val="18"/>
        </w:rPr>
        <w:t>。</w:t>
      </w:r>
    </w:p>
    <w:p w14:paraId="647A47F7">
      <w:pPr>
        <w:spacing w:before="100" w:after="100" w:line="240" w:lineRule="exact"/>
        <w:rPr>
          <w:rFonts w:ascii="宋体" w:hAnsi="宋体" w:eastAsia="宋体" w:cs="宋体"/>
          <w:sz w:val="18"/>
          <w:szCs w:val="18"/>
        </w:rPr>
      </w:pPr>
      <w:r>
        <w:rPr>
          <w:rFonts w:hint="eastAsia" w:ascii="宋体" w:hAnsi="宋体" w:eastAsia="宋体" w:cs="宋体"/>
          <w:sz w:val="18"/>
          <w:szCs w:val="18"/>
        </w:rPr>
        <w:t>本公司依据《企业会计准则第</w:t>
      </w:r>
      <w:r>
        <w:rPr>
          <w:rFonts w:ascii="宋体" w:hAnsi="宋体" w:eastAsia="宋体" w:cs="宋体"/>
          <w:sz w:val="18"/>
          <w:szCs w:val="18"/>
        </w:rPr>
        <w:t>37</w:t>
      </w:r>
      <w:r>
        <w:rPr>
          <w:rFonts w:hint="eastAsia" w:ascii="宋体" w:hAnsi="宋体" w:eastAsia="宋体" w:cs="宋体"/>
          <w:sz w:val="18"/>
          <w:szCs w:val="18"/>
        </w:rPr>
        <w:t>号——金融工具列报（财会</w:t>
      </w:r>
      <w:r>
        <w:rPr>
          <w:rFonts w:ascii="宋体" w:hAnsi="宋体" w:eastAsia="宋体" w:cs="宋体"/>
          <w:sz w:val="18"/>
          <w:szCs w:val="18"/>
        </w:rPr>
        <w:t>[2017]14</w:t>
      </w:r>
      <w:r>
        <w:rPr>
          <w:rFonts w:hint="eastAsia" w:ascii="宋体" w:hAnsi="宋体" w:eastAsia="宋体" w:cs="宋体"/>
          <w:sz w:val="18"/>
          <w:szCs w:val="18"/>
        </w:rPr>
        <w:t>号）》，第二十六条</w:t>
      </w:r>
      <w:r>
        <w:rPr>
          <w:rFonts w:ascii="宋体" w:hAnsi="宋体" w:eastAsia="宋体" w:cs="宋体"/>
          <w:sz w:val="18"/>
          <w:szCs w:val="18"/>
        </w:rPr>
        <w:t xml:space="preserve"> </w:t>
      </w:r>
      <w:r>
        <w:rPr>
          <w:rFonts w:hint="eastAsia" w:ascii="宋体" w:hAnsi="宋体" w:eastAsia="宋体" w:cs="宋体"/>
          <w:sz w:val="18"/>
          <w:szCs w:val="18"/>
        </w:rPr>
        <w:t>回购自身权益工具（库存股）支付的对价和交易费用，计入库存股进行处理。</w:t>
      </w:r>
    </w:p>
    <w:p w14:paraId="391DACFF">
      <w:pPr>
        <w:pStyle w:val="3"/>
        <w:spacing w:line="280" w:lineRule="exact"/>
        <w:jc w:val="left"/>
        <w:rPr>
          <w:rFonts w:ascii="宋体" w:hAnsi="宋体" w:cs="宋体"/>
          <w:b/>
          <w:bCs/>
        </w:rPr>
      </w:pPr>
      <w:bookmarkStart w:id="449" w:name="_Toc989303"/>
      <w:r>
        <w:rPr>
          <w:rFonts w:ascii="宋体" w:hAnsi="宋体" w:cs="宋体"/>
          <w:b/>
          <w:bCs/>
        </w:rPr>
        <w:t>57、其他综合收益</w:t>
      </w:r>
      <w:bookmarkEnd w:id="449"/>
    </w:p>
    <w:p w14:paraId="75E6AFE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169E9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A7B63E5">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F520E9A">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426"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22B4F509">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878E14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31EF7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0C2D358"/>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01C691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23E7FDC">
            <w:pPr>
              <w:spacing w:before="40" w:after="40" w:line="240" w:lineRule="exact"/>
              <w:jc w:val="center"/>
              <w:rPr>
                <w:rFonts w:ascii="宋体" w:hAnsi="宋体" w:eastAsia="宋体" w:cs="宋体"/>
                <w:sz w:val="18"/>
                <w:szCs w:val="18"/>
              </w:rPr>
            </w:pPr>
            <w:r>
              <w:rPr>
                <w:rFonts w:ascii="宋体" w:hAnsi="宋体" w:eastAsia="宋体" w:cs="宋体"/>
                <w:sz w:val="18"/>
                <w:szCs w:val="18"/>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9B17D33">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9DDFCD5">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483DF86">
            <w:pPr>
              <w:spacing w:before="40" w:after="40" w:line="240" w:lineRule="exact"/>
              <w:jc w:val="center"/>
              <w:rPr>
                <w:rFonts w:ascii="宋体" w:hAnsi="宋体" w:eastAsia="宋体" w:cs="宋体"/>
                <w:sz w:val="18"/>
                <w:szCs w:val="18"/>
              </w:rPr>
            </w:pPr>
            <w:r>
              <w:rPr>
                <w:rFonts w:ascii="宋体" w:hAnsi="宋体" w:eastAsia="宋体" w:cs="宋体"/>
                <w:sz w:val="18"/>
                <w:szCs w:val="18"/>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58048D2">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62827E7">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1196A68"/>
        </w:tc>
      </w:tr>
      <w:tr w14:paraId="34939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32B8099">
            <w:pPr>
              <w:spacing w:before="40" w:after="40" w:line="240" w:lineRule="exact"/>
              <w:rPr>
                <w:rFonts w:ascii="宋体" w:hAnsi="宋体" w:eastAsia="宋体" w:cs="宋体"/>
                <w:sz w:val="18"/>
                <w:szCs w:val="18"/>
              </w:rPr>
            </w:pPr>
            <w:r>
              <w:rPr>
                <w:rFonts w:ascii="宋体" w:hAnsi="宋体" w:eastAsia="宋体" w:cs="宋体"/>
                <w:sz w:val="18"/>
                <w:szCs w:val="18"/>
              </w:rPr>
              <w:t>一、不能重分类进损益的其他综合收益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14:paraId="07E1BF23">
            <w:pPr>
              <w:spacing w:line="240" w:lineRule="exact"/>
              <w:jc w:val="right"/>
              <w:rPr>
                <w:rFonts w:ascii="宋体" w:hAnsi="宋体" w:eastAsia="宋体" w:cs="宋体"/>
                <w:sz w:val="18"/>
                <w:szCs w:val="18"/>
              </w:rPr>
            </w:pPr>
            <w:r>
              <w:rPr>
                <w:rFonts w:ascii="宋体" w:hAnsi="宋体" w:eastAsia="宋体" w:cs="宋体"/>
                <w:sz w:val="18"/>
                <w:szCs w:val="18"/>
              </w:rPr>
              <w:t>5,637,545.07</w:t>
            </w:r>
          </w:p>
        </w:tc>
        <w:tc>
          <w:tcPr>
            <w:tcW w:w="1071" w:type="dxa"/>
            <w:tcBorders>
              <w:top w:val="single" w:color="auto" w:sz="2" w:space="0"/>
              <w:left w:val="single" w:color="auto" w:sz="2" w:space="0"/>
              <w:bottom w:val="single" w:color="auto" w:sz="2" w:space="0"/>
              <w:right w:val="single" w:color="auto" w:sz="2" w:space="0"/>
            </w:tcBorders>
            <w:vAlign w:val="center"/>
          </w:tcPr>
          <w:p w14:paraId="20B41E1F">
            <w:pPr>
              <w:spacing w:line="240" w:lineRule="exact"/>
              <w:jc w:val="right"/>
              <w:rPr>
                <w:rFonts w:ascii="宋体" w:hAnsi="宋体" w:eastAsia="宋体" w:cs="宋体"/>
                <w:sz w:val="18"/>
                <w:szCs w:val="18"/>
              </w:rPr>
            </w:pPr>
            <w:r>
              <w:rPr>
                <w:rFonts w:ascii="宋体" w:hAnsi="宋体" w:eastAsia="宋体" w:cs="宋体"/>
                <w:sz w:val="18"/>
                <w:szCs w:val="18"/>
              </w:rPr>
              <w:t>38,407,719.21</w:t>
            </w:r>
          </w:p>
        </w:tc>
        <w:tc>
          <w:tcPr>
            <w:tcW w:w="1071" w:type="dxa"/>
            <w:tcBorders>
              <w:top w:val="single" w:color="auto" w:sz="2" w:space="0"/>
              <w:left w:val="single" w:color="auto" w:sz="2" w:space="0"/>
              <w:bottom w:val="single" w:color="auto" w:sz="2" w:space="0"/>
              <w:right w:val="single" w:color="auto" w:sz="2" w:space="0"/>
            </w:tcBorders>
            <w:vAlign w:val="center"/>
          </w:tcPr>
          <w:p w14:paraId="528B35A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AFF42E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65D8EDD">
            <w:pPr>
              <w:spacing w:line="240" w:lineRule="exact"/>
              <w:jc w:val="right"/>
              <w:rPr>
                <w:rFonts w:ascii="宋体" w:hAnsi="宋体" w:eastAsia="宋体" w:cs="宋体"/>
                <w:sz w:val="18"/>
                <w:szCs w:val="18"/>
              </w:rPr>
            </w:pPr>
            <w:r>
              <w:rPr>
                <w:rFonts w:ascii="宋体" w:hAnsi="宋体" w:eastAsia="宋体" w:cs="宋体"/>
                <w:sz w:val="18"/>
                <w:szCs w:val="18"/>
              </w:rPr>
              <w:t>7,414,960.29</w:t>
            </w:r>
          </w:p>
        </w:tc>
        <w:tc>
          <w:tcPr>
            <w:tcW w:w="1071" w:type="dxa"/>
            <w:tcBorders>
              <w:top w:val="single" w:color="auto" w:sz="2" w:space="0"/>
              <w:left w:val="single" w:color="auto" w:sz="2" w:space="0"/>
              <w:bottom w:val="single" w:color="auto" w:sz="2" w:space="0"/>
              <w:right w:val="single" w:color="auto" w:sz="2" w:space="0"/>
            </w:tcBorders>
            <w:vAlign w:val="center"/>
          </w:tcPr>
          <w:p w14:paraId="2D204045">
            <w:pPr>
              <w:spacing w:line="240" w:lineRule="exact"/>
              <w:jc w:val="right"/>
              <w:rPr>
                <w:rFonts w:ascii="宋体" w:hAnsi="宋体" w:eastAsia="宋体" w:cs="宋体"/>
                <w:sz w:val="18"/>
                <w:szCs w:val="18"/>
              </w:rPr>
            </w:pPr>
            <w:r>
              <w:rPr>
                <w:rFonts w:ascii="宋体" w:hAnsi="宋体" w:eastAsia="宋体" w:cs="宋体"/>
                <w:sz w:val="18"/>
                <w:szCs w:val="18"/>
              </w:rPr>
              <w:t>30,992,758.92</w:t>
            </w:r>
          </w:p>
        </w:tc>
        <w:tc>
          <w:tcPr>
            <w:tcW w:w="1071" w:type="dxa"/>
            <w:tcBorders>
              <w:top w:val="single" w:color="auto" w:sz="2" w:space="0"/>
              <w:left w:val="single" w:color="auto" w:sz="2" w:space="0"/>
              <w:bottom w:val="single" w:color="auto" w:sz="2" w:space="0"/>
              <w:right w:val="single" w:color="auto" w:sz="2" w:space="0"/>
            </w:tcBorders>
            <w:vAlign w:val="center"/>
          </w:tcPr>
          <w:p w14:paraId="5135991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053E21F">
            <w:pPr>
              <w:spacing w:line="240" w:lineRule="exact"/>
              <w:jc w:val="right"/>
              <w:rPr>
                <w:rFonts w:ascii="宋体" w:hAnsi="宋体" w:eastAsia="宋体" w:cs="宋体"/>
                <w:sz w:val="18"/>
                <w:szCs w:val="18"/>
              </w:rPr>
            </w:pPr>
            <w:r>
              <w:rPr>
                <w:rFonts w:ascii="宋体" w:hAnsi="宋体" w:eastAsia="宋体" w:cs="宋体"/>
                <w:sz w:val="18"/>
                <w:szCs w:val="18"/>
              </w:rPr>
              <w:t>36,630,303.99</w:t>
            </w:r>
          </w:p>
        </w:tc>
      </w:tr>
      <w:tr w14:paraId="709B3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A712738">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权益法下不能转损益的其他综合收益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14:paraId="11959EAC">
            <w:pPr>
              <w:spacing w:line="240" w:lineRule="exact"/>
              <w:jc w:val="right"/>
              <w:rPr>
                <w:rFonts w:ascii="宋体" w:hAnsi="宋体" w:eastAsia="宋体" w:cs="宋体"/>
                <w:sz w:val="18"/>
                <w:szCs w:val="18"/>
              </w:rPr>
            </w:pPr>
            <w:r>
              <w:rPr>
                <w:rFonts w:ascii="宋体" w:hAnsi="宋体" w:eastAsia="宋体" w:cs="宋体"/>
                <w:sz w:val="18"/>
                <w:szCs w:val="18"/>
              </w:rPr>
              <w:t>-1,324,574.28</w:t>
            </w:r>
          </w:p>
        </w:tc>
        <w:tc>
          <w:tcPr>
            <w:tcW w:w="1071" w:type="dxa"/>
            <w:tcBorders>
              <w:top w:val="single" w:color="auto" w:sz="2" w:space="0"/>
              <w:left w:val="single" w:color="auto" w:sz="2" w:space="0"/>
              <w:bottom w:val="single" w:color="auto" w:sz="2" w:space="0"/>
              <w:right w:val="single" w:color="auto" w:sz="2" w:space="0"/>
            </w:tcBorders>
            <w:vAlign w:val="center"/>
          </w:tcPr>
          <w:p w14:paraId="43E6661E">
            <w:pPr>
              <w:spacing w:line="240" w:lineRule="exact"/>
              <w:jc w:val="right"/>
              <w:rPr>
                <w:rFonts w:ascii="宋体" w:hAnsi="宋体" w:eastAsia="宋体" w:cs="宋体"/>
                <w:sz w:val="18"/>
                <w:szCs w:val="18"/>
              </w:rPr>
            </w:pPr>
            <w:r>
              <w:rPr>
                <w:rFonts w:ascii="宋体" w:hAnsi="宋体" w:eastAsia="宋体" w:cs="宋体"/>
                <w:sz w:val="18"/>
                <w:szCs w:val="18"/>
              </w:rPr>
              <w:t>2,598,850.60</w:t>
            </w:r>
          </w:p>
        </w:tc>
        <w:tc>
          <w:tcPr>
            <w:tcW w:w="1071" w:type="dxa"/>
            <w:tcBorders>
              <w:top w:val="single" w:color="auto" w:sz="2" w:space="0"/>
              <w:left w:val="single" w:color="auto" w:sz="2" w:space="0"/>
              <w:bottom w:val="single" w:color="auto" w:sz="2" w:space="0"/>
              <w:right w:val="single" w:color="auto" w:sz="2" w:space="0"/>
            </w:tcBorders>
            <w:vAlign w:val="center"/>
          </w:tcPr>
          <w:p w14:paraId="1986423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A93C1C4">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936F5C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B6A6080">
            <w:pPr>
              <w:spacing w:line="240" w:lineRule="exact"/>
              <w:jc w:val="right"/>
              <w:rPr>
                <w:rFonts w:ascii="宋体" w:hAnsi="宋体" w:eastAsia="宋体" w:cs="宋体"/>
                <w:sz w:val="18"/>
                <w:szCs w:val="18"/>
              </w:rPr>
            </w:pPr>
            <w:r>
              <w:rPr>
                <w:rFonts w:ascii="宋体" w:hAnsi="宋体" w:eastAsia="宋体" w:cs="宋体"/>
                <w:sz w:val="18"/>
                <w:szCs w:val="18"/>
              </w:rPr>
              <w:t>2,598,850.60</w:t>
            </w:r>
          </w:p>
        </w:tc>
        <w:tc>
          <w:tcPr>
            <w:tcW w:w="1071" w:type="dxa"/>
            <w:tcBorders>
              <w:top w:val="single" w:color="auto" w:sz="2" w:space="0"/>
              <w:left w:val="single" w:color="auto" w:sz="2" w:space="0"/>
              <w:bottom w:val="single" w:color="auto" w:sz="2" w:space="0"/>
              <w:right w:val="single" w:color="auto" w:sz="2" w:space="0"/>
            </w:tcBorders>
            <w:vAlign w:val="center"/>
          </w:tcPr>
          <w:p w14:paraId="0F7EADE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D3A83D0">
            <w:pPr>
              <w:spacing w:line="240" w:lineRule="exact"/>
              <w:jc w:val="right"/>
              <w:rPr>
                <w:rFonts w:ascii="宋体" w:hAnsi="宋体" w:eastAsia="宋体" w:cs="宋体"/>
                <w:sz w:val="18"/>
                <w:szCs w:val="18"/>
              </w:rPr>
            </w:pPr>
            <w:r>
              <w:rPr>
                <w:rFonts w:ascii="宋体" w:hAnsi="宋体" w:eastAsia="宋体" w:cs="宋体"/>
                <w:sz w:val="18"/>
                <w:szCs w:val="18"/>
              </w:rPr>
              <w:t>1,274,276.32</w:t>
            </w:r>
          </w:p>
        </w:tc>
      </w:tr>
      <w:tr w14:paraId="23EE0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BDE3104">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其他权益工具投资公允价值变动</w:t>
            </w:r>
          </w:p>
        </w:tc>
        <w:tc>
          <w:tcPr>
            <w:tcW w:w="1071" w:type="dxa"/>
            <w:tcBorders>
              <w:top w:val="single" w:color="auto" w:sz="2" w:space="0"/>
              <w:left w:val="single" w:color="auto" w:sz="2" w:space="0"/>
              <w:bottom w:val="single" w:color="auto" w:sz="2" w:space="0"/>
              <w:right w:val="single" w:color="auto" w:sz="2" w:space="0"/>
            </w:tcBorders>
            <w:vAlign w:val="center"/>
          </w:tcPr>
          <w:p w14:paraId="35CBF051">
            <w:pPr>
              <w:spacing w:line="240" w:lineRule="exact"/>
              <w:jc w:val="right"/>
              <w:rPr>
                <w:rFonts w:ascii="宋体" w:hAnsi="宋体" w:eastAsia="宋体" w:cs="宋体"/>
                <w:sz w:val="18"/>
                <w:szCs w:val="18"/>
              </w:rPr>
            </w:pPr>
            <w:r>
              <w:rPr>
                <w:rFonts w:ascii="宋体" w:hAnsi="宋体" w:eastAsia="宋体" w:cs="宋体"/>
                <w:sz w:val="18"/>
                <w:szCs w:val="18"/>
              </w:rPr>
              <w:t>6,962,119.35</w:t>
            </w:r>
          </w:p>
        </w:tc>
        <w:tc>
          <w:tcPr>
            <w:tcW w:w="1071" w:type="dxa"/>
            <w:tcBorders>
              <w:top w:val="single" w:color="auto" w:sz="2" w:space="0"/>
              <w:left w:val="single" w:color="auto" w:sz="2" w:space="0"/>
              <w:bottom w:val="single" w:color="auto" w:sz="2" w:space="0"/>
              <w:right w:val="single" w:color="auto" w:sz="2" w:space="0"/>
            </w:tcBorders>
            <w:vAlign w:val="center"/>
          </w:tcPr>
          <w:p w14:paraId="48DCD508">
            <w:pPr>
              <w:spacing w:line="240" w:lineRule="exact"/>
              <w:jc w:val="right"/>
              <w:rPr>
                <w:rFonts w:ascii="宋体" w:hAnsi="宋体" w:eastAsia="宋体" w:cs="宋体"/>
                <w:sz w:val="18"/>
                <w:szCs w:val="18"/>
              </w:rPr>
            </w:pPr>
            <w:r>
              <w:rPr>
                <w:rFonts w:ascii="宋体" w:hAnsi="宋体" w:eastAsia="宋体" w:cs="宋体"/>
                <w:sz w:val="18"/>
                <w:szCs w:val="18"/>
              </w:rPr>
              <w:t>35,808,868.61</w:t>
            </w:r>
          </w:p>
        </w:tc>
        <w:tc>
          <w:tcPr>
            <w:tcW w:w="1071" w:type="dxa"/>
            <w:tcBorders>
              <w:top w:val="single" w:color="auto" w:sz="2" w:space="0"/>
              <w:left w:val="single" w:color="auto" w:sz="2" w:space="0"/>
              <w:bottom w:val="single" w:color="auto" w:sz="2" w:space="0"/>
              <w:right w:val="single" w:color="auto" w:sz="2" w:space="0"/>
            </w:tcBorders>
            <w:vAlign w:val="center"/>
          </w:tcPr>
          <w:p w14:paraId="099AA31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86BD38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51A2AC6">
            <w:pPr>
              <w:spacing w:line="240" w:lineRule="exact"/>
              <w:jc w:val="right"/>
              <w:rPr>
                <w:rFonts w:ascii="宋体" w:hAnsi="宋体" w:eastAsia="宋体" w:cs="宋体"/>
                <w:sz w:val="18"/>
                <w:szCs w:val="18"/>
              </w:rPr>
            </w:pPr>
            <w:r>
              <w:rPr>
                <w:rFonts w:ascii="宋体" w:hAnsi="宋体" w:eastAsia="宋体" w:cs="宋体"/>
                <w:sz w:val="18"/>
                <w:szCs w:val="18"/>
              </w:rPr>
              <w:t>7,414,960.29</w:t>
            </w:r>
          </w:p>
        </w:tc>
        <w:tc>
          <w:tcPr>
            <w:tcW w:w="1071" w:type="dxa"/>
            <w:tcBorders>
              <w:top w:val="single" w:color="auto" w:sz="2" w:space="0"/>
              <w:left w:val="single" w:color="auto" w:sz="2" w:space="0"/>
              <w:bottom w:val="single" w:color="auto" w:sz="2" w:space="0"/>
              <w:right w:val="single" w:color="auto" w:sz="2" w:space="0"/>
            </w:tcBorders>
            <w:vAlign w:val="center"/>
          </w:tcPr>
          <w:p w14:paraId="74B72A69">
            <w:pPr>
              <w:spacing w:line="240" w:lineRule="exact"/>
              <w:jc w:val="right"/>
              <w:rPr>
                <w:rFonts w:ascii="宋体" w:hAnsi="宋体" w:eastAsia="宋体" w:cs="宋体"/>
                <w:sz w:val="18"/>
                <w:szCs w:val="18"/>
              </w:rPr>
            </w:pPr>
            <w:r>
              <w:rPr>
                <w:rFonts w:ascii="宋体" w:hAnsi="宋体" w:eastAsia="宋体" w:cs="宋体"/>
                <w:sz w:val="18"/>
                <w:szCs w:val="18"/>
              </w:rPr>
              <w:t>28,393,908.32</w:t>
            </w:r>
          </w:p>
        </w:tc>
        <w:tc>
          <w:tcPr>
            <w:tcW w:w="1071" w:type="dxa"/>
            <w:tcBorders>
              <w:top w:val="single" w:color="auto" w:sz="2" w:space="0"/>
              <w:left w:val="single" w:color="auto" w:sz="2" w:space="0"/>
              <w:bottom w:val="single" w:color="auto" w:sz="2" w:space="0"/>
              <w:right w:val="single" w:color="auto" w:sz="2" w:space="0"/>
            </w:tcBorders>
            <w:vAlign w:val="center"/>
          </w:tcPr>
          <w:p w14:paraId="7CE66C5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92E3816">
            <w:pPr>
              <w:spacing w:line="240" w:lineRule="exact"/>
              <w:jc w:val="right"/>
              <w:rPr>
                <w:rFonts w:ascii="宋体" w:hAnsi="宋体" w:eastAsia="宋体" w:cs="宋体"/>
                <w:sz w:val="18"/>
                <w:szCs w:val="18"/>
              </w:rPr>
            </w:pPr>
            <w:r>
              <w:rPr>
                <w:rFonts w:ascii="宋体" w:hAnsi="宋体" w:eastAsia="宋体" w:cs="宋体"/>
                <w:sz w:val="18"/>
                <w:szCs w:val="18"/>
              </w:rPr>
              <w:t>35,356,027.67</w:t>
            </w:r>
          </w:p>
        </w:tc>
      </w:tr>
      <w:tr w14:paraId="6F3B3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026D1D0">
            <w:pPr>
              <w:spacing w:before="40" w:after="40" w:line="240" w:lineRule="exact"/>
              <w:rPr>
                <w:rFonts w:ascii="宋体" w:hAnsi="宋体" w:eastAsia="宋体" w:cs="宋体"/>
                <w:sz w:val="18"/>
                <w:szCs w:val="18"/>
              </w:rPr>
            </w:pPr>
            <w:r>
              <w:rPr>
                <w:rFonts w:ascii="宋体" w:hAnsi="宋体" w:eastAsia="宋体" w:cs="宋体"/>
                <w:sz w:val="18"/>
                <w:szCs w:val="18"/>
              </w:rPr>
              <w:t>二、将重分类进损益的其他综合收益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14:paraId="239834AC">
            <w:pPr>
              <w:spacing w:line="240" w:lineRule="exact"/>
              <w:jc w:val="right"/>
              <w:rPr>
                <w:rFonts w:ascii="宋体" w:hAnsi="宋体" w:eastAsia="宋体" w:cs="宋体"/>
                <w:sz w:val="18"/>
                <w:szCs w:val="18"/>
              </w:rPr>
            </w:pPr>
            <w:r>
              <w:rPr>
                <w:rFonts w:ascii="宋体" w:hAnsi="宋体" w:eastAsia="宋体" w:cs="宋体"/>
                <w:sz w:val="18"/>
                <w:szCs w:val="18"/>
              </w:rPr>
              <w:t>-117,973,358.44</w:t>
            </w:r>
          </w:p>
        </w:tc>
        <w:tc>
          <w:tcPr>
            <w:tcW w:w="1071" w:type="dxa"/>
            <w:tcBorders>
              <w:top w:val="single" w:color="auto" w:sz="2" w:space="0"/>
              <w:left w:val="single" w:color="auto" w:sz="2" w:space="0"/>
              <w:bottom w:val="single" w:color="auto" w:sz="2" w:space="0"/>
              <w:right w:val="single" w:color="auto" w:sz="2" w:space="0"/>
            </w:tcBorders>
            <w:vAlign w:val="center"/>
          </w:tcPr>
          <w:p w14:paraId="30F85DFE">
            <w:pPr>
              <w:spacing w:line="240" w:lineRule="exact"/>
              <w:jc w:val="right"/>
              <w:rPr>
                <w:rFonts w:ascii="宋体" w:hAnsi="宋体" w:eastAsia="宋体" w:cs="宋体"/>
                <w:sz w:val="18"/>
                <w:szCs w:val="18"/>
              </w:rPr>
            </w:pPr>
            <w:r>
              <w:rPr>
                <w:rFonts w:ascii="宋体" w:hAnsi="宋体" w:eastAsia="宋体" w:cs="宋体"/>
                <w:sz w:val="18"/>
                <w:szCs w:val="18"/>
              </w:rPr>
              <w:t>-78,784,894.16</w:t>
            </w:r>
          </w:p>
        </w:tc>
        <w:tc>
          <w:tcPr>
            <w:tcW w:w="1071" w:type="dxa"/>
            <w:tcBorders>
              <w:top w:val="single" w:color="auto" w:sz="2" w:space="0"/>
              <w:left w:val="single" w:color="auto" w:sz="2" w:space="0"/>
              <w:bottom w:val="single" w:color="auto" w:sz="2" w:space="0"/>
              <w:right w:val="single" w:color="auto" w:sz="2" w:space="0"/>
            </w:tcBorders>
            <w:vAlign w:val="center"/>
          </w:tcPr>
          <w:p w14:paraId="544C828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4EA94E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5943F0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DF61099">
            <w:pPr>
              <w:spacing w:line="240" w:lineRule="exact"/>
              <w:jc w:val="right"/>
              <w:rPr>
                <w:rFonts w:ascii="宋体" w:hAnsi="宋体" w:eastAsia="宋体" w:cs="宋体"/>
                <w:sz w:val="18"/>
                <w:szCs w:val="18"/>
              </w:rPr>
            </w:pPr>
            <w:r>
              <w:rPr>
                <w:rFonts w:ascii="宋体" w:hAnsi="宋体" w:eastAsia="宋体" w:cs="宋体"/>
                <w:sz w:val="18"/>
                <w:szCs w:val="18"/>
              </w:rPr>
              <w:t>-78,784,894.16</w:t>
            </w:r>
          </w:p>
        </w:tc>
        <w:tc>
          <w:tcPr>
            <w:tcW w:w="1071" w:type="dxa"/>
            <w:tcBorders>
              <w:top w:val="single" w:color="auto" w:sz="2" w:space="0"/>
              <w:left w:val="single" w:color="auto" w:sz="2" w:space="0"/>
              <w:bottom w:val="single" w:color="auto" w:sz="2" w:space="0"/>
              <w:right w:val="single" w:color="auto" w:sz="2" w:space="0"/>
            </w:tcBorders>
            <w:vAlign w:val="center"/>
          </w:tcPr>
          <w:p w14:paraId="7AB4B38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A53945D">
            <w:pPr>
              <w:spacing w:line="240" w:lineRule="exact"/>
              <w:jc w:val="right"/>
              <w:rPr>
                <w:rFonts w:ascii="宋体" w:hAnsi="宋体" w:eastAsia="宋体" w:cs="宋体"/>
                <w:sz w:val="18"/>
                <w:szCs w:val="18"/>
              </w:rPr>
            </w:pPr>
            <w:r>
              <w:rPr>
                <w:rFonts w:ascii="宋体" w:hAnsi="宋体" w:eastAsia="宋体" w:cs="宋体"/>
                <w:sz w:val="18"/>
                <w:szCs w:val="18"/>
              </w:rPr>
              <w:t>-196,758,252.60</w:t>
            </w:r>
          </w:p>
        </w:tc>
      </w:tr>
      <w:tr w14:paraId="5FB5E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03AF58B">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外币财务报表折算差额</w:t>
            </w:r>
          </w:p>
        </w:tc>
        <w:tc>
          <w:tcPr>
            <w:tcW w:w="1071" w:type="dxa"/>
            <w:tcBorders>
              <w:top w:val="single" w:color="auto" w:sz="2" w:space="0"/>
              <w:left w:val="single" w:color="auto" w:sz="2" w:space="0"/>
              <w:bottom w:val="single" w:color="auto" w:sz="2" w:space="0"/>
              <w:right w:val="single" w:color="auto" w:sz="2" w:space="0"/>
            </w:tcBorders>
            <w:vAlign w:val="center"/>
          </w:tcPr>
          <w:p w14:paraId="50FA251B">
            <w:pPr>
              <w:spacing w:line="240" w:lineRule="exact"/>
              <w:jc w:val="right"/>
              <w:rPr>
                <w:rFonts w:ascii="宋体" w:hAnsi="宋体" w:eastAsia="宋体" w:cs="宋体"/>
                <w:sz w:val="18"/>
                <w:szCs w:val="18"/>
              </w:rPr>
            </w:pPr>
            <w:r>
              <w:rPr>
                <w:rFonts w:ascii="宋体" w:hAnsi="宋体" w:eastAsia="宋体" w:cs="宋体"/>
                <w:sz w:val="18"/>
                <w:szCs w:val="18"/>
              </w:rPr>
              <w:t>-117,973,358.44</w:t>
            </w:r>
          </w:p>
        </w:tc>
        <w:tc>
          <w:tcPr>
            <w:tcW w:w="1071" w:type="dxa"/>
            <w:tcBorders>
              <w:top w:val="single" w:color="auto" w:sz="2" w:space="0"/>
              <w:left w:val="single" w:color="auto" w:sz="2" w:space="0"/>
              <w:bottom w:val="single" w:color="auto" w:sz="2" w:space="0"/>
              <w:right w:val="single" w:color="auto" w:sz="2" w:space="0"/>
            </w:tcBorders>
            <w:vAlign w:val="center"/>
          </w:tcPr>
          <w:p w14:paraId="659A17E2">
            <w:pPr>
              <w:spacing w:line="240" w:lineRule="exact"/>
              <w:jc w:val="right"/>
              <w:rPr>
                <w:rFonts w:ascii="宋体" w:hAnsi="宋体" w:eastAsia="宋体" w:cs="宋体"/>
                <w:sz w:val="18"/>
                <w:szCs w:val="18"/>
              </w:rPr>
            </w:pPr>
            <w:r>
              <w:rPr>
                <w:rFonts w:ascii="宋体" w:hAnsi="宋体" w:eastAsia="宋体" w:cs="宋体"/>
                <w:sz w:val="18"/>
                <w:szCs w:val="18"/>
              </w:rPr>
              <w:t>-78,784,894.16</w:t>
            </w:r>
          </w:p>
        </w:tc>
        <w:tc>
          <w:tcPr>
            <w:tcW w:w="1071" w:type="dxa"/>
            <w:tcBorders>
              <w:top w:val="single" w:color="auto" w:sz="2" w:space="0"/>
              <w:left w:val="single" w:color="auto" w:sz="2" w:space="0"/>
              <w:bottom w:val="single" w:color="auto" w:sz="2" w:space="0"/>
              <w:right w:val="single" w:color="auto" w:sz="2" w:space="0"/>
            </w:tcBorders>
            <w:vAlign w:val="center"/>
          </w:tcPr>
          <w:p w14:paraId="04BD814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918AC5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7CA1314">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F2CBD74">
            <w:pPr>
              <w:spacing w:line="240" w:lineRule="exact"/>
              <w:jc w:val="right"/>
              <w:rPr>
                <w:rFonts w:ascii="宋体" w:hAnsi="宋体" w:eastAsia="宋体" w:cs="宋体"/>
                <w:sz w:val="18"/>
                <w:szCs w:val="18"/>
              </w:rPr>
            </w:pPr>
            <w:r>
              <w:rPr>
                <w:rFonts w:ascii="宋体" w:hAnsi="宋体" w:eastAsia="宋体" w:cs="宋体"/>
                <w:sz w:val="18"/>
                <w:szCs w:val="18"/>
              </w:rPr>
              <w:t>-78,784,894.16</w:t>
            </w:r>
          </w:p>
        </w:tc>
        <w:tc>
          <w:tcPr>
            <w:tcW w:w="1071" w:type="dxa"/>
            <w:tcBorders>
              <w:top w:val="single" w:color="auto" w:sz="2" w:space="0"/>
              <w:left w:val="single" w:color="auto" w:sz="2" w:space="0"/>
              <w:bottom w:val="single" w:color="auto" w:sz="2" w:space="0"/>
              <w:right w:val="single" w:color="auto" w:sz="2" w:space="0"/>
            </w:tcBorders>
            <w:vAlign w:val="center"/>
          </w:tcPr>
          <w:p w14:paraId="7CD99CE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DAC65B7">
            <w:pPr>
              <w:spacing w:line="240" w:lineRule="exact"/>
              <w:jc w:val="right"/>
              <w:rPr>
                <w:rFonts w:ascii="宋体" w:hAnsi="宋体" w:eastAsia="宋体" w:cs="宋体"/>
                <w:sz w:val="18"/>
                <w:szCs w:val="18"/>
              </w:rPr>
            </w:pPr>
            <w:r>
              <w:rPr>
                <w:rFonts w:ascii="宋体" w:hAnsi="宋体" w:eastAsia="宋体" w:cs="宋体"/>
                <w:sz w:val="18"/>
                <w:szCs w:val="18"/>
              </w:rPr>
              <w:t>-196,758,252.60</w:t>
            </w:r>
          </w:p>
        </w:tc>
      </w:tr>
      <w:tr w14:paraId="61335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C0D67B9">
            <w:pPr>
              <w:spacing w:before="40" w:after="40" w:line="240" w:lineRule="exact"/>
              <w:rPr>
                <w:rFonts w:ascii="宋体" w:hAnsi="宋体" w:eastAsia="宋体" w:cs="宋体"/>
                <w:sz w:val="18"/>
                <w:szCs w:val="18"/>
              </w:rPr>
            </w:pPr>
            <w:r>
              <w:rPr>
                <w:rFonts w:ascii="宋体" w:hAnsi="宋体" w:eastAsia="宋体" w:cs="宋体"/>
                <w:sz w:val="18"/>
                <w:szCs w:val="18"/>
              </w:rPr>
              <w:t>其他综合收益合计</w:t>
            </w:r>
          </w:p>
        </w:tc>
        <w:tc>
          <w:tcPr>
            <w:tcW w:w="1071" w:type="dxa"/>
            <w:tcBorders>
              <w:top w:val="single" w:color="auto" w:sz="2" w:space="0"/>
              <w:left w:val="single" w:color="auto" w:sz="2" w:space="0"/>
              <w:bottom w:val="single" w:color="auto" w:sz="2" w:space="0"/>
              <w:right w:val="single" w:color="auto" w:sz="2" w:space="0"/>
            </w:tcBorders>
            <w:vAlign w:val="center"/>
          </w:tcPr>
          <w:p w14:paraId="1752603B">
            <w:pPr>
              <w:spacing w:line="240" w:lineRule="exact"/>
              <w:jc w:val="right"/>
              <w:rPr>
                <w:rFonts w:ascii="宋体" w:hAnsi="宋体" w:eastAsia="宋体" w:cs="宋体"/>
                <w:sz w:val="18"/>
                <w:szCs w:val="18"/>
              </w:rPr>
            </w:pPr>
            <w:r>
              <w:rPr>
                <w:rFonts w:ascii="宋体" w:hAnsi="宋体" w:eastAsia="宋体" w:cs="宋体"/>
                <w:sz w:val="18"/>
                <w:szCs w:val="18"/>
              </w:rPr>
              <w:t>-112,335,813.37</w:t>
            </w:r>
          </w:p>
        </w:tc>
        <w:tc>
          <w:tcPr>
            <w:tcW w:w="1071" w:type="dxa"/>
            <w:tcBorders>
              <w:top w:val="single" w:color="auto" w:sz="2" w:space="0"/>
              <w:left w:val="single" w:color="auto" w:sz="2" w:space="0"/>
              <w:bottom w:val="single" w:color="auto" w:sz="2" w:space="0"/>
              <w:right w:val="single" w:color="auto" w:sz="2" w:space="0"/>
            </w:tcBorders>
            <w:vAlign w:val="center"/>
          </w:tcPr>
          <w:p w14:paraId="17415641">
            <w:pPr>
              <w:spacing w:line="240" w:lineRule="exact"/>
              <w:jc w:val="right"/>
              <w:rPr>
                <w:rFonts w:ascii="宋体" w:hAnsi="宋体" w:eastAsia="宋体" w:cs="宋体"/>
                <w:sz w:val="18"/>
                <w:szCs w:val="18"/>
              </w:rPr>
            </w:pPr>
            <w:r>
              <w:rPr>
                <w:rFonts w:ascii="宋体" w:hAnsi="宋体" w:eastAsia="宋体" w:cs="宋体"/>
                <w:sz w:val="18"/>
                <w:szCs w:val="18"/>
              </w:rPr>
              <w:t>-40,377,174.95</w:t>
            </w:r>
          </w:p>
        </w:tc>
        <w:tc>
          <w:tcPr>
            <w:tcW w:w="1071" w:type="dxa"/>
            <w:tcBorders>
              <w:top w:val="single" w:color="auto" w:sz="2" w:space="0"/>
              <w:left w:val="single" w:color="auto" w:sz="2" w:space="0"/>
              <w:bottom w:val="single" w:color="auto" w:sz="2" w:space="0"/>
              <w:right w:val="single" w:color="auto" w:sz="2" w:space="0"/>
            </w:tcBorders>
            <w:vAlign w:val="center"/>
          </w:tcPr>
          <w:p w14:paraId="396031D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CCD516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05D3FB6">
            <w:pPr>
              <w:spacing w:line="240" w:lineRule="exact"/>
              <w:jc w:val="right"/>
              <w:rPr>
                <w:rFonts w:ascii="宋体" w:hAnsi="宋体" w:eastAsia="宋体" w:cs="宋体"/>
                <w:sz w:val="18"/>
                <w:szCs w:val="18"/>
              </w:rPr>
            </w:pPr>
            <w:r>
              <w:rPr>
                <w:rFonts w:ascii="宋体" w:hAnsi="宋体" w:eastAsia="宋体" w:cs="宋体"/>
                <w:sz w:val="18"/>
                <w:szCs w:val="18"/>
              </w:rPr>
              <w:t>7,414,960.29</w:t>
            </w:r>
          </w:p>
        </w:tc>
        <w:tc>
          <w:tcPr>
            <w:tcW w:w="1071" w:type="dxa"/>
            <w:tcBorders>
              <w:top w:val="single" w:color="auto" w:sz="2" w:space="0"/>
              <w:left w:val="single" w:color="auto" w:sz="2" w:space="0"/>
              <w:bottom w:val="single" w:color="auto" w:sz="2" w:space="0"/>
              <w:right w:val="single" w:color="auto" w:sz="2" w:space="0"/>
            </w:tcBorders>
            <w:vAlign w:val="center"/>
          </w:tcPr>
          <w:p w14:paraId="21C39426">
            <w:pPr>
              <w:spacing w:line="240" w:lineRule="exact"/>
              <w:jc w:val="right"/>
              <w:rPr>
                <w:rFonts w:ascii="宋体" w:hAnsi="宋体" w:eastAsia="宋体" w:cs="宋体"/>
                <w:sz w:val="18"/>
                <w:szCs w:val="18"/>
              </w:rPr>
            </w:pPr>
            <w:r>
              <w:rPr>
                <w:rFonts w:ascii="宋体" w:hAnsi="宋体" w:eastAsia="宋体" w:cs="宋体"/>
                <w:sz w:val="18"/>
                <w:szCs w:val="18"/>
              </w:rPr>
              <w:t>-47,792,135.24</w:t>
            </w:r>
          </w:p>
        </w:tc>
        <w:tc>
          <w:tcPr>
            <w:tcW w:w="1071" w:type="dxa"/>
            <w:tcBorders>
              <w:top w:val="single" w:color="auto" w:sz="2" w:space="0"/>
              <w:left w:val="single" w:color="auto" w:sz="2" w:space="0"/>
              <w:bottom w:val="single" w:color="auto" w:sz="2" w:space="0"/>
              <w:right w:val="single" w:color="auto" w:sz="2" w:space="0"/>
            </w:tcBorders>
            <w:vAlign w:val="center"/>
          </w:tcPr>
          <w:p w14:paraId="091858B9">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49262B">
            <w:pPr>
              <w:spacing w:line="240" w:lineRule="exact"/>
              <w:jc w:val="right"/>
              <w:rPr>
                <w:rFonts w:ascii="宋体" w:hAnsi="宋体" w:eastAsia="宋体" w:cs="宋体"/>
                <w:sz w:val="18"/>
                <w:szCs w:val="18"/>
              </w:rPr>
            </w:pPr>
            <w:r>
              <w:rPr>
                <w:rFonts w:ascii="宋体" w:hAnsi="宋体" w:eastAsia="宋体" w:cs="宋体"/>
                <w:sz w:val="18"/>
                <w:szCs w:val="18"/>
              </w:rPr>
              <w:t>-160,127,948.61</w:t>
            </w:r>
          </w:p>
        </w:tc>
      </w:tr>
    </w:tbl>
    <w:p w14:paraId="5D725DE1">
      <w:pPr>
        <w:spacing w:before="100" w:after="100" w:line="240" w:lineRule="exact"/>
        <w:rPr>
          <w:rFonts w:ascii="宋体" w:hAnsi="宋体" w:eastAsia="宋体" w:cs="宋体"/>
          <w:sz w:val="18"/>
          <w:szCs w:val="18"/>
        </w:rPr>
      </w:pPr>
      <w:r>
        <w:rPr>
          <w:rFonts w:ascii="宋体" w:hAnsi="宋体" w:eastAsia="宋体" w:cs="宋体"/>
          <w:sz w:val="18"/>
          <w:szCs w:val="18"/>
        </w:rPr>
        <w:t>其他说明，包括对现金流量套期损益的有效部分转为被套期项目初始确认金额调整：</w:t>
      </w:r>
      <w:r>
        <w:rPr>
          <w:rFonts w:hint="eastAsia"/>
          <w:sz w:val="18"/>
          <w:szCs w:val="18"/>
        </w:rPr>
        <w:t>无</w:t>
      </w:r>
    </w:p>
    <w:p w14:paraId="756226E9">
      <w:pPr>
        <w:pStyle w:val="3"/>
        <w:spacing w:line="280" w:lineRule="exact"/>
        <w:jc w:val="left"/>
        <w:rPr>
          <w:rFonts w:ascii="宋体" w:hAnsi="宋体" w:cs="宋体"/>
          <w:b/>
          <w:bCs/>
        </w:rPr>
      </w:pPr>
      <w:bookmarkStart w:id="450" w:name="_Toc989304"/>
      <w:r>
        <w:rPr>
          <w:rFonts w:ascii="宋体" w:hAnsi="宋体" w:cs="宋体"/>
          <w:b/>
          <w:bCs/>
        </w:rPr>
        <w:t>58、专项储备</w:t>
      </w:r>
      <w:bookmarkEnd w:id="450"/>
    </w:p>
    <w:p w14:paraId="679078F2">
      <w:pPr>
        <w:spacing w:before="100" w:after="100" w:line="240" w:lineRule="exact"/>
        <w:rPr>
          <w:rFonts w:ascii="宋体" w:hAnsi="宋体" w:eastAsia="宋体" w:cs="宋体"/>
          <w:sz w:val="18"/>
          <w:szCs w:val="18"/>
        </w:rPr>
      </w:pPr>
      <w:r>
        <w:rPr>
          <w:rFonts w:ascii="宋体" w:hAnsi="宋体" w:eastAsia="宋体" w:cs="宋体"/>
          <w:sz w:val="18"/>
          <w:szCs w:val="18"/>
        </w:rPr>
        <w:t>其他说明，包括本期增减变动情况、变动原因说明：</w:t>
      </w:r>
    </w:p>
    <w:p w14:paraId="102A03B1">
      <w:pPr>
        <w:pStyle w:val="9"/>
        <w:rPr>
          <w:sz w:val="18"/>
          <w:szCs w:val="18"/>
        </w:rPr>
      </w:pPr>
      <w:r>
        <w:rPr>
          <w:rFonts w:hint="eastAsia"/>
          <w:sz w:val="18"/>
          <w:szCs w:val="18"/>
        </w:rPr>
        <w:t>无</w:t>
      </w:r>
    </w:p>
    <w:p w14:paraId="43AEE296">
      <w:pPr>
        <w:pStyle w:val="3"/>
        <w:spacing w:line="280" w:lineRule="exact"/>
        <w:jc w:val="left"/>
        <w:rPr>
          <w:rFonts w:ascii="宋体" w:hAnsi="宋体" w:cs="宋体"/>
          <w:b/>
          <w:bCs/>
        </w:rPr>
      </w:pPr>
      <w:bookmarkStart w:id="451" w:name="_Toc989305"/>
      <w:r>
        <w:rPr>
          <w:rFonts w:ascii="宋体" w:hAnsi="宋体" w:cs="宋体"/>
          <w:b/>
          <w:bCs/>
        </w:rPr>
        <w:t>59、盈余公积</w:t>
      </w:r>
      <w:bookmarkEnd w:id="451"/>
    </w:p>
    <w:p w14:paraId="0FCA6C2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4C5B4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CFAAF79">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D262898">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64BD2B0">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E80C32A">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8FE3BB4">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1AD4E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8C9D376">
            <w:pPr>
              <w:spacing w:before="40" w:after="40" w:line="240" w:lineRule="exact"/>
              <w:rPr>
                <w:rFonts w:ascii="宋体" w:hAnsi="宋体" w:eastAsia="宋体" w:cs="宋体"/>
                <w:sz w:val="18"/>
                <w:szCs w:val="18"/>
              </w:rPr>
            </w:pPr>
            <w:r>
              <w:rPr>
                <w:rFonts w:ascii="宋体" w:hAnsi="宋体" w:eastAsia="宋体" w:cs="宋体"/>
                <w:sz w:val="18"/>
                <w:szCs w:val="18"/>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14:paraId="72042483">
            <w:pPr>
              <w:spacing w:line="240" w:lineRule="exact"/>
              <w:jc w:val="right"/>
              <w:rPr>
                <w:rFonts w:ascii="宋体" w:hAnsi="宋体" w:eastAsia="宋体" w:cs="宋体"/>
                <w:sz w:val="18"/>
                <w:szCs w:val="18"/>
              </w:rPr>
            </w:pPr>
            <w:r>
              <w:rPr>
                <w:rFonts w:ascii="宋体" w:hAnsi="宋体" w:eastAsia="宋体" w:cs="宋体"/>
                <w:sz w:val="18"/>
                <w:szCs w:val="18"/>
              </w:rPr>
              <w:t>338,982,886.24</w:t>
            </w:r>
          </w:p>
        </w:tc>
        <w:tc>
          <w:tcPr>
            <w:tcW w:w="1928" w:type="dxa"/>
            <w:tcBorders>
              <w:top w:val="single" w:color="auto" w:sz="2" w:space="0"/>
              <w:left w:val="single" w:color="auto" w:sz="2" w:space="0"/>
              <w:bottom w:val="single" w:color="auto" w:sz="2" w:space="0"/>
              <w:right w:val="single" w:color="auto" w:sz="2" w:space="0"/>
            </w:tcBorders>
            <w:vAlign w:val="center"/>
          </w:tcPr>
          <w:p w14:paraId="733D35D1">
            <w:pPr>
              <w:spacing w:line="240" w:lineRule="exact"/>
              <w:jc w:val="right"/>
              <w:rPr>
                <w:rFonts w:ascii="宋体" w:hAnsi="宋体" w:eastAsia="宋体" w:cs="宋体"/>
                <w:sz w:val="18"/>
                <w:szCs w:val="18"/>
              </w:rPr>
            </w:pPr>
            <w:r>
              <w:rPr>
                <w:rFonts w:ascii="宋体" w:hAnsi="宋体" w:eastAsia="宋体" w:cs="宋体"/>
                <w:sz w:val="18"/>
                <w:szCs w:val="18"/>
              </w:rPr>
              <w:t>4,479,342.36</w:t>
            </w:r>
          </w:p>
        </w:tc>
        <w:tc>
          <w:tcPr>
            <w:tcW w:w="1928" w:type="dxa"/>
            <w:tcBorders>
              <w:top w:val="single" w:color="auto" w:sz="2" w:space="0"/>
              <w:left w:val="single" w:color="auto" w:sz="2" w:space="0"/>
              <w:bottom w:val="single" w:color="auto" w:sz="2" w:space="0"/>
              <w:right w:val="single" w:color="auto" w:sz="2" w:space="0"/>
            </w:tcBorders>
            <w:vAlign w:val="center"/>
          </w:tcPr>
          <w:p w14:paraId="4BE4ECF1">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E816B2D">
            <w:pPr>
              <w:spacing w:line="240" w:lineRule="exact"/>
              <w:jc w:val="right"/>
              <w:rPr>
                <w:rFonts w:ascii="宋体" w:hAnsi="宋体" w:eastAsia="宋体" w:cs="宋体"/>
                <w:sz w:val="18"/>
                <w:szCs w:val="18"/>
              </w:rPr>
            </w:pPr>
            <w:r>
              <w:rPr>
                <w:rFonts w:ascii="宋体" w:hAnsi="宋体" w:eastAsia="宋体" w:cs="宋体"/>
                <w:sz w:val="18"/>
                <w:szCs w:val="18"/>
              </w:rPr>
              <w:t>343,462,228.60</w:t>
            </w:r>
          </w:p>
        </w:tc>
      </w:tr>
      <w:tr w14:paraId="4A2C6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194F625">
            <w:pPr>
              <w:spacing w:before="40" w:after="40" w:line="240" w:lineRule="exact"/>
              <w:rPr>
                <w:rFonts w:ascii="宋体" w:hAnsi="宋体" w:eastAsia="宋体" w:cs="宋体"/>
                <w:sz w:val="18"/>
                <w:szCs w:val="18"/>
              </w:rPr>
            </w:pPr>
            <w:r>
              <w:rPr>
                <w:rFonts w:ascii="宋体" w:hAnsi="宋体" w:eastAsia="宋体" w:cs="宋体"/>
                <w:sz w:val="18"/>
                <w:szCs w:val="18"/>
              </w:rPr>
              <w:t>任意盈余公积</w:t>
            </w:r>
          </w:p>
        </w:tc>
        <w:tc>
          <w:tcPr>
            <w:tcW w:w="1928" w:type="dxa"/>
            <w:tcBorders>
              <w:top w:val="single" w:color="auto" w:sz="2" w:space="0"/>
              <w:left w:val="single" w:color="auto" w:sz="2" w:space="0"/>
              <w:bottom w:val="single" w:color="auto" w:sz="2" w:space="0"/>
              <w:right w:val="single" w:color="auto" w:sz="2" w:space="0"/>
            </w:tcBorders>
            <w:vAlign w:val="center"/>
          </w:tcPr>
          <w:p w14:paraId="0D2B4397">
            <w:pPr>
              <w:spacing w:line="240" w:lineRule="exact"/>
              <w:jc w:val="right"/>
              <w:rPr>
                <w:rFonts w:ascii="宋体" w:hAnsi="宋体" w:eastAsia="宋体" w:cs="宋体"/>
                <w:sz w:val="18"/>
                <w:szCs w:val="18"/>
              </w:rPr>
            </w:pPr>
            <w:r>
              <w:rPr>
                <w:rFonts w:ascii="宋体" w:hAnsi="宋体" w:eastAsia="宋体" w:cs="宋体"/>
                <w:sz w:val="18"/>
                <w:szCs w:val="18"/>
              </w:rPr>
              <w:t>1,778,753.91</w:t>
            </w:r>
          </w:p>
        </w:tc>
        <w:tc>
          <w:tcPr>
            <w:tcW w:w="1928" w:type="dxa"/>
            <w:tcBorders>
              <w:top w:val="single" w:color="auto" w:sz="2" w:space="0"/>
              <w:left w:val="single" w:color="auto" w:sz="2" w:space="0"/>
              <w:bottom w:val="single" w:color="auto" w:sz="2" w:space="0"/>
              <w:right w:val="single" w:color="auto" w:sz="2" w:space="0"/>
            </w:tcBorders>
            <w:vAlign w:val="center"/>
          </w:tcPr>
          <w:p w14:paraId="54DAE9BD">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7F60C4B">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DECBE46">
            <w:pPr>
              <w:spacing w:line="240" w:lineRule="exact"/>
              <w:jc w:val="right"/>
              <w:rPr>
                <w:rFonts w:ascii="宋体" w:hAnsi="宋体" w:eastAsia="宋体" w:cs="宋体"/>
                <w:sz w:val="18"/>
                <w:szCs w:val="18"/>
              </w:rPr>
            </w:pPr>
            <w:r>
              <w:rPr>
                <w:rFonts w:ascii="宋体" w:hAnsi="宋体" w:eastAsia="宋体" w:cs="宋体"/>
                <w:sz w:val="18"/>
                <w:szCs w:val="18"/>
              </w:rPr>
              <w:t>1,778,753.91</w:t>
            </w:r>
          </w:p>
        </w:tc>
      </w:tr>
      <w:tr w14:paraId="7773A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2CAD9DB">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1968CF74">
            <w:pPr>
              <w:spacing w:line="240" w:lineRule="exact"/>
              <w:jc w:val="right"/>
              <w:rPr>
                <w:rFonts w:ascii="宋体" w:hAnsi="宋体" w:eastAsia="宋体" w:cs="宋体"/>
                <w:sz w:val="18"/>
                <w:szCs w:val="18"/>
              </w:rPr>
            </w:pPr>
            <w:r>
              <w:rPr>
                <w:rFonts w:ascii="宋体" w:hAnsi="宋体" w:eastAsia="宋体" w:cs="宋体"/>
                <w:sz w:val="18"/>
                <w:szCs w:val="18"/>
              </w:rPr>
              <w:t>340,761,640.15</w:t>
            </w:r>
          </w:p>
        </w:tc>
        <w:tc>
          <w:tcPr>
            <w:tcW w:w="1928" w:type="dxa"/>
            <w:tcBorders>
              <w:top w:val="single" w:color="auto" w:sz="2" w:space="0"/>
              <w:left w:val="single" w:color="auto" w:sz="2" w:space="0"/>
              <w:bottom w:val="single" w:color="auto" w:sz="2" w:space="0"/>
              <w:right w:val="single" w:color="auto" w:sz="2" w:space="0"/>
            </w:tcBorders>
            <w:vAlign w:val="center"/>
          </w:tcPr>
          <w:p w14:paraId="563DD76B">
            <w:pPr>
              <w:spacing w:line="240" w:lineRule="exact"/>
              <w:jc w:val="right"/>
              <w:rPr>
                <w:rFonts w:ascii="宋体" w:hAnsi="宋体" w:eastAsia="宋体" w:cs="宋体"/>
                <w:sz w:val="18"/>
                <w:szCs w:val="18"/>
              </w:rPr>
            </w:pPr>
            <w:r>
              <w:rPr>
                <w:rFonts w:ascii="宋体" w:hAnsi="宋体" w:eastAsia="宋体" w:cs="宋体"/>
                <w:sz w:val="18"/>
                <w:szCs w:val="18"/>
              </w:rPr>
              <w:t>4,479,342.36</w:t>
            </w:r>
          </w:p>
        </w:tc>
        <w:tc>
          <w:tcPr>
            <w:tcW w:w="1928" w:type="dxa"/>
            <w:tcBorders>
              <w:top w:val="single" w:color="auto" w:sz="2" w:space="0"/>
              <w:left w:val="single" w:color="auto" w:sz="2" w:space="0"/>
              <w:bottom w:val="single" w:color="auto" w:sz="2" w:space="0"/>
              <w:right w:val="single" w:color="auto" w:sz="2" w:space="0"/>
            </w:tcBorders>
            <w:vAlign w:val="center"/>
          </w:tcPr>
          <w:p w14:paraId="3D177633">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DC58032">
            <w:pPr>
              <w:spacing w:line="240" w:lineRule="exact"/>
              <w:jc w:val="right"/>
              <w:rPr>
                <w:rFonts w:ascii="宋体" w:hAnsi="宋体" w:eastAsia="宋体" w:cs="宋体"/>
                <w:sz w:val="18"/>
                <w:szCs w:val="18"/>
              </w:rPr>
            </w:pPr>
            <w:r>
              <w:rPr>
                <w:rFonts w:ascii="宋体" w:hAnsi="宋体" w:eastAsia="宋体" w:cs="宋体"/>
                <w:sz w:val="18"/>
                <w:szCs w:val="18"/>
              </w:rPr>
              <w:t>345,240,982.51</w:t>
            </w:r>
          </w:p>
        </w:tc>
      </w:tr>
    </w:tbl>
    <w:p w14:paraId="150C0DBE">
      <w:pPr>
        <w:spacing w:before="100" w:after="100" w:line="240" w:lineRule="exact"/>
        <w:rPr>
          <w:rFonts w:ascii="宋体" w:hAnsi="宋体" w:eastAsia="宋体" w:cs="宋体"/>
          <w:sz w:val="18"/>
          <w:szCs w:val="18"/>
        </w:rPr>
      </w:pPr>
      <w:r>
        <w:rPr>
          <w:rFonts w:ascii="宋体" w:hAnsi="宋体" w:eastAsia="宋体" w:cs="宋体"/>
          <w:sz w:val="18"/>
          <w:szCs w:val="18"/>
        </w:rPr>
        <w:t>盈余公积说明，包括本期增减变动情况、变动原因说明：</w:t>
      </w:r>
      <w:r>
        <w:rPr>
          <w:rFonts w:hint="eastAsia"/>
          <w:sz w:val="18"/>
          <w:szCs w:val="18"/>
        </w:rPr>
        <w:t>无</w:t>
      </w:r>
    </w:p>
    <w:p w14:paraId="0B9F8EEF">
      <w:pPr>
        <w:pStyle w:val="3"/>
        <w:spacing w:line="280" w:lineRule="exact"/>
        <w:jc w:val="left"/>
        <w:rPr>
          <w:rFonts w:ascii="宋体" w:hAnsi="宋体" w:cs="宋体"/>
          <w:b/>
          <w:bCs/>
        </w:rPr>
      </w:pPr>
      <w:bookmarkStart w:id="452" w:name="_Toc989306"/>
      <w:r>
        <w:rPr>
          <w:rFonts w:ascii="宋体" w:hAnsi="宋体" w:cs="宋体"/>
          <w:b/>
          <w:bCs/>
        </w:rPr>
        <w:t>60、未分配利润</w:t>
      </w:r>
      <w:bookmarkEnd w:id="452"/>
    </w:p>
    <w:p w14:paraId="3FB84C6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D1E0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77F69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2D2DA1">
            <w:pPr>
              <w:spacing w:before="40" w:after="40" w:line="240" w:lineRule="exact"/>
              <w:jc w:val="center"/>
              <w:rPr>
                <w:rFonts w:ascii="宋体" w:hAnsi="宋体" w:eastAsia="宋体" w:cs="宋体"/>
                <w:sz w:val="18"/>
                <w:szCs w:val="18"/>
              </w:rPr>
            </w:pPr>
            <w:r>
              <w:rPr>
                <w:rFonts w:ascii="宋体" w:hAnsi="宋体" w:eastAsia="宋体" w:cs="宋体"/>
                <w:sz w:val="18"/>
                <w:szCs w:val="18"/>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CA2D317">
            <w:pPr>
              <w:spacing w:before="40" w:after="40" w:line="240" w:lineRule="exact"/>
              <w:jc w:val="center"/>
              <w:rPr>
                <w:rFonts w:ascii="宋体" w:hAnsi="宋体" w:eastAsia="宋体" w:cs="宋体"/>
                <w:sz w:val="18"/>
                <w:szCs w:val="18"/>
              </w:rPr>
            </w:pPr>
            <w:r>
              <w:rPr>
                <w:rFonts w:ascii="宋体" w:hAnsi="宋体" w:eastAsia="宋体" w:cs="宋体"/>
                <w:sz w:val="18"/>
                <w:szCs w:val="18"/>
              </w:rPr>
              <w:t>上期</w:t>
            </w:r>
          </w:p>
        </w:tc>
      </w:tr>
      <w:tr w14:paraId="29715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15BA60">
            <w:pPr>
              <w:spacing w:before="40" w:after="40" w:line="240" w:lineRule="exact"/>
              <w:rPr>
                <w:rFonts w:ascii="宋体" w:hAnsi="宋体" w:eastAsia="宋体" w:cs="宋体"/>
                <w:sz w:val="18"/>
                <w:szCs w:val="18"/>
              </w:rPr>
            </w:pPr>
            <w:r>
              <w:rPr>
                <w:rFonts w:ascii="宋体" w:hAnsi="宋体" w:eastAsia="宋体" w:cs="宋体"/>
                <w:sz w:val="18"/>
                <w:szCs w:val="18"/>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02602E47">
            <w:pPr>
              <w:spacing w:line="240" w:lineRule="exact"/>
              <w:jc w:val="right"/>
              <w:rPr>
                <w:rFonts w:ascii="宋体" w:hAnsi="宋体" w:eastAsia="宋体" w:cs="宋体"/>
                <w:sz w:val="18"/>
                <w:szCs w:val="18"/>
              </w:rPr>
            </w:pPr>
            <w:r>
              <w:rPr>
                <w:rFonts w:ascii="宋体" w:hAnsi="宋体" w:eastAsia="宋体" w:cs="宋体"/>
                <w:sz w:val="18"/>
                <w:szCs w:val="18"/>
              </w:rPr>
              <w:t>1,415,566,855.48</w:t>
            </w:r>
          </w:p>
        </w:tc>
        <w:tc>
          <w:tcPr>
            <w:tcW w:w="3213" w:type="dxa"/>
            <w:tcBorders>
              <w:top w:val="single" w:color="auto" w:sz="2" w:space="0"/>
              <w:left w:val="single" w:color="auto" w:sz="2" w:space="0"/>
              <w:bottom w:val="single" w:color="auto" w:sz="2" w:space="0"/>
              <w:right w:val="single" w:color="auto" w:sz="2" w:space="0"/>
            </w:tcBorders>
            <w:vAlign w:val="center"/>
          </w:tcPr>
          <w:p w14:paraId="230224C9">
            <w:pPr>
              <w:spacing w:line="240" w:lineRule="exact"/>
              <w:jc w:val="right"/>
              <w:rPr>
                <w:rFonts w:ascii="宋体" w:hAnsi="宋体" w:eastAsia="宋体" w:cs="宋体"/>
                <w:sz w:val="18"/>
                <w:szCs w:val="18"/>
              </w:rPr>
            </w:pPr>
            <w:r>
              <w:rPr>
                <w:rFonts w:ascii="宋体" w:hAnsi="宋体" w:eastAsia="宋体" w:cs="宋体"/>
                <w:sz w:val="18"/>
                <w:szCs w:val="18"/>
              </w:rPr>
              <w:t>1,674,292,092.74</w:t>
            </w:r>
          </w:p>
        </w:tc>
      </w:tr>
      <w:tr w14:paraId="547B9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E33647">
            <w:pPr>
              <w:spacing w:before="40" w:after="40" w:line="240" w:lineRule="exact"/>
              <w:rPr>
                <w:rFonts w:ascii="宋体" w:hAnsi="宋体" w:eastAsia="宋体" w:cs="宋体"/>
                <w:sz w:val="18"/>
                <w:szCs w:val="18"/>
              </w:rPr>
            </w:pPr>
            <w:r>
              <w:rPr>
                <w:rFonts w:ascii="宋体" w:hAnsi="宋体" w:eastAsia="宋体" w:cs="宋体"/>
                <w:sz w:val="18"/>
                <w:szCs w:val="18"/>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4C2C977B">
            <w:pPr>
              <w:spacing w:line="240" w:lineRule="exact"/>
              <w:jc w:val="right"/>
              <w:rPr>
                <w:rFonts w:ascii="宋体" w:hAnsi="宋体" w:eastAsia="宋体" w:cs="宋体"/>
                <w:sz w:val="18"/>
                <w:szCs w:val="18"/>
              </w:rPr>
            </w:pPr>
            <w:r>
              <w:rPr>
                <w:rFonts w:ascii="宋体" w:hAnsi="宋体" w:eastAsia="宋体" w:cs="宋体"/>
                <w:sz w:val="18"/>
                <w:szCs w:val="18"/>
              </w:rPr>
              <w:t>1,415,566,855.48</w:t>
            </w:r>
          </w:p>
        </w:tc>
        <w:tc>
          <w:tcPr>
            <w:tcW w:w="3213" w:type="dxa"/>
            <w:tcBorders>
              <w:top w:val="single" w:color="auto" w:sz="2" w:space="0"/>
              <w:left w:val="single" w:color="auto" w:sz="2" w:space="0"/>
              <w:bottom w:val="single" w:color="auto" w:sz="2" w:space="0"/>
              <w:right w:val="single" w:color="auto" w:sz="2" w:space="0"/>
            </w:tcBorders>
            <w:vAlign w:val="center"/>
          </w:tcPr>
          <w:p w14:paraId="608E4D8F">
            <w:pPr>
              <w:spacing w:line="240" w:lineRule="exact"/>
              <w:jc w:val="right"/>
              <w:rPr>
                <w:rFonts w:ascii="宋体" w:hAnsi="宋体" w:eastAsia="宋体" w:cs="宋体"/>
                <w:sz w:val="18"/>
                <w:szCs w:val="18"/>
              </w:rPr>
            </w:pPr>
            <w:r>
              <w:rPr>
                <w:rFonts w:ascii="宋体" w:hAnsi="宋体" w:eastAsia="宋体" w:cs="宋体"/>
                <w:sz w:val="18"/>
                <w:szCs w:val="18"/>
              </w:rPr>
              <w:t>1,674,292,092.74</w:t>
            </w:r>
          </w:p>
        </w:tc>
      </w:tr>
      <w:tr w14:paraId="33466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76902F">
            <w:pPr>
              <w:spacing w:before="40" w:after="40" w:line="240" w:lineRule="exact"/>
              <w:rPr>
                <w:rFonts w:ascii="宋体" w:hAnsi="宋体" w:eastAsia="宋体" w:cs="宋体"/>
                <w:sz w:val="18"/>
                <w:szCs w:val="18"/>
              </w:rPr>
            </w:pPr>
            <w:r>
              <w:rPr>
                <w:rFonts w:ascii="宋体" w:hAnsi="宋体" w:eastAsia="宋体" w:cs="宋体"/>
                <w:sz w:val="18"/>
                <w:szCs w:val="18"/>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14:paraId="19D4727F">
            <w:pPr>
              <w:spacing w:line="240" w:lineRule="exact"/>
              <w:jc w:val="right"/>
              <w:rPr>
                <w:rFonts w:ascii="宋体" w:hAnsi="宋体" w:eastAsia="宋体" w:cs="宋体"/>
                <w:sz w:val="18"/>
                <w:szCs w:val="18"/>
              </w:rPr>
            </w:pPr>
            <w:r>
              <w:rPr>
                <w:rFonts w:ascii="宋体" w:hAnsi="宋体" w:eastAsia="宋体" w:cs="宋体"/>
                <w:sz w:val="18"/>
                <w:szCs w:val="18"/>
              </w:rPr>
              <w:t>57,398,750.92</w:t>
            </w:r>
          </w:p>
        </w:tc>
        <w:tc>
          <w:tcPr>
            <w:tcW w:w="3213" w:type="dxa"/>
            <w:tcBorders>
              <w:top w:val="single" w:color="auto" w:sz="2" w:space="0"/>
              <w:left w:val="single" w:color="auto" w:sz="2" w:space="0"/>
              <w:bottom w:val="single" w:color="auto" w:sz="2" w:space="0"/>
              <w:right w:val="single" w:color="auto" w:sz="2" w:space="0"/>
            </w:tcBorders>
            <w:vAlign w:val="center"/>
          </w:tcPr>
          <w:p w14:paraId="2C55FB9F">
            <w:pPr>
              <w:spacing w:line="240" w:lineRule="exact"/>
              <w:jc w:val="right"/>
              <w:rPr>
                <w:rFonts w:ascii="宋体" w:hAnsi="宋体" w:eastAsia="宋体" w:cs="宋体"/>
                <w:sz w:val="18"/>
                <w:szCs w:val="18"/>
              </w:rPr>
            </w:pPr>
            <w:r>
              <w:rPr>
                <w:rFonts w:ascii="宋体" w:hAnsi="宋体" w:eastAsia="宋体" w:cs="宋体"/>
                <w:sz w:val="18"/>
                <w:szCs w:val="18"/>
              </w:rPr>
              <w:t>-207,764,974.56</w:t>
            </w:r>
          </w:p>
        </w:tc>
      </w:tr>
      <w:tr w14:paraId="7801B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C25E97">
            <w:pPr>
              <w:spacing w:before="40" w:after="40" w:line="240" w:lineRule="exact"/>
              <w:rPr>
                <w:rFonts w:ascii="宋体" w:hAnsi="宋体" w:eastAsia="宋体" w:cs="宋体"/>
                <w:sz w:val="18"/>
                <w:szCs w:val="18"/>
              </w:rPr>
            </w:pPr>
            <w:r>
              <w:rPr>
                <w:rFonts w:ascii="宋体" w:hAnsi="宋体" w:eastAsia="宋体" w:cs="宋体"/>
                <w:sz w:val="18"/>
                <w:szCs w:val="18"/>
              </w:rPr>
              <w:t>减：提取法定盈余公积</w:t>
            </w:r>
          </w:p>
        </w:tc>
        <w:tc>
          <w:tcPr>
            <w:tcW w:w="3213" w:type="dxa"/>
            <w:tcBorders>
              <w:top w:val="single" w:color="auto" w:sz="2" w:space="0"/>
              <w:left w:val="single" w:color="auto" w:sz="2" w:space="0"/>
              <w:bottom w:val="single" w:color="auto" w:sz="2" w:space="0"/>
              <w:right w:val="single" w:color="auto" w:sz="2" w:space="0"/>
            </w:tcBorders>
            <w:vAlign w:val="center"/>
          </w:tcPr>
          <w:p w14:paraId="3189847F">
            <w:pPr>
              <w:spacing w:line="240" w:lineRule="exact"/>
              <w:jc w:val="right"/>
              <w:rPr>
                <w:rFonts w:ascii="宋体" w:hAnsi="宋体" w:eastAsia="宋体" w:cs="宋体"/>
                <w:sz w:val="18"/>
                <w:szCs w:val="18"/>
              </w:rPr>
            </w:pPr>
            <w:r>
              <w:rPr>
                <w:rFonts w:ascii="宋体" w:hAnsi="宋体" w:eastAsia="宋体" w:cs="宋体"/>
                <w:sz w:val="18"/>
                <w:szCs w:val="18"/>
              </w:rPr>
              <w:t>4,479,342.36</w:t>
            </w:r>
          </w:p>
        </w:tc>
        <w:tc>
          <w:tcPr>
            <w:tcW w:w="3213" w:type="dxa"/>
            <w:tcBorders>
              <w:top w:val="single" w:color="auto" w:sz="2" w:space="0"/>
              <w:left w:val="single" w:color="auto" w:sz="2" w:space="0"/>
              <w:bottom w:val="single" w:color="auto" w:sz="2" w:space="0"/>
              <w:right w:val="single" w:color="auto" w:sz="2" w:space="0"/>
            </w:tcBorders>
            <w:vAlign w:val="center"/>
          </w:tcPr>
          <w:p w14:paraId="0B5FDEFA">
            <w:pPr>
              <w:spacing w:line="240" w:lineRule="exact"/>
              <w:jc w:val="right"/>
              <w:rPr>
                <w:rFonts w:ascii="宋体" w:hAnsi="宋体" w:eastAsia="宋体" w:cs="宋体"/>
                <w:sz w:val="18"/>
                <w:szCs w:val="18"/>
              </w:rPr>
            </w:pPr>
            <w:r>
              <w:rPr>
                <w:rFonts w:ascii="宋体" w:hAnsi="宋体" w:eastAsia="宋体" w:cs="宋体"/>
                <w:sz w:val="18"/>
                <w:szCs w:val="18"/>
              </w:rPr>
              <w:t>1,293,902.43</w:t>
            </w:r>
          </w:p>
        </w:tc>
      </w:tr>
      <w:tr w14:paraId="33992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89A7976">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应付普通股股利</w:t>
            </w:r>
          </w:p>
        </w:tc>
        <w:tc>
          <w:tcPr>
            <w:tcW w:w="3213" w:type="dxa"/>
            <w:tcBorders>
              <w:top w:val="single" w:color="auto" w:sz="2" w:space="0"/>
              <w:left w:val="single" w:color="auto" w:sz="2" w:space="0"/>
              <w:bottom w:val="single" w:color="auto" w:sz="2" w:space="0"/>
              <w:right w:val="single" w:color="auto" w:sz="2" w:space="0"/>
            </w:tcBorders>
            <w:vAlign w:val="center"/>
          </w:tcPr>
          <w:p w14:paraId="4423841F">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D0AB107">
            <w:pPr>
              <w:spacing w:line="240" w:lineRule="exact"/>
              <w:jc w:val="right"/>
              <w:rPr>
                <w:rFonts w:ascii="宋体" w:hAnsi="宋体" w:eastAsia="宋体" w:cs="宋体"/>
                <w:sz w:val="18"/>
                <w:szCs w:val="18"/>
              </w:rPr>
            </w:pPr>
            <w:r>
              <w:rPr>
                <w:rFonts w:ascii="宋体" w:hAnsi="宋体" w:eastAsia="宋体" w:cs="宋体"/>
                <w:sz w:val="18"/>
                <w:szCs w:val="18"/>
              </w:rPr>
              <w:t>49,666,360.27</w:t>
            </w:r>
          </w:p>
        </w:tc>
      </w:tr>
      <w:tr w14:paraId="4337A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B70D60">
            <w:pPr>
              <w:spacing w:before="40" w:after="40" w:line="240" w:lineRule="exact"/>
              <w:rPr>
                <w:rFonts w:ascii="宋体" w:hAnsi="宋体" w:eastAsia="宋体" w:cs="宋体"/>
                <w:sz w:val="18"/>
                <w:szCs w:val="18"/>
              </w:rPr>
            </w:pPr>
            <w:r>
              <w:rPr>
                <w:rFonts w:ascii="宋体" w:hAnsi="宋体" w:eastAsia="宋体" w:cs="宋体"/>
                <w:sz w:val="18"/>
                <w:szCs w:val="18"/>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14:paraId="7FC48D60">
            <w:pPr>
              <w:spacing w:line="240" w:lineRule="exact"/>
              <w:jc w:val="right"/>
              <w:rPr>
                <w:rFonts w:ascii="宋体" w:hAnsi="宋体" w:eastAsia="宋体" w:cs="宋体"/>
                <w:sz w:val="18"/>
                <w:szCs w:val="18"/>
              </w:rPr>
            </w:pPr>
            <w:r>
              <w:rPr>
                <w:rFonts w:ascii="宋体" w:hAnsi="宋体" w:eastAsia="宋体" w:cs="宋体"/>
                <w:sz w:val="18"/>
                <w:szCs w:val="18"/>
              </w:rPr>
              <w:t>1,468,486,264.04</w:t>
            </w:r>
          </w:p>
        </w:tc>
        <w:tc>
          <w:tcPr>
            <w:tcW w:w="3213" w:type="dxa"/>
            <w:tcBorders>
              <w:top w:val="single" w:color="auto" w:sz="2" w:space="0"/>
              <w:left w:val="single" w:color="auto" w:sz="2" w:space="0"/>
              <w:bottom w:val="single" w:color="auto" w:sz="2" w:space="0"/>
              <w:right w:val="single" w:color="auto" w:sz="2" w:space="0"/>
            </w:tcBorders>
            <w:vAlign w:val="center"/>
          </w:tcPr>
          <w:p w14:paraId="139564A4">
            <w:pPr>
              <w:spacing w:line="240" w:lineRule="exact"/>
              <w:jc w:val="right"/>
              <w:rPr>
                <w:rFonts w:ascii="宋体" w:hAnsi="宋体" w:eastAsia="宋体" w:cs="宋体"/>
                <w:sz w:val="18"/>
                <w:szCs w:val="18"/>
              </w:rPr>
            </w:pPr>
            <w:r>
              <w:rPr>
                <w:rFonts w:ascii="宋体" w:hAnsi="宋体" w:eastAsia="宋体" w:cs="宋体"/>
                <w:sz w:val="18"/>
                <w:szCs w:val="18"/>
              </w:rPr>
              <w:t>1,415,566,855.48</w:t>
            </w:r>
          </w:p>
        </w:tc>
      </w:tr>
    </w:tbl>
    <w:p w14:paraId="0294B975">
      <w:pPr>
        <w:spacing w:before="100" w:after="100" w:line="240" w:lineRule="exact"/>
        <w:rPr>
          <w:rFonts w:ascii="宋体" w:hAnsi="宋体" w:eastAsia="宋体" w:cs="宋体"/>
          <w:sz w:val="18"/>
          <w:szCs w:val="18"/>
        </w:rPr>
      </w:pPr>
      <w:r>
        <w:rPr>
          <w:rFonts w:ascii="宋体" w:hAnsi="宋体" w:eastAsia="宋体" w:cs="宋体"/>
          <w:sz w:val="18"/>
          <w:szCs w:val="18"/>
        </w:rPr>
        <w:t>调整期初未分配利润明细：</w:t>
      </w:r>
    </w:p>
    <w:p w14:paraId="60D47C75">
      <w:pPr>
        <w:spacing w:before="100" w:after="100" w:line="240" w:lineRule="exact"/>
        <w:rPr>
          <w:rFonts w:ascii="宋体" w:hAnsi="宋体" w:eastAsia="宋体" w:cs="宋体"/>
          <w:sz w:val="18"/>
          <w:szCs w:val="18"/>
        </w:rPr>
      </w:pPr>
      <w:r>
        <w:rPr>
          <w:rFonts w:ascii="宋体" w:hAnsi="宋体" w:eastAsia="宋体" w:cs="宋体"/>
          <w:sz w:val="18"/>
          <w:szCs w:val="18"/>
        </w:rPr>
        <w:t>1）、由于《企业会计准则》及其相关新规定进行追溯调整，影响期初未分配利润0.00元。</w:t>
      </w:r>
    </w:p>
    <w:p w14:paraId="4C97C425">
      <w:pPr>
        <w:spacing w:before="100" w:after="100" w:line="240" w:lineRule="exact"/>
        <w:rPr>
          <w:rFonts w:ascii="宋体" w:hAnsi="宋体" w:eastAsia="宋体" w:cs="宋体"/>
          <w:sz w:val="18"/>
          <w:szCs w:val="18"/>
        </w:rPr>
      </w:pPr>
      <w:r>
        <w:rPr>
          <w:rFonts w:ascii="宋体" w:hAnsi="宋体" w:eastAsia="宋体" w:cs="宋体"/>
          <w:sz w:val="18"/>
          <w:szCs w:val="18"/>
        </w:rPr>
        <w:t>2）、由于会计政策变更，影响期初未分配利润0.00元。</w:t>
      </w:r>
    </w:p>
    <w:p w14:paraId="0E61A0AD">
      <w:pPr>
        <w:spacing w:before="100" w:after="100" w:line="240" w:lineRule="exact"/>
        <w:rPr>
          <w:rFonts w:ascii="宋体" w:hAnsi="宋体" w:eastAsia="宋体" w:cs="宋体"/>
          <w:sz w:val="18"/>
          <w:szCs w:val="18"/>
        </w:rPr>
      </w:pPr>
      <w:r>
        <w:rPr>
          <w:rFonts w:ascii="宋体" w:hAnsi="宋体" w:eastAsia="宋体" w:cs="宋体"/>
          <w:sz w:val="18"/>
          <w:szCs w:val="18"/>
        </w:rPr>
        <w:t>3）、由于重大会计差错更正，影响期初未分配利润0.00元。</w:t>
      </w:r>
    </w:p>
    <w:p w14:paraId="19295DBA">
      <w:pPr>
        <w:spacing w:before="100" w:after="100" w:line="240" w:lineRule="exact"/>
        <w:rPr>
          <w:rFonts w:ascii="宋体" w:hAnsi="宋体" w:eastAsia="宋体" w:cs="宋体"/>
          <w:sz w:val="18"/>
          <w:szCs w:val="18"/>
        </w:rPr>
      </w:pPr>
      <w:r>
        <w:rPr>
          <w:rFonts w:ascii="宋体" w:hAnsi="宋体" w:eastAsia="宋体" w:cs="宋体"/>
          <w:sz w:val="18"/>
          <w:szCs w:val="18"/>
        </w:rPr>
        <w:t>4）、由于同一控制导致的合并范围变更，影响期初未分配利润0.00元。</w:t>
      </w:r>
    </w:p>
    <w:p w14:paraId="615DAD68">
      <w:pPr>
        <w:spacing w:before="100" w:after="100" w:line="240" w:lineRule="exact"/>
        <w:rPr>
          <w:rFonts w:ascii="宋体" w:hAnsi="宋体" w:eastAsia="宋体" w:cs="宋体"/>
          <w:sz w:val="18"/>
          <w:szCs w:val="18"/>
        </w:rPr>
      </w:pPr>
      <w:r>
        <w:rPr>
          <w:rFonts w:ascii="宋体" w:hAnsi="宋体" w:eastAsia="宋体" w:cs="宋体"/>
          <w:sz w:val="18"/>
          <w:szCs w:val="18"/>
        </w:rPr>
        <w:t>5）、其他调整合计影响期初未分配利润0.00元。</w:t>
      </w:r>
    </w:p>
    <w:p w14:paraId="58E02FC9">
      <w:pPr>
        <w:spacing w:before="100" w:after="100" w:line="240" w:lineRule="exact"/>
        <w:rPr>
          <w:rFonts w:ascii="宋体" w:hAnsi="宋体" w:eastAsia="宋体" w:cs="宋体"/>
          <w:sz w:val="18"/>
          <w:szCs w:val="18"/>
        </w:rPr>
      </w:pPr>
      <w:r>
        <w:rPr>
          <w:rFonts w:ascii="宋体" w:hAnsi="宋体" w:eastAsia="宋体" w:cs="宋体"/>
          <w:sz w:val="18"/>
          <w:szCs w:val="18"/>
        </w:rPr>
        <w:t>使用资本公积弥补亏损详细情况说明：</w:t>
      </w:r>
      <w:r>
        <w:rPr>
          <w:rFonts w:hint="eastAsia"/>
          <w:sz w:val="18"/>
          <w:szCs w:val="18"/>
        </w:rPr>
        <w:t>无</w:t>
      </w:r>
    </w:p>
    <w:p w14:paraId="65E3E096">
      <w:pPr>
        <w:pStyle w:val="3"/>
        <w:spacing w:line="280" w:lineRule="exact"/>
        <w:jc w:val="left"/>
        <w:rPr>
          <w:rFonts w:ascii="宋体" w:hAnsi="宋体" w:cs="宋体"/>
          <w:b/>
          <w:bCs/>
        </w:rPr>
      </w:pPr>
      <w:bookmarkStart w:id="453" w:name="_Toc989307"/>
      <w:r>
        <w:rPr>
          <w:rFonts w:ascii="宋体" w:hAnsi="宋体" w:cs="宋体"/>
          <w:b/>
          <w:bCs/>
        </w:rPr>
        <w:t>61、营业收入和营业成本</w:t>
      </w:r>
      <w:bookmarkEnd w:id="453"/>
    </w:p>
    <w:p w14:paraId="5ADCA45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103F3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668812E">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6F3A128">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C52ACBE">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084EA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F58889C"/>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9D7FEF6">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09F3E48">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BC5066E">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1AC59CA">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14:paraId="1A727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B141293">
            <w:pPr>
              <w:spacing w:before="40" w:after="40" w:line="240" w:lineRule="exac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14:paraId="0792530D">
            <w:pPr>
              <w:spacing w:line="240" w:lineRule="exact"/>
              <w:jc w:val="right"/>
              <w:rPr>
                <w:rFonts w:ascii="宋体" w:hAnsi="宋体" w:eastAsia="宋体" w:cs="宋体"/>
                <w:sz w:val="18"/>
                <w:szCs w:val="18"/>
              </w:rPr>
            </w:pPr>
            <w:r>
              <w:rPr>
                <w:rFonts w:ascii="宋体" w:hAnsi="宋体" w:eastAsia="宋体" w:cs="宋体"/>
                <w:sz w:val="18"/>
                <w:szCs w:val="18"/>
              </w:rPr>
              <w:t>7,902,614,810.30</w:t>
            </w:r>
          </w:p>
        </w:tc>
        <w:tc>
          <w:tcPr>
            <w:tcW w:w="1928" w:type="dxa"/>
            <w:tcBorders>
              <w:top w:val="single" w:color="auto" w:sz="2" w:space="0"/>
              <w:left w:val="single" w:color="auto" w:sz="2" w:space="0"/>
              <w:bottom w:val="single" w:color="auto" w:sz="2" w:space="0"/>
              <w:right w:val="single" w:color="auto" w:sz="2" w:space="0"/>
            </w:tcBorders>
            <w:vAlign w:val="center"/>
          </w:tcPr>
          <w:p w14:paraId="7EF99439">
            <w:pPr>
              <w:spacing w:line="240" w:lineRule="exact"/>
              <w:jc w:val="right"/>
              <w:rPr>
                <w:rFonts w:ascii="宋体" w:hAnsi="宋体" w:eastAsia="宋体" w:cs="宋体"/>
                <w:sz w:val="18"/>
                <w:szCs w:val="18"/>
              </w:rPr>
            </w:pPr>
            <w:r>
              <w:rPr>
                <w:rFonts w:ascii="宋体" w:hAnsi="宋体" w:eastAsia="宋体" w:cs="宋体"/>
                <w:sz w:val="18"/>
                <w:szCs w:val="18"/>
              </w:rPr>
              <w:t>7,285,190,324.03</w:t>
            </w:r>
          </w:p>
        </w:tc>
        <w:tc>
          <w:tcPr>
            <w:tcW w:w="1928" w:type="dxa"/>
            <w:tcBorders>
              <w:top w:val="single" w:color="auto" w:sz="2" w:space="0"/>
              <w:left w:val="single" w:color="auto" w:sz="2" w:space="0"/>
              <w:bottom w:val="single" w:color="auto" w:sz="2" w:space="0"/>
              <w:right w:val="single" w:color="auto" w:sz="2" w:space="0"/>
            </w:tcBorders>
            <w:vAlign w:val="center"/>
          </w:tcPr>
          <w:p w14:paraId="6CF405D3">
            <w:pPr>
              <w:spacing w:line="240" w:lineRule="exact"/>
              <w:jc w:val="right"/>
              <w:rPr>
                <w:rFonts w:ascii="宋体" w:hAnsi="宋体" w:eastAsia="宋体" w:cs="宋体"/>
                <w:sz w:val="18"/>
                <w:szCs w:val="18"/>
              </w:rPr>
            </w:pPr>
            <w:r>
              <w:rPr>
                <w:rFonts w:ascii="宋体" w:hAnsi="宋体" w:eastAsia="宋体" w:cs="宋体"/>
                <w:sz w:val="18"/>
                <w:szCs w:val="18"/>
              </w:rPr>
              <w:t>10,640,692,951.89</w:t>
            </w:r>
          </w:p>
        </w:tc>
        <w:tc>
          <w:tcPr>
            <w:tcW w:w="1928" w:type="dxa"/>
            <w:tcBorders>
              <w:top w:val="single" w:color="auto" w:sz="2" w:space="0"/>
              <w:left w:val="single" w:color="auto" w:sz="2" w:space="0"/>
              <w:bottom w:val="single" w:color="auto" w:sz="2" w:space="0"/>
              <w:right w:val="single" w:color="auto" w:sz="2" w:space="0"/>
            </w:tcBorders>
            <w:vAlign w:val="center"/>
          </w:tcPr>
          <w:p w14:paraId="780B5528">
            <w:pPr>
              <w:spacing w:line="240" w:lineRule="exact"/>
              <w:jc w:val="right"/>
              <w:rPr>
                <w:rFonts w:ascii="宋体" w:hAnsi="宋体" w:eastAsia="宋体" w:cs="宋体"/>
                <w:sz w:val="18"/>
                <w:szCs w:val="18"/>
              </w:rPr>
            </w:pPr>
            <w:r>
              <w:rPr>
                <w:rFonts w:ascii="宋体" w:hAnsi="宋体" w:eastAsia="宋体" w:cs="宋体"/>
                <w:sz w:val="18"/>
                <w:szCs w:val="18"/>
              </w:rPr>
              <w:t>10,159,551,920.04</w:t>
            </w:r>
          </w:p>
        </w:tc>
      </w:tr>
      <w:tr w14:paraId="135F2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F9E7202">
            <w:pPr>
              <w:spacing w:before="40" w:after="40" w:line="240" w:lineRule="exac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14:paraId="3069DECD">
            <w:pPr>
              <w:spacing w:line="240" w:lineRule="exact"/>
              <w:jc w:val="right"/>
              <w:rPr>
                <w:rFonts w:ascii="宋体" w:hAnsi="宋体" w:eastAsia="宋体" w:cs="宋体"/>
                <w:sz w:val="18"/>
                <w:szCs w:val="18"/>
              </w:rPr>
            </w:pPr>
            <w:r>
              <w:rPr>
                <w:rFonts w:ascii="宋体" w:hAnsi="宋体" w:eastAsia="宋体" w:cs="宋体"/>
                <w:sz w:val="18"/>
                <w:szCs w:val="18"/>
              </w:rPr>
              <w:t>147,444,912.65</w:t>
            </w:r>
          </w:p>
        </w:tc>
        <w:tc>
          <w:tcPr>
            <w:tcW w:w="1928" w:type="dxa"/>
            <w:tcBorders>
              <w:top w:val="single" w:color="auto" w:sz="2" w:space="0"/>
              <w:left w:val="single" w:color="auto" w:sz="2" w:space="0"/>
              <w:bottom w:val="single" w:color="auto" w:sz="2" w:space="0"/>
              <w:right w:val="single" w:color="auto" w:sz="2" w:space="0"/>
            </w:tcBorders>
            <w:vAlign w:val="center"/>
          </w:tcPr>
          <w:p w14:paraId="202EDAAC">
            <w:pPr>
              <w:spacing w:line="240" w:lineRule="exact"/>
              <w:jc w:val="right"/>
              <w:rPr>
                <w:rFonts w:ascii="宋体" w:hAnsi="宋体" w:eastAsia="宋体" w:cs="宋体"/>
                <w:sz w:val="18"/>
                <w:szCs w:val="18"/>
              </w:rPr>
            </w:pPr>
            <w:r>
              <w:rPr>
                <w:rFonts w:ascii="宋体" w:hAnsi="宋体" w:eastAsia="宋体" w:cs="宋体"/>
                <w:sz w:val="18"/>
                <w:szCs w:val="18"/>
              </w:rPr>
              <w:t>23,836,453.39</w:t>
            </w:r>
          </w:p>
        </w:tc>
        <w:tc>
          <w:tcPr>
            <w:tcW w:w="1928" w:type="dxa"/>
            <w:tcBorders>
              <w:top w:val="single" w:color="auto" w:sz="2" w:space="0"/>
              <w:left w:val="single" w:color="auto" w:sz="2" w:space="0"/>
              <w:bottom w:val="single" w:color="auto" w:sz="2" w:space="0"/>
              <w:right w:val="single" w:color="auto" w:sz="2" w:space="0"/>
            </w:tcBorders>
            <w:vAlign w:val="center"/>
          </w:tcPr>
          <w:p w14:paraId="45126512">
            <w:pPr>
              <w:spacing w:line="240" w:lineRule="exact"/>
              <w:jc w:val="right"/>
              <w:rPr>
                <w:rFonts w:ascii="宋体" w:hAnsi="宋体" w:eastAsia="宋体" w:cs="宋体"/>
                <w:sz w:val="18"/>
                <w:szCs w:val="18"/>
              </w:rPr>
            </w:pPr>
            <w:r>
              <w:rPr>
                <w:rFonts w:ascii="宋体" w:hAnsi="宋体" w:eastAsia="宋体" w:cs="宋体"/>
                <w:sz w:val="18"/>
                <w:szCs w:val="18"/>
              </w:rPr>
              <w:t>121,259,013.43</w:t>
            </w:r>
          </w:p>
        </w:tc>
        <w:tc>
          <w:tcPr>
            <w:tcW w:w="1928" w:type="dxa"/>
            <w:tcBorders>
              <w:top w:val="single" w:color="auto" w:sz="2" w:space="0"/>
              <w:left w:val="single" w:color="auto" w:sz="2" w:space="0"/>
              <w:bottom w:val="single" w:color="auto" w:sz="2" w:space="0"/>
              <w:right w:val="single" w:color="auto" w:sz="2" w:space="0"/>
            </w:tcBorders>
            <w:vAlign w:val="center"/>
          </w:tcPr>
          <w:p w14:paraId="3062ED21">
            <w:pPr>
              <w:spacing w:line="240" w:lineRule="exact"/>
              <w:jc w:val="right"/>
              <w:rPr>
                <w:rFonts w:ascii="宋体" w:hAnsi="宋体" w:eastAsia="宋体" w:cs="宋体"/>
                <w:sz w:val="18"/>
                <w:szCs w:val="18"/>
              </w:rPr>
            </w:pPr>
            <w:r>
              <w:rPr>
                <w:rFonts w:ascii="宋体" w:hAnsi="宋体" w:eastAsia="宋体" w:cs="宋体"/>
                <w:sz w:val="18"/>
                <w:szCs w:val="18"/>
              </w:rPr>
              <w:t>23,559,827.19</w:t>
            </w:r>
          </w:p>
        </w:tc>
      </w:tr>
      <w:tr w14:paraId="125E0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E16EE57">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4D0B086B">
            <w:pPr>
              <w:spacing w:line="240" w:lineRule="exact"/>
              <w:jc w:val="right"/>
              <w:rPr>
                <w:rFonts w:ascii="宋体" w:hAnsi="宋体" w:eastAsia="宋体" w:cs="宋体"/>
                <w:sz w:val="18"/>
                <w:szCs w:val="18"/>
              </w:rPr>
            </w:pPr>
            <w:r>
              <w:rPr>
                <w:rFonts w:ascii="宋体" w:hAnsi="宋体" w:eastAsia="宋体" w:cs="宋体"/>
                <w:sz w:val="18"/>
                <w:szCs w:val="18"/>
              </w:rPr>
              <w:t>8,050,059,722.95</w:t>
            </w:r>
          </w:p>
        </w:tc>
        <w:tc>
          <w:tcPr>
            <w:tcW w:w="1928" w:type="dxa"/>
            <w:tcBorders>
              <w:top w:val="single" w:color="auto" w:sz="2" w:space="0"/>
              <w:left w:val="single" w:color="auto" w:sz="2" w:space="0"/>
              <w:bottom w:val="single" w:color="auto" w:sz="2" w:space="0"/>
              <w:right w:val="single" w:color="auto" w:sz="2" w:space="0"/>
            </w:tcBorders>
            <w:vAlign w:val="center"/>
          </w:tcPr>
          <w:p w14:paraId="113152F1">
            <w:pPr>
              <w:spacing w:line="240" w:lineRule="exact"/>
              <w:jc w:val="right"/>
              <w:rPr>
                <w:rFonts w:ascii="宋体" w:hAnsi="宋体" w:eastAsia="宋体" w:cs="宋体"/>
                <w:sz w:val="18"/>
                <w:szCs w:val="18"/>
              </w:rPr>
            </w:pPr>
            <w:r>
              <w:rPr>
                <w:rFonts w:ascii="宋体" w:hAnsi="宋体" w:eastAsia="宋体" w:cs="宋体"/>
                <w:sz w:val="18"/>
                <w:szCs w:val="18"/>
              </w:rPr>
              <w:t>7,309,026,777.42</w:t>
            </w:r>
          </w:p>
        </w:tc>
        <w:tc>
          <w:tcPr>
            <w:tcW w:w="1928" w:type="dxa"/>
            <w:tcBorders>
              <w:top w:val="single" w:color="auto" w:sz="2" w:space="0"/>
              <w:left w:val="single" w:color="auto" w:sz="2" w:space="0"/>
              <w:bottom w:val="single" w:color="auto" w:sz="2" w:space="0"/>
              <w:right w:val="single" w:color="auto" w:sz="2" w:space="0"/>
            </w:tcBorders>
            <w:vAlign w:val="center"/>
          </w:tcPr>
          <w:p w14:paraId="0D1829AA">
            <w:pPr>
              <w:spacing w:line="240" w:lineRule="exact"/>
              <w:jc w:val="right"/>
              <w:rPr>
                <w:rFonts w:ascii="宋体" w:hAnsi="宋体" w:eastAsia="宋体" w:cs="宋体"/>
                <w:sz w:val="18"/>
                <w:szCs w:val="18"/>
              </w:rPr>
            </w:pPr>
            <w:r>
              <w:rPr>
                <w:rFonts w:ascii="宋体" w:hAnsi="宋体" w:eastAsia="宋体" w:cs="宋体"/>
                <w:sz w:val="18"/>
                <w:szCs w:val="18"/>
              </w:rPr>
              <w:t>10,761,951,965.32</w:t>
            </w:r>
          </w:p>
        </w:tc>
        <w:tc>
          <w:tcPr>
            <w:tcW w:w="1928" w:type="dxa"/>
            <w:tcBorders>
              <w:top w:val="single" w:color="auto" w:sz="2" w:space="0"/>
              <w:left w:val="single" w:color="auto" w:sz="2" w:space="0"/>
              <w:bottom w:val="single" w:color="auto" w:sz="2" w:space="0"/>
              <w:right w:val="single" w:color="auto" w:sz="2" w:space="0"/>
            </w:tcBorders>
            <w:vAlign w:val="center"/>
          </w:tcPr>
          <w:p w14:paraId="3BDAA7C5">
            <w:pPr>
              <w:spacing w:line="240" w:lineRule="exact"/>
              <w:jc w:val="right"/>
              <w:rPr>
                <w:rFonts w:ascii="宋体" w:hAnsi="宋体" w:eastAsia="宋体" w:cs="宋体"/>
                <w:sz w:val="18"/>
                <w:szCs w:val="18"/>
              </w:rPr>
            </w:pPr>
            <w:r>
              <w:rPr>
                <w:rFonts w:ascii="宋体" w:hAnsi="宋体" w:eastAsia="宋体" w:cs="宋体"/>
                <w:sz w:val="18"/>
                <w:szCs w:val="18"/>
              </w:rPr>
              <w:t>10,183,111,747.23</w:t>
            </w:r>
          </w:p>
        </w:tc>
      </w:tr>
    </w:tbl>
    <w:p w14:paraId="1B4AFB8C">
      <w:pPr>
        <w:spacing w:before="100" w:after="100" w:line="240" w:lineRule="exact"/>
        <w:rPr>
          <w:rFonts w:ascii="宋体" w:hAnsi="宋体" w:eastAsia="宋体" w:cs="宋体"/>
          <w:sz w:val="18"/>
          <w:szCs w:val="18"/>
        </w:rPr>
      </w:pPr>
      <w:r>
        <w:rPr>
          <w:rFonts w:ascii="宋体" w:hAnsi="宋体" w:eastAsia="宋体" w:cs="宋体"/>
          <w:sz w:val="18"/>
          <w:szCs w:val="18"/>
        </w:rPr>
        <w:t>公司报告期内经审计利润总额、净利润、扣除非经常性损益后的净利润三者孰低为负值</w:t>
      </w:r>
    </w:p>
    <w:p w14:paraId="139E8AF1">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14:paraId="115EB0C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155B5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B7E462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6793DC8">
            <w:pPr>
              <w:spacing w:before="40" w:after="40" w:line="240" w:lineRule="exact"/>
              <w:jc w:val="center"/>
              <w:rPr>
                <w:rFonts w:ascii="宋体" w:hAnsi="宋体" w:eastAsia="宋体" w:cs="宋体"/>
                <w:sz w:val="18"/>
                <w:szCs w:val="18"/>
              </w:rPr>
            </w:pPr>
            <w:r>
              <w:rPr>
                <w:rFonts w:ascii="宋体" w:hAnsi="宋体" w:eastAsia="宋体" w:cs="宋体"/>
                <w:sz w:val="18"/>
                <w:szCs w:val="18"/>
              </w:rPr>
              <w:t>本年度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591D5D0">
            <w:pPr>
              <w:spacing w:before="40" w:after="40" w:line="240" w:lineRule="exact"/>
              <w:jc w:val="center"/>
              <w:rPr>
                <w:rFonts w:ascii="宋体" w:hAnsi="宋体" w:eastAsia="宋体" w:cs="宋体"/>
                <w:sz w:val="18"/>
                <w:szCs w:val="18"/>
              </w:rPr>
            </w:pPr>
            <w:r>
              <w:rPr>
                <w:rFonts w:ascii="宋体" w:hAnsi="宋体" w:eastAsia="宋体" w:cs="宋体"/>
                <w:sz w:val="18"/>
                <w:szCs w:val="18"/>
              </w:rPr>
              <w:t>具体扣除情况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DA1B9D5">
            <w:pPr>
              <w:spacing w:before="40" w:after="40" w:line="240" w:lineRule="exact"/>
              <w:jc w:val="center"/>
              <w:rPr>
                <w:rFonts w:ascii="宋体" w:hAnsi="宋体" w:eastAsia="宋体" w:cs="宋体"/>
                <w:sz w:val="18"/>
                <w:szCs w:val="18"/>
              </w:rPr>
            </w:pPr>
            <w:r>
              <w:rPr>
                <w:rFonts w:ascii="宋体" w:hAnsi="宋体" w:eastAsia="宋体" w:cs="宋体"/>
                <w:sz w:val="18"/>
                <w:szCs w:val="18"/>
              </w:rPr>
              <w:t>上年度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FF0F280">
            <w:pPr>
              <w:spacing w:before="40" w:after="40" w:line="240" w:lineRule="exact"/>
              <w:jc w:val="center"/>
              <w:rPr>
                <w:rFonts w:ascii="宋体" w:hAnsi="宋体" w:eastAsia="宋体" w:cs="宋体"/>
                <w:sz w:val="18"/>
                <w:szCs w:val="18"/>
              </w:rPr>
            </w:pPr>
            <w:r>
              <w:rPr>
                <w:rFonts w:ascii="宋体" w:hAnsi="宋体" w:eastAsia="宋体" w:cs="宋体"/>
                <w:sz w:val="18"/>
                <w:szCs w:val="18"/>
              </w:rPr>
              <w:t>具体扣除情况</w:t>
            </w:r>
          </w:p>
        </w:tc>
      </w:tr>
      <w:tr w14:paraId="00916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4042CDF">
            <w:pPr>
              <w:spacing w:before="40" w:after="40" w:line="240" w:lineRule="exact"/>
              <w:rPr>
                <w:rFonts w:ascii="宋体" w:hAnsi="宋体" w:eastAsia="宋体" w:cs="宋体"/>
                <w:sz w:val="18"/>
                <w:szCs w:val="18"/>
              </w:rPr>
            </w:pPr>
            <w:r>
              <w:rPr>
                <w:rFonts w:ascii="宋体" w:hAnsi="宋体" w:eastAsia="宋体" w:cs="宋体"/>
                <w:sz w:val="18"/>
                <w:szCs w:val="18"/>
              </w:rPr>
              <w:t>营业收入金额</w:t>
            </w:r>
          </w:p>
        </w:tc>
        <w:tc>
          <w:tcPr>
            <w:tcW w:w="1928" w:type="dxa"/>
            <w:tcBorders>
              <w:top w:val="single" w:color="auto" w:sz="2" w:space="0"/>
              <w:left w:val="single" w:color="auto" w:sz="2" w:space="0"/>
              <w:bottom w:val="single" w:color="auto" w:sz="2" w:space="0"/>
              <w:right w:val="single" w:color="auto" w:sz="2" w:space="0"/>
            </w:tcBorders>
            <w:vAlign w:val="center"/>
          </w:tcPr>
          <w:p w14:paraId="18EA5058">
            <w:pPr>
              <w:spacing w:line="240" w:lineRule="exact"/>
              <w:jc w:val="right"/>
              <w:rPr>
                <w:rFonts w:ascii="宋体" w:hAnsi="宋体" w:eastAsia="宋体" w:cs="宋体"/>
                <w:sz w:val="18"/>
                <w:szCs w:val="18"/>
              </w:rPr>
            </w:pPr>
            <w:r>
              <w:rPr>
                <w:rFonts w:ascii="宋体" w:hAnsi="宋体" w:eastAsia="宋体" w:cs="宋体"/>
                <w:sz w:val="18"/>
                <w:szCs w:val="18"/>
              </w:rPr>
              <w:t>8,050,059,722.95</w:t>
            </w:r>
          </w:p>
        </w:tc>
        <w:tc>
          <w:tcPr>
            <w:tcW w:w="1928" w:type="dxa"/>
            <w:tcBorders>
              <w:top w:val="single" w:color="auto" w:sz="2" w:space="0"/>
              <w:left w:val="single" w:color="auto" w:sz="2" w:space="0"/>
              <w:bottom w:val="single" w:color="auto" w:sz="2" w:space="0"/>
              <w:right w:val="single" w:color="auto" w:sz="2" w:space="0"/>
            </w:tcBorders>
            <w:vAlign w:val="center"/>
          </w:tcPr>
          <w:p w14:paraId="03757987">
            <w:pPr>
              <w:spacing w:line="240" w:lineRule="exact"/>
              <w:rPr>
                <w:rFonts w:ascii="宋体" w:hAnsi="宋体" w:eastAsia="宋体" w:cs="宋体"/>
                <w:sz w:val="18"/>
                <w:szCs w:val="18"/>
              </w:rPr>
            </w:pPr>
            <w:r>
              <w:rPr>
                <w:rFonts w:ascii="宋体" w:hAnsi="宋体" w:eastAsia="宋体" w:cs="宋体"/>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14:paraId="298850D3">
            <w:pPr>
              <w:spacing w:line="240" w:lineRule="exact"/>
              <w:jc w:val="right"/>
              <w:rPr>
                <w:rFonts w:ascii="宋体" w:hAnsi="宋体" w:eastAsia="宋体" w:cs="宋体"/>
                <w:sz w:val="18"/>
                <w:szCs w:val="18"/>
              </w:rPr>
            </w:pPr>
            <w:r>
              <w:rPr>
                <w:rFonts w:ascii="宋体" w:hAnsi="宋体" w:eastAsia="宋体" w:cs="宋体"/>
                <w:sz w:val="18"/>
                <w:szCs w:val="18"/>
              </w:rPr>
              <w:t>10,761,951,965.32</w:t>
            </w:r>
          </w:p>
        </w:tc>
        <w:tc>
          <w:tcPr>
            <w:tcW w:w="1928" w:type="dxa"/>
            <w:tcBorders>
              <w:top w:val="single" w:color="auto" w:sz="2" w:space="0"/>
              <w:left w:val="single" w:color="auto" w:sz="2" w:space="0"/>
              <w:bottom w:val="single" w:color="auto" w:sz="2" w:space="0"/>
              <w:right w:val="single" w:color="auto" w:sz="2" w:space="0"/>
            </w:tcBorders>
            <w:vAlign w:val="center"/>
          </w:tcPr>
          <w:p w14:paraId="14B03626">
            <w:pPr>
              <w:spacing w:line="240" w:lineRule="exact"/>
              <w:rPr>
                <w:rFonts w:ascii="宋体" w:hAnsi="宋体" w:eastAsia="宋体" w:cs="宋体"/>
                <w:sz w:val="18"/>
                <w:szCs w:val="18"/>
              </w:rPr>
            </w:pPr>
            <w:r>
              <w:rPr>
                <w:rFonts w:ascii="宋体" w:hAnsi="宋体" w:eastAsia="宋体" w:cs="宋体"/>
                <w:sz w:val="18"/>
                <w:szCs w:val="18"/>
              </w:rPr>
              <w:t>营业收入</w:t>
            </w:r>
          </w:p>
        </w:tc>
      </w:tr>
      <w:tr w14:paraId="24ABF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D517100">
            <w:pPr>
              <w:spacing w:before="40" w:after="40" w:line="240" w:lineRule="exact"/>
              <w:rPr>
                <w:rFonts w:ascii="宋体" w:hAnsi="宋体" w:eastAsia="宋体" w:cs="宋体"/>
                <w:sz w:val="18"/>
                <w:szCs w:val="18"/>
              </w:rPr>
            </w:pPr>
            <w:r>
              <w:rPr>
                <w:rFonts w:ascii="宋体" w:hAnsi="宋体" w:eastAsia="宋体" w:cs="宋体"/>
                <w:sz w:val="18"/>
                <w:szCs w:val="18"/>
              </w:rPr>
              <w:t>营业收入扣除项目合计金额</w:t>
            </w:r>
          </w:p>
        </w:tc>
        <w:tc>
          <w:tcPr>
            <w:tcW w:w="1928" w:type="dxa"/>
            <w:tcBorders>
              <w:top w:val="single" w:color="auto" w:sz="2" w:space="0"/>
              <w:left w:val="single" w:color="auto" w:sz="2" w:space="0"/>
              <w:bottom w:val="single" w:color="auto" w:sz="2" w:space="0"/>
              <w:right w:val="single" w:color="auto" w:sz="2" w:space="0"/>
            </w:tcBorders>
            <w:vAlign w:val="center"/>
          </w:tcPr>
          <w:p w14:paraId="255B2A2A">
            <w:pPr>
              <w:spacing w:line="240" w:lineRule="exact"/>
              <w:jc w:val="right"/>
              <w:rPr>
                <w:rFonts w:ascii="宋体" w:hAnsi="宋体" w:eastAsia="宋体" w:cs="宋体"/>
                <w:sz w:val="18"/>
                <w:szCs w:val="18"/>
              </w:rPr>
            </w:pPr>
            <w:r>
              <w:rPr>
                <w:rFonts w:ascii="宋体" w:hAnsi="宋体" w:eastAsia="宋体" w:cs="宋体"/>
                <w:sz w:val="18"/>
                <w:szCs w:val="18"/>
              </w:rPr>
              <w:t>147,444,912.65</w:t>
            </w:r>
          </w:p>
        </w:tc>
        <w:tc>
          <w:tcPr>
            <w:tcW w:w="1928" w:type="dxa"/>
            <w:tcBorders>
              <w:top w:val="single" w:color="auto" w:sz="2" w:space="0"/>
              <w:left w:val="single" w:color="auto" w:sz="2" w:space="0"/>
              <w:bottom w:val="single" w:color="auto" w:sz="2" w:space="0"/>
              <w:right w:val="single" w:color="auto" w:sz="2" w:space="0"/>
            </w:tcBorders>
            <w:vAlign w:val="center"/>
          </w:tcPr>
          <w:p w14:paraId="1430ED6B">
            <w:pPr>
              <w:spacing w:line="240" w:lineRule="exact"/>
              <w:rPr>
                <w:rFonts w:ascii="宋体" w:hAnsi="宋体" w:eastAsia="宋体" w:cs="宋体"/>
                <w:sz w:val="18"/>
                <w:szCs w:val="18"/>
              </w:rPr>
            </w:pPr>
            <w:r>
              <w:rPr>
                <w:rFonts w:ascii="宋体" w:hAnsi="宋体" w:eastAsia="宋体" w:cs="宋体"/>
                <w:sz w:val="18"/>
                <w:szCs w:val="18"/>
              </w:rPr>
              <w:t>其他业务收入</w:t>
            </w:r>
          </w:p>
        </w:tc>
        <w:tc>
          <w:tcPr>
            <w:tcW w:w="1928" w:type="dxa"/>
            <w:tcBorders>
              <w:top w:val="single" w:color="auto" w:sz="2" w:space="0"/>
              <w:left w:val="single" w:color="auto" w:sz="2" w:space="0"/>
              <w:bottom w:val="single" w:color="auto" w:sz="2" w:space="0"/>
              <w:right w:val="single" w:color="auto" w:sz="2" w:space="0"/>
            </w:tcBorders>
            <w:vAlign w:val="center"/>
          </w:tcPr>
          <w:p w14:paraId="7C6374C8">
            <w:pPr>
              <w:spacing w:line="240" w:lineRule="exact"/>
              <w:jc w:val="right"/>
              <w:rPr>
                <w:rFonts w:ascii="宋体" w:hAnsi="宋体" w:eastAsia="宋体" w:cs="宋体"/>
                <w:sz w:val="18"/>
                <w:szCs w:val="18"/>
              </w:rPr>
            </w:pPr>
            <w:r>
              <w:rPr>
                <w:rFonts w:ascii="宋体" w:hAnsi="宋体" w:eastAsia="宋体" w:cs="宋体"/>
                <w:sz w:val="18"/>
                <w:szCs w:val="18"/>
              </w:rPr>
              <w:t>121,259,013.43</w:t>
            </w:r>
          </w:p>
        </w:tc>
        <w:tc>
          <w:tcPr>
            <w:tcW w:w="1928" w:type="dxa"/>
            <w:tcBorders>
              <w:top w:val="single" w:color="auto" w:sz="2" w:space="0"/>
              <w:left w:val="single" w:color="auto" w:sz="2" w:space="0"/>
              <w:bottom w:val="single" w:color="auto" w:sz="2" w:space="0"/>
              <w:right w:val="single" w:color="auto" w:sz="2" w:space="0"/>
            </w:tcBorders>
            <w:vAlign w:val="center"/>
          </w:tcPr>
          <w:p w14:paraId="7327973F">
            <w:pPr>
              <w:spacing w:line="240" w:lineRule="exact"/>
              <w:rPr>
                <w:rFonts w:ascii="宋体" w:hAnsi="宋体" w:eastAsia="宋体" w:cs="宋体"/>
                <w:sz w:val="18"/>
                <w:szCs w:val="18"/>
              </w:rPr>
            </w:pPr>
            <w:r>
              <w:rPr>
                <w:rFonts w:ascii="宋体" w:hAnsi="宋体" w:eastAsia="宋体" w:cs="宋体"/>
                <w:sz w:val="18"/>
                <w:szCs w:val="18"/>
              </w:rPr>
              <w:t>其他业务收入</w:t>
            </w:r>
          </w:p>
        </w:tc>
      </w:tr>
      <w:tr w14:paraId="7EF70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3E1DA5E">
            <w:pPr>
              <w:spacing w:before="40" w:after="40" w:line="240" w:lineRule="exact"/>
              <w:rPr>
                <w:rFonts w:ascii="宋体" w:hAnsi="宋体" w:eastAsia="宋体" w:cs="宋体"/>
                <w:sz w:val="18"/>
                <w:szCs w:val="18"/>
              </w:rPr>
            </w:pPr>
            <w:r>
              <w:rPr>
                <w:rFonts w:ascii="宋体" w:hAnsi="宋体" w:eastAsia="宋体" w:cs="宋体"/>
                <w:sz w:val="18"/>
                <w:szCs w:val="18"/>
              </w:rPr>
              <w:t>营业收入扣除项目合计金额占营业收入的比重</w:t>
            </w:r>
          </w:p>
        </w:tc>
        <w:tc>
          <w:tcPr>
            <w:tcW w:w="1928" w:type="dxa"/>
            <w:tcBorders>
              <w:top w:val="single" w:color="auto" w:sz="2" w:space="0"/>
              <w:left w:val="single" w:color="auto" w:sz="2" w:space="0"/>
              <w:bottom w:val="single" w:color="auto" w:sz="2" w:space="0"/>
              <w:right w:val="single" w:color="auto" w:sz="2" w:space="0"/>
            </w:tcBorders>
            <w:vAlign w:val="center"/>
          </w:tcPr>
          <w:p w14:paraId="7C887D17">
            <w:pPr>
              <w:spacing w:line="240" w:lineRule="exact"/>
              <w:jc w:val="right"/>
              <w:rPr>
                <w:rFonts w:ascii="宋体" w:hAnsi="宋体" w:eastAsia="宋体" w:cs="宋体"/>
                <w:sz w:val="18"/>
                <w:szCs w:val="18"/>
              </w:rPr>
            </w:pPr>
            <w:r>
              <w:rPr>
                <w:rFonts w:ascii="宋体" w:hAnsi="宋体" w:eastAsia="宋体" w:cs="宋体"/>
                <w:sz w:val="18"/>
                <w:szCs w:val="18"/>
              </w:rPr>
              <w:t>1.83%</w:t>
            </w:r>
          </w:p>
        </w:tc>
        <w:tc>
          <w:tcPr>
            <w:tcW w:w="1928" w:type="dxa"/>
            <w:tcBorders>
              <w:top w:val="single" w:color="auto" w:sz="2" w:space="0"/>
              <w:left w:val="single" w:color="auto" w:sz="2" w:space="0"/>
              <w:bottom w:val="single" w:color="auto" w:sz="2" w:space="0"/>
              <w:right w:val="single" w:color="auto" w:sz="2" w:space="0"/>
            </w:tcBorders>
            <w:vAlign w:val="center"/>
          </w:tcPr>
          <w:p w14:paraId="11D3F7A5">
            <w:pPr>
              <w:spacing w:line="240" w:lineRule="exac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33B8921">
            <w:pPr>
              <w:spacing w:line="240" w:lineRule="exact"/>
              <w:jc w:val="right"/>
              <w:rPr>
                <w:rFonts w:ascii="宋体" w:hAnsi="宋体" w:eastAsia="宋体" w:cs="宋体"/>
                <w:sz w:val="18"/>
                <w:szCs w:val="18"/>
              </w:rPr>
            </w:pPr>
            <w:r>
              <w:rPr>
                <w:rFonts w:ascii="宋体" w:hAnsi="宋体" w:eastAsia="宋体" w:cs="宋体"/>
                <w:sz w:val="18"/>
                <w:szCs w:val="18"/>
              </w:rPr>
              <w:t>1.13%</w:t>
            </w:r>
          </w:p>
        </w:tc>
        <w:tc>
          <w:tcPr>
            <w:tcW w:w="1928" w:type="dxa"/>
            <w:tcBorders>
              <w:top w:val="single" w:color="auto" w:sz="2" w:space="0"/>
              <w:left w:val="single" w:color="auto" w:sz="2" w:space="0"/>
              <w:bottom w:val="single" w:color="auto" w:sz="2" w:space="0"/>
              <w:right w:val="single" w:color="auto" w:sz="2" w:space="0"/>
            </w:tcBorders>
            <w:vAlign w:val="center"/>
          </w:tcPr>
          <w:p w14:paraId="63E269F6">
            <w:pPr>
              <w:spacing w:line="240" w:lineRule="exact"/>
              <w:rPr>
                <w:rFonts w:ascii="宋体" w:hAnsi="宋体" w:eastAsia="宋体" w:cs="宋体"/>
                <w:sz w:val="18"/>
                <w:szCs w:val="18"/>
              </w:rPr>
            </w:pPr>
          </w:p>
        </w:tc>
      </w:tr>
      <w:tr w14:paraId="48A24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11218AC">
            <w:pPr>
              <w:spacing w:before="40" w:after="40" w:line="240" w:lineRule="exact"/>
              <w:rPr>
                <w:rFonts w:ascii="宋体" w:hAnsi="宋体" w:eastAsia="宋体" w:cs="宋体"/>
                <w:sz w:val="18"/>
                <w:szCs w:val="18"/>
              </w:rPr>
            </w:pPr>
            <w:r>
              <w:rPr>
                <w:rFonts w:ascii="宋体" w:hAnsi="宋体" w:eastAsia="宋体" w:cs="宋体"/>
                <w:sz w:val="18"/>
                <w:szCs w:val="18"/>
              </w:rPr>
              <w:t>一、与主营业务无关的业务收入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D393925"/>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FCFBCB3"/>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B88233B"/>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4AB750B"/>
        </w:tc>
      </w:tr>
      <w:tr w14:paraId="3B52D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C79C2BB">
            <w:pPr>
              <w:spacing w:before="40" w:after="40" w:line="240" w:lineRule="exact"/>
              <w:rPr>
                <w:rFonts w:ascii="宋体" w:hAnsi="宋体" w:eastAsia="宋体" w:cs="宋体"/>
                <w:sz w:val="18"/>
                <w:szCs w:val="18"/>
              </w:rPr>
            </w:pPr>
            <w:r>
              <w:rPr>
                <w:rFonts w:ascii="宋体" w:hAnsi="宋体" w:eastAsia="宋体" w:cs="宋体"/>
                <w:sz w:val="18"/>
                <w:szCs w:val="18"/>
              </w:rPr>
              <w:t>1．正常经营之外的其他业务收入。如出租固定资产、无形资产、包装物，销售材料，用材料进行非货币性资产交换，经营受托管理业务等实现的收入，以及虽计入主营业务收入，但属于上市公司正常经营之外的收入。</w:t>
            </w:r>
          </w:p>
        </w:tc>
        <w:tc>
          <w:tcPr>
            <w:tcW w:w="1928" w:type="dxa"/>
            <w:tcBorders>
              <w:top w:val="single" w:color="auto" w:sz="2" w:space="0"/>
              <w:left w:val="single" w:color="auto" w:sz="2" w:space="0"/>
              <w:bottom w:val="single" w:color="auto" w:sz="2" w:space="0"/>
              <w:right w:val="single" w:color="auto" w:sz="2" w:space="0"/>
            </w:tcBorders>
            <w:vAlign w:val="center"/>
          </w:tcPr>
          <w:p w14:paraId="3CC2753D">
            <w:pPr>
              <w:spacing w:line="240" w:lineRule="exact"/>
              <w:jc w:val="right"/>
              <w:rPr>
                <w:rFonts w:ascii="宋体" w:hAnsi="宋体" w:eastAsia="宋体" w:cs="宋体"/>
                <w:sz w:val="18"/>
                <w:szCs w:val="18"/>
              </w:rPr>
            </w:pPr>
            <w:r>
              <w:rPr>
                <w:rFonts w:ascii="宋体" w:hAnsi="宋体" w:eastAsia="宋体" w:cs="宋体"/>
                <w:sz w:val="18"/>
                <w:szCs w:val="18"/>
              </w:rPr>
              <w:t>147,444,912.65</w:t>
            </w:r>
          </w:p>
        </w:tc>
        <w:tc>
          <w:tcPr>
            <w:tcW w:w="1928" w:type="dxa"/>
            <w:tcBorders>
              <w:top w:val="single" w:color="auto" w:sz="2" w:space="0"/>
              <w:left w:val="single" w:color="auto" w:sz="2" w:space="0"/>
              <w:bottom w:val="single" w:color="auto" w:sz="2" w:space="0"/>
              <w:right w:val="single" w:color="auto" w:sz="2" w:space="0"/>
            </w:tcBorders>
            <w:vAlign w:val="center"/>
          </w:tcPr>
          <w:p w14:paraId="306A89DE">
            <w:pPr>
              <w:spacing w:line="240" w:lineRule="exact"/>
              <w:rPr>
                <w:rFonts w:ascii="宋体" w:hAnsi="宋体" w:eastAsia="宋体" w:cs="宋体"/>
                <w:sz w:val="18"/>
                <w:szCs w:val="18"/>
              </w:rPr>
            </w:pPr>
            <w:r>
              <w:rPr>
                <w:rFonts w:ascii="宋体" w:hAnsi="宋体" w:eastAsia="宋体" w:cs="宋体"/>
                <w:sz w:val="18"/>
                <w:szCs w:val="18"/>
              </w:rPr>
              <w:t>其他业务收入</w:t>
            </w:r>
          </w:p>
        </w:tc>
        <w:tc>
          <w:tcPr>
            <w:tcW w:w="1928" w:type="dxa"/>
            <w:tcBorders>
              <w:top w:val="single" w:color="auto" w:sz="2" w:space="0"/>
              <w:left w:val="single" w:color="auto" w:sz="2" w:space="0"/>
              <w:bottom w:val="single" w:color="auto" w:sz="2" w:space="0"/>
              <w:right w:val="single" w:color="auto" w:sz="2" w:space="0"/>
            </w:tcBorders>
            <w:vAlign w:val="center"/>
          </w:tcPr>
          <w:p w14:paraId="72D59C1D">
            <w:pPr>
              <w:spacing w:line="240" w:lineRule="exact"/>
              <w:jc w:val="right"/>
              <w:rPr>
                <w:rFonts w:ascii="宋体" w:hAnsi="宋体" w:eastAsia="宋体" w:cs="宋体"/>
                <w:sz w:val="18"/>
                <w:szCs w:val="18"/>
              </w:rPr>
            </w:pPr>
            <w:r>
              <w:rPr>
                <w:rFonts w:ascii="宋体" w:hAnsi="宋体" w:eastAsia="宋体" w:cs="宋体"/>
                <w:sz w:val="18"/>
                <w:szCs w:val="18"/>
              </w:rPr>
              <w:t>121,259,013.43</w:t>
            </w:r>
          </w:p>
        </w:tc>
        <w:tc>
          <w:tcPr>
            <w:tcW w:w="1928" w:type="dxa"/>
            <w:tcBorders>
              <w:top w:val="single" w:color="auto" w:sz="2" w:space="0"/>
              <w:left w:val="single" w:color="auto" w:sz="2" w:space="0"/>
              <w:bottom w:val="single" w:color="auto" w:sz="2" w:space="0"/>
              <w:right w:val="single" w:color="auto" w:sz="2" w:space="0"/>
            </w:tcBorders>
            <w:vAlign w:val="center"/>
          </w:tcPr>
          <w:p w14:paraId="70C86EA2">
            <w:pPr>
              <w:spacing w:line="240" w:lineRule="exact"/>
              <w:rPr>
                <w:rFonts w:ascii="宋体" w:hAnsi="宋体" w:eastAsia="宋体" w:cs="宋体"/>
                <w:sz w:val="18"/>
                <w:szCs w:val="18"/>
              </w:rPr>
            </w:pPr>
            <w:r>
              <w:rPr>
                <w:rFonts w:ascii="宋体" w:hAnsi="宋体" w:eastAsia="宋体" w:cs="宋体"/>
                <w:sz w:val="18"/>
                <w:szCs w:val="18"/>
              </w:rPr>
              <w:t>其他业务收入</w:t>
            </w:r>
          </w:p>
        </w:tc>
      </w:tr>
      <w:tr w14:paraId="33D08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C074362">
            <w:pPr>
              <w:spacing w:before="40" w:after="40" w:line="240" w:lineRule="exact"/>
              <w:rPr>
                <w:rFonts w:ascii="宋体" w:hAnsi="宋体" w:eastAsia="宋体" w:cs="宋体"/>
                <w:sz w:val="18"/>
                <w:szCs w:val="18"/>
              </w:rPr>
            </w:pPr>
            <w:r>
              <w:rPr>
                <w:rFonts w:ascii="宋体" w:hAnsi="宋体" w:eastAsia="宋体" w:cs="宋体"/>
                <w:sz w:val="18"/>
                <w:szCs w:val="18"/>
              </w:rPr>
              <w:t>与主营业务无关的业务收入小计</w:t>
            </w:r>
          </w:p>
        </w:tc>
        <w:tc>
          <w:tcPr>
            <w:tcW w:w="1928" w:type="dxa"/>
            <w:tcBorders>
              <w:top w:val="single" w:color="auto" w:sz="2" w:space="0"/>
              <w:left w:val="single" w:color="auto" w:sz="2" w:space="0"/>
              <w:bottom w:val="single" w:color="auto" w:sz="2" w:space="0"/>
              <w:right w:val="single" w:color="auto" w:sz="2" w:space="0"/>
            </w:tcBorders>
            <w:vAlign w:val="center"/>
          </w:tcPr>
          <w:p w14:paraId="15BDDFA8">
            <w:pPr>
              <w:spacing w:line="240" w:lineRule="exact"/>
              <w:jc w:val="right"/>
              <w:rPr>
                <w:rFonts w:ascii="宋体" w:hAnsi="宋体" w:eastAsia="宋体" w:cs="宋体"/>
                <w:sz w:val="18"/>
                <w:szCs w:val="18"/>
              </w:rPr>
            </w:pPr>
            <w:r>
              <w:rPr>
                <w:rFonts w:ascii="宋体" w:hAnsi="宋体" w:eastAsia="宋体" w:cs="宋体"/>
                <w:sz w:val="18"/>
                <w:szCs w:val="18"/>
              </w:rPr>
              <w:t>147,444,912.65</w:t>
            </w:r>
          </w:p>
        </w:tc>
        <w:tc>
          <w:tcPr>
            <w:tcW w:w="1928" w:type="dxa"/>
            <w:tcBorders>
              <w:top w:val="single" w:color="auto" w:sz="2" w:space="0"/>
              <w:left w:val="single" w:color="auto" w:sz="2" w:space="0"/>
              <w:bottom w:val="single" w:color="auto" w:sz="2" w:space="0"/>
              <w:right w:val="single" w:color="auto" w:sz="2" w:space="0"/>
            </w:tcBorders>
            <w:vAlign w:val="center"/>
          </w:tcPr>
          <w:p w14:paraId="57BCA40B">
            <w:pPr>
              <w:spacing w:line="240" w:lineRule="exact"/>
              <w:rPr>
                <w:rFonts w:ascii="宋体" w:hAnsi="宋体" w:eastAsia="宋体" w:cs="宋体"/>
                <w:sz w:val="18"/>
                <w:szCs w:val="18"/>
              </w:rPr>
            </w:pPr>
            <w:r>
              <w:rPr>
                <w:rFonts w:ascii="宋体" w:hAnsi="宋体" w:eastAsia="宋体" w:cs="宋体"/>
                <w:sz w:val="18"/>
                <w:szCs w:val="18"/>
              </w:rPr>
              <w:t>其他业务收入</w:t>
            </w:r>
          </w:p>
        </w:tc>
        <w:tc>
          <w:tcPr>
            <w:tcW w:w="1928" w:type="dxa"/>
            <w:tcBorders>
              <w:top w:val="single" w:color="auto" w:sz="2" w:space="0"/>
              <w:left w:val="single" w:color="auto" w:sz="2" w:space="0"/>
              <w:bottom w:val="single" w:color="auto" w:sz="2" w:space="0"/>
              <w:right w:val="single" w:color="auto" w:sz="2" w:space="0"/>
            </w:tcBorders>
            <w:vAlign w:val="center"/>
          </w:tcPr>
          <w:p w14:paraId="382CE5A7">
            <w:pPr>
              <w:spacing w:line="240" w:lineRule="exact"/>
              <w:jc w:val="right"/>
              <w:rPr>
                <w:rFonts w:ascii="宋体" w:hAnsi="宋体" w:eastAsia="宋体" w:cs="宋体"/>
                <w:sz w:val="18"/>
                <w:szCs w:val="18"/>
              </w:rPr>
            </w:pPr>
            <w:r>
              <w:rPr>
                <w:rFonts w:ascii="宋体" w:hAnsi="宋体" w:eastAsia="宋体" w:cs="宋体"/>
                <w:sz w:val="18"/>
                <w:szCs w:val="18"/>
              </w:rPr>
              <w:t>121,259,013.43</w:t>
            </w:r>
          </w:p>
        </w:tc>
        <w:tc>
          <w:tcPr>
            <w:tcW w:w="1928" w:type="dxa"/>
            <w:tcBorders>
              <w:top w:val="single" w:color="auto" w:sz="2" w:space="0"/>
              <w:left w:val="single" w:color="auto" w:sz="2" w:space="0"/>
              <w:bottom w:val="single" w:color="auto" w:sz="2" w:space="0"/>
              <w:right w:val="single" w:color="auto" w:sz="2" w:space="0"/>
            </w:tcBorders>
            <w:vAlign w:val="center"/>
          </w:tcPr>
          <w:p w14:paraId="30C21AAC">
            <w:pPr>
              <w:spacing w:line="240" w:lineRule="exact"/>
              <w:rPr>
                <w:rFonts w:ascii="宋体" w:hAnsi="宋体" w:eastAsia="宋体" w:cs="宋体"/>
                <w:sz w:val="18"/>
                <w:szCs w:val="18"/>
              </w:rPr>
            </w:pPr>
            <w:r>
              <w:rPr>
                <w:rFonts w:ascii="宋体" w:hAnsi="宋体" w:eastAsia="宋体" w:cs="宋体"/>
                <w:sz w:val="18"/>
                <w:szCs w:val="18"/>
              </w:rPr>
              <w:t>其他业务收入</w:t>
            </w:r>
          </w:p>
        </w:tc>
      </w:tr>
      <w:tr w14:paraId="16608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87AA7E3">
            <w:pPr>
              <w:spacing w:before="40" w:after="40" w:line="240" w:lineRule="exact"/>
              <w:rPr>
                <w:rFonts w:ascii="宋体" w:hAnsi="宋体" w:eastAsia="宋体" w:cs="宋体"/>
                <w:sz w:val="18"/>
                <w:szCs w:val="18"/>
              </w:rPr>
            </w:pPr>
            <w:r>
              <w:rPr>
                <w:rFonts w:ascii="宋体" w:hAnsi="宋体" w:eastAsia="宋体" w:cs="宋体"/>
                <w:sz w:val="18"/>
                <w:szCs w:val="18"/>
              </w:rPr>
              <w:t>二、不具备商业实质的收入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1E339F2"/>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199D177"/>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85BFFB5"/>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E6E52B9"/>
        </w:tc>
      </w:tr>
      <w:tr w14:paraId="5E13C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82E688D">
            <w:pPr>
              <w:spacing w:before="40" w:after="40" w:line="240" w:lineRule="exact"/>
              <w:rPr>
                <w:rFonts w:ascii="宋体" w:hAnsi="宋体" w:eastAsia="宋体" w:cs="宋体"/>
                <w:sz w:val="18"/>
                <w:szCs w:val="18"/>
              </w:rPr>
            </w:pPr>
            <w:r>
              <w:rPr>
                <w:rFonts w:ascii="宋体" w:hAnsi="宋体" w:eastAsia="宋体" w:cs="宋体"/>
                <w:sz w:val="18"/>
                <w:szCs w:val="18"/>
              </w:rPr>
              <w:t>不具备商业实质的收入小计</w:t>
            </w:r>
          </w:p>
        </w:tc>
        <w:tc>
          <w:tcPr>
            <w:tcW w:w="1928" w:type="dxa"/>
            <w:tcBorders>
              <w:top w:val="single" w:color="auto" w:sz="2" w:space="0"/>
              <w:left w:val="single" w:color="auto" w:sz="2" w:space="0"/>
              <w:bottom w:val="single" w:color="auto" w:sz="2" w:space="0"/>
              <w:right w:val="single" w:color="auto" w:sz="2" w:space="0"/>
            </w:tcBorders>
            <w:vAlign w:val="center"/>
          </w:tcPr>
          <w:p w14:paraId="219D111E">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1928" w:type="dxa"/>
            <w:tcBorders>
              <w:top w:val="single" w:color="auto" w:sz="2" w:space="0"/>
              <w:left w:val="single" w:color="auto" w:sz="2" w:space="0"/>
              <w:bottom w:val="single" w:color="auto" w:sz="2" w:space="0"/>
              <w:right w:val="single" w:color="auto" w:sz="2" w:space="0"/>
            </w:tcBorders>
            <w:vAlign w:val="center"/>
          </w:tcPr>
          <w:p w14:paraId="0F8202C5">
            <w:pPr>
              <w:spacing w:line="240" w:lineRule="exact"/>
              <w:rPr>
                <w:rFonts w:ascii="宋体" w:hAnsi="宋体" w:eastAsia="宋体" w:cs="宋体"/>
                <w:sz w:val="18"/>
                <w:szCs w:val="18"/>
              </w:rPr>
            </w:pPr>
            <w:r>
              <w:rPr>
                <w:rFonts w:ascii="宋体" w:hAnsi="宋体" w:eastAsia="宋体" w:cs="宋体"/>
                <w:sz w:val="18"/>
                <w:szCs w:val="18"/>
              </w:rPr>
              <w:t>无</w:t>
            </w:r>
          </w:p>
        </w:tc>
        <w:tc>
          <w:tcPr>
            <w:tcW w:w="1928" w:type="dxa"/>
            <w:tcBorders>
              <w:top w:val="single" w:color="auto" w:sz="2" w:space="0"/>
              <w:left w:val="single" w:color="auto" w:sz="2" w:space="0"/>
              <w:bottom w:val="single" w:color="auto" w:sz="2" w:space="0"/>
              <w:right w:val="single" w:color="auto" w:sz="2" w:space="0"/>
            </w:tcBorders>
            <w:vAlign w:val="center"/>
          </w:tcPr>
          <w:p w14:paraId="75B578D2">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1928" w:type="dxa"/>
            <w:tcBorders>
              <w:top w:val="single" w:color="auto" w:sz="2" w:space="0"/>
              <w:left w:val="single" w:color="auto" w:sz="2" w:space="0"/>
              <w:bottom w:val="single" w:color="auto" w:sz="2" w:space="0"/>
              <w:right w:val="single" w:color="auto" w:sz="2" w:space="0"/>
            </w:tcBorders>
            <w:vAlign w:val="center"/>
          </w:tcPr>
          <w:p w14:paraId="5D4B9D9F">
            <w:pPr>
              <w:spacing w:line="240" w:lineRule="exact"/>
              <w:rPr>
                <w:rFonts w:ascii="宋体" w:hAnsi="宋体" w:eastAsia="宋体" w:cs="宋体"/>
                <w:sz w:val="18"/>
                <w:szCs w:val="18"/>
              </w:rPr>
            </w:pPr>
            <w:r>
              <w:rPr>
                <w:rFonts w:ascii="宋体" w:hAnsi="宋体" w:eastAsia="宋体" w:cs="宋体"/>
                <w:sz w:val="18"/>
                <w:szCs w:val="18"/>
              </w:rPr>
              <w:t>无</w:t>
            </w:r>
          </w:p>
        </w:tc>
      </w:tr>
      <w:tr w14:paraId="097B3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036668A">
            <w:pPr>
              <w:spacing w:before="40" w:after="40" w:line="240" w:lineRule="exact"/>
              <w:rPr>
                <w:rFonts w:ascii="宋体" w:hAnsi="宋体" w:eastAsia="宋体" w:cs="宋体"/>
                <w:sz w:val="18"/>
                <w:szCs w:val="18"/>
              </w:rPr>
            </w:pPr>
            <w:r>
              <w:rPr>
                <w:rFonts w:ascii="宋体" w:hAnsi="宋体" w:eastAsia="宋体" w:cs="宋体"/>
                <w:sz w:val="18"/>
                <w:szCs w:val="18"/>
              </w:rPr>
              <w:t>营业收入扣除后金额</w:t>
            </w:r>
          </w:p>
        </w:tc>
        <w:tc>
          <w:tcPr>
            <w:tcW w:w="1928" w:type="dxa"/>
            <w:tcBorders>
              <w:top w:val="single" w:color="auto" w:sz="2" w:space="0"/>
              <w:left w:val="single" w:color="auto" w:sz="2" w:space="0"/>
              <w:bottom w:val="single" w:color="auto" w:sz="2" w:space="0"/>
              <w:right w:val="single" w:color="auto" w:sz="2" w:space="0"/>
            </w:tcBorders>
            <w:vAlign w:val="center"/>
          </w:tcPr>
          <w:p w14:paraId="3BC728F2">
            <w:pPr>
              <w:spacing w:line="240" w:lineRule="exact"/>
              <w:jc w:val="right"/>
              <w:rPr>
                <w:rFonts w:ascii="宋体" w:hAnsi="宋体" w:eastAsia="宋体" w:cs="宋体"/>
                <w:sz w:val="18"/>
                <w:szCs w:val="18"/>
              </w:rPr>
            </w:pPr>
            <w:r>
              <w:rPr>
                <w:rFonts w:ascii="宋体" w:hAnsi="宋体" w:eastAsia="宋体" w:cs="宋体"/>
                <w:sz w:val="18"/>
                <w:szCs w:val="18"/>
              </w:rPr>
              <w:t>7,902,614,810.30</w:t>
            </w:r>
          </w:p>
        </w:tc>
        <w:tc>
          <w:tcPr>
            <w:tcW w:w="1928" w:type="dxa"/>
            <w:tcBorders>
              <w:top w:val="single" w:color="auto" w:sz="2" w:space="0"/>
              <w:left w:val="single" w:color="auto" w:sz="2" w:space="0"/>
              <w:bottom w:val="single" w:color="auto" w:sz="2" w:space="0"/>
              <w:right w:val="single" w:color="auto" w:sz="2" w:space="0"/>
            </w:tcBorders>
            <w:vAlign w:val="center"/>
          </w:tcPr>
          <w:p w14:paraId="32CBE31E">
            <w:pPr>
              <w:spacing w:line="240" w:lineRule="exact"/>
              <w:rPr>
                <w:rFonts w:ascii="宋体" w:hAnsi="宋体" w:eastAsia="宋体" w:cs="宋体"/>
                <w:sz w:val="18"/>
                <w:szCs w:val="18"/>
              </w:rPr>
            </w:pPr>
            <w:r>
              <w:rPr>
                <w:rFonts w:ascii="宋体" w:hAnsi="宋体" w:eastAsia="宋体" w:cs="宋体"/>
                <w:sz w:val="18"/>
                <w:szCs w:val="18"/>
              </w:rPr>
              <w:t>主营收入</w:t>
            </w:r>
          </w:p>
        </w:tc>
        <w:tc>
          <w:tcPr>
            <w:tcW w:w="1928" w:type="dxa"/>
            <w:tcBorders>
              <w:top w:val="single" w:color="auto" w:sz="2" w:space="0"/>
              <w:left w:val="single" w:color="auto" w:sz="2" w:space="0"/>
              <w:bottom w:val="single" w:color="auto" w:sz="2" w:space="0"/>
              <w:right w:val="single" w:color="auto" w:sz="2" w:space="0"/>
            </w:tcBorders>
            <w:vAlign w:val="center"/>
          </w:tcPr>
          <w:p w14:paraId="5AF70F0D">
            <w:pPr>
              <w:spacing w:line="240" w:lineRule="exact"/>
              <w:jc w:val="right"/>
              <w:rPr>
                <w:rFonts w:ascii="宋体" w:hAnsi="宋体" w:eastAsia="宋体" w:cs="宋体"/>
                <w:sz w:val="18"/>
                <w:szCs w:val="18"/>
              </w:rPr>
            </w:pPr>
            <w:r>
              <w:rPr>
                <w:rFonts w:ascii="宋体" w:hAnsi="宋体" w:eastAsia="宋体" w:cs="宋体"/>
                <w:sz w:val="18"/>
                <w:szCs w:val="18"/>
              </w:rPr>
              <w:t>10,640,692,951.89</w:t>
            </w:r>
          </w:p>
        </w:tc>
        <w:tc>
          <w:tcPr>
            <w:tcW w:w="1928" w:type="dxa"/>
            <w:tcBorders>
              <w:top w:val="single" w:color="auto" w:sz="2" w:space="0"/>
              <w:left w:val="single" w:color="auto" w:sz="2" w:space="0"/>
              <w:bottom w:val="single" w:color="auto" w:sz="2" w:space="0"/>
              <w:right w:val="single" w:color="auto" w:sz="2" w:space="0"/>
            </w:tcBorders>
            <w:vAlign w:val="center"/>
          </w:tcPr>
          <w:p w14:paraId="0CFEA534">
            <w:pPr>
              <w:spacing w:line="240" w:lineRule="exact"/>
              <w:rPr>
                <w:rFonts w:ascii="宋体" w:hAnsi="宋体" w:eastAsia="宋体" w:cs="宋体"/>
                <w:sz w:val="18"/>
                <w:szCs w:val="18"/>
              </w:rPr>
            </w:pPr>
            <w:r>
              <w:rPr>
                <w:rFonts w:ascii="宋体" w:hAnsi="宋体" w:eastAsia="宋体" w:cs="宋体"/>
                <w:sz w:val="18"/>
                <w:szCs w:val="18"/>
              </w:rPr>
              <w:t>主营收入</w:t>
            </w:r>
          </w:p>
        </w:tc>
      </w:tr>
    </w:tbl>
    <w:p w14:paraId="0BDCE21F">
      <w:pPr>
        <w:spacing w:line="240" w:lineRule="exact"/>
        <w:rPr>
          <w:rFonts w:ascii="宋体" w:hAnsi="宋体" w:eastAsia="宋体" w:cs="宋体"/>
          <w:sz w:val="18"/>
          <w:szCs w:val="18"/>
        </w:rPr>
      </w:pPr>
      <w:r>
        <w:rPr>
          <w:rFonts w:ascii="宋体" w:hAnsi="宋体" w:eastAsia="宋体" w:cs="宋体"/>
          <w:sz w:val="18"/>
          <w:szCs w:val="18"/>
        </w:rPr>
        <w:t>营业收入、营业成本的分解信息：</w:t>
      </w:r>
    </w:p>
    <w:p w14:paraId="1419E24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12F43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851DCA5">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57FC0E9">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81DE316">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6537944F">
            <w:pPr>
              <w:spacing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4B06CB5">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5F2F8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61AB15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2C926F3">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82A5F7C">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9EAA235">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F233A32">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22EF522">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31B2518">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A691CD2">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406E506">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r>
      <w:tr w14:paraId="3A522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3C57310">
            <w:pPr>
              <w:spacing w:before="40" w:after="40" w:line="240" w:lineRule="exact"/>
              <w:rPr>
                <w:rFonts w:ascii="宋体" w:hAnsi="宋体" w:eastAsia="宋体" w:cs="宋体"/>
                <w:sz w:val="18"/>
                <w:szCs w:val="18"/>
              </w:rPr>
            </w:pPr>
            <w:r>
              <w:rPr>
                <w:rFonts w:ascii="宋体" w:hAnsi="宋体" w:eastAsia="宋体" w:cs="宋体"/>
                <w:sz w:val="18"/>
                <w:szCs w:val="18"/>
              </w:rPr>
              <w:t>业务类型</w:t>
            </w:r>
          </w:p>
        </w:tc>
        <w:tc>
          <w:tcPr>
            <w:tcW w:w="1071" w:type="dxa"/>
            <w:tcBorders>
              <w:top w:val="single" w:color="auto" w:sz="2" w:space="0"/>
              <w:left w:val="single" w:color="auto" w:sz="2" w:space="0"/>
              <w:bottom w:val="single" w:color="auto" w:sz="2" w:space="0"/>
              <w:right w:val="single" w:color="auto" w:sz="2" w:space="0"/>
            </w:tcBorders>
            <w:vAlign w:val="center"/>
          </w:tcPr>
          <w:p w14:paraId="17AF1D1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28C13A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739D19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E749E3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203951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8FB23B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C4A4FB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B8A7EC4">
            <w:pPr>
              <w:spacing w:line="240" w:lineRule="exact"/>
              <w:jc w:val="right"/>
              <w:rPr>
                <w:rFonts w:ascii="宋体" w:hAnsi="宋体" w:eastAsia="宋体" w:cs="宋体"/>
                <w:sz w:val="18"/>
                <w:szCs w:val="18"/>
              </w:rPr>
            </w:pPr>
          </w:p>
        </w:tc>
      </w:tr>
      <w:tr w14:paraId="310F5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6D3C097">
            <w:pPr>
              <w:spacing w:before="40" w:after="40" w:line="240" w:lineRule="exact"/>
              <w:rPr>
                <w:rFonts w:ascii="宋体" w:hAnsi="宋体" w:eastAsia="宋体" w:cs="宋体"/>
                <w:sz w:val="18"/>
                <w:szCs w:val="18"/>
              </w:rPr>
            </w:pPr>
            <w:r>
              <w:rPr>
                <w:rFonts w:ascii="宋体" w:hAnsi="宋体" w:eastAsia="宋体" w:cs="宋体"/>
                <w:sz w:val="18"/>
                <w:szCs w:val="18"/>
              </w:rPr>
              <w:t>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128A0FD"/>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621753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9B5E4B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E180F2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887318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82FCC9E"/>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872683A"/>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7FA19F6"/>
        </w:tc>
      </w:tr>
      <w:tr w14:paraId="33FD3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13234ED">
            <w:pPr>
              <w:spacing w:line="240" w:lineRule="exact"/>
              <w:rPr>
                <w:rFonts w:ascii="宋体" w:hAnsi="宋体" w:eastAsia="宋体" w:cs="宋体"/>
                <w:sz w:val="18"/>
                <w:szCs w:val="18"/>
              </w:rPr>
            </w:pPr>
            <w:r>
              <w:rPr>
                <w:rFonts w:ascii="宋体" w:hAnsi="宋体" w:eastAsia="宋体" w:cs="宋体"/>
                <w:sz w:val="18"/>
                <w:szCs w:val="18"/>
              </w:rPr>
              <w:t>纱线</w:t>
            </w:r>
          </w:p>
        </w:tc>
        <w:tc>
          <w:tcPr>
            <w:tcW w:w="1071" w:type="dxa"/>
            <w:tcBorders>
              <w:top w:val="single" w:color="auto" w:sz="2" w:space="0"/>
              <w:left w:val="single" w:color="auto" w:sz="2" w:space="0"/>
              <w:bottom w:val="single" w:color="auto" w:sz="2" w:space="0"/>
              <w:right w:val="single" w:color="auto" w:sz="2" w:space="0"/>
            </w:tcBorders>
            <w:vAlign w:val="center"/>
          </w:tcPr>
          <w:p w14:paraId="047A35F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898D78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158A7E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CE88811">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267C966">
            <w:pPr>
              <w:spacing w:line="240" w:lineRule="exact"/>
              <w:jc w:val="right"/>
              <w:rPr>
                <w:rFonts w:ascii="宋体" w:hAnsi="宋体" w:eastAsia="宋体" w:cs="宋体"/>
                <w:sz w:val="18"/>
                <w:szCs w:val="18"/>
              </w:rPr>
            </w:pPr>
            <w:r>
              <w:rPr>
                <w:rFonts w:ascii="宋体" w:hAnsi="宋体" w:eastAsia="宋体" w:cs="宋体"/>
                <w:sz w:val="18"/>
                <w:szCs w:val="18"/>
              </w:rPr>
              <w:t>6,346,638,252.32</w:t>
            </w:r>
          </w:p>
        </w:tc>
        <w:tc>
          <w:tcPr>
            <w:tcW w:w="1071" w:type="dxa"/>
            <w:tcBorders>
              <w:top w:val="single" w:color="auto" w:sz="2" w:space="0"/>
              <w:left w:val="single" w:color="auto" w:sz="2" w:space="0"/>
              <w:bottom w:val="single" w:color="auto" w:sz="2" w:space="0"/>
              <w:right w:val="single" w:color="auto" w:sz="2" w:space="0"/>
            </w:tcBorders>
            <w:vAlign w:val="center"/>
          </w:tcPr>
          <w:p w14:paraId="6221DEB8">
            <w:pPr>
              <w:spacing w:line="240" w:lineRule="exact"/>
              <w:jc w:val="right"/>
              <w:rPr>
                <w:rFonts w:ascii="宋体" w:hAnsi="宋体" w:eastAsia="宋体" w:cs="宋体"/>
                <w:sz w:val="18"/>
                <w:szCs w:val="18"/>
              </w:rPr>
            </w:pPr>
            <w:r>
              <w:rPr>
                <w:rFonts w:ascii="宋体" w:hAnsi="宋体" w:eastAsia="宋体" w:cs="宋体"/>
                <w:sz w:val="18"/>
                <w:szCs w:val="18"/>
              </w:rPr>
              <w:t>5,864,956,167.00</w:t>
            </w:r>
          </w:p>
        </w:tc>
        <w:tc>
          <w:tcPr>
            <w:tcW w:w="1071" w:type="dxa"/>
            <w:tcBorders>
              <w:top w:val="single" w:color="auto" w:sz="2" w:space="0"/>
              <w:left w:val="single" w:color="auto" w:sz="2" w:space="0"/>
              <w:bottom w:val="single" w:color="auto" w:sz="2" w:space="0"/>
              <w:right w:val="single" w:color="auto" w:sz="2" w:space="0"/>
            </w:tcBorders>
            <w:vAlign w:val="center"/>
          </w:tcPr>
          <w:p w14:paraId="3307970E">
            <w:pPr>
              <w:spacing w:line="240" w:lineRule="exact"/>
              <w:jc w:val="right"/>
              <w:rPr>
                <w:rFonts w:ascii="宋体" w:hAnsi="宋体" w:eastAsia="宋体" w:cs="宋体"/>
                <w:sz w:val="18"/>
                <w:szCs w:val="18"/>
              </w:rPr>
            </w:pPr>
            <w:r>
              <w:rPr>
                <w:rFonts w:ascii="宋体" w:hAnsi="宋体" w:eastAsia="宋体" w:cs="宋体"/>
                <w:sz w:val="18"/>
                <w:szCs w:val="18"/>
              </w:rPr>
              <w:t>6,346,638,252.32</w:t>
            </w:r>
          </w:p>
        </w:tc>
        <w:tc>
          <w:tcPr>
            <w:tcW w:w="1071" w:type="dxa"/>
            <w:tcBorders>
              <w:top w:val="single" w:color="auto" w:sz="2" w:space="0"/>
              <w:left w:val="single" w:color="auto" w:sz="2" w:space="0"/>
              <w:bottom w:val="single" w:color="auto" w:sz="2" w:space="0"/>
              <w:right w:val="single" w:color="auto" w:sz="2" w:space="0"/>
            </w:tcBorders>
            <w:vAlign w:val="center"/>
          </w:tcPr>
          <w:p w14:paraId="224FABFA">
            <w:pPr>
              <w:spacing w:line="240" w:lineRule="exact"/>
              <w:jc w:val="right"/>
              <w:rPr>
                <w:rFonts w:ascii="宋体" w:hAnsi="宋体" w:eastAsia="宋体" w:cs="宋体"/>
                <w:sz w:val="18"/>
                <w:szCs w:val="18"/>
              </w:rPr>
            </w:pPr>
            <w:r>
              <w:rPr>
                <w:rFonts w:ascii="宋体" w:hAnsi="宋体" w:eastAsia="宋体" w:cs="宋体"/>
                <w:sz w:val="18"/>
                <w:szCs w:val="18"/>
              </w:rPr>
              <w:t>5,864,956,167.00</w:t>
            </w:r>
          </w:p>
        </w:tc>
      </w:tr>
      <w:tr w14:paraId="60C0A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A17D562">
            <w:pPr>
              <w:spacing w:line="240" w:lineRule="exact"/>
              <w:rPr>
                <w:rFonts w:ascii="宋体" w:hAnsi="宋体" w:eastAsia="宋体" w:cs="宋体"/>
                <w:sz w:val="18"/>
                <w:szCs w:val="18"/>
              </w:rPr>
            </w:pPr>
            <w:r>
              <w:rPr>
                <w:rFonts w:ascii="宋体" w:hAnsi="宋体" w:eastAsia="宋体" w:cs="宋体"/>
                <w:sz w:val="18"/>
                <w:szCs w:val="18"/>
              </w:rPr>
              <w:t>棉业</w:t>
            </w:r>
          </w:p>
        </w:tc>
        <w:tc>
          <w:tcPr>
            <w:tcW w:w="1071" w:type="dxa"/>
            <w:tcBorders>
              <w:top w:val="single" w:color="auto" w:sz="2" w:space="0"/>
              <w:left w:val="single" w:color="auto" w:sz="2" w:space="0"/>
              <w:bottom w:val="single" w:color="auto" w:sz="2" w:space="0"/>
              <w:right w:val="single" w:color="auto" w:sz="2" w:space="0"/>
            </w:tcBorders>
            <w:vAlign w:val="center"/>
          </w:tcPr>
          <w:p w14:paraId="39DE8F3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DA6D47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EC2480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35E7D89">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3B05E9">
            <w:pPr>
              <w:spacing w:line="240" w:lineRule="exact"/>
              <w:jc w:val="right"/>
              <w:rPr>
                <w:rFonts w:ascii="宋体" w:hAnsi="宋体" w:eastAsia="宋体" w:cs="宋体"/>
                <w:sz w:val="18"/>
                <w:szCs w:val="18"/>
              </w:rPr>
            </w:pPr>
            <w:r>
              <w:rPr>
                <w:rFonts w:ascii="宋体" w:hAnsi="宋体" w:eastAsia="宋体" w:cs="宋体"/>
                <w:sz w:val="18"/>
                <w:szCs w:val="18"/>
              </w:rPr>
              <w:t>1,221,713,392.00</w:t>
            </w:r>
          </w:p>
        </w:tc>
        <w:tc>
          <w:tcPr>
            <w:tcW w:w="1071" w:type="dxa"/>
            <w:tcBorders>
              <w:top w:val="single" w:color="auto" w:sz="2" w:space="0"/>
              <w:left w:val="single" w:color="auto" w:sz="2" w:space="0"/>
              <w:bottom w:val="single" w:color="auto" w:sz="2" w:space="0"/>
              <w:right w:val="single" w:color="auto" w:sz="2" w:space="0"/>
            </w:tcBorders>
            <w:vAlign w:val="center"/>
          </w:tcPr>
          <w:p w14:paraId="2004F6FA">
            <w:pPr>
              <w:spacing w:line="240" w:lineRule="exact"/>
              <w:jc w:val="right"/>
              <w:rPr>
                <w:rFonts w:ascii="宋体" w:hAnsi="宋体" w:eastAsia="宋体" w:cs="宋体"/>
                <w:sz w:val="18"/>
                <w:szCs w:val="18"/>
              </w:rPr>
            </w:pPr>
            <w:r>
              <w:rPr>
                <w:rFonts w:ascii="宋体" w:hAnsi="宋体" w:eastAsia="宋体" w:cs="宋体"/>
                <w:sz w:val="18"/>
                <w:szCs w:val="18"/>
              </w:rPr>
              <w:t>1,171,314,999.86</w:t>
            </w:r>
          </w:p>
        </w:tc>
        <w:tc>
          <w:tcPr>
            <w:tcW w:w="1071" w:type="dxa"/>
            <w:tcBorders>
              <w:top w:val="single" w:color="auto" w:sz="2" w:space="0"/>
              <w:left w:val="single" w:color="auto" w:sz="2" w:space="0"/>
              <w:bottom w:val="single" w:color="auto" w:sz="2" w:space="0"/>
              <w:right w:val="single" w:color="auto" w:sz="2" w:space="0"/>
            </w:tcBorders>
            <w:vAlign w:val="center"/>
          </w:tcPr>
          <w:p w14:paraId="54491F8E">
            <w:pPr>
              <w:spacing w:line="240" w:lineRule="exact"/>
              <w:jc w:val="right"/>
              <w:rPr>
                <w:rFonts w:ascii="宋体" w:hAnsi="宋体" w:eastAsia="宋体" w:cs="宋体"/>
                <w:sz w:val="18"/>
                <w:szCs w:val="18"/>
              </w:rPr>
            </w:pPr>
            <w:r>
              <w:rPr>
                <w:rFonts w:ascii="宋体" w:hAnsi="宋体" w:eastAsia="宋体" w:cs="宋体"/>
                <w:sz w:val="18"/>
                <w:szCs w:val="18"/>
              </w:rPr>
              <w:t>1,221,713,392.00</w:t>
            </w:r>
          </w:p>
        </w:tc>
        <w:tc>
          <w:tcPr>
            <w:tcW w:w="1071" w:type="dxa"/>
            <w:tcBorders>
              <w:top w:val="single" w:color="auto" w:sz="2" w:space="0"/>
              <w:left w:val="single" w:color="auto" w:sz="2" w:space="0"/>
              <w:bottom w:val="single" w:color="auto" w:sz="2" w:space="0"/>
              <w:right w:val="single" w:color="auto" w:sz="2" w:space="0"/>
            </w:tcBorders>
            <w:vAlign w:val="center"/>
          </w:tcPr>
          <w:p w14:paraId="41B50705">
            <w:pPr>
              <w:spacing w:line="240" w:lineRule="exact"/>
              <w:jc w:val="right"/>
              <w:rPr>
                <w:rFonts w:ascii="宋体" w:hAnsi="宋体" w:eastAsia="宋体" w:cs="宋体"/>
                <w:sz w:val="18"/>
                <w:szCs w:val="18"/>
              </w:rPr>
            </w:pPr>
            <w:r>
              <w:rPr>
                <w:rFonts w:ascii="宋体" w:hAnsi="宋体" w:eastAsia="宋体" w:cs="宋体"/>
                <w:sz w:val="18"/>
                <w:szCs w:val="18"/>
              </w:rPr>
              <w:t>1,171,314,999.86</w:t>
            </w:r>
          </w:p>
        </w:tc>
      </w:tr>
      <w:tr w14:paraId="5B738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E4A4799">
            <w:pPr>
              <w:spacing w:line="240" w:lineRule="exact"/>
              <w:rPr>
                <w:rFonts w:ascii="宋体" w:hAnsi="宋体" w:eastAsia="宋体" w:cs="宋体"/>
                <w:sz w:val="18"/>
                <w:szCs w:val="18"/>
              </w:rPr>
            </w:pPr>
            <w:r>
              <w:rPr>
                <w:rFonts w:ascii="宋体" w:hAnsi="宋体" w:eastAsia="宋体" w:cs="宋体"/>
                <w:sz w:val="18"/>
                <w:szCs w:val="18"/>
              </w:rPr>
              <w:t>袜业</w:t>
            </w:r>
          </w:p>
        </w:tc>
        <w:tc>
          <w:tcPr>
            <w:tcW w:w="1071" w:type="dxa"/>
            <w:tcBorders>
              <w:top w:val="single" w:color="auto" w:sz="2" w:space="0"/>
              <w:left w:val="single" w:color="auto" w:sz="2" w:space="0"/>
              <w:bottom w:val="single" w:color="auto" w:sz="2" w:space="0"/>
              <w:right w:val="single" w:color="auto" w:sz="2" w:space="0"/>
            </w:tcBorders>
            <w:vAlign w:val="center"/>
          </w:tcPr>
          <w:p w14:paraId="2AA9D0A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6B96A8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37C602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50B3EC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0CBF21C">
            <w:pPr>
              <w:spacing w:line="240" w:lineRule="exact"/>
              <w:jc w:val="right"/>
              <w:rPr>
                <w:rFonts w:ascii="宋体" w:hAnsi="宋体" w:eastAsia="宋体" w:cs="宋体"/>
                <w:sz w:val="18"/>
                <w:szCs w:val="18"/>
              </w:rPr>
            </w:pPr>
            <w:r>
              <w:rPr>
                <w:rFonts w:ascii="宋体" w:hAnsi="宋体" w:eastAsia="宋体" w:cs="宋体"/>
                <w:sz w:val="18"/>
                <w:szCs w:val="18"/>
              </w:rPr>
              <w:t>286,335,624.05</w:t>
            </w:r>
          </w:p>
        </w:tc>
        <w:tc>
          <w:tcPr>
            <w:tcW w:w="1071" w:type="dxa"/>
            <w:tcBorders>
              <w:top w:val="single" w:color="auto" w:sz="2" w:space="0"/>
              <w:left w:val="single" w:color="auto" w:sz="2" w:space="0"/>
              <w:bottom w:val="single" w:color="auto" w:sz="2" w:space="0"/>
              <w:right w:val="single" w:color="auto" w:sz="2" w:space="0"/>
            </w:tcBorders>
            <w:vAlign w:val="center"/>
          </w:tcPr>
          <w:p w14:paraId="3CEBB9D8">
            <w:pPr>
              <w:spacing w:line="240" w:lineRule="exact"/>
              <w:jc w:val="right"/>
              <w:rPr>
                <w:rFonts w:ascii="宋体" w:hAnsi="宋体" w:eastAsia="宋体" w:cs="宋体"/>
                <w:sz w:val="18"/>
                <w:szCs w:val="18"/>
              </w:rPr>
            </w:pPr>
            <w:r>
              <w:rPr>
                <w:rFonts w:ascii="宋体" w:hAnsi="宋体" w:eastAsia="宋体" w:cs="宋体"/>
                <w:sz w:val="18"/>
                <w:szCs w:val="18"/>
              </w:rPr>
              <w:t>218,565,098.96</w:t>
            </w:r>
          </w:p>
        </w:tc>
        <w:tc>
          <w:tcPr>
            <w:tcW w:w="1071" w:type="dxa"/>
            <w:tcBorders>
              <w:top w:val="single" w:color="auto" w:sz="2" w:space="0"/>
              <w:left w:val="single" w:color="auto" w:sz="2" w:space="0"/>
              <w:bottom w:val="single" w:color="auto" w:sz="2" w:space="0"/>
              <w:right w:val="single" w:color="auto" w:sz="2" w:space="0"/>
            </w:tcBorders>
            <w:vAlign w:val="center"/>
          </w:tcPr>
          <w:p w14:paraId="35D36690">
            <w:pPr>
              <w:spacing w:line="240" w:lineRule="exact"/>
              <w:jc w:val="right"/>
              <w:rPr>
                <w:rFonts w:ascii="宋体" w:hAnsi="宋体" w:eastAsia="宋体" w:cs="宋体"/>
                <w:sz w:val="18"/>
                <w:szCs w:val="18"/>
              </w:rPr>
            </w:pPr>
            <w:r>
              <w:rPr>
                <w:rFonts w:ascii="宋体" w:hAnsi="宋体" w:eastAsia="宋体" w:cs="宋体"/>
                <w:sz w:val="18"/>
                <w:szCs w:val="18"/>
              </w:rPr>
              <w:t>286,335,624.05</w:t>
            </w:r>
          </w:p>
        </w:tc>
        <w:tc>
          <w:tcPr>
            <w:tcW w:w="1071" w:type="dxa"/>
            <w:tcBorders>
              <w:top w:val="single" w:color="auto" w:sz="2" w:space="0"/>
              <w:left w:val="single" w:color="auto" w:sz="2" w:space="0"/>
              <w:bottom w:val="single" w:color="auto" w:sz="2" w:space="0"/>
              <w:right w:val="single" w:color="auto" w:sz="2" w:space="0"/>
            </w:tcBorders>
            <w:vAlign w:val="center"/>
          </w:tcPr>
          <w:p w14:paraId="2017A442">
            <w:pPr>
              <w:spacing w:line="240" w:lineRule="exact"/>
              <w:jc w:val="right"/>
              <w:rPr>
                <w:rFonts w:ascii="宋体" w:hAnsi="宋体" w:eastAsia="宋体" w:cs="宋体"/>
                <w:sz w:val="18"/>
                <w:szCs w:val="18"/>
              </w:rPr>
            </w:pPr>
            <w:r>
              <w:rPr>
                <w:rFonts w:ascii="宋体" w:hAnsi="宋体" w:eastAsia="宋体" w:cs="宋体"/>
                <w:sz w:val="18"/>
                <w:szCs w:val="18"/>
              </w:rPr>
              <w:t>218,565,098.96</w:t>
            </w:r>
          </w:p>
        </w:tc>
      </w:tr>
      <w:tr w14:paraId="0EA7A6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6F9DBC80">
            <w:pPr>
              <w:spacing w:line="240" w:lineRule="exact"/>
              <w:rPr>
                <w:rFonts w:ascii="宋体" w:hAnsi="宋体" w:eastAsia="宋体" w:cs="宋体"/>
                <w:sz w:val="18"/>
                <w:szCs w:val="18"/>
              </w:rPr>
            </w:pPr>
            <w:r>
              <w:rPr>
                <w:rFonts w:ascii="宋体" w:hAnsi="宋体" w:eastAsia="宋体" w:cs="宋体"/>
                <w:sz w:val="18"/>
                <w:szCs w:val="18"/>
              </w:rPr>
              <w:t>算力及AI</w:t>
            </w:r>
          </w:p>
        </w:tc>
        <w:tc>
          <w:tcPr>
            <w:tcW w:w="1071" w:type="dxa"/>
            <w:tcBorders>
              <w:top w:val="single" w:color="auto" w:sz="2" w:space="0"/>
              <w:left w:val="single" w:color="auto" w:sz="2" w:space="0"/>
              <w:bottom w:val="single" w:color="auto" w:sz="2" w:space="0"/>
              <w:right w:val="single" w:color="auto" w:sz="2" w:space="0"/>
            </w:tcBorders>
            <w:vAlign w:val="center"/>
          </w:tcPr>
          <w:p w14:paraId="11630FE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1D7C5F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915F15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BBB8DB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E6A2319">
            <w:pPr>
              <w:spacing w:line="240" w:lineRule="exact"/>
              <w:jc w:val="right"/>
              <w:rPr>
                <w:rFonts w:ascii="宋体" w:hAnsi="宋体" w:eastAsia="宋体" w:cs="宋体"/>
                <w:sz w:val="18"/>
                <w:szCs w:val="18"/>
              </w:rPr>
            </w:pPr>
            <w:r>
              <w:rPr>
                <w:rFonts w:ascii="宋体" w:hAnsi="宋体" w:eastAsia="宋体" w:cs="宋体"/>
                <w:sz w:val="18"/>
                <w:szCs w:val="18"/>
              </w:rPr>
              <w:t>47,927,541.93</w:t>
            </w:r>
          </w:p>
        </w:tc>
        <w:tc>
          <w:tcPr>
            <w:tcW w:w="1071" w:type="dxa"/>
            <w:tcBorders>
              <w:top w:val="single" w:color="auto" w:sz="2" w:space="0"/>
              <w:left w:val="single" w:color="auto" w:sz="2" w:space="0"/>
              <w:bottom w:val="single" w:color="auto" w:sz="2" w:space="0"/>
              <w:right w:val="single" w:color="auto" w:sz="2" w:space="0"/>
            </w:tcBorders>
            <w:vAlign w:val="center"/>
          </w:tcPr>
          <w:p w14:paraId="0800A431">
            <w:pPr>
              <w:spacing w:line="240" w:lineRule="exact"/>
              <w:jc w:val="right"/>
              <w:rPr>
                <w:rFonts w:ascii="宋体" w:hAnsi="宋体" w:eastAsia="宋体" w:cs="宋体"/>
                <w:sz w:val="18"/>
                <w:szCs w:val="18"/>
              </w:rPr>
            </w:pPr>
            <w:r>
              <w:rPr>
                <w:rFonts w:ascii="宋体" w:hAnsi="宋体" w:eastAsia="宋体" w:cs="宋体"/>
                <w:sz w:val="18"/>
                <w:szCs w:val="18"/>
              </w:rPr>
              <w:t>30,354,058.21</w:t>
            </w:r>
          </w:p>
        </w:tc>
        <w:tc>
          <w:tcPr>
            <w:tcW w:w="1071" w:type="dxa"/>
            <w:tcBorders>
              <w:top w:val="single" w:color="auto" w:sz="2" w:space="0"/>
              <w:left w:val="single" w:color="auto" w:sz="2" w:space="0"/>
              <w:bottom w:val="single" w:color="auto" w:sz="2" w:space="0"/>
              <w:right w:val="single" w:color="auto" w:sz="2" w:space="0"/>
            </w:tcBorders>
            <w:vAlign w:val="center"/>
          </w:tcPr>
          <w:p w14:paraId="5E580FAD">
            <w:pPr>
              <w:spacing w:line="240" w:lineRule="exact"/>
              <w:jc w:val="right"/>
              <w:rPr>
                <w:rFonts w:ascii="宋体" w:hAnsi="宋体" w:eastAsia="宋体" w:cs="宋体"/>
                <w:sz w:val="18"/>
                <w:szCs w:val="18"/>
              </w:rPr>
            </w:pPr>
            <w:r>
              <w:rPr>
                <w:rFonts w:ascii="宋体" w:hAnsi="宋体" w:eastAsia="宋体" w:cs="宋体"/>
                <w:sz w:val="18"/>
                <w:szCs w:val="18"/>
              </w:rPr>
              <w:t>47,927,541.93</w:t>
            </w:r>
          </w:p>
        </w:tc>
        <w:tc>
          <w:tcPr>
            <w:tcW w:w="1071" w:type="dxa"/>
            <w:tcBorders>
              <w:top w:val="single" w:color="auto" w:sz="2" w:space="0"/>
              <w:left w:val="single" w:color="auto" w:sz="2" w:space="0"/>
              <w:bottom w:val="single" w:color="auto" w:sz="2" w:space="0"/>
              <w:right w:val="single" w:color="auto" w:sz="2" w:space="0"/>
            </w:tcBorders>
            <w:vAlign w:val="center"/>
          </w:tcPr>
          <w:p w14:paraId="64184A89">
            <w:pPr>
              <w:spacing w:line="240" w:lineRule="exact"/>
              <w:jc w:val="right"/>
              <w:rPr>
                <w:rFonts w:ascii="宋体" w:hAnsi="宋体" w:eastAsia="宋体" w:cs="宋体"/>
                <w:sz w:val="18"/>
                <w:szCs w:val="18"/>
              </w:rPr>
            </w:pPr>
            <w:r>
              <w:rPr>
                <w:rFonts w:ascii="宋体" w:hAnsi="宋体" w:eastAsia="宋体" w:cs="宋体"/>
                <w:sz w:val="18"/>
                <w:szCs w:val="18"/>
              </w:rPr>
              <w:t>30,354,058.21</w:t>
            </w:r>
          </w:p>
        </w:tc>
      </w:tr>
      <w:tr w14:paraId="5FA6A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D1D6B17">
            <w:pPr>
              <w:spacing w:line="240" w:lineRule="exac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14:paraId="64FAB1E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481A9C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3D4103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5F3F7A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45A32AF">
            <w:pPr>
              <w:spacing w:line="240" w:lineRule="exact"/>
              <w:jc w:val="right"/>
              <w:rPr>
                <w:rFonts w:ascii="宋体" w:hAnsi="宋体" w:eastAsia="宋体" w:cs="宋体"/>
                <w:sz w:val="18"/>
                <w:szCs w:val="18"/>
              </w:rPr>
            </w:pPr>
            <w:r>
              <w:rPr>
                <w:rFonts w:ascii="宋体" w:hAnsi="宋体" w:eastAsia="宋体" w:cs="宋体"/>
                <w:sz w:val="18"/>
                <w:szCs w:val="18"/>
              </w:rPr>
              <w:t>147,444,912.65</w:t>
            </w:r>
          </w:p>
        </w:tc>
        <w:tc>
          <w:tcPr>
            <w:tcW w:w="1071" w:type="dxa"/>
            <w:tcBorders>
              <w:top w:val="single" w:color="auto" w:sz="2" w:space="0"/>
              <w:left w:val="single" w:color="auto" w:sz="2" w:space="0"/>
              <w:bottom w:val="single" w:color="auto" w:sz="2" w:space="0"/>
              <w:right w:val="single" w:color="auto" w:sz="2" w:space="0"/>
            </w:tcBorders>
            <w:vAlign w:val="center"/>
          </w:tcPr>
          <w:p w14:paraId="68BE3B86">
            <w:pPr>
              <w:spacing w:line="240" w:lineRule="exact"/>
              <w:jc w:val="right"/>
              <w:rPr>
                <w:rFonts w:ascii="宋体" w:hAnsi="宋体" w:eastAsia="宋体" w:cs="宋体"/>
                <w:sz w:val="18"/>
                <w:szCs w:val="18"/>
              </w:rPr>
            </w:pPr>
            <w:r>
              <w:rPr>
                <w:rFonts w:ascii="宋体" w:hAnsi="宋体" w:eastAsia="宋体" w:cs="宋体"/>
                <w:sz w:val="18"/>
                <w:szCs w:val="18"/>
              </w:rPr>
              <w:t>23,836,453.39</w:t>
            </w:r>
          </w:p>
        </w:tc>
        <w:tc>
          <w:tcPr>
            <w:tcW w:w="1071" w:type="dxa"/>
            <w:tcBorders>
              <w:top w:val="single" w:color="auto" w:sz="2" w:space="0"/>
              <w:left w:val="single" w:color="auto" w:sz="2" w:space="0"/>
              <w:bottom w:val="single" w:color="auto" w:sz="2" w:space="0"/>
              <w:right w:val="single" w:color="auto" w:sz="2" w:space="0"/>
            </w:tcBorders>
            <w:vAlign w:val="center"/>
          </w:tcPr>
          <w:p w14:paraId="1FDD94F7">
            <w:pPr>
              <w:spacing w:line="240" w:lineRule="exact"/>
              <w:jc w:val="right"/>
              <w:rPr>
                <w:rFonts w:ascii="宋体" w:hAnsi="宋体" w:eastAsia="宋体" w:cs="宋体"/>
                <w:sz w:val="18"/>
                <w:szCs w:val="18"/>
              </w:rPr>
            </w:pPr>
            <w:r>
              <w:rPr>
                <w:rFonts w:ascii="宋体" w:hAnsi="宋体" w:eastAsia="宋体" w:cs="宋体"/>
                <w:sz w:val="18"/>
                <w:szCs w:val="18"/>
              </w:rPr>
              <w:t>147,444,912.65</w:t>
            </w:r>
          </w:p>
        </w:tc>
        <w:tc>
          <w:tcPr>
            <w:tcW w:w="1071" w:type="dxa"/>
            <w:tcBorders>
              <w:top w:val="single" w:color="auto" w:sz="2" w:space="0"/>
              <w:left w:val="single" w:color="auto" w:sz="2" w:space="0"/>
              <w:bottom w:val="single" w:color="auto" w:sz="2" w:space="0"/>
              <w:right w:val="single" w:color="auto" w:sz="2" w:space="0"/>
            </w:tcBorders>
            <w:vAlign w:val="center"/>
          </w:tcPr>
          <w:p w14:paraId="38CDB921">
            <w:pPr>
              <w:spacing w:line="240" w:lineRule="exact"/>
              <w:jc w:val="right"/>
              <w:rPr>
                <w:rFonts w:ascii="宋体" w:hAnsi="宋体" w:eastAsia="宋体" w:cs="宋体"/>
                <w:sz w:val="18"/>
                <w:szCs w:val="18"/>
              </w:rPr>
            </w:pPr>
            <w:r>
              <w:rPr>
                <w:rFonts w:ascii="宋体" w:hAnsi="宋体" w:eastAsia="宋体" w:cs="宋体"/>
                <w:sz w:val="18"/>
                <w:szCs w:val="18"/>
              </w:rPr>
              <w:t>23,836,453.39</w:t>
            </w:r>
          </w:p>
        </w:tc>
      </w:tr>
      <w:tr w14:paraId="154C5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429AA9B">
            <w:pPr>
              <w:spacing w:before="40" w:after="40" w:line="240" w:lineRule="exact"/>
              <w:rPr>
                <w:rFonts w:ascii="宋体" w:hAnsi="宋体" w:eastAsia="宋体" w:cs="宋体"/>
                <w:sz w:val="18"/>
                <w:szCs w:val="18"/>
              </w:rPr>
            </w:pPr>
            <w:r>
              <w:rPr>
                <w:rFonts w:ascii="宋体" w:hAnsi="宋体" w:eastAsia="宋体" w:cs="宋体"/>
                <w:sz w:val="18"/>
                <w:szCs w:val="18"/>
              </w:rPr>
              <w:t>按经营地区分类</w:t>
            </w:r>
          </w:p>
        </w:tc>
        <w:tc>
          <w:tcPr>
            <w:tcW w:w="1071" w:type="dxa"/>
            <w:tcBorders>
              <w:top w:val="single" w:color="auto" w:sz="2" w:space="0"/>
              <w:left w:val="single" w:color="auto" w:sz="2" w:space="0"/>
              <w:bottom w:val="single" w:color="auto" w:sz="2" w:space="0"/>
              <w:right w:val="single" w:color="auto" w:sz="2" w:space="0"/>
            </w:tcBorders>
            <w:vAlign w:val="center"/>
          </w:tcPr>
          <w:p w14:paraId="4AF397A8">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ACDD9E4">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EBB4DA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2BB0DC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B3558F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8194A99">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406C1D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A6A6587">
            <w:pPr>
              <w:spacing w:line="240" w:lineRule="exact"/>
              <w:jc w:val="right"/>
              <w:rPr>
                <w:rFonts w:ascii="宋体" w:hAnsi="宋体" w:eastAsia="宋体" w:cs="宋体"/>
                <w:sz w:val="18"/>
                <w:szCs w:val="18"/>
              </w:rPr>
            </w:pPr>
          </w:p>
        </w:tc>
      </w:tr>
      <w:tr w14:paraId="13394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DB80668">
            <w:pPr>
              <w:spacing w:before="40" w:after="40" w:line="240" w:lineRule="exac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A5F8DB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9604CEA"/>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AA2670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AC6176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AD7B6B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C9B1D2E"/>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5B4722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9F8C9CE"/>
        </w:tc>
      </w:tr>
      <w:tr w14:paraId="63A98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001C8DF">
            <w:pPr>
              <w:spacing w:line="240" w:lineRule="exact"/>
              <w:rPr>
                <w:rFonts w:ascii="宋体" w:hAnsi="宋体" w:eastAsia="宋体" w:cs="宋体"/>
                <w:sz w:val="18"/>
                <w:szCs w:val="18"/>
              </w:rPr>
            </w:pPr>
            <w:r>
              <w:rPr>
                <w:rFonts w:ascii="宋体" w:hAnsi="宋体" w:eastAsia="宋体" w:cs="宋体"/>
                <w:sz w:val="18"/>
                <w:szCs w:val="18"/>
              </w:rPr>
              <w:t>境外销售</w:t>
            </w:r>
          </w:p>
        </w:tc>
        <w:tc>
          <w:tcPr>
            <w:tcW w:w="1071" w:type="dxa"/>
            <w:tcBorders>
              <w:top w:val="single" w:color="auto" w:sz="2" w:space="0"/>
              <w:left w:val="single" w:color="auto" w:sz="2" w:space="0"/>
              <w:bottom w:val="single" w:color="auto" w:sz="2" w:space="0"/>
              <w:right w:val="single" w:color="auto" w:sz="2" w:space="0"/>
            </w:tcBorders>
            <w:vAlign w:val="center"/>
          </w:tcPr>
          <w:p w14:paraId="0485ECA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AC10B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79EC7F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E06B40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6032437">
            <w:pPr>
              <w:spacing w:line="240" w:lineRule="exact"/>
              <w:jc w:val="right"/>
              <w:rPr>
                <w:rFonts w:ascii="宋体" w:hAnsi="宋体" w:eastAsia="宋体" w:cs="宋体"/>
                <w:sz w:val="18"/>
                <w:szCs w:val="18"/>
              </w:rPr>
            </w:pPr>
            <w:r>
              <w:rPr>
                <w:rFonts w:ascii="宋体" w:hAnsi="宋体" w:eastAsia="宋体" w:cs="宋体"/>
                <w:sz w:val="18"/>
                <w:szCs w:val="18"/>
              </w:rPr>
              <w:t>1,027,434,850.30</w:t>
            </w:r>
          </w:p>
        </w:tc>
        <w:tc>
          <w:tcPr>
            <w:tcW w:w="1071" w:type="dxa"/>
            <w:tcBorders>
              <w:top w:val="single" w:color="auto" w:sz="2" w:space="0"/>
              <w:left w:val="single" w:color="auto" w:sz="2" w:space="0"/>
              <w:bottom w:val="single" w:color="auto" w:sz="2" w:space="0"/>
              <w:right w:val="single" w:color="auto" w:sz="2" w:space="0"/>
            </w:tcBorders>
            <w:vAlign w:val="center"/>
          </w:tcPr>
          <w:p w14:paraId="41C24FF8">
            <w:pPr>
              <w:spacing w:line="240" w:lineRule="exact"/>
              <w:jc w:val="right"/>
              <w:rPr>
                <w:rFonts w:ascii="宋体" w:hAnsi="宋体" w:eastAsia="宋体" w:cs="宋体"/>
                <w:sz w:val="18"/>
                <w:szCs w:val="18"/>
              </w:rPr>
            </w:pPr>
            <w:r>
              <w:rPr>
                <w:rFonts w:ascii="宋体" w:hAnsi="宋体" w:eastAsia="宋体" w:cs="宋体"/>
                <w:sz w:val="18"/>
                <w:szCs w:val="18"/>
              </w:rPr>
              <w:t>894,614,070.19</w:t>
            </w:r>
          </w:p>
        </w:tc>
        <w:tc>
          <w:tcPr>
            <w:tcW w:w="1071" w:type="dxa"/>
            <w:tcBorders>
              <w:top w:val="single" w:color="auto" w:sz="2" w:space="0"/>
              <w:left w:val="single" w:color="auto" w:sz="2" w:space="0"/>
              <w:bottom w:val="single" w:color="auto" w:sz="2" w:space="0"/>
              <w:right w:val="single" w:color="auto" w:sz="2" w:space="0"/>
            </w:tcBorders>
            <w:vAlign w:val="center"/>
          </w:tcPr>
          <w:p w14:paraId="40B1879D">
            <w:pPr>
              <w:spacing w:line="240" w:lineRule="exact"/>
              <w:jc w:val="right"/>
              <w:rPr>
                <w:rFonts w:ascii="宋体" w:hAnsi="宋体" w:eastAsia="宋体" w:cs="宋体"/>
                <w:sz w:val="18"/>
                <w:szCs w:val="18"/>
              </w:rPr>
            </w:pPr>
            <w:r>
              <w:rPr>
                <w:rFonts w:ascii="宋体" w:hAnsi="宋体" w:eastAsia="宋体" w:cs="宋体"/>
                <w:sz w:val="18"/>
                <w:szCs w:val="18"/>
              </w:rPr>
              <w:t>1,027,434,850.30</w:t>
            </w:r>
          </w:p>
        </w:tc>
        <w:tc>
          <w:tcPr>
            <w:tcW w:w="1071" w:type="dxa"/>
            <w:tcBorders>
              <w:top w:val="single" w:color="auto" w:sz="2" w:space="0"/>
              <w:left w:val="single" w:color="auto" w:sz="2" w:space="0"/>
              <w:bottom w:val="single" w:color="auto" w:sz="2" w:space="0"/>
              <w:right w:val="single" w:color="auto" w:sz="2" w:space="0"/>
            </w:tcBorders>
            <w:vAlign w:val="center"/>
          </w:tcPr>
          <w:p w14:paraId="171D410C">
            <w:pPr>
              <w:spacing w:line="240" w:lineRule="exact"/>
              <w:jc w:val="right"/>
              <w:rPr>
                <w:rFonts w:ascii="宋体" w:hAnsi="宋体" w:eastAsia="宋体" w:cs="宋体"/>
                <w:sz w:val="18"/>
                <w:szCs w:val="18"/>
              </w:rPr>
            </w:pPr>
            <w:r>
              <w:rPr>
                <w:rFonts w:ascii="宋体" w:hAnsi="宋体" w:eastAsia="宋体" w:cs="宋体"/>
                <w:sz w:val="18"/>
                <w:szCs w:val="18"/>
              </w:rPr>
              <w:t>894,614,070.19</w:t>
            </w:r>
          </w:p>
        </w:tc>
      </w:tr>
      <w:tr w14:paraId="15581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000706B">
            <w:pPr>
              <w:spacing w:line="240" w:lineRule="exact"/>
              <w:rPr>
                <w:rFonts w:ascii="宋体" w:hAnsi="宋体" w:eastAsia="宋体" w:cs="宋体"/>
                <w:sz w:val="18"/>
                <w:szCs w:val="18"/>
              </w:rPr>
            </w:pPr>
            <w:r>
              <w:rPr>
                <w:rFonts w:ascii="宋体" w:hAnsi="宋体" w:eastAsia="宋体" w:cs="宋体"/>
                <w:sz w:val="18"/>
                <w:szCs w:val="18"/>
              </w:rPr>
              <w:t>境内销售</w:t>
            </w:r>
          </w:p>
        </w:tc>
        <w:tc>
          <w:tcPr>
            <w:tcW w:w="1071" w:type="dxa"/>
            <w:tcBorders>
              <w:top w:val="single" w:color="auto" w:sz="2" w:space="0"/>
              <w:left w:val="single" w:color="auto" w:sz="2" w:space="0"/>
              <w:bottom w:val="single" w:color="auto" w:sz="2" w:space="0"/>
              <w:right w:val="single" w:color="auto" w:sz="2" w:space="0"/>
            </w:tcBorders>
            <w:vAlign w:val="center"/>
          </w:tcPr>
          <w:p w14:paraId="73374E58">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A75492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D9C625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891DA7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459648F">
            <w:pPr>
              <w:spacing w:line="240" w:lineRule="exact"/>
              <w:jc w:val="right"/>
              <w:rPr>
                <w:rFonts w:ascii="宋体" w:hAnsi="宋体" w:eastAsia="宋体" w:cs="宋体"/>
                <w:sz w:val="18"/>
                <w:szCs w:val="18"/>
              </w:rPr>
            </w:pPr>
            <w:r>
              <w:rPr>
                <w:rFonts w:ascii="宋体" w:hAnsi="宋体" w:eastAsia="宋体" w:cs="宋体"/>
                <w:sz w:val="18"/>
                <w:szCs w:val="18"/>
              </w:rPr>
              <w:t>7,022,624,872.65</w:t>
            </w:r>
          </w:p>
        </w:tc>
        <w:tc>
          <w:tcPr>
            <w:tcW w:w="1071" w:type="dxa"/>
            <w:tcBorders>
              <w:top w:val="single" w:color="auto" w:sz="2" w:space="0"/>
              <w:left w:val="single" w:color="auto" w:sz="2" w:space="0"/>
              <w:bottom w:val="single" w:color="auto" w:sz="2" w:space="0"/>
              <w:right w:val="single" w:color="auto" w:sz="2" w:space="0"/>
            </w:tcBorders>
            <w:vAlign w:val="center"/>
          </w:tcPr>
          <w:p w14:paraId="039B8603">
            <w:pPr>
              <w:spacing w:line="240" w:lineRule="exact"/>
              <w:jc w:val="right"/>
              <w:rPr>
                <w:rFonts w:ascii="宋体" w:hAnsi="宋体" w:eastAsia="宋体" w:cs="宋体"/>
                <w:sz w:val="18"/>
                <w:szCs w:val="18"/>
              </w:rPr>
            </w:pPr>
            <w:r>
              <w:rPr>
                <w:rFonts w:ascii="宋体" w:hAnsi="宋体" w:eastAsia="宋体" w:cs="宋体"/>
                <w:sz w:val="18"/>
                <w:szCs w:val="18"/>
              </w:rPr>
              <w:t>6,414,412,707.23</w:t>
            </w:r>
          </w:p>
        </w:tc>
        <w:tc>
          <w:tcPr>
            <w:tcW w:w="1071" w:type="dxa"/>
            <w:tcBorders>
              <w:top w:val="single" w:color="auto" w:sz="2" w:space="0"/>
              <w:left w:val="single" w:color="auto" w:sz="2" w:space="0"/>
              <w:bottom w:val="single" w:color="auto" w:sz="2" w:space="0"/>
              <w:right w:val="single" w:color="auto" w:sz="2" w:space="0"/>
            </w:tcBorders>
            <w:vAlign w:val="center"/>
          </w:tcPr>
          <w:p w14:paraId="31CFC440">
            <w:pPr>
              <w:spacing w:line="240" w:lineRule="exact"/>
              <w:jc w:val="right"/>
              <w:rPr>
                <w:rFonts w:ascii="宋体" w:hAnsi="宋体" w:eastAsia="宋体" w:cs="宋体"/>
                <w:sz w:val="18"/>
                <w:szCs w:val="18"/>
              </w:rPr>
            </w:pPr>
            <w:r>
              <w:rPr>
                <w:rFonts w:ascii="宋体" w:hAnsi="宋体" w:eastAsia="宋体" w:cs="宋体"/>
                <w:sz w:val="18"/>
                <w:szCs w:val="18"/>
              </w:rPr>
              <w:t>7,022,624,872.65</w:t>
            </w:r>
          </w:p>
        </w:tc>
        <w:tc>
          <w:tcPr>
            <w:tcW w:w="1071" w:type="dxa"/>
            <w:tcBorders>
              <w:top w:val="single" w:color="auto" w:sz="2" w:space="0"/>
              <w:left w:val="single" w:color="auto" w:sz="2" w:space="0"/>
              <w:bottom w:val="single" w:color="auto" w:sz="2" w:space="0"/>
              <w:right w:val="single" w:color="auto" w:sz="2" w:space="0"/>
            </w:tcBorders>
            <w:vAlign w:val="center"/>
          </w:tcPr>
          <w:p w14:paraId="280E189D">
            <w:pPr>
              <w:spacing w:line="240" w:lineRule="exact"/>
              <w:jc w:val="right"/>
              <w:rPr>
                <w:rFonts w:ascii="宋体" w:hAnsi="宋体" w:eastAsia="宋体" w:cs="宋体"/>
                <w:sz w:val="18"/>
                <w:szCs w:val="18"/>
              </w:rPr>
            </w:pPr>
            <w:r>
              <w:rPr>
                <w:rFonts w:ascii="宋体" w:hAnsi="宋体" w:eastAsia="宋体" w:cs="宋体"/>
                <w:sz w:val="18"/>
                <w:szCs w:val="18"/>
              </w:rPr>
              <w:t>6,414,412,707.23</w:t>
            </w:r>
          </w:p>
        </w:tc>
      </w:tr>
      <w:tr w14:paraId="50A98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9A9C027">
            <w:pPr>
              <w:spacing w:before="40" w:after="40" w:line="240" w:lineRule="exact"/>
              <w:rPr>
                <w:rFonts w:ascii="宋体" w:hAnsi="宋体" w:eastAsia="宋体" w:cs="宋体"/>
                <w:sz w:val="18"/>
                <w:szCs w:val="18"/>
              </w:rPr>
            </w:pPr>
            <w:r>
              <w:rPr>
                <w:rFonts w:ascii="宋体" w:hAnsi="宋体" w:eastAsia="宋体" w:cs="宋体"/>
                <w:sz w:val="18"/>
                <w:szCs w:val="18"/>
              </w:rPr>
              <w:t>市场或客户类型</w:t>
            </w:r>
          </w:p>
        </w:tc>
        <w:tc>
          <w:tcPr>
            <w:tcW w:w="1071" w:type="dxa"/>
            <w:tcBorders>
              <w:top w:val="single" w:color="auto" w:sz="2" w:space="0"/>
              <w:left w:val="single" w:color="auto" w:sz="2" w:space="0"/>
              <w:bottom w:val="single" w:color="auto" w:sz="2" w:space="0"/>
              <w:right w:val="single" w:color="auto" w:sz="2" w:space="0"/>
            </w:tcBorders>
            <w:vAlign w:val="center"/>
          </w:tcPr>
          <w:p w14:paraId="4C2F659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79C4E0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FA758D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ABA3BC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E6FA8B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0956C0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BCC42A9">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EAFFA45">
            <w:pPr>
              <w:spacing w:line="240" w:lineRule="exact"/>
              <w:jc w:val="right"/>
              <w:rPr>
                <w:rFonts w:ascii="宋体" w:hAnsi="宋体" w:eastAsia="宋体" w:cs="宋体"/>
                <w:sz w:val="18"/>
                <w:szCs w:val="18"/>
              </w:rPr>
            </w:pPr>
          </w:p>
        </w:tc>
      </w:tr>
      <w:tr w14:paraId="16FB0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BA448DC">
            <w:pPr>
              <w:spacing w:before="40" w:after="40" w:line="240" w:lineRule="exac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66A7AF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21745A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F77FF8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496D01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E1B52A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AB9B1D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1D0BDFA"/>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C9C5A82"/>
        </w:tc>
      </w:tr>
      <w:tr w14:paraId="2806D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396D234">
            <w:pPr>
              <w:spacing w:line="240" w:lineRule="exac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1CD3A11">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BD495F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0BBC91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AF5B4C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4A176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C0D267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375625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382238B">
            <w:pPr>
              <w:spacing w:line="240" w:lineRule="exact"/>
              <w:jc w:val="right"/>
              <w:rPr>
                <w:rFonts w:ascii="宋体" w:hAnsi="宋体" w:eastAsia="宋体" w:cs="宋体"/>
                <w:sz w:val="18"/>
                <w:szCs w:val="18"/>
              </w:rPr>
            </w:pPr>
          </w:p>
        </w:tc>
      </w:tr>
      <w:tr w14:paraId="03224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DF9B865">
            <w:pPr>
              <w:spacing w:before="40" w:after="40" w:line="240" w:lineRule="exact"/>
              <w:rPr>
                <w:rFonts w:ascii="宋体" w:hAnsi="宋体" w:eastAsia="宋体" w:cs="宋体"/>
                <w:sz w:val="18"/>
                <w:szCs w:val="18"/>
              </w:rPr>
            </w:pPr>
            <w:r>
              <w:rPr>
                <w:rFonts w:ascii="宋体" w:hAnsi="宋体" w:eastAsia="宋体" w:cs="宋体"/>
                <w:sz w:val="18"/>
                <w:szCs w:val="18"/>
              </w:rPr>
              <w:t>合同类型</w:t>
            </w:r>
          </w:p>
        </w:tc>
        <w:tc>
          <w:tcPr>
            <w:tcW w:w="1071" w:type="dxa"/>
            <w:tcBorders>
              <w:top w:val="single" w:color="auto" w:sz="2" w:space="0"/>
              <w:left w:val="single" w:color="auto" w:sz="2" w:space="0"/>
              <w:bottom w:val="single" w:color="auto" w:sz="2" w:space="0"/>
              <w:right w:val="single" w:color="auto" w:sz="2" w:space="0"/>
            </w:tcBorders>
            <w:vAlign w:val="center"/>
          </w:tcPr>
          <w:p w14:paraId="6CBE81B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C7C28C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2EEE92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7BBAB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6CA904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5A48CC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B0A959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293B1E5">
            <w:pPr>
              <w:spacing w:line="240" w:lineRule="exact"/>
              <w:jc w:val="right"/>
              <w:rPr>
                <w:rFonts w:ascii="宋体" w:hAnsi="宋体" w:eastAsia="宋体" w:cs="宋体"/>
                <w:sz w:val="18"/>
                <w:szCs w:val="18"/>
              </w:rPr>
            </w:pPr>
          </w:p>
        </w:tc>
      </w:tr>
      <w:tr w14:paraId="5851C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77A452A">
            <w:pPr>
              <w:spacing w:before="40" w:after="40" w:line="240" w:lineRule="exac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0BD91F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4EC60F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A602F9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DCB004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DAF45F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EEC8ABA"/>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E6EAD5A"/>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76A1914"/>
        </w:tc>
      </w:tr>
      <w:tr w14:paraId="7F2C4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54D00E2">
            <w:pPr>
              <w:spacing w:line="240" w:lineRule="exac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9A2EB6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28DAB7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D0FB7A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96587C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9BECE3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A0623C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64C9FF9">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051FE45">
            <w:pPr>
              <w:spacing w:line="240" w:lineRule="exact"/>
              <w:jc w:val="right"/>
              <w:rPr>
                <w:rFonts w:ascii="宋体" w:hAnsi="宋体" w:eastAsia="宋体" w:cs="宋体"/>
                <w:sz w:val="18"/>
                <w:szCs w:val="18"/>
              </w:rPr>
            </w:pPr>
          </w:p>
        </w:tc>
      </w:tr>
      <w:tr w14:paraId="410EC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2D6B56B">
            <w:pPr>
              <w:spacing w:before="40" w:after="40" w:line="240" w:lineRule="exact"/>
              <w:rPr>
                <w:rFonts w:ascii="宋体" w:hAnsi="宋体" w:eastAsia="宋体" w:cs="宋体"/>
                <w:sz w:val="18"/>
                <w:szCs w:val="18"/>
              </w:rPr>
            </w:pPr>
            <w:r>
              <w:rPr>
                <w:rFonts w:ascii="宋体" w:hAnsi="宋体" w:eastAsia="宋体" w:cs="宋体"/>
                <w:sz w:val="18"/>
                <w:szCs w:val="18"/>
              </w:rPr>
              <w:t>按商品转让的时间分类</w:t>
            </w:r>
          </w:p>
        </w:tc>
        <w:tc>
          <w:tcPr>
            <w:tcW w:w="1071" w:type="dxa"/>
            <w:tcBorders>
              <w:top w:val="single" w:color="auto" w:sz="2" w:space="0"/>
              <w:left w:val="single" w:color="auto" w:sz="2" w:space="0"/>
              <w:bottom w:val="single" w:color="auto" w:sz="2" w:space="0"/>
              <w:right w:val="single" w:color="auto" w:sz="2" w:space="0"/>
            </w:tcBorders>
            <w:vAlign w:val="center"/>
          </w:tcPr>
          <w:p w14:paraId="47BE687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9CBA6B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50379A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967EAD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1C6091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8893A0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AE0255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ECFD2BD">
            <w:pPr>
              <w:spacing w:line="240" w:lineRule="exact"/>
              <w:jc w:val="right"/>
              <w:rPr>
                <w:rFonts w:ascii="宋体" w:hAnsi="宋体" w:eastAsia="宋体" w:cs="宋体"/>
                <w:sz w:val="18"/>
                <w:szCs w:val="18"/>
              </w:rPr>
            </w:pPr>
          </w:p>
        </w:tc>
      </w:tr>
      <w:tr w14:paraId="0DCC0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C8508CE">
            <w:pPr>
              <w:spacing w:before="40" w:after="40" w:line="240" w:lineRule="exac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60944A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AA92F1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11A6A3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AE2BAF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CD005F0"/>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31A1F2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1A7412E"/>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6E70811"/>
        </w:tc>
      </w:tr>
      <w:tr w14:paraId="26A59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8A121B7">
            <w:pPr>
              <w:spacing w:line="240" w:lineRule="exact"/>
              <w:rPr>
                <w:rFonts w:ascii="宋体" w:hAnsi="宋体" w:eastAsia="宋体" w:cs="宋体"/>
                <w:sz w:val="18"/>
                <w:szCs w:val="18"/>
              </w:rPr>
            </w:pPr>
            <w:r>
              <w:rPr>
                <w:rFonts w:ascii="宋体" w:hAnsi="宋体" w:eastAsia="宋体" w:cs="宋体"/>
                <w:sz w:val="18"/>
                <w:szCs w:val="18"/>
              </w:rPr>
              <w:t>在某一时点转让</w:t>
            </w:r>
          </w:p>
        </w:tc>
        <w:tc>
          <w:tcPr>
            <w:tcW w:w="1071" w:type="dxa"/>
            <w:tcBorders>
              <w:top w:val="single" w:color="auto" w:sz="2" w:space="0"/>
              <w:left w:val="single" w:color="auto" w:sz="2" w:space="0"/>
              <w:bottom w:val="single" w:color="auto" w:sz="2" w:space="0"/>
              <w:right w:val="single" w:color="auto" w:sz="2" w:space="0"/>
            </w:tcBorders>
            <w:vAlign w:val="center"/>
          </w:tcPr>
          <w:p w14:paraId="6CA9C708">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D91E18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FFDA8B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814E2C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9F2E976">
            <w:pPr>
              <w:spacing w:line="240" w:lineRule="exact"/>
              <w:jc w:val="right"/>
              <w:rPr>
                <w:rFonts w:ascii="宋体" w:hAnsi="宋体" w:eastAsia="宋体" w:cs="宋体"/>
                <w:sz w:val="18"/>
                <w:szCs w:val="18"/>
              </w:rPr>
            </w:pPr>
            <w:r>
              <w:rPr>
                <w:rFonts w:ascii="宋体" w:hAnsi="宋体" w:eastAsia="宋体" w:cs="宋体"/>
                <w:sz w:val="18"/>
                <w:szCs w:val="18"/>
              </w:rPr>
              <w:t>7,992,697,718.74</w:t>
            </w:r>
          </w:p>
        </w:tc>
        <w:tc>
          <w:tcPr>
            <w:tcW w:w="1071" w:type="dxa"/>
            <w:tcBorders>
              <w:top w:val="single" w:color="auto" w:sz="2" w:space="0"/>
              <w:left w:val="single" w:color="auto" w:sz="2" w:space="0"/>
              <w:bottom w:val="single" w:color="auto" w:sz="2" w:space="0"/>
              <w:right w:val="single" w:color="auto" w:sz="2" w:space="0"/>
            </w:tcBorders>
            <w:vAlign w:val="center"/>
          </w:tcPr>
          <w:p w14:paraId="35E6F0F1">
            <w:pPr>
              <w:spacing w:line="240" w:lineRule="exact"/>
              <w:jc w:val="right"/>
              <w:rPr>
                <w:rFonts w:ascii="宋体" w:hAnsi="宋体" w:eastAsia="宋体" w:cs="宋体"/>
                <w:sz w:val="18"/>
                <w:szCs w:val="18"/>
              </w:rPr>
            </w:pPr>
            <w:r>
              <w:rPr>
                <w:rFonts w:ascii="宋体" w:hAnsi="宋体" w:eastAsia="宋体" w:cs="宋体"/>
                <w:sz w:val="18"/>
                <w:szCs w:val="18"/>
              </w:rPr>
              <w:t>7,277,774,603.21</w:t>
            </w:r>
          </w:p>
        </w:tc>
        <w:tc>
          <w:tcPr>
            <w:tcW w:w="1071" w:type="dxa"/>
            <w:tcBorders>
              <w:top w:val="single" w:color="auto" w:sz="2" w:space="0"/>
              <w:left w:val="single" w:color="auto" w:sz="2" w:space="0"/>
              <w:bottom w:val="single" w:color="auto" w:sz="2" w:space="0"/>
              <w:right w:val="single" w:color="auto" w:sz="2" w:space="0"/>
            </w:tcBorders>
            <w:vAlign w:val="center"/>
          </w:tcPr>
          <w:p w14:paraId="042F3151">
            <w:pPr>
              <w:spacing w:line="240" w:lineRule="exact"/>
              <w:jc w:val="right"/>
              <w:rPr>
                <w:rFonts w:ascii="宋体" w:hAnsi="宋体" w:eastAsia="宋体" w:cs="宋体"/>
                <w:sz w:val="18"/>
                <w:szCs w:val="18"/>
              </w:rPr>
            </w:pPr>
            <w:r>
              <w:rPr>
                <w:rFonts w:ascii="宋体" w:hAnsi="宋体" w:eastAsia="宋体" w:cs="宋体"/>
                <w:sz w:val="18"/>
                <w:szCs w:val="18"/>
              </w:rPr>
              <w:t>7,992,697,718.74</w:t>
            </w:r>
          </w:p>
        </w:tc>
        <w:tc>
          <w:tcPr>
            <w:tcW w:w="1071" w:type="dxa"/>
            <w:tcBorders>
              <w:top w:val="single" w:color="auto" w:sz="2" w:space="0"/>
              <w:left w:val="single" w:color="auto" w:sz="2" w:space="0"/>
              <w:bottom w:val="single" w:color="auto" w:sz="2" w:space="0"/>
              <w:right w:val="single" w:color="auto" w:sz="2" w:space="0"/>
            </w:tcBorders>
            <w:vAlign w:val="center"/>
          </w:tcPr>
          <w:p w14:paraId="722D447C">
            <w:pPr>
              <w:spacing w:line="240" w:lineRule="exact"/>
              <w:jc w:val="right"/>
              <w:rPr>
                <w:rFonts w:ascii="宋体" w:hAnsi="宋体" w:eastAsia="宋体" w:cs="宋体"/>
                <w:sz w:val="18"/>
                <w:szCs w:val="18"/>
              </w:rPr>
            </w:pPr>
            <w:r>
              <w:rPr>
                <w:rFonts w:ascii="宋体" w:hAnsi="宋体" w:eastAsia="宋体" w:cs="宋体"/>
                <w:sz w:val="18"/>
                <w:szCs w:val="18"/>
              </w:rPr>
              <w:t>7,277,774,603.21</w:t>
            </w:r>
          </w:p>
        </w:tc>
      </w:tr>
      <w:tr w14:paraId="5B1BD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84BB31F">
            <w:pPr>
              <w:spacing w:line="240" w:lineRule="exact"/>
              <w:rPr>
                <w:rFonts w:ascii="宋体" w:hAnsi="宋体" w:eastAsia="宋体" w:cs="宋体"/>
                <w:sz w:val="18"/>
                <w:szCs w:val="18"/>
              </w:rPr>
            </w:pPr>
            <w:r>
              <w:rPr>
                <w:rFonts w:ascii="宋体" w:hAnsi="宋体" w:eastAsia="宋体" w:cs="宋体"/>
                <w:sz w:val="18"/>
                <w:szCs w:val="18"/>
              </w:rPr>
              <w:t>在某一时段内转让</w:t>
            </w:r>
          </w:p>
        </w:tc>
        <w:tc>
          <w:tcPr>
            <w:tcW w:w="1071" w:type="dxa"/>
            <w:tcBorders>
              <w:top w:val="single" w:color="auto" w:sz="2" w:space="0"/>
              <w:left w:val="single" w:color="auto" w:sz="2" w:space="0"/>
              <w:bottom w:val="single" w:color="auto" w:sz="2" w:space="0"/>
              <w:right w:val="single" w:color="auto" w:sz="2" w:space="0"/>
            </w:tcBorders>
            <w:vAlign w:val="center"/>
          </w:tcPr>
          <w:p w14:paraId="5BE35FA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0DD911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3BAE28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99211E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2AB5B2D">
            <w:pPr>
              <w:spacing w:line="240" w:lineRule="exact"/>
              <w:jc w:val="right"/>
              <w:rPr>
                <w:rFonts w:ascii="宋体" w:hAnsi="宋体" w:eastAsia="宋体" w:cs="宋体"/>
                <w:sz w:val="18"/>
                <w:szCs w:val="18"/>
              </w:rPr>
            </w:pPr>
            <w:r>
              <w:rPr>
                <w:rFonts w:ascii="宋体" w:hAnsi="宋体" w:eastAsia="宋体" w:cs="宋体"/>
                <w:sz w:val="18"/>
                <w:szCs w:val="18"/>
              </w:rPr>
              <w:t>57,362,004.21</w:t>
            </w:r>
          </w:p>
        </w:tc>
        <w:tc>
          <w:tcPr>
            <w:tcW w:w="1071" w:type="dxa"/>
            <w:tcBorders>
              <w:top w:val="single" w:color="auto" w:sz="2" w:space="0"/>
              <w:left w:val="single" w:color="auto" w:sz="2" w:space="0"/>
              <w:bottom w:val="single" w:color="auto" w:sz="2" w:space="0"/>
              <w:right w:val="single" w:color="auto" w:sz="2" w:space="0"/>
            </w:tcBorders>
            <w:vAlign w:val="center"/>
          </w:tcPr>
          <w:p w14:paraId="4087ED8E">
            <w:pPr>
              <w:spacing w:line="240" w:lineRule="exact"/>
              <w:jc w:val="right"/>
              <w:rPr>
                <w:rFonts w:ascii="宋体" w:hAnsi="宋体" w:eastAsia="宋体" w:cs="宋体"/>
                <w:sz w:val="18"/>
                <w:szCs w:val="18"/>
              </w:rPr>
            </w:pPr>
            <w:r>
              <w:rPr>
                <w:rFonts w:ascii="宋体" w:hAnsi="宋体" w:eastAsia="宋体" w:cs="宋体"/>
                <w:sz w:val="18"/>
                <w:szCs w:val="18"/>
              </w:rPr>
              <w:t>31,252,174.21</w:t>
            </w:r>
          </w:p>
        </w:tc>
        <w:tc>
          <w:tcPr>
            <w:tcW w:w="1071" w:type="dxa"/>
            <w:tcBorders>
              <w:top w:val="single" w:color="auto" w:sz="2" w:space="0"/>
              <w:left w:val="single" w:color="auto" w:sz="2" w:space="0"/>
              <w:bottom w:val="single" w:color="auto" w:sz="2" w:space="0"/>
              <w:right w:val="single" w:color="auto" w:sz="2" w:space="0"/>
            </w:tcBorders>
            <w:vAlign w:val="center"/>
          </w:tcPr>
          <w:p w14:paraId="1FAD55D5">
            <w:pPr>
              <w:spacing w:line="240" w:lineRule="exact"/>
              <w:jc w:val="right"/>
              <w:rPr>
                <w:rFonts w:ascii="宋体" w:hAnsi="宋体" w:eastAsia="宋体" w:cs="宋体"/>
                <w:sz w:val="18"/>
                <w:szCs w:val="18"/>
              </w:rPr>
            </w:pPr>
            <w:r>
              <w:rPr>
                <w:rFonts w:ascii="宋体" w:hAnsi="宋体" w:eastAsia="宋体" w:cs="宋体"/>
                <w:sz w:val="18"/>
                <w:szCs w:val="18"/>
              </w:rPr>
              <w:t>57,362,004.21</w:t>
            </w:r>
          </w:p>
        </w:tc>
        <w:tc>
          <w:tcPr>
            <w:tcW w:w="1071" w:type="dxa"/>
            <w:tcBorders>
              <w:top w:val="single" w:color="auto" w:sz="2" w:space="0"/>
              <w:left w:val="single" w:color="auto" w:sz="2" w:space="0"/>
              <w:bottom w:val="single" w:color="auto" w:sz="2" w:space="0"/>
              <w:right w:val="single" w:color="auto" w:sz="2" w:space="0"/>
            </w:tcBorders>
            <w:vAlign w:val="center"/>
          </w:tcPr>
          <w:p w14:paraId="3A9C7F02">
            <w:pPr>
              <w:spacing w:line="240" w:lineRule="exact"/>
              <w:jc w:val="right"/>
              <w:rPr>
                <w:rFonts w:ascii="宋体" w:hAnsi="宋体" w:eastAsia="宋体" w:cs="宋体"/>
                <w:sz w:val="18"/>
                <w:szCs w:val="18"/>
              </w:rPr>
            </w:pPr>
            <w:r>
              <w:rPr>
                <w:rFonts w:ascii="宋体" w:hAnsi="宋体" w:eastAsia="宋体" w:cs="宋体"/>
                <w:sz w:val="18"/>
                <w:szCs w:val="18"/>
              </w:rPr>
              <w:t>31,252,174.21</w:t>
            </w:r>
          </w:p>
        </w:tc>
      </w:tr>
      <w:tr w14:paraId="2547C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F23DD98">
            <w:pPr>
              <w:spacing w:before="40" w:after="40" w:line="240" w:lineRule="exact"/>
              <w:rPr>
                <w:rFonts w:ascii="宋体" w:hAnsi="宋体" w:eastAsia="宋体" w:cs="宋体"/>
                <w:sz w:val="18"/>
                <w:szCs w:val="18"/>
              </w:rPr>
            </w:pPr>
            <w:r>
              <w:rPr>
                <w:rFonts w:ascii="宋体" w:hAnsi="宋体" w:eastAsia="宋体" w:cs="宋体"/>
                <w:sz w:val="18"/>
                <w:szCs w:val="18"/>
              </w:rPr>
              <w:t>按合同期限分类</w:t>
            </w:r>
          </w:p>
        </w:tc>
        <w:tc>
          <w:tcPr>
            <w:tcW w:w="1071" w:type="dxa"/>
            <w:tcBorders>
              <w:top w:val="single" w:color="auto" w:sz="2" w:space="0"/>
              <w:left w:val="single" w:color="auto" w:sz="2" w:space="0"/>
              <w:bottom w:val="single" w:color="auto" w:sz="2" w:space="0"/>
              <w:right w:val="single" w:color="auto" w:sz="2" w:space="0"/>
            </w:tcBorders>
            <w:vAlign w:val="center"/>
          </w:tcPr>
          <w:p w14:paraId="4707123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A67E0A8">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83536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14A9C44">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BD596C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6331F2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82FF7B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76DCFBC">
            <w:pPr>
              <w:spacing w:line="240" w:lineRule="exact"/>
              <w:jc w:val="right"/>
              <w:rPr>
                <w:rFonts w:ascii="宋体" w:hAnsi="宋体" w:eastAsia="宋体" w:cs="宋体"/>
                <w:sz w:val="18"/>
                <w:szCs w:val="18"/>
              </w:rPr>
            </w:pPr>
          </w:p>
        </w:tc>
      </w:tr>
      <w:tr w14:paraId="331AC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AFABA57">
            <w:pPr>
              <w:spacing w:before="40" w:after="40" w:line="240" w:lineRule="exac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514E22D"/>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A14F2E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F37BBA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7025BA2"/>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005E6B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1005CF2"/>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DC8EEC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617B7F0"/>
        </w:tc>
      </w:tr>
      <w:tr w14:paraId="0833D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1CFC8CE">
            <w:pPr>
              <w:spacing w:line="240" w:lineRule="exac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ED2AB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679D6C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CE75EE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31F4A6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AEE7D71">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2C6E52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FCE02D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65AEDCC">
            <w:pPr>
              <w:spacing w:line="240" w:lineRule="exact"/>
              <w:jc w:val="right"/>
              <w:rPr>
                <w:rFonts w:ascii="宋体" w:hAnsi="宋体" w:eastAsia="宋体" w:cs="宋体"/>
                <w:sz w:val="18"/>
                <w:szCs w:val="18"/>
              </w:rPr>
            </w:pPr>
          </w:p>
        </w:tc>
      </w:tr>
      <w:tr w14:paraId="4C79B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635187F">
            <w:pPr>
              <w:spacing w:before="40" w:after="40" w:line="240" w:lineRule="exact"/>
              <w:rPr>
                <w:rFonts w:ascii="宋体" w:hAnsi="宋体" w:eastAsia="宋体" w:cs="宋体"/>
                <w:sz w:val="18"/>
                <w:szCs w:val="18"/>
              </w:rPr>
            </w:pPr>
            <w:r>
              <w:rPr>
                <w:rFonts w:ascii="宋体" w:hAnsi="宋体" w:eastAsia="宋体" w:cs="宋体"/>
                <w:sz w:val="18"/>
                <w:szCs w:val="18"/>
              </w:rPr>
              <w:t>按销售渠道分类</w:t>
            </w:r>
          </w:p>
        </w:tc>
        <w:tc>
          <w:tcPr>
            <w:tcW w:w="1071" w:type="dxa"/>
            <w:tcBorders>
              <w:top w:val="single" w:color="auto" w:sz="2" w:space="0"/>
              <w:left w:val="single" w:color="auto" w:sz="2" w:space="0"/>
              <w:bottom w:val="single" w:color="auto" w:sz="2" w:space="0"/>
              <w:right w:val="single" w:color="auto" w:sz="2" w:space="0"/>
            </w:tcBorders>
            <w:vAlign w:val="center"/>
          </w:tcPr>
          <w:p w14:paraId="152087C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5BAC774">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A8EB30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84E8A9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7A2359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643796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76D12F8">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40B899B">
            <w:pPr>
              <w:spacing w:line="240" w:lineRule="exact"/>
              <w:jc w:val="right"/>
              <w:rPr>
                <w:rFonts w:ascii="宋体" w:hAnsi="宋体" w:eastAsia="宋体" w:cs="宋体"/>
                <w:sz w:val="18"/>
                <w:szCs w:val="18"/>
              </w:rPr>
            </w:pPr>
          </w:p>
        </w:tc>
      </w:tr>
      <w:tr w14:paraId="0DC66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578D591">
            <w:pPr>
              <w:spacing w:before="40" w:after="40" w:line="240" w:lineRule="exac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4807C0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F15D8D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8B7461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EAAE875"/>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952990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495B43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803353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63EC440"/>
        </w:tc>
      </w:tr>
      <w:tr w14:paraId="1A0BB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203D0BD">
            <w:pPr>
              <w:spacing w:line="240" w:lineRule="exac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74124B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439E34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265ADE4">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83CFA8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41E303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20A074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7ABD99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A4AF95">
            <w:pPr>
              <w:spacing w:line="240" w:lineRule="exact"/>
              <w:jc w:val="right"/>
              <w:rPr>
                <w:rFonts w:ascii="宋体" w:hAnsi="宋体" w:eastAsia="宋体" w:cs="宋体"/>
                <w:sz w:val="18"/>
                <w:szCs w:val="18"/>
              </w:rPr>
            </w:pPr>
          </w:p>
        </w:tc>
      </w:tr>
      <w:tr w14:paraId="2112C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19A238E">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14:paraId="7F491674">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F5FAFD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B0995E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BF18B9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9307BE2">
            <w:pPr>
              <w:spacing w:line="240" w:lineRule="exact"/>
              <w:jc w:val="right"/>
              <w:rPr>
                <w:rFonts w:ascii="宋体" w:hAnsi="宋体" w:eastAsia="宋体" w:cs="宋体"/>
                <w:sz w:val="18"/>
                <w:szCs w:val="18"/>
              </w:rPr>
            </w:pPr>
            <w:r>
              <w:rPr>
                <w:rFonts w:ascii="宋体" w:hAnsi="宋体" w:eastAsia="宋体" w:cs="宋体"/>
                <w:sz w:val="18"/>
                <w:szCs w:val="18"/>
              </w:rPr>
              <w:t>8,050,059,722.95</w:t>
            </w:r>
          </w:p>
        </w:tc>
        <w:tc>
          <w:tcPr>
            <w:tcW w:w="1071" w:type="dxa"/>
            <w:tcBorders>
              <w:top w:val="single" w:color="auto" w:sz="2" w:space="0"/>
              <w:left w:val="single" w:color="auto" w:sz="2" w:space="0"/>
              <w:bottom w:val="single" w:color="auto" w:sz="2" w:space="0"/>
              <w:right w:val="single" w:color="auto" w:sz="2" w:space="0"/>
            </w:tcBorders>
            <w:vAlign w:val="center"/>
          </w:tcPr>
          <w:p w14:paraId="30B8A291">
            <w:pPr>
              <w:spacing w:line="240" w:lineRule="exact"/>
              <w:jc w:val="right"/>
              <w:rPr>
                <w:rFonts w:ascii="宋体" w:hAnsi="宋体" w:eastAsia="宋体" w:cs="宋体"/>
                <w:sz w:val="18"/>
                <w:szCs w:val="18"/>
              </w:rPr>
            </w:pPr>
            <w:r>
              <w:rPr>
                <w:rFonts w:ascii="宋体" w:hAnsi="宋体" w:eastAsia="宋体" w:cs="宋体"/>
                <w:sz w:val="18"/>
                <w:szCs w:val="18"/>
              </w:rPr>
              <w:t>7,309,026,777.42</w:t>
            </w:r>
          </w:p>
        </w:tc>
        <w:tc>
          <w:tcPr>
            <w:tcW w:w="1071" w:type="dxa"/>
            <w:tcBorders>
              <w:top w:val="single" w:color="auto" w:sz="2" w:space="0"/>
              <w:left w:val="single" w:color="auto" w:sz="2" w:space="0"/>
              <w:bottom w:val="single" w:color="auto" w:sz="2" w:space="0"/>
              <w:right w:val="single" w:color="auto" w:sz="2" w:space="0"/>
            </w:tcBorders>
            <w:vAlign w:val="center"/>
          </w:tcPr>
          <w:p w14:paraId="17CC5E69">
            <w:pPr>
              <w:spacing w:line="240" w:lineRule="exact"/>
              <w:jc w:val="right"/>
              <w:rPr>
                <w:rFonts w:ascii="宋体" w:hAnsi="宋体" w:eastAsia="宋体" w:cs="宋体"/>
                <w:sz w:val="18"/>
                <w:szCs w:val="18"/>
              </w:rPr>
            </w:pPr>
            <w:r>
              <w:rPr>
                <w:rFonts w:ascii="宋体" w:hAnsi="宋体" w:eastAsia="宋体" w:cs="宋体"/>
                <w:sz w:val="18"/>
                <w:szCs w:val="18"/>
              </w:rPr>
              <w:t>8,050,059,722.95</w:t>
            </w:r>
          </w:p>
        </w:tc>
        <w:tc>
          <w:tcPr>
            <w:tcW w:w="1071" w:type="dxa"/>
            <w:tcBorders>
              <w:top w:val="single" w:color="auto" w:sz="2" w:space="0"/>
              <w:left w:val="single" w:color="auto" w:sz="2" w:space="0"/>
              <w:bottom w:val="single" w:color="auto" w:sz="2" w:space="0"/>
              <w:right w:val="single" w:color="auto" w:sz="2" w:space="0"/>
            </w:tcBorders>
            <w:vAlign w:val="center"/>
          </w:tcPr>
          <w:p w14:paraId="2346013C">
            <w:pPr>
              <w:spacing w:line="240" w:lineRule="exact"/>
              <w:jc w:val="right"/>
              <w:rPr>
                <w:rFonts w:ascii="宋体" w:hAnsi="宋体" w:eastAsia="宋体" w:cs="宋体"/>
                <w:sz w:val="18"/>
                <w:szCs w:val="18"/>
              </w:rPr>
            </w:pPr>
            <w:r>
              <w:rPr>
                <w:rFonts w:ascii="宋体" w:hAnsi="宋体" w:eastAsia="宋体" w:cs="宋体"/>
                <w:sz w:val="18"/>
                <w:szCs w:val="18"/>
              </w:rPr>
              <w:t>7,309,026,777.42</w:t>
            </w:r>
          </w:p>
        </w:tc>
      </w:tr>
    </w:tbl>
    <w:p w14:paraId="4C41617F">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ascii="宋体" w:hAnsi="宋体" w:eastAsia="宋体" w:cs="宋体"/>
          <w:sz w:val="18"/>
          <w:szCs w:val="18"/>
        </w:rPr>
        <w:t>：</w:t>
      </w:r>
      <w:r>
        <w:rPr>
          <w:rFonts w:hint="eastAsia"/>
          <w:sz w:val="18"/>
          <w:szCs w:val="18"/>
        </w:rPr>
        <w:t>无</w:t>
      </w:r>
    </w:p>
    <w:p w14:paraId="30BB31F3">
      <w:pPr>
        <w:spacing w:before="100" w:after="100" w:line="240" w:lineRule="exact"/>
        <w:rPr>
          <w:rFonts w:ascii="宋体" w:hAnsi="宋体" w:eastAsia="宋体" w:cs="宋体"/>
          <w:sz w:val="18"/>
          <w:szCs w:val="18"/>
        </w:rPr>
      </w:pPr>
      <w:r>
        <w:rPr>
          <w:rFonts w:ascii="宋体" w:hAnsi="宋体" w:eastAsia="宋体" w:cs="宋体"/>
          <w:sz w:val="18"/>
          <w:szCs w:val="18"/>
        </w:rPr>
        <w:t>与分摊至剩余履约义务的交易价格相关的信息：</w:t>
      </w:r>
    </w:p>
    <w:p w14:paraId="473D125C">
      <w:pPr>
        <w:spacing w:before="100" w:after="100" w:line="240" w:lineRule="exac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本报告期末已签订合同、但尚未履行或尚未履行完毕的履约义务所对应的收入金额为0.00元，其中，元预计将于年度确认收入，元预计将于年度确认收入，元预计将于年度确认收入。</w:t>
      </w:r>
    </w:p>
    <w:p w14:paraId="08EF2BBD">
      <w:pPr>
        <w:spacing w:before="100" w:after="100" w:line="240" w:lineRule="exact"/>
        <w:rPr>
          <w:rFonts w:ascii="宋体" w:hAnsi="宋体" w:eastAsia="宋体" w:cs="宋体"/>
          <w:sz w:val="18"/>
          <w:szCs w:val="18"/>
        </w:rPr>
      </w:pPr>
      <w:r>
        <w:rPr>
          <w:rFonts w:ascii="宋体" w:hAnsi="宋体" w:eastAsia="宋体" w:cs="宋体"/>
          <w:sz w:val="18"/>
          <w:szCs w:val="18"/>
        </w:rPr>
        <w:t>合同中可变对价相关信息：</w:t>
      </w:r>
      <w:r>
        <w:rPr>
          <w:rFonts w:hint="eastAsia"/>
          <w:sz w:val="18"/>
          <w:szCs w:val="18"/>
        </w:rPr>
        <w:t>无</w:t>
      </w:r>
    </w:p>
    <w:p w14:paraId="3BB0C489">
      <w:pPr>
        <w:spacing w:before="100" w:after="100" w:line="240" w:lineRule="exact"/>
        <w:rPr>
          <w:rFonts w:ascii="宋体" w:hAnsi="宋体" w:eastAsia="宋体" w:cs="宋体"/>
          <w:sz w:val="18"/>
          <w:szCs w:val="18"/>
        </w:rPr>
      </w:pPr>
      <w:r>
        <w:rPr>
          <w:rFonts w:ascii="宋体" w:hAnsi="宋体" w:eastAsia="宋体" w:cs="宋体"/>
          <w:sz w:val="18"/>
          <w:szCs w:val="18"/>
        </w:rPr>
        <w:t>重大合同变更或重大交易价格调整</w:t>
      </w:r>
    </w:p>
    <w:p w14:paraId="1CC638E0">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13483185">
      <w:pPr>
        <w:pStyle w:val="3"/>
        <w:spacing w:line="280" w:lineRule="exact"/>
        <w:jc w:val="left"/>
        <w:rPr>
          <w:rFonts w:ascii="宋体" w:hAnsi="宋体" w:cs="宋体"/>
          <w:b/>
          <w:bCs/>
        </w:rPr>
      </w:pPr>
      <w:bookmarkStart w:id="454" w:name="_Toc989308"/>
      <w:r>
        <w:rPr>
          <w:rFonts w:ascii="宋体" w:hAnsi="宋体" w:cs="宋体"/>
          <w:b/>
          <w:bCs/>
        </w:rPr>
        <w:t>62、税金及附加</w:t>
      </w:r>
      <w:bookmarkEnd w:id="454"/>
    </w:p>
    <w:p w14:paraId="42678CB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1D4E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837A2A">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0C6705">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78C449">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2FB9A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608CF03">
            <w:pPr>
              <w:spacing w:before="40" w:after="40" w:line="240" w:lineRule="exac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14:paraId="05F0B20C">
            <w:pPr>
              <w:spacing w:line="240" w:lineRule="exact"/>
              <w:jc w:val="right"/>
              <w:rPr>
                <w:rFonts w:ascii="宋体" w:hAnsi="宋体" w:eastAsia="宋体" w:cs="宋体"/>
                <w:sz w:val="18"/>
                <w:szCs w:val="18"/>
              </w:rPr>
            </w:pPr>
            <w:r>
              <w:rPr>
                <w:rFonts w:ascii="宋体" w:hAnsi="宋体" w:eastAsia="宋体" w:cs="宋体"/>
                <w:sz w:val="18"/>
                <w:szCs w:val="18"/>
              </w:rPr>
              <w:t>10,218,145.02</w:t>
            </w:r>
          </w:p>
        </w:tc>
        <w:tc>
          <w:tcPr>
            <w:tcW w:w="3213" w:type="dxa"/>
            <w:tcBorders>
              <w:top w:val="single" w:color="auto" w:sz="2" w:space="0"/>
              <w:left w:val="single" w:color="auto" w:sz="2" w:space="0"/>
              <w:bottom w:val="single" w:color="auto" w:sz="2" w:space="0"/>
              <w:right w:val="single" w:color="auto" w:sz="2" w:space="0"/>
            </w:tcBorders>
            <w:vAlign w:val="center"/>
          </w:tcPr>
          <w:p w14:paraId="2DA89A63">
            <w:pPr>
              <w:spacing w:line="240" w:lineRule="exact"/>
              <w:jc w:val="right"/>
              <w:rPr>
                <w:rFonts w:ascii="宋体" w:hAnsi="宋体" w:eastAsia="宋体" w:cs="宋体"/>
                <w:sz w:val="18"/>
                <w:szCs w:val="18"/>
              </w:rPr>
            </w:pPr>
            <w:r>
              <w:rPr>
                <w:rFonts w:ascii="宋体" w:hAnsi="宋体" w:eastAsia="宋体" w:cs="宋体"/>
                <w:sz w:val="18"/>
                <w:szCs w:val="18"/>
              </w:rPr>
              <w:t>7,366,872.24</w:t>
            </w:r>
          </w:p>
        </w:tc>
      </w:tr>
      <w:tr w14:paraId="4FDF1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3F574D">
            <w:pPr>
              <w:spacing w:before="40" w:after="40" w:line="240" w:lineRule="exac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14:paraId="7B0909B6">
            <w:pPr>
              <w:spacing w:line="240" w:lineRule="exact"/>
              <w:jc w:val="right"/>
              <w:rPr>
                <w:rFonts w:ascii="宋体" w:hAnsi="宋体" w:eastAsia="宋体" w:cs="宋体"/>
                <w:sz w:val="18"/>
                <w:szCs w:val="18"/>
              </w:rPr>
            </w:pPr>
            <w:r>
              <w:rPr>
                <w:rFonts w:ascii="宋体" w:hAnsi="宋体" w:eastAsia="宋体" w:cs="宋体"/>
                <w:sz w:val="18"/>
                <w:szCs w:val="18"/>
              </w:rPr>
              <w:t>7,509,628.94</w:t>
            </w:r>
          </w:p>
        </w:tc>
        <w:tc>
          <w:tcPr>
            <w:tcW w:w="3213" w:type="dxa"/>
            <w:tcBorders>
              <w:top w:val="single" w:color="auto" w:sz="2" w:space="0"/>
              <w:left w:val="single" w:color="auto" w:sz="2" w:space="0"/>
              <w:bottom w:val="single" w:color="auto" w:sz="2" w:space="0"/>
              <w:right w:val="single" w:color="auto" w:sz="2" w:space="0"/>
            </w:tcBorders>
            <w:vAlign w:val="center"/>
          </w:tcPr>
          <w:p w14:paraId="73F73BB5">
            <w:pPr>
              <w:spacing w:line="240" w:lineRule="exact"/>
              <w:jc w:val="right"/>
              <w:rPr>
                <w:rFonts w:ascii="宋体" w:hAnsi="宋体" w:eastAsia="宋体" w:cs="宋体"/>
                <w:sz w:val="18"/>
                <w:szCs w:val="18"/>
              </w:rPr>
            </w:pPr>
            <w:r>
              <w:rPr>
                <w:rFonts w:ascii="宋体" w:hAnsi="宋体" w:eastAsia="宋体" w:cs="宋体"/>
                <w:sz w:val="18"/>
                <w:szCs w:val="18"/>
              </w:rPr>
              <w:t>5,360,862.46</w:t>
            </w:r>
          </w:p>
        </w:tc>
      </w:tr>
      <w:tr w14:paraId="7FDFD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FEEB7B">
            <w:pPr>
              <w:spacing w:before="40" w:after="40" w:line="240" w:lineRule="exac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14:paraId="2FD2B711">
            <w:pPr>
              <w:spacing w:line="240" w:lineRule="exact"/>
              <w:jc w:val="right"/>
              <w:rPr>
                <w:rFonts w:ascii="宋体" w:hAnsi="宋体" w:eastAsia="宋体" w:cs="宋体"/>
                <w:sz w:val="18"/>
                <w:szCs w:val="18"/>
              </w:rPr>
            </w:pPr>
            <w:r>
              <w:rPr>
                <w:rFonts w:ascii="宋体" w:hAnsi="宋体" w:eastAsia="宋体" w:cs="宋体"/>
                <w:sz w:val="18"/>
                <w:szCs w:val="18"/>
              </w:rPr>
              <w:t>26,253,018.45</w:t>
            </w:r>
          </w:p>
        </w:tc>
        <w:tc>
          <w:tcPr>
            <w:tcW w:w="3213" w:type="dxa"/>
            <w:tcBorders>
              <w:top w:val="single" w:color="auto" w:sz="2" w:space="0"/>
              <w:left w:val="single" w:color="auto" w:sz="2" w:space="0"/>
              <w:bottom w:val="single" w:color="auto" w:sz="2" w:space="0"/>
              <w:right w:val="single" w:color="auto" w:sz="2" w:space="0"/>
            </w:tcBorders>
            <w:vAlign w:val="center"/>
          </w:tcPr>
          <w:p w14:paraId="0BFD7321">
            <w:pPr>
              <w:spacing w:line="240" w:lineRule="exact"/>
              <w:jc w:val="right"/>
              <w:rPr>
                <w:rFonts w:ascii="宋体" w:hAnsi="宋体" w:eastAsia="宋体" w:cs="宋体"/>
                <w:sz w:val="18"/>
                <w:szCs w:val="18"/>
              </w:rPr>
            </w:pPr>
            <w:r>
              <w:rPr>
                <w:rFonts w:ascii="宋体" w:hAnsi="宋体" w:eastAsia="宋体" w:cs="宋体"/>
                <w:sz w:val="18"/>
                <w:szCs w:val="18"/>
              </w:rPr>
              <w:t>24,960,408.56</w:t>
            </w:r>
          </w:p>
        </w:tc>
      </w:tr>
      <w:tr w14:paraId="5EEA1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DCF3F1">
            <w:pPr>
              <w:spacing w:before="40" w:after="40" w:line="240" w:lineRule="exact"/>
              <w:rPr>
                <w:rFonts w:ascii="宋体" w:hAnsi="宋体" w:eastAsia="宋体" w:cs="宋体"/>
                <w:sz w:val="18"/>
                <w:szCs w:val="18"/>
              </w:rPr>
            </w:pPr>
            <w:r>
              <w:rPr>
                <w:rFonts w:ascii="宋体" w:hAnsi="宋体" w:eastAsia="宋体" w:cs="宋体"/>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14:paraId="6995871D">
            <w:pPr>
              <w:spacing w:line="240" w:lineRule="exact"/>
              <w:jc w:val="right"/>
              <w:rPr>
                <w:rFonts w:ascii="宋体" w:hAnsi="宋体" w:eastAsia="宋体" w:cs="宋体"/>
                <w:sz w:val="18"/>
                <w:szCs w:val="18"/>
              </w:rPr>
            </w:pPr>
            <w:r>
              <w:rPr>
                <w:rFonts w:ascii="宋体" w:hAnsi="宋体" w:eastAsia="宋体" w:cs="宋体"/>
                <w:sz w:val="18"/>
                <w:szCs w:val="18"/>
              </w:rPr>
              <w:t>24,087,588.06</w:t>
            </w:r>
          </w:p>
        </w:tc>
        <w:tc>
          <w:tcPr>
            <w:tcW w:w="3213" w:type="dxa"/>
            <w:tcBorders>
              <w:top w:val="single" w:color="auto" w:sz="2" w:space="0"/>
              <w:left w:val="single" w:color="auto" w:sz="2" w:space="0"/>
              <w:bottom w:val="single" w:color="auto" w:sz="2" w:space="0"/>
              <w:right w:val="single" w:color="auto" w:sz="2" w:space="0"/>
            </w:tcBorders>
            <w:vAlign w:val="center"/>
          </w:tcPr>
          <w:p w14:paraId="633CAEFC">
            <w:pPr>
              <w:spacing w:line="240" w:lineRule="exact"/>
              <w:jc w:val="right"/>
              <w:rPr>
                <w:rFonts w:ascii="宋体" w:hAnsi="宋体" w:eastAsia="宋体" w:cs="宋体"/>
                <w:sz w:val="18"/>
                <w:szCs w:val="18"/>
              </w:rPr>
            </w:pPr>
            <w:r>
              <w:rPr>
                <w:rFonts w:ascii="宋体" w:hAnsi="宋体" w:eastAsia="宋体" w:cs="宋体"/>
                <w:sz w:val="18"/>
                <w:szCs w:val="18"/>
              </w:rPr>
              <w:t>22,646,750.02</w:t>
            </w:r>
          </w:p>
        </w:tc>
      </w:tr>
      <w:tr w14:paraId="02C00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676462">
            <w:pPr>
              <w:spacing w:before="40" w:after="40" w:line="240" w:lineRule="exact"/>
              <w:rPr>
                <w:rFonts w:ascii="宋体" w:hAnsi="宋体" w:eastAsia="宋体" w:cs="宋体"/>
                <w:sz w:val="18"/>
                <w:szCs w:val="18"/>
              </w:rPr>
            </w:pPr>
            <w:r>
              <w:rPr>
                <w:rFonts w:ascii="宋体" w:hAnsi="宋体" w:eastAsia="宋体" w:cs="宋体"/>
                <w:sz w:val="18"/>
                <w:szCs w:val="18"/>
              </w:rPr>
              <w:t>车船使用税</w:t>
            </w:r>
          </w:p>
        </w:tc>
        <w:tc>
          <w:tcPr>
            <w:tcW w:w="3213" w:type="dxa"/>
            <w:tcBorders>
              <w:top w:val="single" w:color="auto" w:sz="2" w:space="0"/>
              <w:left w:val="single" w:color="auto" w:sz="2" w:space="0"/>
              <w:bottom w:val="single" w:color="auto" w:sz="2" w:space="0"/>
              <w:right w:val="single" w:color="auto" w:sz="2" w:space="0"/>
            </w:tcBorders>
            <w:vAlign w:val="center"/>
          </w:tcPr>
          <w:p w14:paraId="6B7D0F71">
            <w:pPr>
              <w:spacing w:line="240" w:lineRule="exact"/>
              <w:jc w:val="right"/>
              <w:rPr>
                <w:rFonts w:ascii="宋体" w:hAnsi="宋体" w:eastAsia="宋体" w:cs="宋体"/>
                <w:sz w:val="18"/>
                <w:szCs w:val="18"/>
              </w:rPr>
            </w:pPr>
            <w:r>
              <w:rPr>
                <w:rFonts w:ascii="宋体" w:hAnsi="宋体" w:eastAsia="宋体" w:cs="宋体"/>
                <w:sz w:val="18"/>
                <w:szCs w:val="18"/>
              </w:rPr>
              <w:t>32,878.47</w:t>
            </w:r>
          </w:p>
        </w:tc>
        <w:tc>
          <w:tcPr>
            <w:tcW w:w="3213" w:type="dxa"/>
            <w:tcBorders>
              <w:top w:val="single" w:color="auto" w:sz="2" w:space="0"/>
              <w:left w:val="single" w:color="auto" w:sz="2" w:space="0"/>
              <w:bottom w:val="single" w:color="auto" w:sz="2" w:space="0"/>
              <w:right w:val="single" w:color="auto" w:sz="2" w:space="0"/>
            </w:tcBorders>
            <w:vAlign w:val="center"/>
          </w:tcPr>
          <w:p w14:paraId="23542155">
            <w:pPr>
              <w:spacing w:line="240" w:lineRule="exact"/>
              <w:jc w:val="right"/>
              <w:rPr>
                <w:rFonts w:ascii="宋体" w:hAnsi="宋体" w:eastAsia="宋体" w:cs="宋体"/>
                <w:sz w:val="18"/>
                <w:szCs w:val="18"/>
              </w:rPr>
            </w:pPr>
            <w:r>
              <w:rPr>
                <w:rFonts w:ascii="宋体" w:hAnsi="宋体" w:eastAsia="宋体" w:cs="宋体"/>
                <w:sz w:val="18"/>
                <w:szCs w:val="18"/>
              </w:rPr>
              <w:t>60,419.62</w:t>
            </w:r>
          </w:p>
        </w:tc>
      </w:tr>
      <w:tr w14:paraId="72A9D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9DF0156">
            <w:pPr>
              <w:spacing w:before="40" w:after="40" w:line="240" w:lineRule="exact"/>
              <w:rPr>
                <w:rFonts w:ascii="宋体" w:hAnsi="宋体" w:eastAsia="宋体" w:cs="宋体"/>
                <w:sz w:val="18"/>
                <w:szCs w:val="18"/>
              </w:rPr>
            </w:pPr>
            <w:r>
              <w:rPr>
                <w:rFonts w:ascii="宋体" w:hAnsi="宋体" w:eastAsia="宋体" w:cs="宋体"/>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14:paraId="24CB1EB4">
            <w:pPr>
              <w:spacing w:line="240" w:lineRule="exact"/>
              <w:jc w:val="right"/>
              <w:rPr>
                <w:rFonts w:ascii="宋体" w:hAnsi="宋体" w:eastAsia="宋体" w:cs="宋体"/>
                <w:sz w:val="18"/>
                <w:szCs w:val="18"/>
              </w:rPr>
            </w:pPr>
            <w:r>
              <w:rPr>
                <w:rFonts w:ascii="宋体" w:hAnsi="宋体" w:eastAsia="宋体" w:cs="宋体"/>
                <w:sz w:val="18"/>
                <w:szCs w:val="18"/>
              </w:rPr>
              <w:t>15,240,100.25</w:t>
            </w:r>
          </w:p>
        </w:tc>
        <w:tc>
          <w:tcPr>
            <w:tcW w:w="3213" w:type="dxa"/>
            <w:tcBorders>
              <w:top w:val="single" w:color="auto" w:sz="2" w:space="0"/>
              <w:left w:val="single" w:color="auto" w:sz="2" w:space="0"/>
              <w:bottom w:val="single" w:color="auto" w:sz="2" w:space="0"/>
              <w:right w:val="single" w:color="auto" w:sz="2" w:space="0"/>
            </w:tcBorders>
            <w:vAlign w:val="center"/>
          </w:tcPr>
          <w:p w14:paraId="54D19C8D">
            <w:pPr>
              <w:spacing w:line="240" w:lineRule="exact"/>
              <w:jc w:val="right"/>
              <w:rPr>
                <w:rFonts w:ascii="宋体" w:hAnsi="宋体" w:eastAsia="宋体" w:cs="宋体"/>
                <w:sz w:val="18"/>
                <w:szCs w:val="18"/>
              </w:rPr>
            </w:pPr>
            <w:r>
              <w:rPr>
                <w:rFonts w:ascii="宋体" w:hAnsi="宋体" w:eastAsia="宋体" w:cs="宋体"/>
                <w:sz w:val="18"/>
                <w:szCs w:val="18"/>
              </w:rPr>
              <w:t>19,017,976.10</w:t>
            </w:r>
          </w:p>
        </w:tc>
      </w:tr>
      <w:tr w14:paraId="21B42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511B068">
            <w:pPr>
              <w:spacing w:line="240" w:lineRule="exac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7C7451E4">
            <w:pPr>
              <w:spacing w:line="240" w:lineRule="exact"/>
              <w:jc w:val="right"/>
              <w:rPr>
                <w:rFonts w:ascii="宋体" w:hAnsi="宋体" w:eastAsia="宋体" w:cs="宋体"/>
                <w:sz w:val="18"/>
                <w:szCs w:val="18"/>
              </w:rPr>
            </w:pPr>
            <w:r>
              <w:rPr>
                <w:rFonts w:ascii="宋体" w:hAnsi="宋体" w:eastAsia="宋体" w:cs="宋体"/>
                <w:sz w:val="18"/>
                <w:szCs w:val="18"/>
              </w:rPr>
              <w:t>1,135,309.45</w:t>
            </w:r>
          </w:p>
        </w:tc>
        <w:tc>
          <w:tcPr>
            <w:tcW w:w="3213" w:type="dxa"/>
            <w:tcBorders>
              <w:top w:val="single" w:color="auto" w:sz="2" w:space="0"/>
              <w:left w:val="single" w:color="auto" w:sz="2" w:space="0"/>
              <w:bottom w:val="single" w:color="auto" w:sz="2" w:space="0"/>
              <w:right w:val="single" w:color="auto" w:sz="2" w:space="0"/>
            </w:tcBorders>
            <w:vAlign w:val="center"/>
          </w:tcPr>
          <w:p w14:paraId="3FECC50D">
            <w:pPr>
              <w:spacing w:line="240" w:lineRule="exact"/>
              <w:jc w:val="right"/>
              <w:rPr>
                <w:rFonts w:ascii="宋体" w:hAnsi="宋体" w:eastAsia="宋体" w:cs="宋体"/>
                <w:sz w:val="18"/>
                <w:szCs w:val="18"/>
              </w:rPr>
            </w:pPr>
            <w:r>
              <w:rPr>
                <w:rFonts w:ascii="宋体" w:hAnsi="宋体" w:eastAsia="宋体" w:cs="宋体"/>
                <w:sz w:val="18"/>
                <w:szCs w:val="18"/>
              </w:rPr>
              <w:t>1,119,615.37</w:t>
            </w:r>
          </w:p>
        </w:tc>
      </w:tr>
      <w:tr w14:paraId="49133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DF7A8A">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7ED1322F">
            <w:pPr>
              <w:spacing w:line="240" w:lineRule="exact"/>
              <w:jc w:val="right"/>
              <w:rPr>
                <w:rFonts w:ascii="宋体" w:hAnsi="宋体" w:eastAsia="宋体" w:cs="宋体"/>
                <w:sz w:val="18"/>
                <w:szCs w:val="18"/>
              </w:rPr>
            </w:pPr>
            <w:r>
              <w:rPr>
                <w:rFonts w:ascii="宋体" w:hAnsi="宋体" w:eastAsia="宋体" w:cs="宋体"/>
                <w:sz w:val="18"/>
                <w:szCs w:val="18"/>
              </w:rPr>
              <w:t>84,476,668.64</w:t>
            </w:r>
          </w:p>
        </w:tc>
        <w:tc>
          <w:tcPr>
            <w:tcW w:w="3213" w:type="dxa"/>
            <w:tcBorders>
              <w:top w:val="single" w:color="auto" w:sz="2" w:space="0"/>
              <w:left w:val="single" w:color="auto" w:sz="2" w:space="0"/>
              <w:bottom w:val="single" w:color="auto" w:sz="2" w:space="0"/>
              <w:right w:val="single" w:color="auto" w:sz="2" w:space="0"/>
            </w:tcBorders>
            <w:vAlign w:val="center"/>
          </w:tcPr>
          <w:p w14:paraId="6C62BBA9">
            <w:pPr>
              <w:spacing w:line="240" w:lineRule="exact"/>
              <w:jc w:val="right"/>
              <w:rPr>
                <w:rFonts w:ascii="宋体" w:hAnsi="宋体" w:eastAsia="宋体" w:cs="宋体"/>
                <w:sz w:val="18"/>
                <w:szCs w:val="18"/>
              </w:rPr>
            </w:pPr>
            <w:r>
              <w:rPr>
                <w:rFonts w:ascii="宋体" w:hAnsi="宋体" w:eastAsia="宋体" w:cs="宋体"/>
                <w:sz w:val="18"/>
                <w:szCs w:val="18"/>
              </w:rPr>
              <w:t>80,532,904.37</w:t>
            </w:r>
          </w:p>
        </w:tc>
      </w:tr>
    </w:tbl>
    <w:p w14:paraId="09C086F8">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5D1A9ADF">
      <w:pPr>
        <w:pStyle w:val="3"/>
        <w:spacing w:line="280" w:lineRule="exact"/>
        <w:jc w:val="left"/>
        <w:rPr>
          <w:rFonts w:ascii="宋体" w:hAnsi="宋体" w:cs="宋体"/>
          <w:b/>
          <w:bCs/>
        </w:rPr>
      </w:pPr>
      <w:bookmarkStart w:id="455" w:name="_Toc989309"/>
      <w:r>
        <w:rPr>
          <w:rFonts w:ascii="宋体" w:hAnsi="宋体" w:cs="宋体"/>
          <w:b/>
          <w:bCs/>
        </w:rPr>
        <w:t>63、管理费用</w:t>
      </w:r>
      <w:bookmarkEnd w:id="455"/>
    </w:p>
    <w:p w14:paraId="0B5A68E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E8B4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A1177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90B49B3">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4A4423">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5D468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ED438EF">
            <w:pPr>
              <w:spacing w:line="240" w:lineRule="exact"/>
              <w:rPr>
                <w:rFonts w:ascii="宋体" w:hAnsi="宋体" w:eastAsia="宋体" w:cs="宋体"/>
                <w:sz w:val="18"/>
                <w:szCs w:val="18"/>
              </w:rPr>
            </w:pPr>
            <w:r>
              <w:rPr>
                <w:rFonts w:ascii="宋体" w:hAnsi="宋体" w:eastAsia="宋体" w:cs="宋体"/>
                <w:sz w:val="18"/>
                <w:szCs w:val="18"/>
              </w:rPr>
              <w:t>工资及相关费用</w:t>
            </w:r>
          </w:p>
        </w:tc>
        <w:tc>
          <w:tcPr>
            <w:tcW w:w="3213" w:type="dxa"/>
            <w:tcBorders>
              <w:top w:val="single" w:color="auto" w:sz="2" w:space="0"/>
              <w:left w:val="single" w:color="auto" w:sz="2" w:space="0"/>
              <w:bottom w:val="single" w:color="auto" w:sz="2" w:space="0"/>
              <w:right w:val="single" w:color="auto" w:sz="2" w:space="0"/>
            </w:tcBorders>
            <w:vAlign w:val="center"/>
          </w:tcPr>
          <w:p w14:paraId="771BD866">
            <w:pPr>
              <w:spacing w:line="240" w:lineRule="exact"/>
              <w:jc w:val="right"/>
              <w:rPr>
                <w:rFonts w:ascii="宋体" w:hAnsi="宋体" w:eastAsia="宋体" w:cs="宋体"/>
                <w:sz w:val="18"/>
                <w:szCs w:val="18"/>
              </w:rPr>
            </w:pPr>
            <w:r>
              <w:rPr>
                <w:rFonts w:ascii="宋体" w:hAnsi="宋体" w:eastAsia="宋体" w:cs="宋体"/>
                <w:sz w:val="18"/>
                <w:szCs w:val="18"/>
              </w:rPr>
              <w:t>144,186,795.35</w:t>
            </w:r>
          </w:p>
        </w:tc>
        <w:tc>
          <w:tcPr>
            <w:tcW w:w="3213" w:type="dxa"/>
            <w:tcBorders>
              <w:top w:val="single" w:color="auto" w:sz="2" w:space="0"/>
              <w:left w:val="single" w:color="auto" w:sz="2" w:space="0"/>
              <w:bottom w:val="single" w:color="auto" w:sz="2" w:space="0"/>
              <w:right w:val="single" w:color="auto" w:sz="2" w:space="0"/>
            </w:tcBorders>
            <w:vAlign w:val="center"/>
          </w:tcPr>
          <w:p w14:paraId="25B1991F">
            <w:pPr>
              <w:spacing w:line="240" w:lineRule="exact"/>
              <w:jc w:val="right"/>
              <w:rPr>
                <w:rFonts w:ascii="宋体" w:hAnsi="宋体" w:eastAsia="宋体" w:cs="宋体"/>
                <w:sz w:val="18"/>
                <w:szCs w:val="18"/>
              </w:rPr>
            </w:pPr>
            <w:r>
              <w:rPr>
                <w:rFonts w:ascii="宋体" w:hAnsi="宋体" w:eastAsia="宋体" w:cs="宋体"/>
                <w:sz w:val="18"/>
                <w:szCs w:val="18"/>
              </w:rPr>
              <w:t>157,404,578.51</w:t>
            </w:r>
          </w:p>
        </w:tc>
      </w:tr>
      <w:tr w14:paraId="652EE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A53A013">
            <w:pPr>
              <w:spacing w:line="240" w:lineRule="exact"/>
              <w:rPr>
                <w:rFonts w:ascii="宋体" w:hAnsi="宋体" w:eastAsia="宋体" w:cs="宋体"/>
                <w:sz w:val="18"/>
                <w:szCs w:val="18"/>
              </w:rPr>
            </w:pPr>
            <w:r>
              <w:rPr>
                <w:rFonts w:ascii="宋体" w:hAnsi="宋体" w:eastAsia="宋体" w:cs="宋体"/>
                <w:sz w:val="18"/>
                <w:szCs w:val="18"/>
              </w:rPr>
              <w:t>办公费用</w:t>
            </w:r>
          </w:p>
        </w:tc>
        <w:tc>
          <w:tcPr>
            <w:tcW w:w="3213" w:type="dxa"/>
            <w:tcBorders>
              <w:top w:val="single" w:color="auto" w:sz="2" w:space="0"/>
              <w:left w:val="single" w:color="auto" w:sz="2" w:space="0"/>
              <w:bottom w:val="single" w:color="auto" w:sz="2" w:space="0"/>
              <w:right w:val="single" w:color="auto" w:sz="2" w:space="0"/>
            </w:tcBorders>
            <w:vAlign w:val="center"/>
          </w:tcPr>
          <w:p w14:paraId="3746C285">
            <w:pPr>
              <w:spacing w:line="240" w:lineRule="exact"/>
              <w:jc w:val="right"/>
              <w:rPr>
                <w:rFonts w:ascii="宋体" w:hAnsi="宋体" w:eastAsia="宋体" w:cs="宋体"/>
                <w:sz w:val="18"/>
                <w:szCs w:val="18"/>
              </w:rPr>
            </w:pPr>
            <w:r>
              <w:rPr>
                <w:rFonts w:ascii="宋体" w:hAnsi="宋体" w:eastAsia="宋体" w:cs="宋体"/>
                <w:sz w:val="18"/>
                <w:szCs w:val="18"/>
              </w:rPr>
              <w:t>22,570,301.81</w:t>
            </w:r>
          </w:p>
        </w:tc>
        <w:tc>
          <w:tcPr>
            <w:tcW w:w="3213" w:type="dxa"/>
            <w:tcBorders>
              <w:top w:val="single" w:color="auto" w:sz="2" w:space="0"/>
              <w:left w:val="single" w:color="auto" w:sz="2" w:space="0"/>
              <w:bottom w:val="single" w:color="auto" w:sz="2" w:space="0"/>
              <w:right w:val="single" w:color="auto" w:sz="2" w:space="0"/>
            </w:tcBorders>
            <w:vAlign w:val="center"/>
          </w:tcPr>
          <w:p w14:paraId="7D2B6F3E">
            <w:pPr>
              <w:spacing w:line="240" w:lineRule="exact"/>
              <w:jc w:val="right"/>
              <w:rPr>
                <w:rFonts w:ascii="宋体" w:hAnsi="宋体" w:eastAsia="宋体" w:cs="宋体"/>
                <w:sz w:val="18"/>
                <w:szCs w:val="18"/>
              </w:rPr>
            </w:pPr>
            <w:r>
              <w:rPr>
                <w:rFonts w:ascii="宋体" w:hAnsi="宋体" w:eastAsia="宋体" w:cs="宋体"/>
                <w:sz w:val="18"/>
                <w:szCs w:val="18"/>
              </w:rPr>
              <w:t>23,342,910.60</w:t>
            </w:r>
          </w:p>
        </w:tc>
      </w:tr>
      <w:tr w14:paraId="1102F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B89D437">
            <w:pPr>
              <w:spacing w:line="240" w:lineRule="exact"/>
              <w:rPr>
                <w:rFonts w:ascii="宋体" w:hAnsi="宋体" w:eastAsia="宋体" w:cs="宋体"/>
                <w:sz w:val="18"/>
                <w:szCs w:val="18"/>
              </w:rPr>
            </w:pPr>
            <w:r>
              <w:rPr>
                <w:rFonts w:ascii="宋体" w:hAnsi="宋体" w:eastAsia="宋体" w:cs="宋体"/>
                <w:sz w:val="18"/>
                <w:szCs w:val="18"/>
              </w:rPr>
              <w:t>低值易耗品</w:t>
            </w:r>
          </w:p>
        </w:tc>
        <w:tc>
          <w:tcPr>
            <w:tcW w:w="3213" w:type="dxa"/>
            <w:tcBorders>
              <w:top w:val="single" w:color="auto" w:sz="2" w:space="0"/>
              <w:left w:val="single" w:color="auto" w:sz="2" w:space="0"/>
              <w:bottom w:val="single" w:color="auto" w:sz="2" w:space="0"/>
              <w:right w:val="single" w:color="auto" w:sz="2" w:space="0"/>
            </w:tcBorders>
            <w:vAlign w:val="center"/>
          </w:tcPr>
          <w:p w14:paraId="5803738B">
            <w:pPr>
              <w:spacing w:line="240" w:lineRule="exact"/>
              <w:jc w:val="right"/>
              <w:rPr>
                <w:rFonts w:ascii="宋体" w:hAnsi="宋体" w:eastAsia="宋体" w:cs="宋体"/>
                <w:sz w:val="18"/>
                <w:szCs w:val="18"/>
              </w:rPr>
            </w:pPr>
            <w:r>
              <w:rPr>
                <w:rFonts w:ascii="宋体" w:hAnsi="宋体" w:eastAsia="宋体" w:cs="宋体"/>
                <w:sz w:val="18"/>
                <w:szCs w:val="18"/>
              </w:rPr>
              <w:t>5,376,838.94</w:t>
            </w:r>
          </w:p>
        </w:tc>
        <w:tc>
          <w:tcPr>
            <w:tcW w:w="3213" w:type="dxa"/>
            <w:tcBorders>
              <w:top w:val="single" w:color="auto" w:sz="2" w:space="0"/>
              <w:left w:val="single" w:color="auto" w:sz="2" w:space="0"/>
              <w:bottom w:val="single" w:color="auto" w:sz="2" w:space="0"/>
              <w:right w:val="single" w:color="auto" w:sz="2" w:space="0"/>
            </w:tcBorders>
            <w:vAlign w:val="center"/>
          </w:tcPr>
          <w:p w14:paraId="0F7656EC">
            <w:pPr>
              <w:spacing w:line="240" w:lineRule="exact"/>
              <w:jc w:val="right"/>
              <w:rPr>
                <w:rFonts w:ascii="宋体" w:hAnsi="宋体" w:eastAsia="宋体" w:cs="宋体"/>
                <w:sz w:val="18"/>
                <w:szCs w:val="18"/>
              </w:rPr>
            </w:pPr>
            <w:r>
              <w:rPr>
                <w:rFonts w:ascii="宋体" w:hAnsi="宋体" w:eastAsia="宋体" w:cs="宋体"/>
                <w:sz w:val="18"/>
                <w:szCs w:val="18"/>
              </w:rPr>
              <w:t>3,740,003.52</w:t>
            </w:r>
          </w:p>
        </w:tc>
      </w:tr>
      <w:tr w14:paraId="37C07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6848F1D">
            <w:pPr>
              <w:spacing w:line="240" w:lineRule="exact"/>
              <w:rPr>
                <w:rFonts w:ascii="宋体" w:hAnsi="宋体" w:eastAsia="宋体" w:cs="宋体"/>
                <w:sz w:val="18"/>
                <w:szCs w:val="18"/>
              </w:rPr>
            </w:pPr>
            <w:r>
              <w:rPr>
                <w:rFonts w:ascii="宋体" w:hAnsi="宋体" w:eastAsia="宋体" w:cs="宋体"/>
                <w:sz w:val="18"/>
                <w:szCs w:val="18"/>
              </w:rPr>
              <w:t>修理费</w:t>
            </w:r>
          </w:p>
        </w:tc>
        <w:tc>
          <w:tcPr>
            <w:tcW w:w="3213" w:type="dxa"/>
            <w:tcBorders>
              <w:top w:val="single" w:color="auto" w:sz="2" w:space="0"/>
              <w:left w:val="single" w:color="auto" w:sz="2" w:space="0"/>
              <w:bottom w:val="single" w:color="auto" w:sz="2" w:space="0"/>
              <w:right w:val="single" w:color="auto" w:sz="2" w:space="0"/>
            </w:tcBorders>
            <w:vAlign w:val="center"/>
          </w:tcPr>
          <w:p w14:paraId="7F1F1773">
            <w:pPr>
              <w:spacing w:line="240" w:lineRule="exact"/>
              <w:jc w:val="right"/>
              <w:rPr>
                <w:rFonts w:ascii="宋体" w:hAnsi="宋体" w:eastAsia="宋体" w:cs="宋体"/>
                <w:sz w:val="18"/>
                <w:szCs w:val="18"/>
              </w:rPr>
            </w:pPr>
            <w:r>
              <w:rPr>
                <w:rFonts w:ascii="宋体" w:hAnsi="宋体" w:eastAsia="宋体" w:cs="宋体"/>
                <w:sz w:val="18"/>
                <w:szCs w:val="18"/>
              </w:rPr>
              <w:t>2,981,354.96</w:t>
            </w:r>
          </w:p>
        </w:tc>
        <w:tc>
          <w:tcPr>
            <w:tcW w:w="3213" w:type="dxa"/>
            <w:tcBorders>
              <w:top w:val="single" w:color="auto" w:sz="2" w:space="0"/>
              <w:left w:val="single" w:color="auto" w:sz="2" w:space="0"/>
              <w:bottom w:val="single" w:color="auto" w:sz="2" w:space="0"/>
              <w:right w:val="single" w:color="auto" w:sz="2" w:space="0"/>
            </w:tcBorders>
            <w:vAlign w:val="center"/>
          </w:tcPr>
          <w:p w14:paraId="454176FF">
            <w:pPr>
              <w:spacing w:line="240" w:lineRule="exact"/>
              <w:jc w:val="right"/>
              <w:rPr>
                <w:rFonts w:ascii="宋体" w:hAnsi="宋体" w:eastAsia="宋体" w:cs="宋体"/>
                <w:sz w:val="18"/>
                <w:szCs w:val="18"/>
              </w:rPr>
            </w:pPr>
            <w:r>
              <w:rPr>
                <w:rFonts w:ascii="宋体" w:hAnsi="宋体" w:eastAsia="宋体" w:cs="宋体"/>
                <w:sz w:val="18"/>
                <w:szCs w:val="18"/>
              </w:rPr>
              <w:t>3,422,079.76</w:t>
            </w:r>
          </w:p>
        </w:tc>
      </w:tr>
      <w:tr w14:paraId="6D59F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C1AC8D8">
            <w:pPr>
              <w:spacing w:line="240" w:lineRule="exact"/>
              <w:rPr>
                <w:rFonts w:ascii="宋体" w:hAnsi="宋体" w:eastAsia="宋体" w:cs="宋体"/>
                <w:sz w:val="18"/>
                <w:szCs w:val="18"/>
              </w:rPr>
            </w:pPr>
            <w:r>
              <w:rPr>
                <w:rFonts w:ascii="宋体" w:hAnsi="宋体" w:eastAsia="宋体" w:cs="宋体"/>
                <w:sz w:val="18"/>
                <w:szCs w:val="18"/>
              </w:rPr>
              <w:t>折旧费</w:t>
            </w:r>
          </w:p>
        </w:tc>
        <w:tc>
          <w:tcPr>
            <w:tcW w:w="3213" w:type="dxa"/>
            <w:tcBorders>
              <w:top w:val="single" w:color="auto" w:sz="2" w:space="0"/>
              <w:left w:val="single" w:color="auto" w:sz="2" w:space="0"/>
              <w:bottom w:val="single" w:color="auto" w:sz="2" w:space="0"/>
              <w:right w:val="single" w:color="auto" w:sz="2" w:space="0"/>
            </w:tcBorders>
            <w:vAlign w:val="center"/>
          </w:tcPr>
          <w:p w14:paraId="7021E8C1">
            <w:pPr>
              <w:spacing w:line="240" w:lineRule="exact"/>
              <w:jc w:val="right"/>
              <w:rPr>
                <w:rFonts w:ascii="宋体" w:hAnsi="宋体" w:eastAsia="宋体" w:cs="宋体"/>
                <w:sz w:val="18"/>
                <w:szCs w:val="18"/>
              </w:rPr>
            </w:pPr>
            <w:r>
              <w:rPr>
                <w:rFonts w:ascii="宋体" w:hAnsi="宋体" w:eastAsia="宋体" w:cs="宋体"/>
                <w:sz w:val="18"/>
                <w:szCs w:val="18"/>
              </w:rPr>
              <w:t>85,434,418.30</w:t>
            </w:r>
          </w:p>
        </w:tc>
        <w:tc>
          <w:tcPr>
            <w:tcW w:w="3213" w:type="dxa"/>
            <w:tcBorders>
              <w:top w:val="single" w:color="auto" w:sz="2" w:space="0"/>
              <w:left w:val="single" w:color="auto" w:sz="2" w:space="0"/>
              <w:bottom w:val="single" w:color="auto" w:sz="2" w:space="0"/>
              <w:right w:val="single" w:color="auto" w:sz="2" w:space="0"/>
            </w:tcBorders>
            <w:vAlign w:val="center"/>
          </w:tcPr>
          <w:p w14:paraId="5DE9CBC3">
            <w:pPr>
              <w:spacing w:line="240" w:lineRule="exact"/>
              <w:jc w:val="right"/>
              <w:rPr>
                <w:rFonts w:ascii="宋体" w:hAnsi="宋体" w:eastAsia="宋体" w:cs="宋体"/>
                <w:sz w:val="18"/>
                <w:szCs w:val="18"/>
              </w:rPr>
            </w:pPr>
            <w:r>
              <w:rPr>
                <w:rFonts w:ascii="宋体" w:hAnsi="宋体" w:eastAsia="宋体" w:cs="宋体"/>
                <w:sz w:val="18"/>
                <w:szCs w:val="18"/>
              </w:rPr>
              <w:t>74,061,393.35</w:t>
            </w:r>
          </w:p>
        </w:tc>
      </w:tr>
      <w:tr w14:paraId="20203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7E6C1C6">
            <w:pPr>
              <w:spacing w:line="240" w:lineRule="exact"/>
              <w:rPr>
                <w:rFonts w:ascii="宋体" w:hAnsi="宋体" w:eastAsia="宋体" w:cs="宋体"/>
                <w:sz w:val="18"/>
                <w:szCs w:val="18"/>
              </w:rPr>
            </w:pPr>
            <w:r>
              <w:rPr>
                <w:rFonts w:ascii="宋体" w:hAnsi="宋体" w:eastAsia="宋体" w:cs="宋体"/>
                <w:sz w:val="18"/>
                <w:szCs w:val="18"/>
              </w:rPr>
              <w:t>费用摊销</w:t>
            </w:r>
          </w:p>
        </w:tc>
        <w:tc>
          <w:tcPr>
            <w:tcW w:w="3213" w:type="dxa"/>
            <w:tcBorders>
              <w:top w:val="single" w:color="auto" w:sz="2" w:space="0"/>
              <w:left w:val="single" w:color="auto" w:sz="2" w:space="0"/>
              <w:bottom w:val="single" w:color="auto" w:sz="2" w:space="0"/>
              <w:right w:val="single" w:color="auto" w:sz="2" w:space="0"/>
            </w:tcBorders>
            <w:vAlign w:val="center"/>
          </w:tcPr>
          <w:p w14:paraId="24ACA4A3">
            <w:pPr>
              <w:spacing w:line="240" w:lineRule="exact"/>
              <w:jc w:val="right"/>
              <w:rPr>
                <w:rFonts w:ascii="宋体" w:hAnsi="宋体" w:eastAsia="宋体" w:cs="宋体"/>
                <w:sz w:val="18"/>
                <w:szCs w:val="18"/>
              </w:rPr>
            </w:pPr>
            <w:r>
              <w:rPr>
                <w:rFonts w:ascii="宋体" w:hAnsi="宋体" w:eastAsia="宋体" w:cs="宋体"/>
                <w:sz w:val="18"/>
                <w:szCs w:val="18"/>
              </w:rPr>
              <w:t>3,026,098.32</w:t>
            </w:r>
          </w:p>
        </w:tc>
        <w:tc>
          <w:tcPr>
            <w:tcW w:w="3213" w:type="dxa"/>
            <w:tcBorders>
              <w:top w:val="single" w:color="auto" w:sz="2" w:space="0"/>
              <w:left w:val="single" w:color="auto" w:sz="2" w:space="0"/>
              <w:bottom w:val="single" w:color="auto" w:sz="2" w:space="0"/>
              <w:right w:val="single" w:color="auto" w:sz="2" w:space="0"/>
            </w:tcBorders>
            <w:vAlign w:val="center"/>
          </w:tcPr>
          <w:p w14:paraId="330B7531">
            <w:pPr>
              <w:spacing w:line="240" w:lineRule="exact"/>
              <w:jc w:val="right"/>
              <w:rPr>
                <w:rFonts w:ascii="宋体" w:hAnsi="宋体" w:eastAsia="宋体" w:cs="宋体"/>
                <w:sz w:val="18"/>
                <w:szCs w:val="18"/>
              </w:rPr>
            </w:pPr>
            <w:r>
              <w:rPr>
                <w:rFonts w:ascii="宋体" w:hAnsi="宋体" w:eastAsia="宋体" w:cs="宋体"/>
                <w:sz w:val="18"/>
                <w:szCs w:val="18"/>
              </w:rPr>
              <w:t>6,639,109.70</w:t>
            </w:r>
          </w:p>
        </w:tc>
      </w:tr>
      <w:tr w14:paraId="791BB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9E68F3C">
            <w:pPr>
              <w:spacing w:line="240" w:lineRule="exact"/>
              <w:rPr>
                <w:rFonts w:ascii="宋体" w:hAnsi="宋体" w:eastAsia="宋体" w:cs="宋体"/>
                <w:sz w:val="18"/>
                <w:szCs w:val="18"/>
              </w:rPr>
            </w:pPr>
            <w:r>
              <w:rPr>
                <w:rFonts w:ascii="宋体" w:hAnsi="宋体"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14:paraId="19E590E0">
            <w:pPr>
              <w:spacing w:line="240" w:lineRule="exact"/>
              <w:jc w:val="right"/>
              <w:rPr>
                <w:rFonts w:ascii="宋体" w:hAnsi="宋体" w:eastAsia="宋体" w:cs="宋体"/>
                <w:sz w:val="18"/>
                <w:szCs w:val="18"/>
              </w:rPr>
            </w:pPr>
            <w:r>
              <w:rPr>
                <w:rFonts w:ascii="宋体" w:hAnsi="宋体" w:eastAsia="宋体" w:cs="宋体"/>
                <w:sz w:val="18"/>
                <w:szCs w:val="18"/>
              </w:rPr>
              <w:t>3,986,275.97</w:t>
            </w:r>
          </w:p>
        </w:tc>
        <w:tc>
          <w:tcPr>
            <w:tcW w:w="3213" w:type="dxa"/>
            <w:tcBorders>
              <w:top w:val="single" w:color="auto" w:sz="2" w:space="0"/>
              <w:left w:val="single" w:color="auto" w:sz="2" w:space="0"/>
              <w:bottom w:val="single" w:color="auto" w:sz="2" w:space="0"/>
              <w:right w:val="single" w:color="auto" w:sz="2" w:space="0"/>
            </w:tcBorders>
            <w:vAlign w:val="center"/>
          </w:tcPr>
          <w:p w14:paraId="56E7832B">
            <w:pPr>
              <w:spacing w:line="240" w:lineRule="exact"/>
              <w:jc w:val="right"/>
              <w:rPr>
                <w:rFonts w:ascii="宋体" w:hAnsi="宋体" w:eastAsia="宋体" w:cs="宋体"/>
                <w:sz w:val="18"/>
                <w:szCs w:val="18"/>
              </w:rPr>
            </w:pPr>
            <w:r>
              <w:rPr>
                <w:rFonts w:ascii="宋体" w:hAnsi="宋体" w:eastAsia="宋体" w:cs="宋体"/>
                <w:sz w:val="18"/>
                <w:szCs w:val="18"/>
              </w:rPr>
              <w:t>3,212,342.53</w:t>
            </w:r>
          </w:p>
        </w:tc>
      </w:tr>
      <w:tr w14:paraId="1BDD1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8CA7050">
            <w:pPr>
              <w:spacing w:line="240" w:lineRule="exact"/>
              <w:rPr>
                <w:rFonts w:ascii="宋体" w:hAnsi="宋体" w:eastAsia="宋体" w:cs="宋体"/>
                <w:sz w:val="18"/>
                <w:szCs w:val="18"/>
              </w:rPr>
            </w:pPr>
            <w:r>
              <w:rPr>
                <w:rFonts w:ascii="宋体" w:hAnsi="宋体" w:eastAsia="宋体" w:cs="宋体"/>
                <w:sz w:val="18"/>
                <w:szCs w:val="18"/>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14:paraId="5963DAE8">
            <w:pPr>
              <w:spacing w:line="240" w:lineRule="exact"/>
              <w:jc w:val="right"/>
              <w:rPr>
                <w:rFonts w:ascii="宋体" w:hAnsi="宋体" w:eastAsia="宋体" w:cs="宋体"/>
                <w:sz w:val="18"/>
                <w:szCs w:val="18"/>
              </w:rPr>
            </w:pPr>
            <w:r>
              <w:rPr>
                <w:rFonts w:ascii="宋体" w:hAnsi="宋体" w:eastAsia="宋体" w:cs="宋体"/>
                <w:sz w:val="18"/>
                <w:szCs w:val="18"/>
              </w:rPr>
              <w:t>3,336,695.91</w:t>
            </w:r>
          </w:p>
        </w:tc>
        <w:tc>
          <w:tcPr>
            <w:tcW w:w="3213" w:type="dxa"/>
            <w:tcBorders>
              <w:top w:val="single" w:color="auto" w:sz="2" w:space="0"/>
              <w:left w:val="single" w:color="auto" w:sz="2" w:space="0"/>
              <w:bottom w:val="single" w:color="auto" w:sz="2" w:space="0"/>
              <w:right w:val="single" w:color="auto" w:sz="2" w:space="0"/>
            </w:tcBorders>
            <w:vAlign w:val="center"/>
          </w:tcPr>
          <w:p w14:paraId="7BD8CA76">
            <w:pPr>
              <w:spacing w:line="240" w:lineRule="exact"/>
              <w:jc w:val="right"/>
              <w:rPr>
                <w:rFonts w:ascii="宋体" w:hAnsi="宋体" w:eastAsia="宋体" w:cs="宋体"/>
                <w:sz w:val="18"/>
                <w:szCs w:val="18"/>
              </w:rPr>
            </w:pPr>
            <w:r>
              <w:rPr>
                <w:rFonts w:ascii="宋体" w:hAnsi="宋体" w:eastAsia="宋体" w:cs="宋体"/>
                <w:sz w:val="18"/>
                <w:szCs w:val="18"/>
              </w:rPr>
              <w:t>4,939,255.65</w:t>
            </w:r>
          </w:p>
        </w:tc>
      </w:tr>
      <w:tr w14:paraId="0EDD3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80CB144">
            <w:pPr>
              <w:spacing w:line="240" w:lineRule="exact"/>
              <w:rPr>
                <w:rFonts w:ascii="宋体" w:hAnsi="宋体" w:eastAsia="宋体" w:cs="宋体"/>
                <w:sz w:val="18"/>
                <w:szCs w:val="18"/>
              </w:rPr>
            </w:pPr>
            <w:r>
              <w:rPr>
                <w:rFonts w:ascii="宋体" w:hAnsi="宋体" w:eastAsia="宋体" w:cs="宋体"/>
                <w:sz w:val="18"/>
                <w:szCs w:val="18"/>
              </w:rPr>
              <w:t>保险费</w:t>
            </w:r>
          </w:p>
        </w:tc>
        <w:tc>
          <w:tcPr>
            <w:tcW w:w="3213" w:type="dxa"/>
            <w:tcBorders>
              <w:top w:val="single" w:color="auto" w:sz="2" w:space="0"/>
              <w:left w:val="single" w:color="auto" w:sz="2" w:space="0"/>
              <w:bottom w:val="single" w:color="auto" w:sz="2" w:space="0"/>
              <w:right w:val="single" w:color="auto" w:sz="2" w:space="0"/>
            </w:tcBorders>
            <w:vAlign w:val="center"/>
          </w:tcPr>
          <w:p w14:paraId="43C1A714">
            <w:pPr>
              <w:spacing w:line="240" w:lineRule="exact"/>
              <w:jc w:val="right"/>
              <w:rPr>
                <w:rFonts w:ascii="宋体" w:hAnsi="宋体" w:eastAsia="宋体" w:cs="宋体"/>
                <w:sz w:val="18"/>
                <w:szCs w:val="18"/>
              </w:rPr>
            </w:pPr>
            <w:r>
              <w:rPr>
                <w:rFonts w:ascii="宋体" w:hAnsi="宋体" w:eastAsia="宋体" w:cs="宋体"/>
                <w:sz w:val="18"/>
                <w:szCs w:val="18"/>
              </w:rPr>
              <w:t>1,306,321.16</w:t>
            </w:r>
          </w:p>
        </w:tc>
        <w:tc>
          <w:tcPr>
            <w:tcW w:w="3213" w:type="dxa"/>
            <w:tcBorders>
              <w:top w:val="single" w:color="auto" w:sz="2" w:space="0"/>
              <w:left w:val="single" w:color="auto" w:sz="2" w:space="0"/>
              <w:bottom w:val="single" w:color="auto" w:sz="2" w:space="0"/>
              <w:right w:val="single" w:color="auto" w:sz="2" w:space="0"/>
            </w:tcBorders>
            <w:vAlign w:val="center"/>
          </w:tcPr>
          <w:p w14:paraId="663A4E85">
            <w:pPr>
              <w:spacing w:line="240" w:lineRule="exact"/>
              <w:jc w:val="right"/>
              <w:rPr>
                <w:rFonts w:ascii="宋体" w:hAnsi="宋体" w:eastAsia="宋体" w:cs="宋体"/>
                <w:sz w:val="18"/>
                <w:szCs w:val="18"/>
              </w:rPr>
            </w:pPr>
            <w:r>
              <w:rPr>
                <w:rFonts w:ascii="宋体" w:hAnsi="宋体" w:eastAsia="宋体" w:cs="宋体"/>
                <w:sz w:val="18"/>
                <w:szCs w:val="18"/>
              </w:rPr>
              <w:t>2,186,717.75</w:t>
            </w:r>
          </w:p>
        </w:tc>
      </w:tr>
      <w:tr w14:paraId="57E0B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0B64769">
            <w:pPr>
              <w:spacing w:line="240" w:lineRule="exac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4B2F4C05">
            <w:pPr>
              <w:spacing w:line="240" w:lineRule="exact"/>
              <w:jc w:val="right"/>
              <w:rPr>
                <w:rFonts w:ascii="宋体" w:hAnsi="宋体" w:eastAsia="宋体" w:cs="宋体"/>
                <w:sz w:val="18"/>
                <w:szCs w:val="18"/>
              </w:rPr>
            </w:pPr>
            <w:r>
              <w:rPr>
                <w:rFonts w:ascii="宋体" w:hAnsi="宋体" w:eastAsia="宋体" w:cs="宋体"/>
                <w:sz w:val="18"/>
                <w:szCs w:val="18"/>
              </w:rPr>
              <w:t>14,685,017.08</w:t>
            </w:r>
          </w:p>
        </w:tc>
        <w:tc>
          <w:tcPr>
            <w:tcW w:w="3213" w:type="dxa"/>
            <w:tcBorders>
              <w:top w:val="single" w:color="auto" w:sz="2" w:space="0"/>
              <w:left w:val="single" w:color="auto" w:sz="2" w:space="0"/>
              <w:bottom w:val="single" w:color="auto" w:sz="2" w:space="0"/>
              <w:right w:val="single" w:color="auto" w:sz="2" w:space="0"/>
            </w:tcBorders>
            <w:vAlign w:val="center"/>
          </w:tcPr>
          <w:p w14:paraId="6E8736EF">
            <w:pPr>
              <w:spacing w:line="240" w:lineRule="exact"/>
              <w:jc w:val="right"/>
              <w:rPr>
                <w:rFonts w:ascii="宋体" w:hAnsi="宋体" w:eastAsia="宋体" w:cs="宋体"/>
                <w:sz w:val="18"/>
                <w:szCs w:val="18"/>
              </w:rPr>
            </w:pPr>
            <w:r>
              <w:rPr>
                <w:rFonts w:ascii="宋体" w:hAnsi="宋体" w:eastAsia="宋体" w:cs="宋体"/>
                <w:sz w:val="18"/>
                <w:szCs w:val="18"/>
              </w:rPr>
              <w:t>14,901,054.53</w:t>
            </w:r>
          </w:p>
        </w:tc>
      </w:tr>
      <w:tr w14:paraId="39D2A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4D7AD46">
            <w:pPr>
              <w:spacing w:line="240" w:lineRule="exact"/>
              <w:rPr>
                <w:rFonts w:ascii="宋体" w:hAnsi="宋体" w:eastAsia="宋体" w:cs="宋体"/>
                <w:sz w:val="18"/>
                <w:szCs w:val="18"/>
              </w:rPr>
            </w:pPr>
            <w:r>
              <w:rPr>
                <w:rFonts w:ascii="宋体" w:hAnsi="宋体" w:eastAsia="宋体" w:cs="宋体"/>
                <w:sz w:val="18"/>
                <w:szCs w:val="18"/>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14:paraId="5717C50E">
            <w:pPr>
              <w:spacing w:line="240" w:lineRule="exact"/>
              <w:jc w:val="right"/>
              <w:rPr>
                <w:rFonts w:ascii="宋体" w:hAnsi="宋体" w:eastAsia="宋体" w:cs="宋体"/>
                <w:sz w:val="18"/>
                <w:szCs w:val="18"/>
              </w:rPr>
            </w:pPr>
            <w:r>
              <w:rPr>
                <w:rFonts w:ascii="宋体" w:hAnsi="宋体" w:eastAsia="宋体" w:cs="宋体"/>
                <w:sz w:val="18"/>
                <w:szCs w:val="18"/>
              </w:rPr>
              <w:t>67,444.00</w:t>
            </w:r>
          </w:p>
        </w:tc>
        <w:tc>
          <w:tcPr>
            <w:tcW w:w="3213" w:type="dxa"/>
            <w:tcBorders>
              <w:top w:val="single" w:color="auto" w:sz="2" w:space="0"/>
              <w:left w:val="single" w:color="auto" w:sz="2" w:space="0"/>
              <w:bottom w:val="single" w:color="auto" w:sz="2" w:space="0"/>
              <w:right w:val="single" w:color="auto" w:sz="2" w:space="0"/>
            </w:tcBorders>
            <w:vAlign w:val="center"/>
          </w:tcPr>
          <w:p w14:paraId="6C437511">
            <w:pPr>
              <w:spacing w:line="240" w:lineRule="exact"/>
              <w:jc w:val="right"/>
              <w:rPr>
                <w:rFonts w:ascii="宋体" w:hAnsi="宋体" w:eastAsia="宋体" w:cs="宋体"/>
                <w:sz w:val="18"/>
                <w:szCs w:val="18"/>
              </w:rPr>
            </w:pPr>
            <w:r>
              <w:rPr>
                <w:rFonts w:ascii="宋体" w:hAnsi="宋体" w:eastAsia="宋体" w:cs="宋体"/>
                <w:sz w:val="18"/>
                <w:szCs w:val="18"/>
              </w:rPr>
              <w:t>626,583.39</w:t>
            </w:r>
          </w:p>
        </w:tc>
      </w:tr>
      <w:tr w14:paraId="2351B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6146149">
            <w:pPr>
              <w:spacing w:line="240" w:lineRule="exact"/>
              <w:rPr>
                <w:rFonts w:ascii="宋体" w:hAnsi="宋体" w:eastAsia="宋体" w:cs="宋体"/>
                <w:sz w:val="18"/>
                <w:szCs w:val="18"/>
              </w:rPr>
            </w:pPr>
            <w:r>
              <w:rPr>
                <w:rFonts w:ascii="宋体" w:hAnsi="宋体" w:eastAsia="宋体" w:cs="宋体"/>
                <w:sz w:val="18"/>
                <w:szCs w:val="18"/>
              </w:rPr>
              <w:t>租赁费</w:t>
            </w:r>
          </w:p>
        </w:tc>
        <w:tc>
          <w:tcPr>
            <w:tcW w:w="3213" w:type="dxa"/>
            <w:tcBorders>
              <w:top w:val="single" w:color="auto" w:sz="2" w:space="0"/>
              <w:left w:val="single" w:color="auto" w:sz="2" w:space="0"/>
              <w:bottom w:val="single" w:color="auto" w:sz="2" w:space="0"/>
              <w:right w:val="single" w:color="auto" w:sz="2" w:space="0"/>
            </w:tcBorders>
            <w:vAlign w:val="center"/>
          </w:tcPr>
          <w:p w14:paraId="4C3941E8">
            <w:pPr>
              <w:spacing w:line="240" w:lineRule="exact"/>
              <w:jc w:val="right"/>
              <w:rPr>
                <w:rFonts w:ascii="宋体" w:hAnsi="宋体" w:eastAsia="宋体" w:cs="宋体"/>
                <w:sz w:val="18"/>
                <w:szCs w:val="18"/>
              </w:rPr>
            </w:pPr>
            <w:r>
              <w:rPr>
                <w:rFonts w:ascii="宋体" w:hAnsi="宋体" w:eastAsia="宋体" w:cs="宋体"/>
                <w:sz w:val="18"/>
                <w:szCs w:val="18"/>
              </w:rPr>
              <w:t>3,222,931.42</w:t>
            </w:r>
          </w:p>
        </w:tc>
        <w:tc>
          <w:tcPr>
            <w:tcW w:w="3213" w:type="dxa"/>
            <w:tcBorders>
              <w:top w:val="single" w:color="auto" w:sz="2" w:space="0"/>
              <w:left w:val="single" w:color="auto" w:sz="2" w:space="0"/>
              <w:bottom w:val="single" w:color="auto" w:sz="2" w:space="0"/>
              <w:right w:val="single" w:color="auto" w:sz="2" w:space="0"/>
            </w:tcBorders>
            <w:vAlign w:val="center"/>
          </w:tcPr>
          <w:p w14:paraId="499EA650">
            <w:pPr>
              <w:spacing w:line="240" w:lineRule="exact"/>
              <w:jc w:val="right"/>
              <w:rPr>
                <w:rFonts w:ascii="宋体" w:hAnsi="宋体" w:eastAsia="宋体" w:cs="宋体"/>
                <w:sz w:val="18"/>
                <w:szCs w:val="18"/>
              </w:rPr>
            </w:pPr>
            <w:r>
              <w:rPr>
                <w:rFonts w:ascii="宋体" w:hAnsi="宋体" w:eastAsia="宋体" w:cs="宋体"/>
                <w:sz w:val="18"/>
                <w:szCs w:val="18"/>
              </w:rPr>
              <w:t>6,223,839.40</w:t>
            </w:r>
          </w:p>
        </w:tc>
      </w:tr>
      <w:tr w14:paraId="4F64D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9146AAD">
            <w:pPr>
              <w:spacing w:line="240" w:lineRule="exact"/>
              <w:rPr>
                <w:rFonts w:ascii="宋体" w:hAnsi="宋体" w:eastAsia="宋体" w:cs="宋体"/>
                <w:sz w:val="18"/>
                <w:szCs w:val="18"/>
              </w:rPr>
            </w:pPr>
            <w:r>
              <w:rPr>
                <w:rFonts w:ascii="宋体" w:hAnsi="宋体" w:eastAsia="宋体" w:cs="宋体"/>
                <w:sz w:val="18"/>
                <w:szCs w:val="18"/>
              </w:rPr>
              <w:t>中介机构费</w:t>
            </w:r>
          </w:p>
        </w:tc>
        <w:tc>
          <w:tcPr>
            <w:tcW w:w="3213" w:type="dxa"/>
            <w:tcBorders>
              <w:top w:val="single" w:color="auto" w:sz="2" w:space="0"/>
              <w:left w:val="single" w:color="auto" w:sz="2" w:space="0"/>
              <w:bottom w:val="single" w:color="auto" w:sz="2" w:space="0"/>
              <w:right w:val="single" w:color="auto" w:sz="2" w:space="0"/>
            </w:tcBorders>
            <w:vAlign w:val="center"/>
          </w:tcPr>
          <w:p w14:paraId="2B2E78DA">
            <w:pPr>
              <w:spacing w:line="240" w:lineRule="exact"/>
              <w:jc w:val="right"/>
              <w:rPr>
                <w:rFonts w:ascii="宋体" w:hAnsi="宋体" w:eastAsia="宋体" w:cs="宋体"/>
                <w:sz w:val="18"/>
                <w:szCs w:val="18"/>
              </w:rPr>
            </w:pPr>
            <w:r>
              <w:rPr>
                <w:rFonts w:ascii="宋体" w:hAnsi="宋体" w:eastAsia="宋体" w:cs="宋体"/>
                <w:sz w:val="18"/>
                <w:szCs w:val="18"/>
              </w:rPr>
              <w:t>25,915,684.11</w:t>
            </w:r>
          </w:p>
        </w:tc>
        <w:tc>
          <w:tcPr>
            <w:tcW w:w="3213" w:type="dxa"/>
            <w:tcBorders>
              <w:top w:val="single" w:color="auto" w:sz="2" w:space="0"/>
              <w:left w:val="single" w:color="auto" w:sz="2" w:space="0"/>
              <w:bottom w:val="single" w:color="auto" w:sz="2" w:space="0"/>
              <w:right w:val="single" w:color="auto" w:sz="2" w:space="0"/>
            </w:tcBorders>
            <w:vAlign w:val="center"/>
          </w:tcPr>
          <w:p w14:paraId="2D8DF5B3">
            <w:pPr>
              <w:spacing w:line="240" w:lineRule="exact"/>
              <w:jc w:val="right"/>
              <w:rPr>
                <w:rFonts w:ascii="宋体" w:hAnsi="宋体" w:eastAsia="宋体" w:cs="宋体"/>
                <w:sz w:val="18"/>
                <w:szCs w:val="18"/>
              </w:rPr>
            </w:pPr>
            <w:r>
              <w:rPr>
                <w:rFonts w:ascii="宋体" w:hAnsi="宋体" w:eastAsia="宋体" w:cs="宋体"/>
                <w:sz w:val="18"/>
                <w:szCs w:val="18"/>
              </w:rPr>
              <w:t>18,406,610.92</w:t>
            </w:r>
          </w:p>
        </w:tc>
      </w:tr>
      <w:tr w14:paraId="322A0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F79271">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7ED7CA2D">
            <w:pPr>
              <w:spacing w:line="240" w:lineRule="exact"/>
              <w:jc w:val="right"/>
              <w:rPr>
                <w:rFonts w:ascii="宋体" w:hAnsi="宋体" w:eastAsia="宋体" w:cs="宋体"/>
                <w:sz w:val="18"/>
                <w:szCs w:val="18"/>
              </w:rPr>
            </w:pPr>
            <w:r>
              <w:rPr>
                <w:rFonts w:ascii="宋体" w:hAnsi="宋体" w:eastAsia="宋体" w:cs="宋体"/>
                <w:sz w:val="18"/>
                <w:szCs w:val="18"/>
              </w:rPr>
              <w:t>316,096,177.33</w:t>
            </w:r>
          </w:p>
        </w:tc>
        <w:tc>
          <w:tcPr>
            <w:tcW w:w="3213" w:type="dxa"/>
            <w:tcBorders>
              <w:top w:val="single" w:color="auto" w:sz="2" w:space="0"/>
              <w:left w:val="single" w:color="auto" w:sz="2" w:space="0"/>
              <w:bottom w:val="single" w:color="auto" w:sz="2" w:space="0"/>
              <w:right w:val="single" w:color="auto" w:sz="2" w:space="0"/>
            </w:tcBorders>
            <w:vAlign w:val="center"/>
          </w:tcPr>
          <w:p w14:paraId="45AA7CE0">
            <w:pPr>
              <w:spacing w:line="240" w:lineRule="exact"/>
              <w:jc w:val="right"/>
              <w:rPr>
                <w:rFonts w:ascii="宋体" w:hAnsi="宋体" w:eastAsia="宋体" w:cs="宋体"/>
                <w:sz w:val="18"/>
                <w:szCs w:val="18"/>
              </w:rPr>
            </w:pPr>
            <w:r>
              <w:rPr>
                <w:rFonts w:ascii="宋体" w:hAnsi="宋体" w:eastAsia="宋体" w:cs="宋体"/>
                <w:sz w:val="18"/>
                <w:szCs w:val="18"/>
              </w:rPr>
              <w:t>319,106,479.61</w:t>
            </w:r>
          </w:p>
        </w:tc>
      </w:tr>
    </w:tbl>
    <w:p w14:paraId="7FD17C0B">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3353A654">
      <w:pPr>
        <w:pStyle w:val="3"/>
        <w:spacing w:line="280" w:lineRule="exact"/>
        <w:jc w:val="left"/>
        <w:rPr>
          <w:rFonts w:ascii="宋体" w:hAnsi="宋体" w:cs="宋体"/>
          <w:b/>
          <w:bCs/>
        </w:rPr>
      </w:pPr>
      <w:bookmarkStart w:id="456" w:name="_Toc989310"/>
      <w:r>
        <w:rPr>
          <w:rFonts w:ascii="宋体" w:hAnsi="宋体" w:cs="宋体"/>
          <w:b/>
          <w:bCs/>
        </w:rPr>
        <w:t>64、销售费用</w:t>
      </w:r>
      <w:bookmarkEnd w:id="456"/>
    </w:p>
    <w:p w14:paraId="1FDD868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BEC6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12475D">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E067E1">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40DCF7">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0FA2C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E7D4E86">
            <w:pPr>
              <w:spacing w:line="240" w:lineRule="exact"/>
              <w:rPr>
                <w:rFonts w:ascii="宋体" w:hAnsi="宋体" w:eastAsia="宋体" w:cs="宋体"/>
                <w:sz w:val="18"/>
                <w:szCs w:val="18"/>
              </w:rPr>
            </w:pPr>
            <w:r>
              <w:rPr>
                <w:rFonts w:ascii="宋体" w:hAnsi="宋体" w:eastAsia="宋体" w:cs="宋体"/>
                <w:sz w:val="18"/>
                <w:szCs w:val="18"/>
              </w:rPr>
              <w:t>工资及相关费用</w:t>
            </w:r>
          </w:p>
        </w:tc>
        <w:tc>
          <w:tcPr>
            <w:tcW w:w="3213" w:type="dxa"/>
            <w:tcBorders>
              <w:top w:val="single" w:color="auto" w:sz="2" w:space="0"/>
              <w:left w:val="single" w:color="auto" w:sz="2" w:space="0"/>
              <w:bottom w:val="single" w:color="auto" w:sz="2" w:space="0"/>
              <w:right w:val="single" w:color="auto" w:sz="2" w:space="0"/>
            </w:tcBorders>
            <w:vAlign w:val="center"/>
          </w:tcPr>
          <w:p w14:paraId="351C903F">
            <w:pPr>
              <w:spacing w:line="240" w:lineRule="exact"/>
              <w:jc w:val="right"/>
              <w:rPr>
                <w:rFonts w:ascii="宋体" w:hAnsi="宋体" w:eastAsia="宋体" w:cs="宋体"/>
                <w:sz w:val="18"/>
                <w:szCs w:val="18"/>
              </w:rPr>
            </w:pPr>
            <w:r>
              <w:rPr>
                <w:rFonts w:ascii="宋体" w:hAnsi="宋体" w:eastAsia="宋体" w:cs="宋体"/>
                <w:sz w:val="18"/>
                <w:szCs w:val="18"/>
              </w:rPr>
              <w:t>41,212,961.78</w:t>
            </w:r>
          </w:p>
        </w:tc>
        <w:tc>
          <w:tcPr>
            <w:tcW w:w="3213" w:type="dxa"/>
            <w:tcBorders>
              <w:top w:val="single" w:color="auto" w:sz="2" w:space="0"/>
              <w:left w:val="single" w:color="auto" w:sz="2" w:space="0"/>
              <w:bottom w:val="single" w:color="auto" w:sz="2" w:space="0"/>
              <w:right w:val="single" w:color="auto" w:sz="2" w:space="0"/>
            </w:tcBorders>
            <w:vAlign w:val="center"/>
          </w:tcPr>
          <w:p w14:paraId="39A9D168">
            <w:pPr>
              <w:spacing w:line="240" w:lineRule="exact"/>
              <w:jc w:val="right"/>
              <w:rPr>
                <w:rFonts w:ascii="宋体" w:hAnsi="宋体" w:eastAsia="宋体" w:cs="宋体"/>
                <w:sz w:val="18"/>
                <w:szCs w:val="18"/>
              </w:rPr>
            </w:pPr>
            <w:r>
              <w:rPr>
                <w:rFonts w:ascii="宋体" w:hAnsi="宋体" w:eastAsia="宋体" w:cs="宋体"/>
                <w:sz w:val="18"/>
                <w:szCs w:val="18"/>
              </w:rPr>
              <w:t>35,624,592.53</w:t>
            </w:r>
          </w:p>
        </w:tc>
      </w:tr>
      <w:tr w14:paraId="6D818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B3A39CA">
            <w:pPr>
              <w:spacing w:line="240" w:lineRule="exact"/>
              <w:rPr>
                <w:rFonts w:ascii="宋体" w:hAnsi="宋体" w:eastAsia="宋体" w:cs="宋体"/>
                <w:sz w:val="18"/>
                <w:szCs w:val="18"/>
              </w:rPr>
            </w:pPr>
            <w:r>
              <w:rPr>
                <w:rFonts w:ascii="宋体" w:hAnsi="宋体" w:eastAsia="宋体" w:cs="宋体"/>
                <w:sz w:val="18"/>
                <w:szCs w:val="18"/>
              </w:rPr>
              <w:t>办公费用</w:t>
            </w:r>
          </w:p>
        </w:tc>
        <w:tc>
          <w:tcPr>
            <w:tcW w:w="3213" w:type="dxa"/>
            <w:tcBorders>
              <w:top w:val="single" w:color="auto" w:sz="2" w:space="0"/>
              <w:left w:val="single" w:color="auto" w:sz="2" w:space="0"/>
              <w:bottom w:val="single" w:color="auto" w:sz="2" w:space="0"/>
              <w:right w:val="single" w:color="auto" w:sz="2" w:space="0"/>
            </w:tcBorders>
            <w:vAlign w:val="center"/>
          </w:tcPr>
          <w:p w14:paraId="35DC502D">
            <w:pPr>
              <w:spacing w:line="240" w:lineRule="exact"/>
              <w:jc w:val="right"/>
              <w:rPr>
                <w:rFonts w:ascii="宋体" w:hAnsi="宋体" w:eastAsia="宋体" w:cs="宋体"/>
                <w:sz w:val="18"/>
                <w:szCs w:val="18"/>
              </w:rPr>
            </w:pPr>
            <w:r>
              <w:rPr>
                <w:rFonts w:ascii="宋体" w:hAnsi="宋体" w:eastAsia="宋体" w:cs="宋体"/>
                <w:sz w:val="18"/>
                <w:szCs w:val="18"/>
              </w:rPr>
              <w:t>1,245,201.62</w:t>
            </w:r>
          </w:p>
        </w:tc>
        <w:tc>
          <w:tcPr>
            <w:tcW w:w="3213" w:type="dxa"/>
            <w:tcBorders>
              <w:top w:val="single" w:color="auto" w:sz="2" w:space="0"/>
              <w:left w:val="single" w:color="auto" w:sz="2" w:space="0"/>
              <w:bottom w:val="single" w:color="auto" w:sz="2" w:space="0"/>
              <w:right w:val="single" w:color="auto" w:sz="2" w:space="0"/>
            </w:tcBorders>
            <w:vAlign w:val="center"/>
          </w:tcPr>
          <w:p w14:paraId="00A9583A">
            <w:pPr>
              <w:spacing w:line="240" w:lineRule="exact"/>
              <w:jc w:val="right"/>
              <w:rPr>
                <w:rFonts w:ascii="宋体" w:hAnsi="宋体" w:eastAsia="宋体" w:cs="宋体"/>
                <w:sz w:val="18"/>
                <w:szCs w:val="18"/>
              </w:rPr>
            </w:pPr>
            <w:r>
              <w:rPr>
                <w:rFonts w:ascii="宋体" w:hAnsi="宋体" w:eastAsia="宋体" w:cs="宋体"/>
                <w:sz w:val="18"/>
                <w:szCs w:val="18"/>
              </w:rPr>
              <w:t>964,192.17</w:t>
            </w:r>
          </w:p>
        </w:tc>
      </w:tr>
      <w:tr w14:paraId="2D558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1E71C8B">
            <w:pPr>
              <w:spacing w:line="240" w:lineRule="exact"/>
              <w:rPr>
                <w:rFonts w:ascii="宋体" w:hAnsi="宋体" w:eastAsia="宋体" w:cs="宋体"/>
                <w:sz w:val="18"/>
                <w:szCs w:val="18"/>
              </w:rPr>
            </w:pPr>
            <w:r>
              <w:rPr>
                <w:rFonts w:ascii="宋体" w:hAnsi="宋体" w:eastAsia="宋体" w:cs="宋体"/>
                <w:sz w:val="18"/>
                <w:szCs w:val="18"/>
              </w:rPr>
              <w:t>租赁费</w:t>
            </w:r>
          </w:p>
        </w:tc>
        <w:tc>
          <w:tcPr>
            <w:tcW w:w="3213" w:type="dxa"/>
            <w:tcBorders>
              <w:top w:val="single" w:color="auto" w:sz="2" w:space="0"/>
              <w:left w:val="single" w:color="auto" w:sz="2" w:space="0"/>
              <w:bottom w:val="single" w:color="auto" w:sz="2" w:space="0"/>
              <w:right w:val="single" w:color="auto" w:sz="2" w:space="0"/>
            </w:tcBorders>
            <w:vAlign w:val="center"/>
          </w:tcPr>
          <w:p w14:paraId="0B2200DA">
            <w:pPr>
              <w:spacing w:line="240" w:lineRule="exact"/>
              <w:jc w:val="right"/>
              <w:rPr>
                <w:rFonts w:ascii="宋体" w:hAnsi="宋体" w:eastAsia="宋体" w:cs="宋体"/>
                <w:sz w:val="18"/>
                <w:szCs w:val="18"/>
              </w:rPr>
            </w:pPr>
            <w:r>
              <w:rPr>
                <w:rFonts w:ascii="宋体" w:hAnsi="宋体" w:eastAsia="宋体" w:cs="宋体"/>
                <w:sz w:val="18"/>
                <w:szCs w:val="18"/>
              </w:rPr>
              <w:t>27,187,954.16</w:t>
            </w:r>
          </w:p>
        </w:tc>
        <w:tc>
          <w:tcPr>
            <w:tcW w:w="3213" w:type="dxa"/>
            <w:tcBorders>
              <w:top w:val="single" w:color="auto" w:sz="2" w:space="0"/>
              <w:left w:val="single" w:color="auto" w:sz="2" w:space="0"/>
              <w:bottom w:val="single" w:color="auto" w:sz="2" w:space="0"/>
              <w:right w:val="single" w:color="auto" w:sz="2" w:space="0"/>
            </w:tcBorders>
            <w:vAlign w:val="center"/>
          </w:tcPr>
          <w:p w14:paraId="5F759D76">
            <w:pPr>
              <w:spacing w:line="240" w:lineRule="exact"/>
              <w:jc w:val="right"/>
              <w:rPr>
                <w:rFonts w:ascii="宋体" w:hAnsi="宋体" w:eastAsia="宋体" w:cs="宋体"/>
                <w:sz w:val="18"/>
                <w:szCs w:val="18"/>
              </w:rPr>
            </w:pPr>
            <w:r>
              <w:rPr>
                <w:rFonts w:ascii="宋体" w:hAnsi="宋体" w:eastAsia="宋体" w:cs="宋体"/>
                <w:sz w:val="18"/>
                <w:szCs w:val="18"/>
              </w:rPr>
              <w:t>27,105,240.31</w:t>
            </w:r>
          </w:p>
        </w:tc>
      </w:tr>
      <w:tr w14:paraId="215FA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A6A159F">
            <w:pPr>
              <w:spacing w:line="240" w:lineRule="exact"/>
              <w:rPr>
                <w:rFonts w:ascii="宋体" w:hAnsi="宋体" w:eastAsia="宋体" w:cs="宋体"/>
                <w:sz w:val="18"/>
                <w:szCs w:val="18"/>
              </w:rPr>
            </w:pPr>
            <w:r>
              <w:rPr>
                <w:rFonts w:ascii="宋体" w:hAnsi="宋体" w:eastAsia="宋体" w:cs="宋体"/>
                <w:sz w:val="18"/>
                <w:szCs w:val="18"/>
              </w:rPr>
              <w:t>低值易耗品</w:t>
            </w:r>
          </w:p>
        </w:tc>
        <w:tc>
          <w:tcPr>
            <w:tcW w:w="3213" w:type="dxa"/>
            <w:tcBorders>
              <w:top w:val="single" w:color="auto" w:sz="2" w:space="0"/>
              <w:left w:val="single" w:color="auto" w:sz="2" w:space="0"/>
              <w:bottom w:val="single" w:color="auto" w:sz="2" w:space="0"/>
              <w:right w:val="single" w:color="auto" w:sz="2" w:space="0"/>
            </w:tcBorders>
            <w:vAlign w:val="center"/>
          </w:tcPr>
          <w:p w14:paraId="5DF0B2BE">
            <w:pPr>
              <w:spacing w:line="240" w:lineRule="exact"/>
              <w:jc w:val="right"/>
              <w:rPr>
                <w:rFonts w:ascii="宋体" w:hAnsi="宋体" w:eastAsia="宋体" w:cs="宋体"/>
                <w:sz w:val="18"/>
                <w:szCs w:val="18"/>
              </w:rPr>
            </w:pPr>
            <w:r>
              <w:rPr>
                <w:rFonts w:ascii="宋体" w:hAnsi="宋体" w:eastAsia="宋体" w:cs="宋体"/>
                <w:sz w:val="18"/>
                <w:szCs w:val="18"/>
              </w:rPr>
              <w:t>1,308,667.92</w:t>
            </w:r>
          </w:p>
        </w:tc>
        <w:tc>
          <w:tcPr>
            <w:tcW w:w="3213" w:type="dxa"/>
            <w:tcBorders>
              <w:top w:val="single" w:color="auto" w:sz="2" w:space="0"/>
              <w:left w:val="single" w:color="auto" w:sz="2" w:space="0"/>
              <w:bottom w:val="single" w:color="auto" w:sz="2" w:space="0"/>
              <w:right w:val="single" w:color="auto" w:sz="2" w:space="0"/>
            </w:tcBorders>
            <w:vAlign w:val="center"/>
          </w:tcPr>
          <w:p w14:paraId="3D5E6730">
            <w:pPr>
              <w:spacing w:line="240" w:lineRule="exact"/>
              <w:jc w:val="right"/>
              <w:rPr>
                <w:rFonts w:ascii="宋体" w:hAnsi="宋体" w:eastAsia="宋体" w:cs="宋体"/>
                <w:sz w:val="18"/>
                <w:szCs w:val="18"/>
              </w:rPr>
            </w:pPr>
            <w:r>
              <w:rPr>
                <w:rFonts w:ascii="宋体" w:hAnsi="宋体" w:eastAsia="宋体" w:cs="宋体"/>
                <w:sz w:val="18"/>
                <w:szCs w:val="18"/>
              </w:rPr>
              <w:t>4,763,809.30</w:t>
            </w:r>
          </w:p>
        </w:tc>
      </w:tr>
      <w:tr w14:paraId="3AFE8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10CDF6D">
            <w:pPr>
              <w:spacing w:line="240" w:lineRule="exact"/>
              <w:rPr>
                <w:rFonts w:ascii="宋体" w:hAnsi="宋体" w:eastAsia="宋体" w:cs="宋体"/>
                <w:sz w:val="18"/>
                <w:szCs w:val="18"/>
              </w:rPr>
            </w:pPr>
            <w:r>
              <w:rPr>
                <w:rFonts w:ascii="宋体" w:hAnsi="宋体" w:eastAsia="宋体" w:cs="宋体"/>
                <w:sz w:val="18"/>
                <w:szCs w:val="18"/>
              </w:rPr>
              <w:t>修理费</w:t>
            </w:r>
          </w:p>
        </w:tc>
        <w:tc>
          <w:tcPr>
            <w:tcW w:w="3213" w:type="dxa"/>
            <w:tcBorders>
              <w:top w:val="single" w:color="auto" w:sz="2" w:space="0"/>
              <w:left w:val="single" w:color="auto" w:sz="2" w:space="0"/>
              <w:bottom w:val="single" w:color="auto" w:sz="2" w:space="0"/>
              <w:right w:val="single" w:color="auto" w:sz="2" w:space="0"/>
            </w:tcBorders>
            <w:vAlign w:val="center"/>
          </w:tcPr>
          <w:p w14:paraId="21BCA1F2">
            <w:pPr>
              <w:spacing w:line="240" w:lineRule="exact"/>
              <w:jc w:val="right"/>
              <w:rPr>
                <w:rFonts w:ascii="宋体" w:hAnsi="宋体" w:eastAsia="宋体" w:cs="宋体"/>
                <w:sz w:val="18"/>
                <w:szCs w:val="18"/>
              </w:rPr>
            </w:pPr>
            <w:r>
              <w:rPr>
                <w:rFonts w:ascii="宋体" w:hAnsi="宋体" w:eastAsia="宋体" w:cs="宋体"/>
                <w:sz w:val="18"/>
                <w:szCs w:val="18"/>
              </w:rPr>
              <w:t>580,194.83</w:t>
            </w:r>
          </w:p>
        </w:tc>
        <w:tc>
          <w:tcPr>
            <w:tcW w:w="3213" w:type="dxa"/>
            <w:tcBorders>
              <w:top w:val="single" w:color="auto" w:sz="2" w:space="0"/>
              <w:left w:val="single" w:color="auto" w:sz="2" w:space="0"/>
              <w:bottom w:val="single" w:color="auto" w:sz="2" w:space="0"/>
              <w:right w:val="single" w:color="auto" w:sz="2" w:space="0"/>
            </w:tcBorders>
            <w:vAlign w:val="center"/>
          </w:tcPr>
          <w:p w14:paraId="1B2F8DFB">
            <w:pPr>
              <w:spacing w:line="240" w:lineRule="exact"/>
              <w:jc w:val="right"/>
              <w:rPr>
                <w:rFonts w:ascii="宋体" w:hAnsi="宋体" w:eastAsia="宋体" w:cs="宋体"/>
                <w:sz w:val="18"/>
                <w:szCs w:val="18"/>
              </w:rPr>
            </w:pPr>
            <w:r>
              <w:rPr>
                <w:rFonts w:ascii="宋体" w:hAnsi="宋体" w:eastAsia="宋体" w:cs="宋体"/>
                <w:sz w:val="18"/>
                <w:szCs w:val="18"/>
              </w:rPr>
              <w:t>742,078.88</w:t>
            </w:r>
          </w:p>
        </w:tc>
      </w:tr>
      <w:tr w14:paraId="0269B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8E025AB">
            <w:pPr>
              <w:spacing w:line="240" w:lineRule="exact"/>
              <w:rPr>
                <w:rFonts w:ascii="宋体" w:hAnsi="宋体" w:eastAsia="宋体" w:cs="宋体"/>
                <w:sz w:val="18"/>
                <w:szCs w:val="18"/>
              </w:rPr>
            </w:pPr>
            <w:r>
              <w:rPr>
                <w:rFonts w:ascii="宋体" w:hAnsi="宋体" w:eastAsia="宋体" w:cs="宋体"/>
                <w:sz w:val="18"/>
                <w:szCs w:val="18"/>
              </w:rPr>
              <w:t>折旧费</w:t>
            </w:r>
          </w:p>
        </w:tc>
        <w:tc>
          <w:tcPr>
            <w:tcW w:w="3213" w:type="dxa"/>
            <w:tcBorders>
              <w:top w:val="single" w:color="auto" w:sz="2" w:space="0"/>
              <w:left w:val="single" w:color="auto" w:sz="2" w:space="0"/>
              <w:bottom w:val="single" w:color="auto" w:sz="2" w:space="0"/>
              <w:right w:val="single" w:color="auto" w:sz="2" w:space="0"/>
            </w:tcBorders>
            <w:vAlign w:val="center"/>
          </w:tcPr>
          <w:p w14:paraId="028C3393">
            <w:pPr>
              <w:spacing w:line="240" w:lineRule="exact"/>
              <w:jc w:val="right"/>
              <w:rPr>
                <w:rFonts w:ascii="宋体" w:hAnsi="宋体" w:eastAsia="宋体" w:cs="宋体"/>
                <w:sz w:val="18"/>
                <w:szCs w:val="18"/>
              </w:rPr>
            </w:pPr>
            <w:r>
              <w:rPr>
                <w:rFonts w:ascii="宋体" w:hAnsi="宋体" w:eastAsia="宋体" w:cs="宋体"/>
                <w:sz w:val="18"/>
                <w:szCs w:val="18"/>
              </w:rPr>
              <w:t>11,977,826.88</w:t>
            </w:r>
          </w:p>
        </w:tc>
        <w:tc>
          <w:tcPr>
            <w:tcW w:w="3213" w:type="dxa"/>
            <w:tcBorders>
              <w:top w:val="single" w:color="auto" w:sz="2" w:space="0"/>
              <w:left w:val="single" w:color="auto" w:sz="2" w:space="0"/>
              <w:bottom w:val="single" w:color="auto" w:sz="2" w:space="0"/>
              <w:right w:val="single" w:color="auto" w:sz="2" w:space="0"/>
            </w:tcBorders>
            <w:vAlign w:val="center"/>
          </w:tcPr>
          <w:p w14:paraId="420349CA">
            <w:pPr>
              <w:spacing w:line="240" w:lineRule="exact"/>
              <w:jc w:val="right"/>
              <w:rPr>
                <w:rFonts w:ascii="宋体" w:hAnsi="宋体" w:eastAsia="宋体" w:cs="宋体"/>
                <w:sz w:val="18"/>
                <w:szCs w:val="18"/>
              </w:rPr>
            </w:pPr>
            <w:r>
              <w:rPr>
                <w:rFonts w:ascii="宋体" w:hAnsi="宋体" w:eastAsia="宋体" w:cs="宋体"/>
                <w:sz w:val="18"/>
                <w:szCs w:val="18"/>
              </w:rPr>
              <w:t>8,233,901.15</w:t>
            </w:r>
          </w:p>
        </w:tc>
      </w:tr>
      <w:tr w14:paraId="0DC14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34F0375">
            <w:pPr>
              <w:spacing w:line="240" w:lineRule="exact"/>
              <w:rPr>
                <w:rFonts w:ascii="宋体" w:hAnsi="宋体" w:eastAsia="宋体" w:cs="宋体"/>
                <w:sz w:val="18"/>
                <w:szCs w:val="18"/>
              </w:rPr>
            </w:pPr>
            <w:r>
              <w:rPr>
                <w:rFonts w:ascii="宋体" w:hAnsi="宋体"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14:paraId="5946BC24">
            <w:pPr>
              <w:spacing w:line="240" w:lineRule="exact"/>
              <w:jc w:val="right"/>
              <w:rPr>
                <w:rFonts w:ascii="宋体" w:hAnsi="宋体" w:eastAsia="宋体" w:cs="宋体"/>
                <w:sz w:val="18"/>
                <w:szCs w:val="18"/>
              </w:rPr>
            </w:pPr>
            <w:r>
              <w:rPr>
                <w:rFonts w:ascii="宋体" w:hAnsi="宋体" w:eastAsia="宋体" w:cs="宋体"/>
                <w:sz w:val="18"/>
                <w:szCs w:val="18"/>
              </w:rPr>
              <w:t>1,115,362.55</w:t>
            </w:r>
          </w:p>
        </w:tc>
        <w:tc>
          <w:tcPr>
            <w:tcW w:w="3213" w:type="dxa"/>
            <w:tcBorders>
              <w:top w:val="single" w:color="auto" w:sz="2" w:space="0"/>
              <w:left w:val="single" w:color="auto" w:sz="2" w:space="0"/>
              <w:bottom w:val="single" w:color="auto" w:sz="2" w:space="0"/>
              <w:right w:val="single" w:color="auto" w:sz="2" w:space="0"/>
            </w:tcBorders>
            <w:vAlign w:val="center"/>
          </w:tcPr>
          <w:p w14:paraId="072676CC">
            <w:pPr>
              <w:spacing w:line="240" w:lineRule="exact"/>
              <w:jc w:val="right"/>
              <w:rPr>
                <w:rFonts w:ascii="宋体" w:hAnsi="宋体" w:eastAsia="宋体" w:cs="宋体"/>
                <w:sz w:val="18"/>
                <w:szCs w:val="18"/>
              </w:rPr>
            </w:pPr>
            <w:r>
              <w:rPr>
                <w:rFonts w:ascii="宋体" w:hAnsi="宋体" w:eastAsia="宋体" w:cs="宋体"/>
                <w:sz w:val="18"/>
                <w:szCs w:val="18"/>
              </w:rPr>
              <w:t>1,117,780.25</w:t>
            </w:r>
          </w:p>
        </w:tc>
      </w:tr>
      <w:tr w14:paraId="06D62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6DA603F">
            <w:pPr>
              <w:spacing w:line="240" w:lineRule="exact"/>
              <w:rPr>
                <w:rFonts w:ascii="宋体" w:hAnsi="宋体" w:eastAsia="宋体" w:cs="宋体"/>
                <w:sz w:val="18"/>
                <w:szCs w:val="18"/>
              </w:rPr>
            </w:pPr>
            <w:r>
              <w:rPr>
                <w:rFonts w:ascii="宋体" w:hAnsi="宋体" w:eastAsia="宋体" w:cs="宋体"/>
                <w:sz w:val="18"/>
                <w:szCs w:val="18"/>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14:paraId="7FB3A443">
            <w:pPr>
              <w:spacing w:line="240" w:lineRule="exact"/>
              <w:jc w:val="right"/>
              <w:rPr>
                <w:rFonts w:ascii="宋体" w:hAnsi="宋体" w:eastAsia="宋体" w:cs="宋体"/>
                <w:sz w:val="18"/>
                <w:szCs w:val="18"/>
              </w:rPr>
            </w:pPr>
            <w:r>
              <w:rPr>
                <w:rFonts w:ascii="宋体" w:hAnsi="宋体" w:eastAsia="宋体" w:cs="宋体"/>
                <w:sz w:val="18"/>
                <w:szCs w:val="18"/>
              </w:rPr>
              <w:t>438,822.06</w:t>
            </w:r>
          </w:p>
        </w:tc>
        <w:tc>
          <w:tcPr>
            <w:tcW w:w="3213" w:type="dxa"/>
            <w:tcBorders>
              <w:top w:val="single" w:color="auto" w:sz="2" w:space="0"/>
              <w:left w:val="single" w:color="auto" w:sz="2" w:space="0"/>
              <w:bottom w:val="single" w:color="auto" w:sz="2" w:space="0"/>
              <w:right w:val="single" w:color="auto" w:sz="2" w:space="0"/>
            </w:tcBorders>
            <w:vAlign w:val="center"/>
          </w:tcPr>
          <w:p w14:paraId="09E43832">
            <w:pPr>
              <w:spacing w:line="240" w:lineRule="exact"/>
              <w:jc w:val="right"/>
              <w:rPr>
                <w:rFonts w:ascii="宋体" w:hAnsi="宋体" w:eastAsia="宋体" w:cs="宋体"/>
                <w:sz w:val="18"/>
                <w:szCs w:val="18"/>
              </w:rPr>
            </w:pPr>
            <w:r>
              <w:rPr>
                <w:rFonts w:ascii="宋体" w:hAnsi="宋体" w:eastAsia="宋体" w:cs="宋体"/>
                <w:sz w:val="18"/>
                <w:szCs w:val="18"/>
              </w:rPr>
              <w:t>739,698.59</w:t>
            </w:r>
          </w:p>
        </w:tc>
      </w:tr>
      <w:tr w14:paraId="71BA9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B78DEC0">
            <w:pPr>
              <w:spacing w:line="240" w:lineRule="exact"/>
              <w:rPr>
                <w:rFonts w:ascii="宋体" w:hAnsi="宋体" w:eastAsia="宋体" w:cs="宋体"/>
                <w:sz w:val="18"/>
                <w:szCs w:val="18"/>
              </w:rPr>
            </w:pPr>
            <w:r>
              <w:rPr>
                <w:rFonts w:ascii="宋体" w:hAnsi="宋体" w:eastAsia="宋体" w:cs="宋体"/>
                <w:sz w:val="18"/>
                <w:szCs w:val="18"/>
              </w:rPr>
              <w:t>电商平台服务费</w:t>
            </w:r>
          </w:p>
        </w:tc>
        <w:tc>
          <w:tcPr>
            <w:tcW w:w="3213" w:type="dxa"/>
            <w:tcBorders>
              <w:top w:val="single" w:color="auto" w:sz="2" w:space="0"/>
              <w:left w:val="single" w:color="auto" w:sz="2" w:space="0"/>
              <w:bottom w:val="single" w:color="auto" w:sz="2" w:space="0"/>
              <w:right w:val="single" w:color="auto" w:sz="2" w:space="0"/>
            </w:tcBorders>
            <w:vAlign w:val="center"/>
          </w:tcPr>
          <w:p w14:paraId="55053B87">
            <w:pPr>
              <w:spacing w:line="240" w:lineRule="exact"/>
              <w:jc w:val="right"/>
              <w:rPr>
                <w:rFonts w:ascii="宋体" w:hAnsi="宋体" w:eastAsia="宋体" w:cs="宋体"/>
                <w:sz w:val="18"/>
                <w:szCs w:val="18"/>
              </w:rPr>
            </w:pPr>
            <w:r>
              <w:rPr>
                <w:rFonts w:ascii="宋体" w:hAnsi="宋体" w:eastAsia="宋体" w:cs="宋体"/>
                <w:sz w:val="18"/>
                <w:szCs w:val="18"/>
              </w:rPr>
              <w:t>30,764,729.98</w:t>
            </w:r>
          </w:p>
        </w:tc>
        <w:tc>
          <w:tcPr>
            <w:tcW w:w="3213" w:type="dxa"/>
            <w:tcBorders>
              <w:top w:val="single" w:color="auto" w:sz="2" w:space="0"/>
              <w:left w:val="single" w:color="auto" w:sz="2" w:space="0"/>
              <w:bottom w:val="single" w:color="auto" w:sz="2" w:space="0"/>
              <w:right w:val="single" w:color="auto" w:sz="2" w:space="0"/>
            </w:tcBorders>
            <w:vAlign w:val="center"/>
          </w:tcPr>
          <w:p w14:paraId="4CB39D8A">
            <w:pPr>
              <w:spacing w:line="240" w:lineRule="exact"/>
              <w:jc w:val="right"/>
              <w:rPr>
                <w:rFonts w:ascii="宋体" w:hAnsi="宋体" w:eastAsia="宋体" w:cs="宋体"/>
                <w:sz w:val="18"/>
                <w:szCs w:val="18"/>
              </w:rPr>
            </w:pPr>
            <w:r>
              <w:rPr>
                <w:rFonts w:ascii="宋体" w:hAnsi="宋体" w:eastAsia="宋体" w:cs="宋体"/>
                <w:sz w:val="18"/>
                <w:szCs w:val="18"/>
              </w:rPr>
              <w:t>24,335,883.02</w:t>
            </w:r>
          </w:p>
        </w:tc>
      </w:tr>
      <w:tr w14:paraId="52AAC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E1AE90F">
            <w:pPr>
              <w:spacing w:line="240" w:lineRule="exac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2D411650">
            <w:pPr>
              <w:spacing w:line="240" w:lineRule="exact"/>
              <w:jc w:val="right"/>
              <w:rPr>
                <w:rFonts w:ascii="宋体" w:hAnsi="宋体" w:eastAsia="宋体" w:cs="宋体"/>
                <w:sz w:val="18"/>
                <w:szCs w:val="18"/>
              </w:rPr>
            </w:pPr>
            <w:r>
              <w:rPr>
                <w:rFonts w:ascii="宋体" w:hAnsi="宋体" w:eastAsia="宋体" w:cs="宋体"/>
                <w:sz w:val="18"/>
                <w:szCs w:val="18"/>
              </w:rPr>
              <w:t>4,585,076.12</w:t>
            </w:r>
          </w:p>
        </w:tc>
        <w:tc>
          <w:tcPr>
            <w:tcW w:w="3213" w:type="dxa"/>
            <w:tcBorders>
              <w:top w:val="single" w:color="auto" w:sz="2" w:space="0"/>
              <w:left w:val="single" w:color="auto" w:sz="2" w:space="0"/>
              <w:bottom w:val="single" w:color="auto" w:sz="2" w:space="0"/>
              <w:right w:val="single" w:color="auto" w:sz="2" w:space="0"/>
            </w:tcBorders>
            <w:vAlign w:val="center"/>
          </w:tcPr>
          <w:p w14:paraId="2DDB15F7">
            <w:pPr>
              <w:spacing w:line="240" w:lineRule="exact"/>
              <w:jc w:val="right"/>
              <w:rPr>
                <w:rFonts w:ascii="宋体" w:hAnsi="宋体" w:eastAsia="宋体" w:cs="宋体"/>
                <w:sz w:val="18"/>
                <w:szCs w:val="18"/>
              </w:rPr>
            </w:pPr>
            <w:r>
              <w:rPr>
                <w:rFonts w:ascii="宋体" w:hAnsi="宋体" w:eastAsia="宋体" w:cs="宋体"/>
                <w:sz w:val="18"/>
                <w:szCs w:val="18"/>
              </w:rPr>
              <w:t>8,741,327.25</w:t>
            </w:r>
          </w:p>
        </w:tc>
      </w:tr>
      <w:tr w14:paraId="2CBDE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438BFE">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6D13198">
            <w:pPr>
              <w:spacing w:line="240" w:lineRule="exact"/>
              <w:jc w:val="right"/>
              <w:rPr>
                <w:rFonts w:ascii="宋体" w:hAnsi="宋体" w:eastAsia="宋体" w:cs="宋体"/>
                <w:sz w:val="18"/>
                <w:szCs w:val="18"/>
              </w:rPr>
            </w:pPr>
            <w:r>
              <w:rPr>
                <w:rFonts w:ascii="宋体" w:hAnsi="宋体" w:eastAsia="宋体" w:cs="宋体"/>
                <w:sz w:val="18"/>
                <w:szCs w:val="18"/>
              </w:rPr>
              <w:t>120,416,797.90</w:t>
            </w:r>
          </w:p>
        </w:tc>
        <w:tc>
          <w:tcPr>
            <w:tcW w:w="3213" w:type="dxa"/>
            <w:tcBorders>
              <w:top w:val="single" w:color="auto" w:sz="2" w:space="0"/>
              <w:left w:val="single" w:color="auto" w:sz="2" w:space="0"/>
              <w:bottom w:val="single" w:color="auto" w:sz="2" w:space="0"/>
              <w:right w:val="single" w:color="auto" w:sz="2" w:space="0"/>
            </w:tcBorders>
            <w:vAlign w:val="center"/>
          </w:tcPr>
          <w:p w14:paraId="453BD0E6">
            <w:pPr>
              <w:spacing w:line="240" w:lineRule="exact"/>
              <w:jc w:val="right"/>
              <w:rPr>
                <w:rFonts w:ascii="宋体" w:hAnsi="宋体" w:eastAsia="宋体" w:cs="宋体"/>
                <w:sz w:val="18"/>
                <w:szCs w:val="18"/>
              </w:rPr>
            </w:pPr>
            <w:r>
              <w:rPr>
                <w:rFonts w:ascii="宋体" w:hAnsi="宋体" w:eastAsia="宋体" w:cs="宋体"/>
                <w:sz w:val="18"/>
                <w:szCs w:val="18"/>
              </w:rPr>
              <w:t>112,368,503.45</w:t>
            </w:r>
          </w:p>
        </w:tc>
      </w:tr>
    </w:tbl>
    <w:p w14:paraId="03728874">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4A5B842E">
      <w:pPr>
        <w:pStyle w:val="3"/>
        <w:spacing w:line="280" w:lineRule="exact"/>
        <w:jc w:val="left"/>
        <w:rPr>
          <w:rFonts w:ascii="宋体" w:hAnsi="宋体" w:cs="宋体"/>
          <w:b/>
          <w:bCs/>
        </w:rPr>
      </w:pPr>
      <w:bookmarkStart w:id="457" w:name="_Toc989311"/>
      <w:r>
        <w:rPr>
          <w:rFonts w:ascii="宋体" w:hAnsi="宋体" w:cs="宋体"/>
          <w:b/>
          <w:bCs/>
        </w:rPr>
        <w:t>65、研发费用</w:t>
      </w:r>
      <w:bookmarkEnd w:id="457"/>
    </w:p>
    <w:p w14:paraId="2237770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E58C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96226B">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FB191B">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CA0835">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6EF85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E1C755C">
            <w:pPr>
              <w:spacing w:line="240" w:lineRule="exact"/>
              <w:rPr>
                <w:rFonts w:ascii="宋体" w:hAnsi="宋体" w:eastAsia="宋体" w:cs="宋体"/>
                <w:sz w:val="18"/>
                <w:szCs w:val="18"/>
              </w:rPr>
            </w:pPr>
            <w:r>
              <w:rPr>
                <w:rFonts w:ascii="宋体" w:hAnsi="宋体" w:eastAsia="宋体" w:cs="宋体"/>
                <w:sz w:val="18"/>
                <w:szCs w:val="18"/>
              </w:rPr>
              <w:t>工资及奖金</w:t>
            </w:r>
          </w:p>
        </w:tc>
        <w:tc>
          <w:tcPr>
            <w:tcW w:w="3213" w:type="dxa"/>
            <w:tcBorders>
              <w:top w:val="single" w:color="auto" w:sz="2" w:space="0"/>
              <w:left w:val="single" w:color="auto" w:sz="2" w:space="0"/>
              <w:bottom w:val="single" w:color="auto" w:sz="2" w:space="0"/>
              <w:right w:val="single" w:color="auto" w:sz="2" w:space="0"/>
            </w:tcBorders>
            <w:vAlign w:val="center"/>
          </w:tcPr>
          <w:p w14:paraId="0F24D6E8">
            <w:pPr>
              <w:spacing w:line="240" w:lineRule="exact"/>
              <w:jc w:val="right"/>
              <w:rPr>
                <w:rFonts w:ascii="宋体" w:hAnsi="宋体" w:eastAsia="宋体" w:cs="宋体"/>
                <w:sz w:val="18"/>
                <w:szCs w:val="18"/>
              </w:rPr>
            </w:pPr>
            <w:r>
              <w:rPr>
                <w:rFonts w:ascii="宋体" w:hAnsi="宋体" w:eastAsia="宋体" w:cs="宋体"/>
                <w:sz w:val="18"/>
                <w:szCs w:val="18"/>
              </w:rPr>
              <w:t>30,970,767.61</w:t>
            </w:r>
          </w:p>
        </w:tc>
        <w:tc>
          <w:tcPr>
            <w:tcW w:w="3213" w:type="dxa"/>
            <w:tcBorders>
              <w:top w:val="single" w:color="auto" w:sz="2" w:space="0"/>
              <w:left w:val="single" w:color="auto" w:sz="2" w:space="0"/>
              <w:bottom w:val="single" w:color="auto" w:sz="2" w:space="0"/>
              <w:right w:val="single" w:color="auto" w:sz="2" w:space="0"/>
            </w:tcBorders>
            <w:vAlign w:val="center"/>
          </w:tcPr>
          <w:p w14:paraId="360FAC48">
            <w:pPr>
              <w:spacing w:line="240" w:lineRule="exact"/>
              <w:jc w:val="right"/>
              <w:rPr>
                <w:rFonts w:ascii="宋体" w:hAnsi="宋体" w:eastAsia="宋体" w:cs="宋体"/>
                <w:sz w:val="18"/>
                <w:szCs w:val="18"/>
              </w:rPr>
            </w:pPr>
            <w:r>
              <w:rPr>
                <w:rFonts w:ascii="宋体" w:hAnsi="宋体" w:eastAsia="宋体" w:cs="宋体"/>
                <w:sz w:val="18"/>
                <w:szCs w:val="18"/>
              </w:rPr>
              <w:t>40,404,608.59</w:t>
            </w:r>
          </w:p>
        </w:tc>
      </w:tr>
      <w:tr w14:paraId="27968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95A8808">
            <w:pPr>
              <w:spacing w:line="240" w:lineRule="exact"/>
              <w:rPr>
                <w:rFonts w:ascii="宋体" w:hAnsi="宋体" w:eastAsia="宋体" w:cs="宋体"/>
                <w:sz w:val="18"/>
                <w:szCs w:val="18"/>
              </w:rPr>
            </w:pPr>
            <w:r>
              <w:rPr>
                <w:rFonts w:ascii="宋体" w:hAnsi="宋体" w:eastAsia="宋体" w:cs="宋体"/>
                <w:sz w:val="18"/>
                <w:szCs w:val="18"/>
              </w:rPr>
              <w:t>燃料及动力</w:t>
            </w:r>
          </w:p>
        </w:tc>
        <w:tc>
          <w:tcPr>
            <w:tcW w:w="3213" w:type="dxa"/>
            <w:tcBorders>
              <w:top w:val="single" w:color="auto" w:sz="2" w:space="0"/>
              <w:left w:val="single" w:color="auto" w:sz="2" w:space="0"/>
              <w:bottom w:val="single" w:color="auto" w:sz="2" w:space="0"/>
              <w:right w:val="single" w:color="auto" w:sz="2" w:space="0"/>
            </w:tcBorders>
            <w:vAlign w:val="center"/>
          </w:tcPr>
          <w:p w14:paraId="0780FEDE">
            <w:pPr>
              <w:spacing w:line="240" w:lineRule="exact"/>
              <w:jc w:val="right"/>
              <w:rPr>
                <w:rFonts w:ascii="宋体" w:hAnsi="宋体" w:eastAsia="宋体" w:cs="宋体"/>
                <w:sz w:val="18"/>
                <w:szCs w:val="18"/>
              </w:rPr>
            </w:pPr>
            <w:r>
              <w:rPr>
                <w:rFonts w:ascii="宋体" w:hAnsi="宋体" w:eastAsia="宋体" w:cs="宋体"/>
                <w:sz w:val="18"/>
                <w:szCs w:val="18"/>
              </w:rPr>
              <w:t>13,855,253.12</w:t>
            </w:r>
          </w:p>
        </w:tc>
        <w:tc>
          <w:tcPr>
            <w:tcW w:w="3213" w:type="dxa"/>
            <w:tcBorders>
              <w:top w:val="single" w:color="auto" w:sz="2" w:space="0"/>
              <w:left w:val="single" w:color="auto" w:sz="2" w:space="0"/>
              <w:bottom w:val="single" w:color="auto" w:sz="2" w:space="0"/>
              <w:right w:val="single" w:color="auto" w:sz="2" w:space="0"/>
            </w:tcBorders>
            <w:vAlign w:val="center"/>
          </w:tcPr>
          <w:p w14:paraId="02285DC0">
            <w:pPr>
              <w:spacing w:line="240" w:lineRule="exact"/>
              <w:jc w:val="right"/>
              <w:rPr>
                <w:rFonts w:ascii="宋体" w:hAnsi="宋体" w:eastAsia="宋体" w:cs="宋体"/>
                <w:sz w:val="18"/>
                <w:szCs w:val="18"/>
              </w:rPr>
            </w:pPr>
            <w:r>
              <w:rPr>
                <w:rFonts w:ascii="宋体" w:hAnsi="宋体" w:eastAsia="宋体" w:cs="宋体"/>
                <w:sz w:val="18"/>
                <w:szCs w:val="18"/>
              </w:rPr>
              <w:t>9,429,929.25</w:t>
            </w:r>
          </w:p>
        </w:tc>
      </w:tr>
      <w:tr w14:paraId="074D6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308F456">
            <w:pPr>
              <w:spacing w:line="240" w:lineRule="exact"/>
              <w:rPr>
                <w:rFonts w:ascii="宋体" w:hAnsi="宋体" w:eastAsia="宋体" w:cs="宋体"/>
                <w:sz w:val="18"/>
                <w:szCs w:val="18"/>
              </w:rPr>
            </w:pPr>
            <w:r>
              <w:rPr>
                <w:rFonts w:ascii="宋体" w:hAnsi="宋体" w:eastAsia="宋体" w:cs="宋体"/>
                <w:sz w:val="18"/>
                <w:szCs w:val="18"/>
              </w:rPr>
              <w:t>原材料</w:t>
            </w:r>
          </w:p>
        </w:tc>
        <w:tc>
          <w:tcPr>
            <w:tcW w:w="3213" w:type="dxa"/>
            <w:tcBorders>
              <w:top w:val="single" w:color="auto" w:sz="2" w:space="0"/>
              <w:left w:val="single" w:color="auto" w:sz="2" w:space="0"/>
              <w:bottom w:val="single" w:color="auto" w:sz="2" w:space="0"/>
              <w:right w:val="single" w:color="auto" w:sz="2" w:space="0"/>
            </w:tcBorders>
            <w:vAlign w:val="center"/>
          </w:tcPr>
          <w:p w14:paraId="6C5533A1">
            <w:pPr>
              <w:spacing w:line="240" w:lineRule="exact"/>
              <w:jc w:val="right"/>
              <w:rPr>
                <w:rFonts w:ascii="宋体" w:hAnsi="宋体" w:eastAsia="宋体" w:cs="宋体"/>
                <w:sz w:val="18"/>
                <w:szCs w:val="18"/>
              </w:rPr>
            </w:pPr>
            <w:r>
              <w:rPr>
                <w:rFonts w:ascii="宋体" w:hAnsi="宋体" w:eastAsia="宋体" w:cs="宋体"/>
                <w:sz w:val="18"/>
                <w:szCs w:val="18"/>
              </w:rPr>
              <w:t>76,065,862.34</w:t>
            </w:r>
          </w:p>
        </w:tc>
        <w:tc>
          <w:tcPr>
            <w:tcW w:w="3213" w:type="dxa"/>
            <w:tcBorders>
              <w:top w:val="single" w:color="auto" w:sz="2" w:space="0"/>
              <w:left w:val="single" w:color="auto" w:sz="2" w:space="0"/>
              <w:bottom w:val="single" w:color="auto" w:sz="2" w:space="0"/>
              <w:right w:val="single" w:color="auto" w:sz="2" w:space="0"/>
            </w:tcBorders>
            <w:vAlign w:val="center"/>
          </w:tcPr>
          <w:p w14:paraId="57333CD3">
            <w:pPr>
              <w:spacing w:line="240" w:lineRule="exact"/>
              <w:jc w:val="right"/>
              <w:rPr>
                <w:rFonts w:ascii="宋体" w:hAnsi="宋体" w:eastAsia="宋体" w:cs="宋体"/>
                <w:sz w:val="18"/>
                <w:szCs w:val="18"/>
              </w:rPr>
            </w:pPr>
            <w:r>
              <w:rPr>
                <w:rFonts w:ascii="宋体" w:hAnsi="宋体" w:eastAsia="宋体" w:cs="宋体"/>
                <w:sz w:val="18"/>
                <w:szCs w:val="18"/>
              </w:rPr>
              <w:t>79,950,105.26</w:t>
            </w:r>
          </w:p>
        </w:tc>
      </w:tr>
      <w:tr w14:paraId="1DADC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EDD0E7C">
            <w:pPr>
              <w:spacing w:line="240" w:lineRule="exact"/>
              <w:rPr>
                <w:rFonts w:ascii="宋体" w:hAnsi="宋体" w:eastAsia="宋体" w:cs="宋体"/>
                <w:sz w:val="18"/>
                <w:szCs w:val="18"/>
              </w:rPr>
            </w:pPr>
            <w:r>
              <w:rPr>
                <w:rFonts w:ascii="宋体" w:hAnsi="宋体" w:eastAsia="宋体" w:cs="宋体"/>
                <w:sz w:val="18"/>
                <w:szCs w:val="18"/>
              </w:rPr>
              <w:t>折旧及摊销</w:t>
            </w:r>
          </w:p>
        </w:tc>
        <w:tc>
          <w:tcPr>
            <w:tcW w:w="3213" w:type="dxa"/>
            <w:tcBorders>
              <w:top w:val="single" w:color="auto" w:sz="2" w:space="0"/>
              <w:left w:val="single" w:color="auto" w:sz="2" w:space="0"/>
              <w:bottom w:val="single" w:color="auto" w:sz="2" w:space="0"/>
              <w:right w:val="single" w:color="auto" w:sz="2" w:space="0"/>
            </w:tcBorders>
            <w:vAlign w:val="center"/>
          </w:tcPr>
          <w:p w14:paraId="4BD2C7E7">
            <w:pPr>
              <w:spacing w:line="240" w:lineRule="exact"/>
              <w:jc w:val="right"/>
              <w:rPr>
                <w:rFonts w:ascii="宋体" w:hAnsi="宋体" w:eastAsia="宋体" w:cs="宋体"/>
                <w:sz w:val="18"/>
                <w:szCs w:val="18"/>
              </w:rPr>
            </w:pPr>
            <w:r>
              <w:rPr>
                <w:rFonts w:ascii="宋体" w:hAnsi="宋体" w:eastAsia="宋体" w:cs="宋体"/>
                <w:sz w:val="18"/>
                <w:szCs w:val="18"/>
              </w:rPr>
              <w:t>8,578,512.93</w:t>
            </w:r>
          </w:p>
        </w:tc>
        <w:tc>
          <w:tcPr>
            <w:tcW w:w="3213" w:type="dxa"/>
            <w:tcBorders>
              <w:top w:val="single" w:color="auto" w:sz="2" w:space="0"/>
              <w:left w:val="single" w:color="auto" w:sz="2" w:space="0"/>
              <w:bottom w:val="single" w:color="auto" w:sz="2" w:space="0"/>
              <w:right w:val="single" w:color="auto" w:sz="2" w:space="0"/>
            </w:tcBorders>
            <w:vAlign w:val="center"/>
          </w:tcPr>
          <w:p w14:paraId="074113D5">
            <w:pPr>
              <w:spacing w:line="240" w:lineRule="exact"/>
              <w:jc w:val="right"/>
              <w:rPr>
                <w:rFonts w:ascii="宋体" w:hAnsi="宋体" w:eastAsia="宋体" w:cs="宋体"/>
                <w:sz w:val="18"/>
                <w:szCs w:val="18"/>
              </w:rPr>
            </w:pPr>
            <w:r>
              <w:rPr>
                <w:rFonts w:ascii="宋体" w:hAnsi="宋体" w:eastAsia="宋体" w:cs="宋体"/>
                <w:sz w:val="18"/>
                <w:szCs w:val="18"/>
              </w:rPr>
              <w:t>12,317,830.36</w:t>
            </w:r>
          </w:p>
        </w:tc>
      </w:tr>
      <w:tr w14:paraId="3E717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F937D7F">
            <w:pPr>
              <w:spacing w:line="240" w:lineRule="exac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1F5C6F15">
            <w:pPr>
              <w:spacing w:line="240" w:lineRule="exact"/>
              <w:jc w:val="right"/>
              <w:rPr>
                <w:rFonts w:ascii="宋体" w:hAnsi="宋体" w:eastAsia="宋体" w:cs="宋体"/>
                <w:sz w:val="18"/>
                <w:szCs w:val="18"/>
              </w:rPr>
            </w:pPr>
            <w:r>
              <w:rPr>
                <w:rFonts w:ascii="宋体" w:hAnsi="宋体" w:eastAsia="宋体" w:cs="宋体"/>
                <w:sz w:val="18"/>
                <w:szCs w:val="18"/>
              </w:rPr>
              <w:t>1,614,481.57</w:t>
            </w:r>
          </w:p>
        </w:tc>
        <w:tc>
          <w:tcPr>
            <w:tcW w:w="3213" w:type="dxa"/>
            <w:tcBorders>
              <w:top w:val="single" w:color="auto" w:sz="2" w:space="0"/>
              <w:left w:val="single" w:color="auto" w:sz="2" w:space="0"/>
              <w:bottom w:val="single" w:color="auto" w:sz="2" w:space="0"/>
              <w:right w:val="single" w:color="auto" w:sz="2" w:space="0"/>
            </w:tcBorders>
            <w:vAlign w:val="center"/>
          </w:tcPr>
          <w:p w14:paraId="4086A083">
            <w:pPr>
              <w:spacing w:line="240" w:lineRule="exact"/>
              <w:jc w:val="right"/>
              <w:rPr>
                <w:rFonts w:ascii="宋体" w:hAnsi="宋体" w:eastAsia="宋体" w:cs="宋体"/>
                <w:sz w:val="18"/>
                <w:szCs w:val="18"/>
              </w:rPr>
            </w:pPr>
            <w:r>
              <w:rPr>
                <w:rFonts w:ascii="宋体" w:hAnsi="宋体" w:eastAsia="宋体" w:cs="宋体"/>
                <w:sz w:val="18"/>
                <w:szCs w:val="18"/>
              </w:rPr>
              <w:t>8,704,038.98</w:t>
            </w:r>
          </w:p>
        </w:tc>
      </w:tr>
      <w:tr w14:paraId="501A1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C62C7D">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76B2CF2E">
            <w:pPr>
              <w:spacing w:line="240" w:lineRule="exact"/>
              <w:jc w:val="right"/>
              <w:rPr>
                <w:rFonts w:ascii="宋体" w:hAnsi="宋体" w:eastAsia="宋体" w:cs="宋体"/>
                <w:sz w:val="18"/>
                <w:szCs w:val="18"/>
              </w:rPr>
            </w:pPr>
            <w:r>
              <w:rPr>
                <w:rFonts w:ascii="宋体" w:hAnsi="宋体" w:eastAsia="宋体" w:cs="宋体"/>
                <w:sz w:val="18"/>
                <w:szCs w:val="18"/>
              </w:rPr>
              <w:t>131,084,877.57</w:t>
            </w:r>
          </w:p>
        </w:tc>
        <w:tc>
          <w:tcPr>
            <w:tcW w:w="3213" w:type="dxa"/>
            <w:tcBorders>
              <w:top w:val="single" w:color="auto" w:sz="2" w:space="0"/>
              <w:left w:val="single" w:color="auto" w:sz="2" w:space="0"/>
              <w:bottom w:val="single" w:color="auto" w:sz="2" w:space="0"/>
              <w:right w:val="single" w:color="auto" w:sz="2" w:space="0"/>
            </w:tcBorders>
            <w:vAlign w:val="center"/>
          </w:tcPr>
          <w:p w14:paraId="21675AF4">
            <w:pPr>
              <w:spacing w:line="240" w:lineRule="exact"/>
              <w:jc w:val="right"/>
              <w:rPr>
                <w:rFonts w:ascii="宋体" w:hAnsi="宋体" w:eastAsia="宋体" w:cs="宋体"/>
                <w:sz w:val="18"/>
                <w:szCs w:val="18"/>
              </w:rPr>
            </w:pPr>
            <w:r>
              <w:rPr>
                <w:rFonts w:ascii="宋体" w:hAnsi="宋体" w:eastAsia="宋体" w:cs="宋体"/>
                <w:sz w:val="18"/>
                <w:szCs w:val="18"/>
              </w:rPr>
              <w:t>150,806,512.44</w:t>
            </w:r>
          </w:p>
        </w:tc>
      </w:tr>
    </w:tbl>
    <w:p w14:paraId="2556D99F">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0D6BA310">
      <w:pPr>
        <w:pStyle w:val="3"/>
        <w:spacing w:line="280" w:lineRule="exact"/>
        <w:jc w:val="left"/>
        <w:rPr>
          <w:rFonts w:ascii="宋体" w:hAnsi="宋体" w:cs="宋体"/>
          <w:b/>
          <w:bCs/>
        </w:rPr>
      </w:pPr>
      <w:bookmarkStart w:id="458" w:name="_Toc989312"/>
      <w:r>
        <w:rPr>
          <w:rFonts w:ascii="宋体" w:hAnsi="宋体" w:cs="宋体"/>
          <w:b/>
          <w:bCs/>
        </w:rPr>
        <w:t>66、财务费用</w:t>
      </w:r>
      <w:bookmarkEnd w:id="458"/>
    </w:p>
    <w:p w14:paraId="1F5A4E9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E5C8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F94D45E">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7A8ABC">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948773">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7E466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5542BB2">
            <w:pPr>
              <w:spacing w:line="240" w:lineRule="exac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14:paraId="479B758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D0664C8">
            <w:pPr>
              <w:spacing w:line="240" w:lineRule="exact"/>
              <w:jc w:val="right"/>
              <w:rPr>
                <w:rFonts w:ascii="宋体" w:hAnsi="宋体" w:eastAsia="宋体" w:cs="宋体"/>
                <w:sz w:val="18"/>
                <w:szCs w:val="18"/>
              </w:rPr>
            </w:pPr>
          </w:p>
        </w:tc>
      </w:tr>
      <w:tr w14:paraId="19E89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1AE283D">
            <w:pPr>
              <w:spacing w:line="240" w:lineRule="exact"/>
              <w:rPr>
                <w:rFonts w:ascii="宋体" w:hAnsi="宋体" w:eastAsia="宋体" w:cs="宋体"/>
                <w:sz w:val="18"/>
                <w:szCs w:val="18"/>
              </w:rPr>
            </w:pPr>
            <w:r>
              <w:rPr>
                <w:rFonts w:ascii="宋体" w:hAnsi="宋体" w:eastAsia="宋体" w:cs="宋体"/>
                <w:sz w:val="18"/>
                <w:szCs w:val="18"/>
              </w:rPr>
              <w:t>其中：借款利息支出</w:t>
            </w:r>
          </w:p>
        </w:tc>
        <w:tc>
          <w:tcPr>
            <w:tcW w:w="3213" w:type="dxa"/>
            <w:tcBorders>
              <w:top w:val="single" w:color="auto" w:sz="2" w:space="0"/>
              <w:left w:val="single" w:color="auto" w:sz="2" w:space="0"/>
              <w:bottom w:val="single" w:color="auto" w:sz="2" w:space="0"/>
              <w:right w:val="single" w:color="auto" w:sz="2" w:space="0"/>
            </w:tcBorders>
            <w:vAlign w:val="center"/>
          </w:tcPr>
          <w:p w14:paraId="1F95A482">
            <w:pPr>
              <w:spacing w:line="240" w:lineRule="exact"/>
              <w:jc w:val="right"/>
              <w:rPr>
                <w:rFonts w:ascii="宋体" w:hAnsi="宋体" w:eastAsia="宋体" w:cs="宋体"/>
                <w:sz w:val="18"/>
                <w:szCs w:val="18"/>
              </w:rPr>
            </w:pPr>
            <w:r>
              <w:rPr>
                <w:rFonts w:ascii="宋体" w:hAnsi="宋体" w:eastAsia="宋体" w:cs="宋体"/>
                <w:sz w:val="18"/>
                <w:szCs w:val="18"/>
              </w:rPr>
              <w:t>133,761,805.72</w:t>
            </w:r>
          </w:p>
        </w:tc>
        <w:tc>
          <w:tcPr>
            <w:tcW w:w="3213" w:type="dxa"/>
            <w:tcBorders>
              <w:top w:val="single" w:color="auto" w:sz="2" w:space="0"/>
              <w:left w:val="single" w:color="auto" w:sz="2" w:space="0"/>
              <w:bottom w:val="single" w:color="auto" w:sz="2" w:space="0"/>
              <w:right w:val="single" w:color="auto" w:sz="2" w:space="0"/>
            </w:tcBorders>
            <w:vAlign w:val="center"/>
          </w:tcPr>
          <w:p w14:paraId="54343883">
            <w:pPr>
              <w:spacing w:line="240" w:lineRule="exact"/>
              <w:jc w:val="right"/>
              <w:rPr>
                <w:rFonts w:ascii="宋体" w:hAnsi="宋体" w:eastAsia="宋体" w:cs="宋体"/>
                <w:sz w:val="18"/>
                <w:szCs w:val="18"/>
              </w:rPr>
            </w:pPr>
            <w:r>
              <w:rPr>
                <w:rFonts w:ascii="宋体" w:hAnsi="宋体" w:eastAsia="宋体" w:cs="宋体"/>
                <w:sz w:val="18"/>
                <w:szCs w:val="18"/>
              </w:rPr>
              <w:t>204,440,081.28</w:t>
            </w:r>
          </w:p>
        </w:tc>
      </w:tr>
      <w:tr w14:paraId="5F4D4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FF8BE40">
            <w:pPr>
              <w:spacing w:line="240" w:lineRule="exact"/>
              <w:rPr>
                <w:rFonts w:ascii="宋体" w:hAnsi="宋体" w:eastAsia="宋体" w:cs="宋体"/>
                <w:sz w:val="18"/>
                <w:szCs w:val="18"/>
              </w:rPr>
            </w:pPr>
            <w:r>
              <w:rPr>
                <w:rFonts w:ascii="宋体" w:hAnsi="宋体" w:eastAsia="宋体" w:cs="宋体"/>
                <w:sz w:val="18"/>
                <w:szCs w:val="18"/>
              </w:rPr>
              <w:t>      票据贴现息</w:t>
            </w:r>
          </w:p>
        </w:tc>
        <w:tc>
          <w:tcPr>
            <w:tcW w:w="3213" w:type="dxa"/>
            <w:tcBorders>
              <w:top w:val="single" w:color="auto" w:sz="2" w:space="0"/>
              <w:left w:val="single" w:color="auto" w:sz="2" w:space="0"/>
              <w:bottom w:val="single" w:color="auto" w:sz="2" w:space="0"/>
              <w:right w:val="single" w:color="auto" w:sz="2" w:space="0"/>
            </w:tcBorders>
            <w:vAlign w:val="center"/>
          </w:tcPr>
          <w:p w14:paraId="7EB26FA7">
            <w:pPr>
              <w:spacing w:line="240" w:lineRule="exact"/>
              <w:jc w:val="right"/>
              <w:rPr>
                <w:rFonts w:ascii="宋体" w:hAnsi="宋体" w:eastAsia="宋体" w:cs="宋体"/>
                <w:sz w:val="18"/>
                <w:szCs w:val="18"/>
              </w:rPr>
            </w:pPr>
            <w:r>
              <w:rPr>
                <w:rFonts w:ascii="宋体" w:hAnsi="宋体" w:eastAsia="宋体" w:cs="宋体"/>
                <w:sz w:val="18"/>
                <w:szCs w:val="18"/>
              </w:rPr>
              <w:t>43,020,063.37</w:t>
            </w:r>
          </w:p>
        </w:tc>
        <w:tc>
          <w:tcPr>
            <w:tcW w:w="3213" w:type="dxa"/>
            <w:tcBorders>
              <w:top w:val="single" w:color="auto" w:sz="2" w:space="0"/>
              <w:left w:val="single" w:color="auto" w:sz="2" w:space="0"/>
              <w:bottom w:val="single" w:color="auto" w:sz="2" w:space="0"/>
              <w:right w:val="single" w:color="auto" w:sz="2" w:space="0"/>
            </w:tcBorders>
            <w:vAlign w:val="center"/>
          </w:tcPr>
          <w:p w14:paraId="5D3B1B83">
            <w:pPr>
              <w:spacing w:line="240" w:lineRule="exact"/>
              <w:jc w:val="right"/>
              <w:rPr>
                <w:rFonts w:ascii="宋体" w:hAnsi="宋体" w:eastAsia="宋体" w:cs="宋体"/>
                <w:sz w:val="18"/>
                <w:szCs w:val="18"/>
              </w:rPr>
            </w:pPr>
            <w:r>
              <w:rPr>
                <w:rFonts w:ascii="宋体" w:hAnsi="宋体" w:eastAsia="宋体" w:cs="宋体"/>
                <w:sz w:val="18"/>
                <w:szCs w:val="18"/>
              </w:rPr>
              <w:t>39,402,786.32</w:t>
            </w:r>
          </w:p>
        </w:tc>
      </w:tr>
      <w:tr w14:paraId="5DFBB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6D56DEA">
            <w:pPr>
              <w:spacing w:line="240" w:lineRule="exact"/>
              <w:rPr>
                <w:rFonts w:ascii="宋体" w:hAnsi="宋体" w:eastAsia="宋体" w:cs="宋体"/>
                <w:sz w:val="18"/>
                <w:szCs w:val="18"/>
              </w:rPr>
            </w:pPr>
            <w:r>
              <w:rPr>
                <w:rFonts w:ascii="宋体" w:hAnsi="宋体" w:eastAsia="宋体" w:cs="宋体"/>
                <w:sz w:val="18"/>
                <w:szCs w:val="18"/>
              </w:rPr>
              <w:t>减：利息收入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7C504593">
            <w:pPr>
              <w:spacing w:line="240" w:lineRule="exact"/>
              <w:jc w:val="right"/>
              <w:rPr>
                <w:rFonts w:ascii="宋体" w:hAnsi="宋体" w:eastAsia="宋体" w:cs="宋体"/>
                <w:sz w:val="18"/>
                <w:szCs w:val="18"/>
              </w:rPr>
            </w:pPr>
            <w:r>
              <w:rPr>
                <w:rFonts w:ascii="宋体" w:hAnsi="宋体" w:eastAsia="宋体" w:cs="宋体"/>
                <w:sz w:val="18"/>
                <w:szCs w:val="18"/>
              </w:rPr>
              <w:t>-47,337,193.93</w:t>
            </w:r>
          </w:p>
        </w:tc>
        <w:tc>
          <w:tcPr>
            <w:tcW w:w="3213" w:type="dxa"/>
            <w:tcBorders>
              <w:top w:val="single" w:color="auto" w:sz="2" w:space="0"/>
              <w:left w:val="single" w:color="auto" w:sz="2" w:space="0"/>
              <w:bottom w:val="single" w:color="auto" w:sz="2" w:space="0"/>
              <w:right w:val="single" w:color="auto" w:sz="2" w:space="0"/>
            </w:tcBorders>
            <w:vAlign w:val="center"/>
          </w:tcPr>
          <w:p w14:paraId="70757510">
            <w:pPr>
              <w:spacing w:line="240" w:lineRule="exact"/>
              <w:jc w:val="right"/>
              <w:rPr>
                <w:rFonts w:ascii="宋体" w:hAnsi="宋体" w:eastAsia="宋体" w:cs="宋体"/>
                <w:sz w:val="18"/>
                <w:szCs w:val="18"/>
              </w:rPr>
            </w:pPr>
            <w:r>
              <w:rPr>
                <w:rFonts w:ascii="宋体" w:hAnsi="宋体" w:eastAsia="宋体" w:cs="宋体"/>
                <w:sz w:val="18"/>
                <w:szCs w:val="18"/>
              </w:rPr>
              <w:t>-68,519,896.21</w:t>
            </w:r>
          </w:p>
        </w:tc>
      </w:tr>
      <w:tr w14:paraId="0997F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80A7107">
            <w:pPr>
              <w:spacing w:line="240" w:lineRule="exact"/>
              <w:rPr>
                <w:rFonts w:ascii="宋体" w:hAnsi="宋体" w:eastAsia="宋体" w:cs="宋体"/>
                <w:sz w:val="18"/>
                <w:szCs w:val="18"/>
              </w:rPr>
            </w:pPr>
            <w:r>
              <w:rPr>
                <w:rFonts w:ascii="宋体" w:hAnsi="宋体" w:eastAsia="宋体" w:cs="宋体"/>
                <w:sz w:val="18"/>
                <w:szCs w:val="18"/>
              </w:rPr>
              <w:t>汇兑损益</w:t>
            </w:r>
          </w:p>
        </w:tc>
        <w:tc>
          <w:tcPr>
            <w:tcW w:w="3213" w:type="dxa"/>
            <w:tcBorders>
              <w:top w:val="single" w:color="auto" w:sz="2" w:space="0"/>
              <w:left w:val="single" w:color="auto" w:sz="2" w:space="0"/>
              <w:bottom w:val="single" w:color="auto" w:sz="2" w:space="0"/>
              <w:right w:val="single" w:color="auto" w:sz="2" w:space="0"/>
            </w:tcBorders>
            <w:vAlign w:val="center"/>
          </w:tcPr>
          <w:p w14:paraId="0DD4E7E1">
            <w:pPr>
              <w:spacing w:line="240" w:lineRule="exact"/>
              <w:jc w:val="right"/>
              <w:rPr>
                <w:rFonts w:ascii="宋体" w:hAnsi="宋体" w:eastAsia="宋体" w:cs="宋体"/>
                <w:sz w:val="18"/>
                <w:szCs w:val="18"/>
              </w:rPr>
            </w:pPr>
            <w:r>
              <w:rPr>
                <w:rFonts w:ascii="宋体" w:hAnsi="宋体" w:eastAsia="宋体" w:cs="宋体"/>
                <w:sz w:val="18"/>
                <w:szCs w:val="18"/>
              </w:rPr>
              <w:t>25,723,251.81</w:t>
            </w:r>
          </w:p>
        </w:tc>
        <w:tc>
          <w:tcPr>
            <w:tcW w:w="3213" w:type="dxa"/>
            <w:tcBorders>
              <w:top w:val="single" w:color="auto" w:sz="2" w:space="0"/>
              <w:left w:val="single" w:color="auto" w:sz="2" w:space="0"/>
              <w:bottom w:val="single" w:color="auto" w:sz="2" w:space="0"/>
              <w:right w:val="single" w:color="auto" w:sz="2" w:space="0"/>
            </w:tcBorders>
            <w:vAlign w:val="center"/>
          </w:tcPr>
          <w:p w14:paraId="38AB4011">
            <w:pPr>
              <w:spacing w:line="240" w:lineRule="exact"/>
              <w:jc w:val="right"/>
              <w:rPr>
                <w:rFonts w:ascii="宋体" w:hAnsi="宋体" w:eastAsia="宋体" w:cs="宋体"/>
                <w:sz w:val="18"/>
                <w:szCs w:val="18"/>
              </w:rPr>
            </w:pPr>
            <w:r>
              <w:rPr>
                <w:rFonts w:ascii="宋体" w:hAnsi="宋体" w:eastAsia="宋体" w:cs="宋体"/>
                <w:sz w:val="18"/>
                <w:szCs w:val="18"/>
              </w:rPr>
              <w:t>19,660,004.98</w:t>
            </w:r>
          </w:p>
        </w:tc>
      </w:tr>
      <w:tr w14:paraId="0D972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259C465">
            <w:pPr>
              <w:spacing w:line="240" w:lineRule="exact"/>
              <w:rPr>
                <w:rFonts w:ascii="宋体" w:hAnsi="宋体" w:eastAsia="宋体" w:cs="宋体"/>
                <w:sz w:val="18"/>
                <w:szCs w:val="18"/>
              </w:rPr>
            </w:pPr>
            <w:r>
              <w:rPr>
                <w:rFonts w:ascii="宋体" w:hAnsi="宋体" w:eastAsia="宋体" w:cs="宋体"/>
                <w:sz w:val="18"/>
                <w:szCs w:val="18"/>
              </w:rPr>
              <w:t>未确认融资费用摊销</w:t>
            </w:r>
          </w:p>
        </w:tc>
        <w:tc>
          <w:tcPr>
            <w:tcW w:w="3213" w:type="dxa"/>
            <w:tcBorders>
              <w:top w:val="single" w:color="auto" w:sz="2" w:space="0"/>
              <w:left w:val="single" w:color="auto" w:sz="2" w:space="0"/>
              <w:bottom w:val="single" w:color="auto" w:sz="2" w:space="0"/>
              <w:right w:val="single" w:color="auto" w:sz="2" w:space="0"/>
            </w:tcBorders>
            <w:vAlign w:val="center"/>
          </w:tcPr>
          <w:p w14:paraId="07F9FD26">
            <w:pPr>
              <w:spacing w:line="240" w:lineRule="exact"/>
              <w:jc w:val="right"/>
              <w:rPr>
                <w:rFonts w:ascii="宋体" w:hAnsi="宋体" w:eastAsia="宋体" w:cs="宋体"/>
                <w:sz w:val="18"/>
                <w:szCs w:val="18"/>
              </w:rPr>
            </w:pPr>
            <w:r>
              <w:rPr>
                <w:rFonts w:ascii="宋体" w:hAnsi="宋体" w:eastAsia="宋体" w:cs="宋体"/>
                <w:sz w:val="18"/>
                <w:szCs w:val="18"/>
              </w:rPr>
              <w:t>1,043,256.52</w:t>
            </w:r>
          </w:p>
        </w:tc>
        <w:tc>
          <w:tcPr>
            <w:tcW w:w="3213" w:type="dxa"/>
            <w:tcBorders>
              <w:top w:val="single" w:color="auto" w:sz="2" w:space="0"/>
              <w:left w:val="single" w:color="auto" w:sz="2" w:space="0"/>
              <w:bottom w:val="single" w:color="auto" w:sz="2" w:space="0"/>
              <w:right w:val="single" w:color="auto" w:sz="2" w:space="0"/>
            </w:tcBorders>
            <w:vAlign w:val="center"/>
          </w:tcPr>
          <w:p w14:paraId="6F931DEB">
            <w:pPr>
              <w:spacing w:line="240" w:lineRule="exact"/>
              <w:jc w:val="right"/>
              <w:rPr>
                <w:rFonts w:ascii="宋体" w:hAnsi="宋体" w:eastAsia="宋体" w:cs="宋体"/>
                <w:sz w:val="18"/>
                <w:szCs w:val="18"/>
              </w:rPr>
            </w:pPr>
            <w:r>
              <w:rPr>
                <w:rFonts w:ascii="宋体" w:hAnsi="宋体" w:eastAsia="宋体" w:cs="宋体"/>
                <w:sz w:val="18"/>
                <w:szCs w:val="18"/>
              </w:rPr>
              <w:t>489,741.81</w:t>
            </w:r>
          </w:p>
        </w:tc>
      </w:tr>
      <w:tr w14:paraId="77992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EF7F672">
            <w:pPr>
              <w:spacing w:line="240" w:lineRule="exac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34A16F80">
            <w:pPr>
              <w:spacing w:line="240" w:lineRule="exact"/>
              <w:jc w:val="right"/>
              <w:rPr>
                <w:rFonts w:ascii="宋体" w:hAnsi="宋体" w:eastAsia="宋体" w:cs="宋体"/>
                <w:sz w:val="18"/>
                <w:szCs w:val="18"/>
              </w:rPr>
            </w:pPr>
            <w:r>
              <w:rPr>
                <w:rFonts w:ascii="宋体" w:hAnsi="宋体" w:eastAsia="宋体" w:cs="宋体"/>
                <w:sz w:val="18"/>
                <w:szCs w:val="18"/>
              </w:rPr>
              <w:t>16,630,202.88</w:t>
            </w:r>
          </w:p>
        </w:tc>
        <w:tc>
          <w:tcPr>
            <w:tcW w:w="3213" w:type="dxa"/>
            <w:tcBorders>
              <w:top w:val="single" w:color="auto" w:sz="2" w:space="0"/>
              <w:left w:val="single" w:color="auto" w:sz="2" w:space="0"/>
              <w:bottom w:val="single" w:color="auto" w:sz="2" w:space="0"/>
              <w:right w:val="single" w:color="auto" w:sz="2" w:space="0"/>
            </w:tcBorders>
            <w:vAlign w:val="center"/>
          </w:tcPr>
          <w:p w14:paraId="6A5242A0">
            <w:pPr>
              <w:spacing w:line="240" w:lineRule="exact"/>
              <w:jc w:val="right"/>
              <w:rPr>
                <w:rFonts w:ascii="宋体" w:hAnsi="宋体" w:eastAsia="宋体" w:cs="宋体"/>
                <w:sz w:val="18"/>
                <w:szCs w:val="18"/>
              </w:rPr>
            </w:pPr>
            <w:r>
              <w:rPr>
                <w:rFonts w:ascii="宋体" w:hAnsi="宋体" w:eastAsia="宋体" w:cs="宋体"/>
                <w:sz w:val="18"/>
                <w:szCs w:val="18"/>
              </w:rPr>
              <w:t>5,589,281.82</w:t>
            </w:r>
          </w:p>
        </w:tc>
      </w:tr>
      <w:tr w14:paraId="25272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5D1DCD">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7F7FD653">
            <w:pPr>
              <w:spacing w:line="240" w:lineRule="exact"/>
              <w:jc w:val="right"/>
              <w:rPr>
                <w:rFonts w:ascii="宋体" w:hAnsi="宋体" w:eastAsia="宋体" w:cs="宋体"/>
                <w:sz w:val="18"/>
                <w:szCs w:val="18"/>
              </w:rPr>
            </w:pPr>
            <w:r>
              <w:rPr>
                <w:rFonts w:ascii="宋体" w:hAnsi="宋体" w:eastAsia="宋体" w:cs="宋体"/>
                <w:sz w:val="18"/>
                <w:szCs w:val="18"/>
              </w:rPr>
              <w:t>172,841,386.37</w:t>
            </w:r>
          </w:p>
        </w:tc>
        <w:tc>
          <w:tcPr>
            <w:tcW w:w="3213" w:type="dxa"/>
            <w:tcBorders>
              <w:top w:val="single" w:color="auto" w:sz="2" w:space="0"/>
              <w:left w:val="single" w:color="auto" w:sz="2" w:space="0"/>
              <w:bottom w:val="single" w:color="auto" w:sz="2" w:space="0"/>
              <w:right w:val="single" w:color="auto" w:sz="2" w:space="0"/>
            </w:tcBorders>
            <w:vAlign w:val="center"/>
          </w:tcPr>
          <w:p w14:paraId="4BA5F224">
            <w:pPr>
              <w:spacing w:line="240" w:lineRule="exact"/>
              <w:jc w:val="right"/>
              <w:rPr>
                <w:rFonts w:ascii="宋体" w:hAnsi="宋体" w:eastAsia="宋体" w:cs="宋体"/>
                <w:sz w:val="18"/>
                <w:szCs w:val="18"/>
              </w:rPr>
            </w:pPr>
            <w:r>
              <w:rPr>
                <w:rFonts w:ascii="宋体" w:hAnsi="宋体" w:eastAsia="宋体" w:cs="宋体"/>
                <w:sz w:val="18"/>
                <w:szCs w:val="18"/>
              </w:rPr>
              <w:t>201,062,000.00</w:t>
            </w:r>
          </w:p>
        </w:tc>
      </w:tr>
    </w:tbl>
    <w:p w14:paraId="64046ACD">
      <w:pPr>
        <w:spacing w:before="100" w:after="100" w:line="240" w:lineRule="exact"/>
        <w:rPr>
          <w:rFonts w:ascii="宋体" w:hAnsi="宋体" w:eastAsia="宋体" w:cs="宋体"/>
          <w:sz w:val="18"/>
          <w:szCs w:val="18"/>
        </w:rPr>
      </w:pPr>
      <w:r>
        <w:rPr>
          <w:rFonts w:ascii="宋体" w:hAnsi="宋体" w:eastAsia="宋体" w:cs="宋体"/>
          <w:sz w:val="18"/>
          <w:szCs w:val="18"/>
        </w:rPr>
        <w:t>其他说明：</w:t>
      </w:r>
    </w:p>
    <w:p w14:paraId="5A0A2E97">
      <w:pPr>
        <w:pStyle w:val="9"/>
        <w:rPr>
          <w:sz w:val="18"/>
          <w:szCs w:val="18"/>
        </w:rPr>
      </w:pPr>
      <w:r>
        <w:rPr>
          <w:rFonts w:hint="eastAsia"/>
          <w:sz w:val="18"/>
          <w:szCs w:val="18"/>
        </w:rPr>
        <w:t>无</w:t>
      </w:r>
    </w:p>
    <w:p w14:paraId="7D0DF62E">
      <w:pPr>
        <w:pStyle w:val="3"/>
        <w:spacing w:line="280" w:lineRule="exact"/>
        <w:jc w:val="left"/>
        <w:rPr>
          <w:rFonts w:ascii="宋体" w:hAnsi="宋体" w:cs="宋体"/>
          <w:b/>
          <w:bCs/>
        </w:rPr>
      </w:pPr>
      <w:bookmarkStart w:id="459" w:name="_Toc989313"/>
      <w:r>
        <w:rPr>
          <w:rFonts w:ascii="宋体" w:hAnsi="宋体" w:cs="宋体"/>
          <w:b/>
          <w:bCs/>
        </w:rPr>
        <w:t>67、其他收益</w:t>
      </w:r>
      <w:bookmarkEnd w:id="459"/>
    </w:p>
    <w:p w14:paraId="01D82E5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E239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49F775">
            <w:pPr>
              <w:spacing w:before="40" w:after="40" w:line="240" w:lineRule="exact"/>
              <w:jc w:val="center"/>
              <w:rPr>
                <w:rFonts w:ascii="宋体" w:hAnsi="宋体" w:eastAsia="宋体" w:cs="宋体"/>
                <w:sz w:val="18"/>
                <w:szCs w:val="18"/>
              </w:rPr>
            </w:pPr>
            <w:r>
              <w:rPr>
                <w:rFonts w:ascii="宋体" w:hAnsi="宋体" w:eastAsia="宋体" w:cs="宋体"/>
                <w:sz w:val="18"/>
                <w:szCs w:val="18"/>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756F9E">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9146888">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0CF75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EA42F20">
            <w:pPr>
              <w:spacing w:line="240" w:lineRule="exact"/>
              <w:rPr>
                <w:rFonts w:ascii="宋体" w:hAnsi="宋体" w:eastAsia="宋体" w:cs="宋体"/>
                <w:sz w:val="18"/>
                <w:szCs w:val="18"/>
              </w:rPr>
            </w:pPr>
            <w:r>
              <w:rPr>
                <w:rFonts w:ascii="宋体" w:hAnsi="宋体" w:eastAsia="宋体" w:cs="宋体"/>
                <w:sz w:val="18"/>
                <w:szCs w:val="18"/>
              </w:rPr>
              <w:t>政府补助</w:t>
            </w:r>
          </w:p>
        </w:tc>
        <w:tc>
          <w:tcPr>
            <w:tcW w:w="3213" w:type="dxa"/>
            <w:tcBorders>
              <w:top w:val="single" w:color="auto" w:sz="2" w:space="0"/>
              <w:left w:val="single" w:color="auto" w:sz="2" w:space="0"/>
              <w:bottom w:val="single" w:color="auto" w:sz="2" w:space="0"/>
              <w:right w:val="single" w:color="auto" w:sz="2" w:space="0"/>
            </w:tcBorders>
            <w:vAlign w:val="center"/>
          </w:tcPr>
          <w:p w14:paraId="365EFAEF">
            <w:pPr>
              <w:spacing w:line="240" w:lineRule="exact"/>
              <w:jc w:val="right"/>
              <w:rPr>
                <w:rFonts w:ascii="宋体" w:hAnsi="宋体" w:eastAsia="宋体" w:cs="宋体"/>
                <w:sz w:val="18"/>
                <w:szCs w:val="18"/>
              </w:rPr>
            </w:pPr>
            <w:r>
              <w:rPr>
                <w:rFonts w:ascii="宋体" w:hAnsi="宋体" w:eastAsia="宋体" w:cs="宋体"/>
                <w:sz w:val="18"/>
                <w:szCs w:val="18"/>
              </w:rPr>
              <w:t>91,180,076.89</w:t>
            </w:r>
          </w:p>
        </w:tc>
        <w:tc>
          <w:tcPr>
            <w:tcW w:w="3213" w:type="dxa"/>
            <w:tcBorders>
              <w:top w:val="single" w:color="auto" w:sz="2" w:space="0"/>
              <w:left w:val="single" w:color="auto" w:sz="2" w:space="0"/>
              <w:bottom w:val="single" w:color="auto" w:sz="2" w:space="0"/>
              <w:right w:val="single" w:color="auto" w:sz="2" w:space="0"/>
            </w:tcBorders>
            <w:vAlign w:val="center"/>
          </w:tcPr>
          <w:p w14:paraId="1620778C">
            <w:pPr>
              <w:spacing w:line="240" w:lineRule="exact"/>
              <w:jc w:val="right"/>
              <w:rPr>
                <w:rFonts w:ascii="宋体" w:hAnsi="宋体" w:eastAsia="宋体" w:cs="宋体"/>
                <w:sz w:val="18"/>
                <w:szCs w:val="18"/>
              </w:rPr>
            </w:pPr>
            <w:r>
              <w:rPr>
                <w:rFonts w:ascii="宋体" w:hAnsi="宋体" w:eastAsia="宋体" w:cs="宋体"/>
                <w:sz w:val="18"/>
                <w:szCs w:val="18"/>
              </w:rPr>
              <w:t>112,509,107.28</w:t>
            </w:r>
          </w:p>
        </w:tc>
      </w:tr>
      <w:tr w14:paraId="53BD5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76B8AD5">
            <w:pPr>
              <w:spacing w:line="240" w:lineRule="exact"/>
              <w:rPr>
                <w:rFonts w:ascii="宋体" w:hAnsi="宋体" w:eastAsia="宋体" w:cs="宋体"/>
                <w:sz w:val="18"/>
                <w:szCs w:val="18"/>
              </w:rPr>
            </w:pPr>
            <w:r>
              <w:rPr>
                <w:rFonts w:ascii="宋体" w:hAnsi="宋体" w:eastAsia="宋体" w:cs="宋体"/>
                <w:sz w:val="18"/>
                <w:szCs w:val="18"/>
              </w:rPr>
              <w:t>增值税减免</w:t>
            </w:r>
          </w:p>
        </w:tc>
        <w:tc>
          <w:tcPr>
            <w:tcW w:w="3213" w:type="dxa"/>
            <w:tcBorders>
              <w:top w:val="single" w:color="auto" w:sz="2" w:space="0"/>
              <w:left w:val="single" w:color="auto" w:sz="2" w:space="0"/>
              <w:bottom w:val="single" w:color="auto" w:sz="2" w:space="0"/>
              <w:right w:val="single" w:color="auto" w:sz="2" w:space="0"/>
            </w:tcBorders>
            <w:vAlign w:val="center"/>
          </w:tcPr>
          <w:p w14:paraId="797F2CFB">
            <w:pPr>
              <w:spacing w:line="240" w:lineRule="exact"/>
              <w:jc w:val="right"/>
              <w:rPr>
                <w:rFonts w:ascii="宋体" w:hAnsi="宋体" w:eastAsia="宋体" w:cs="宋体"/>
                <w:sz w:val="18"/>
                <w:szCs w:val="18"/>
              </w:rPr>
            </w:pPr>
            <w:r>
              <w:rPr>
                <w:rFonts w:ascii="宋体" w:hAnsi="宋体" w:eastAsia="宋体" w:cs="宋体"/>
                <w:sz w:val="18"/>
                <w:szCs w:val="18"/>
              </w:rPr>
              <w:t>17,266,102.82</w:t>
            </w:r>
          </w:p>
        </w:tc>
        <w:tc>
          <w:tcPr>
            <w:tcW w:w="3213" w:type="dxa"/>
            <w:tcBorders>
              <w:top w:val="single" w:color="auto" w:sz="2" w:space="0"/>
              <w:left w:val="single" w:color="auto" w:sz="2" w:space="0"/>
              <w:bottom w:val="single" w:color="auto" w:sz="2" w:space="0"/>
              <w:right w:val="single" w:color="auto" w:sz="2" w:space="0"/>
            </w:tcBorders>
            <w:vAlign w:val="center"/>
          </w:tcPr>
          <w:p w14:paraId="2D74B7F7">
            <w:pPr>
              <w:spacing w:line="240" w:lineRule="exact"/>
              <w:jc w:val="right"/>
              <w:rPr>
                <w:rFonts w:ascii="宋体" w:hAnsi="宋体" w:eastAsia="宋体" w:cs="宋体"/>
                <w:sz w:val="18"/>
                <w:szCs w:val="18"/>
              </w:rPr>
            </w:pPr>
            <w:r>
              <w:rPr>
                <w:rFonts w:ascii="宋体" w:hAnsi="宋体" w:eastAsia="宋体" w:cs="宋体"/>
                <w:sz w:val="18"/>
                <w:szCs w:val="18"/>
              </w:rPr>
              <w:t>19,691,262.35</w:t>
            </w:r>
          </w:p>
        </w:tc>
      </w:tr>
      <w:tr w14:paraId="65451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A011F53">
            <w:pPr>
              <w:spacing w:line="240" w:lineRule="exact"/>
              <w:rPr>
                <w:rFonts w:ascii="宋体" w:hAnsi="宋体" w:eastAsia="宋体" w:cs="宋体"/>
                <w:sz w:val="18"/>
                <w:szCs w:val="18"/>
              </w:rPr>
            </w:pPr>
            <w:r>
              <w:rPr>
                <w:rFonts w:ascii="宋体" w:hAnsi="宋体" w:eastAsia="宋体" w:cs="宋体"/>
                <w:sz w:val="18"/>
                <w:szCs w:val="18"/>
              </w:rPr>
              <w:t>个人所得税手续费返还</w:t>
            </w:r>
          </w:p>
        </w:tc>
        <w:tc>
          <w:tcPr>
            <w:tcW w:w="3213" w:type="dxa"/>
            <w:tcBorders>
              <w:top w:val="single" w:color="auto" w:sz="2" w:space="0"/>
              <w:left w:val="single" w:color="auto" w:sz="2" w:space="0"/>
              <w:bottom w:val="single" w:color="auto" w:sz="2" w:space="0"/>
              <w:right w:val="single" w:color="auto" w:sz="2" w:space="0"/>
            </w:tcBorders>
            <w:vAlign w:val="center"/>
          </w:tcPr>
          <w:p w14:paraId="30AFACF1">
            <w:pPr>
              <w:spacing w:line="240" w:lineRule="exact"/>
              <w:jc w:val="right"/>
              <w:rPr>
                <w:rFonts w:ascii="宋体" w:hAnsi="宋体" w:eastAsia="宋体" w:cs="宋体"/>
                <w:sz w:val="18"/>
                <w:szCs w:val="18"/>
              </w:rPr>
            </w:pPr>
            <w:r>
              <w:rPr>
                <w:rFonts w:ascii="宋体" w:hAnsi="宋体" w:eastAsia="宋体" w:cs="宋体"/>
                <w:sz w:val="18"/>
                <w:szCs w:val="18"/>
              </w:rPr>
              <w:t>133,718.07</w:t>
            </w:r>
          </w:p>
        </w:tc>
        <w:tc>
          <w:tcPr>
            <w:tcW w:w="3213" w:type="dxa"/>
            <w:tcBorders>
              <w:top w:val="single" w:color="auto" w:sz="2" w:space="0"/>
              <w:left w:val="single" w:color="auto" w:sz="2" w:space="0"/>
              <w:bottom w:val="single" w:color="auto" w:sz="2" w:space="0"/>
              <w:right w:val="single" w:color="auto" w:sz="2" w:space="0"/>
            </w:tcBorders>
            <w:vAlign w:val="center"/>
          </w:tcPr>
          <w:p w14:paraId="44E82220">
            <w:pPr>
              <w:spacing w:line="240" w:lineRule="exact"/>
              <w:jc w:val="right"/>
              <w:rPr>
                <w:rFonts w:ascii="宋体" w:hAnsi="宋体" w:eastAsia="宋体" w:cs="宋体"/>
                <w:sz w:val="18"/>
                <w:szCs w:val="18"/>
              </w:rPr>
            </w:pPr>
            <w:r>
              <w:rPr>
                <w:rFonts w:ascii="宋体" w:hAnsi="宋体" w:eastAsia="宋体" w:cs="宋体"/>
                <w:sz w:val="18"/>
                <w:szCs w:val="18"/>
              </w:rPr>
              <w:t>131,551.72</w:t>
            </w:r>
          </w:p>
        </w:tc>
      </w:tr>
      <w:tr w14:paraId="44145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930C644">
            <w:pPr>
              <w:spacing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71B25FB6">
            <w:pPr>
              <w:spacing w:line="240" w:lineRule="exact"/>
              <w:jc w:val="right"/>
              <w:rPr>
                <w:rFonts w:ascii="宋体" w:hAnsi="宋体" w:eastAsia="宋体" w:cs="宋体"/>
                <w:sz w:val="18"/>
                <w:szCs w:val="18"/>
              </w:rPr>
            </w:pPr>
            <w:r>
              <w:rPr>
                <w:rFonts w:ascii="宋体" w:hAnsi="宋体" w:eastAsia="宋体" w:cs="宋体"/>
                <w:sz w:val="18"/>
                <w:szCs w:val="18"/>
              </w:rPr>
              <w:t>108,579,897.78</w:t>
            </w:r>
          </w:p>
        </w:tc>
        <w:tc>
          <w:tcPr>
            <w:tcW w:w="3213" w:type="dxa"/>
            <w:tcBorders>
              <w:top w:val="single" w:color="auto" w:sz="2" w:space="0"/>
              <w:left w:val="single" w:color="auto" w:sz="2" w:space="0"/>
              <w:bottom w:val="single" w:color="auto" w:sz="2" w:space="0"/>
              <w:right w:val="single" w:color="auto" w:sz="2" w:space="0"/>
            </w:tcBorders>
            <w:vAlign w:val="center"/>
          </w:tcPr>
          <w:p w14:paraId="54B0A202">
            <w:pPr>
              <w:spacing w:line="240" w:lineRule="exact"/>
              <w:jc w:val="right"/>
              <w:rPr>
                <w:rFonts w:ascii="宋体" w:hAnsi="宋体" w:eastAsia="宋体" w:cs="宋体"/>
                <w:sz w:val="18"/>
                <w:szCs w:val="18"/>
              </w:rPr>
            </w:pPr>
            <w:r>
              <w:rPr>
                <w:rFonts w:ascii="宋体" w:hAnsi="宋体" w:eastAsia="宋体" w:cs="宋体"/>
                <w:sz w:val="18"/>
                <w:szCs w:val="18"/>
              </w:rPr>
              <w:t>132,331,921.35</w:t>
            </w:r>
          </w:p>
        </w:tc>
      </w:tr>
    </w:tbl>
    <w:p w14:paraId="101512B6">
      <w:pPr>
        <w:pStyle w:val="3"/>
        <w:spacing w:line="280" w:lineRule="exact"/>
        <w:jc w:val="left"/>
        <w:rPr>
          <w:rFonts w:ascii="宋体" w:hAnsi="宋体" w:cs="宋体"/>
          <w:b/>
          <w:bCs/>
        </w:rPr>
      </w:pPr>
      <w:bookmarkStart w:id="460" w:name="_Toc989314"/>
      <w:r>
        <w:rPr>
          <w:rFonts w:ascii="宋体" w:hAnsi="宋体" w:cs="宋体"/>
          <w:b/>
          <w:bCs/>
        </w:rPr>
        <w:t>68、净敞口套期收益</w:t>
      </w:r>
      <w:bookmarkEnd w:id="460"/>
    </w:p>
    <w:p w14:paraId="06648600">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1F1DEF9E">
      <w:pPr>
        <w:pStyle w:val="3"/>
        <w:spacing w:line="280" w:lineRule="exact"/>
        <w:jc w:val="left"/>
        <w:rPr>
          <w:rFonts w:ascii="宋体" w:hAnsi="宋体" w:cs="宋体"/>
          <w:b/>
          <w:bCs/>
        </w:rPr>
      </w:pPr>
      <w:bookmarkStart w:id="461" w:name="_Toc989315"/>
      <w:r>
        <w:rPr>
          <w:rFonts w:ascii="宋体" w:hAnsi="宋体" w:cs="宋体"/>
          <w:b/>
          <w:bCs/>
        </w:rPr>
        <w:t>69、公允价值变动收益</w:t>
      </w:r>
      <w:bookmarkEnd w:id="461"/>
    </w:p>
    <w:p w14:paraId="0B19266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43E3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5BE37CA">
            <w:pPr>
              <w:spacing w:before="40" w:after="40" w:line="240" w:lineRule="exact"/>
              <w:jc w:val="center"/>
              <w:rPr>
                <w:rFonts w:ascii="宋体" w:hAnsi="宋体" w:eastAsia="宋体" w:cs="宋体"/>
                <w:sz w:val="18"/>
                <w:szCs w:val="18"/>
              </w:rPr>
            </w:pPr>
            <w:r>
              <w:rPr>
                <w:rFonts w:ascii="宋体" w:hAnsi="宋体" w:eastAsia="宋体" w:cs="宋体"/>
                <w:sz w:val="18"/>
                <w:szCs w:val="18"/>
              </w:rPr>
              <w:t>产生公允价值变动收益的来源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318041">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4098C2">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06C5A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A1FD26">
            <w:pPr>
              <w:spacing w:before="40" w:after="40" w:line="240" w:lineRule="exac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14:paraId="373B476C">
            <w:pPr>
              <w:spacing w:line="240" w:lineRule="exact"/>
              <w:jc w:val="right"/>
              <w:rPr>
                <w:rFonts w:ascii="宋体" w:hAnsi="宋体" w:eastAsia="宋体" w:cs="宋体"/>
                <w:sz w:val="18"/>
                <w:szCs w:val="18"/>
              </w:rPr>
            </w:pPr>
            <w:r>
              <w:rPr>
                <w:rFonts w:ascii="宋体" w:hAnsi="宋体" w:eastAsia="宋体" w:cs="宋体"/>
                <w:sz w:val="18"/>
                <w:szCs w:val="18"/>
              </w:rPr>
              <w:t>-16,682,363.53</w:t>
            </w:r>
          </w:p>
        </w:tc>
        <w:tc>
          <w:tcPr>
            <w:tcW w:w="3213" w:type="dxa"/>
            <w:tcBorders>
              <w:top w:val="single" w:color="auto" w:sz="2" w:space="0"/>
              <w:left w:val="single" w:color="auto" w:sz="2" w:space="0"/>
              <w:bottom w:val="single" w:color="auto" w:sz="2" w:space="0"/>
              <w:right w:val="single" w:color="auto" w:sz="2" w:space="0"/>
            </w:tcBorders>
            <w:vAlign w:val="center"/>
          </w:tcPr>
          <w:p w14:paraId="556E94FF">
            <w:pPr>
              <w:spacing w:line="240" w:lineRule="exact"/>
              <w:jc w:val="right"/>
              <w:rPr>
                <w:rFonts w:ascii="宋体" w:hAnsi="宋体" w:eastAsia="宋体" w:cs="宋体"/>
                <w:sz w:val="18"/>
                <w:szCs w:val="18"/>
              </w:rPr>
            </w:pPr>
            <w:r>
              <w:rPr>
                <w:rFonts w:ascii="宋体" w:hAnsi="宋体" w:eastAsia="宋体" w:cs="宋体"/>
                <w:sz w:val="18"/>
                <w:szCs w:val="18"/>
              </w:rPr>
              <w:t>246,581.13</w:t>
            </w:r>
          </w:p>
        </w:tc>
      </w:tr>
      <w:tr w14:paraId="60DF7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B81A377">
            <w:pPr>
              <w:spacing w:before="40" w:after="40" w:line="240" w:lineRule="exac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14:paraId="36DE110E">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434445B">
            <w:pPr>
              <w:spacing w:line="240" w:lineRule="exact"/>
              <w:jc w:val="right"/>
              <w:rPr>
                <w:rFonts w:ascii="宋体" w:hAnsi="宋体" w:eastAsia="宋体" w:cs="宋体"/>
                <w:sz w:val="18"/>
                <w:szCs w:val="18"/>
              </w:rPr>
            </w:pPr>
            <w:r>
              <w:rPr>
                <w:rFonts w:ascii="宋体" w:hAnsi="宋体" w:eastAsia="宋体" w:cs="宋体"/>
                <w:sz w:val="18"/>
                <w:szCs w:val="18"/>
              </w:rPr>
              <w:t>-39,462.74</w:t>
            </w:r>
          </w:p>
        </w:tc>
      </w:tr>
      <w:tr w14:paraId="1C1D7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5AEDCD">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7A488772">
            <w:pPr>
              <w:spacing w:line="240" w:lineRule="exact"/>
              <w:jc w:val="right"/>
              <w:rPr>
                <w:rFonts w:ascii="宋体" w:hAnsi="宋体" w:eastAsia="宋体" w:cs="宋体"/>
                <w:sz w:val="18"/>
                <w:szCs w:val="18"/>
              </w:rPr>
            </w:pPr>
            <w:r>
              <w:rPr>
                <w:rFonts w:ascii="宋体" w:hAnsi="宋体" w:eastAsia="宋体" w:cs="宋体"/>
                <w:sz w:val="18"/>
                <w:szCs w:val="18"/>
              </w:rPr>
              <w:t>-16,682,363.53</w:t>
            </w:r>
          </w:p>
        </w:tc>
        <w:tc>
          <w:tcPr>
            <w:tcW w:w="3213" w:type="dxa"/>
            <w:tcBorders>
              <w:top w:val="single" w:color="auto" w:sz="2" w:space="0"/>
              <w:left w:val="single" w:color="auto" w:sz="2" w:space="0"/>
              <w:bottom w:val="single" w:color="auto" w:sz="2" w:space="0"/>
              <w:right w:val="single" w:color="auto" w:sz="2" w:space="0"/>
            </w:tcBorders>
            <w:vAlign w:val="center"/>
          </w:tcPr>
          <w:p w14:paraId="5396460A">
            <w:pPr>
              <w:spacing w:line="240" w:lineRule="exact"/>
              <w:jc w:val="right"/>
              <w:rPr>
                <w:rFonts w:ascii="宋体" w:hAnsi="宋体" w:eastAsia="宋体" w:cs="宋体"/>
                <w:sz w:val="18"/>
                <w:szCs w:val="18"/>
              </w:rPr>
            </w:pPr>
            <w:r>
              <w:rPr>
                <w:rFonts w:ascii="宋体" w:hAnsi="宋体" w:eastAsia="宋体" w:cs="宋体"/>
                <w:sz w:val="18"/>
                <w:szCs w:val="18"/>
              </w:rPr>
              <w:t>207,118.39</w:t>
            </w:r>
          </w:p>
        </w:tc>
      </w:tr>
    </w:tbl>
    <w:p w14:paraId="51FD9637">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179028B4">
      <w:pPr>
        <w:pStyle w:val="3"/>
        <w:spacing w:line="280" w:lineRule="exact"/>
        <w:jc w:val="left"/>
        <w:rPr>
          <w:rFonts w:ascii="宋体" w:hAnsi="宋体" w:cs="宋体"/>
          <w:b/>
          <w:bCs/>
        </w:rPr>
      </w:pPr>
      <w:bookmarkStart w:id="462" w:name="_Toc989316"/>
      <w:r>
        <w:rPr>
          <w:rFonts w:ascii="宋体" w:hAnsi="宋体" w:cs="宋体"/>
          <w:b/>
          <w:bCs/>
        </w:rPr>
        <w:t>70、投资收益</w:t>
      </w:r>
      <w:bookmarkEnd w:id="462"/>
    </w:p>
    <w:p w14:paraId="769C056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399A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5954A5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70936E">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4E49EF">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700A7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51FC1F">
            <w:pPr>
              <w:spacing w:before="40" w:after="40" w:line="240" w:lineRule="exact"/>
              <w:rPr>
                <w:rFonts w:ascii="宋体" w:hAnsi="宋体" w:eastAsia="宋体" w:cs="宋体"/>
                <w:sz w:val="18"/>
                <w:szCs w:val="18"/>
              </w:rPr>
            </w:pPr>
            <w:r>
              <w:rPr>
                <w:rFonts w:ascii="宋体" w:hAnsi="宋体"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6435E097">
            <w:pPr>
              <w:spacing w:line="240" w:lineRule="exact"/>
              <w:jc w:val="right"/>
              <w:rPr>
                <w:rFonts w:ascii="宋体" w:hAnsi="宋体" w:eastAsia="宋体" w:cs="宋体"/>
                <w:sz w:val="18"/>
                <w:szCs w:val="18"/>
              </w:rPr>
            </w:pPr>
            <w:r>
              <w:rPr>
                <w:rFonts w:ascii="宋体" w:hAnsi="宋体" w:eastAsia="宋体" w:cs="宋体"/>
                <w:sz w:val="18"/>
                <w:szCs w:val="18"/>
              </w:rPr>
              <w:t>9,589,756.16</w:t>
            </w:r>
          </w:p>
        </w:tc>
        <w:tc>
          <w:tcPr>
            <w:tcW w:w="3213" w:type="dxa"/>
            <w:tcBorders>
              <w:top w:val="single" w:color="auto" w:sz="2" w:space="0"/>
              <w:left w:val="single" w:color="auto" w:sz="2" w:space="0"/>
              <w:bottom w:val="single" w:color="auto" w:sz="2" w:space="0"/>
              <w:right w:val="single" w:color="auto" w:sz="2" w:space="0"/>
            </w:tcBorders>
            <w:vAlign w:val="center"/>
          </w:tcPr>
          <w:p w14:paraId="0B0206A4">
            <w:pPr>
              <w:spacing w:line="240" w:lineRule="exact"/>
              <w:jc w:val="right"/>
              <w:rPr>
                <w:rFonts w:ascii="宋体" w:hAnsi="宋体" w:eastAsia="宋体" w:cs="宋体"/>
                <w:sz w:val="18"/>
                <w:szCs w:val="18"/>
              </w:rPr>
            </w:pPr>
            <w:r>
              <w:rPr>
                <w:rFonts w:ascii="宋体" w:hAnsi="宋体" w:eastAsia="宋体" w:cs="宋体"/>
                <w:sz w:val="18"/>
                <w:szCs w:val="18"/>
              </w:rPr>
              <w:t>7,325,415.78</w:t>
            </w:r>
          </w:p>
        </w:tc>
      </w:tr>
      <w:tr w14:paraId="63284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C378490">
            <w:pPr>
              <w:spacing w:before="40" w:after="40" w:line="240" w:lineRule="exact"/>
              <w:rPr>
                <w:rFonts w:ascii="宋体" w:hAnsi="宋体" w:eastAsia="宋体" w:cs="宋体"/>
                <w:sz w:val="18"/>
                <w:szCs w:val="18"/>
              </w:rPr>
            </w:pPr>
            <w:r>
              <w:rPr>
                <w:rFonts w:ascii="宋体" w:hAnsi="宋体" w:eastAsia="宋体" w:cs="宋体"/>
                <w:sz w:val="18"/>
                <w:szCs w:val="18"/>
              </w:rPr>
              <w:t>处置长期股权投资产生的投资收益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7D640493">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8F39F0A">
            <w:pPr>
              <w:spacing w:line="240" w:lineRule="exact"/>
              <w:jc w:val="right"/>
              <w:rPr>
                <w:rFonts w:ascii="宋体" w:hAnsi="宋体" w:eastAsia="宋体" w:cs="宋体"/>
                <w:sz w:val="18"/>
                <w:szCs w:val="18"/>
              </w:rPr>
            </w:pPr>
            <w:r>
              <w:rPr>
                <w:rFonts w:ascii="宋体" w:hAnsi="宋体" w:eastAsia="宋体" w:cs="宋体"/>
                <w:sz w:val="18"/>
                <w:szCs w:val="18"/>
              </w:rPr>
              <w:t>7,067,840.02</w:t>
            </w:r>
          </w:p>
        </w:tc>
      </w:tr>
      <w:tr w14:paraId="73A38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5FCCDA">
            <w:pPr>
              <w:spacing w:before="40" w:after="40" w:line="240" w:lineRule="exact"/>
              <w:rPr>
                <w:rFonts w:ascii="宋体" w:hAnsi="宋体" w:eastAsia="宋体" w:cs="宋体"/>
                <w:sz w:val="18"/>
                <w:szCs w:val="18"/>
              </w:rPr>
            </w:pPr>
            <w:r>
              <w:rPr>
                <w:rFonts w:ascii="宋体" w:hAnsi="宋体" w:eastAsia="宋体" w:cs="宋体"/>
                <w:sz w:val="18"/>
                <w:szCs w:val="18"/>
              </w:rPr>
              <w:t>处置交易性金融资产取得的投资收益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1BFDBC90">
            <w:pPr>
              <w:spacing w:line="240" w:lineRule="exact"/>
              <w:jc w:val="right"/>
              <w:rPr>
                <w:rFonts w:ascii="宋体" w:hAnsi="宋体" w:eastAsia="宋体" w:cs="宋体"/>
                <w:sz w:val="18"/>
                <w:szCs w:val="18"/>
              </w:rPr>
            </w:pPr>
            <w:r>
              <w:rPr>
                <w:rFonts w:ascii="宋体" w:hAnsi="宋体" w:eastAsia="宋体" w:cs="宋体"/>
                <w:sz w:val="18"/>
                <w:szCs w:val="18"/>
              </w:rPr>
              <w:t>44,885,603.51</w:t>
            </w:r>
          </w:p>
        </w:tc>
        <w:tc>
          <w:tcPr>
            <w:tcW w:w="3213" w:type="dxa"/>
            <w:tcBorders>
              <w:top w:val="single" w:color="auto" w:sz="2" w:space="0"/>
              <w:left w:val="single" w:color="auto" w:sz="2" w:space="0"/>
              <w:bottom w:val="single" w:color="auto" w:sz="2" w:space="0"/>
              <w:right w:val="single" w:color="auto" w:sz="2" w:space="0"/>
            </w:tcBorders>
            <w:vAlign w:val="center"/>
          </w:tcPr>
          <w:p w14:paraId="20722126">
            <w:pPr>
              <w:spacing w:line="240" w:lineRule="exact"/>
              <w:jc w:val="right"/>
              <w:rPr>
                <w:rFonts w:ascii="宋体" w:hAnsi="宋体" w:eastAsia="宋体" w:cs="宋体"/>
                <w:sz w:val="18"/>
                <w:szCs w:val="18"/>
              </w:rPr>
            </w:pPr>
            <w:r>
              <w:rPr>
                <w:rFonts w:ascii="宋体" w:hAnsi="宋体" w:eastAsia="宋体" w:cs="宋体"/>
                <w:sz w:val="18"/>
                <w:szCs w:val="18"/>
              </w:rPr>
              <w:t>11,735,128.65</w:t>
            </w:r>
          </w:p>
        </w:tc>
      </w:tr>
      <w:tr w14:paraId="5FEF9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9737A5">
            <w:pPr>
              <w:spacing w:before="40" w:after="40" w:line="240" w:lineRule="exact"/>
              <w:rPr>
                <w:rFonts w:ascii="宋体" w:hAnsi="宋体" w:eastAsia="宋体" w:cs="宋体"/>
                <w:sz w:val="18"/>
                <w:szCs w:val="18"/>
              </w:rPr>
            </w:pPr>
            <w:r>
              <w:rPr>
                <w:rFonts w:ascii="宋体" w:hAnsi="宋体" w:eastAsia="宋体" w:cs="宋体"/>
                <w:sz w:val="18"/>
                <w:szCs w:val="18"/>
              </w:rPr>
              <w:t>其他权益工具投资在持有期间取得的股利收入</w:t>
            </w:r>
          </w:p>
        </w:tc>
        <w:tc>
          <w:tcPr>
            <w:tcW w:w="3213" w:type="dxa"/>
            <w:tcBorders>
              <w:top w:val="single" w:color="auto" w:sz="2" w:space="0"/>
              <w:left w:val="single" w:color="auto" w:sz="2" w:space="0"/>
              <w:bottom w:val="single" w:color="auto" w:sz="2" w:space="0"/>
              <w:right w:val="single" w:color="auto" w:sz="2" w:space="0"/>
            </w:tcBorders>
            <w:vAlign w:val="center"/>
          </w:tcPr>
          <w:p w14:paraId="138D7DBB">
            <w:pPr>
              <w:spacing w:line="240" w:lineRule="exact"/>
              <w:jc w:val="right"/>
              <w:rPr>
                <w:rFonts w:ascii="宋体" w:hAnsi="宋体" w:eastAsia="宋体" w:cs="宋体"/>
                <w:sz w:val="18"/>
                <w:szCs w:val="18"/>
              </w:rPr>
            </w:pPr>
            <w:r>
              <w:rPr>
                <w:rFonts w:ascii="宋体" w:hAnsi="宋体" w:eastAsia="宋体" w:cs="宋体"/>
                <w:sz w:val="18"/>
                <w:szCs w:val="18"/>
              </w:rPr>
              <w:t>6,246,262.26</w:t>
            </w:r>
          </w:p>
        </w:tc>
        <w:tc>
          <w:tcPr>
            <w:tcW w:w="3213" w:type="dxa"/>
            <w:tcBorders>
              <w:top w:val="single" w:color="auto" w:sz="2" w:space="0"/>
              <w:left w:val="single" w:color="auto" w:sz="2" w:space="0"/>
              <w:bottom w:val="single" w:color="auto" w:sz="2" w:space="0"/>
              <w:right w:val="single" w:color="auto" w:sz="2" w:space="0"/>
            </w:tcBorders>
            <w:vAlign w:val="center"/>
          </w:tcPr>
          <w:p w14:paraId="61097399">
            <w:pPr>
              <w:spacing w:line="240" w:lineRule="exact"/>
              <w:jc w:val="right"/>
              <w:rPr>
                <w:rFonts w:ascii="宋体" w:hAnsi="宋体" w:eastAsia="宋体" w:cs="宋体"/>
                <w:sz w:val="18"/>
                <w:szCs w:val="18"/>
              </w:rPr>
            </w:pPr>
            <w:r>
              <w:rPr>
                <w:rFonts w:ascii="宋体" w:hAnsi="宋体" w:eastAsia="宋体" w:cs="宋体"/>
                <w:sz w:val="18"/>
                <w:szCs w:val="18"/>
              </w:rPr>
              <w:t>4,614,639.48</w:t>
            </w:r>
          </w:p>
        </w:tc>
      </w:tr>
      <w:tr w14:paraId="16621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A890D28">
            <w:pPr>
              <w:spacing w:line="240" w:lineRule="exact"/>
              <w:rPr>
                <w:rFonts w:ascii="宋体" w:hAnsi="宋体" w:eastAsia="宋体" w:cs="宋体"/>
                <w:sz w:val="18"/>
                <w:szCs w:val="18"/>
              </w:rPr>
            </w:pPr>
            <w:r>
              <w:rPr>
                <w:rFonts w:ascii="宋体" w:hAnsi="宋体" w:eastAsia="宋体" w:cs="宋体"/>
                <w:sz w:val="18"/>
                <w:szCs w:val="18"/>
              </w:rPr>
              <w:t>委托理财收益</w:t>
            </w:r>
          </w:p>
        </w:tc>
        <w:tc>
          <w:tcPr>
            <w:tcW w:w="3213" w:type="dxa"/>
            <w:tcBorders>
              <w:top w:val="single" w:color="auto" w:sz="2" w:space="0"/>
              <w:left w:val="single" w:color="auto" w:sz="2" w:space="0"/>
              <w:bottom w:val="single" w:color="auto" w:sz="2" w:space="0"/>
              <w:right w:val="single" w:color="auto" w:sz="2" w:space="0"/>
            </w:tcBorders>
            <w:vAlign w:val="center"/>
          </w:tcPr>
          <w:p w14:paraId="49A4EF0C">
            <w:pPr>
              <w:spacing w:line="240" w:lineRule="exact"/>
              <w:jc w:val="right"/>
              <w:rPr>
                <w:rFonts w:ascii="宋体" w:hAnsi="宋体" w:eastAsia="宋体" w:cs="宋体"/>
                <w:sz w:val="18"/>
                <w:szCs w:val="18"/>
              </w:rPr>
            </w:pPr>
            <w:r>
              <w:rPr>
                <w:rFonts w:ascii="宋体" w:hAnsi="宋体" w:eastAsia="宋体" w:cs="宋体"/>
                <w:sz w:val="18"/>
                <w:szCs w:val="18"/>
              </w:rPr>
              <w:t>4,894,985.81</w:t>
            </w:r>
          </w:p>
        </w:tc>
        <w:tc>
          <w:tcPr>
            <w:tcW w:w="3213" w:type="dxa"/>
            <w:tcBorders>
              <w:top w:val="single" w:color="auto" w:sz="2" w:space="0"/>
              <w:left w:val="single" w:color="auto" w:sz="2" w:space="0"/>
              <w:bottom w:val="single" w:color="auto" w:sz="2" w:space="0"/>
              <w:right w:val="single" w:color="auto" w:sz="2" w:space="0"/>
            </w:tcBorders>
            <w:vAlign w:val="center"/>
          </w:tcPr>
          <w:p w14:paraId="430482E6">
            <w:pPr>
              <w:spacing w:line="240" w:lineRule="exact"/>
              <w:jc w:val="right"/>
              <w:rPr>
                <w:rFonts w:ascii="宋体" w:hAnsi="宋体" w:eastAsia="宋体" w:cs="宋体"/>
                <w:sz w:val="18"/>
                <w:szCs w:val="18"/>
              </w:rPr>
            </w:pPr>
            <w:r>
              <w:rPr>
                <w:rFonts w:ascii="宋体" w:hAnsi="宋体" w:eastAsia="宋体" w:cs="宋体"/>
                <w:sz w:val="18"/>
                <w:szCs w:val="18"/>
              </w:rPr>
              <w:t>7,044,505.62</w:t>
            </w:r>
          </w:p>
        </w:tc>
      </w:tr>
      <w:tr w14:paraId="68663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569E56">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67176E59">
            <w:pPr>
              <w:spacing w:line="240" w:lineRule="exact"/>
              <w:jc w:val="right"/>
              <w:rPr>
                <w:rFonts w:ascii="宋体" w:hAnsi="宋体" w:eastAsia="宋体" w:cs="宋体"/>
                <w:sz w:val="18"/>
                <w:szCs w:val="18"/>
              </w:rPr>
            </w:pPr>
            <w:r>
              <w:rPr>
                <w:rFonts w:ascii="宋体" w:hAnsi="宋体" w:eastAsia="宋体" w:cs="宋体"/>
                <w:sz w:val="18"/>
                <w:szCs w:val="18"/>
              </w:rPr>
              <w:t>65,616,607.74</w:t>
            </w:r>
          </w:p>
        </w:tc>
        <w:tc>
          <w:tcPr>
            <w:tcW w:w="3213" w:type="dxa"/>
            <w:tcBorders>
              <w:top w:val="single" w:color="auto" w:sz="2" w:space="0"/>
              <w:left w:val="single" w:color="auto" w:sz="2" w:space="0"/>
              <w:bottom w:val="single" w:color="auto" w:sz="2" w:space="0"/>
              <w:right w:val="single" w:color="auto" w:sz="2" w:space="0"/>
            </w:tcBorders>
            <w:vAlign w:val="center"/>
          </w:tcPr>
          <w:p w14:paraId="2282E0D3">
            <w:pPr>
              <w:spacing w:line="240" w:lineRule="exact"/>
              <w:jc w:val="right"/>
              <w:rPr>
                <w:rFonts w:ascii="宋体" w:hAnsi="宋体" w:eastAsia="宋体" w:cs="宋体"/>
                <w:sz w:val="18"/>
                <w:szCs w:val="18"/>
              </w:rPr>
            </w:pPr>
            <w:r>
              <w:rPr>
                <w:rFonts w:ascii="宋体" w:hAnsi="宋体" w:eastAsia="宋体" w:cs="宋体"/>
                <w:sz w:val="18"/>
                <w:szCs w:val="18"/>
              </w:rPr>
              <w:t>37,787,529.55</w:t>
            </w:r>
          </w:p>
        </w:tc>
      </w:tr>
    </w:tbl>
    <w:p w14:paraId="0E17B3F6">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40B69862">
      <w:pPr>
        <w:pStyle w:val="3"/>
        <w:spacing w:line="280" w:lineRule="exact"/>
        <w:jc w:val="left"/>
        <w:rPr>
          <w:rFonts w:ascii="宋体" w:hAnsi="宋体" w:cs="宋体"/>
          <w:b/>
          <w:bCs/>
        </w:rPr>
      </w:pPr>
      <w:bookmarkStart w:id="463" w:name="_Toc989317"/>
      <w:r>
        <w:rPr>
          <w:rFonts w:ascii="宋体" w:hAnsi="宋体" w:cs="宋体"/>
          <w:b/>
          <w:bCs/>
        </w:rPr>
        <w:t>71、信用减值损失</w:t>
      </w:r>
      <w:bookmarkEnd w:id="463"/>
    </w:p>
    <w:p w14:paraId="506F733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9FBD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A5470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2E50E4F">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514CEA">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11D30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7A96CE">
            <w:pPr>
              <w:spacing w:before="40" w:after="40" w:line="240" w:lineRule="exact"/>
              <w:rPr>
                <w:rFonts w:ascii="宋体" w:hAnsi="宋体" w:eastAsia="宋体" w:cs="宋体"/>
                <w:sz w:val="18"/>
                <w:szCs w:val="18"/>
              </w:rPr>
            </w:pPr>
            <w:r>
              <w:rPr>
                <w:rFonts w:ascii="宋体" w:hAnsi="宋体" w:eastAsia="宋体" w:cs="宋体"/>
                <w:sz w:val="18"/>
                <w:szCs w:val="18"/>
              </w:rPr>
              <w:t>应收票据坏账损失</w:t>
            </w:r>
          </w:p>
        </w:tc>
        <w:tc>
          <w:tcPr>
            <w:tcW w:w="3213" w:type="dxa"/>
            <w:tcBorders>
              <w:top w:val="single" w:color="auto" w:sz="2" w:space="0"/>
              <w:left w:val="single" w:color="auto" w:sz="2" w:space="0"/>
              <w:bottom w:val="single" w:color="auto" w:sz="2" w:space="0"/>
              <w:right w:val="single" w:color="auto" w:sz="2" w:space="0"/>
            </w:tcBorders>
            <w:vAlign w:val="center"/>
          </w:tcPr>
          <w:p w14:paraId="09414AF9">
            <w:pPr>
              <w:spacing w:line="240" w:lineRule="exact"/>
              <w:jc w:val="right"/>
              <w:rPr>
                <w:rFonts w:ascii="宋体" w:hAnsi="宋体" w:eastAsia="宋体" w:cs="宋体"/>
                <w:sz w:val="18"/>
                <w:szCs w:val="18"/>
              </w:rPr>
            </w:pPr>
            <w:r>
              <w:rPr>
                <w:rFonts w:ascii="宋体" w:hAnsi="宋体" w:eastAsia="宋体" w:cs="宋体"/>
                <w:sz w:val="18"/>
                <w:szCs w:val="18"/>
              </w:rPr>
              <w:t>-876,454.60</w:t>
            </w:r>
          </w:p>
        </w:tc>
        <w:tc>
          <w:tcPr>
            <w:tcW w:w="3213" w:type="dxa"/>
            <w:tcBorders>
              <w:top w:val="single" w:color="auto" w:sz="2" w:space="0"/>
              <w:left w:val="single" w:color="auto" w:sz="2" w:space="0"/>
              <w:bottom w:val="single" w:color="auto" w:sz="2" w:space="0"/>
              <w:right w:val="single" w:color="auto" w:sz="2" w:space="0"/>
            </w:tcBorders>
            <w:vAlign w:val="center"/>
          </w:tcPr>
          <w:p w14:paraId="637FC3B2">
            <w:pPr>
              <w:spacing w:line="240" w:lineRule="exact"/>
              <w:jc w:val="right"/>
              <w:rPr>
                <w:rFonts w:ascii="宋体" w:hAnsi="宋体" w:eastAsia="宋体" w:cs="宋体"/>
                <w:sz w:val="18"/>
                <w:szCs w:val="18"/>
              </w:rPr>
            </w:pPr>
            <w:r>
              <w:rPr>
                <w:rFonts w:ascii="宋体" w:hAnsi="宋体" w:eastAsia="宋体" w:cs="宋体"/>
                <w:sz w:val="18"/>
                <w:szCs w:val="18"/>
              </w:rPr>
              <w:t>-336,876.37</w:t>
            </w:r>
          </w:p>
        </w:tc>
      </w:tr>
      <w:tr w14:paraId="1B6BB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4CF5CF">
            <w:pPr>
              <w:spacing w:before="40" w:after="40" w:line="240" w:lineRule="exact"/>
              <w:rPr>
                <w:rFonts w:ascii="宋体" w:hAnsi="宋体" w:eastAsia="宋体" w:cs="宋体"/>
                <w:sz w:val="18"/>
                <w:szCs w:val="18"/>
              </w:rPr>
            </w:pPr>
            <w:r>
              <w:rPr>
                <w:rFonts w:ascii="宋体" w:hAnsi="宋体" w:eastAsia="宋体" w:cs="宋体"/>
                <w:sz w:val="18"/>
                <w:szCs w:val="18"/>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14:paraId="152C0D3B">
            <w:pPr>
              <w:spacing w:line="240" w:lineRule="exact"/>
              <w:jc w:val="right"/>
              <w:rPr>
                <w:rFonts w:ascii="宋体" w:hAnsi="宋体" w:eastAsia="宋体" w:cs="宋体"/>
                <w:sz w:val="18"/>
                <w:szCs w:val="18"/>
              </w:rPr>
            </w:pPr>
            <w:r>
              <w:rPr>
                <w:rFonts w:ascii="宋体" w:hAnsi="宋体" w:eastAsia="宋体" w:cs="宋体"/>
                <w:sz w:val="18"/>
                <w:szCs w:val="18"/>
              </w:rPr>
              <w:t>18,555,130.52</w:t>
            </w:r>
          </w:p>
        </w:tc>
        <w:tc>
          <w:tcPr>
            <w:tcW w:w="3213" w:type="dxa"/>
            <w:tcBorders>
              <w:top w:val="single" w:color="auto" w:sz="2" w:space="0"/>
              <w:left w:val="single" w:color="auto" w:sz="2" w:space="0"/>
              <w:bottom w:val="single" w:color="auto" w:sz="2" w:space="0"/>
              <w:right w:val="single" w:color="auto" w:sz="2" w:space="0"/>
            </w:tcBorders>
            <w:vAlign w:val="center"/>
          </w:tcPr>
          <w:p w14:paraId="5077856B">
            <w:pPr>
              <w:spacing w:line="240" w:lineRule="exact"/>
              <w:jc w:val="right"/>
              <w:rPr>
                <w:rFonts w:ascii="宋体" w:hAnsi="宋体" w:eastAsia="宋体" w:cs="宋体"/>
                <w:sz w:val="18"/>
                <w:szCs w:val="18"/>
              </w:rPr>
            </w:pPr>
            <w:r>
              <w:rPr>
                <w:rFonts w:ascii="宋体" w:hAnsi="宋体" w:eastAsia="宋体" w:cs="宋体"/>
                <w:sz w:val="18"/>
                <w:szCs w:val="18"/>
              </w:rPr>
              <w:t>-29,565,347.85</w:t>
            </w:r>
          </w:p>
        </w:tc>
      </w:tr>
      <w:tr w14:paraId="448D9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240549">
            <w:pPr>
              <w:spacing w:before="40" w:after="40" w:line="240" w:lineRule="exact"/>
              <w:rPr>
                <w:rFonts w:ascii="宋体" w:hAnsi="宋体" w:eastAsia="宋体" w:cs="宋体"/>
                <w:sz w:val="18"/>
                <w:szCs w:val="18"/>
              </w:rPr>
            </w:pPr>
            <w:r>
              <w:rPr>
                <w:rFonts w:ascii="宋体" w:hAnsi="宋体" w:eastAsia="宋体" w:cs="宋体"/>
                <w:sz w:val="18"/>
                <w:szCs w:val="18"/>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14:paraId="1326A42B">
            <w:pPr>
              <w:spacing w:line="240" w:lineRule="exact"/>
              <w:jc w:val="right"/>
              <w:rPr>
                <w:rFonts w:ascii="宋体" w:hAnsi="宋体" w:eastAsia="宋体" w:cs="宋体"/>
                <w:sz w:val="18"/>
                <w:szCs w:val="18"/>
              </w:rPr>
            </w:pPr>
            <w:r>
              <w:rPr>
                <w:rFonts w:ascii="宋体" w:hAnsi="宋体" w:eastAsia="宋体" w:cs="宋体"/>
                <w:sz w:val="18"/>
                <w:szCs w:val="18"/>
              </w:rPr>
              <w:t>-20,310,420.50</w:t>
            </w:r>
          </w:p>
        </w:tc>
        <w:tc>
          <w:tcPr>
            <w:tcW w:w="3213" w:type="dxa"/>
            <w:tcBorders>
              <w:top w:val="single" w:color="auto" w:sz="2" w:space="0"/>
              <w:left w:val="single" w:color="auto" w:sz="2" w:space="0"/>
              <w:bottom w:val="single" w:color="auto" w:sz="2" w:space="0"/>
              <w:right w:val="single" w:color="auto" w:sz="2" w:space="0"/>
            </w:tcBorders>
            <w:vAlign w:val="center"/>
          </w:tcPr>
          <w:p w14:paraId="26ABED7D">
            <w:pPr>
              <w:spacing w:line="240" w:lineRule="exact"/>
              <w:jc w:val="right"/>
              <w:rPr>
                <w:rFonts w:ascii="宋体" w:hAnsi="宋体" w:eastAsia="宋体" w:cs="宋体"/>
                <w:sz w:val="18"/>
                <w:szCs w:val="18"/>
              </w:rPr>
            </w:pPr>
            <w:r>
              <w:rPr>
                <w:rFonts w:ascii="宋体" w:hAnsi="宋体" w:eastAsia="宋体" w:cs="宋体"/>
                <w:sz w:val="18"/>
                <w:szCs w:val="18"/>
              </w:rPr>
              <w:t>-20,763,493.75</w:t>
            </w:r>
          </w:p>
        </w:tc>
      </w:tr>
      <w:tr w14:paraId="2E636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62F257">
            <w:pPr>
              <w:spacing w:before="40" w:after="40" w:line="240" w:lineRule="exact"/>
              <w:rPr>
                <w:rFonts w:ascii="宋体" w:hAnsi="宋体" w:eastAsia="宋体" w:cs="宋体"/>
                <w:sz w:val="18"/>
                <w:szCs w:val="18"/>
              </w:rPr>
            </w:pPr>
            <w:r>
              <w:rPr>
                <w:rFonts w:ascii="宋体" w:hAnsi="宋体" w:eastAsia="宋体" w:cs="宋体"/>
                <w:sz w:val="18"/>
                <w:szCs w:val="18"/>
              </w:rPr>
              <w:t>长期应收款坏账损失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14:paraId="58C977F2">
            <w:pPr>
              <w:spacing w:line="240" w:lineRule="exact"/>
              <w:jc w:val="right"/>
              <w:rPr>
                <w:rFonts w:ascii="宋体" w:hAnsi="宋体" w:eastAsia="宋体" w:cs="宋体"/>
                <w:sz w:val="18"/>
                <w:szCs w:val="18"/>
              </w:rPr>
            </w:pPr>
            <w:r>
              <w:rPr>
                <w:rFonts w:ascii="宋体" w:hAnsi="宋体" w:eastAsia="宋体" w:cs="宋体"/>
                <w:sz w:val="18"/>
                <w:szCs w:val="18"/>
              </w:rPr>
              <w:t>309,217.37</w:t>
            </w:r>
          </w:p>
        </w:tc>
        <w:tc>
          <w:tcPr>
            <w:tcW w:w="3213" w:type="dxa"/>
            <w:tcBorders>
              <w:top w:val="single" w:color="auto" w:sz="2" w:space="0"/>
              <w:left w:val="single" w:color="auto" w:sz="2" w:space="0"/>
              <w:bottom w:val="single" w:color="auto" w:sz="2" w:space="0"/>
              <w:right w:val="single" w:color="auto" w:sz="2" w:space="0"/>
            </w:tcBorders>
            <w:vAlign w:val="center"/>
          </w:tcPr>
          <w:p w14:paraId="2B547CBB">
            <w:pPr>
              <w:spacing w:line="240" w:lineRule="exact"/>
              <w:jc w:val="right"/>
              <w:rPr>
                <w:rFonts w:ascii="宋体" w:hAnsi="宋体" w:eastAsia="宋体" w:cs="宋体"/>
                <w:sz w:val="18"/>
                <w:szCs w:val="18"/>
              </w:rPr>
            </w:pPr>
            <w:r>
              <w:rPr>
                <w:rFonts w:ascii="宋体" w:hAnsi="宋体" w:eastAsia="宋体" w:cs="宋体"/>
                <w:sz w:val="18"/>
                <w:szCs w:val="18"/>
              </w:rPr>
              <w:t>-154,608.69</w:t>
            </w:r>
          </w:p>
        </w:tc>
      </w:tr>
      <w:tr w14:paraId="68BDA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DABCCB">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2DC1807F">
            <w:pPr>
              <w:spacing w:line="240" w:lineRule="exact"/>
              <w:jc w:val="right"/>
              <w:rPr>
                <w:rFonts w:ascii="宋体" w:hAnsi="宋体" w:eastAsia="宋体" w:cs="宋体"/>
                <w:sz w:val="18"/>
                <w:szCs w:val="18"/>
              </w:rPr>
            </w:pPr>
            <w:r>
              <w:rPr>
                <w:rFonts w:ascii="宋体" w:hAnsi="宋体" w:eastAsia="宋体" w:cs="宋体"/>
                <w:sz w:val="18"/>
                <w:szCs w:val="18"/>
              </w:rPr>
              <w:t>-2,322,527.21</w:t>
            </w:r>
          </w:p>
        </w:tc>
        <w:tc>
          <w:tcPr>
            <w:tcW w:w="3213" w:type="dxa"/>
            <w:tcBorders>
              <w:top w:val="single" w:color="auto" w:sz="2" w:space="0"/>
              <w:left w:val="single" w:color="auto" w:sz="2" w:space="0"/>
              <w:bottom w:val="single" w:color="auto" w:sz="2" w:space="0"/>
              <w:right w:val="single" w:color="auto" w:sz="2" w:space="0"/>
            </w:tcBorders>
            <w:vAlign w:val="center"/>
          </w:tcPr>
          <w:p w14:paraId="2A8A2637">
            <w:pPr>
              <w:spacing w:line="240" w:lineRule="exact"/>
              <w:jc w:val="right"/>
              <w:rPr>
                <w:rFonts w:ascii="宋体" w:hAnsi="宋体" w:eastAsia="宋体" w:cs="宋体"/>
                <w:sz w:val="18"/>
                <w:szCs w:val="18"/>
              </w:rPr>
            </w:pPr>
            <w:r>
              <w:rPr>
                <w:rFonts w:ascii="宋体" w:hAnsi="宋体" w:eastAsia="宋体" w:cs="宋体"/>
                <w:sz w:val="18"/>
                <w:szCs w:val="18"/>
              </w:rPr>
              <w:t>-50,820,326.66</w:t>
            </w:r>
          </w:p>
        </w:tc>
      </w:tr>
    </w:tbl>
    <w:p w14:paraId="7AAA4913">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5B8B66AE">
      <w:pPr>
        <w:pStyle w:val="9"/>
        <w:rPr>
          <w:sz w:val="18"/>
          <w:szCs w:val="18"/>
        </w:rPr>
      </w:pPr>
      <w:r>
        <w:rPr>
          <w:rFonts w:hint="eastAsia"/>
          <w:sz w:val="18"/>
          <w:szCs w:val="18"/>
        </w:rPr>
        <w:t>无</w:t>
      </w:r>
    </w:p>
    <w:p w14:paraId="4C1DB27F">
      <w:pPr>
        <w:pStyle w:val="3"/>
        <w:spacing w:line="280" w:lineRule="exact"/>
        <w:jc w:val="left"/>
        <w:rPr>
          <w:rFonts w:ascii="宋体" w:hAnsi="宋体" w:cs="宋体"/>
          <w:b/>
          <w:bCs/>
        </w:rPr>
      </w:pPr>
      <w:bookmarkStart w:id="464" w:name="_Toc989318"/>
      <w:r>
        <w:rPr>
          <w:rFonts w:ascii="宋体" w:hAnsi="宋体" w:cs="宋体"/>
          <w:b/>
          <w:bCs/>
        </w:rPr>
        <w:t>72、资产减值损失</w:t>
      </w:r>
      <w:bookmarkEnd w:id="464"/>
    </w:p>
    <w:p w14:paraId="5C9DA14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6410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E419E7">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9DB7021">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C0D9B2">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56949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16922C">
            <w:pPr>
              <w:spacing w:before="40" w:after="40" w:line="240" w:lineRule="exact"/>
              <w:rPr>
                <w:rFonts w:ascii="宋体" w:hAnsi="宋体" w:eastAsia="宋体" w:cs="宋体"/>
                <w:sz w:val="18"/>
                <w:szCs w:val="18"/>
              </w:rPr>
            </w:pPr>
            <w:r>
              <w:rPr>
                <w:rFonts w:ascii="宋体" w:hAnsi="宋体" w:eastAsia="宋体" w:cs="宋体"/>
                <w:sz w:val="18"/>
                <w:szCs w:val="18"/>
              </w:rPr>
              <w:t>一、存货跌价损失及合同履约成本减值损失</w:t>
            </w:r>
          </w:p>
        </w:tc>
        <w:tc>
          <w:tcPr>
            <w:tcW w:w="3213" w:type="dxa"/>
            <w:tcBorders>
              <w:top w:val="single" w:color="auto" w:sz="2" w:space="0"/>
              <w:left w:val="single" w:color="auto" w:sz="2" w:space="0"/>
              <w:bottom w:val="single" w:color="auto" w:sz="2" w:space="0"/>
              <w:right w:val="single" w:color="auto" w:sz="2" w:space="0"/>
            </w:tcBorders>
            <w:vAlign w:val="center"/>
          </w:tcPr>
          <w:p w14:paraId="4EE84755">
            <w:pPr>
              <w:spacing w:line="240" w:lineRule="exact"/>
              <w:jc w:val="right"/>
              <w:rPr>
                <w:rFonts w:ascii="宋体" w:hAnsi="宋体" w:eastAsia="宋体" w:cs="宋体"/>
                <w:sz w:val="18"/>
                <w:szCs w:val="18"/>
              </w:rPr>
            </w:pPr>
            <w:r>
              <w:rPr>
                <w:rFonts w:ascii="宋体" w:hAnsi="宋体" w:eastAsia="宋体" w:cs="宋体"/>
                <w:sz w:val="18"/>
                <w:szCs w:val="18"/>
              </w:rPr>
              <w:t>-5,141,871.08</w:t>
            </w:r>
          </w:p>
        </w:tc>
        <w:tc>
          <w:tcPr>
            <w:tcW w:w="3213" w:type="dxa"/>
            <w:tcBorders>
              <w:top w:val="single" w:color="auto" w:sz="2" w:space="0"/>
              <w:left w:val="single" w:color="auto" w:sz="2" w:space="0"/>
              <w:bottom w:val="single" w:color="auto" w:sz="2" w:space="0"/>
              <w:right w:val="single" w:color="auto" w:sz="2" w:space="0"/>
            </w:tcBorders>
            <w:vAlign w:val="center"/>
          </w:tcPr>
          <w:p w14:paraId="45A27565">
            <w:pPr>
              <w:spacing w:line="240" w:lineRule="exact"/>
              <w:jc w:val="right"/>
              <w:rPr>
                <w:rFonts w:ascii="宋体" w:hAnsi="宋体" w:eastAsia="宋体" w:cs="宋体"/>
                <w:sz w:val="18"/>
                <w:szCs w:val="18"/>
              </w:rPr>
            </w:pPr>
            <w:r>
              <w:rPr>
                <w:rFonts w:ascii="宋体" w:hAnsi="宋体" w:eastAsia="宋体" w:cs="宋体"/>
                <w:sz w:val="18"/>
                <w:szCs w:val="18"/>
              </w:rPr>
              <w:t>-66,291,361.85</w:t>
            </w:r>
          </w:p>
        </w:tc>
      </w:tr>
      <w:tr w14:paraId="664BB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43002F">
            <w:pPr>
              <w:spacing w:before="40" w:after="40" w:line="240" w:lineRule="exact"/>
              <w:rPr>
                <w:rFonts w:ascii="宋体" w:hAnsi="宋体" w:eastAsia="宋体" w:cs="宋体"/>
                <w:sz w:val="18"/>
                <w:szCs w:val="18"/>
              </w:rPr>
            </w:pPr>
            <w:r>
              <w:rPr>
                <w:rFonts w:ascii="宋体" w:hAnsi="宋体" w:eastAsia="宋体" w:cs="宋体"/>
                <w:sz w:val="18"/>
                <w:szCs w:val="18"/>
              </w:rPr>
              <w:t>十、商誉减值损失</w:t>
            </w:r>
          </w:p>
        </w:tc>
        <w:tc>
          <w:tcPr>
            <w:tcW w:w="3213" w:type="dxa"/>
            <w:tcBorders>
              <w:top w:val="single" w:color="auto" w:sz="2" w:space="0"/>
              <w:left w:val="single" w:color="auto" w:sz="2" w:space="0"/>
              <w:bottom w:val="single" w:color="auto" w:sz="2" w:space="0"/>
              <w:right w:val="single" w:color="auto" w:sz="2" w:space="0"/>
            </w:tcBorders>
            <w:vAlign w:val="center"/>
          </w:tcPr>
          <w:p w14:paraId="4C35113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C86A734">
            <w:pPr>
              <w:spacing w:line="240" w:lineRule="exact"/>
              <w:jc w:val="right"/>
              <w:rPr>
                <w:rFonts w:ascii="宋体" w:hAnsi="宋体" w:eastAsia="宋体" w:cs="宋体"/>
                <w:sz w:val="18"/>
                <w:szCs w:val="18"/>
              </w:rPr>
            </w:pPr>
            <w:r>
              <w:rPr>
                <w:rFonts w:ascii="宋体" w:hAnsi="宋体" w:eastAsia="宋体" w:cs="宋体"/>
                <w:sz w:val="18"/>
                <w:szCs w:val="18"/>
              </w:rPr>
              <w:t>-19,831,313.14</w:t>
            </w:r>
          </w:p>
        </w:tc>
      </w:tr>
      <w:tr w14:paraId="2F9FF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A69EE6A">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2996A2A9">
            <w:pPr>
              <w:spacing w:line="240" w:lineRule="exact"/>
              <w:jc w:val="right"/>
              <w:rPr>
                <w:rFonts w:ascii="宋体" w:hAnsi="宋体" w:eastAsia="宋体" w:cs="宋体"/>
                <w:sz w:val="18"/>
                <w:szCs w:val="18"/>
              </w:rPr>
            </w:pPr>
            <w:r>
              <w:rPr>
                <w:rFonts w:ascii="宋体" w:hAnsi="宋体" w:eastAsia="宋体" w:cs="宋体"/>
                <w:sz w:val="18"/>
                <w:szCs w:val="18"/>
              </w:rPr>
              <w:t>-5,141,871.08</w:t>
            </w:r>
          </w:p>
        </w:tc>
        <w:tc>
          <w:tcPr>
            <w:tcW w:w="3213" w:type="dxa"/>
            <w:tcBorders>
              <w:top w:val="single" w:color="auto" w:sz="2" w:space="0"/>
              <w:left w:val="single" w:color="auto" w:sz="2" w:space="0"/>
              <w:bottom w:val="single" w:color="auto" w:sz="2" w:space="0"/>
              <w:right w:val="single" w:color="auto" w:sz="2" w:space="0"/>
            </w:tcBorders>
            <w:vAlign w:val="center"/>
          </w:tcPr>
          <w:p w14:paraId="7CFC34E9">
            <w:pPr>
              <w:spacing w:line="240" w:lineRule="exact"/>
              <w:jc w:val="right"/>
              <w:rPr>
                <w:rFonts w:ascii="宋体" w:hAnsi="宋体" w:eastAsia="宋体" w:cs="宋体"/>
                <w:sz w:val="18"/>
                <w:szCs w:val="18"/>
              </w:rPr>
            </w:pPr>
            <w:r>
              <w:rPr>
                <w:rFonts w:ascii="宋体" w:hAnsi="宋体" w:eastAsia="宋体" w:cs="宋体"/>
                <w:sz w:val="18"/>
                <w:szCs w:val="18"/>
              </w:rPr>
              <w:t>-86,122,674.99</w:t>
            </w:r>
          </w:p>
        </w:tc>
      </w:tr>
    </w:tbl>
    <w:p w14:paraId="4663BB90">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3ED49B1D">
      <w:pPr>
        <w:pStyle w:val="3"/>
        <w:spacing w:line="280" w:lineRule="exact"/>
        <w:jc w:val="left"/>
        <w:rPr>
          <w:rFonts w:ascii="宋体" w:hAnsi="宋体" w:cs="宋体"/>
          <w:b/>
          <w:bCs/>
        </w:rPr>
      </w:pPr>
      <w:bookmarkStart w:id="465" w:name="_Toc989319"/>
      <w:r>
        <w:rPr>
          <w:rFonts w:ascii="宋体" w:hAnsi="宋体" w:cs="宋体"/>
          <w:b/>
          <w:bCs/>
        </w:rPr>
        <w:t>73、资产处置收益</w:t>
      </w:r>
      <w:bookmarkEnd w:id="465"/>
    </w:p>
    <w:p w14:paraId="28F827C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969C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788F3ED">
            <w:pPr>
              <w:spacing w:before="40" w:after="40" w:line="240" w:lineRule="exact"/>
              <w:jc w:val="center"/>
              <w:rPr>
                <w:rFonts w:ascii="宋体" w:hAnsi="宋体" w:eastAsia="宋体" w:cs="宋体"/>
                <w:sz w:val="18"/>
                <w:szCs w:val="18"/>
              </w:rPr>
            </w:pPr>
            <w:r>
              <w:rPr>
                <w:rFonts w:ascii="宋体" w:hAnsi="宋体" w:eastAsia="宋体" w:cs="宋体"/>
                <w:sz w:val="18"/>
                <w:szCs w:val="18"/>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C311691">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BD3D72">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3FBD0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ACA5B17">
            <w:pPr>
              <w:spacing w:line="240" w:lineRule="exact"/>
              <w:rPr>
                <w:rFonts w:ascii="宋体" w:hAnsi="宋体" w:eastAsia="宋体" w:cs="宋体"/>
                <w:sz w:val="18"/>
                <w:szCs w:val="18"/>
              </w:rPr>
            </w:pPr>
            <w:r>
              <w:rPr>
                <w:rFonts w:ascii="宋体" w:hAnsi="宋体" w:eastAsia="宋体" w:cs="宋体"/>
                <w:sz w:val="18"/>
                <w:szCs w:val="18"/>
              </w:rPr>
              <w:t>固定资产处置利得或损失</w:t>
            </w:r>
          </w:p>
        </w:tc>
        <w:tc>
          <w:tcPr>
            <w:tcW w:w="3213" w:type="dxa"/>
            <w:tcBorders>
              <w:top w:val="single" w:color="auto" w:sz="2" w:space="0"/>
              <w:left w:val="single" w:color="auto" w:sz="2" w:space="0"/>
              <w:bottom w:val="single" w:color="auto" w:sz="2" w:space="0"/>
              <w:right w:val="single" w:color="auto" w:sz="2" w:space="0"/>
            </w:tcBorders>
            <w:vAlign w:val="center"/>
          </w:tcPr>
          <w:p w14:paraId="03FF6253">
            <w:pPr>
              <w:spacing w:line="240" w:lineRule="exact"/>
              <w:jc w:val="right"/>
              <w:rPr>
                <w:rFonts w:ascii="宋体" w:hAnsi="宋体" w:eastAsia="宋体" w:cs="宋体"/>
                <w:sz w:val="18"/>
                <w:szCs w:val="18"/>
              </w:rPr>
            </w:pPr>
            <w:r>
              <w:rPr>
                <w:rFonts w:ascii="宋体" w:hAnsi="宋体" w:eastAsia="宋体" w:cs="宋体"/>
                <w:sz w:val="18"/>
                <w:szCs w:val="18"/>
              </w:rPr>
              <w:t>11,378,203.31</w:t>
            </w:r>
          </w:p>
        </w:tc>
        <w:tc>
          <w:tcPr>
            <w:tcW w:w="3213" w:type="dxa"/>
            <w:tcBorders>
              <w:top w:val="single" w:color="auto" w:sz="2" w:space="0"/>
              <w:left w:val="single" w:color="auto" w:sz="2" w:space="0"/>
              <w:bottom w:val="single" w:color="auto" w:sz="2" w:space="0"/>
              <w:right w:val="single" w:color="auto" w:sz="2" w:space="0"/>
            </w:tcBorders>
            <w:vAlign w:val="center"/>
          </w:tcPr>
          <w:p w14:paraId="17B14F9C">
            <w:pPr>
              <w:spacing w:line="240" w:lineRule="exact"/>
              <w:jc w:val="right"/>
              <w:rPr>
                <w:rFonts w:ascii="宋体" w:hAnsi="宋体" w:eastAsia="宋体" w:cs="宋体"/>
                <w:sz w:val="18"/>
                <w:szCs w:val="18"/>
              </w:rPr>
            </w:pPr>
            <w:r>
              <w:rPr>
                <w:rFonts w:ascii="宋体" w:hAnsi="宋体" w:eastAsia="宋体" w:cs="宋体"/>
                <w:sz w:val="18"/>
                <w:szCs w:val="18"/>
              </w:rPr>
              <w:t>-2,230,527.02</w:t>
            </w:r>
          </w:p>
        </w:tc>
      </w:tr>
      <w:tr w14:paraId="08597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060E6A2">
            <w:pPr>
              <w:spacing w:line="240" w:lineRule="exact"/>
              <w:rPr>
                <w:rFonts w:ascii="宋体" w:hAnsi="宋体" w:eastAsia="宋体" w:cs="宋体"/>
                <w:sz w:val="18"/>
                <w:szCs w:val="18"/>
              </w:rPr>
            </w:pPr>
            <w:r>
              <w:rPr>
                <w:rFonts w:ascii="宋体" w:hAnsi="宋体" w:eastAsia="宋体" w:cs="宋体"/>
                <w:sz w:val="18"/>
                <w:szCs w:val="18"/>
              </w:rPr>
              <w:t>在建工程处置利得或损失</w:t>
            </w:r>
          </w:p>
        </w:tc>
        <w:tc>
          <w:tcPr>
            <w:tcW w:w="3213" w:type="dxa"/>
            <w:tcBorders>
              <w:top w:val="single" w:color="auto" w:sz="2" w:space="0"/>
              <w:left w:val="single" w:color="auto" w:sz="2" w:space="0"/>
              <w:bottom w:val="single" w:color="auto" w:sz="2" w:space="0"/>
              <w:right w:val="single" w:color="auto" w:sz="2" w:space="0"/>
            </w:tcBorders>
            <w:vAlign w:val="center"/>
          </w:tcPr>
          <w:p w14:paraId="26968E8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5CF2179">
            <w:pPr>
              <w:spacing w:line="240" w:lineRule="exact"/>
              <w:jc w:val="right"/>
              <w:rPr>
                <w:rFonts w:ascii="宋体" w:hAnsi="宋体" w:eastAsia="宋体" w:cs="宋体"/>
                <w:sz w:val="18"/>
                <w:szCs w:val="18"/>
              </w:rPr>
            </w:pPr>
            <w:r>
              <w:rPr>
                <w:rFonts w:ascii="宋体" w:hAnsi="宋体" w:eastAsia="宋体" w:cs="宋体"/>
                <w:sz w:val="18"/>
                <w:szCs w:val="18"/>
              </w:rPr>
              <w:t>34,493,989.18</w:t>
            </w:r>
          </w:p>
        </w:tc>
      </w:tr>
      <w:tr w14:paraId="2D924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37B512D">
            <w:pPr>
              <w:spacing w:line="240" w:lineRule="exact"/>
              <w:rPr>
                <w:rFonts w:ascii="宋体" w:hAnsi="宋体" w:eastAsia="宋体" w:cs="宋体"/>
                <w:sz w:val="18"/>
                <w:szCs w:val="18"/>
              </w:rPr>
            </w:pPr>
            <w:r>
              <w:rPr>
                <w:rFonts w:ascii="宋体" w:hAnsi="宋体" w:eastAsia="宋体" w:cs="宋体"/>
                <w:sz w:val="18"/>
                <w:szCs w:val="18"/>
              </w:rPr>
              <w:t>无形资产处置利得或损失</w:t>
            </w:r>
          </w:p>
        </w:tc>
        <w:tc>
          <w:tcPr>
            <w:tcW w:w="3213" w:type="dxa"/>
            <w:tcBorders>
              <w:top w:val="single" w:color="auto" w:sz="2" w:space="0"/>
              <w:left w:val="single" w:color="auto" w:sz="2" w:space="0"/>
              <w:bottom w:val="single" w:color="auto" w:sz="2" w:space="0"/>
              <w:right w:val="single" w:color="auto" w:sz="2" w:space="0"/>
            </w:tcBorders>
            <w:vAlign w:val="center"/>
          </w:tcPr>
          <w:p w14:paraId="08B92914">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9E09E0F">
            <w:pPr>
              <w:spacing w:line="240" w:lineRule="exact"/>
              <w:jc w:val="right"/>
              <w:rPr>
                <w:rFonts w:ascii="宋体" w:hAnsi="宋体" w:eastAsia="宋体" w:cs="宋体"/>
                <w:sz w:val="18"/>
                <w:szCs w:val="18"/>
              </w:rPr>
            </w:pPr>
          </w:p>
        </w:tc>
      </w:tr>
      <w:tr w14:paraId="2108C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794EF09">
            <w:pPr>
              <w:spacing w:line="240" w:lineRule="exact"/>
              <w:rPr>
                <w:rFonts w:ascii="宋体" w:hAnsi="宋体" w:eastAsia="宋体" w:cs="宋体"/>
                <w:sz w:val="18"/>
                <w:szCs w:val="18"/>
              </w:rPr>
            </w:pPr>
            <w:r>
              <w:rPr>
                <w:rFonts w:ascii="宋体" w:hAnsi="宋体" w:eastAsia="宋体" w:cs="宋体"/>
                <w:sz w:val="18"/>
                <w:szCs w:val="18"/>
              </w:rPr>
              <w:t>使用权资产处置利得或损失</w:t>
            </w:r>
          </w:p>
        </w:tc>
        <w:tc>
          <w:tcPr>
            <w:tcW w:w="3213" w:type="dxa"/>
            <w:tcBorders>
              <w:top w:val="single" w:color="auto" w:sz="2" w:space="0"/>
              <w:left w:val="single" w:color="auto" w:sz="2" w:space="0"/>
              <w:bottom w:val="single" w:color="auto" w:sz="2" w:space="0"/>
              <w:right w:val="single" w:color="auto" w:sz="2" w:space="0"/>
            </w:tcBorders>
            <w:vAlign w:val="center"/>
          </w:tcPr>
          <w:p w14:paraId="5142DB1B">
            <w:pPr>
              <w:spacing w:line="240" w:lineRule="exact"/>
              <w:jc w:val="right"/>
              <w:rPr>
                <w:rFonts w:ascii="宋体" w:hAnsi="宋体" w:eastAsia="宋体" w:cs="宋体"/>
                <w:sz w:val="18"/>
                <w:szCs w:val="18"/>
              </w:rPr>
            </w:pPr>
            <w:r>
              <w:rPr>
                <w:rFonts w:ascii="宋体" w:hAnsi="宋体" w:eastAsia="宋体" w:cs="宋体"/>
                <w:sz w:val="18"/>
                <w:szCs w:val="18"/>
              </w:rPr>
              <w:t>47,035.85</w:t>
            </w:r>
          </w:p>
        </w:tc>
        <w:tc>
          <w:tcPr>
            <w:tcW w:w="3213" w:type="dxa"/>
            <w:tcBorders>
              <w:top w:val="single" w:color="auto" w:sz="2" w:space="0"/>
              <w:left w:val="single" w:color="auto" w:sz="2" w:space="0"/>
              <w:bottom w:val="single" w:color="auto" w:sz="2" w:space="0"/>
              <w:right w:val="single" w:color="auto" w:sz="2" w:space="0"/>
            </w:tcBorders>
            <w:vAlign w:val="center"/>
          </w:tcPr>
          <w:p w14:paraId="131685E7">
            <w:pPr>
              <w:spacing w:line="240" w:lineRule="exact"/>
              <w:jc w:val="right"/>
              <w:rPr>
                <w:rFonts w:ascii="宋体" w:hAnsi="宋体" w:eastAsia="宋体" w:cs="宋体"/>
                <w:sz w:val="18"/>
                <w:szCs w:val="18"/>
              </w:rPr>
            </w:pPr>
            <w:r>
              <w:rPr>
                <w:rFonts w:ascii="宋体" w:hAnsi="宋体" w:eastAsia="宋体" w:cs="宋体"/>
                <w:sz w:val="18"/>
                <w:szCs w:val="18"/>
              </w:rPr>
              <w:t>1,205,846.63</w:t>
            </w:r>
          </w:p>
        </w:tc>
      </w:tr>
      <w:tr w14:paraId="2976F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46344CF">
            <w:pPr>
              <w:spacing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516D988">
            <w:pPr>
              <w:spacing w:line="240" w:lineRule="exact"/>
              <w:jc w:val="right"/>
              <w:rPr>
                <w:rFonts w:ascii="宋体" w:hAnsi="宋体" w:eastAsia="宋体" w:cs="宋体"/>
                <w:sz w:val="18"/>
                <w:szCs w:val="18"/>
              </w:rPr>
            </w:pPr>
            <w:r>
              <w:rPr>
                <w:rFonts w:ascii="宋体" w:hAnsi="宋体" w:eastAsia="宋体" w:cs="宋体"/>
                <w:sz w:val="18"/>
                <w:szCs w:val="18"/>
              </w:rPr>
              <w:t>11,425,239.16</w:t>
            </w:r>
          </w:p>
        </w:tc>
        <w:tc>
          <w:tcPr>
            <w:tcW w:w="3213" w:type="dxa"/>
            <w:tcBorders>
              <w:top w:val="single" w:color="auto" w:sz="2" w:space="0"/>
              <w:left w:val="single" w:color="auto" w:sz="2" w:space="0"/>
              <w:bottom w:val="single" w:color="auto" w:sz="2" w:space="0"/>
              <w:right w:val="single" w:color="auto" w:sz="2" w:space="0"/>
            </w:tcBorders>
            <w:vAlign w:val="center"/>
          </w:tcPr>
          <w:p w14:paraId="5AE95129">
            <w:pPr>
              <w:spacing w:line="240" w:lineRule="exact"/>
              <w:jc w:val="right"/>
              <w:rPr>
                <w:rFonts w:ascii="宋体" w:hAnsi="宋体" w:eastAsia="宋体" w:cs="宋体"/>
                <w:sz w:val="18"/>
                <w:szCs w:val="18"/>
              </w:rPr>
            </w:pPr>
            <w:r>
              <w:rPr>
                <w:rFonts w:ascii="宋体" w:hAnsi="宋体" w:eastAsia="宋体" w:cs="宋体"/>
                <w:sz w:val="18"/>
                <w:szCs w:val="18"/>
              </w:rPr>
              <w:t>33,469,308.79</w:t>
            </w:r>
          </w:p>
        </w:tc>
      </w:tr>
    </w:tbl>
    <w:p w14:paraId="340E5F87">
      <w:pPr>
        <w:pStyle w:val="3"/>
        <w:spacing w:line="280" w:lineRule="exact"/>
        <w:jc w:val="left"/>
        <w:rPr>
          <w:rFonts w:ascii="宋体" w:hAnsi="宋体" w:cs="宋体"/>
          <w:b/>
          <w:bCs/>
        </w:rPr>
      </w:pPr>
      <w:bookmarkStart w:id="466" w:name="_Toc989320"/>
      <w:r>
        <w:rPr>
          <w:rFonts w:ascii="宋体" w:hAnsi="宋体" w:cs="宋体"/>
          <w:b/>
          <w:bCs/>
        </w:rPr>
        <w:t>74、营业外收入</w:t>
      </w:r>
      <w:bookmarkEnd w:id="466"/>
    </w:p>
    <w:p w14:paraId="3F1FB62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3404E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A2BE23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5AC8B04">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112B04D">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72E86E8">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14:paraId="58BC2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61153A2">
            <w:pPr>
              <w:spacing w:line="240" w:lineRule="exact"/>
              <w:rPr>
                <w:rFonts w:ascii="宋体" w:hAnsi="宋体" w:eastAsia="宋体" w:cs="宋体"/>
                <w:sz w:val="18"/>
                <w:szCs w:val="18"/>
              </w:rPr>
            </w:pPr>
            <w:r>
              <w:rPr>
                <w:rFonts w:ascii="宋体" w:hAnsi="宋体" w:eastAsia="宋体" w:cs="宋体"/>
                <w:sz w:val="18"/>
                <w:szCs w:val="18"/>
              </w:rPr>
              <w:t>无法支付的债务</w:t>
            </w:r>
          </w:p>
        </w:tc>
        <w:tc>
          <w:tcPr>
            <w:tcW w:w="2410" w:type="dxa"/>
            <w:tcBorders>
              <w:top w:val="single" w:color="auto" w:sz="2" w:space="0"/>
              <w:left w:val="single" w:color="auto" w:sz="2" w:space="0"/>
              <w:bottom w:val="single" w:color="auto" w:sz="2" w:space="0"/>
              <w:right w:val="single" w:color="auto" w:sz="2" w:space="0"/>
            </w:tcBorders>
            <w:vAlign w:val="center"/>
          </w:tcPr>
          <w:p w14:paraId="62099EE5">
            <w:pPr>
              <w:spacing w:line="240" w:lineRule="exact"/>
              <w:jc w:val="right"/>
              <w:rPr>
                <w:rFonts w:ascii="宋体" w:hAnsi="宋体" w:eastAsia="宋体" w:cs="宋体"/>
                <w:sz w:val="18"/>
                <w:szCs w:val="18"/>
              </w:rPr>
            </w:pPr>
            <w:r>
              <w:rPr>
                <w:rFonts w:ascii="宋体" w:hAnsi="宋体" w:eastAsia="宋体" w:cs="宋体"/>
                <w:sz w:val="18"/>
                <w:szCs w:val="18"/>
              </w:rPr>
              <w:t>6,546,288.86</w:t>
            </w:r>
          </w:p>
        </w:tc>
        <w:tc>
          <w:tcPr>
            <w:tcW w:w="2410" w:type="dxa"/>
            <w:tcBorders>
              <w:top w:val="single" w:color="auto" w:sz="2" w:space="0"/>
              <w:left w:val="single" w:color="auto" w:sz="2" w:space="0"/>
              <w:bottom w:val="single" w:color="auto" w:sz="2" w:space="0"/>
              <w:right w:val="single" w:color="auto" w:sz="2" w:space="0"/>
            </w:tcBorders>
            <w:vAlign w:val="center"/>
          </w:tcPr>
          <w:p w14:paraId="6BE1DABC">
            <w:pPr>
              <w:spacing w:line="240" w:lineRule="exact"/>
              <w:jc w:val="right"/>
              <w:rPr>
                <w:rFonts w:ascii="宋体" w:hAnsi="宋体" w:eastAsia="宋体" w:cs="宋体"/>
                <w:sz w:val="18"/>
                <w:szCs w:val="18"/>
              </w:rPr>
            </w:pPr>
            <w:r>
              <w:rPr>
                <w:rFonts w:ascii="宋体" w:hAnsi="宋体" w:eastAsia="宋体" w:cs="宋体"/>
                <w:sz w:val="18"/>
                <w:szCs w:val="18"/>
              </w:rPr>
              <w:t>4,151,909.85</w:t>
            </w:r>
          </w:p>
        </w:tc>
        <w:tc>
          <w:tcPr>
            <w:tcW w:w="2410" w:type="dxa"/>
            <w:tcBorders>
              <w:top w:val="single" w:color="auto" w:sz="2" w:space="0"/>
              <w:left w:val="single" w:color="auto" w:sz="2" w:space="0"/>
              <w:bottom w:val="single" w:color="auto" w:sz="2" w:space="0"/>
              <w:right w:val="single" w:color="auto" w:sz="2" w:space="0"/>
            </w:tcBorders>
            <w:vAlign w:val="center"/>
          </w:tcPr>
          <w:p w14:paraId="3DD3F753">
            <w:pPr>
              <w:spacing w:line="240" w:lineRule="exact"/>
              <w:jc w:val="right"/>
              <w:rPr>
                <w:rFonts w:ascii="宋体" w:hAnsi="宋体" w:eastAsia="宋体" w:cs="宋体"/>
                <w:sz w:val="18"/>
                <w:szCs w:val="18"/>
              </w:rPr>
            </w:pPr>
            <w:r>
              <w:rPr>
                <w:rFonts w:ascii="宋体" w:hAnsi="宋体" w:eastAsia="宋体" w:cs="宋体"/>
                <w:sz w:val="18"/>
                <w:szCs w:val="18"/>
              </w:rPr>
              <w:t>6,546,288.86</w:t>
            </w:r>
          </w:p>
        </w:tc>
      </w:tr>
      <w:tr w14:paraId="72C60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88705DA">
            <w:pPr>
              <w:spacing w:line="240" w:lineRule="exact"/>
              <w:rPr>
                <w:rFonts w:ascii="宋体" w:hAnsi="宋体" w:eastAsia="宋体" w:cs="宋体"/>
                <w:sz w:val="18"/>
                <w:szCs w:val="18"/>
              </w:rPr>
            </w:pPr>
            <w:r>
              <w:rPr>
                <w:rFonts w:ascii="宋体" w:hAnsi="宋体" w:eastAsia="宋体" w:cs="宋体"/>
                <w:sz w:val="18"/>
                <w:szCs w:val="18"/>
              </w:rPr>
              <w:t>赔偿金</w:t>
            </w:r>
          </w:p>
        </w:tc>
        <w:tc>
          <w:tcPr>
            <w:tcW w:w="2410" w:type="dxa"/>
            <w:tcBorders>
              <w:top w:val="single" w:color="auto" w:sz="2" w:space="0"/>
              <w:left w:val="single" w:color="auto" w:sz="2" w:space="0"/>
              <w:bottom w:val="single" w:color="auto" w:sz="2" w:space="0"/>
              <w:right w:val="single" w:color="auto" w:sz="2" w:space="0"/>
            </w:tcBorders>
            <w:vAlign w:val="center"/>
          </w:tcPr>
          <w:p w14:paraId="47C666F5">
            <w:pPr>
              <w:spacing w:line="240" w:lineRule="exact"/>
              <w:jc w:val="right"/>
              <w:rPr>
                <w:rFonts w:ascii="宋体" w:hAnsi="宋体" w:eastAsia="宋体" w:cs="宋体"/>
                <w:sz w:val="18"/>
                <w:szCs w:val="18"/>
              </w:rPr>
            </w:pPr>
            <w:r>
              <w:rPr>
                <w:rFonts w:ascii="宋体" w:hAnsi="宋体" w:eastAsia="宋体" w:cs="宋体"/>
                <w:sz w:val="18"/>
                <w:szCs w:val="18"/>
              </w:rPr>
              <w:t>1,187,358.60</w:t>
            </w:r>
          </w:p>
        </w:tc>
        <w:tc>
          <w:tcPr>
            <w:tcW w:w="2410" w:type="dxa"/>
            <w:tcBorders>
              <w:top w:val="single" w:color="auto" w:sz="2" w:space="0"/>
              <w:left w:val="single" w:color="auto" w:sz="2" w:space="0"/>
              <w:bottom w:val="single" w:color="auto" w:sz="2" w:space="0"/>
              <w:right w:val="single" w:color="auto" w:sz="2" w:space="0"/>
            </w:tcBorders>
            <w:vAlign w:val="center"/>
          </w:tcPr>
          <w:p w14:paraId="1FE22363">
            <w:pPr>
              <w:spacing w:line="240" w:lineRule="exact"/>
              <w:jc w:val="right"/>
              <w:rPr>
                <w:rFonts w:ascii="宋体" w:hAnsi="宋体" w:eastAsia="宋体" w:cs="宋体"/>
                <w:sz w:val="18"/>
                <w:szCs w:val="18"/>
              </w:rPr>
            </w:pPr>
            <w:r>
              <w:rPr>
                <w:rFonts w:ascii="宋体" w:hAnsi="宋体" w:eastAsia="宋体" w:cs="宋体"/>
                <w:sz w:val="18"/>
                <w:szCs w:val="18"/>
              </w:rPr>
              <w:t>4,925,747.73</w:t>
            </w:r>
          </w:p>
        </w:tc>
        <w:tc>
          <w:tcPr>
            <w:tcW w:w="2410" w:type="dxa"/>
            <w:tcBorders>
              <w:top w:val="single" w:color="auto" w:sz="2" w:space="0"/>
              <w:left w:val="single" w:color="auto" w:sz="2" w:space="0"/>
              <w:bottom w:val="single" w:color="auto" w:sz="2" w:space="0"/>
              <w:right w:val="single" w:color="auto" w:sz="2" w:space="0"/>
            </w:tcBorders>
            <w:vAlign w:val="center"/>
          </w:tcPr>
          <w:p w14:paraId="16BCC68A">
            <w:pPr>
              <w:spacing w:line="240" w:lineRule="exact"/>
              <w:jc w:val="right"/>
              <w:rPr>
                <w:rFonts w:ascii="宋体" w:hAnsi="宋体" w:eastAsia="宋体" w:cs="宋体"/>
                <w:sz w:val="18"/>
                <w:szCs w:val="18"/>
              </w:rPr>
            </w:pPr>
            <w:r>
              <w:rPr>
                <w:rFonts w:ascii="宋体" w:hAnsi="宋体" w:eastAsia="宋体" w:cs="宋体"/>
                <w:sz w:val="18"/>
                <w:szCs w:val="18"/>
              </w:rPr>
              <w:t>1,187,358.60</w:t>
            </w:r>
          </w:p>
        </w:tc>
      </w:tr>
      <w:tr w14:paraId="70ADD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5050FF8">
            <w:pPr>
              <w:spacing w:line="240" w:lineRule="exac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14:paraId="572F2926">
            <w:pPr>
              <w:spacing w:line="240" w:lineRule="exact"/>
              <w:jc w:val="right"/>
              <w:rPr>
                <w:rFonts w:ascii="宋体" w:hAnsi="宋体" w:eastAsia="宋体" w:cs="宋体"/>
                <w:sz w:val="18"/>
                <w:szCs w:val="18"/>
              </w:rPr>
            </w:pPr>
            <w:r>
              <w:rPr>
                <w:rFonts w:ascii="宋体" w:hAnsi="宋体" w:eastAsia="宋体" w:cs="宋体"/>
                <w:sz w:val="18"/>
                <w:szCs w:val="18"/>
              </w:rPr>
              <w:t>571,906.16</w:t>
            </w:r>
          </w:p>
        </w:tc>
        <w:tc>
          <w:tcPr>
            <w:tcW w:w="2410" w:type="dxa"/>
            <w:tcBorders>
              <w:top w:val="single" w:color="auto" w:sz="2" w:space="0"/>
              <w:left w:val="single" w:color="auto" w:sz="2" w:space="0"/>
              <w:bottom w:val="single" w:color="auto" w:sz="2" w:space="0"/>
              <w:right w:val="single" w:color="auto" w:sz="2" w:space="0"/>
            </w:tcBorders>
            <w:vAlign w:val="center"/>
          </w:tcPr>
          <w:p w14:paraId="1F205BEA">
            <w:pPr>
              <w:spacing w:line="240" w:lineRule="exact"/>
              <w:jc w:val="right"/>
              <w:rPr>
                <w:rFonts w:ascii="宋体" w:hAnsi="宋体" w:eastAsia="宋体" w:cs="宋体"/>
                <w:sz w:val="18"/>
                <w:szCs w:val="18"/>
              </w:rPr>
            </w:pPr>
            <w:r>
              <w:rPr>
                <w:rFonts w:ascii="宋体" w:hAnsi="宋体" w:eastAsia="宋体" w:cs="宋体"/>
                <w:sz w:val="18"/>
                <w:szCs w:val="18"/>
              </w:rPr>
              <w:t>2,728,323.67</w:t>
            </w:r>
          </w:p>
        </w:tc>
        <w:tc>
          <w:tcPr>
            <w:tcW w:w="2410" w:type="dxa"/>
            <w:tcBorders>
              <w:top w:val="single" w:color="auto" w:sz="2" w:space="0"/>
              <w:left w:val="single" w:color="auto" w:sz="2" w:space="0"/>
              <w:bottom w:val="single" w:color="auto" w:sz="2" w:space="0"/>
              <w:right w:val="single" w:color="auto" w:sz="2" w:space="0"/>
            </w:tcBorders>
            <w:vAlign w:val="center"/>
          </w:tcPr>
          <w:p w14:paraId="748F1013">
            <w:pPr>
              <w:spacing w:line="240" w:lineRule="exact"/>
              <w:jc w:val="right"/>
              <w:rPr>
                <w:rFonts w:ascii="宋体" w:hAnsi="宋体" w:eastAsia="宋体" w:cs="宋体"/>
                <w:sz w:val="18"/>
                <w:szCs w:val="18"/>
              </w:rPr>
            </w:pPr>
            <w:r>
              <w:rPr>
                <w:rFonts w:ascii="宋体" w:hAnsi="宋体" w:eastAsia="宋体" w:cs="宋体"/>
                <w:sz w:val="18"/>
                <w:szCs w:val="18"/>
              </w:rPr>
              <w:t>571,906.16</w:t>
            </w:r>
          </w:p>
        </w:tc>
      </w:tr>
      <w:tr w14:paraId="7767D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D1A0AED">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7BD2E8D5">
            <w:pPr>
              <w:spacing w:line="240" w:lineRule="exact"/>
              <w:jc w:val="right"/>
              <w:rPr>
                <w:rFonts w:ascii="宋体" w:hAnsi="宋体" w:eastAsia="宋体" w:cs="宋体"/>
                <w:sz w:val="18"/>
                <w:szCs w:val="18"/>
              </w:rPr>
            </w:pPr>
            <w:r>
              <w:rPr>
                <w:rFonts w:ascii="宋体" w:hAnsi="宋体" w:eastAsia="宋体" w:cs="宋体"/>
                <w:sz w:val="18"/>
                <w:szCs w:val="18"/>
              </w:rPr>
              <w:t>8,305,553.62</w:t>
            </w:r>
          </w:p>
        </w:tc>
        <w:tc>
          <w:tcPr>
            <w:tcW w:w="2410" w:type="dxa"/>
            <w:tcBorders>
              <w:top w:val="single" w:color="auto" w:sz="2" w:space="0"/>
              <w:left w:val="single" w:color="auto" w:sz="2" w:space="0"/>
              <w:bottom w:val="single" w:color="auto" w:sz="2" w:space="0"/>
              <w:right w:val="single" w:color="auto" w:sz="2" w:space="0"/>
            </w:tcBorders>
            <w:vAlign w:val="center"/>
          </w:tcPr>
          <w:p w14:paraId="3380C496">
            <w:pPr>
              <w:spacing w:line="240" w:lineRule="exact"/>
              <w:jc w:val="right"/>
              <w:rPr>
                <w:rFonts w:ascii="宋体" w:hAnsi="宋体" w:eastAsia="宋体" w:cs="宋体"/>
                <w:sz w:val="18"/>
                <w:szCs w:val="18"/>
              </w:rPr>
            </w:pPr>
            <w:r>
              <w:rPr>
                <w:rFonts w:ascii="宋体" w:hAnsi="宋体" w:eastAsia="宋体" w:cs="宋体"/>
                <w:sz w:val="18"/>
                <w:szCs w:val="18"/>
              </w:rPr>
              <w:t>11,805,981.25</w:t>
            </w:r>
          </w:p>
        </w:tc>
        <w:tc>
          <w:tcPr>
            <w:tcW w:w="2410" w:type="dxa"/>
            <w:tcBorders>
              <w:top w:val="single" w:color="auto" w:sz="2" w:space="0"/>
              <w:left w:val="single" w:color="auto" w:sz="2" w:space="0"/>
              <w:bottom w:val="single" w:color="auto" w:sz="2" w:space="0"/>
              <w:right w:val="single" w:color="auto" w:sz="2" w:space="0"/>
            </w:tcBorders>
            <w:vAlign w:val="center"/>
          </w:tcPr>
          <w:p w14:paraId="686520D4">
            <w:pPr>
              <w:spacing w:line="240" w:lineRule="exact"/>
              <w:jc w:val="right"/>
              <w:rPr>
                <w:rFonts w:ascii="宋体" w:hAnsi="宋体" w:eastAsia="宋体" w:cs="宋体"/>
                <w:sz w:val="18"/>
                <w:szCs w:val="18"/>
              </w:rPr>
            </w:pPr>
            <w:r>
              <w:rPr>
                <w:rFonts w:ascii="宋体" w:hAnsi="宋体" w:eastAsia="宋体" w:cs="宋体"/>
                <w:sz w:val="18"/>
                <w:szCs w:val="18"/>
              </w:rPr>
              <w:t>8,305,553.62</w:t>
            </w:r>
          </w:p>
        </w:tc>
      </w:tr>
    </w:tbl>
    <w:p w14:paraId="6B31EC27">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39DF437B">
      <w:pPr>
        <w:pStyle w:val="3"/>
        <w:spacing w:line="280" w:lineRule="exact"/>
        <w:jc w:val="left"/>
        <w:rPr>
          <w:rFonts w:ascii="宋体" w:hAnsi="宋体" w:cs="宋体"/>
          <w:b/>
          <w:bCs/>
        </w:rPr>
      </w:pPr>
      <w:bookmarkStart w:id="467" w:name="_Toc989321"/>
      <w:r>
        <w:rPr>
          <w:rFonts w:ascii="宋体" w:hAnsi="宋体" w:cs="宋体"/>
          <w:b/>
          <w:bCs/>
        </w:rPr>
        <w:t>75、营业外支出</w:t>
      </w:r>
      <w:bookmarkEnd w:id="467"/>
    </w:p>
    <w:p w14:paraId="6A1F227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6CCA3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2540215">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37CD8AC">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980E785">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A4411B0">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14:paraId="3DAB7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0A53F72">
            <w:pPr>
              <w:spacing w:before="40" w:after="40" w:line="240" w:lineRule="exact"/>
              <w:rPr>
                <w:rFonts w:ascii="宋体" w:hAnsi="宋体" w:eastAsia="宋体" w:cs="宋体"/>
                <w:sz w:val="18"/>
                <w:szCs w:val="18"/>
              </w:rPr>
            </w:pPr>
            <w:r>
              <w:rPr>
                <w:rFonts w:ascii="宋体" w:hAnsi="宋体" w:eastAsia="宋体" w:cs="宋体"/>
                <w:sz w:val="18"/>
                <w:szCs w:val="18"/>
              </w:rPr>
              <w:t>对外捐赠</w:t>
            </w:r>
          </w:p>
        </w:tc>
        <w:tc>
          <w:tcPr>
            <w:tcW w:w="2410" w:type="dxa"/>
            <w:tcBorders>
              <w:top w:val="single" w:color="auto" w:sz="2" w:space="0"/>
              <w:left w:val="single" w:color="auto" w:sz="2" w:space="0"/>
              <w:bottom w:val="single" w:color="auto" w:sz="2" w:space="0"/>
              <w:right w:val="single" w:color="auto" w:sz="2" w:space="0"/>
            </w:tcBorders>
            <w:vAlign w:val="center"/>
          </w:tcPr>
          <w:p w14:paraId="6732EF43">
            <w:pPr>
              <w:spacing w:line="240" w:lineRule="exact"/>
              <w:jc w:val="right"/>
              <w:rPr>
                <w:rFonts w:ascii="宋体" w:hAnsi="宋体" w:eastAsia="宋体" w:cs="宋体"/>
                <w:sz w:val="18"/>
                <w:szCs w:val="18"/>
              </w:rPr>
            </w:pPr>
            <w:r>
              <w:rPr>
                <w:rFonts w:ascii="宋体" w:hAnsi="宋体" w:eastAsia="宋体" w:cs="宋体"/>
                <w:sz w:val="18"/>
                <w:szCs w:val="18"/>
              </w:rPr>
              <w:t>787,508.08</w:t>
            </w:r>
          </w:p>
        </w:tc>
        <w:tc>
          <w:tcPr>
            <w:tcW w:w="2410" w:type="dxa"/>
            <w:tcBorders>
              <w:top w:val="single" w:color="auto" w:sz="2" w:space="0"/>
              <w:left w:val="single" w:color="auto" w:sz="2" w:space="0"/>
              <w:bottom w:val="single" w:color="auto" w:sz="2" w:space="0"/>
              <w:right w:val="single" w:color="auto" w:sz="2" w:space="0"/>
            </w:tcBorders>
            <w:vAlign w:val="center"/>
          </w:tcPr>
          <w:p w14:paraId="51BF0AEA">
            <w:pPr>
              <w:spacing w:line="240" w:lineRule="exact"/>
              <w:jc w:val="right"/>
              <w:rPr>
                <w:rFonts w:ascii="宋体" w:hAnsi="宋体" w:eastAsia="宋体" w:cs="宋体"/>
                <w:sz w:val="18"/>
                <w:szCs w:val="18"/>
              </w:rPr>
            </w:pPr>
            <w:r>
              <w:rPr>
                <w:rFonts w:ascii="宋体" w:hAnsi="宋体" w:eastAsia="宋体" w:cs="宋体"/>
                <w:sz w:val="18"/>
                <w:szCs w:val="18"/>
              </w:rPr>
              <w:t>925,046.82</w:t>
            </w:r>
          </w:p>
        </w:tc>
        <w:tc>
          <w:tcPr>
            <w:tcW w:w="2410" w:type="dxa"/>
            <w:tcBorders>
              <w:top w:val="single" w:color="auto" w:sz="2" w:space="0"/>
              <w:left w:val="single" w:color="auto" w:sz="2" w:space="0"/>
              <w:bottom w:val="single" w:color="auto" w:sz="2" w:space="0"/>
              <w:right w:val="single" w:color="auto" w:sz="2" w:space="0"/>
            </w:tcBorders>
            <w:vAlign w:val="center"/>
          </w:tcPr>
          <w:p w14:paraId="540E664A">
            <w:pPr>
              <w:spacing w:line="240" w:lineRule="exact"/>
              <w:jc w:val="right"/>
              <w:rPr>
                <w:rFonts w:ascii="宋体" w:hAnsi="宋体" w:eastAsia="宋体" w:cs="宋体"/>
                <w:sz w:val="18"/>
                <w:szCs w:val="18"/>
              </w:rPr>
            </w:pPr>
            <w:r>
              <w:rPr>
                <w:rFonts w:ascii="宋体" w:hAnsi="宋体" w:eastAsia="宋体" w:cs="宋体"/>
                <w:sz w:val="18"/>
                <w:szCs w:val="18"/>
              </w:rPr>
              <w:t>787,508.08</w:t>
            </w:r>
          </w:p>
        </w:tc>
      </w:tr>
      <w:tr w14:paraId="6D67A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823B8CD">
            <w:pPr>
              <w:spacing w:line="240" w:lineRule="exact"/>
              <w:rPr>
                <w:rFonts w:ascii="宋体" w:hAnsi="宋体" w:eastAsia="宋体" w:cs="宋体"/>
                <w:sz w:val="18"/>
                <w:szCs w:val="18"/>
              </w:rPr>
            </w:pPr>
            <w:r>
              <w:rPr>
                <w:rFonts w:ascii="宋体" w:hAnsi="宋体" w:eastAsia="宋体" w:cs="宋体"/>
                <w:sz w:val="18"/>
                <w:szCs w:val="18"/>
              </w:rPr>
              <w:t>固定资产报废损失</w:t>
            </w:r>
          </w:p>
        </w:tc>
        <w:tc>
          <w:tcPr>
            <w:tcW w:w="2410" w:type="dxa"/>
            <w:tcBorders>
              <w:top w:val="single" w:color="auto" w:sz="2" w:space="0"/>
              <w:left w:val="single" w:color="auto" w:sz="2" w:space="0"/>
              <w:bottom w:val="single" w:color="auto" w:sz="2" w:space="0"/>
              <w:right w:val="single" w:color="auto" w:sz="2" w:space="0"/>
            </w:tcBorders>
            <w:vAlign w:val="center"/>
          </w:tcPr>
          <w:p w14:paraId="74A02A71">
            <w:pPr>
              <w:spacing w:line="240" w:lineRule="exact"/>
              <w:jc w:val="right"/>
              <w:rPr>
                <w:rFonts w:ascii="宋体" w:hAnsi="宋体" w:eastAsia="宋体" w:cs="宋体"/>
                <w:sz w:val="18"/>
                <w:szCs w:val="18"/>
              </w:rPr>
            </w:pPr>
            <w:r>
              <w:rPr>
                <w:rFonts w:ascii="宋体" w:hAnsi="宋体" w:eastAsia="宋体" w:cs="宋体"/>
                <w:sz w:val="18"/>
                <w:szCs w:val="18"/>
              </w:rPr>
              <w:t>342,169.10</w:t>
            </w:r>
          </w:p>
        </w:tc>
        <w:tc>
          <w:tcPr>
            <w:tcW w:w="2410" w:type="dxa"/>
            <w:tcBorders>
              <w:top w:val="single" w:color="auto" w:sz="2" w:space="0"/>
              <w:left w:val="single" w:color="auto" w:sz="2" w:space="0"/>
              <w:bottom w:val="single" w:color="auto" w:sz="2" w:space="0"/>
              <w:right w:val="single" w:color="auto" w:sz="2" w:space="0"/>
            </w:tcBorders>
            <w:vAlign w:val="center"/>
          </w:tcPr>
          <w:p w14:paraId="2D04E91E">
            <w:pPr>
              <w:spacing w:line="240" w:lineRule="exact"/>
              <w:jc w:val="right"/>
              <w:rPr>
                <w:rFonts w:ascii="宋体" w:hAnsi="宋体" w:eastAsia="宋体" w:cs="宋体"/>
                <w:sz w:val="18"/>
                <w:szCs w:val="18"/>
              </w:rPr>
            </w:pPr>
            <w:r>
              <w:rPr>
                <w:rFonts w:ascii="宋体" w:hAnsi="宋体" w:eastAsia="宋体" w:cs="宋体"/>
                <w:sz w:val="18"/>
                <w:szCs w:val="18"/>
              </w:rPr>
              <w:t>420,801.38</w:t>
            </w:r>
          </w:p>
        </w:tc>
        <w:tc>
          <w:tcPr>
            <w:tcW w:w="2410" w:type="dxa"/>
            <w:tcBorders>
              <w:top w:val="single" w:color="auto" w:sz="2" w:space="0"/>
              <w:left w:val="single" w:color="auto" w:sz="2" w:space="0"/>
              <w:bottom w:val="single" w:color="auto" w:sz="2" w:space="0"/>
              <w:right w:val="single" w:color="auto" w:sz="2" w:space="0"/>
            </w:tcBorders>
            <w:vAlign w:val="center"/>
          </w:tcPr>
          <w:p w14:paraId="083A5B89">
            <w:pPr>
              <w:spacing w:line="240" w:lineRule="exact"/>
              <w:jc w:val="right"/>
              <w:rPr>
                <w:rFonts w:ascii="宋体" w:hAnsi="宋体" w:eastAsia="宋体" w:cs="宋体"/>
                <w:sz w:val="18"/>
                <w:szCs w:val="18"/>
              </w:rPr>
            </w:pPr>
            <w:r>
              <w:rPr>
                <w:rFonts w:ascii="宋体" w:hAnsi="宋体" w:eastAsia="宋体" w:cs="宋体"/>
                <w:sz w:val="18"/>
                <w:szCs w:val="18"/>
              </w:rPr>
              <w:t>342,169.10</w:t>
            </w:r>
          </w:p>
        </w:tc>
      </w:tr>
      <w:tr w14:paraId="1A864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1440414">
            <w:pPr>
              <w:spacing w:line="240" w:lineRule="exact"/>
              <w:rPr>
                <w:rFonts w:ascii="宋体" w:hAnsi="宋体" w:eastAsia="宋体" w:cs="宋体"/>
                <w:sz w:val="18"/>
                <w:szCs w:val="18"/>
              </w:rPr>
            </w:pPr>
            <w:r>
              <w:rPr>
                <w:rFonts w:ascii="宋体" w:hAnsi="宋体" w:eastAsia="宋体" w:cs="宋体"/>
                <w:sz w:val="18"/>
                <w:szCs w:val="18"/>
              </w:rPr>
              <w:t>罚款滞纳金支出</w:t>
            </w:r>
          </w:p>
        </w:tc>
        <w:tc>
          <w:tcPr>
            <w:tcW w:w="2410" w:type="dxa"/>
            <w:tcBorders>
              <w:top w:val="single" w:color="auto" w:sz="2" w:space="0"/>
              <w:left w:val="single" w:color="auto" w:sz="2" w:space="0"/>
              <w:bottom w:val="single" w:color="auto" w:sz="2" w:space="0"/>
              <w:right w:val="single" w:color="auto" w:sz="2" w:space="0"/>
            </w:tcBorders>
            <w:vAlign w:val="center"/>
          </w:tcPr>
          <w:p w14:paraId="768F1640">
            <w:pPr>
              <w:spacing w:line="240" w:lineRule="exact"/>
              <w:jc w:val="right"/>
              <w:rPr>
                <w:rFonts w:ascii="宋体" w:hAnsi="宋体" w:eastAsia="宋体" w:cs="宋体"/>
                <w:sz w:val="18"/>
                <w:szCs w:val="18"/>
              </w:rPr>
            </w:pPr>
            <w:r>
              <w:rPr>
                <w:rFonts w:ascii="宋体" w:hAnsi="宋体" w:eastAsia="宋体" w:cs="宋体"/>
                <w:sz w:val="18"/>
                <w:szCs w:val="18"/>
              </w:rPr>
              <w:t>4,012,884.26</w:t>
            </w:r>
          </w:p>
        </w:tc>
        <w:tc>
          <w:tcPr>
            <w:tcW w:w="2410" w:type="dxa"/>
            <w:tcBorders>
              <w:top w:val="single" w:color="auto" w:sz="2" w:space="0"/>
              <w:left w:val="single" w:color="auto" w:sz="2" w:space="0"/>
              <w:bottom w:val="single" w:color="auto" w:sz="2" w:space="0"/>
              <w:right w:val="single" w:color="auto" w:sz="2" w:space="0"/>
            </w:tcBorders>
            <w:vAlign w:val="center"/>
          </w:tcPr>
          <w:p w14:paraId="5657D33A">
            <w:pPr>
              <w:spacing w:line="240" w:lineRule="exact"/>
              <w:jc w:val="right"/>
              <w:rPr>
                <w:rFonts w:ascii="宋体" w:hAnsi="宋体" w:eastAsia="宋体" w:cs="宋体"/>
                <w:sz w:val="18"/>
                <w:szCs w:val="18"/>
              </w:rPr>
            </w:pPr>
            <w:r>
              <w:rPr>
                <w:rFonts w:ascii="宋体" w:hAnsi="宋体" w:eastAsia="宋体" w:cs="宋体"/>
                <w:sz w:val="18"/>
                <w:szCs w:val="18"/>
              </w:rPr>
              <w:t>1,999,070.62</w:t>
            </w:r>
          </w:p>
        </w:tc>
        <w:tc>
          <w:tcPr>
            <w:tcW w:w="2410" w:type="dxa"/>
            <w:tcBorders>
              <w:top w:val="single" w:color="auto" w:sz="2" w:space="0"/>
              <w:left w:val="single" w:color="auto" w:sz="2" w:space="0"/>
              <w:bottom w:val="single" w:color="auto" w:sz="2" w:space="0"/>
              <w:right w:val="single" w:color="auto" w:sz="2" w:space="0"/>
            </w:tcBorders>
            <w:vAlign w:val="center"/>
          </w:tcPr>
          <w:p w14:paraId="13CE3C2A">
            <w:pPr>
              <w:spacing w:line="240" w:lineRule="exact"/>
              <w:jc w:val="right"/>
              <w:rPr>
                <w:rFonts w:ascii="宋体" w:hAnsi="宋体" w:eastAsia="宋体" w:cs="宋体"/>
                <w:sz w:val="18"/>
                <w:szCs w:val="18"/>
              </w:rPr>
            </w:pPr>
            <w:r>
              <w:rPr>
                <w:rFonts w:ascii="宋体" w:hAnsi="宋体" w:eastAsia="宋体" w:cs="宋体"/>
                <w:sz w:val="18"/>
                <w:szCs w:val="18"/>
              </w:rPr>
              <w:t>4,012,884.26</w:t>
            </w:r>
          </w:p>
        </w:tc>
      </w:tr>
      <w:tr w14:paraId="4EB9A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E850425">
            <w:pPr>
              <w:spacing w:line="240" w:lineRule="exact"/>
              <w:rPr>
                <w:rFonts w:ascii="宋体" w:hAnsi="宋体" w:eastAsia="宋体" w:cs="宋体"/>
                <w:sz w:val="18"/>
                <w:szCs w:val="18"/>
              </w:rPr>
            </w:pPr>
            <w:r>
              <w:rPr>
                <w:rFonts w:ascii="宋体" w:hAnsi="宋体" w:eastAsia="宋体" w:cs="宋体"/>
                <w:sz w:val="18"/>
                <w:szCs w:val="18"/>
              </w:rPr>
              <w:t>赔偿支出</w:t>
            </w:r>
          </w:p>
        </w:tc>
        <w:tc>
          <w:tcPr>
            <w:tcW w:w="2410" w:type="dxa"/>
            <w:tcBorders>
              <w:top w:val="single" w:color="auto" w:sz="2" w:space="0"/>
              <w:left w:val="single" w:color="auto" w:sz="2" w:space="0"/>
              <w:bottom w:val="single" w:color="auto" w:sz="2" w:space="0"/>
              <w:right w:val="single" w:color="auto" w:sz="2" w:space="0"/>
            </w:tcBorders>
            <w:vAlign w:val="center"/>
          </w:tcPr>
          <w:p w14:paraId="089F9B95">
            <w:pPr>
              <w:spacing w:line="240" w:lineRule="exact"/>
              <w:jc w:val="right"/>
              <w:rPr>
                <w:rFonts w:ascii="宋体" w:hAnsi="宋体" w:eastAsia="宋体" w:cs="宋体"/>
                <w:sz w:val="18"/>
                <w:szCs w:val="18"/>
              </w:rPr>
            </w:pPr>
            <w:r>
              <w:rPr>
                <w:rFonts w:ascii="宋体" w:hAnsi="宋体" w:eastAsia="宋体" w:cs="宋体"/>
                <w:sz w:val="18"/>
                <w:szCs w:val="18"/>
              </w:rPr>
              <w:t>274,149.53</w:t>
            </w:r>
          </w:p>
        </w:tc>
        <w:tc>
          <w:tcPr>
            <w:tcW w:w="2410" w:type="dxa"/>
            <w:tcBorders>
              <w:top w:val="single" w:color="auto" w:sz="2" w:space="0"/>
              <w:left w:val="single" w:color="auto" w:sz="2" w:space="0"/>
              <w:bottom w:val="single" w:color="auto" w:sz="2" w:space="0"/>
              <w:right w:val="single" w:color="auto" w:sz="2" w:space="0"/>
            </w:tcBorders>
            <w:vAlign w:val="center"/>
          </w:tcPr>
          <w:p w14:paraId="49CB9BF3">
            <w:pPr>
              <w:spacing w:line="240" w:lineRule="exact"/>
              <w:jc w:val="right"/>
              <w:rPr>
                <w:rFonts w:ascii="宋体" w:hAnsi="宋体" w:eastAsia="宋体" w:cs="宋体"/>
                <w:sz w:val="18"/>
                <w:szCs w:val="18"/>
              </w:rPr>
            </w:pPr>
            <w:r>
              <w:rPr>
                <w:rFonts w:ascii="宋体" w:hAnsi="宋体" w:eastAsia="宋体" w:cs="宋体"/>
                <w:sz w:val="18"/>
                <w:szCs w:val="18"/>
              </w:rPr>
              <w:t>460,881.53</w:t>
            </w:r>
          </w:p>
        </w:tc>
        <w:tc>
          <w:tcPr>
            <w:tcW w:w="2410" w:type="dxa"/>
            <w:tcBorders>
              <w:top w:val="single" w:color="auto" w:sz="2" w:space="0"/>
              <w:left w:val="single" w:color="auto" w:sz="2" w:space="0"/>
              <w:bottom w:val="single" w:color="auto" w:sz="2" w:space="0"/>
              <w:right w:val="single" w:color="auto" w:sz="2" w:space="0"/>
            </w:tcBorders>
            <w:vAlign w:val="center"/>
          </w:tcPr>
          <w:p w14:paraId="50AE6BD8">
            <w:pPr>
              <w:spacing w:line="240" w:lineRule="exact"/>
              <w:jc w:val="right"/>
              <w:rPr>
                <w:rFonts w:ascii="宋体" w:hAnsi="宋体" w:eastAsia="宋体" w:cs="宋体"/>
                <w:sz w:val="18"/>
                <w:szCs w:val="18"/>
              </w:rPr>
            </w:pPr>
            <w:r>
              <w:rPr>
                <w:rFonts w:ascii="宋体" w:hAnsi="宋体" w:eastAsia="宋体" w:cs="宋体"/>
                <w:sz w:val="18"/>
                <w:szCs w:val="18"/>
              </w:rPr>
              <w:t>274,149.53</w:t>
            </w:r>
          </w:p>
        </w:tc>
      </w:tr>
      <w:tr w14:paraId="1C3A1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98D3FB2">
            <w:pPr>
              <w:spacing w:line="240" w:lineRule="exac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14:paraId="6BC3508B">
            <w:pPr>
              <w:spacing w:line="240" w:lineRule="exact"/>
              <w:jc w:val="right"/>
              <w:rPr>
                <w:rFonts w:ascii="宋体" w:hAnsi="宋体" w:eastAsia="宋体" w:cs="宋体"/>
                <w:sz w:val="18"/>
                <w:szCs w:val="18"/>
              </w:rPr>
            </w:pPr>
            <w:r>
              <w:rPr>
                <w:rFonts w:ascii="宋体" w:hAnsi="宋体" w:eastAsia="宋体" w:cs="宋体"/>
                <w:sz w:val="18"/>
                <w:szCs w:val="18"/>
              </w:rPr>
              <w:t>1,824,714.66</w:t>
            </w:r>
          </w:p>
        </w:tc>
        <w:tc>
          <w:tcPr>
            <w:tcW w:w="2410" w:type="dxa"/>
            <w:tcBorders>
              <w:top w:val="single" w:color="auto" w:sz="2" w:space="0"/>
              <w:left w:val="single" w:color="auto" w:sz="2" w:space="0"/>
              <w:bottom w:val="single" w:color="auto" w:sz="2" w:space="0"/>
              <w:right w:val="single" w:color="auto" w:sz="2" w:space="0"/>
            </w:tcBorders>
            <w:vAlign w:val="center"/>
          </w:tcPr>
          <w:p w14:paraId="7A1B0EC9">
            <w:pPr>
              <w:spacing w:line="240" w:lineRule="exact"/>
              <w:jc w:val="right"/>
              <w:rPr>
                <w:rFonts w:ascii="宋体" w:hAnsi="宋体" w:eastAsia="宋体" w:cs="宋体"/>
                <w:sz w:val="18"/>
                <w:szCs w:val="18"/>
              </w:rPr>
            </w:pPr>
            <w:r>
              <w:rPr>
                <w:rFonts w:ascii="宋体" w:hAnsi="宋体" w:eastAsia="宋体" w:cs="宋体"/>
                <w:sz w:val="18"/>
                <w:szCs w:val="18"/>
              </w:rPr>
              <w:t>583,039.55</w:t>
            </w:r>
          </w:p>
        </w:tc>
        <w:tc>
          <w:tcPr>
            <w:tcW w:w="2410" w:type="dxa"/>
            <w:tcBorders>
              <w:top w:val="single" w:color="auto" w:sz="2" w:space="0"/>
              <w:left w:val="single" w:color="auto" w:sz="2" w:space="0"/>
              <w:bottom w:val="single" w:color="auto" w:sz="2" w:space="0"/>
              <w:right w:val="single" w:color="auto" w:sz="2" w:space="0"/>
            </w:tcBorders>
            <w:vAlign w:val="center"/>
          </w:tcPr>
          <w:p w14:paraId="56DAB30D">
            <w:pPr>
              <w:spacing w:line="240" w:lineRule="exact"/>
              <w:jc w:val="right"/>
              <w:rPr>
                <w:rFonts w:ascii="宋体" w:hAnsi="宋体" w:eastAsia="宋体" w:cs="宋体"/>
                <w:sz w:val="18"/>
                <w:szCs w:val="18"/>
              </w:rPr>
            </w:pPr>
            <w:r>
              <w:rPr>
                <w:rFonts w:ascii="宋体" w:hAnsi="宋体" w:eastAsia="宋体" w:cs="宋体"/>
                <w:sz w:val="18"/>
                <w:szCs w:val="18"/>
              </w:rPr>
              <w:t>1,824,714.66</w:t>
            </w:r>
          </w:p>
        </w:tc>
      </w:tr>
      <w:tr w14:paraId="65BA7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9B9CFE3">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067C5AEE">
            <w:pPr>
              <w:spacing w:line="240" w:lineRule="exact"/>
              <w:jc w:val="right"/>
              <w:rPr>
                <w:rFonts w:ascii="宋体" w:hAnsi="宋体" w:eastAsia="宋体" w:cs="宋体"/>
                <w:sz w:val="18"/>
                <w:szCs w:val="18"/>
              </w:rPr>
            </w:pPr>
            <w:r>
              <w:rPr>
                <w:rFonts w:ascii="宋体" w:hAnsi="宋体" w:eastAsia="宋体" w:cs="宋体"/>
                <w:sz w:val="18"/>
                <w:szCs w:val="18"/>
              </w:rPr>
              <w:t>7,241,425.63</w:t>
            </w:r>
          </w:p>
        </w:tc>
        <w:tc>
          <w:tcPr>
            <w:tcW w:w="2410" w:type="dxa"/>
            <w:tcBorders>
              <w:top w:val="single" w:color="auto" w:sz="2" w:space="0"/>
              <w:left w:val="single" w:color="auto" w:sz="2" w:space="0"/>
              <w:bottom w:val="single" w:color="auto" w:sz="2" w:space="0"/>
              <w:right w:val="single" w:color="auto" w:sz="2" w:space="0"/>
            </w:tcBorders>
            <w:vAlign w:val="center"/>
          </w:tcPr>
          <w:p w14:paraId="2B70F6BF">
            <w:pPr>
              <w:spacing w:line="240" w:lineRule="exact"/>
              <w:jc w:val="right"/>
              <w:rPr>
                <w:rFonts w:ascii="宋体" w:hAnsi="宋体" w:eastAsia="宋体" w:cs="宋体"/>
                <w:sz w:val="18"/>
                <w:szCs w:val="18"/>
              </w:rPr>
            </w:pPr>
            <w:r>
              <w:rPr>
                <w:rFonts w:ascii="宋体" w:hAnsi="宋体" w:eastAsia="宋体" w:cs="宋体"/>
                <w:sz w:val="18"/>
                <w:szCs w:val="18"/>
              </w:rPr>
              <w:t>4,388,839.90</w:t>
            </w:r>
          </w:p>
        </w:tc>
        <w:tc>
          <w:tcPr>
            <w:tcW w:w="2410" w:type="dxa"/>
            <w:tcBorders>
              <w:top w:val="single" w:color="auto" w:sz="2" w:space="0"/>
              <w:left w:val="single" w:color="auto" w:sz="2" w:space="0"/>
              <w:bottom w:val="single" w:color="auto" w:sz="2" w:space="0"/>
              <w:right w:val="single" w:color="auto" w:sz="2" w:space="0"/>
            </w:tcBorders>
            <w:vAlign w:val="center"/>
          </w:tcPr>
          <w:p w14:paraId="2AB2150D">
            <w:pPr>
              <w:spacing w:line="240" w:lineRule="exact"/>
              <w:jc w:val="right"/>
              <w:rPr>
                <w:rFonts w:ascii="宋体" w:hAnsi="宋体" w:eastAsia="宋体" w:cs="宋体"/>
                <w:sz w:val="18"/>
                <w:szCs w:val="18"/>
              </w:rPr>
            </w:pPr>
            <w:r>
              <w:rPr>
                <w:rFonts w:ascii="宋体" w:hAnsi="宋体" w:eastAsia="宋体" w:cs="宋体"/>
                <w:sz w:val="18"/>
                <w:szCs w:val="18"/>
              </w:rPr>
              <w:t>7,241,425.63</w:t>
            </w:r>
          </w:p>
        </w:tc>
      </w:tr>
    </w:tbl>
    <w:p w14:paraId="249DE088">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14865B84">
      <w:pPr>
        <w:pStyle w:val="3"/>
        <w:spacing w:line="280" w:lineRule="exact"/>
        <w:jc w:val="left"/>
        <w:rPr>
          <w:rFonts w:ascii="宋体" w:hAnsi="宋体" w:cs="宋体"/>
          <w:b/>
          <w:bCs/>
        </w:rPr>
      </w:pPr>
      <w:bookmarkStart w:id="468" w:name="_Toc989322"/>
      <w:r>
        <w:rPr>
          <w:rFonts w:ascii="宋体" w:hAnsi="宋体" w:cs="宋体"/>
          <w:b/>
          <w:bCs/>
        </w:rPr>
        <w:t>76、所得税费用</w:t>
      </w:r>
      <w:bookmarkEnd w:id="468"/>
    </w:p>
    <w:p w14:paraId="4FF0D827">
      <w:pPr>
        <w:keepNext/>
        <w:keepLines/>
        <w:spacing w:before="300" w:after="300" w:line="280" w:lineRule="exact"/>
        <w:outlineLvl w:val="3"/>
        <w:rPr>
          <w:rFonts w:ascii="宋体" w:hAnsi="宋体" w:eastAsia="宋体" w:cs="宋体"/>
          <w:b/>
          <w:bCs/>
          <w:szCs w:val="21"/>
        </w:rPr>
      </w:pPr>
      <w:bookmarkStart w:id="469" w:name="_Toc989323"/>
      <w:r>
        <w:rPr>
          <w:rFonts w:ascii="宋体" w:hAnsi="宋体" w:eastAsia="宋体" w:cs="宋体"/>
          <w:b/>
          <w:bCs/>
          <w:szCs w:val="21"/>
        </w:rPr>
        <w:t>（1） 所得税费用表</w:t>
      </w:r>
      <w:bookmarkEnd w:id="469"/>
    </w:p>
    <w:p w14:paraId="50E117A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3B7D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87DB7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54B4FFF">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537DF4">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3CD4F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AAAA3D">
            <w:pPr>
              <w:spacing w:before="40" w:after="40" w:line="240" w:lineRule="exact"/>
              <w:rPr>
                <w:rFonts w:ascii="宋体" w:hAnsi="宋体" w:eastAsia="宋体" w:cs="宋体"/>
                <w:sz w:val="18"/>
                <w:szCs w:val="18"/>
              </w:rPr>
            </w:pPr>
            <w:r>
              <w:rPr>
                <w:rFonts w:ascii="宋体" w:hAnsi="宋体" w:eastAsia="宋体" w:cs="宋体"/>
                <w:sz w:val="18"/>
                <w:szCs w:val="18"/>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14:paraId="3AA3F155">
            <w:pPr>
              <w:spacing w:line="240" w:lineRule="exact"/>
              <w:jc w:val="right"/>
              <w:rPr>
                <w:rFonts w:ascii="宋体" w:hAnsi="宋体" w:eastAsia="宋体" w:cs="宋体"/>
                <w:sz w:val="18"/>
                <w:szCs w:val="18"/>
              </w:rPr>
            </w:pPr>
            <w:r>
              <w:rPr>
                <w:rFonts w:ascii="宋体" w:hAnsi="宋体" w:eastAsia="宋体" w:cs="宋体"/>
                <w:sz w:val="18"/>
                <w:szCs w:val="18"/>
              </w:rPr>
              <w:t>15,411,782.77</w:t>
            </w:r>
          </w:p>
        </w:tc>
        <w:tc>
          <w:tcPr>
            <w:tcW w:w="3213" w:type="dxa"/>
            <w:tcBorders>
              <w:top w:val="single" w:color="auto" w:sz="2" w:space="0"/>
              <w:left w:val="single" w:color="auto" w:sz="2" w:space="0"/>
              <w:bottom w:val="single" w:color="auto" w:sz="2" w:space="0"/>
              <w:right w:val="single" w:color="auto" w:sz="2" w:space="0"/>
            </w:tcBorders>
            <w:vAlign w:val="center"/>
          </w:tcPr>
          <w:p w14:paraId="1D77AE73">
            <w:pPr>
              <w:spacing w:line="240" w:lineRule="exact"/>
              <w:jc w:val="right"/>
              <w:rPr>
                <w:rFonts w:ascii="宋体" w:hAnsi="宋体" w:eastAsia="宋体" w:cs="宋体"/>
                <w:sz w:val="18"/>
                <w:szCs w:val="18"/>
              </w:rPr>
            </w:pPr>
            <w:r>
              <w:rPr>
                <w:rFonts w:ascii="宋体" w:hAnsi="宋体" w:eastAsia="宋体" w:cs="宋体"/>
                <w:sz w:val="18"/>
                <w:szCs w:val="18"/>
              </w:rPr>
              <w:t>12,954,989.23</w:t>
            </w:r>
          </w:p>
        </w:tc>
      </w:tr>
      <w:tr w14:paraId="4354C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806EE3">
            <w:pPr>
              <w:spacing w:before="40" w:after="40" w:line="240" w:lineRule="exact"/>
              <w:rPr>
                <w:rFonts w:ascii="宋体" w:hAnsi="宋体" w:eastAsia="宋体" w:cs="宋体"/>
                <w:sz w:val="18"/>
                <w:szCs w:val="18"/>
              </w:rPr>
            </w:pPr>
            <w:r>
              <w:rPr>
                <w:rFonts w:ascii="宋体" w:hAnsi="宋体" w:eastAsia="宋体" w:cs="宋体"/>
                <w:sz w:val="18"/>
                <w:szCs w:val="18"/>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14:paraId="21D81333">
            <w:pPr>
              <w:spacing w:line="240" w:lineRule="exact"/>
              <w:jc w:val="right"/>
              <w:rPr>
                <w:rFonts w:ascii="宋体" w:hAnsi="宋体" w:eastAsia="宋体" w:cs="宋体"/>
                <w:sz w:val="18"/>
                <w:szCs w:val="18"/>
              </w:rPr>
            </w:pPr>
            <w:r>
              <w:rPr>
                <w:rFonts w:ascii="宋体" w:hAnsi="宋体" w:eastAsia="宋体" w:cs="宋体"/>
                <w:sz w:val="18"/>
                <w:szCs w:val="18"/>
              </w:rPr>
              <w:t>-3,638,381.34</w:t>
            </w:r>
          </w:p>
        </w:tc>
        <w:tc>
          <w:tcPr>
            <w:tcW w:w="3213" w:type="dxa"/>
            <w:tcBorders>
              <w:top w:val="single" w:color="auto" w:sz="2" w:space="0"/>
              <w:left w:val="single" w:color="auto" w:sz="2" w:space="0"/>
              <w:bottom w:val="single" w:color="auto" w:sz="2" w:space="0"/>
              <w:right w:val="single" w:color="auto" w:sz="2" w:space="0"/>
            </w:tcBorders>
            <w:vAlign w:val="center"/>
          </w:tcPr>
          <w:p w14:paraId="67F4AE90">
            <w:pPr>
              <w:spacing w:line="240" w:lineRule="exact"/>
              <w:jc w:val="right"/>
              <w:rPr>
                <w:rFonts w:ascii="宋体" w:hAnsi="宋体" w:eastAsia="宋体" w:cs="宋体"/>
                <w:sz w:val="18"/>
                <w:szCs w:val="18"/>
              </w:rPr>
            </w:pPr>
            <w:r>
              <w:rPr>
                <w:rFonts w:ascii="宋体" w:hAnsi="宋体" w:eastAsia="宋体" w:cs="宋体"/>
                <w:sz w:val="18"/>
                <w:szCs w:val="18"/>
              </w:rPr>
              <w:t>-28,642,842.27</w:t>
            </w:r>
          </w:p>
        </w:tc>
      </w:tr>
      <w:tr w14:paraId="12E51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E92256">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1320643F">
            <w:pPr>
              <w:spacing w:line="240" w:lineRule="exact"/>
              <w:jc w:val="right"/>
              <w:rPr>
                <w:rFonts w:ascii="宋体" w:hAnsi="宋体" w:eastAsia="宋体" w:cs="宋体"/>
                <w:sz w:val="18"/>
                <w:szCs w:val="18"/>
              </w:rPr>
            </w:pPr>
            <w:r>
              <w:rPr>
                <w:rFonts w:ascii="宋体" w:hAnsi="宋体" w:eastAsia="宋体" w:cs="宋体"/>
                <w:sz w:val="18"/>
                <w:szCs w:val="18"/>
              </w:rPr>
              <w:t>11,773,401.43</w:t>
            </w:r>
          </w:p>
        </w:tc>
        <w:tc>
          <w:tcPr>
            <w:tcW w:w="3213" w:type="dxa"/>
            <w:tcBorders>
              <w:top w:val="single" w:color="auto" w:sz="2" w:space="0"/>
              <w:left w:val="single" w:color="auto" w:sz="2" w:space="0"/>
              <w:bottom w:val="single" w:color="auto" w:sz="2" w:space="0"/>
              <w:right w:val="single" w:color="auto" w:sz="2" w:space="0"/>
            </w:tcBorders>
            <w:vAlign w:val="center"/>
          </w:tcPr>
          <w:p w14:paraId="2C615874">
            <w:pPr>
              <w:spacing w:line="240" w:lineRule="exact"/>
              <w:jc w:val="right"/>
              <w:rPr>
                <w:rFonts w:ascii="宋体" w:hAnsi="宋体" w:eastAsia="宋体" w:cs="宋体"/>
                <w:sz w:val="18"/>
                <w:szCs w:val="18"/>
              </w:rPr>
            </w:pPr>
            <w:r>
              <w:rPr>
                <w:rFonts w:ascii="宋体" w:hAnsi="宋体" w:eastAsia="宋体" w:cs="宋体"/>
                <w:sz w:val="18"/>
                <w:szCs w:val="18"/>
              </w:rPr>
              <w:t>-15,687,853.04</w:t>
            </w:r>
          </w:p>
        </w:tc>
      </w:tr>
    </w:tbl>
    <w:p w14:paraId="617AB54E">
      <w:pPr>
        <w:keepNext/>
        <w:keepLines/>
        <w:spacing w:before="300" w:after="300" w:line="280" w:lineRule="exact"/>
        <w:outlineLvl w:val="3"/>
        <w:rPr>
          <w:rFonts w:ascii="宋体" w:hAnsi="宋体" w:eastAsia="宋体" w:cs="宋体"/>
          <w:b/>
          <w:bCs/>
          <w:szCs w:val="21"/>
        </w:rPr>
      </w:pPr>
      <w:bookmarkStart w:id="470" w:name="_Toc989324"/>
      <w:r>
        <w:rPr>
          <w:rFonts w:ascii="宋体" w:hAnsi="宋体" w:eastAsia="宋体" w:cs="宋体"/>
          <w:b/>
          <w:bCs/>
          <w:szCs w:val="21"/>
        </w:rPr>
        <w:t>（2） 会计利润与所得税费用调整过程</w:t>
      </w:r>
      <w:bookmarkEnd w:id="470"/>
    </w:p>
    <w:p w14:paraId="562D047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14:paraId="40195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C2EC469">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A9B3920">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r>
      <w:tr w14:paraId="65E4B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36F4EF0">
            <w:pPr>
              <w:spacing w:before="40" w:after="40" w:line="240" w:lineRule="exact"/>
              <w:rPr>
                <w:rFonts w:ascii="宋体" w:hAnsi="宋体" w:eastAsia="宋体" w:cs="宋体"/>
                <w:sz w:val="18"/>
                <w:szCs w:val="18"/>
              </w:rPr>
            </w:pPr>
            <w:r>
              <w:rPr>
                <w:rFonts w:ascii="宋体" w:hAnsi="宋体" w:eastAsia="宋体" w:cs="宋体"/>
                <w:sz w:val="18"/>
                <w:szCs w:val="18"/>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14:paraId="4EB72C83">
            <w:pPr>
              <w:spacing w:line="240" w:lineRule="exact"/>
              <w:jc w:val="right"/>
              <w:rPr>
                <w:rFonts w:ascii="宋体" w:hAnsi="宋体" w:eastAsia="宋体" w:cs="宋体"/>
                <w:sz w:val="18"/>
                <w:szCs w:val="18"/>
              </w:rPr>
            </w:pPr>
            <w:r>
              <w:rPr>
                <w:rFonts w:ascii="宋体" w:hAnsi="宋体" w:eastAsia="宋体" w:cs="宋体"/>
                <w:sz w:val="18"/>
                <w:szCs w:val="18"/>
              </w:rPr>
              <w:t>78,656,148.57</w:t>
            </w:r>
          </w:p>
        </w:tc>
      </w:tr>
      <w:tr w14:paraId="6ECF7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6AB8755">
            <w:pPr>
              <w:spacing w:before="40" w:after="40" w:line="240" w:lineRule="exact"/>
              <w:rPr>
                <w:rFonts w:ascii="宋体" w:hAnsi="宋体" w:eastAsia="宋体" w:cs="宋体"/>
                <w:sz w:val="18"/>
                <w:szCs w:val="18"/>
              </w:rPr>
            </w:pPr>
            <w:r>
              <w:rPr>
                <w:rFonts w:ascii="宋体" w:hAnsi="宋体" w:eastAsia="宋体" w:cs="宋体"/>
                <w:sz w:val="18"/>
                <w:szCs w:val="18"/>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14:paraId="745722AE">
            <w:pPr>
              <w:spacing w:line="240" w:lineRule="exact"/>
              <w:jc w:val="right"/>
              <w:rPr>
                <w:rFonts w:ascii="宋体" w:hAnsi="宋体" w:eastAsia="宋体" w:cs="宋体"/>
                <w:sz w:val="18"/>
                <w:szCs w:val="18"/>
              </w:rPr>
            </w:pPr>
            <w:r>
              <w:rPr>
                <w:rFonts w:ascii="宋体" w:hAnsi="宋体" w:eastAsia="宋体" w:cs="宋体"/>
                <w:sz w:val="18"/>
                <w:szCs w:val="18"/>
              </w:rPr>
              <w:t>11,798,422.29</w:t>
            </w:r>
          </w:p>
        </w:tc>
      </w:tr>
      <w:tr w14:paraId="56CC9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CBCE8E7">
            <w:pPr>
              <w:spacing w:before="40" w:after="40" w:line="240" w:lineRule="exact"/>
              <w:rPr>
                <w:rFonts w:ascii="宋体" w:hAnsi="宋体" w:eastAsia="宋体" w:cs="宋体"/>
                <w:sz w:val="18"/>
                <w:szCs w:val="18"/>
              </w:rPr>
            </w:pPr>
            <w:r>
              <w:rPr>
                <w:rFonts w:ascii="宋体" w:hAnsi="宋体" w:eastAsia="宋体" w:cs="宋体"/>
                <w:sz w:val="18"/>
                <w:szCs w:val="18"/>
              </w:rPr>
              <w:t>子公司适用不同税率的影响</w:t>
            </w:r>
          </w:p>
        </w:tc>
        <w:tc>
          <w:tcPr>
            <w:tcW w:w="4820" w:type="dxa"/>
            <w:tcBorders>
              <w:top w:val="single" w:color="auto" w:sz="2" w:space="0"/>
              <w:left w:val="single" w:color="auto" w:sz="2" w:space="0"/>
              <w:bottom w:val="single" w:color="auto" w:sz="2" w:space="0"/>
              <w:right w:val="single" w:color="auto" w:sz="2" w:space="0"/>
            </w:tcBorders>
            <w:vAlign w:val="center"/>
          </w:tcPr>
          <w:p w14:paraId="79AFBD67">
            <w:pPr>
              <w:spacing w:line="240" w:lineRule="exact"/>
              <w:jc w:val="right"/>
              <w:rPr>
                <w:rFonts w:ascii="宋体" w:hAnsi="宋体" w:eastAsia="宋体" w:cs="宋体"/>
                <w:sz w:val="18"/>
                <w:szCs w:val="18"/>
              </w:rPr>
            </w:pPr>
            <w:r>
              <w:rPr>
                <w:rFonts w:ascii="宋体" w:hAnsi="宋体" w:eastAsia="宋体" w:cs="宋体"/>
                <w:sz w:val="18"/>
                <w:szCs w:val="18"/>
              </w:rPr>
              <w:t>5,026,953.58</w:t>
            </w:r>
          </w:p>
        </w:tc>
      </w:tr>
      <w:tr w14:paraId="19F52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4A1E673">
            <w:pPr>
              <w:spacing w:before="40" w:after="40" w:line="240" w:lineRule="exact"/>
              <w:rPr>
                <w:rFonts w:ascii="宋体" w:hAnsi="宋体" w:eastAsia="宋体" w:cs="宋体"/>
                <w:sz w:val="18"/>
                <w:szCs w:val="18"/>
              </w:rPr>
            </w:pPr>
            <w:r>
              <w:rPr>
                <w:rFonts w:ascii="宋体" w:hAnsi="宋体" w:eastAsia="宋体" w:cs="宋体"/>
                <w:sz w:val="18"/>
                <w:szCs w:val="18"/>
              </w:rPr>
              <w:t>调整以前期间所得税的影响</w:t>
            </w:r>
          </w:p>
        </w:tc>
        <w:tc>
          <w:tcPr>
            <w:tcW w:w="4820" w:type="dxa"/>
            <w:tcBorders>
              <w:top w:val="single" w:color="auto" w:sz="2" w:space="0"/>
              <w:left w:val="single" w:color="auto" w:sz="2" w:space="0"/>
              <w:bottom w:val="single" w:color="auto" w:sz="2" w:space="0"/>
              <w:right w:val="single" w:color="auto" w:sz="2" w:space="0"/>
            </w:tcBorders>
            <w:vAlign w:val="center"/>
          </w:tcPr>
          <w:p w14:paraId="5E04405E">
            <w:pPr>
              <w:spacing w:line="240" w:lineRule="exact"/>
              <w:jc w:val="right"/>
              <w:rPr>
                <w:rFonts w:ascii="宋体" w:hAnsi="宋体" w:eastAsia="宋体" w:cs="宋体"/>
                <w:sz w:val="18"/>
                <w:szCs w:val="18"/>
              </w:rPr>
            </w:pPr>
            <w:r>
              <w:rPr>
                <w:rFonts w:ascii="宋体" w:hAnsi="宋体" w:eastAsia="宋体" w:cs="宋体"/>
                <w:sz w:val="18"/>
                <w:szCs w:val="18"/>
              </w:rPr>
              <w:t>11,166,984.30</w:t>
            </w:r>
          </w:p>
        </w:tc>
      </w:tr>
      <w:tr w14:paraId="7A319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C0A35F8">
            <w:pPr>
              <w:spacing w:before="40" w:after="40" w:line="240" w:lineRule="exact"/>
              <w:rPr>
                <w:rFonts w:ascii="宋体" w:hAnsi="宋体" w:eastAsia="宋体" w:cs="宋体"/>
                <w:sz w:val="18"/>
                <w:szCs w:val="18"/>
              </w:rPr>
            </w:pPr>
            <w:r>
              <w:rPr>
                <w:rFonts w:ascii="宋体" w:hAnsi="宋体" w:eastAsia="宋体" w:cs="宋体"/>
                <w:sz w:val="18"/>
                <w:szCs w:val="18"/>
              </w:rPr>
              <w:t>不可抵扣的成本、费用和损失的影响</w:t>
            </w:r>
          </w:p>
        </w:tc>
        <w:tc>
          <w:tcPr>
            <w:tcW w:w="4820" w:type="dxa"/>
            <w:tcBorders>
              <w:top w:val="single" w:color="auto" w:sz="2" w:space="0"/>
              <w:left w:val="single" w:color="auto" w:sz="2" w:space="0"/>
              <w:bottom w:val="single" w:color="auto" w:sz="2" w:space="0"/>
              <w:right w:val="single" w:color="auto" w:sz="2" w:space="0"/>
            </w:tcBorders>
            <w:vAlign w:val="center"/>
          </w:tcPr>
          <w:p w14:paraId="6033B743">
            <w:pPr>
              <w:spacing w:line="240" w:lineRule="exact"/>
              <w:jc w:val="right"/>
              <w:rPr>
                <w:rFonts w:ascii="宋体" w:hAnsi="宋体" w:eastAsia="宋体" w:cs="宋体"/>
                <w:sz w:val="18"/>
                <w:szCs w:val="18"/>
              </w:rPr>
            </w:pPr>
            <w:r>
              <w:rPr>
                <w:rFonts w:ascii="宋体" w:hAnsi="宋体" w:eastAsia="宋体" w:cs="宋体"/>
                <w:sz w:val="18"/>
                <w:szCs w:val="18"/>
              </w:rPr>
              <w:t>-1,309,071.65</w:t>
            </w:r>
          </w:p>
        </w:tc>
      </w:tr>
      <w:tr w14:paraId="560EFA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6864EC4">
            <w:pPr>
              <w:spacing w:before="40" w:after="40" w:line="240" w:lineRule="exact"/>
              <w:rPr>
                <w:rFonts w:ascii="宋体" w:hAnsi="宋体" w:eastAsia="宋体" w:cs="宋体"/>
                <w:sz w:val="18"/>
                <w:szCs w:val="18"/>
              </w:rPr>
            </w:pPr>
            <w:r>
              <w:rPr>
                <w:rFonts w:ascii="宋体" w:hAnsi="宋体" w:eastAsia="宋体" w:cs="宋体"/>
                <w:sz w:val="18"/>
                <w:szCs w:val="18"/>
              </w:rPr>
              <w:t>使用前期未确认递延所得税资产的可抵扣亏损的影响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14:paraId="0BF2FD97">
            <w:pPr>
              <w:spacing w:line="240" w:lineRule="exact"/>
              <w:jc w:val="right"/>
              <w:rPr>
                <w:rFonts w:ascii="宋体" w:hAnsi="宋体" w:eastAsia="宋体" w:cs="宋体"/>
                <w:sz w:val="18"/>
                <w:szCs w:val="18"/>
              </w:rPr>
            </w:pPr>
            <w:r>
              <w:rPr>
                <w:rFonts w:ascii="宋体" w:hAnsi="宋体" w:eastAsia="宋体" w:cs="宋体"/>
                <w:sz w:val="18"/>
                <w:szCs w:val="18"/>
              </w:rPr>
              <w:t>-6,734,998.99</w:t>
            </w:r>
          </w:p>
        </w:tc>
      </w:tr>
      <w:tr w14:paraId="612F6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A2B03A5">
            <w:pPr>
              <w:spacing w:before="40" w:after="40" w:line="240" w:lineRule="exact"/>
              <w:rPr>
                <w:rFonts w:ascii="宋体" w:hAnsi="宋体" w:eastAsia="宋体" w:cs="宋体"/>
                <w:sz w:val="18"/>
                <w:szCs w:val="18"/>
              </w:rPr>
            </w:pPr>
            <w:r>
              <w:rPr>
                <w:rFonts w:ascii="宋体" w:hAnsi="宋体" w:eastAsia="宋体" w:cs="宋体"/>
                <w:sz w:val="18"/>
                <w:szCs w:val="18"/>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14:paraId="12F084FE">
            <w:pPr>
              <w:spacing w:line="240" w:lineRule="exact"/>
              <w:jc w:val="right"/>
              <w:rPr>
                <w:rFonts w:ascii="宋体" w:hAnsi="宋体" w:eastAsia="宋体" w:cs="宋体"/>
                <w:sz w:val="18"/>
                <w:szCs w:val="18"/>
              </w:rPr>
            </w:pPr>
            <w:r>
              <w:rPr>
                <w:rFonts w:ascii="宋体" w:hAnsi="宋体" w:eastAsia="宋体" w:cs="宋体"/>
                <w:sz w:val="18"/>
                <w:szCs w:val="18"/>
              </w:rPr>
              <w:t>3,725,979.59</w:t>
            </w:r>
          </w:p>
        </w:tc>
      </w:tr>
      <w:tr w14:paraId="153C6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8BACD71">
            <w:pPr>
              <w:spacing w:line="240" w:lineRule="exact"/>
              <w:rPr>
                <w:rFonts w:ascii="宋体" w:hAnsi="宋体" w:eastAsia="宋体" w:cs="宋体"/>
                <w:sz w:val="18"/>
                <w:szCs w:val="18"/>
              </w:rPr>
            </w:pPr>
            <w:r>
              <w:rPr>
                <w:rFonts w:ascii="宋体" w:hAnsi="宋体" w:eastAsia="宋体" w:cs="宋体"/>
                <w:sz w:val="18"/>
                <w:szCs w:val="18"/>
              </w:rPr>
              <w:t>本公司税收优惠的影响</w:t>
            </w:r>
          </w:p>
        </w:tc>
        <w:tc>
          <w:tcPr>
            <w:tcW w:w="4820" w:type="dxa"/>
            <w:tcBorders>
              <w:top w:val="single" w:color="auto" w:sz="2" w:space="0"/>
              <w:left w:val="single" w:color="auto" w:sz="2" w:space="0"/>
              <w:bottom w:val="single" w:color="auto" w:sz="2" w:space="0"/>
              <w:right w:val="single" w:color="auto" w:sz="2" w:space="0"/>
            </w:tcBorders>
            <w:vAlign w:val="center"/>
          </w:tcPr>
          <w:p w14:paraId="41F544D7">
            <w:pPr>
              <w:spacing w:line="240" w:lineRule="exact"/>
              <w:jc w:val="right"/>
              <w:rPr>
                <w:rFonts w:ascii="宋体" w:hAnsi="宋体" w:eastAsia="宋体" w:cs="宋体"/>
                <w:sz w:val="18"/>
                <w:szCs w:val="18"/>
              </w:rPr>
            </w:pPr>
            <w:r>
              <w:rPr>
                <w:rFonts w:ascii="宋体" w:hAnsi="宋体" w:eastAsia="宋体" w:cs="宋体"/>
                <w:sz w:val="18"/>
                <w:szCs w:val="18"/>
              </w:rPr>
              <w:t>-418,887.48</w:t>
            </w:r>
          </w:p>
        </w:tc>
      </w:tr>
      <w:tr w14:paraId="7D806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4C599E1">
            <w:pPr>
              <w:spacing w:line="240" w:lineRule="exact"/>
              <w:rPr>
                <w:rFonts w:ascii="宋体" w:hAnsi="宋体" w:eastAsia="宋体" w:cs="宋体"/>
                <w:sz w:val="18"/>
                <w:szCs w:val="18"/>
              </w:rPr>
            </w:pPr>
            <w:r>
              <w:rPr>
                <w:rFonts w:ascii="宋体" w:hAnsi="宋体" w:eastAsia="宋体" w:cs="宋体"/>
                <w:sz w:val="18"/>
                <w:szCs w:val="18"/>
              </w:rPr>
              <w:t>归属于合营企业和联营企业的损益（非应税收入）</w:t>
            </w:r>
          </w:p>
        </w:tc>
        <w:tc>
          <w:tcPr>
            <w:tcW w:w="4820" w:type="dxa"/>
            <w:tcBorders>
              <w:top w:val="single" w:color="auto" w:sz="2" w:space="0"/>
              <w:left w:val="single" w:color="auto" w:sz="2" w:space="0"/>
              <w:bottom w:val="single" w:color="auto" w:sz="2" w:space="0"/>
              <w:right w:val="single" w:color="auto" w:sz="2" w:space="0"/>
            </w:tcBorders>
            <w:vAlign w:val="center"/>
          </w:tcPr>
          <w:p w14:paraId="2BEA5CAE">
            <w:pPr>
              <w:spacing w:line="240" w:lineRule="exact"/>
              <w:jc w:val="right"/>
              <w:rPr>
                <w:rFonts w:ascii="宋体" w:hAnsi="宋体" w:eastAsia="宋体" w:cs="宋体"/>
                <w:sz w:val="18"/>
                <w:szCs w:val="18"/>
              </w:rPr>
            </w:pPr>
            <w:r>
              <w:rPr>
                <w:rFonts w:ascii="宋体" w:hAnsi="宋体" w:eastAsia="宋体" w:cs="宋体"/>
                <w:sz w:val="18"/>
                <w:szCs w:val="18"/>
              </w:rPr>
              <w:t>-1,621,701.31</w:t>
            </w:r>
          </w:p>
        </w:tc>
      </w:tr>
      <w:tr w14:paraId="311C4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8EF24B2">
            <w:pPr>
              <w:spacing w:line="240" w:lineRule="exact"/>
              <w:rPr>
                <w:rFonts w:ascii="宋体" w:hAnsi="宋体" w:eastAsia="宋体" w:cs="宋体"/>
                <w:sz w:val="18"/>
                <w:szCs w:val="18"/>
              </w:rPr>
            </w:pPr>
            <w:r>
              <w:rPr>
                <w:rFonts w:ascii="宋体" w:hAnsi="宋体" w:eastAsia="宋体" w:cs="宋体"/>
                <w:sz w:val="18"/>
                <w:szCs w:val="18"/>
              </w:rPr>
              <w:t>非应税收入的影响</w:t>
            </w:r>
          </w:p>
        </w:tc>
        <w:tc>
          <w:tcPr>
            <w:tcW w:w="4820" w:type="dxa"/>
            <w:tcBorders>
              <w:top w:val="single" w:color="auto" w:sz="2" w:space="0"/>
              <w:left w:val="single" w:color="auto" w:sz="2" w:space="0"/>
              <w:bottom w:val="single" w:color="auto" w:sz="2" w:space="0"/>
              <w:right w:val="single" w:color="auto" w:sz="2" w:space="0"/>
            </w:tcBorders>
            <w:vAlign w:val="center"/>
          </w:tcPr>
          <w:p w14:paraId="260FB540">
            <w:pPr>
              <w:spacing w:line="240" w:lineRule="exact"/>
              <w:jc w:val="right"/>
              <w:rPr>
                <w:rFonts w:ascii="宋体" w:hAnsi="宋体" w:eastAsia="宋体" w:cs="宋体"/>
                <w:sz w:val="18"/>
                <w:szCs w:val="18"/>
              </w:rPr>
            </w:pPr>
            <w:r>
              <w:rPr>
                <w:rFonts w:ascii="宋体" w:hAnsi="宋体" w:eastAsia="宋体" w:cs="宋体"/>
                <w:sz w:val="18"/>
                <w:szCs w:val="18"/>
              </w:rPr>
              <w:t>-223,125.00</w:t>
            </w:r>
          </w:p>
        </w:tc>
      </w:tr>
      <w:tr w14:paraId="378DD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EBB5AF0">
            <w:pPr>
              <w:spacing w:line="240" w:lineRule="exact"/>
              <w:rPr>
                <w:rFonts w:ascii="宋体" w:hAnsi="宋体" w:eastAsia="宋体" w:cs="宋体"/>
                <w:sz w:val="18"/>
                <w:szCs w:val="18"/>
              </w:rPr>
            </w:pPr>
            <w:r>
              <w:rPr>
                <w:rFonts w:ascii="宋体" w:hAnsi="宋体" w:eastAsia="宋体" w:cs="宋体"/>
                <w:sz w:val="18"/>
                <w:szCs w:val="18"/>
              </w:rPr>
              <w:t>税率变动对期初递延所得税余额的影响</w:t>
            </w:r>
          </w:p>
        </w:tc>
        <w:tc>
          <w:tcPr>
            <w:tcW w:w="4820" w:type="dxa"/>
            <w:tcBorders>
              <w:top w:val="single" w:color="auto" w:sz="2" w:space="0"/>
              <w:left w:val="single" w:color="auto" w:sz="2" w:space="0"/>
              <w:bottom w:val="single" w:color="auto" w:sz="2" w:space="0"/>
              <w:right w:val="single" w:color="auto" w:sz="2" w:space="0"/>
            </w:tcBorders>
            <w:vAlign w:val="center"/>
          </w:tcPr>
          <w:p w14:paraId="17A2AA71">
            <w:pPr>
              <w:spacing w:line="240" w:lineRule="exact"/>
              <w:jc w:val="right"/>
              <w:rPr>
                <w:rFonts w:ascii="宋体" w:hAnsi="宋体" w:eastAsia="宋体" w:cs="宋体"/>
                <w:sz w:val="18"/>
                <w:szCs w:val="18"/>
              </w:rPr>
            </w:pPr>
            <w:r>
              <w:rPr>
                <w:rFonts w:ascii="宋体" w:hAnsi="宋体" w:eastAsia="宋体" w:cs="宋体"/>
                <w:sz w:val="18"/>
                <w:szCs w:val="18"/>
              </w:rPr>
              <w:t>188,621.81</w:t>
            </w:r>
          </w:p>
        </w:tc>
      </w:tr>
      <w:tr w14:paraId="4E007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7DAFDF4">
            <w:pPr>
              <w:spacing w:line="240" w:lineRule="exact"/>
              <w:rPr>
                <w:rFonts w:ascii="宋体" w:hAnsi="宋体" w:eastAsia="宋体" w:cs="宋体"/>
                <w:sz w:val="18"/>
                <w:szCs w:val="18"/>
              </w:rPr>
            </w:pPr>
            <w:r>
              <w:rPr>
                <w:rFonts w:ascii="宋体" w:hAnsi="宋体" w:eastAsia="宋体" w:cs="宋体"/>
                <w:sz w:val="18"/>
                <w:szCs w:val="18"/>
              </w:rPr>
              <w:t>研发费用加计扣除</w:t>
            </w:r>
          </w:p>
        </w:tc>
        <w:tc>
          <w:tcPr>
            <w:tcW w:w="4820" w:type="dxa"/>
            <w:tcBorders>
              <w:top w:val="single" w:color="auto" w:sz="2" w:space="0"/>
              <w:left w:val="single" w:color="auto" w:sz="2" w:space="0"/>
              <w:bottom w:val="single" w:color="auto" w:sz="2" w:space="0"/>
              <w:right w:val="single" w:color="auto" w:sz="2" w:space="0"/>
            </w:tcBorders>
            <w:vAlign w:val="center"/>
          </w:tcPr>
          <w:p w14:paraId="4DC93A11">
            <w:pPr>
              <w:spacing w:line="240" w:lineRule="exact"/>
              <w:jc w:val="right"/>
              <w:rPr>
                <w:rFonts w:ascii="宋体" w:hAnsi="宋体" w:eastAsia="宋体" w:cs="宋体"/>
                <w:sz w:val="18"/>
                <w:szCs w:val="18"/>
              </w:rPr>
            </w:pPr>
            <w:r>
              <w:rPr>
                <w:rFonts w:ascii="宋体" w:hAnsi="宋体" w:eastAsia="宋体" w:cs="宋体"/>
                <w:sz w:val="18"/>
                <w:szCs w:val="18"/>
              </w:rPr>
              <w:t>-9,825,775.71</w:t>
            </w:r>
          </w:p>
        </w:tc>
      </w:tr>
      <w:tr w14:paraId="6935F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43F065E">
            <w:pPr>
              <w:spacing w:before="40" w:after="40" w:line="240" w:lineRule="exact"/>
              <w:rPr>
                <w:rFonts w:ascii="宋体" w:hAnsi="宋体" w:eastAsia="宋体" w:cs="宋体"/>
                <w:sz w:val="18"/>
                <w:szCs w:val="18"/>
              </w:rPr>
            </w:pPr>
            <w:r>
              <w:rPr>
                <w:rFonts w:ascii="宋体" w:hAnsi="宋体" w:eastAsia="宋体" w:cs="宋体"/>
                <w:sz w:val="18"/>
                <w:szCs w:val="18"/>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14:paraId="5B76C6B9">
            <w:pPr>
              <w:spacing w:line="240" w:lineRule="exact"/>
              <w:jc w:val="right"/>
              <w:rPr>
                <w:rFonts w:ascii="宋体" w:hAnsi="宋体" w:eastAsia="宋体" w:cs="宋体"/>
                <w:sz w:val="18"/>
                <w:szCs w:val="18"/>
              </w:rPr>
            </w:pPr>
            <w:r>
              <w:rPr>
                <w:rFonts w:ascii="宋体" w:hAnsi="宋体" w:eastAsia="宋体" w:cs="宋体"/>
                <w:sz w:val="18"/>
                <w:szCs w:val="18"/>
              </w:rPr>
              <w:t>11,773,401.43</w:t>
            </w:r>
          </w:p>
        </w:tc>
      </w:tr>
    </w:tbl>
    <w:p w14:paraId="5CC16429">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29C20F64">
      <w:pPr>
        <w:pStyle w:val="3"/>
        <w:spacing w:line="280" w:lineRule="exact"/>
        <w:jc w:val="left"/>
        <w:rPr>
          <w:rFonts w:ascii="宋体" w:hAnsi="宋体" w:cs="宋体"/>
          <w:b/>
          <w:bCs/>
        </w:rPr>
      </w:pPr>
      <w:bookmarkStart w:id="471" w:name="_Toc989325"/>
      <w:r>
        <w:rPr>
          <w:rFonts w:ascii="宋体" w:hAnsi="宋体" w:cs="宋体"/>
          <w:b/>
          <w:bCs/>
        </w:rPr>
        <w:t>77、其他综合收益</w:t>
      </w:r>
      <w:bookmarkEnd w:id="471"/>
    </w:p>
    <w:p w14:paraId="642FF4B9">
      <w:pPr>
        <w:spacing w:before="40" w:after="40" w:line="240" w:lineRule="exact"/>
        <w:rPr>
          <w:rFonts w:ascii="宋体" w:hAnsi="宋体" w:eastAsia="宋体" w:cs="宋体"/>
          <w:sz w:val="18"/>
          <w:szCs w:val="18"/>
        </w:rPr>
      </w:pPr>
      <w:r>
        <w:rPr>
          <w:rFonts w:ascii="宋体" w:hAnsi="宋体" w:eastAsia="宋体" w:cs="宋体"/>
          <w:sz w:val="18"/>
          <w:szCs w:val="18"/>
        </w:rPr>
        <w:t>详见附注57。</w:t>
      </w:r>
    </w:p>
    <w:p w14:paraId="03C636F8">
      <w:pPr>
        <w:pStyle w:val="3"/>
        <w:spacing w:line="280" w:lineRule="exact"/>
        <w:jc w:val="left"/>
        <w:rPr>
          <w:rFonts w:ascii="宋体" w:hAnsi="宋体" w:cs="宋体"/>
          <w:b/>
          <w:bCs/>
        </w:rPr>
      </w:pPr>
      <w:bookmarkStart w:id="472" w:name="_Toc989326"/>
      <w:r>
        <w:rPr>
          <w:rFonts w:ascii="宋体" w:hAnsi="宋体" w:cs="宋体"/>
          <w:b/>
          <w:bCs/>
        </w:rPr>
        <w:t>78、现金流量表项目</w:t>
      </w:r>
      <w:bookmarkEnd w:id="472"/>
    </w:p>
    <w:p w14:paraId="15D2547F">
      <w:pPr>
        <w:keepNext/>
        <w:keepLines/>
        <w:spacing w:before="300" w:after="300" w:line="280" w:lineRule="exact"/>
        <w:outlineLvl w:val="3"/>
        <w:rPr>
          <w:rFonts w:ascii="宋体" w:hAnsi="宋体" w:eastAsia="宋体" w:cs="宋体"/>
          <w:b/>
          <w:bCs/>
          <w:szCs w:val="21"/>
        </w:rPr>
      </w:pPr>
      <w:bookmarkStart w:id="473" w:name="_Toc989327"/>
      <w:r>
        <w:rPr>
          <w:rFonts w:ascii="宋体" w:hAnsi="宋体" w:eastAsia="宋体" w:cs="宋体"/>
          <w:b/>
          <w:bCs/>
          <w:szCs w:val="21"/>
        </w:rPr>
        <w:t>（1） 与经营活动有关的现金</w:t>
      </w:r>
      <w:bookmarkEnd w:id="473"/>
    </w:p>
    <w:p w14:paraId="28A9FEAC">
      <w:pPr>
        <w:spacing w:before="100" w:after="100" w:line="240" w:lineRule="exact"/>
        <w:rPr>
          <w:rFonts w:ascii="宋体" w:hAnsi="宋体" w:eastAsia="宋体" w:cs="宋体"/>
          <w:sz w:val="18"/>
          <w:szCs w:val="18"/>
        </w:rPr>
      </w:pPr>
      <w:r>
        <w:rPr>
          <w:rFonts w:ascii="宋体" w:hAnsi="宋体" w:eastAsia="宋体" w:cs="宋体"/>
          <w:sz w:val="18"/>
          <w:szCs w:val="18"/>
        </w:rPr>
        <w:t>收到的其他与经营活动有关的现金</w:t>
      </w:r>
    </w:p>
    <w:p w14:paraId="3657713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59F6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11F8D3">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F5CE6F">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6F9295">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07EE9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BB99CF0">
            <w:pPr>
              <w:spacing w:line="240" w:lineRule="exac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14:paraId="2569A3E6">
            <w:pPr>
              <w:spacing w:line="240" w:lineRule="exact"/>
              <w:jc w:val="right"/>
              <w:rPr>
                <w:rFonts w:ascii="宋体" w:hAnsi="宋体" w:eastAsia="宋体" w:cs="宋体"/>
                <w:sz w:val="18"/>
                <w:szCs w:val="18"/>
              </w:rPr>
            </w:pPr>
            <w:r>
              <w:rPr>
                <w:rFonts w:ascii="宋体" w:hAnsi="宋体" w:eastAsia="宋体" w:cs="宋体"/>
                <w:sz w:val="18"/>
                <w:szCs w:val="18"/>
              </w:rPr>
              <w:t>47,337,193.93</w:t>
            </w:r>
          </w:p>
        </w:tc>
        <w:tc>
          <w:tcPr>
            <w:tcW w:w="3213" w:type="dxa"/>
            <w:tcBorders>
              <w:top w:val="single" w:color="auto" w:sz="2" w:space="0"/>
              <w:left w:val="single" w:color="auto" w:sz="2" w:space="0"/>
              <w:bottom w:val="single" w:color="auto" w:sz="2" w:space="0"/>
              <w:right w:val="single" w:color="auto" w:sz="2" w:space="0"/>
            </w:tcBorders>
            <w:vAlign w:val="center"/>
          </w:tcPr>
          <w:p w14:paraId="5F177E44">
            <w:pPr>
              <w:spacing w:line="240" w:lineRule="exact"/>
              <w:jc w:val="right"/>
              <w:rPr>
                <w:rFonts w:ascii="宋体" w:hAnsi="宋体" w:eastAsia="宋体" w:cs="宋体"/>
                <w:sz w:val="18"/>
                <w:szCs w:val="18"/>
              </w:rPr>
            </w:pPr>
            <w:r>
              <w:rPr>
                <w:rFonts w:ascii="宋体" w:hAnsi="宋体" w:eastAsia="宋体" w:cs="宋体"/>
                <w:sz w:val="18"/>
                <w:szCs w:val="18"/>
              </w:rPr>
              <w:t>68,519,896.21</w:t>
            </w:r>
          </w:p>
        </w:tc>
      </w:tr>
      <w:tr w14:paraId="3DA07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1FD3286">
            <w:pPr>
              <w:spacing w:line="240" w:lineRule="exact"/>
              <w:rPr>
                <w:rFonts w:ascii="宋体" w:hAnsi="宋体" w:eastAsia="宋体" w:cs="宋体"/>
                <w:sz w:val="18"/>
                <w:szCs w:val="18"/>
              </w:rPr>
            </w:pPr>
            <w:r>
              <w:rPr>
                <w:rFonts w:ascii="宋体" w:hAnsi="宋体" w:eastAsia="宋体" w:cs="宋体"/>
                <w:sz w:val="18"/>
                <w:szCs w:val="18"/>
              </w:rPr>
              <w:t>政府补助</w:t>
            </w:r>
          </w:p>
        </w:tc>
        <w:tc>
          <w:tcPr>
            <w:tcW w:w="3213" w:type="dxa"/>
            <w:tcBorders>
              <w:top w:val="single" w:color="auto" w:sz="2" w:space="0"/>
              <w:left w:val="single" w:color="auto" w:sz="2" w:space="0"/>
              <w:bottom w:val="single" w:color="auto" w:sz="2" w:space="0"/>
              <w:right w:val="single" w:color="auto" w:sz="2" w:space="0"/>
            </w:tcBorders>
            <w:vAlign w:val="center"/>
          </w:tcPr>
          <w:p w14:paraId="542412FF">
            <w:pPr>
              <w:spacing w:line="240" w:lineRule="exact"/>
              <w:jc w:val="right"/>
              <w:rPr>
                <w:rFonts w:ascii="宋体" w:hAnsi="宋体" w:eastAsia="宋体" w:cs="宋体"/>
                <w:sz w:val="18"/>
                <w:szCs w:val="18"/>
              </w:rPr>
            </w:pPr>
            <w:r>
              <w:rPr>
                <w:rFonts w:ascii="宋体" w:hAnsi="宋体" w:eastAsia="宋体" w:cs="宋体"/>
                <w:sz w:val="18"/>
                <w:szCs w:val="18"/>
              </w:rPr>
              <w:t>418,067,929.92</w:t>
            </w:r>
          </w:p>
        </w:tc>
        <w:tc>
          <w:tcPr>
            <w:tcW w:w="3213" w:type="dxa"/>
            <w:tcBorders>
              <w:top w:val="single" w:color="auto" w:sz="2" w:space="0"/>
              <w:left w:val="single" w:color="auto" w:sz="2" w:space="0"/>
              <w:bottom w:val="single" w:color="auto" w:sz="2" w:space="0"/>
              <w:right w:val="single" w:color="auto" w:sz="2" w:space="0"/>
            </w:tcBorders>
            <w:vAlign w:val="center"/>
          </w:tcPr>
          <w:p w14:paraId="4B8424B1">
            <w:pPr>
              <w:spacing w:line="240" w:lineRule="exact"/>
              <w:jc w:val="right"/>
              <w:rPr>
                <w:rFonts w:ascii="宋体" w:hAnsi="宋体" w:eastAsia="宋体" w:cs="宋体"/>
                <w:sz w:val="18"/>
                <w:szCs w:val="18"/>
              </w:rPr>
            </w:pPr>
            <w:r>
              <w:rPr>
                <w:rFonts w:ascii="宋体" w:hAnsi="宋体" w:eastAsia="宋体" w:cs="宋体"/>
                <w:sz w:val="18"/>
                <w:szCs w:val="18"/>
              </w:rPr>
              <w:t>378,492,613.11</w:t>
            </w:r>
          </w:p>
        </w:tc>
      </w:tr>
      <w:tr w14:paraId="74D94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E42F334">
            <w:pPr>
              <w:spacing w:line="240" w:lineRule="exact"/>
              <w:rPr>
                <w:rFonts w:ascii="宋体" w:hAnsi="宋体" w:eastAsia="宋体" w:cs="宋体"/>
                <w:sz w:val="18"/>
                <w:szCs w:val="18"/>
              </w:rPr>
            </w:pPr>
            <w:r>
              <w:rPr>
                <w:rFonts w:ascii="宋体" w:hAnsi="宋体" w:eastAsia="宋体" w:cs="宋体"/>
                <w:sz w:val="18"/>
                <w:szCs w:val="18"/>
              </w:rPr>
              <w:t>往来款及其他</w:t>
            </w:r>
          </w:p>
        </w:tc>
        <w:tc>
          <w:tcPr>
            <w:tcW w:w="3213" w:type="dxa"/>
            <w:tcBorders>
              <w:top w:val="single" w:color="auto" w:sz="2" w:space="0"/>
              <w:left w:val="single" w:color="auto" w:sz="2" w:space="0"/>
              <w:bottom w:val="single" w:color="auto" w:sz="2" w:space="0"/>
              <w:right w:val="single" w:color="auto" w:sz="2" w:space="0"/>
            </w:tcBorders>
            <w:vAlign w:val="center"/>
          </w:tcPr>
          <w:p w14:paraId="01D93041">
            <w:pPr>
              <w:spacing w:line="240" w:lineRule="exact"/>
              <w:jc w:val="right"/>
              <w:rPr>
                <w:rFonts w:ascii="宋体" w:hAnsi="宋体" w:eastAsia="宋体" w:cs="宋体"/>
                <w:sz w:val="18"/>
                <w:szCs w:val="18"/>
              </w:rPr>
            </w:pPr>
            <w:r>
              <w:rPr>
                <w:rFonts w:ascii="宋体" w:hAnsi="宋体" w:eastAsia="宋体" w:cs="宋体"/>
                <w:sz w:val="18"/>
                <w:szCs w:val="18"/>
              </w:rPr>
              <w:t>48,581,577.90</w:t>
            </w:r>
          </w:p>
        </w:tc>
        <w:tc>
          <w:tcPr>
            <w:tcW w:w="3213" w:type="dxa"/>
            <w:tcBorders>
              <w:top w:val="single" w:color="auto" w:sz="2" w:space="0"/>
              <w:left w:val="single" w:color="auto" w:sz="2" w:space="0"/>
              <w:bottom w:val="single" w:color="auto" w:sz="2" w:space="0"/>
              <w:right w:val="single" w:color="auto" w:sz="2" w:space="0"/>
            </w:tcBorders>
            <w:vAlign w:val="center"/>
          </w:tcPr>
          <w:p w14:paraId="28F6B5B2">
            <w:pPr>
              <w:spacing w:line="240" w:lineRule="exact"/>
              <w:jc w:val="right"/>
              <w:rPr>
                <w:rFonts w:ascii="宋体" w:hAnsi="宋体" w:eastAsia="宋体" w:cs="宋体"/>
                <w:sz w:val="18"/>
                <w:szCs w:val="18"/>
              </w:rPr>
            </w:pPr>
            <w:r>
              <w:rPr>
                <w:rFonts w:ascii="宋体" w:hAnsi="宋体" w:eastAsia="宋体" w:cs="宋体"/>
                <w:sz w:val="18"/>
                <w:szCs w:val="18"/>
              </w:rPr>
              <w:t>29,282,889.46</w:t>
            </w:r>
          </w:p>
        </w:tc>
      </w:tr>
      <w:tr w14:paraId="73914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187112">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4F19A5E">
            <w:pPr>
              <w:spacing w:line="240" w:lineRule="exact"/>
              <w:jc w:val="right"/>
              <w:rPr>
                <w:rFonts w:ascii="宋体" w:hAnsi="宋体" w:eastAsia="宋体" w:cs="宋体"/>
                <w:sz w:val="18"/>
                <w:szCs w:val="18"/>
              </w:rPr>
            </w:pPr>
            <w:r>
              <w:rPr>
                <w:rFonts w:ascii="宋体" w:hAnsi="宋体" w:eastAsia="宋体" w:cs="宋体"/>
                <w:sz w:val="18"/>
                <w:szCs w:val="18"/>
              </w:rPr>
              <w:t>513,986,701.75</w:t>
            </w:r>
          </w:p>
        </w:tc>
        <w:tc>
          <w:tcPr>
            <w:tcW w:w="3213" w:type="dxa"/>
            <w:tcBorders>
              <w:top w:val="single" w:color="auto" w:sz="2" w:space="0"/>
              <w:left w:val="single" w:color="auto" w:sz="2" w:space="0"/>
              <w:bottom w:val="single" w:color="auto" w:sz="2" w:space="0"/>
              <w:right w:val="single" w:color="auto" w:sz="2" w:space="0"/>
            </w:tcBorders>
            <w:vAlign w:val="center"/>
          </w:tcPr>
          <w:p w14:paraId="6C473D49">
            <w:pPr>
              <w:spacing w:line="240" w:lineRule="exact"/>
              <w:jc w:val="right"/>
              <w:rPr>
                <w:rFonts w:ascii="宋体" w:hAnsi="宋体" w:eastAsia="宋体" w:cs="宋体"/>
                <w:sz w:val="18"/>
                <w:szCs w:val="18"/>
              </w:rPr>
            </w:pPr>
            <w:r>
              <w:rPr>
                <w:rFonts w:ascii="宋体" w:hAnsi="宋体" w:eastAsia="宋体" w:cs="宋体"/>
                <w:sz w:val="18"/>
                <w:szCs w:val="18"/>
              </w:rPr>
              <w:t>476,295,398.78</w:t>
            </w:r>
          </w:p>
        </w:tc>
      </w:tr>
    </w:tbl>
    <w:p w14:paraId="3A6A5674">
      <w:pPr>
        <w:spacing w:before="100" w:after="100" w:line="240" w:lineRule="exact"/>
        <w:rPr>
          <w:rFonts w:ascii="宋体" w:hAnsi="宋体" w:eastAsia="宋体" w:cs="宋体"/>
          <w:sz w:val="18"/>
          <w:szCs w:val="18"/>
        </w:rPr>
      </w:pPr>
      <w:r>
        <w:rPr>
          <w:rFonts w:ascii="宋体" w:hAnsi="宋体" w:eastAsia="宋体" w:cs="宋体"/>
          <w:sz w:val="18"/>
          <w:szCs w:val="18"/>
        </w:rPr>
        <w:t>收到的其他与经营活动有关的现金说明：</w:t>
      </w:r>
      <w:r>
        <w:rPr>
          <w:rFonts w:hint="eastAsia"/>
          <w:sz w:val="18"/>
          <w:szCs w:val="18"/>
        </w:rPr>
        <w:t>无</w:t>
      </w:r>
    </w:p>
    <w:p w14:paraId="0CF7F533">
      <w:pPr>
        <w:spacing w:before="100" w:after="100" w:line="240" w:lineRule="exact"/>
        <w:rPr>
          <w:rFonts w:ascii="宋体" w:hAnsi="宋体" w:eastAsia="宋体" w:cs="宋体"/>
          <w:sz w:val="18"/>
          <w:szCs w:val="18"/>
        </w:rPr>
      </w:pPr>
      <w:r>
        <w:rPr>
          <w:rFonts w:ascii="宋体" w:hAnsi="宋体" w:eastAsia="宋体" w:cs="宋体"/>
          <w:sz w:val="18"/>
          <w:szCs w:val="18"/>
        </w:rPr>
        <w:t>支付的其他与经营活动有关的现金</w:t>
      </w:r>
    </w:p>
    <w:p w14:paraId="554E7D5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54C4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ABC94CA">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0A045D">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AAE97C">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1E7AD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32C7047">
            <w:pPr>
              <w:spacing w:line="240" w:lineRule="exact"/>
              <w:rPr>
                <w:rFonts w:ascii="宋体" w:hAnsi="宋体" w:eastAsia="宋体" w:cs="宋体"/>
                <w:sz w:val="18"/>
                <w:szCs w:val="18"/>
              </w:rPr>
            </w:pPr>
            <w:r>
              <w:rPr>
                <w:rFonts w:ascii="宋体" w:hAnsi="宋体" w:eastAsia="宋体" w:cs="宋体"/>
                <w:sz w:val="18"/>
                <w:szCs w:val="18"/>
              </w:rPr>
              <w:t>费用类支出</w:t>
            </w:r>
          </w:p>
        </w:tc>
        <w:tc>
          <w:tcPr>
            <w:tcW w:w="3213" w:type="dxa"/>
            <w:tcBorders>
              <w:top w:val="single" w:color="auto" w:sz="2" w:space="0"/>
              <w:left w:val="single" w:color="auto" w:sz="2" w:space="0"/>
              <w:bottom w:val="single" w:color="auto" w:sz="2" w:space="0"/>
              <w:right w:val="single" w:color="auto" w:sz="2" w:space="0"/>
            </w:tcBorders>
            <w:vAlign w:val="center"/>
          </w:tcPr>
          <w:p w14:paraId="2CB7956F">
            <w:pPr>
              <w:spacing w:line="240" w:lineRule="exact"/>
              <w:jc w:val="right"/>
              <w:rPr>
                <w:rFonts w:ascii="宋体" w:hAnsi="宋体" w:eastAsia="宋体" w:cs="宋体"/>
                <w:sz w:val="18"/>
                <w:szCs w:val="18"/>
              </w:rPr>
            </w:pPr>
            <w:r>
              <w:rPr>
                <w:rFonts w:ascii="宋体" w:hAnsi="宋体" w:eastAsia="宋体" w:cs="宋体"/>
                <w:sz w:val="18"/>
                <w:szCs w:val="18"/>
              </w:rPr>
              <w:t>337,805,710.46</w:t>
            </w:r>
          </w:p>
        </w:tc>
        <w:tc>
          <w:tcPr>
            <w:tcW w:w="3213" w:type="dxa"/>
            <w:tcBorders>
              <w:top w:val="single" w:color="auto" w:sz="2" w:space="0"/>
              <w:left w:val="single" w:color="auto" w:sz="2" w:space="0"/>
              <w:bottom w:val="single" w:color="auto" w:sz="2" w:space="0"/>
              <w:right w:val="single" w:color="auto" w:sz="2" w:space="0"/>
            </w:tcBorders>
            <w:vAlign w:val="center"/>
          </w:tcPr>
          <w:p w14:paraId="15363F95">
            <w:pPr>
              <w:spacing w:line="240" w:lineRule="exact"/>
              <w:jc w:val="right"/>
              <w:rPr>
                <w:rFonts w:ascii="宋体" w:hAnsi="宋体" w:eastAsia="宋体" w:cs="宋体"/>
                <w:sz w:val="18"/>
                <w:szCs w:val="18"/>
              </w:rPr>
            </w:pPr>
            <w:r>
              <w:rPr>
                <w:rFonts w:ascii="宋体" w:hAnsi="宋体" w:eastAsia="宋体" w:cs="宋体"/>
                <w:sz w:val="18"/>
                <w:szCs w:val="18"/>
              </w:rPr>
              <w:t>274,157,750.05</w:t>
            </w:r>
          </w:p>
        </w:tc>
      </w:tr>
      <w:tr w14:paraId="03475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15E9F66">
            <w:pPr>
              <w:spacing w:line="240" w:lineRule="exact"/>
              <w:rPr>
                <w:rFonts w:ascii="宋体" w:hAnsi="宋体" w:eastAsia="宋体" w:cs="宋体"/>
                <w:sz w:val="18"/>
                <w:szCs w:val="18"/>
              </w:rPr>
            </w:pPr>
            <w:r>
              <w:rPr>
                <w:rFonts w:ascii="宋体" w:hAnsi="宋体" w:eastAsia="宋体" w:cs="宋体"/>
                <w:sz w:val="18"/>
                <w:szCs w:val="18"/>
              </w:rPr>
              <w:t>往来款及其他</w:t>
            </w:r>
          </w:p>
        </w:tc>
        <w:tc>
          <w:tcPr>
            <w:tcW w:w="3213" w:type="dxa"/>
            <w:tcBorders>
              <w:top w:val="single" w:color="auto" w:sz="2" w:space="0"/>
              <w:left w:val="single" w:color="auto" w:sz="2" w:space="0"/>
              <w:bottom w:val="single" w:color="auto" w:sz="2" w:space="0"/>
              <w:right w:val="single" w:color="auto" w:sz="2" w:space="0"/>
            </w:tcBorders>
            <w:vAlign w:val="center"/>
          </w:tcPr>
          <w:p w14:paraId="55513BA1">
            <w:pPr>
              <w:spacing w:line="240" w:lineRule="exact"/>
              <w:jc w:val="right"/>
              <w:rPr>
                <w:rFonts w:ascii="宋体" w:hAnsi="宋体" w:eastAsia="宋体" w:cs="宋体"/>
                <w:sz w:val="18"/>
                <w:szCs w:val="18"/>
              </w:rPr>
            </w:pPr>
            <w:r>
              <w:rPr>
                <w:rFonts w:ascii="宋体" w:hAnsi="宋体" w:eastAsia="宋体" w:cs="宋体"/>
                <w:sz w:val="18"/>
                <w:szCs w:val="18"/>
              </w:rPr>
              <w:t>33,126,086.07</w:t>
            </w:r>
          </w:p>
        </w:tc>
        <w:tc>
          <w:tcPr>
            <w:tcW w:w="3213" w:type="dxa"/>
            <w:tcBorders>
              <w:top w:val="single" w:color="auto" w:sz="2" w:space="0"/>
              <w:left w:val="single" w:color="auto" w:sz="2" w:space="0"/>
              <w:bottom w:val="single" w:color="auto" w:sz="2" w:space="0"/>
              <w:right w:val="single" w:color="auto" w:sz="2" w:space="0"/>
            </w:tcBorders>
            <w:vAlign w:val="center"/>
          </w:tcPr>
          <w:p w14:paraId="7579F547">
            <w:pPr>
              <w:spacing w:line="240" w:lineRule="exact"/>
              <w:jc w:val="right"/>
              <w:rPr>
                <w:rFonts w:ascii="宋体" w:hAnsi="宋体" w:eastAsia="宋体" w:cs="宋体"/>
                <w:sz w:val="18"/>
                <w:szCs w:val="18"/>
              </w:rPr>
            </w:pPr>
            <w:r>
              <w:rPr>
                <w:rFonts w:ascii="宋体" w:hAnsi="宋体" w:eastAsia="宋体" w:cs="宋体"/>
                <w:sz w:val="18"/>
                <w:szCs w:val="18"/>
              </w:rPr>
              <w:t>28,376,678.98</w:t>
            </w:r>
          </w:p>
        </w:tc>
      </w:tr>
      <w:tr w14:paraId="1DDC0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B6709A9">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ACAA11C">
            <w:pPr>
              <w:spacing w:line="240" w:lineRule="exact"/>
              <w:jc w:val="right"/>
              <w:rPr>
                <w:rFonts w:ascii="宋体" w:hAnsi="宋体" w:eastAsia="宋体" w:cs="宋体"/>
                <w:sz w:val="18"/>
                <w:szCs w:val="18"/>
              </w:rPr>
            </w:pPr>
            <w:r>
              <w:rPr>
                <w:rFonts w:ascii="宋体" w:hAnsi="宋体" w:eastAsia="宋体" w:cs="宋体"/>
                <w:sz w:val="18"/>
                <w:szCs w:val="18"/>
              </w:rPr>
              <w:t>370,931,796.53</w:t>
            </w:r>
          </w:p>
        </w:tc>
        <w:tc>
          <w:tcPr>
            <w:tcW w:w="3213" w:type="dxa"/>
            <w:tcBorders>
              <w:top w:val="single" w:color="auto" w:sz="2" w:space="0"/>
              <w:left w:val="single" w:color="auto" w:sz="2" w:space="0"/>
              <w:bottom w:val="single" w:color="auto" w:sz="2" w:space="0"/>
              <w:right w:val="single" w:color="auto" w:sz="2" w:space="0"/>
            </w:tcBorders>
            <w:vAlign w:val="center"/>
          </w:tcPr>
          <w:p w14:paraId="43E65C9C">
            <w:pPr>
              <w:spacing w:line="240" w:lineRule="exact"/>
              <w:jc w:val="right"/>
              <w:rPr>
                <w:rFonts w:ascii="宋体" w:hAnsi="宋体" w:eastAsia="宋体" w:cs="宋体"/>
                <w:sz w:val="18"/>
                <w:szCs w:val="18"/>
              </w:rPr>
            </w:pPr>
            <w:r>
              <w:rPr>
                <w:rFonts w:ascii="宋体" w:hAnsi="宋体" w:eastAsia="宋体" w:cs="宋体"/>
                <w:sz w:val="18"/>
                <w:szCs w:val="18"/>
              </w:rPr>
              <w:t>302,534,429.03</w:t>
            </w:r>
          </w:p>
        </w:tc>
      </w:tr>
    </w:tbl>
    <w:p w14:paraId="081B5329">
      <w:pPr>
        <w:spacing w:before="100" w:after="100" w:line="240" w:lineRule="exact"/>
        <w:rPr>
          <w:rFonts w:ascii="宋体" w:hAnsi="宋体" w:eastAsia="宋体" w:cs="宋体"/>
          <w:sz w:val="18"/>
          <w:szCs w:val="18"/>
        </w:rPr>
      </w:pPr>
      <w:r>
        <w:rPr>
          <w:rFonts w:ascii="宋体" w:hAnsi="宋体" w:eastAsia="宋体" w:cs="宋体"/>
          <w:sz w:val="18"/>
          <w:szCs w:val="18"/>
        </w:rPr>
        <w:t>支付的其他与经营活动有关的现金说明：</w:t>
      </w:r>
      <w:r>
        <w:rPr>
          <w:rFonts w:hint="eastAsia"/>
          <w:sz w:val="18"/>
          <w:szCs w:val="18"/>
        </w:rPr>
        <w:t>无</w:t>
      </w:r>
    </w:p>
    <w:p w14:paraId="19CD1DA4">
      <w:pPr>
        <w:keepNext/>
        <w:keepLines/>
        <w:spacing w:before="300" w:after="300" w:line="280" w:lineRule="exact"/>
        <w:outlineLvl w:val="3"/>
        <w:rPr>
          <w:rFonts w:ascii="宋体" w:hAnsi="宋体" w:eastAsia="宋体" w:cs="宋体"/>
          <w:b/>
          <w:bCs/>
          <w:szCs w:val="21"/>
        </w:rPr>
      </w:pPr>
      <w:bookmarkStart w:id="474" w:name="_Toc989328"/>
      <w:r>
        <w:rPr>
          <w:rFonts w:ascii="宋体" w:hAnsi="宋体" w:eastAsia="宋体" w:cs="宋体"/>
          <w:b/>
          <w:bCs/>
          <w:szCs w:val="21"/>
        </w:rPr>
        <w:t>（2） 与投资活动有关的现金</w:t>
      </w:r>
      <w:bookmarkEnd w:id="474"/>
    </w:p>
    <w:p w14:paraId="6F7CDC8D">
      <w:pPr>
        <w:spacing w:before="100" w:after="100" w:line="240" w:lineRule="exact"/>
        <w:rPr>
          <w:rFonts w:ascii="宋体" w:hAnsi="宋体" w:eastAsia="宋体" w:cs="宋体"/>
          <w:sz w:val="18"/>
          <w:szCs w:val="18"/>
        </w:rPr>
      </w:pPr>
      <w:r>
        <w:rPr>
          <w:rFonts w:ascii="宋体" w:hAnsi="宋体" w:eastAsia="宋体" w:cs="宋体"/>
          <w:sz w:val="18"/>
          <w:szCs w:val="18"/>
        </w:rPr>
        <w:t>支付的其他与投资活动有关的现金说明：无</w:t>
      </w:r>
    </w:p>
    <w:p w14:paraId="3D30E1D1">
      <w:pPr>
        <w:keepNext/>
        <w:keepLines/>
        <w:spacing w:before="300" w:after="300" w:line="280" w:lineRule="exact"/>
        <w:outlineLvl w:val="3"/>
        <w:rPr>
          <w:rFonts w:ascii="宋体" w:hAnsi="宋体" w:eastAsia="宋体" w:cs="宋体"/>
          <w:b/>
          <w:bCs/>
          <w:szCs w:val="21"/>
        </w:rPr>
      </w:pPr>
      <w:bookmarkStart w:id="475" w:name="_Toc989329"/>
      <w:r>
        <w:rPr>
          <w:rFonts w:ascii="宋体" w:hAnsi="宋体" w:eastAsia="宋体" w:cs="宋体"/>
          <w:b/>
          <w:bCs/>
          <w:szCs w:val="21"/>
        </w:rPr>
        <w:t>（3） 与筹资活动有关的现金</w:t>
      </w:r>
      <w:bookmarkEnd w:id="475"/>
    </w:p>
    <w:p w14:paraId="59CE32CE">
      <w:pPr>
        <w:spacing w:before="100" w:after="100" w:line="240" w:lineRule="exact"/>
        <w:rPr>
          <w:rFonts w:ascii="宋体" w:hAnsi="宋体" w:eastAsia="宋体" w:cs="宋体"/>
          <w:sz w:val="18"/>
          <w:szCs w:val="18"/>
        </w:rPr>
      </w:pPr>
      <w:r>
        <w:rPr>
          <w:rFonts w:ascii="宋体" w:hAnsi="宋体" w:eastAsia="宋体" w:cs="宋体"/>
          <w:sz w:val="18"/>
          <w:szCs w:val="18"/>
        </w:rPr>
        <w:t>收到的其他与筹资活动有关的现金</w:t>
      </w:r>
    </w:p>
    <w:p w14:paraId="0C78325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23F24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827E6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0D32A17">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9518AE">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1FB11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67604D5">
            <w:pPr>
              <w:spacing w:line="240" w:lineRule="exact"/>
              <w:rPr>
                <w:rFonts w:ascii="宋体" w:hAnsi="宋体" w:eastAsia="宋体" w:cs="宋体"/>
                <w:sz w:val="18"/>
                <w:szCs w:val="18"/>
              </w:rPr>
            </w:pPr>
            <w:r>
              <w:rPr>
                <w:rFonts w:ascii="宋体" w:hAnsi="宋体" w:eastAsia="宋体" w:cs="宋体"/>
                <w:sz w:val="18"/>
                <w:szCs w:val="18"/>
              </w:rPr>
              <w:t>受限的货币资金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569816E1">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2F2746A">
            <w:pPr>
              <w:spacing w:line="240" w:lineRule="exact"/>
              <w:jc w:val="right"/>
              <w:rPr>
                <w:rFonts w:ascii="宋体" w:hAnsi="宋体" w:eastAsia="宋体" w:cs="宋体"/>
                <w:sz w:val="18"/>
                <w:szCs w:val="18"/>
              </w:rPr>
            </w:pPr>
            <w:r>
              <w:rPr>
                <w:rFonts w:ascii="宋体" w:hAnsi="宋体" w:eastAsia="宋体" w:cs="宋体"/>
                <w:sz w:val="18"/>
                <w:szCs w:val="18"/>
              </w:rPr>
              <w:t>113,457,176.61</w:t>
            </w:r>
          </w:p>
        </w:tc>
      </w:tr>
      <w:tr w14:paraId="28607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681D2A69">
            <w:pPr>
              <w:spacing w:line="240" w:lineRule="exact"/>
              <w:rPr>
                <w:rFonts w:ascii="宋体" w:hAnsi="宋体" w:eastAsia="宋体" w:cs="宋体"/>
                <w:sz w:val="18"/>
                <w:szCs w:val="18"/>
              </w:rPr>
            </w:pPr>
            <w:r>
              <w:rPr>
                <w:rFonts w:ascii="宋体" w:hAnsi="宋体" w:eastAsia="宋体" w:cs="宋体"/>
                <w:sz w:val="18"/>
                <w:szCs w:val="18"/>
              </w:rPr>
              <w:t>关联往来</w:t>
            </w:r>
          </w:p>
        </w:tc>
        <w:tc>
          <w:tcPr>
            <w:tcW w:w="3213" w:type="dxa"/>
            <w:tcBorders>
              <w:top w:val="single" w:color="auto" w:sz="2" w:space="0"/>
              <w:left w:val="single" w:color="auto" w:sz="2" w:space="0"/>
              <w:bottom w:val="single" w:color="auto" w:sz="2" w:space="0"/>
              <w:right w:val="single" w:color="auto" w:sz="2" w:space="0"/>
            </w:tcBorders>
            <w:vAlign w:val="center"/>
          </w:tcPr>
          <w:p w14:paraId="5BB0EA04">
            <w:pPr>
              <w:spacing w:line="240" w:lineRule="exact"/>
              <w:jc w:val="right"/>
              <w:rPr>
                <w:rFonts w:ascii="宋体" w:hAnsi="宋体" w:eastAsia="宋体" w:cs="宋体"/>
                <w:sz w:val="18"/>
                <w:szCs w:val="18"/>
              </w:rPr>
            </w:pPr>
            <w:r>
              <w:rPr>
                <w:rFonts w:ascii="宋体" w:hAnsi="宋体" w:eastAsia="宋体" w:cs="宋体"/>
                <w:sz w:val="18"/>
                <w:szCs w:val="18"/>
              </w:rPr>
              <w:t>11,015,392.99</w:t>
            </w:r>
          </w:p>
        </w:tc>
        <w:tc>
          <w:tcPr>
            <w:tcW w:w="3213" w:type="dxa"/>
            <w:tcBorders>
              <w:top w:val="single" w:color="auto" w:sz="2" w:space="0"/>
              <w:left w:val="single" w:color="auto" w:sz="2" w:space="0"/>
              <w:bottom w:val="single" w:color="auto" w:sz="2" w:space="0"/>
              <w:right w:val="single" w:color="auto" w:sz="2" w:space="0"/>
            </w:tcBorders>
            <w:vAlign w:val="center"/>
          </w:tcPr>
          <w:p w14:paraId="140EB069">
            <w:pPr>
              <w:spacing w:line="240" w:lineRule="exact"/>
              <w:jc w:val="right"/>
              <w:rPr>
                <w:rFonts w:ascii="宋体" w:hAnsi="宋体" w:eastAsia="宋体" w:cs="宋体"/>
                <w:sz w:val="18"/>
                <w:szCs w:val="18"/>
              </w:rPr>
            </w:pPr>
          </w:p>
        </w:tc>
      </w:tr>
      <w:tr w14:paraId="2D316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5049774">
            <w:pPr>
              <w:spacing w:line="240" w:lineRule="exact"/>
              <w:rPr>
                <w:rFonts w:ascii="宋体" w:hAnsi="宋体" w:eastAsia="宋体" w:cs="宋体"/>
                <w:sz w:val="18"/>
                <w:szCs w:val="18"/>
              </w:rPr>
            </w:pPr>
            <w:r>
              <w:rPr>
                <w:rFonts w:ascii="宋体" w:hAnsi="宋体" w:eastAsia="宋体" w:cs="宋体"/>
                <w:sz w:val="18"/>
                <w:szCs w:val="18"/>
              </w:rPr>
              <w:t>暂收款</w:t>
            </w:r>
          </w:p>
        </w:tc>
        <w:tc>
          <w:tcPr>
            <w:tcW w:w="3213" w:type="dxa"/>
            <w:tcBorders>
              <w:top w:val="single" w:color="auto" w:sz="2" w:space="0"/>
              <w:left w:val="single" w:color="auto" w:sz="2" w:space="0"/>
              <w:bottom w:val="single" w:color="auto" w:sz="2" w:space="0"/>
              <w:right w:val="single" w:color="auto" w:sz="2" w:space="0"/>
            </w:tcBorders>
            <w:vAlign w:val="center"/>
          </w:tcPr>
          <w:p w14:paraId="022302DF">
            <w:pPr>
              <w:spacing w:line="240" w:lineRule="exact"/>
              <w:jc w:val="right"/>
              <w:rPr>
                <w:rFonts w:ascii="宋体" w:hAnsi="宋体" w:eastAsia="宋体" w:cs="宋体"/>
                <w:sz w:val="18"/>
                <w:szCs w:val="18"/>
              </w:rPr>
            </w:pPr>
            <w:r>
              <w:rPr>
                <w:rFonts w:ascii="宋体" w:hAnsi="宋体" w:eastAsia="宋体" w:cs="宋体"/>
                <w:sz w:val="18"/>
                <w:szCs w:val="18"/>
              </w:rPr>
              <w:t>4,904,020.00</w:t>
            </w:r>
          </w:p>
        </w:tc>
        <w:tc>
          <w:tcPr>
            <w:tcW w:w="3213" w:type="dxa"/>
            <w:tcBorders>
              <w:top w:val="single" w:color="auto" w:sz="2" w:space="0"/>
              <w:left w:val="single" w:color="auto" w:sz="2" w:space="0"/>
              <w:bottom w:val="single" w:color="auto" w:sz="2" w:space="0"/>
              <w:right w:val="single" w:color="auto" w:sz="2" w:space="0"/>
            </w:tcBorders>
            <w:vAlign w:val="center"/>
          </w:tcPr>
          <w:p w14:paraId="6C16F07D">
            <w:pPr>
              <w:spacing w:line="240" w:lineRule="exact"/>
              <w:jc w:val="right"/>
              <w:rPr>
                <w:rFonts w:ascii="宋体" w:hAnsi="宋体" w:eastAsia="宋体" w:cs="宋体"/>
                <w:sz w:val="18"/>
                <w:szCs w:val="18"/>
              </w:rPr>
            </w:pPr>
          </w:p>
        </w:tc>
      </w:tr>
      <w:tr w14:paraId="3F0B9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243A31">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7D885DBD">
            <w:pPr>
              <w:spacing w:line="240" w:lineRule="exact"/>
              <w:jc w:val="right"/>
              <w:rPr>
                <w:rFonts w:ascii="宋体" w:hAnsi="宋体" w:eastAsia="宋体" w:cs="宋体"/>
                <w:sz w:val="18"/>
                <w:szCs w:val="18"/>
              </w:rPr>
            </w:pPr>
            <w:r>
              <w:rPr>
                <w:rFonts w:ascii="宋体" w:hAnsi="宋体" w:eastAsia="宋体" w:cs="宋体"/>
                <w:sz w:val="18"/>
                <w:szCs w:val="18"/>
              </w:rPr>
              <w:t>15,919,412.99</w:t>
            </w:r>
          </w:p>
        </w:tc>
        <w:tc>
          <w:tcPr>
            <w:tcW w:w="3213" w:type="dxa"/>
            <w:tcBorders>
              <w:top w:val="single" w:color="auto" w:sz="2" w:space="0"/>
              <w:left w:val="single" w:color="auto" w:sz="2" w:space="0"/>
              <w:bottom w:val="single" w:color="auto" w:sz="2" w:space="0"/>
              <w:right w:val="single" w:color="auto" w:sz="2" w:space="0"/>
            </w:tcBorders>
            <w:vAlign w:val="center"/>
          </w:tcPr>
          <w:p w14:paraId="2DCA6CD7">
            <w:pPr>
              <w:spacing w:line="240" w:lineRule="exact"/>
              <w:jc w:val="right"/>
              <w:rPr>
                <w:rFonts w:ascii="宋体" w:hAnsi="宋体" w:eastAsia="宋体" w:cs="宋体"/>
                <w:sz w:val="18"/>
                <w:szCs w:val="18"/>
              </w:rPr>
            </w:pPr>
            <w:r>
              <w:rPr>
                <w:rFonts w:ascii="宋体" w:hAnsi="宋体" w:eastAsia="宋体" w:cs="宋体"/>
                <w:sz w:val="18"/>
                <w:szCs w:val="18"/>
              </w:rPr>
              <w:t>113,457,176.61</w:t>
            </w:r>
          </w:p>
        </w:tc>
      </w:tr>
    </w:tbl>
    <w:p w14:paraId="7BA5C98A">
      <w:pPr>
        <w:spacing w:before="100" w:after="100" w:line="240" w:lineRule="exact"/>
        <w:rPr>
          <w:rFonts w:ascii="宋体" w:hAnsi="宋体" w:eastAsia="宋体" w:cs="宋体"/>
          <w:sz w:val="18"/>
          <w:szCs w:val="18"/>
        </w:rPr>
      </w:pPr>
      <w:r>
        <w:rPr>
          <w:rFonts w:ascii="宋体" w:hAnsi="宋体" w:eastAsia="宋体" w:cs="宋体"/>
          <w:sz w:val="18"/>
          <w:szCs w:val="18"/>
        </w:rPr>
        <w:t>收到的其他与筹资活动有关的现金说明：</w:t>
      </w:r>
      <w:r>
        <w:rPr>
          <w:rFonts w:hint="eastAsia"/>
          <w:sz w:val="18"/>
          <w:szCs w:val="18"/>
        </w:rPr>
        <w:t>无</w:t>
      </w:r>
    </w:p>
    <w:p w14:paraId="05321D9E">
      <w:pPr>
        <w:spacing w:before="100" w:after="100" w:line="240" w:lineRule="exact"/>
        <w:rPr>
          <w:rFonts w:ascii="宋体" w:hAnsi="宋体" w:eastAsia="宋体" w:cs="宋体"/>
          <w:sz w:val="18"/>
          <w:szCs w:val="18"/>
        </w:rPr>
      </w:pPr>
      <w:r>
        <w:rPr>
          <w:rFonts w:ascii="宋体" w:hAnsi="宋体" w:eastAsia="宋体" w:cs="宋体"/>
          <w:sz w:val="18"/>
          <w:szCs w:val="18"/>
        </w:rPr>
        <w:t>支付的其他与筹资活动有关的现金</w:t>
      </w:r>
    </w:p>
    <w:p w14:paraId="09FFD19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74A1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E5A35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AFEAEA">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70231D">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172F2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8CD1F2B">
            <w:pPr>
              <w:spacing w:line="240" w:lineRule="exact"/>
              <w:rPr>
                <w:rFonts w:ascii="宋体" w:hAnsi="宋体" w:eastAsia="宋体" w:cs="宋体"/>
                <w:sz w:val="18"/>
                <w:szCs w:val="18"/>
              </w:rPr>
            </w:pPr>
            <w:r>
              <w:rPr>
                <w:rFonts w:ascii="宋体" w:hAnsi="宋体" w:eastAsia="宋体" w:cs="宋体"/>
                <w:sz w:val="18"/>
                <w:szCs w:val="18"/>
              </w:rPr>
              <w:t>关联往来</w:t>
            </w:r>
          </w:p>
        </w:tc>
        <w:tc>
          <w:tcPr>
            <w:tcW w:w="3213" w:type="dxa"/>
            <w:tcBorders>
              <w:top w:val="single" w:color="auto" w:sz="2" w:space="0"/>
              <w:left w:val="single" w:color="auto" w:sz="2" w:space="0"/>
              <w:bottom w:val="single" w:color="auto" w:sz="2" w:space="0"/>
              <w:right w:val="single" w:color="auto" w:sz="2" w:space="0"/>
            </w:tcBorders>
            <w:vAlign w:val="center"/>
          </w:tcPr>
          <w:p w14:paraId="071A6E1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1596967">
            <w:pPr>
              <w:spacing w:line="240" w:lineRule="exact"/>
              <w:jc w:val="right"/>
              <w:rPr>
                <w:rFonts w:ascii="宋体" w:hAnsi="宋体" w:eastAsia="宋体" w:cs="宋体"/>
                <w:sz w:val="18"/>
                <w:szCs w:val="18"/>
              </w:rPr>
            </w:pPr>
            <w:r>
              <w:rPr>
                <w:rFonts w:ascii="宋体" w:hAnsi="宋体" w:eastAsia="宋体" w:cs="宋体"/>
                <w:sz w:val="18"/>
                <w:szCs w:val="18"/>
              </w:rPr>
              <w:t>689,297.11</w:t>
            </w:r>
          </w:p>
        </w:tc>
      </w:tr>
      <w:tr w14:paraId="52707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080D590">
            <w:pPr>
              <w:spacing w:line="240" w:lineRule="exact"/>
              <w:rPr>
                <w:rFonts w:ascii="宋体" w:hAnsi="宋体" w:eastAsia="宋体" w:cs="宋体"/>
                <w:sz w:val="18"/>
                <w:szCs w:val="18"/>
              </w:rPr>
            </w:pPr>
            <w:r>
              <w:rPr>
                <w:rFonts w:ascii="宋体" w:hAnsi="宋体" w:eastAsia="宋体" w:cs="宋体"/>
                <w:sz w:val="18"/>
                <w:szCs w:val="18"/>
              </w:rPr>
              <w:t>受限的货币资金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3A4B39DA">
            <w:pPr>
              <w:spacing w:line="240" w:lineRule="exact"/>
              <w:jc w:val="right"/>
              <w:rPr>
                <w:rFonts w:ascii="宋体" w:hAnsi="宋体" w:eastAsia="宋体" w:cs="宋体"/>
                <w:sz w:val="18"/>
                <w:szCs w:val="18"/>
              </w:rPr>
            </w:pPr>
            <w:r>
              <w:rPr>
                <w:rFonts w:ascii="宋体" w:hAnsi="宋体" w:eastAsia="宋体" w:cs="宋体"/>
                <w:sz w:val="18"/>
                <w:szCs w:val="18"/>
              </w:rPr>
              <w:t>127,636,167.35</w:t>
            </w:r>
          </w:p>
        </w:tc>
        <w:tc>
          <w:tcPr>
            <w:tcW w:w="3213" w:type="dxa"/>
            <w:tcBorders>
              <w:top w:val="single" w:color="auto" w:sz="2" w:space="0"/>
              <w:left w:val="single" w:color="auto" w:sz="2" w:space="0"/>
              <w:bottom w:val="single" w:color="auto" w:sz="2" w:space="0"/>
              <w:right w:val="single" w:color="auto" w:sz="2" w:space="0"/>
            </w:tcBorders>
            <w:vAlign w:val="center"/>
          </w:tcPr>
          <w:p w14:paraId="38DF1E22">
            <w:pPr>
              <w:spacing w:line="240" w:lineRule="exact"/>
              <w:jc w:val="right"/>
              <w:rPr>
                <w:rFonts w:ascii="宋体" w:hAnsi="宋体" w:eastAsia="宋体" w:cs="宋体"/>
                <w:sz w:val="18"/>
                <w:szCs w:val="18"/>
              </w:rPr>
            </w:pPr>
          </w:p>
        </w:tc>
      </w:tr>
      <w:tr w14:paraId="1DC00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0DF2B96">
            <w:pPr>
              <w:spacing w:line="240" w:lineRule="exact"/>
              <w:rPr>
                <w:rFonts w:ascii="宋体" w:hAnsi="宋体" w:eastAsia="宋体" w:cs="宋体"/>
                <w:sz w:val="18"/>
                <w:szCs w:val="18"/>
              </w:rPr>
            </w:pPr>
            <w:r>
              <w:rPr>
                <w:rFonts w:ascii="宋体" w:hAnsi="宋体" w:eastAsia="宋体" w:cs="宋体"/>
                <w:sz w:val="18"/>
                <w:szCs w:val="18"/>
              </w:rPr>
              <w:t>回购公司股票</w:t>
            </w:r>
          </w:p>
        </w:tc>
        <w:tc>
          <w:tcPr>
            <w:tcW w:w="3213" w:type="dxa"/>
            <w:tcBorders>
              <w:top w:val="single" w:color="auto" w:sz="2" w:space="0"/>
              <w:left w:val="single" w:color="auto" w:sz="2" w:space="0"/>
              <w:bottom w:val="single" w:color="auto" w:sz="2" w:space="0"/>
              <w:right w:val="single" w:color="auto" w:sz="2" w:space="0"/>
            </w:tcBorders>
            <w:vAlign w:val="center"/>
          </w:tcPr>
          <w:p w14:paraId="33B17EDC">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1ED0428">
            <w:pPr>
              <w:spacing w:line="240" w:lineRule="exact"/>
              <w:jc w:val="right"/>
              <w:rPr>
                <w:rFonts w:ascii="宋体" w:hAnsi="宋体" w:eastAsia="宋体" w:cs="宋体"/>
                <w:sz w:val="18"/>
                <w:szCs w:val="18"/>
              </w:rPr>
            </w:pPr>
            <w:r>
              <w:rPr>
                <w:rFonts w:ascii="宋体" w:hAnsi="宋体" w:eastAsia="宋体" w:cs="宋体"/>
                <w:sz w:val="18"/>
                <w:szCs w:val="18"/>
              </w:rPr>
              <w:t>100,033,114.48</w:t>
            </w:r>
          </w:p>
        </w:tc>
      </w:tr>
      <w:tr w14:paraId="61CE3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974D32F">
            <w:pPr>
              <w:spacing w:line="240" w:lineRule="exact"/>
              <w:rPr>
                <w:rFonts w:ascii="宋体" w:hAnsi="宋体" w:eastAsia="宋体" w:cs="宋体"/>
                <w:sz w:val="18"/>
                <w:szCs w:val="18"/>
              </w:rPr>
            </w:pPr>
            <w:r>
              <w:rPr>
                <w:rFonts w:ascii="宋体" w:hAnsi="宋体" w:eastAsia="宋体" w:cs="宋体"/>
                <w:sz w:val="18"/>
                <w:szCs w:val="18"/>
              </w:rPr>
              <w:t>支付租赁负债</w:t>
            </w:r>
          </w:p>
        </w:tc>
        <w:tc>
          <w:tcPr>
            <w:tcW w:w="3213" w:type="dxa"/>
            <w:tcBorders>
              <w:top w:val="single" w:color="auto" w:sz="2" w:space="0"/>
              <w:left w:val="single" w:color="auto" w:sz="2" w:space="0"/>
              <w:bottom w:val="single" w:color="auto" w:sz="2" w:space="0"/>
              <w:right w:val="single" w:color="auto" w:sz="2" w:space="0"/>
            </w:tcBorders>
            <w:vAlign w:val="center"/>
          </w:tcPr>
          <w:p w14:paraId="5555E7F4">
            <w:pPr>
              <w:spacing w:line="240" w:lineRule="exact"/>
              <w:jc w:val="right"/>
              <w:rPr>
                <w:rFonts w:ascii="宋体" w:hAnsi="宋体" w:eastAsia="宋体" w:cs="宋体"/>
                <w:sz w:val="18"/>
                <w:szCs w:val="18"/>
              </w:rPr>
            </w:pPr>
            <w:r>
              <w:rPr>
                <w:rFonts w:ascii="宋体" w:hAnsi="宋体" w:eastAsia="宋体" w:cs="宋体"/>
                <w:sz w:val="18"/>
                <w:szCs w:val="18"/>
              </w:rPr>
              <w:t>10,802,390.59</w:t>
            </w:r>
          </w:p>
        </w:tc>
        <w:tc>
          <w:tcPr>
            <w:tcW w:w="3213" w:type="dxa"/>
            <w:tcBorders>
              <w:top w:val="single" w:color="auto" w:sz="2" w:space="0"/>
              <w:left w:val="single" w:color="auto" w:sz="2" w:space="0"/>
              <w:bottom w:val="single" w:color="auto" w:sz="2" w:space="0"/>
              <w:right w:val="single" w:color="auto" w:sz="2" w:space="0"/>
            </w:tcBorders>
            <w:vAlign w:val="center"/>
          </w:tcPr>
          <w:p w14:paraId="5E6DE735">
            <w:pPr>
              <w:spacing w:line="240" w:lineRule="exact"/>
              <w:jc w:val="right"/>
              <w:rPr>
                <w:rFonts w:ascii="宋体" w:hAnsi="宋体" w:eastAsia="宋体" w:cs="宋体"/>
                <w:sz w:val="18"/>
                <w:szCs w:val="18"/>
              </w:rPr>
            </w:pPr>
            <w:r>
              <w:rPr>
                <w:rFonts w:ascii="宋体" w:hAnsi="宋体" w:eastAsia="宋体" w:cs="宋体"/>
                <w:sz w:val="18"/>
                <w:szCs w:val="18"/>
              </w:rPr>
              <w:t>19,685,977.65</w:t>
            </w:r>
          </w:p>
        </w:tc>
      </w:tr>
      <w:tr w14:paraId="15F08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3B91EC5">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08229920">
            <w:pPr>
              <w:spacing w:line="240" w:lineRule="exact"/>
              <w:jc w:val="right"/>
              <w:rPr>
                <w:rFonts w:ascii="宋体" w:hAnsi="宋体" w:eastAsia="宋体" w:cs="宋体"/>
                <w:sz w:val="18"/>
                <w:szCs w:val="18"/>
              </w:rPr>
            </w:pPr>
            <w:r>
              <w:rPr>
                <w:rFonts w:ascii="宋体" w:hAnsi="宋体" w:eastAsia="宋体" w:cs="宋体"/>
                <w:sz w:val="18"/>
                <w:szCs w:val="18"/>
              </w:rPr>
              <w:t>138,438,557.94</w:t>
            </w:r>
          </w:p>
        </w:tc>
        <w:tc>
          <w:tcPr>
            <w:tcW w:w="3213" w:type="dxa"/>
            <w:tcBorders>
              <w:top w:val="single" w:color="auto" w:sz="2" w:space="0"/>
              <w:left w:val="single" w:color="auto" w:sz="2" w:space="0"/>
              <w:bottom w:val="single" w:color="auto" w:sz="2" w:space="0"/>
              <w:right w:val="single" w:color="auto" w:sz="2" w:space="0"/>
            </w:tcBorders>
            <w:vAlign w:val="center"/>
          </w:tcPr>
          <w:p w14:paraId="4FB975A8">
            <w:pPr>
              <w:spacing w:line="240" w:lineRule="exact"/>
              <w:jc w:val="right"/>
              <w:rPr>
                <w:rFonts w:ascii="宋体" w:hAnsi="宋体" w:eastAsia="宋体" w:cs="宋体"/>
                <w:sz w:val="18"/>
                <w:szCs w:val="18"/>
              </w:rPr>
            </w:pPr>
            <w:r>
              <w:rPr>
                <w:rFonts w:ascii="宋体" w:hAnsi="宋体" w:eastAsia="宋体" w:cs="宋体"/>
                <w:sz w:val="18"/>
                <w:szCs w:val="18"/>
              </w:rPr>
              <w:t>120,408,389.24</w:t>
            </w:r>
          </w:p>
        </w:tc>
      </w:tr>
    </w:tbl>
    <w:p w14:paraId="6DF296E0">
      <w:pPr>
        <w:spacing w:before="100" w:after="100" w:line="240" w:lineRule="exact"/>
        <w:rPr>
          <w:rFonts w:ascii="宋体" w:hAnsi="宋体" w:eastAsia="宋体" w:cs="宋体"/>
          <w:sz w:val="18"/>
          <w:szCs w:val="18"/>
        </w:rPr>
      </w:pPr>
      <w:r>
        <w:rPr>
          <w:rFonts w:ascii="宋体" w:hAnsi="宋体" w:eastAsia="宋体" w:cs="宋体"/>
          <w:sz w:val="18"/>
          <w:szCs w:val="18"/>
        </w:rPr>
        <w:t>支付的其他与筹资活动有关的现金说明：</w:t>
      </w:r>
      <w:r>
        <w:rPr>
          <w:rFonts w:hint="eastAsia"/>
          <w:sz w:val="18"/>
          <w:szCs w:val="18"/>
        </w:rPr>
        <w:t>无</w:t>
      </w:r>
    </w:p>
    <w:p w14:paraId="19D861B0">
      <w:pPr>
        <w:spacing w:before="100" w:after="100" w:line="240" w:lineRule="exact"/>
        <w:rPr>
          <w:rFonts w:ascii="宋体" w:hAnsi="宋体" w:eastAsia="宋体" w:cs="宋体"/>
          <w:sz w:val="18"/>
          <w:szCs w:val="18"/>
        </w:rPr>
      </w:pPr>
      <w:r>
        <w:rPr>
          <w:rFonts w:ascii="宋体" w:hAnsi="宋体" w:eastAsia="宋体" w:cs="宋体"/>
          <w:sz w:val="18"/>
          <w:szCs w:val="18"/>
        </w:rPr>
        <w:t>筹资活动产生的各项负债变动情况</w:t>
      </w:r>
    </w:p>
    <w:p w14:paraId="05D665F0">
      <w:pPr>
        <w:spacing w:before="40" w:after="4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D8D9786">
      <w:pPr>
        <w:keepNext/>
        <w:keepLines/>
        <w:spacing w:before="300" w:after="300" w:line="280" w:lineRule="exact"/>
        <w:outlineLvl w:val="3"/>
        <w:rPr>
          <w:rFonts w:ascii="宋体" w:hAnsi="宋体" w:eastAsia="宋体" w:cs="宋体"/>
          <w:b/>
          <w:bCs/>
          <w:szCs w:val="21"/>
        </w:rPr>
      </w:pPr>
      <w:bookmarkStart w:id="476" w:name="_Toc989330"/>
      <w:r>
        <w:rPr>
          <w:rFonts w:ascii="宋体" w:hAnsi="宋体" w:eastAsia="宋体" w:cs="宋体"/>
          <w:b/>
          <w:bCs/>
          <w:szCs w:val="21"/>
        </w:rPr>
        <w:t>（4） 以净额列报现金流量的说明</w:t>
      </w:r>
      <w:bookmarkEnd w:id="476"/>
    </w:p>
    <w:p w14:paraId="4AA8A49A">
      <w:pPr>
        <w:keepNext/>
        <w:keepLines/>
        <w:spacing w:before="300" w:after="300" w:line="280" w:lineRule="exact"/>
        <w:outlineLvl w:val="3"/>
        <w:rPr>
          <w:rFonts w:ascii="宋体" w:hAnsi="宋体" w:eastAsia="宋体" w:cs="宋体"/>
          <w:b/>
          <w:bCs/>
          <w:szCs w:val="21"/>
        </w:rPr>
      </w:pPr>
      <w:bookmarkStart w:id="477" w:name="_Toc989331"/>
      <w:r>
        <w:rPr>
          <w:rFonts w:ascii="宋体" w:hAnsi="宋体" w:eastAsia="宋体" w:cs="宋体"/>
          <w:b/>
          <w:bCs/>
          <w:szCs w:val="21"/>
        </w:rPr>
        <w:t>（5） 不涉及当期现金收支、但影响企业财务状况或在未来可能影响企业现金流量的重大活动及财务影响</w:t>
      </w:r>
      <w:bookmarkEnd w:id="477"/>
    </w:p>
    <w:p w14:paraId="31E2338C">
      <w:pPr>
        <w:pStyle w:val="9"/>
        <w:rPr>
          <w:sz w:val="18"/>
          <w:szCs w:val="18"/>
        </w:rPr>
      </w:pPr>
      <w:r>
        <w:rPr>
          <w:rFonts w:hint="eastAsia"/>
          <w:sz w:val="18"/>
          <w:szCs w:val="18"/>
        </w:rPr>
        <w:t>无</w:t>
      </w:r>
    </w:p>
    <w:p w14:paraId="63C3A54B">
      <w:pPr>
        <w:pStyle w:val="3"/>
        <w:spacing w:line="280" w:lineRule="exact"/>
        <w:jc w:val="left"/>
        <w:rPr>
          <w:rFonts w:ascii="宋体" w:hAnsi="宋体" w:cs="宋体"/>
          <w:b/>
          <w:bCs/>
        </w:rPr>
      </w:pPr>
      <w:bookmarkStart w:id="478" w:name="_Toc989332"/>
      <w:r>
        <w:rPr>
          <w:rFonts w:ascii="宋体" w:hAnsi="宋体" w:cs="宋体"/>
          <w:b/>
          <w:bCs/>
        </w:rPr>
        <w:t>79、现金流量表补充资料</w:t>
      </w:r>
      <w:bookmarkEnd w:id="478"/>
    </w:p>
    <w:p w14:paraId="31AB1E99">
      <w:pPr>
        <w:keepNext/>
        <w:keepLines/>
        <w:spacing w:before="300" w:after="300" w:line="280" w:lineRule="exact"/>
        <w:outlineLvl w:val="3"/>
        <w:rPr>
          <w:rFonts w:ascii="宋体" w:hAnsi="宋体" w:eastAsia="宋体" w:cs="宋体"/>
          <w:b/>
          <w:bCs/>
          <w:szCs w:val="21"/>
        </w:rPr>
      </w:pPr>
      <w:bookmarkStart w:id="479" w:name="_Toc989333"/>
      <w:r>
        <w:rPr>
          <w:rFonts w:ascii="宋体" w:hAnsi="宋体" w:eastAsia="宋体" w:cs="宋体"/>
          <w:b/>
          <w:bCs/>
          <w:szCs w:val="21"/>
        </w:rPr>
        <w:t>（1） 现金流量表补充资料</w:t>
      </w:r>
      <w:bookmarkEnd w:id="479"/>
    </w:p>
    <w:p w14:paraId="33E318C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C7C2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3E85795">
            <w:pPr>
              <w:spacing w:before="40" w:after="40" w:line="240" w:lineRule="exact"/>
              <w:jc w:val="center"/>
              <w:rPr>
                <w:rFonts w:ascii="宋体" w:hAnsi="宋体" w:eastAsia="宋体" w:cs="宋体"/>
                <w:sz w:val="18"/>
                <w:szCs w:val="18"/>
              </w:rPr>
            </w:pPr>
            <w:r>
              <w:rPr>
                <w:rFonts w:ascii="宋体" w:hAnsi="宋体" w:eastAsia="宋体" w:cs="宋体"/>
                <w:sz w:val="18"/>
                <w:szCs w:val="18"/>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4F66C06">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5AD5DE8">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r>
      <w:tr w14:paraId="5E194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8CDBF4">
            <w:pPr>
              <w:spacing w:before="40" w:after="40" w:line="240" w:lineRule="exact"/>
              <w:rPr>
                <w:rFonts w:ascii="宋体" w:hAnsi="宋体" w:eastAsia="宋体" w:cs="宋体"/>
                <w:sz w:val="18"/>
                <w:szCs w:val="18"/>
              </w:rPr>
            </w:pPr>
            <w:r>
              <w:rPr>
                <w:rFonts w:ascii="宋体" w:hAnsi="宋体" w:eastAsia="宋体" w:cs="宋体"/>
                <w:sz w:val="18"/>
                <w:szCs w:val="18"/>
              </w:rPr>
              <w:t>1．将净利润调节为经营活动现金流量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A450F87"/>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42AA701"/>
        </w:tc>
      </w:tr>
      <w:tr w14:paraId="6C426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2F0B70A">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14:paraId="2E574113">
            <w:pPr>
              <w:spacing w:line="240" w:lineRule="exact"/>
              <w:jc w:val="right"/>
              <w:rPr>
                <w:rFonts w:ascii="宋体" w:hAnsi="宋体" w:eastAsia="宋体" w:cs="宋体"/>
                <w:sz w:val="18"/>
                <w:szCs w:val="18"/>
              </w:rPr>
            </w:pPr>
            <w:r>
              <w:rPr>
                <w:rFonts w:ascii="宋体" w:hAnsi="宋体" w:eastAsia="宋体" w:cs="宋体"/>
                <w:sz w:val="18"/>
                <w:szCs w:val="18"/>
              </w:rPr>
              <w:t>66,882,747.14</w:t>
            </w:r>
          </w:p>
        </w:tc>
        <w:tc>
          <w:tcPr>
            <w:tcW w:w="3213" w:type="dxa"/>
            <w:tcBorders>
              <w:top w:val="single" w:color="auto" w:sz="2" w:space="0"/>
              <w:left w:val="single" w:color="auto" w:sz="2" w:space="0"/>
              <w:bottom w:val="single" w:color="auto" w:sz="2" w:space="0"/>
              <w:right w:val="single" w:color="auto" w:sz="2" w:space="0"/>
            </w:tcBorders>
            <w:vAlign w:val="center"/>
          </w:tcPr>
          <w:p w14:paraId="7333F4B5">
            <w:pPr>
              <w:spacing w:line="240" w:lineRule="exact"/>
              <w:jc w:val="right"/>
              <w:rPr>
                <w:rFonts w:ascii="宋体" w:hAnsi="宋体" w:eastAsia="宋体" w:cs="宋体"/>
                <w:sz w:val="18"/>
                <w:szCs w:val="18"/>
              </w:rPr>
            </w:pPr>
            <w:r>
              <w:rPr>
                <w:rFonts w:ascii="宋体" w:hAnsi="宋体" w:eastAsia="宋体" w:cs="宋体"/>
                <w:sz w:val="18"/>
                <w:szCs w:val="18"/>
              </w:rPr>
              <w:t>-195,078,310.96</w:t>
            </w:r>
          </w:p>
        </w:tc>
      </w:tr>
      <w:tr w14:paraId="51DB4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B0A964">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14:paraId="24622F9F">
            <w:pPr>
              <w:spacing w:line="240" w:lineRule="exact"/>
              <w:jc w:val="right"/>
              <w:rPr>
                <w:rFonts w:ascii="宋体" w:hAnsi="宋体" w:eastAsia="宋体" w:cs="宋体"/>
                <w:sz w:val="18"/>
                <w:szCs w:val="18"/>
              </w:rPr>
            </w:pPr>
            <w:r>
              <w:rPr>
                <w:rFonts w:ascii="宋体" w:hAnsi="宋体" w:eastAsia="宋体" w:cs="宋体"/>
                <w:sz w:val="18"/>
                <w:szCs w:val="18"/>
              </w:rPr>
              <w:t>7,464,398.29</w:t>
            </w:r>
          </w:p>
        </w:tc>
        <w:tc>
          <w:tcPr>
            <w:tcW w:w="3213" w:type="dxa"/>
            <w:tcBorders>
              <w:top w:val="single" w:color="auto" w:sz="2" w:space="0"/>
              <w:left w:val="single" w:color="auto" w:sz="2" w:space="0"/>
              <w:bottom w:val="single" w:color="auto" w:sz="2" w:space="0"/>
              <w:right w:val="single" w:color="auto" w:sz="2" w:space="0"/>
            </w:tcBorders>
            <w:vAlign w:val="center"/>
          </w:tcPr>
          <w:p w14:paraId="4B0B6EE5">
            <w:pPr>
              <w:spacing w:line="240" w:lineRule="exact"/>
              <w:jc w:val="right"/>
              <w:rPr>
                <w:rFonts w:ascii="宋体" w:hAnsi="宋体" w:eastAsia="宋体" w:cs="宋体"/>
                <w:sz w:val="18"/>
                <w:szCs w:val="18"/>
              </w:rPr>
            </w:pPr>
            <w:r>
              <w:rPr>
                <w:rFonts w:ascii="宋体" w:hAnsi="宋体" w:eastAsia="宋体" w:cs="宋体"/>
                <w:sz w:val="18"/>
                <w:szCs w:val="18"/>
              </w:rPr>
              <w:t>136,943,001.65</w:t>
            </w:r>
          </w:p>
        </w:tc>
      </w:tr>
      <w:tr w14:paraId="030F3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092982">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14:paraId="03EA16EA">
            <w:pPr>
              <w:spacing w:line="240" w:lineRule="exact"/>
              <w:jc w:val="right"/>
              <w:rPr>
                <w:rFonts w:ascii="宋体" w:hAnsi="宋体" w:eastAsia="宋体" w:cs="宋体"/>
                <w:sz w:val="18"/>
                <w:szCs w:val="18"/>
              </w:rPr>
            </w:pPr>
            <w:r>
              <w:rPr>
                <w:rFonts w:ascii="宋体" w:hAnsi="宋体" w:eastAsia="宋体" w:cs="宋体"/>
                <w:sz w:val="18"/>
                <w:szCs w:val="18"/>
              </w:rPr>
              <w:t>505,921,491.93</w:t>
            </w:r>
          </w:p>
        </w:tc>
        <w:tc>
          <w:tcPr>
            <w:tcW w:w="3213" w:type="dxa"/>
            <w:tcBorders>
              <w:top w:val="single" w:color="auto" w:sz="2" w:space="0"/>
              <w:left w:val="single" w:color="auto" w:sz="2" w:space="0"/>
              <w:bottom w:val="single" w:color="auto" w:sz="2" w:space="0"/>
              <w:right w:val="single" w:color="auto" w:sz="2" w:space="0"/>
            </w:tcBorders>
            <w:vAlign w:val="center"/>
          </w:tcPr>
          <w:p w14:paraId="05301018">
            <w:pPr>
              <w:spacing w:line="240" w:lineRule="exact"/>
              <w:jc w:val="right"/>
              <w:rPr>
                <w:rFonts w:ascii="宋体" w:hAnsi="宋体" w:eastAsia="宋体" w:cs="宋体"/>
                <w:sz w:val="18"/>
                <w:szCs w:val="18"/>
              </w:rPr>
            </w:pPr>
            <w:r>
              <w:rPr>
                <w:rFonts w:ascii="宋体" w:hAnsi="宋体" w:eastAsia="宋体" w:cs="宋体"/>
                <w:sz w:val="18"/>
                <w:szCs w:val="18"/>
              </w:rPr>
              <w:t>523,453,099.27</w:t>
            </w:r>
          </w:p>
        </w:tc>
      </w:tr>
      <w:tr w14:paraId="3FC31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39EFD1">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14:paraId="1E488C28">
            <w:pPr>
              <w:spacing w:line="240" w:lineRule="exact"/>
              <w:jc w:val="right"/>
              <w:rPr>
                <w:rFonts w:ascii="宋体" w:hAnsi="宋体" w:eastAsia="宋体" w:cs="宋体"/>
                <w:sz w:val="18"/>
                <w:szCs w:val="18"/>
              </w:rPr>
            </w:pPr>
            <w:r>
              <w:rPr>
                <w:rFonts w:ascii="宋体" w:hAnsi="宋体" w:eastAsia="宋体" w:cs="宋体"/>
                <w:sz w:val="18"/>
                <w:szCs w:val="18"/>
              </w:rPr>
              <w:t>9,521,795.67</w:t>
            </w:r>
          </w:p>
        </w:tc>
        <w:tc>
          <w:tcPr>
            <w:tcW w:w="3213" w:type="dxa"/>
            <w:tcBorders>
              <w:top w:val="single" w:color="auto" w:sz="2" w:space="0"/>
              <w:left w:val="single" w:color="auto" w:sz="2" w:space="0"/>
              <w:bottom w:val="single" w:color="auto" w:sz="2" w:space="0"/>
              <w:right w:val="single" w:color="auto" w:sz="2" w:space="0"/>
            </w:tcBorders>
            <w:vAlign w:val="center"/>
          </w:tcPr>
          <w:p w14:paraId="7BA50849">
            <w:pPr>
              <w:spacing w:line="240" w:lineRule="exact"/>
              <w:jc w:val="right"/>
              <w:rPr>
                <w:rFonts w:ascii="宋体" w:hAnsi="宋体" w:eastAsia="宋体" w:cs="宋体"/>
                <w:sz w:val="18"/>
                <w:szCs w:val="18"/>
              </w:rPr>
            </w:pPr>
            <w:r>
              <w:rPr>
                <w:rFonts w:ascii="宋体" w:hAnsi="宋体" w:eastAsia="宋体" w:cs="宋体"/>
                <w:sz w:val="18"/>
                <w:szCs w:val="18"/>
              </w:rPr>
              <w:t>9,227,055.63</w:t>
            </w:r>
          </w:p>
        </w:tc>
      </w:tr>
      <w:tr w14:paraId="34625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60CBE1">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14:paraId="11B88879">
            <w:pPr>
              <w:spacing w:line="240" w:lineRule="exact"/>
              <w:jc w:val="right"/>
              <w:rPr>
                <w:rFonts w:ascii="宋体" w:hAnsi="宋体" w:eastAsia="宋体" w:cs="宋体"/>
                <w:sz w:val="18"/>
                <w:szCs w:val="18"/>
              </w:rPr>
            </w:pPr>
            <w:r>
              <w:rPr>
                <w:rFonts w:ascii="宋体" w:hAnsi="宋体" w:eastAsia="宋体" w:cs="宋体"/>
                <w:sz w:val="18"/>
                <w:szCs w:val="18"/>
              </w:rPr>
              <w:t>23,738,880.22</w:t>
            </w:r>
          </w:p>
        </w:tc>
        <w:tc>
          <w:tcPr>
            <w:tcW w:w="3213" w:type="dxa"/>
            <w:tcBorders>
              <w:top w:val="single" w:color="auto" w:sz="2" w:space="0"/>
              <w:left w:val="single" w:color="auto" w:sz="2" w:space="0"/>
              <w:bottom w:val="single" w:color="auto" w:sz="2" w:space="0"/>
              <w:right w:val="single" w:color="auto" w:sz="2" w:space="0"/>
            </w:tcBorders>
            <w:vAlign w:val="center"/>
          </w:tcPr>
          <w:p w14:paraId="3F6BE2B6">
            <w:pPr>
              <w:spacing w:line="240" w:lineRule="exact"/>
              <w:jc w:val="right"/>
              <w:rPr>
                <w:rFonts w:ascii="宋体" w:hAnsi="宋体" w:eastAsia="宋体" w:cs="宋体"/>
                <w:sz w:val="18"/>
                <w:szCs w:val="18"/>
              </w:rPr>
            </w:pPr>
            <w:r>
              <w:rPr>
                <w:rFonts w:ascii="宋体" w:hAnsi="宋体" w:eastAsia="宋体" w:cs="宋体"/>
                <w:sz w:val="18"/>
                <w:szCs w:val="18"/>
              </w:rPr>
              <w:t>24,665,201.85</w:t>
            </w:r>
          </w:p>
        </w:tc>
      </w:tr>
      <w:tr w14:paraId="0577F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9C7355">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14:paraId="17C458A7">
            <w:pPr>
              <w:spacing w:line="240" w:lineRule="exact"/>
              <w:jc w:val="right"/>
              <w:rPr>
                <w:rFonts w:ascii="宋体" w:hAnsi="宋体" w:eastAsia="宋体" w:cs="宋体"/>
                <w:sz w:val="18"/>
                <w:szCs w:val="18"/>
              </w:rPr>
            </w:pPr>
            <w:r>
              <w:rPr>
                <w:rFonts w:ascii="宋体" w:hAnsi="宋体" w:eastAsia="宋体" w:cs="宋体"/>
                <w:sz w:val="18"/>
                <w:szCs w:val="18"/>
              </w:rPr>
              <w:t>20,079,290.26</w:t>
            </w:r>
          </w:p>
        </w:tc>
        <w:tc>
          <w:tcPr>
            <w:tcW w:w="3213" w:type="dxa"/>
            <w:tcBorders>
              <w:top w:val="single" w:color="auto" w:sz="2" w:space="0"/>
              <w:left w:val="single" w:color="auto" w:sz="2" w:space="0"/>
              <w:bottom w:val="single" w:color="auto" w:sz="2" w:space="0"/>
              <w:right w:val="single" w:color="auto" w:sz="2" w:space="0"/>
            </w:tcBorders>
            <w:vAlign w:val="center"/>
          </w:tcPr>
          <w:p w14:paraId="3716A9F0">
            <w:pPr>
              <w:spacing w:line="240" w:lineRule="exact"/>
              <w:jc w:val="right"/>
              <w:rPr>
                <w:rFonts w:ascii="宋体" w:hAnsi="宋体" w:eastAsia="宋体" w:cs="宋体"/>
                <w:sz w:val="18"/>
                <w:szCs w:val="18"/>
              </w:rPr>
            </w:pPr>
            <w:r>
              <w:rPr>
                <w:rFonts w:ascii="宋体" w:hAnsi="宋体" w:eastAsia="宋体" w:cs="宋体"/>
                <w:sz w:val="18"/>
                <w:szCs w:val="18"/>
              </w:rPr>
              <w:t>15,396,680.41</w:t>
            </w:r>
          </w:p>
        </w:tc>
      </w:tr>
      <w:tr w14:paraId="64390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B82144">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036AB22B">
            <w:pPr>
              <w:spacing w:line="240" w:lineRule="exact"/>
              <w:jc w:val="right"/>
              <w:rPr>
                <w:rFonts w:ascii="宋体" w:hAnsi="宋体" w:eastAsia="宋体" w:cs="宋体"/>
                <w:sz w:val="18"/>
                <w:szCs w:val="18"/>
              </w:rPr>
            </w:pPr>
            <w:r>
              <w:rPr>
                <w:rFonts w:ascii="宋体" w:hAnsi="宋体" w:eastAsia="宋体" w:cs="宋体"/>
                <w:sz w:val="18"/>
                <w:szCs w:val="18"/>
              </w:rPr>
              <w:t>-11,425,239.16</w:t>
            </w:r>
          </w:p>
        </w:tc>
        <w:tc>
          <w:tcPr>
            <w:tcW w:w="3213" w:type="dxa"/>
            <w:tcBorders>
              <w:top w:val="single" w:color="auto" w:sz="2" w:space="0"/>
              <w:left w:val="single" w:color="auto" w:sz="2" w:space="0"/>
              <w:bottom w:val="single" w:color="auto" w:sz="2" w:space="0"/>
              <w:right w:val="single" w:color="auto" w:sz="2" w:space="0"/>
            </w:tcBorders>
            <w:vAlign w:val="center"/>
          </w:tcPr>
          <w:p w14:paraId="605B55CA">
            <w:pPr>
              <w:spacing w:line="240" w:lineRule="exact"/>
              <w:jc w:val="right"/>
              <w:rPr>
                <w:rFonts w:ascii="宋体" w:hAnsi="宋体" w:eastAsia="宋体" w:cs="宋体"/>
                <w:sz w:val="18"/>
                <w:szCs w:val="18"/>
              </w:rPr>
            </w:pPr>
            <w:r>
              <w:rPr>
                <w:rFonts w:ascii="宋体" w:hAnsi="宋体" w:eastAsia="宋体" w:cs="宋体"/>
                <w:sz w:val="18"/>
                <w:szCs w:val="18"/>
              </w:rPr>
              <w:t>-33,469,308.79</w:t>
            </w:r>
          </w:p>
        </w:tc>
      </w:tr>
      <w:tr w14:paraId="40E69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67A1BAB">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A0F152A">
            <w:pPr>
              <w:spacing w:line="240" w:lineRule="exact"/>
              <w:jc w:val="right"/>
              <w:rPr>
                <w:rFonts w:ascii="宋体" w:hAnsi="宋体" w:eastAsia="宋体" w:cs="宋体"/>
                <w:sz w:val="18"/>
                <w:szCs w:val="18"/>
              </w:rPr>
            </w:pPr>
            <w:r>
              <w:rPr>
                <w:rFonts w:ascii="宋体" w:hAnsi="宋体" w:eastAsia="宋体" w:cs="宋体"/>
                <w:sz w:val="18"/>
                <w:szCs w:val="18"/>
              </w:rPr>
              <w:t>342,169.10</w:t>
            </w:r>
          </w:p>
        </w:tc>
        <w:tc>
          <w:tcPr>
            <w:tcW w:w="3213" w:type="dxa"/>
            <w:tcBorders>
              <w:top w:val="single" w:color="auto" w:sz="2" w:space="0"/>
              <w:left w:val="single" w:color="auto" w:sz="2" w:space="0"/>
              <w:bottom w:val="single" w:color="auto" w:sz="2" w:space="0"/>
              <w:right w:val="single" w:color="auto" w:sz="2" w:space="0"/>
            </w:tcBorders>
            <w:vAlign w:val="center"/>
          </w:tcPr>
          <w:p w14:paraId="5A484584">
            <w:pPr>
              <w:spacing w:line="240" w:lineRule="exact"/>
              <w:jc w:val="right"/>
              <w:rPr>
                <w:rFonts w:ascii="宋体" w:hAnsi="宋体" w:eastAsia="宋体" w:cs="宋体"/>
                <w:sz w:val="18"/>
                <w:szCs w:val="18"/>
              </w:rPr>
            </w:pPr>
            <w:r>
              <w:rPr>
                <w:rFonts w:ascii="宋体" w:hAnsi="宋体" w:eastAsia="宋体" w:cs="宋体"/>
                <w:sz w:val="18"/>
                <w:szCs w:val="18"/>
              </w:rPr>
              <w:t>420,801.38</w:t>
            </w:r>
          </w:p>
        </w:tc>
      </w:tr>
      <w:tr w14:paraId="02D73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AD256E">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7E028F06">
            <w:pPr>
              <w:spacing w:line="240" w:lineRule="exact"/>
              <w:jc w:val="right"/>
              <w:rPr>
                <w:rFonts w:ascii="宋体" w:hAnsi="宋体" w:eastAsia="宋体" w:cs="宋体"/>
                <w:sz w:val="18"/>
                <w:szCs w:val="18"/>
              </w:rPr>
            </w:pPr>
            <w:r>
              <w:rPr>
                <w:rFonts w:ascii="宋体" w:hAnsi="宋体" w:eastAsia="宋体" w:cs="宋体"/>
                <w:sz w:val="18"/>
                <w:szCs w:val="18"/>
              </w:rPr>
              <w:t>16,682,363.53</w:t>
            </w:r>
          </w:p>
        </w:tc>
        <w:tc>
          <w:tcPr>
            <w:tcW w:w="3213" w:type="dxa"/>
            <w:tcBorders>
              <w:top w:val="single" w:color="auto" w:sz="2" w:space="0"/>
              <w:left w:val="single" w:color="auto" w:sz="2" w:space="0"/>
              <w:bottom w:val="single" w:color="auto" w:sz="2" w:space="0"/>
              <w:right w:val="single" w:color="auto" w:sz="2" w:space="0"/>
            </w:tcBorders>
            <w:vAlign w:val="center"/>
          </w:tcPr>
          <w:p w14:paraId="5652907C">
            <w:pPr>
              <w:spacing w:line="240" w:lineRule="exact"/>
              <w:jc w:val="right"/>
              <w:rPr>
                <w:rFonts w:ascii="宋体" w:hAnsi="宋体" w:eastAsia="宋体" w:cs="宋体"/>
                <w:sz w:val="18"/>
                <w:szCs w:val="18"/>
              </w:rPr>
            </w:pPr>
            <w:r>
              <w:rPr>
                <w:rFonts w:ascii="宋体" w:hAnsi="宋体" w:eastAsia="宋体" w:cs="宋体"/>
                <w:sz w:val="18"/>
                <w:szCs w:val="18"/>
              </w:rPr>
              <w:t>-207,118.39</w:t>
            </w:r>
          </w:p>
        </w:tc>
      </w:tr>
      <w:tr w14:paraId="1740E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011C28">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AE29CE0">
            <w:pPr>
              <w:spacing w:line="240" w:lineRule="exact"/>
              <w:jc w:val="right"/>
              <w:rPr>
                <w:rFonts w:ascii="宋体" w:hAnsi="宋体" w:eastAsia="宋体" w:cs="宋体"/>
                <w:sz w:val="18"/>
                <w:szCs w:val="18"/>
              </w:rPr>
            </w:pPr>
            <w:r>
              <w:rPr>
                <w:rFonts w:ascii="宋体" w:hAnsi="宋体" w:eastAsia="宋体" w:cs="宋体"/>
                <w:sz w:val="18"/>
                <w:szCs w:val="18"/>
              </w:rPr>
              <w:t>219,446,415.51</w:t>
            </w:r>
          </w:p>
        </w:tc>
        <w:tc>
          <w:tcPr>
            <w:tcW w:w="3213" w:type="dxa"/>
            <w:tcBorders>
              <w:top w:val="single" w:color="auto" w:sz="2" w:space="0"/>
              <w:left w:val="single" w:color="auto" w:sz="2" w:space="0"/>
              <w:bottom w:val="single" w:color="auto" w:sz="2" w:space="0"/>
              <w:right w:val="single" w:color="auto" w:sz="2" w:space="0"/>
            </w:tcBorders>
            <w:vAlign w:val="center"/>
          </w:tcPr>
          <w:p w14:paraId="30B60C95">
            <w:pPr>
              <w:spacing w:line="240" w:lineRule="exact"/>
              <w:jc w:val="right"/>
              <w:rPr>
                <w:rFonts w:ascii="宋体" w:hAnsi="宋体" w:eastAsia="宋体" w:cs="宋体"/>
                <w:sz w:val="18"/>
                <w:szCs w:val="18"/>
              </w:rPr>
            </w:pPr>
            <w:r>
              <w:rPr>
                <w:rFonts w:ascii="宋体" w:hAnsi="宋体" w:eastAsia="宋体" w:cs="宋体"/>
                <w:sz w:val="18"/>
                <w:szCs w:val="18"/>
              </w:rPr>
              <w:t>264,699,302.85</w:t>
            </w:r>
          </w:p>
        </w:tc>
      </w:tr>
      <w:tr w14:paraId="68894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812A64">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1BBCBA70">
            <w:pPr>
              <w:spacing w:line="240" w:lineRule="exact"/>
              <w:jc w:val="right"/>
              <w:rPr>
                <w:rFonts w:ascii="宋体" w:hAnsi="宋体" w:eastAsia="宋体" w:cs="宋体"/>
                <w:sz w:val="18"/>
                <w:szCs w:val="18"/>
              </w:rPr>
            </w:pPr>
            <w:r>
              <w:rPr>
                <w:rFonts w:ascii="宋体" w:hAnsi="宋体" w:eastAsia="宋体" w:cs="宋体"/>
                <w:sz w:val="18"/>
                <w:szCs w:val="18"/>
              </w:rPr>
              <w:t>-65,616,607.74</w:t>
            </w:r>
          </w:p>
        </w:tc>
        <w:tc>
          <w:tcPr>
            <w:tcW w:w="3213" w:type="dxa"/>
            <w:tcBorders>
              <w:top w:val="single" w:color="auto" w:sz="2" w:space="0"/>
              <w:left w:val="single" w:color="auto" w:sz="2" w:space="0"/>
              <w:bottom w:val="single" w:color="auto" w:sz="2" w:space="0"/>
              <w:right w:val="single" w:color="auto" w:sz="2" w:space="0"/>
            </w:tcBorders>
            <w:vAlign w:val="center"/>
          </w:tcPr>
          <w:p w14:paraId="266B3B3D">
            <w:pPr>
              <w:spacing w:line="240" w:lineRule="exact"/>
              <w:jc w:val="right"/>
              <w:rPr>
                <w:rFonts w:ascii="宋体" w:hAnsi="宋体" w:eastAsia="宋体" w:cs="宋体"/>
                <w:sz w:val="18"/>
                <w:szCs w:val="18"/>
              </w:rPr>
            </w:pPr>
            <w:r>
              <w:rPr>
                <w:rFonts w:ascii="宋体" w:hAnsi="宋体" w:eastAsia="宋体" w:cs="宋体"/>
                <w:sz w:val="18"/>
                <w:szCs w:val="18"/>
              </w:rPr>
              <w:t>-37,787,529.55</w:t>
            </w:r>
          </w:p>
        </w:tc>
      </w:tr>
      <w:tr w14:paraId="7F1DC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B18216">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042A963B">
            <w:pPr>
              <w:spacing w:line="240" w:lineRule="exact"/>
              <w:jc w:val="right"/>
              <w:rPr>
                <w:rFonts w:ascii="宋体" w:hAnsi="宋体" w:eastAsia="宋体" w:cs="宋体"/>
                <w:sz w:val="18"/>
                <w:szCs w:val="18"/>
              </w:rPr>
            </w:pPr>
            <w:r>
              <w:rPr>
                <w:rFonts w:ascii="宋体" w:hAnsi="宋体" w:eastAsia="宋体" w:cs="宋体"/>
                <w:sz w:val="18"/>
                <w:szCs w:val="18"/>
              </w:rPr>
              <w:t>-1,329,319.95</w:t>
            </w:r>
          </w:p>
        </w:tc>
        <w:tc>
          <w:tcPr>
            <w:tcW w:w="3213" w:type="dxa"/>
            <w:tcBorders>
              <w:top w:val="single" w:color="auto" w:sz="2" w:space="0"/>
              <w:left w:val="single" w:color="auto" w:sz="2" w:space="0"/>
              <w:bottom w:val="single" w:color="auto" w:sz="2" w:space="0"/>
              <w:right w:val="single" w:color="auto" w:sz="2" w:space="0"/>
            </w:tcBorders>
            <w:vAlign w:val="center"/>
          </w:tcPr>
          <w:p w14:paraId="214AAF6B">
            <w:pPr>
              <w:spacing w:line="240" w:lineRule="exact"/>
              <w:jc w:val="right"/>
              <w:rPr>
                <w:rFonts w:ascii="宋体" w:hAnsi="宋体" w:eastAsia="宋体" w:cs="宋体"/>
                <w:sz w:val="18"/>
                <w:szCs w:val="18"/>
              </w:rPr>
            </w:pPr>
            <w:r>
              <w:rPr>
                <w:rFonts w:ascii="宋体" w:hAnsi="宋体" w:eastAsia="宋体" w:cs="宋体"/>
                <w:sz w:val="18"/>
                <w:szCs w:val="18"/>
              </w:rPr>
              <w:t>-29,095,808.81</w:t>
            </w:r>
          </w:p>
        </w:tc>
      </w:tr>
      <w:tr w14:paraId="06A74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D50EDA">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D7EEA5D">
            <w:pPr>
              <w:spacing w:line="240" w:lineRule="exact"/>
              <w:jc w:val="right"/>
              <w:rPr>
                <w:rFonts w:ascii="宋体" w:hAnsi="宋体" w:eastAsia="宋体" w:cs="宋体"/>
                <w:sz w:val="18"/>
                <w:szCs w:val="18"/>
              </w:rPr>
            </w:pPr>
            <w:r>
              <w:rPr>
                <w:rFonts w:ascii="宋体" w:hAnsi="宋体" w:eastAsia="宋体" w:cs="宋体"/>
                <w:sz w:val="18"/>
                <w:szCs w:val="18"/>
              </w:rPr>
              <w:t>-2,297,674.82</w:t>
            </w:r>
          </w:p>
        </w:tc>
        <w:tc>
          <w:tcPr>
            <w:tcW w:w="3213" w:type="dxa"/>
            <w:tcBorders>
              <w:top w:val="single" w:color="auto" w:sz="2" w:space="0"/>
              <w:left w:val="single" w:color="auto" w:sz="2" w:space="0"/>
              <w:bottom w:val="single" w:color="auto" w:sz="2" w:space="0"/>
              <w:right w:val="single" w:color="auto" w:sz="2" w:space="0"/>
            </w:tcBorders>
            <w:vAlign w:val="center"/>
          </w:tcPr>
          <w:p w14:paraId="00C84D76">
            <w:pPr>
              <w:spacing w:line="240" w:lineRule="exact"/>
              <w:jc w:val="right"/>
              <w:rPr>
                <w:rFonts w:ascii="宋体" w:hAnsi="宋体" w:eastAsia="宋体" w:cs="宋体"/>
                <w:sz w:val="18"/>
                <w:szCs w:val="18"/>
              </w:rPr>
            </w:pPr>
            <w:r>
              <w:rPr>
                <w:rFonts w:ascii="宋体" w:hAnsi="宋体" w:eastAsia="宋体" w:cs="宋体"/>
                <w:sz w:val="18"/>
                <w:szCs w:val="18"/>
              </w:rPr>
              <w:t>257,746.67</w:t>
            </w:r>
          </w:p>
        </w:tc>
      </w:tr>
      <w:tr w14:paraId="70886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349C789">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47590BBF">
            <w:pPr>
              <w:spacing w:line="240" w:lineRule="exact"/>
              <w:jc w:val="right"/>
              <w:rPr>
                <w:rFonts w:ascii="宋体" w:hAnsi="宋体" w:eastAsia="宋体" w:cs="宋体"/>
                <w:sz w:val="18"/>
                <w:szCs w:val="18"/>
              </w:rPr>
            </w:pPr>
            <w:r>
              <w:rPr>
                <w:rFonts w:ascii="宋体" w:hAnsi="宋体" w:eastAsia="宋体" w:cs="宋体"/>
                <w:sz w:val="18"/>
                <w:szCs w:val="18"/>
              </w:rPr>
              <w:t>370,747,098.70</w:t>
            </w:r>
          </w:p>
        </w:tc>
        <w:tc>
          <w:tcPr>
            <w:tcW w:w="3213" w:type="dxa"/>
            <w:tcBorders>
              <w:top w:val="single" w:color="auto" w:sz="2" w:space="0"/>
              <w:left w:val="single" w:color="auto" w:sz="2" w:space="0"/>
              <w:bottom w:val="single" w:color="auto" w:sz="2" w:space="0"/>
              <w:right w:val="single" w:color="auto" w:sz="2" w:space="0"/>
            </w:tcBorders>
            <w:vAlign w:val="center"/>
          </w:tcPr>
          <w:p w14:paraId="5F46B03F">
            <w:pPr>
              <w:spacing w:line="240" w:lineRule="exact"/>
              <w:jc w:val="right"/>
              <w:rPr>
                <w:rFonts w:ascii="宋体" w:hAnsi="宋体" w:eastAsia="宋体" w:cs="宋体"/>
                <w:sz w:val="18"/>
                <w:szCs w:val="18"/>
              </w:rPr>
            </w:pPr>
            <w:r>
              <w:rPr>
                <w:rFonts w:ascii="宋体" w:hAnsi="宋体" w:eastAsia="宋体" w:cs="宋体"/>
                <w:sz w:val="18"/>
                <w:szCs w:val="18"/>
              </w:rPr>
              <w:t>179,518,621.45</w:t>
            </w:r>
          </w:p>
        </w:tc>
      </w:tr>
      <w:tr w14:paraId="4AD50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D202DC">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66376BAF">
            <w:pPr>
              <w:spacing w:line="240" w:lineRule="exact"/>
              <w:jc w:val="right"/>
              <w:rPr>
                <w:rFonts w:ascii="宋体" w:hAnsi="宋体" w:eastAsia="宋体" w:cs="宋体"/>
                <w:sz w:val="18"/>
                <w:szCs w:val="18"/>
              </w:rPr>
            </w:pPr>
            <w:r>
              <w:rPr>
                <w:rFonts w:ascii="宋体" w:hAnsi="宋体" w:eastAsia="宋体" w:cs="宋体"/>
                <w:sz w:val="18"/>
                <w:szCs w:val="18"/>
              </w:rPr>
              <w:t>-155,648,518.65</w:t>
            </w:r>
          </w:p>
        </w:tc>
        <w:tc>
          <w:tcPr>
            <w:tcW w:w="3213" w:type="dxa"/>
            <w:tcBorders>
              <w:top w:val="single" w:color="auto" w:sz="2" w:space="0"/>
              <w:left w:val="single" w:color="auto" w:sz="2" w:space="0"/>
              <w:bottom w:val="single" w:color="auto" w:sz="2" w:space="0"/>
              <w:right w:val="single" w:color="auto" w:sz="2" w:space="0"/>
            </w:tcBorders>
            <w:vAlign w:val="center"/>
          </w:tcPr>
          <w:p w14:paraId="0BE3FA28">
            <w:pPr>
              <w:spacing w:line="240" w:lineRule="exact"/>
              <w:jc w:val="right"/>
              <w:rPr>
                <w:rFonts w:ascii="宋体" w:hAnsi="宋体" w:eastAsia="宋体" w:cs="宋体"/>
                <w:sz w:val="18"/>
                <w:szCs w:val="18"/>
              </w:rPr>
            </w:pPr>
            <w:r>
              <w:rPr>
                <w:rFonts w:ascii="宋体" w:hAnsi="宋体" w:eastAsia="宋体" w:cs="宋体"/>
                <w:sz w:val="18"/>
                <w:szCs w:val="18"/>
              </w:rPr>
              <w:t>-866,975,815.88</w:t>
            </w:r>
          </w:p>
        </w:tc>
      </w:tr>
      <w:tr w14:paraId="6683C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719F49">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14:paraId="5A177521">
            <w:pPr>
              <w:spacing w:line="240" w:lineRule="exact"/>
              <w:jc w:val="right"/>
              <w:rPr>
                <w:rFonts w:ascii="宋体" w:hAnsi="宋体" w:eastAsia="宋体" w:cs="宋体"/>
                <w:sz w:val="18"/>
                <w:szCs w:val="18"/>
              </w:rPr>
            </w:pPr>
            <w:r>
              <w:rPr>
                <w:rFonts w:ascii="宋体" w:hAnsi="宋体" w:eastAsia="宋体" w:cs="宋体"/>
                <w:sz w:val="18"/>
                <w:szCs w:val="18"/>
              </w:rPr>
              <w:t>464,351,401.82</w:t>
            </w:r>
          </w:p>
        </w:tc>
        <w:tc>
          <w:tcPr>
            <w:tcW w:w="3213" w:type="dxa"/>
            <w:tcBorders>
              <w:top w:val="single" w:color="auto" w:sz="2" w:space="0"/>
              <w:left w:val="single" w:color="auto" w:sz="2" w:space="0"/>
              <w:bottom w:val="single" w:color="auto" w:sz="2" w:space="0"/>
              <w:right w:val="single" w:color="auto" w:sz="2" w:space="0"/>
            </w:tcBorders>
            <w:vAlign w:val="center"/>
          </w:tcPr>
          <w:p w14:paraId="09351178">
            <w:pPr>
              <w:spacing w:line="240" w:lineRule="exact"/>
              <w:jc w:val="right"/>
              <w:rPr>
                <w:rFonts w:ascii="宋体" w:hAnsi="宋体" w:eastAsia="宋体" w:cs="宋体"/>
                <w:sz w:val="18"/>
                <w:szCs w:val="18"/>
              </w:rPr>
            </w:pPr>
            <w:r>
              <w:rPr>
                <w:rFonts w:ascii="宋体" w:hAnsi="宋体" w:eastAsia="宋体" w:cs="宋体"/>
                <w:sz w:val="18"/>
                <w:szCs w:val="18"/>
              </w:rPr>
              <w:t>280,246,816.61</w:t>
            </w:r>
          </w:p>
        </w:tc>
      </w:tr>
      <w:tr w14:paraId="2E670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AD0BF9">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1DDAD852">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E216912">
            <w:pPr>
              <w:spacing w:line="240" w:lineRule="exact"/>
              <w:jc w:val="right"/>
              <w:rPr>
                <w:rFonts w:ascii="宋体" w:hAnsi="宋体" w:eastAsia="宋体" w:cs="宋体"/>
                <w:sz w:val="18"/>
                <w:szCs w:val="18"/>
              </w:rPr>
            </w:pPr>
          </w:p>
        </w:tc>
      </w:tr>
      <w:tr w14:paraId="44892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280F73">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14:paraId="2F6288CB">
            <w:pPr>
              <w:spacing w:line="240" w:lineRule="exact"/>
              <w:jc w:val="right"/>
              <w:rPr>
                <w:rFonts w:ascii="宋体" w:hAnsi="宋体" w:eastAsia="宋体" w:cs="宋体"/>
                <w:sz w:val="18"/>
                <w:szCs w:val="18"/>
              </w:rPr>
            </w:pPr>
            <w:r>
              <w:rPr>
                <w:rFonts w:ascii="宋体" w:hAnsi="宋体" w:eastAsia="宋体" w:cs="宋体"/>
                <w:sz w:val="18"/>
                <w:szCs w:val="18"/>
              </w:rPr>
              <w:t>1,468,860,691.85</w:t>
            </w:r>
          </w:p>
        </w:tc>
        <w:tc>
          <w:tcPr>
            <w:tcW w:w="3213" w:type="dxa"/>
            <w:tcBorders>
              <w:top w:val="single" w:color="auto" w:sz="2" w:space="0"/>
              <w:left w:val="single" w:color="auto" w:sz="2" w:space="0"/>
              <w:bottom w:val="single" w:color="auto" w:sz="2" w:space="0"/>
              <w:right w:val="single" w:color="auto" w:sz="2" w:space="0"/>
            </w:tcBorders>
            <w:vAlign w:val="center"/>
          </w:tcPr>
          <w:p w14:paraId="2C9C076B">
            <w:pPr>
              <w:spacing w:line="240" w:lineRule="exact"/>
              <w:jc w:val="right"/>
              <w:rPr>
                <w:rFonts w:ascii="宋体" w:hAnsi="宋体" w:eastAsia="宋体" w:cs="宋体"/>
                <w:sz w:val="18"/>
                <w:szCs w:val="18"/>
              </w:rPr>
            </w:pPr>
            <w:r>
              <w:rPr>
                <w:rFonts w:ascii="宋体" w:hAnsi="宋体" w:eastAsia="宋体" w:cs="宋体"/>
                <w:sz w:val="18"/>
                <w:szCs w:val="18"/>
              </w:rPr>
              <w:t>272,214,435.39</w:t>
            </w:r>
          </w:p>
        </w:tc>
      </w:tr>
      <w:tr w14:paraId="52E2F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E988F2">
            <w:pPr>
              <w:spacing w:before="40" w:after="40" w:line="240" w:lineRule="exact"/>
              <w:rPr>
                <w:rFonts w:ascii="宋体" w:hAnsi="宋体" w:eastAsia="宋体" w:cs="宋体"/>
                <w:sz w:val="18"/>
                <w:szCs w:val="18"/>
              </w:rPr>
            </w:pPr>
            <w:r>
              <w:rPr>
                <w:rFonts w:ascii="宋体" w:hAnsi="宋体" w:eastAsia="宋体" w:cs="宋体"/>
                <w:sz w:val="18"/>
                <w:szCs w:val="18"/>
              </w:rPr>
              <w:t>2．不涉及现金收支的重大投资和筹资活动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B17B88"/>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686980"/>
        </w:tc>
      </w:tr>
      <w:tr w14:paraId="36AAD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FFC04C">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14:paraId="3E125D43">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BDC9D2B">
            <w:pPr>
              <w:spacing w:line="240" w:lineRule="exact"/>
              <w:jc w:val="right"/>
              <w:rPr>
                <w:rFonts w:ascii="宋体" w:hAnsi="宋体" w:eastAsia="宋体" w:cs="宋体"/>
                <w:sz w:val="18"/>
                <w:szCs w:val="18"/>
              </w:rPr>
            </w:pPr>
          </w:p>
        </w:tc>
      </w:tr>
      <w:tr w14:paraId="28711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594C01">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14:paraId="146CD0B6">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D5F8172">
            <w:pPr>
              <w:spacing w:line="240" w:lineRule="exact"/>
              <w:jc w:val="right"/>
              <w:rPr>
                <w:rFonts w:ascii="宋体" w:hAnsi="宋体" w:eastAsia="宋体" w:cs="宋体"/>
                <w:sz w:val="18"/>
                <w:szCs w:val="18"/>
              </w:rPr>
            </w:pPr>
          </w:p>
        </w:tc>
      </w:tr>
      <w:tr w14:paraId="0EA89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22B6A21">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139F9EE0">
            <w:pPr>
              <w:spacing w:line="240" w:lineRule="exact"/>
              <w:jc w:val="right"/>
              <w:rPr>
                <w:rFonts w:ascii="宋体" w:hAnsi="宋体" w:eastAsia="宋体" w:cs="宋体"/>
                <w:sz w:val="18"/>
                <w:szCs w:val="18"/>
              </w:rPr>
            </w:pPr>
            <w:r>
              <w:rPr>
                <w:rFonts w:ascii="宋体" w:hAnsi="宋体" w:eastAsia="宋体" w:cs="宋体"/>
                <w:sz w:val="18"/>
                <w:szCs w:val="18"/>
              </w:rPr>
              <w:t>3,063,639.34</w:t>
            </w:r>
          </w:p>
        </w:tc>
        <w:tc>
          <w:tcPr>
            <w:tcW w:w="3213" w:type="dxa"/>
            <w:tcBorders>
              <w:top w:val="single" w:color="auto" w:sz="2" w:space="0"/>
              <w:left w:val="single" w:color="auto" w:sz="2" w:space="0"/>
              <w:bottom w:val="single" w:color="auto" w:sz="2" w:space="0"/>
              <w:right w:val="single" w:color="auto" w:sz="2" w:space="0"/>
            </w:tcBorders>
            <w:vAlign w:val="center"/>
          </w:tcPr>
          <w:p w14:paraId="44F9C248">
            <w:pPr>
              <w:spacing w:line="240" w:lineRule="exact"/>
              <w:jc w:val="right"/>
              <w:rPr>
                <w:rFonts w:ascii="宋体" w:hAnsi="宋体" w:eastAsia="宋体" w:cs="宋体"/>
                <w:sz w:val="18"/>
                <w:szCs w:val="18"/>
              </w:rPr>
            </w:pPr>
          </w:p>
        </w:tc>
      </w:tr>
      <w:tr w14:paraId="4892E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CDDC702">
            <w:pPr>
              <w:spacing w:before="40" w:after="40" w:line="240" w:lineRule="exact"/>
              <w:rPr>
                <w:rFonts w:ascii="宋体" w:hAnsi="宋体" w:eastAsia="宋体" w:cs="宋体"/>
                <w:sz w:val="18"/>
                <w:szCs w:val="18"/>
              </w:rPr>
            </w:pPr>
            <w:r>
              <w:rPr>
                <w:rFonts w:ascii="宋体" w:hAnsi="宋体" w:eastAsia="宋体" w:cs="宋体"/>
                <w:sz w:val="18"/>
                <w:szCs w:val="18"/>
              </w:rPr>
              <w:t>3．现金及现金等价物净变动情况：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601509"/>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B60C35"/>
        </w:tc>
      </w:tr>
      <w:tr w14:paraId="41F76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78BCBE">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14:paraId="66B330C7">
            <w:pPr>
              <w:spacing w:line="240" w:lineRule="exact"/>
              <w:jc w:val="right"/>
              <w:rPr>
                <w:rFonts w:ascii="宋体" w:hAnsi="宋体" w:eastAsia="宋体" w:cs="宋体"/>
                <w:sz w:val="18"/>
                <w:szCs w:val="18"/>
              </w:rPr>
            </w:pPr>
            <w:r>
              <w:rPr>
                <w:rFonts w:ascii="宋体" w:hAnsi="宋体" w:eastAsia="宋体" w:cs="宋体"/>
                <w:sz w:val="18"/>
                <w:szCs w:val="18"/>
              </w:rPr>
              <w:t>1,207,070,727.32</w:t>
            </w:r>
          </w:p>
        </w:tc>
        <w:tc>
          <w:tcPr>
            <w:tcW w:w="3213" w:type="dxa"/>
            <w:tcBorders>
              <w:top w:val="single" w:color="auto" w:sz="2" w:space="0"/>
              <w:left w:val="single" w:color="auto" w:sz="2" w:space="0"/>
              <w:bottom w:val="single" w:color="auto" w:sz="2" w:space="0"/>
              <w:right w:val="single" w:color="auto" w:sz="2" w:space="0"/>
            </w:tcBorders>
            <w:vAlign w:val="center"/>
          </w:tcPr>
          <w:p w14:paraId="17D2B9F0">
            <w:pPr>
              <w:spacing w:line="240" w:lineRule="exact"/>
              <w:jc w:val="right"/>
              <w:rPr>
                <w:rFonts w:ascii="宋体" w:hAnsi="宋体" w:eastAsia="宋体" w:cs="宋体"/>
                <w:sz w:val="18"/>
                <w:szCs w:val="18"/>
              </w:rPr>
            </w:pPr>
            <w:r>
              <w:rPr>
                <w:rFonts w:ascii="宋体" w:hAnsi="宋体" w:eastAsia="宋体" w:cs="宋体"/>
                <w:sz w:val="18"/>
                <w:szCs w:val="18"/>
              </w:rPr>
              <w:t>2,157,207,946.09</w:t>
            </w:r>
          </w:p>
        </w:tc>
      </w:tr>
      <w:tr w14:paraId="1D7A9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7EBC6A">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14:paraId="6CBCE356">
            <w:pPr>
              <w:spacing w:line="240" w:lineRule="exact"/>
              <w:jc w:val="right"/>
              <w:rPr>
                <w:rFonts w:ascii="宋体" w:hAnsi="宋体" w:eastAsia="宋体" w:cs="宋体"/>
                <w:sz w:val="18"/>
                <w:szCs w:val="18"/>
              </w:rPr>
            </w:pPr>
            <w:r>
              <w:rPr>
                <w:rFonts w:ascii="宋体" w:hAnsi="宋体" w:eastAsia="宋体" w:cs="宋体"/>
                <w:sz w:val="18"/>
                <w:szCs w:val="18"/>
              </w:rPr>
              <w:t>2,157,207,946.09</w:t>
            </w:r>
          </w:p>
        </w:tc>
        <w:tc>
          <w:tcPr>
            <w:tcW w:w="3213" w:type="dxa"/>
            <w:tcBorders>
              <w:top w:val="single" w:color="auto" w:sz="2" w:space="0"/>
              <w:left w:val="single" w:color="auto" w:sz="2" w:space="0"/>
              <w:bottom w:val="single" w:color="auto" w:sz="2" w:space="0"/>
              <w:right w:val="single" w:color="auto" w:sz="2" w:space="0"/>
            </w:tcBorders>
            <w:vAlign w:val="center"/>
          </w:tcPr>
          <w:p w14:paraId="08AC6BAD">
            <w:pPr>
              <w:spacing w:line="240" w:lineRule="exact"/>
              <w:jc w:val="right"/>
              <w:rPr>
                <w:rFonts w:ascii="宋体" w:hAnsi="宋体" w:eastAsia="宋体" w:cs="宋体"/>
                <w:sz w:val="18"/>
                <w:szCs w:val="18"/>
              </w:rPr>
            </w:pPr>
            <w:r>
              <w:rPr>
                <w:rFonts w:ascii="宋体" w:hAnsi="宋体" w:eastAsia="宋体" w:cs="宋体"/>
                <w:sz w:val="18"/>
                <w:szCs w:val="18"/>
              </w:rPr>
              <w:t>2,183,880,557.50</w:t>
            </w:r>
          </w:p>
        </w:tc>
      </w:tr>
      <w:tr w14:paraId="75AD5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3D1A143">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14:paraId="5F90D023">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845D8C3">
            <w:pPr>
              <w:spacing w:line="240" w:lineRule="exact"/>
              <w:jc w:val="right"/>
              <w:rPr>
                <w:rFonts w:ascii="宋体" w:hAnsi="宋体" w:eastAsia="宋体" w:cs="宋体"/>
                <w:sz w:val="18"/>
                <w:szCs w:val="18"/>
              </w:rPr>
            </w:pPr>
          </w:p>
        </w:tc>
      </w:tr>
      <w:tr w14:paraId="4AE03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B4DE41D">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14:paraId="79794FA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3C019C1">
            <w:pPr>
              <w:spacing w:line="240" w:lineRule="exact"/>
              <w:jc w:val="right"/>
              <w:rPr>
                <w:rFonts w:ascii="宋体" w:hAnsi="宋体" w:eastAsia="宋体" w:cs="宋体"/>
                <w:sz w:val="18"/>
                <w:szCs w:val="18"/>
              </w:rPr>
            </w:pPr>
          </w:p>
        </w:tc>
      </w:tr>
      <w:tr w14:paraId="5BFFE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F581D8C">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14:paraId="028F82B1">
            <w:pPr>
              <w:spacing w:line="240" w:lineRule="exact"/>
              <w:jc w:val="right"/>
              <w:rPr>
                <w:rFonts w:ascii="宋体" w:hAnsi="宋体" w:eastAsia="宋体" w:cs="宋体"/>
                <w:sz w:val="18"/>
                <w:szCs w:val="18"/>
              </w:rPr>
            </w:pPr>
            <w:r>
              <w:rPr>
                <w:rFonts w:ascii="宋体" w:hAnsi="宋体" w:eastAsia="宋体" w:cs="宋体"/>
                <w:sz w:val="18"/>
                <w:szCs w:val="18"/>
              </w:rPr>
              <w:t>-950,137,218.77</w:t>
            </w:r>
          </w:p>
        </w:tc>
        <w:tc>
          <w:tcPr>
            <w:tcW w:w="3213" w:type="dxa"/>
            <w:tcBorders>
              <w:top w:val="single" w:color="auto" w:sz="2" w:space="0"/>
              <w:left w:val="single" w:color="auto" w:sz="2" w:space="0"/>
              <w:bottom w:val="single" w:color="auto" w:sz="2" w:space="0"/>
              <w:right w:val="single" w:color="auto" w:sz="2" w:space="0"/>
            </w:tcBorders>
            <w:vAlign w:val="center"/>
          </w:tcPr>
          <w:p w14:paraId="7AB37033">
            <w:pPr>
              <w:spacing w:line="240" w:lineRule="exact"/>
              <w:jc w:val="right"/>
              <w:rPr>
                <w:rFonts w:ascii="宋体" w:hAnsi="宋体" w:eastAsia="宋体" w:cs="宋体"/>
                <w:sz w:val="18"/>
                <w:szCs w:val="18"/>
              </w:rPr>
            </w:pPr>
            <w:r>
              <w:rPr>
                <w:rFonts w:ascii="宋体" w:hAnsi="宋体" w:eastAsia="宋体" w:cs="宋体"/>
                <w:sz w:val="18"/>
                <w:szCs w:val="18"/>
              </w:rPr>
              <w:t>-26,672,611.41</w:t>
            </w:r>
          </w:p>
        </w:tc>
      </w:tr>
    </w:tbl>
    <w:p w14:paraId="6659E328">
      <w:pPr>
        <w:keepNext/>
        <w:keepLines/>
        <w:spacing w:before="300" w:after="300" w:line="280" w:lineRule="exact"/>
        <w:outlineLvl w:val="3"/>
        <w:rPr>
          <w:rFonts w:ascii="宋体" w:hAnsi="宋体" w:eastAsia="宋体" w:cs="宋体"/>
          <w:b/>
          <w:bCs/>
          <w:szCs w:val="21"/>
        </w:rPr>
      </w:pPr>
      <w:bookmarkStart w:id="480" w:name="_Toc989334"/>
      <w:r>
        <w:rPr>
          <w:rFonts w:ascii="宋体" w:hAnsi="宋体" w:eastAsia="宋体" w:cs="宋体"/>
          <w:b/>
          <w:bCs/>
          <w:szCs w:val="21"/>
        </w:rPr>
        <w:t>（2） 本期支付的取得子公司的现金净额</w:t>
      </w:r>
      <w:bookmarkEnd w:id="480"/>
    </w:p>
    <w:p w14:paraId="2A597659">
      <w:pPr>
        <w:keepNext/>
        <w:keepLines/>
        <w:spacing w:before="300" w:after="300" w:line="280" w:lineRule="exact"/>
        <w:outlineLvl w:val="3"/>
        <w:rPr>
          <w:rFonts w:ascii="宋体" w:hAnsi="宋体" w:eastAsia="宋体" w:cs="宋体"/>
          <w:sz w:val="18"/>
          <w:szCs w:val="18"/>
        </w:rPr>
      </w:pPr>
      <w:r>
        <w:rPr>
          <w:rFonts w:ascii="宋体" w:hAnsi="宋体" w:eastAsia="宋体" w:cs="宋体"/>
          <w:sz w:val="18"/>
          <w:szCs w:val="18"/>
        </w:rPr>
        <w:t>其他说明：无</w:t>
      </w:r>
    </w:p>
    <w:p w14:paraId="40897922">
      <w:pPr>
        <w:keepNext/>
        <w:keepLines/>
        <w:spacing w:before="300" w:after="300" w:line="280" w:lineRule="exact"/>
        <w:outlineLvl w:val="3"/>
        <w:rPr>
          <w:rFonts w:ascii="宋体" w:hAnsi="宋体" w:eastAsia="宋体" w:cs="宋体"/>
          <w:b/>
          <w:bCs/>
          <w:szCs w:val="21"/>
        </w:rPr>
      </w:pPr>
      <w:bookmarkStart w:id="481" w:name="_Toc989336"/>
      <w:r>
        <w:rPr>
          <w:rFonts w:ascii="宋体" w:hAnsi="宋体" w:eastAsia="宋体" w:cs="宋体"/>
          <w:b/>
          <w:bCs/>
          <w:szCs w:val="21"/>
        </w:rPr>
        <w:t>（4） 现金和现金等价物的构成</w:t>
      </w:r>
      <w:bookmarkEnd w:id="481"/>
    </w:p>
    <w:p w14:paraId="2777626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F30B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720A94">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3B19BA1">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400326">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136EC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B5BA17">
            <w:pPr>
              <w:spacing w:before="40" w:after="40" w:line="240" w:lineRule="exact"/>
              <w:rPr>
                <w:rFonts w:ascii="宋体" w:hAnsi="宋体" w:eastAsia="宋体" w:cs="宋体"/>
                <w:sz w:val="18"/>
                <w:szCs w:val="18"/>
              </w:rPr>
            </w:pPr>
            <w:r>
              <w:rPr>
                <w:rFonts w:ascii="宋体" w:hAnsi="宋体" w:eastAsia="宋体" w:cs="宋体"/>
                <w:sz w:val="18"/>
                <w:szCs w:val="18"/>
              </w:rPr>
              <w:t>一、现金</w:t>
            </w:r>
          </w:p>
        </w:tc>
        <w:tc>
          <w:tcPr>
            <w:tcW w:w="3213" w:type="dxa"/>
            <w:tcBorders>
              <w:top w:val="single" w:color="auto" w:sz="2" w:space="0"/>
              <w:left w:val="single" w:color="auto" w:sz="2" w:space="0"/>
              <w:bottom w:val="single" w:color="auto" w:sz="2" w:space="0"/>
              <w:right w:val="single" w:color="auto" w:sz="2" w:space="0"/>
            </w:tcBorders>
            <w:vAlign w:val="center"/>
          </w:tcPr>
          <w:p w14:paraId="0A553CC5">
            <w:pPr>
              <w:spacing w:line="240" w:lineRule="exact"/>
              <w:jc w:val="right"/>
              <w:rPr>
                <w:rFonts w:ascii="宋体" w:hAnsi="宋体" w:eastAsia="宋体" w:cs="宋体"/>
                <w:sz w:val="18"/>
                <w:szCs w:val="18"/>
              </w:rPr>
            </w:pPr>
            <w:r>
              <w:rPr>
                <w:rFonts w:ascii="宋体" w:hAnsi="宋体" w:eastAsia="宋体" w:cs="宋体"/>
                <w:sz w:val="18"/>
                <w:szCs w:val="18"/>
              </w:rPr>
              <w:t>1,207,070,727.32</w:t>
            </w:r>
          </w:p>
        </w:tc>
        <w:tc>
          <w:tcPr>
            <w:tcW w:w="3213" w:type="dxa"/>
            <w:tcBorders>
              <w:top w:val="single" w:color="auto" w:sz="2" w:space="0"/>
              <w:left w:val="single" w:color="auto" w:sz="2" w:space="0"/>
              <w:bottom w:val="single" w:color="auto" w:sz="2" w:space="0"/>
              <w:right w:val="single" w:color="auto" w:sz="2" w:space="0"/>
            </w:tcBorders>
            <w:vAlign w:val="center"/>
          </w:tcPr>
          <w:p w14:paraId="75DE3DB3">
            <w:pPr>
              <w:spacing w:line="240" w:lineRule="exact"/>
              <w:jc w:val="right"/>
              <w:rPr>
                <w:rFonts w:ascii="宋体" w:hAnsi="宋体" w:eastAsia="宋体" w:cs="宋体"/>
                <w:sz w:val="18"/>
                <w:szCs w:val="18"/>
              </w:rPr>
            </w:pPr>
            <w:r>
              <w:rPr>
                <w:rFonts w:ascii="宋体" w:hAnsi="宋体" w:eastAsia="宋体" w:cs="宋体"/>
                <w:sz w:val="18"/>
                <w:szCs w:val="18"/>
              </w:rPr>
              <w:t>2,157,207,946.09</w:t>
            </w:r>
          </w:p>
        </w:tc>
      </w:tr>
      <w:tr w14:paraId="7A217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2A0911">
            <w:pPr>
              <w:spacing w:before="40" w:after="40" w:line="240" w:lineRule="exact"/>
              <w:rPr>
                <w:rFonts w:ascii="宋体" w:hAnsi="宋体" w:eastAsia="宋体" w:cs="宋体"/>
                <w:sz w:val="18"/>
                <w:szCs w:val="18"/>
              </w:rPr>
            </w:pPr>
            <w:r>
              <w:rPr>
                <w:rFonts w:ascii="宋体" w:hAnsi="宋体" w:eastAsia="宋体" w:cs="宋体"/>
                <w:sz w:val="18"/>
                <w:szCs w:val="18"/>
              </w:rPr>
              <w:t>其中：库存现金</w:t>
            </w:r>
          </w:p>
        </w:tc>
        <w:tc>
          <w:tcPr>
            <w:tcW w:w="3213" w:type="dxa"/>
            <w:tcBorders>
              <w:top w:val="single" w:color="auto" w:sz="2" w:space="0"/>
              <w:left w:val="single" w:color="auto" w:sz="2" w:space="0"/>
              <w:bottom w:val="single" w:color="auto" w:sz="2" w:space="0"/>
              <w:right w:val="single" w:color="auto" w:sz="2" w:space="0"/>
            </w:tcBorders>
            <w:vAlign w:val="center"/>
          </w:tcPr>
          <w:p w14:paraId="5D4B3446">
            <w:pPr>
              <w:spacing w:line="240" w:lineRule="exact"/>
              <w:jc w:val="right"/>
              <w:rPr>
                <w:rFonts w:ascii="宋体" w:hAnsi="宋体" w:eastAsia="宋体" w:cs="宋体"/>
                <w:sz w:val="18"/>
                <w:szCs w:val="18"/>
              </w:rPr>
            </w:pPr>
            <w:r>
              <w:rPr>
                <w:rFonts w:ascii="宋体" w:hAnsi="宋体" w:eastAsia="宋体" w:cs="宋体"/>
                <w:sz w:val="18"/>
                <w:szCs w:val="18"/>
              </w:rPr>
              <w:t>132,625.41</w:t>
            </w:r>
          </w:p>
        </w:tc>
        <w:tc>
          <w:tcPr>
            <w:tcW w:w="3213" w:type="dxa"/>
            <w:tcBorders>
              <w:top w:val="single" w:color="auto" w:sz="2" w:space="0"/>
              <w:left w:val="single" w:color="auto" w:sz="2" w:space="0"/>
              <w:bottom w:val="single" w:color="auto" w:sz="2" w:space="0"/>
              <w:right w:val="single" w:color="auto" w:sz="2" w:space="0"/>
            </w:tcBorders>
            <w:vAlign w:val="center"/>
          </w:tcPr>
          <w:p w14:paraId="645240A9">
            <w:pPr>
              <w:spacing w:line="240" w:lineRule="exact"/>
              <w:jc w:val="right"/>
              <w:rPr>
                <w:rFonts w:ascii="宋体" w:hAnsi="宋体" w:eastAsia="宋体" w:cs="宋体"/>
                <w:sz w:val="18"/>
                <w:szCs w:val="18"/>
              </w:rPr>
            </w:pPr>
            <w:r>
              <w:rPr>
                <w:rFonts w:ascii="宋体" w:hAnsi="宋体" w:eastAsia="宋体" w:cs="宋体"/>
                <w:sz w:val="18"/>
                <w:szCs w:val="18"/>
              </w:rPr>
              <w:t>69,644.90</w:t>
            </w:r>
          </w:p>
        </w:tc>
      </w:tr>
      <w:tr w14:paraId="5461D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E168E4">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可随时用于支付的银行存款</w:t>
            </w:r>
          </w:p>
        </w:tc>
        <w:tc>
          <w:tcPr>
            <w:tcW w:w="3213" w:type="dxa"/>
            <w:tcBorders>
              <w:top w:val="single" w:color="auto" w:sz="2" w:space="0"/>
              <w:left w:val="single" w:color="auto" w:sz="2" w:space="0"/>
              <w:bottom w:val="single" w:color="auto" w:sz="2" w:space="0"/>
              <w:right w:val="single" w:color="auto" w:sz="2" w:space="0"/>
            </w:tcBorders>
            <w:vAlign w:val="center"/>
          </w:tcPr>
          <w:p w14:paraId="1643DDDD">
            <w:pPr>
              <w:spacing w:line="240" w:lineRule="exact"/>
              <w:jc w:val="right"/>
              <w:rPr>
                <w:rFonts w:ascii="宋体" w:hAnsi="宋体" w:eastAsia="宋体" w:cs="宋体"/>
                <w:sz w:val="18"/>
                <w:szCs w:val="18"/>
              </w:rPr>
            </w:pPr>
            <w:r>
              <w:rPr>
                <w:rFonts w:ascii="宋体" w:hAnsi="宋体" w:eastAsia="宋体" w:cs="宋体"/>
                <w:sz w:val="18"/>
                <w:szCs w:val="18"/>
              </w:rPr>
              <w:t>914,530,755.78</w:t>
            </w:r>
          </w:p>
        </w:tc>
        <w:tc>
          <w:tcPr>
            <w:tcW w:w="3213" w:type="dxa"/>
            <w:tcBorders>
              <w:top w:val="single" w:color="auto" w:sz="2" w:space="0"/>
              <w:left w:val="single" w:color="auto" w:sz="2" w:space="0"/>
              <w:bottom w:val="single" w:color="auto" w:sz="2" w:space="0"/>
              <w:right w:val="single" w:color="auto" w:sz="2" w:space="0"/>
            </w:tcBorders>
            <w:vAlign w:val="center"/>
          </w:tcPr>
          <w:p w14:paraId="7A8EF9BD">
            <w:pPr>
              <w:spacing w:line="240" w:lineRule="exact"/>
              <w:jc w:val="right"/>
              <w:rPr>
                <w:rFonts w:ascii="宋体" w:hAnsi="宋体" w:eastAsia="宋体" w:cs="宋体"/>
                <w:sz w:val="18"/>
                <w:szCs w:val="18"/>
              </w:rPr>
            </w:pPr>
            <w:r>
              <w:rPr>
                <w:rFonts w:ascii="宋体" w:hAnsi="宋体" w:eastAsia="宋体" w:cs="宋体"/>
                <w:sz w:val="18"/>
                <w:szCs w:val="18"/>
              </w:rPr>
              <w:t>1,840,496,250.51</w:t>
            </w:r>
          </w:p>
        </w:tc>
      </w:tr>
      <w:tr w14:paraId="6933F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901942">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可随时用于支付的其他货币资金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036BDB55">
            <w:pPr>
              <w:spacing w:line="240" w:lineRule="exact"/>
              <w:jc w:val="right"/>
              <w:rPr>
                <w:rFonts w:ascii="宋体" w:hAnsi="宋体" w:eastAsia="宋体" w:cs="宋体"/>
                <w:sz w:val="18"/>
                <w:szCs w:val="18"/>
              </w:rPr>
            </w:pPr>
            <w:r>
              <w:rPr>
                <w:rFonts w:ascii="宋体" w:hAnsi="宋体" w:eastAsia="宋体" w:cs="宋体"/>
                <w:sz w:val="18"/>
                <w:szCs w:val="18"/>
              </w:rPr>
              <w:t>292,407,346.13</w:t>
            </w:r>
          </w:p>
        </w:tc>
        <w:tc>
          <w:tcPr>
            <w:tcW w:w="3213" w:type="dxa"/>
            <w:tcBorders>
              <w:top w:val="single" w:color="auto" w:sz="2" w:space="0"/>
              <w:left w:val="single" w:color="auto" w:sz="2" w:space="0"/>
              <w:bottom w:val="single" w:color="auto" w:sz="2" w:space="0"/>
              <w:right w:val="single" w:color="auto" w:sz="2" w:space="0"/>
            </w:tcBorders>
            <w:vAlign w:val="center"/>
          </w:tcPr>
          <w:p w14:paraId="13BCE9FE">
            <w:pPr>
              <w:spacing w:line="240" w:lineRule="exact"/>
              <w:jc w:val="right"/>
              <w:rPr>
                <w:rFonts w:ascii="宋体" w:hAnsi="宋体" w:eastAsia="宋体" w:cs="宋体"/>
                <w:sz w:val="18"/>
                <w:szCs w:val="18"/>
              </w:rPr>
            </w:pPr>
            <w:r>
              <w:rPr>
                <w:rFonts w:ascii="宋体" w:hAnsi="宋体" w:eastAsia="宋体" w:cs="宋体"/>
                <w:sz w:val="18"/>
                <w:szCs w:val="18"/>
              </w:rPr>
              <w:t>316,642,050.68</w:t>
            </w:r>
          </w:p>
        </w:tc>
      </w:tr>
      <w:tr w14:paraId="17BFB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48FDB0">
            <w:pPr>
              <w:spacing w:before="40" w:after="40" w:line="240" w:lineRule="exact"/>
              <w:rPr>
                <w:rFonts w:ascii="宋体" w:hAnsi="宋体" w:eastAsia="宋体" w:cs="宋体"/>
                <w:sz w:val="18"/>
                <w:szCs w:val="18"/>
              </w:rPr>
            </w:pPr>
            <w:r>
              <w:rPr>
                <w:rFonts w:ascii="宋体" w:hAnsi="宋体" w:eastAsia="宋体" w:cs="宋体"/>
                <w:sz w:val="18"/>
                <w:szCs w:val="18"/>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14:paraId="2E3B4AD8">
            <w:pPr>
              <w:spacing w:line="240" w:lineRule="exact"/>
              <w:jc w:val="right"/>
              <w:rPr>
                <w:rFonts w:ascii="宋体" w:hAnsi="宋体" w:eastAsia="宋体" w:cs="宋体"/>
                <w:sz w:val="18"/>
                <w:szCs w:val="18"/>
              </w:rPr>
            </w:pPr>
            <w:r>
              <w:rPr>
                <w:rFonts w:ascii="宋体" w:hAnsi="宋体" w:eastAsia="宋体" w:cs="宋体"/>
                <w:sz w:val="18"/>
                <w:szCs w:val="18"/>
              </w:rPr>
              <w:t>1,207,070,727.32</w:t>
            </w:r>
          </w:p>
        </w:tc>
        <w:tc>
          <w:tcPr>
            <w:tcW w:w="3213" w:type="dxa"/>
            <w:tcBorders>
              <w:top w:val="single" w:color="auto" w:sz="2" w:space="0"/>
              <w:left w:val="single" w:color="auto" w:sz="2" w:space="0"/>
              <w:bottom w:val="single" w:color="auto" w:sz="2" w:space="0"/>
              <w:right w:val="single" w:color="auto" w:sz="2" w:space="0"/>
            </w:tcBorders>
            <w:vAlign w:val="center"/>
          </w:tcPr>
          <w:p w14:paraId="3D8E6C07">
            <w:pPr>
              <w:spacing w:line="240" w:lineRule="exact"/>
              <w:jc w:val="right"/>
              <w:rPr>
                <w:rFonts w:ascii="宋体" w:hAnsi="宋体" w:eastAsia="宋体" w:cs="宋体"/>
                <w:sz w:val="18"/>
                <w:szCs w:val="18"/>
              </w:rPr>
            </w:pPr>
            <w:r>
              <w:rPr>
                <w:rFonts w:ascii="宋体" w:hAnsi="宋体" w:eastAsia="宋体" w:cs="宋体"/>
                <w:sz w:val="18"/>
                <w:szCs w:val="18"/>
              </w:rPr>
              <w:t>2,157,207,946.09</w:t>
            </w:r>
          </w:p>
        </w:tc>
      </w:tr>
    </w:tbl>
    <w:p w14:paraId="187D88A4">
      <w:pPr>
        <w:keepNext/>
        <w:keepLines/>
        <w:spacing w:before="300" w:after="300" w:line="280" w:lineRule="exact"/>
        <w:outlineLvl w:val="3"/>
        <w:rPr>
          <w:rFonts w:ascii="宋体" w:hAnsi="宋体" w:eastAsia="宋体" w:cs="宋体"/>
          <w:b/>
          <w:bCs/>
          <w:szCs w:val="21"/>
        </w:rPr>
      </w:pPr>
      <w:bookmarkStart w:id="482" w:name="_Toc989337"/>
      <w:r>
        <w:rPr>
          <w:rFonts w:ascii="宋体" w:hAnsi="宋体" w:eastAsia="宋体" w:cs="宋体"/>
          <w:b/>
          <w:bCs/>
          <w:szCs w:val="21"/>
        </w:rPr>
        <w:t>（5） 使用范围受限但仍属于现金及现金等价物列示的情况</w:t>
      </w:r>
      <w:bookmarkEnd w:id="482"/>
    </w:p>
    <w:p w14:paraId="4E9518B9">
      <w:pPr>
        <w:keepNext/>
        <w:keepLines/>
        <w:spacing w:before="300" w:after="300" w:line="280" w:lineRule="exact"/>
        <w:outlineLvl w:val="3"/>
        <w:rPr>
          <w:rFonts w:ascii="宋体" w:hAnsi="宋体" w:eastAsia="宋体" w:cs="宋体"/>
          <w:b/>
          <w:bCs/>
          <w:szCs w:val="21"/>
        </w:rPr>
      </w:pPr>
      <w:bookmarkStart w:id="483" w:name="_Toc989338"/>
      <w:r>
        <w:rPr>
          <w:rFonts w:ascii="宋体" w:hAnsi="宋体" w:eastAsia="宋体" w:cs="宋体"/>
          <w:b/>
          <w:bCs/>
          <w:szCs w:val="21"/>
        </w:rPr>
        <w:t>（6） 不属于现金及现金等价物的货币资金</w:t>
      </w:r>
      <w:bookmarkEnd w:id="483"/>
    </w:p>
    <w:p w14:paraId="78E9F705">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ascii="宋体" w:hAnsi="宋体" w:eastAsia="宋体" w:cs="宋体"/>
          <w:sz w:val="18"/>
          <w:szCs w:val="18"/>
        </w:rPr>
        <w:t>无</w:t>
      </w:r>
    </w:p>
    <w:p w14:paraId="306650A8">
      <w:pPr>
        <w:keepNext/>
        <w:keepLines/>
        <w:spacing w:before="300" w:after="300" w:line="280" w:lineRule="exact"/>
        <w:outlineLvl w:val="3"/>
        <w:rPr>
          <w:rFonts w:ascii="宋体" w:hAnsi="宋体" w:eastAsia="宋体" w:cs="宋体"/>
          <w:b/>
          <w:bCs/>
          <w:szCs w:val="21"/>
        </w:rPr>
      </w:pPr>
      <w:bookmarkStart w:id="484" w:name="_Toc989339"/>
      <w:r>
        <w:rPr>
          <w:rFonts w:ascii="宋体" w:hAnsi="宋体" w:eastAsia="宋体" w:cs="宋体"/>
          <w:b/>
          <w:bCs/>
          <w:szCs w:val="21"/>
        </w:rPr>
        <w:t>（7） 其他重大活动说明</w:t>
      </w:r>
      <w:bookmarkEnd w:id="484"/>
    </w:p>
    <w:p w14:paraId="7FAFFBE6">
      <w:pPr>
        <w:pStyle w:val="3"/>
        <w:spacing w:line="280" w:lineRule="exact"/>
        <w:jc w:val="left"/>
        <w:rPr>
          <w:rFonts w:ascii="宋体" w:hAnsi="宋体" w:cs="宋体"/>
          <w:b/>
          <w:bCs/>
        </w:rPr>
      </w:pPr>
      <w:bookmarkStart w:id="485" w:name="_Toc989340"/>
      <w:r>
        <w:rPr>
          <w:rFonts w:ascii="宋体" w:hAnsi="宋体" w:cs="宋体"/>
          <w:b/>
          <w:bCs/>
        </w:rPr>
        <w:t>80、所有者权益变动表项目注释</w:t>
      </w:r>
      <w:bookmarkEnd w:id="485"/>
    </w:p>
    <w:p w14:paraId="1C154D92">
      <w:pPr>
        <w:spacing w:before="100" w:after="100" w:line="240" w:lineRule="exact"/>
        <w:rPr>
          <w:rFonts w:ascii="宋体" w:hAnsi="宋体" w:eastAsia="宋体" w:cs="宋体"/>
          <w:sz w:val="18"/>
          <w:szCs w:val="18"/>
        </w:rPr>
      </w:pPr>
      <w:r>
        <w:rPr>
          <w:rFonts w:ascii="宋体" w:hAnsi="宋体" w:eastAsia="宋体" w:cs="宋体"/>
          <w:sz w:val="18"/>
          <w:szCs w:val="18"/>
        </w:rPr>
        <w:t>说明对上年年末余额进行调整的“其他”项目名称及调整金额等事项：</w:t>
      </w:r>
    </w:p>
    <w:p w14:paraId="1F3669B3">
      <w:pPr>
        <w:pStyle w:val="3"/>
        <w:spacing w:line="280" w:lineRule="exact"/>
        <w:jc w:val="left"/>
        <w:rPr>
          <w:rFonts w:ascii="宋体" w:hAnsi="宋体" w:cs="宋体"/>
          <w:b/>
          <w:bCs/>
        </w:rPr>
      </w:pPr>
      <w:bookmarkStart w:id="486" w:name="_Toc989341"/>
      <w:r>
        <w:rPr>
          <w:rFonts w:ascii="宋体" w:hAnsi="宋体" w:cs="宋体"/>
          <w:b/>
          <w:bCs/>
        </w:rPr>
        <w:t>81、外币货币性项目</w:t>
      </w:r>
      <w:bookmarkEnd w:id="486"/>
    </w:p>
    <w:p w14:paraId="03128364">
      <w:pPr>
        <w:keepNext/>
        <w:keepLines/>
        <w:spacing w:before="300" w:after="300" w:line="280" w:lineRule="exact"/>
        <w:outlineLvl w:val="3"/>
        <w:rPr>
          <w:rFonts w:ascii="宋体" w:hAnsi="宋体" w:eastAsia="宋体" w:cs="宋体"/>
          <w:b/>
          <w:bCs/>
          <w:szCs w:val="21"/>
        </w:rPr>
      </w:pPr>
      <w:bookmarkStart w:id="487" w:name="_Toc989342"/>
      <w:r>
        <w:rPr>
          <w:rFonts w:ascii="宋体" w:hAnsi="宋体" w:eastAsia="宋体" w:cs="宋体"/>
          <w:b/>
          <w:bCs/>
          <w:szCs w:val="21"/>
        </w:rPr>
        <w:t>（1） 外币货币性项目</w:t>
      </w:r>
      <w:bookmarkEnd w:id="487"/>
    </w:p>
    <w:p w14:paraId="35D37CA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7C7AC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2980B13">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0ECF081">
            <w:pPr>
              <w:spacing w:before="40" w:after="40" w:line="240" w:lineRule="exact"/>
              <w:jc w:val="center"/>
              <w:rPr>
                <w:rFonts w:ascii="宋体" w:hAnsi="宋体" w:eastAsia="宋体" w:cs="宋体"/>
                <w:sz w:val="18"/>
                <w:szCs w:val="18"/>
              </w:rPr>
            </w:pPr>
            <w:r>
              <w:rPr>
                <w:rFonts w:ascii="宋体" w:hAnsi="宋体" w:eastAsia="宋体" w:cs="宋体"/>
                <w:sz w:val="18"/>
                <w:szCs w:val="18"/>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E247994">
            <w:pPr>
              <w:spacing w:before="40" w:after="40" w:line="240" w:lineRule="exact"/>
              <w:jc w:val="center"/>
              <w:rPr>
                <w:rFonts w:ascii="宋体" w:hAnsi="宋体" w:eastAsia="宋体" w:cs="宋体"/>
                <w:sz w:val="18"/>
                <w:szCs w:val="18"/>
              </w:rPr>
            </w:pPr>
            <w:r>
              <w:rPr>
                <w:rFonts w:ascii="宋体" w:hAnsi="宋体" w:eastAsia="宋体" w:cs="宋体"/>
                <w:sz w:val="18"/>
                <w:szCs w:val="18"/>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5006919">
            <w:pPr>
              <w:spacing w:before="40" w:after="40" w:line="240" w:lineRule="exact"/>
              <w:jc w:val="center"/>
              <w:rPr>
                <w:rFonts w:ascii="宋体" w:hAnsi="宋体" w:eastAsia="宋体" w:cs="宋体"/>
                <w:sz w:val="18"/>
                <w:szCs w:val="18"/>
              </w:rPr>
            </w:pPr>
            <w:r>
              <w:rPr>
                <w:rFonts w:ascii="宋体" w:hAnsi="宋体" w:eastAsia="宋体" w:cs="宋体"/>
                <w:sz w:val="18"/>
                <w:szCs w:val="18"/>
              </w:rPr>
              <w:t>期末折算人民币余额</w:t>
            </w:r>
          </w:p>
        </w:tc>
      </w:tr>
      <w:tr w14:paraId="3A157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0BA16AA">
            <w:pPr>
              <w:spacing w:before="40" w:after="40" w:line="240" w:lineRule="exact"/>
              <w:rPr>
                <w:rFonts w:ascii="宋体" w:hAnsi="宋体" w:eastAsia="宋体" w:cs="宋体"/>
                <w:sz w:val="18"/>
                <w:szCs w:val="18"/>
              </w:rPr>
            </w:pPr>
            <w:r>
              <w:rPr>
                <w:rFonts w:ascii="宋体" w:hAnsi="宋体" w:eastAsia="宋体" w:cs="宋体"/>
                <w:sz w:val="18"/>
                <w:szCs w:val="18"/>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DD08FCF"/>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4F2F54B"/>
        </w:tc>
        <w:tc>
          <w:tcPr>
            <w:tcW w:w="2410" w:type="dxa"/>
            <w:tcBorders>
              <w:top w:val="single" w:color="auto" w:sz="2" w:space="0"/>
              <w:left w:val="single" w:color="auto" w:sz="2" w:space="0"/>
              <w:bottom w:val="single" w:color="auto" w:sz="2" w:space="0"/>
              <w:right w:val="single" w:color="auto" w:sz="2" w:space="0"/>
            </w:tcBorders>
            <w:vAlign w:val="center"/>
          </w:tcPr>
          <w:p w14:paraId="1F4EE939">
            <w:pPr>
              <w:spacing w:line="240" w:lineRule="exact"/>
              <w:jc w:val="right"/>
              <w:rPr>
                <w:rFonts w:ascii="宋体" w:hAnsi="宋体" w:eastAsia="宋体" w:cs="宋体"/>
                <w:sz w:val="18"/>
                <w:szCs w:val="18"/>
              </w:rPr>
            </w:pPr>
          </w:p>
        </w:tc>
      </w:tr>
      <w:tr w14:paraId="03E04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6ADB320">
            <w:pPr>
              <w:spacing w:before="40" w:after="40" w:line="240" w:lineRule="exac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14:paraId="2477FDBA">
            <w:pPr>
              <w:spacing w:line="240" w:lineRule="exact"/>
              <w:jc w:val="right"/>
              <w:rPr>
                <w:rFonts w:ascii="宋体" w:hAnsi="宋体" w:eastAsia="宋体" w:cs="宋体"/>
                <w:sz w:val="18"/>
                <w:szCs w:val="18"/>
              </w:rPr>
            </w:pPr>
            <w:r>
              <w:rPr>
                <w:rFonts w:ascii="宋体" w:hAnsi="宋体" w:eastAsia="宋体" w:cs="宋体"/>
                <w:sz w:val="18"/>
                <w:szCs w:val="18"/>
              </w:rPr>
              <w:t>44,064,550.20</w:t>
            </w:r>
          </w:p>
        </w:tc>
        <w:tc>
          <w:tcPr>
            <w:tcW w:w="2410" w:type="dxa"/>
            <w:tcBorders>
              <w:top w:val="single" w:color="auto" w:sz="2" w:space="0"/>
              <w:left w:val="single" w:color="auto" w:sz="2" w:space="0"/>
              <w:bottom w:val="single" w:color="auto" w:sz="2" w:space="0"/>
              <w:right w:val="single" w:color="auto" w:sz="2" w:space="0"/>
            </w:tcBorders>
            <w:vAlign w:val="center"/>
          </w:tcPr>
          <w:p w14:paraId="2F3180D3">
            <w:pPr>
              <w:spacing w:line="240" w:lineRule="exact"/>
              <w:rPr>
                <w:rFonts w:ascii="宋体" w:hAnsi="宋体" w:eastAsia="宋体" w:cs="宋体"/>
                <w:sz w:val="18"/>
                <w:szCs w:val="18"/>
              </w:rPr>
            </w:pPr>
            <w:r>
              <w:rPr>
                <w:rFonts w:ascii="宋体" w:hAnsi="宋体" w:eastAsia="宋体" w:cs="宋体"/>
                <w:sz w:val="18"/>
                <w:szCs w:val="18"/>
              </w:rPr>
              <w:t>7.02880</w:t>
            </w:r>
          </w:p>
        </w:tc>
        <w:tc>
          <w:tcPr>
            <w:tcW w:w="2410" w:type="dxa"/>
            <w:tcBorders>
              <w:top w:val="single" w:color="auto" w:sz="2" w:space="0"/>
              <w:left w:val="single" w:color="auto" w:sz="2" w:space="0"/>
              <w:bottom w:val="single" w:color="auto" w:sz="2" w:space="0"/>
              <w:right w:val="single" w:color="auto" w:sz="2" w:space="0"/>
            </w:tcBorders>
            <w:vAlign w:val="center"/>
          </w:tcPr>
          <w:p w14:paraId="3914AB88">
            <w:pPr>
              <w:spacing w:line="240" w:lineRule="exact"/>
              <w:jc w:val="right"/>
              <w:rPr>
                <w:rFonts w:ascii="宋体" w:hAnsi="宋体" w:eastAsia="宋体" w:cs="宋体"/>
                <w:sz w:val="18"/>
                <w:szCs w:val="18"/>
              </w:rPr>
            </w:pPr>
            <w:r>
              <w:rPr>
                <w:rFonts w:ascii="宋体" w:hAnsi="宋体" w:eastAsia="宋体" w:cs="宋体"/>
                <w:sz w:val="18"/>
                <w:szCs w:val="18"/>
              </w:rPr>
              <w:t>309,720,910.10</w:t>
            </w:r>
          </w:p>
        </w:tc>
      </w:tr>
      <w:tr w14:paraId="019A1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5A150D6">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14:paraId="27D8421F">
            <w:pPr>
              <w:spacing w:line="240" w:lineRule="exact"/>
              <w:jc w:val="right"/>
              <w:rPr>
                <w:rFonts w:ascii="宋体" w:hAnsi="宋体" w:eastAsia="宋体" w:cs="宋体"/>
                <w:sz w:val="18"/>
                <w:szCs w:val="18"/>
              </w:rPr>
            </w:pPr>
            <w:r>
              <w:rPr>
                <w:rFonts w:ascii="宋体" w:hAnsi="宋体" w:eastAsia="宋体" w:cs="宋体"/>
                <w:sz w:val="18"/>
                <w:szCs w:val="18"/>
              </w:rPr>
              <w:t>6,384.19</w:t>
            </w:r>
          </w:p>
        </w:tc>
        <w:tc>
          <w:tcPr>
            <w:tcW w:w="2410" w:type="dxa"/>
            <w:tcBorders>
              <w:top w:val="single" w:color="auto" w:sz="2" w:space="0"/>
              <w:left w:val="single" w:color="auto" w:sz="2" w:space="0"/>
              <w:bottom w:val="single" w:color="auto" w:sz="2" w:space="0"/>
              <w:right w:val="single" w:color="auto" w:sz="2" w:space="0"/>
            </w:tcBorders>
            <w:vAlign w:val="center"/>
          </w:tcPr>
          <w:p w14:paraId="33F0AD1D">
            <w:pPr>
              <w:spacing w:line="240" w:lineRule="exact"/>
              <w:rPr>
                <w:rFonts w:ascii="宋体" w:hAnsi="宋体" w:eastAsia="宋体" w:cs="宋体"/>
                <w:sz w:val="18"/>
                <w:szCs w:val="18"/>
              </w:rPr>
            </w:pPr>
            <w:r>
              <w:rPr>
                <w:rFonts w:ascii="宋体" w:hAnsi="宋体" w:eastAsia="宋体" w:cs="宋体"/>
                <w:sz w:val="18"/>
                <w:szCs w:val="18"/>
              </w:rPr>
              <w:t>8.23550</w:t>
            </w:r>
          </w:p>
        </w:tc>
        <w:tc>
          <w:tcPr>
            <w:tcW w:w="2410" w:type="dxa"/>
            <w:tcBorders>
              <w:top w:val="single" w:color="auto" w:sz="2" w:space="0"/>
              <w:left w:val="single" w:color="auto" w:sz="2" w:space="0"/>
              <w:bottom w:val="single" w:color="auto" w:sz="2" w:space="0"/>
              <w:right w:val="single" w:color="auto" w:sz="2" w:space="0"/>
            </w:tcBorders>
            <w:vAlign w:val="center"/>
          </w:tcPr>
          <w:p w14:paraId="012F4FAD">
            <w:pPr>
              <w:spacing w:line="240" w:lineRule="exact"/>
              <w:jc w:val="right"/>
              <w:rPr>
                <w:rFonts w:ascii="宋体" w:hAnsi="宋体" w:eastAsia="宋体" w:cs="宋体"/>
                <w:sz w:val="18"/>
                <w:szCs w:val="18"/>
              </w:rPr>
            </w:pPr>
            <w:r>
              <w:rPr>
                <w:rFonts w:ascii="宋体" w:hAnsi="宋体" w:eastAsia="宋体" w:cs="宋体"/>
                <w:sz w:val="18"/>
                <w:szCs w:val="18"/>
              </w:rPr>
              <w:t>52,577.00</w:t>
            </w:r>
          </w:p>
        </w:tc>
      </w:tr>
      <w:tr w14:paraId="6C8BA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9AF5158">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14:paraId="1E53F34A">
            <w:pPr>
              <w:spacing w:line="240" w:lineRule="exact"/>
              <w:jc w:val="right"/>
              <w:rPr>
                <w:rFonts w:ascii="宋体" w:hAnsi="宋体" w:eastAsia="宋体" w:cs="宋体"/>
                <w:sz w:val="18"/>
                <w:szCs w:val="18"/>
              </w:rPr>
            </w:pPr>
            <w:r>
              <w:rPr>
                <w:rFonts w:ascii="宋体" w:hAnsi="宋体" w:eastAsia="宋体" w:cs="宋体"/>
                <w:sz w:val="18"/>
                <w:szCs w:val="18"/>
              </w:rPr>
              <w:t>8,680,620.40</w:t>
            </w:r>
          </w:p>
        </w:tc>
        <w:tc>
          <w:tcPr>
            <w:tcW w:w="2410" w:type="dxa"/>
            <w:tcBorders>
              <w:top w:val="single" w:color="auto" w:sz="2" w:space="0"/>
              <w:left w:val="single" w:color="auto" w:sz="2" w:space="0"/>
              <w:bottom w:val="single" w:color="auto" w:sz="2" w:space="0"/>
              <w:right w:val="single" w:color="auto" w:sz="2" w:space="0"/>
            </w:tcBorders>
            <w:vAlign w:val="center"/>
          </w:tcPr>
          <w:p w14:paraId="4262921E">
            <w:pPr>
              <w:spacing w:line="240" w:lineRule="exact"/>
              <w:rPr>
                <w:rFonts w:ascii="宋体" w:hAnsi="宋体" w:eastAsia="宋体" w:cs="宋体"/>
                <w:sz w:val="18"/>
                <w:szCs w:val="18"/>
              </w:rPr>
            </w:pPr>
            <w:r>
              <w:rPr>
                <w:rFonts w:ascii="宋体" w:hAnsi="宋体" w:eastAsia="宋体" w:cs="宋体"/>
                <w:sz w:val="18"/>
                <w:szCs w:val="18"/>
              </w:rPr>
              <w:t>0.90322</w:t>
            </w:r>
          </w:p>
        </w:tc>
        <w:tc>
          <w:tcPr>
            <w:tcW w:w="2410" w:type="dxa"/>
            <w:tcBorders>
              <w:top w:val="single" w:color="auto" w:sz="2" w:space="0"/>
              <w:left w:val="single" w:color="auto" w:sz="2" w:space="0"/>
              <w:bottom w:val="single" w:color="auto" w:sz="2" w:space="0"/>
              <w:right w:val="single" w:color="auto" w:sz="2" w:space="0"/>
            </w:tcBorders>
            <w:vAlign w:val="center"/>
          </w:tcPr>
          <w:p w14:paraId="61EE19EF">
            <w:pPr>
              <w:spacing w:line="240" w:lineRule="exact"/>
              <w:jc w:val="right"/>
              <w:rPr>
                <w:rFonts w:ascii="宋体" w:hAnsi="宋体" w:eastAsia="宋体" w:cs="宋体"/>
                <w:sz w:val="18"/>
                <w:szCs w:val="18"/>
              </w:rPr>
            </w:pPr>
            <w:r>
              <w:rPr>
                <w:rFonts w:ascii="宋体" w:hAnsi="宋体" w:eastAsia="宋体" w:cs="宋体"/>
                <w:sz w:val="18"/>
                <w:szCs w:val="18"/>
              </w:rPr>
              <w:t>7,840,509.95</w:t>
            </w:r>
          </w:p>
        </w:tc>
      </w:tr>
      <w:tr w14:paraId="778C5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248B98C">
            <w:pPr>
              <w:spacing w:line="240" w:lineRule="exact"/>
              <w:rPr>
                <w:rFonts w:ascii="宋体" w:hAnsi="宋体" w:eastAsia="宋体" w:cs="宋体"/>
                <w:sz w:val="18"/>
                <w:szCs w:val="18"/>
              </w:rPr>
            </w:pPr>
            <w:r>
              <w:rPr>
                <w:rFonts w:ascii="宋体" w:hAnsi="宋体" w:eastAsia="宋体" w:cs="宋体"/>
                <w:sz w:val="18"/>
                <w:szCs w:val="18"/>
              </w:rPr>
              <w:t>越南盾</w:t>
            </w:r>
          </w:p>
        </w:tc>
        <w:tc>
          <w:tcPr>
            <w:tcW w:w="2410" w:type="dxa"/>
            <w:tcBorders>
              <w:top w:val="single" w:color="auto" w:sz="2" w:space="0"/>
              <w:left w:val="single" w:color="auto" w:sz="2" w:space="0"/>
              <w:bottom w:val="single" w:color="auto" w:sz="2" w:space="0"/>
              <w:right w:val="single" w:color="auto" w:sz="2" w:space="0"/>
            </w:tcBorders>
            <w:vAlign w:val="center"/>
          </w:tcPr>
          <w:p w14:paraId="27E8D278">
            <w:pPr>
              <w:spacing w:line="240" w:lineRule="exact"/>
              <w:jc w:val="right"/>
              <w:rPr>
                <w:rFonts w:ascii="宋体" w:hAnsi="宋体" w:eastAsia="宋体" w:cs="宋体"/>
                <w:sz w:val="18"/>
                <w:szCs w:val="18"/>
              </w:rPr>
            </w:pPr>
            <w:r>
              <w:rPr>
                <w:rFonts w:ascii="宋体" w:hAnsi="宋体" w:eastAsia="宋体" w:cs="宋体"/>
                <w:sz w:val="18"/>
                <w:szCs w:val="18"/>
              </w:rPr>
              <w:t>235,851,451,530.00</w:t>
            </w:r>
          </w:p>
        </w:tc>
        <w:tc>
          <w:tcPr>
            <w:tcW w:w="2410" w:type="dxa"/>
            <w:tcBorders>
              <w:top w:val="single" w:color="auto" w:sz="2" w:space="0"/>
              <w:left w:val="single" w:color="auto" w:sz="2" w:space="0"/>
              <w:bottom w:val="single" w:color="auto" w:sz="2" w:space="0"/>
              <w:right w:val="single" w:color="auto" w:sz="2" w:space="0"/>
            </w:tcBorders>
            <w:vAlign w:val="center"/>
          </w:tcPr>
          <w:p w14:paraId="4A138419">
            <w:pPr>
              <w:spacing w:line="240" w:lineRule="exact"/>
              <w:rPr>
                <w:rFonts w:ascii="宋体" w:hAnsi="宋体" w:eastAsia="宋体" w:cs="宋体"/>
                <w:sz w:val="18"/>
                <w:szCs w:val="18"/>
              </w:rPr>
            </w:pPr>
            <w:r>
              <w:rPr>
                <w:rFonts w:ascii="宋体" w:hAnsi="宋体" w:eastAsia="宋体" w:cs="宋体"/>
                <w:sz w:val="18"/>
                <w:szCs w:val="18"/>
              </w:rPr>
              <w:t>0.00027</w:t>
            </w:r>
          </w:p>
        </w:tc>
        <w:tc>
          <w:tcPr>
            <w:tcW w:w="2410" w:type="dxa"/>
            <w:tcBorders>
              <w:top w:val="single" w:color="auto" w:sz="2" w:space="0"/>
              <w:left w:val="single" w:color="auto" w:sz="2" w:space="0"/>
              <w:bottom w:val="single" w:color="auto" w:sz="2" w:space="0"/>
              <w:right w:val="single" w:color="auto" w:sz="2" w:space="0"/>
            </w:tcBorders>
            <w:vAlign w:val="center"/>
          </w:tcPr>
          <w:p w14:paraId="79469F04">
            <w:pPr>
              <w:spacing w:line="240" w:lineRule="exact"/>
              <w:jc w:val="right"/>
              <w:rPr>
                <w:rFonts w:ascii="宋体" w:hAnsi="宋体" w:eastAsia="宋体" w:cs="宋体"/>
                <w:sz w:val="18"/>
                <w:szCs w:val="18"/>
              </w:rPr>
            </w:pPr>
            <w:r>
              <w:rPr>
                <w:rFonts w:ascii="宋体" w:hAnsi="宋体" w:eastAsia="宋体" w:cs="宋体"/>
                <w:sz w:val="18"/>
                <w:szCs w:val="18"/>
              </w:rPr>
              <w:t>63,679,891.92</w:t>
            </w:r>
          </w:p>
        </w:tc>
      </w:tr>
      <w:tr w14:paraId="5E095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F74F2D5">
            <w:pPr>
              <w:spacing w:line="240" w:lineRule="exact"/>
              <w:rPr>
                <w:rFonts w:ascii="宋体" w:hAnsi="宋体" w:eastAsia="宋体" w:cs="宋体"/>
                <w:sz w:val="18"/>
                <w:szCs w:val="18"/>
              </w:rPr>
            </w:pPr>
            <w:r>
              <w:rPr>
                <w:rFonts w:ascii="宋体" w:hAnsi="宋体" w:eastAsia="宋体" w:cs="宋体"/>
                <w:sz w:val="18"/>
                <w:szCs w:val="18"/>
              </w:rPr>
              <w:t>韩元</w:t>
            </w:r>
          </w:p>
        </w:tc>
        <w:tc>
          <w:tcPr>
            <w:tcW w:w="2410" w:type="dxa"/>
            <w:tcBorders>
              <w:top w:val="single" w:color="auto" w:sz="2" w:space="0"/>
              <w:left w:val="single" w:color="auto" w:sz="2" w:space="0"/>
              <w:bottom w:val="single" w:color="auto" w:sz="2" w:space="0"/>
              <w:right w:val="single" w:color="auto" w:sz="2" w:space="0"/>
            </w:tcBorders>
            <w:vAlign w:val="center"/>
          </w:tcPr>
          <w:p w14:paraId="7DFC0220">
            <w:pPr>
              <w:spacing w:line="240" w:lineRule="exact"/>
              <w:jc w:val="right"/>
              <w:rPr>
                <w:rFonts w:ascii="宋体" w:hAnsi="宋体" w:eastAsia="宋体" w:cs="宋体"/>
                <w:sz w:val="18"/>
                <w:szCs w:val="18"/>
              </w:rPr>
            </w:pPr>
            <w:r>
              <w:rPr>
                <w:rFonts w:ascii="宋体" w:hAnsi="宋体" w:eastAsia="宋体" w:cs="宋体"/>
                <w:sz w:val="18"/>
                <w:szCs w:val="18"/>
              </w:rPr>
              <w:t>140,970.00</w:t>
            </w:r>
          </w:p>
        </w:tc>
        <w:tc>
          <w:tcPr>
            <w:tcW w:w="2410" w:type="dxa"/>
            <w:tcBorders>
              <w:top w:val="single" w:color="auto" w:sz="2" w:space="0"/>
              <w:left w:val="single" w:color="auto" w:sz="2" w:space="0"/>
              <w:bottom w:val="single" w:color="auto" w:sz="2" w:space="0"/>
              <w:right w:val="single" w:color="auto" w:sz="2" w:space="0"/>
            </w:tcBorders>
            <w:vAlign w:val="center"/>
          </w:tcPr>
          <w:p w14:paraId="2588D5D1">
            <w:pPr>
              <w:spacing w:line="240" w:lineRule="exact"/>
              <w:rPr>
                <w:rFonts w:ascii="宋体" w:hAnsi="宋体" w:eastAsia="宋体" w:cs="宋体"/>
                <w:sz w:val="18"/>
                <w:szCs w:val="18"/>
              </w:rPr>
            </w:pPr>
            <w:r>
              <w:rPr>
                <w:rFonts w:ascii="宋体" w:hAnsi="宋体" w:eastAsia="宋体" w:cs="宋体"/>
                <w:sz w:val="18"/>
                <w:szCs w:val="18"/>
              </w:rPr>
              <w:t>0.00486</w:t>
            </w:r>
          </w:p>
        </w:tc>
        <w:tc>
          <w:tcPr>
            <w:tcW w:w="2410" w:type="dxa"/>
            <w:tcBorders>
              <w:top w:val="single" w:color="auto" w:sz="2" w:space="0"/>
              <w:left w:val="single" w:color="auto" w:sz="2" w:space="0"/>
              <w:bottom w:val="single" w:color="auto" w:sz="2" w:space="0"/>
              <w:right w:val="single" w:color="auto" w:sz="2" w:space="0"/>
            </w:tcBorders>
            <w:vAlign w:val="center"/>
          </w:tcPr>
          <w:p w14:paraId="7C57B615">
            <w:pPr>
              <w:spacing w:line="240" w:lineRule="exact"/>
              <w:jc w:val="right"/>
              <w:rPr>
                <w:rFonts w:ascii="宋体" w:hAnsi="宋体" w:eastAsia="宋体" w:cs="宋体"/>
                <w:sz w:val="18"/>
                <w:szCs w:val="18"/>
              </w:rPr>
            </w:pPr>
            <w:r>
              <w:rPr>
                <w:rFonts w:ascii="宋体" w:hAnsi="宋体" w:eastAsia="宋体" w:cs="宋体"/>
                <w:sz w:val="18"/>
                <w:szCs w:val="18"/>
              </w:rPr>
              <w:t>685.11</w:t>
            </w:r>
          </w:p>
        </w:tc>
      </w:tr>
      <w:tr w14:paraId="1B8B6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D82D592">
            <w:pPr>
              <w:spacing w:line="240" w:lineRule="exact"/>
              <w:rPr>
                <w:rFonts w:ascii="宋体" w:hAnsi="宋体" w:eastAsia="宋体" w:cs="宋体"/>
                <w:sz w:val="18"/>
                <w:szCs w:val="18"/>
              </w:rPr>
            </w:pPr>
            <w:r>
              <w:rPr>
                <w:rFonts w:ascii="宋体" w:hAnsi="宋体" w:eastAsia="宋体" w:cs="宋体"/>
                <w:sz w:val="18"/>
                <w:szCs w:val="18"/>
              </w:rPr>
              <w:t>泰铢</w:t>
            </w:r>
          </w:p>
        </w:tc>
        <w:tc>
          <w:tcPr>
            <w:tcW w:w="2410" w:type="dxa"/>
            <w:tcBorders>
              <w:top w:val="single" w:color="auto" w:sz="2" w:space="0"/>
              <w:left w:val="single" w:color="auto" w:sz="2" w:space="0"/>
              <w:bottom w:val="single" w:color="auto" w:sz="2" w:space="0"/>
              <w:right w:val="single" w:color="auto" w:sz="2" w:space="0"/>
            </w:tcBorders>
            <w:vAlign w:val="center"/>
          </w:tcPr>
          <w:p w14:paraId="3F95D48B">
            <w:pPr>
              <w:spacing w:line="240" w:lineRule="exact"/>
              <w:jc w:val="right"/>
              <w:rPr>
                <w:rFonts w:ascii="宋体" w:hAnsi="宋体" w:eastAsia="宋体" w:cs="宋体"/>
                <w:sz w:val="18"/>
                <w:szCs w:val="18"/>
              </w:rPr>
            </w:pPr>
            <w:r>
              <w:rPr>
                <w:rFonts w:ascii="宋体" w:hAnsi="宋体" w:eastAsia="宋体" w:cs="宋体"/>
                <w:sz w:val="18"/>
                <w:szCs w:val="18"/>
              </w:rPr>
              <w:t>87.50</w:t>
            </w:r>
          </w:p>
        </w:tc>
        <w:tc>
          <w:tcPr>
            <w:tcW w:w="2410" w:type="dxa"/>
            <w:tcBorders>
              <w:top w:val="single" w:color="auto" w:sz="2" w:space="0"/>
              <w:left w:val="single" w:color="auto" w:sz="2" w:space="0"/>
              <w:bottom w:val="single" w:color="auto" w:sz="2" w:space="0"/>
              <w:right w:val="single" w:color="auto" w:sz="2" w:space="0"/>
            </w:tcBorders>
            <w:vAlign w:val="center"/>
          </w:tcPr>
          <w:p w14:paraId="2CF0FDDF">
            <w:pPr>
              <w:spacing w:line="240" w:lineRule="exact"/>
              <w:rPr>
                <w:rFonts w:ascii="宋体" w:hAnsi="宋体" w:eastAsia="宋体" w:cs="宋体"/>
                <w:sz w:val="18"/>
                <w:szCs w:val="18"/>
              </w:rPr>
            </w:pPr>
            <w:r>
              <w:rPr>
                <w:rFonts w:ascii="宋体" w:hAnsi="宋体" w:eastAsia="宋体" w:cs="宋体"/>
                <w:sz w:val="18"/>
                <w:szCs w:val="18"/>
              </w:rPr>
              <w:t>0.22251</w:t>
            </w:r>
          </w:p>
        </w:tc>
        <w:tc>
          <w:tcPr>
            <w:tcW w:w="2410" w:type="dxa"/>
            <w:tcBorders>
              <w:top w:val="single" w:color="auto" w:sz="2" w:space="0"/>
              <w:left w:val="single" w:color="auto" w:sz="2" w:space="0"/>
              <w:bottom w:val="single" w:color="auto" w:sz="2" w:space="0"/>
              <w:right w:val="single" w:color="auto" w:sz="2" w:space="0"/>
            </w:tcBorders>
            <w:vAlign w:val="center"/>
          </w:tcPr>
          <w:p w14:paraId="2DB73593">
            <w:pPr>
              <w:spacing w:line="240" w:lineRule="exact"/>
              <w:jc w:val="right"/>
              <w:rPr>
                <w:rFonts w:ascii="宋体" w:hAnsi="宋体" w:eastAsia="宋体" w:cs="宋体"/>
                <w:sz w:val="18"/>
                <w:szCs w:val="18"/>
              </w:rPr>
            </w:pPr>
            <w:r>
              <w:rPr>
                <w:rFonts w:ascii="宋体" w:hAnsi="宋体" w:eastAsia="宋体" w:cs="宋体"/>
                <w:sz w:val="18"/>
                <w:szCs w:val="18"/>
              </w:rPr>
              <w:t>19.47</w:t>
            </w:r>
          </w:p>
        </w:tc>
      </w:tr>
      <w:tr w14:paraId="26B18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8C0ED46">
            <w:pPr>
              <w:spacing w:line="240" w:lineRule="exact"/>
              <w:rPr>
                <w:rFonts w:ascii="宋体" w:hAnsi="宋体" w:eastAsia="宋体" w:cs="宋体"/>
                <w:sz w:val="18"/>
                <w:szCs w:val="18"/>
              </w:rPr>
            </w:pPr>
            <w:r>
              <w:rPr>
                <w:rFonts w:ascii="宋体" w:hAnsi="宋体" w:eastAsia="宋体" w:cs="宋体"/>
                <w:sz w:val="18"/>
                <w:szCs w:val="18"/>
              </w:rPr>
              <w:t>印度尼西亚卢比</w:t>
            </w:r>
          </w:p>
        </w:tc>
        <w:tc>
          <w:tcPr>
            <w:tcW w:w="2410" w:type="dxa"/>
            <w:tcBorders>
              <w:top w:val="single" w:color="auto" w:sz="2" w:space="0"/>
              <w:left w:val="single" w:color="auto" w:sz="2" w:space="0"/>
              <w:bottom w:val="single" w:color="auto" w:sz="2" w:space="0"/>
              <w:right w:val="single" w:color="auto" w:sz="2" w:space="0"/>
            </w:tcBorders>
            <w:vAlign w:val="center"/>
          </w:tcPr>
          <w:p w14:paraId="69BDB75D">
            <w:pPr>
              <w:spacing w:line="240" w:lineRule="exact"/>
              <w:jc w:val="right"/>
              <w:rPr>
                <w:rFonts w:ascii="宋体" w:hAnsi="宋体" w:eastAsia="宋体" w:cs="宋体"/>
                <w:sz w:val="18"/>
                <w:szCs w:val="18"/>
              </w:rPr>
            </w:pPr>
            <w:r>
              <w:rPr>
                <w:rFonts w:ascii="宋体" w:hAnsi="宋体" w:eastAsia="宋体" w:cs="宋体"/>
                <w:sz w:val="18"/>
                <w:szCs w:val="18"/>
              </w:rPr>
              <w:t>3,000.00</w:t>
            </w:r>
          </w:p>
        </w:tc>
        <w:tc>
          <w:tcPr>
            <w:tcW w:w="2410" w:type="dxa"/>
            <w:tcBorders>
              <w:top w:val="single" w:color="auto" w:sz="2" w:space="0"/>
              <w:left w:val="single" w:color="auto" w:sz="2" w:space="0"/>
              <w:bottom w:val="single" w:color="auto" w:sz="2" w:space="0"/>
              <w:right w:val="single" w:color="auto" w:sz="2" w:space="0"/>
            </w:tcBorders>
            <w:vAlign w:val="center"/>
          </w:tcPr>
          <w:p w14:paraId="57D6BECF">
            <w:pPr>
              <w:spacing w:line="240" w:lineRule="exact"/>
              <w:rPr>
                <w:rFonts w:ascii="宋体" w:hAnsi="宋体" w:eastAsia="宋体" w:cs="宋体"/>
                <w:sz w:val="18"/>
                <w:szCs w:val="18"/>
              </w:rPr>
            </w:pPr>
            <w:r>
              <w:rPr>
                <w:rFonts w:ascii="宋体" w:hAnsi="宋体" w:eastAsia="宋体" w:cs="宋体"/>
                <w:sz w:val="18"/>
                <w:szCs w:val="18"/>
              </w:rPr>
              <w:t>0.00042</w:t>
            </w:r>
          </w:p>
        </w:tc>
        <w:tc>
          <w:tcPr>
            <w:tcW w:w="2410" w:type="dxa"/>
            <w:tcBorders>
              <w:top w:val="single" w:color="auto" w:sz="2" w:space="0"/>
              <w:left w:val="single" w:color="auto" w:sz="2" w:space="0"/>
              <w:bottom w:val="single" w:color="auto" w:sz="2" w:space="0"/>
              <w:right w:val="single" w:color="auto" w:sz="2" w:space="0"/>
            </w:tcBorders>
            <w:vAlign w:val="center"/>
          </w:tcPr>
          <w:p w14:paraId="41F4673D">
            <w:pPr>
              <w:spacing w:line="240" w:lineRule="exact"/>
              <w:jc w:val="right"/>
              <w:rPr>
                <w:rFonts w:ascii="宋体" w:hAnsi="宋体" w:eastAsia="宋体" w:cs="宋体"/>
                <w:sz w:val="18"/>
                <w:szCs w:val="18"/>
              </w:rPr>
            </w:pPr>
            <w:r>
              <w:rPr>
                <w:rFonts w:ascii="宋体" w:hAnsi="宋体" w:eastAsia="宋体" w:cs="宋体"/>
                <w:sz w:val="18"/>
                <w:szCs w:val="18"/>
              </w:rPr>
              <w:t>1.25</w:t>
            </w:r>
          </w:p>
        </w:tc>
      </w:tr>
      <w:tr w14:paraId="4A10B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31ACE26">
            <w:pPr>
              <w:spacing w:line="240" w:lineRule="exact"/>
              <w:rPr>
                <w:rFonts w:ascii="宋体" w:hAnsi="宋体" w:eastAsia="宋体" w:cs="宋体"/>
                <w:sz w:val="18"/>
                <w:szCs w:val="18"/>
              </w:rPr>
            </w:pPr>
            <w:r>
              <w:rPr>
                <w:rFonts w:ascii="宋体" w:hAnsi="宋体" w:eastAsia="宋体" w:cs="宋体"/>
                <w:sz w:val="18"/>
                <w:szCs w:val="18"/>
              </w:rPr>
              <w:t>埃及镑</w:t>
            </w:r>
          </w:p>
        </w:tc>
        <w:tc>
          <w:tcPr>
            <w:tcW w:w="2410" w:type="dxa"/>
            <w:tcBorders>
              <w:top w:val="single" w:color="auto" w:sz="2" w:space="0"/>
              <w:left w:val="single" w:color="auto" w:sz="2" w:space="0"/>
              <w:bottom w:val="single" w:color="auto" w:sz="2" w:space="0"/>
              <w:right w:val="single" w:color="auto" w:sz="2" w:space="0"/>
            </w:tcBorders>
            <w:vAlign w:val="center"/>
          </w:tcPr>
          <w:p w14:paraId="23D57B86">
            <w:pPr>
              <w:spacing w:line="240" w:lineRule="exact"/>
              <w:jc w:val="right"/>
              <w:rPr>
                <w:rFonts w:ascii="宋体" w:hAnsi="宋体" w:eastAsia="宋体" w:cs="宋体"/>
                <w:sz w:val="18"/>
                <w:szCs w:val="18"/>
              </w:rPr>
            </w:pPr>
            <w:r>
              <w:rPr>
                <w:rFonts w:ascii="宋体" w:hAnsi="宋体" w:eastAsia="宋体" w:cs="宋体"/>
                <w:sz w:val="18"/>
                <w:szCs w:val="18"/>
              </w:rPr>
              <w:t>50.00</w:t>
            </w:r>
          </w:p>
        </w:tc>
        <w:tc>
          <w:tcPr>
            <w:tcW w:w="2410" w:type="dxa"/>
            <w:tcBorders>
              <w:top w:val="single" w:color="auto" w:sz="2" w:space="0"/>
              <w:left w:val="single" w:color="auto" w:sz="2" w:space="0"/>
              <w:bottom w:val="single" w:color="auto" w:sz="2" w:space="0"/>
              <w:right w:val="single" w:color="auto" w:sz="2" w:space="0"/>
            </w:tcBorders>
            <w:vAlign w:val="center"/>
          </w:tcPr>
          <w:p w14:paraId="0A37622D">
            <w:pPr>
              <w:spacing w:line="240" w:lineRule="exact"/>
              <w:rPr>
                <w:rFonts w:ascii="宋体" w:hAnsi="宋体" w:eastAsia="宋体" w:cs="宋体"/>
                <w:sz w:val="18"/>
                <w:szCs w:val="18"/>
              </w:rPr>
            </w:pPr>
            <w:r>
              <w:rPr>
                <w:rFonts w:ascii="宋体" w:hAnsi="宋体" w:eastAsia="宋体" w:cs="宋体"/>
                <w:sz w:val="18"/>
                <w:szCs w:val="18"/>
              </w:rPr>
              <w:t>0.14820</w:t>
            </w:r>
          </w:p>
        </w:tc>
        <w:tc>
          <w:tcPr>
            <w:tcW w:w="2410" w:type="dxa"/>
            <w:tcBorders>
              <w:top w:val="single" w:color="auto" w:sz="2" w:space="0"/>
              <w:left w:val="single" w:color="auto" w:sz="2" w:space="0"/>
              <w:bottom w:val="single" w:color="auto" w:sz="2" w:space="0"/>
              <w:right w:val="single" w:color="auto" w:sz="2" w:space="0"/>
            </w:tcBorders>
            <w:vAlign w:val="center"/>
          </w:tcPr>
          <w:p w14:paraId="7847E84C">
            <w:pPr>
              <w:spacing w:line="240" w:lineRule="exact"/>
              <w:jc w:val="right"/>
              <w:rPr>
                <w:rFonts w:ascii="宋体" w:hAnsi="宋体" w:eastAsia="宋体" w:cs="宋体"/>
                <w:sz w:val="18"/>
                <w:szCs w:val="18"/>
              </w:rPr>
            </w:pPr>
            <w:r>
              <w:rPr>
                <w:rFonts w:ascii="宋体" w:hAnsi="宋体" w:eastAsia="宋体" w:cs="宋体"/>
                <w:sz w:val="18"/>
                <w:szCs w:val="18"/>
              </w:rPr>
              <w:t>7.41</w:t>
            </w:r>
          </w:p>
        </w:tc>
      </w:tr>
      <w:tr w14:paraId="40BE9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B641325">
            <w:pPr>
              <w:spacing w:line="240" w:lineRule="exact"/>
              <w:rPr>
                <w:rFonts w:ascii="宋体" w:hAnsi="宋体" w:eastAsia="宋体" w:cs="宋体"/>
                <w:sz w:val="18"/>
                <w:szCs w:val="18"/>
              </w:rPr>
            </w:pPr>
            <w:r>
              <w:rPr>
                <w:rFonts w:ascii="宋体" w:hAnsi="宋体" w:eastAsia="宋体" w:cs="宋体"/>
                <w:sz w:val="18"/>
                <w:szCs w:val="18"/>
              </w:rPr>
              <w:t>台币</w:t>
            </w:r>
          </w:p>
        </w:tc>
        <w:tc>
          <w:tcPr>
            <w:tcW w:w="2410" w:type="dxa"/>
            <w:tcBorders>
              <w:top w:val="single" w:color="auto" w:sz="2" w:space="0"/>
              <w:left w:val="single" w:color="auto" w:sz="2" w:space="0"/>
              <w:bottom w:val="single" w:color="auto" w:sz="2" w:space="0"/>
              <w:right w:val="single" w:color="auto" w:sz="2" w:space="0"/>
            </w:tcBorders>
            <w:vAlign w:val="center"/>
          </w:tcPr>
          <w:p w14:paraId="7241E835">
            <w:pPr>
              <w:spacing w:line="240" w:lineRule="exact"/>
              <w:jc w:val="right"/>
              <w:rPr>
                <w:rFonts w:ascii="宋体" w:hAnsi="宋体" w:eastAsia="宋体" w:cs="宋体"/>
                <w:sz w:val="18"/>
                <w:szCs w:val="18"/>
              </w:rPr>
            </w:pPr>
            <w:r>
              <w:rPr>
                <w:rFonts w:ascii="宋体" w:hAnsi="宋体" w:eastAsia="宋体" w:cs="宋体"/>
                <w:sz w:val="18"/>
                <w:szCs w:val="18"/>
              </w:rPr>
              <w:t>2.00</w:t>
            </w:r>
          </w:p>
        </w:tc>
        <w:tc>
          <w:tcPr>
            <w:tcW w:w="2410" w:type="dxa"/>
            <w:tcBorders>
              <w:top w:val="single" w:color="auto" w:sz="2" w:space="0"/>
              <w:left w:val="single" w:color="auto" w:sz="2" w:space="0"/>
              <w:bottom w:val="single" w:color="auto" w:sz="2" w:space="0"/>
              <w:right w:val="single" w:color="auto" w:sz="2" w:space="0"/>
            </w:tcBorders>
            <w:vAlign w:val="center"/>
          </w:tcPr>
          <w:p w14:paraId="4A1D1A98">
            <w:pPr>
              <w:spacing w:line="240" w:lineRule="exact"/>
              <w:rPr>
                <w:rFonts w:ascii="宋体" w:hAnsi="宋体" w:eastAsia="宋体" w:cs="宋体"/>
                <w:sz w:val="18"/>
                <w:szCs w:val="18"/>
              </w:rPr>
            </w:pPr>
            <w:r>
              <w:rPr>
                <w:rFonts w:ascii="宋体" w:hAnsi="宋体" w:eastAsia="宋体" w:cs="宋体"/>
                <w:sz w:val="18"/>
                <w:szCs w:val="18"/>
              </w:rPr>
              <w:t>0.22500</w:t>
            </w:r>
          </w:p>
        </w:tc>
        <w:tc>
          <w:tcPr>
            <w:tcW w:w="2410" w:type="dxa"/>
            <w:tcBorders>
              <w:top w:val="single" w:color="auto" w:sz="2" w:space="0"/>
              <w:left w:val="single" w:color="auto" w:sz="2" w:space="0"/>
              <w:bottom w:val="single" w:color="auto" w:sz="2" w:space="0"/>
              <w:right w:val="single" w:color="auto" w:sz="2" w:space="0"/>
            </w:tcBorders>
            <w:vAlign w:val="center"/>
          </w:tcPr>
          <w:p w14:paraId="7F843C20">
            <w:pPr>
              <w:spacing w:line="240" w:lineRule="exact"/>
              <w:jc w:val="right"/>
              <w:rPr>
                <w:rFonts w:ascii="宋体" w:hAnsi="宋体" w:eastAsia="宋体" w:cs="宋体"/>
                <w:sz w:val="18"/>
                <w:szCs w:val="18"/>
              </w:rPr>
            </w:pPr>
            <w:r>
              <w:rPr>
                <w:rFonts w:ascii="宋体" w:hAnsi="宋体" w:eastAsia="宋体" w:cs="宋体"/>
                <w:sz w:val="18"/>
                <w:szCs w:val="18"/>
              </w:rPr>
              <w:t>0.45</w:t>
            </w:r>
          </w:p>
        </w:tc>
      </w:tr>
      <w:tr w14:paraId="72DE5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EE5270D">
            <w:pPr>
              <w:spacing w:line="240" w:lineRule="exact"/>
              <w:rPr>
                <w:rFonts w:ascii="宋体" w:hAnsi="宋体" w:eastAsia="宋体" w:cs="宋体"/>
                <w:sz w:val="18"/>
                <w:szCs w:val="18"/>
              </w:rPr>
            </w:pPr>
            <w:r>
              <w:rPr>
                <w:rFonts w:ascii="宋体" w:hAnsi="宋体" w:eastAsia="宋体" w:cs="宋体"/>
                <w:sz w:val="18"/>
                <w:szCs w:val="18"/>
              </w:rPr>
              <w:t>新加坡元</w:t>
            </w:r>
          </w:p>
        </w:tc>
        <w:tc>
          <w:tcPr>
            <w:tcW w:w="2410" w:type="dxa"/>
            <w:tcBorders>
              <w:top w:val="single" w:color="auto" w:sz="2" w:space="0"/>
              <w:left w:val="single" w:color="auto" w:sz="2" w:space="0"/>
              <w:bottom w:val="single" w:color="auto" w:sz="2" w:space="0"/>
              <w:right w:val="single" w:color="auto" w:sz="2" w:space="0"/>
            </w:tcBorders>
            <w:vAlign w:val="center"/>
          </w:tcPr>
          <w:p w14:paraId="78DDBBE4">
            <w:pPr>
              <w:spacing w:line="240" w:lineRule="exact"/>
              <w:jc w:val="right"/>
              <w:rPr>
                <w:rFonts w:ascii="宋体" w:hAnsi="宋体" w:eastAsia="宋体" w:cs="宋体"/>
                <w:sz w:val="18"/>
                <w:szCs w:val="18"/>
              </w:rPr>
            </w:pPr>
            <w:r>
              <w:rPr>
                <w:rFonts w:ascii="宋体" w:hAnsi="宋体" w:eastAsia="宋体" w:cs="宋体"/>
                <w:sz w:val="18"/>
                <w:szCs w:val="18"/>
              </w:rPr>
              <w:t>8,141.48</w:t>
            </w:r>
          </w:p>
        </w:tc>
        <w:tc>
          <w:tcPr>
            <w:tcW w:w="2410" w:type="dxa"/>
            <w:tcBorders>
              <w:top w:val="single" w:color="auto" w:sz="2" w:space="0"/>
              <w:left w:val="single" w:color="auto" w:sz="2" w:space="0"/>
              <w:bottom w:val="single" w:color="auto" w:sz="2" w:space="0"/>
              <w:right w:val="single" w:color="auto" w:sz="2" w:space="0"/>
            </w:tcBorders>
            <w:vAlign w:val="center"/>
          </w:tcPr>
          <w:p w14:paraId="70DC068B">
            <w:pPr>
              <w:spacing w:line="240" w:lineRule="exact"/>
              <w:rPr>
                <w:rFonts w:ascii="宋体" w:hAnsi="宋体" w:eastAsia="宋体" w:cs="宋体"/>
                <w:sz w:val="18"/>
                <w:szCs w:val="18"/>
              </w:rPr>
            </w:pPr>
            <w:r>
              <w:rPr>
                <w:rFonts w:ascii="宋体" w:hAnsi="宋体" w:eastAsia="宋体" w:cs="宋体"/>
                <w:sz w:val="18"/>
                <w:szCs w:val="18"/>
              </w:rPr>
              <w:t>5.45860</w:t>
            </w:r>
          </w:p>
        </w:tc>
        <w:tc>
          <w:tcPr>
            <w:tcW w:w="2410" w:type="dxa"/>
            <w:tcBorders>
              <w:top w:val="single" w:color="auto" w:sz="2" w:space="0"/>
              <w:left w:val="single" w:color="auto" w:sz="2" w:space="0"/>
              <w:bottom w:val="single" w:color="auto" w:sz="2" w:space="0"/>
              <w:right w:val="single" w:color="auto" w:sz="2" w:space="0"/>
            </w:tcBorders>
            <w:vAlign w:val="center"/>
          </w:tcPr>
          <w:p w14:paraId="12EBE96B">
            <w:pPr>
              <w:spacing w:line="240" w:lineRule="exact"/>
              <w:jc w:val="right"/>
              <w:rPr>
                <w:rFonts w:ascii="宋体" w:hAnsi="宋体" w:eastAsia="宋体" w:cs="宋体"/>
                <w:sz w:val="18"/>
                <w:szCs w:val="18"/>
              </w:rPr>
            </w:pPr>
            <w:r>
              <w:rPr>
                <w:rFonts w:ascii="宋体" w:hAnsi="宋体" w:eastAsia="宋体" w:cs="宋体"/>
                <w:sz w:val="18"/>
                <w:szCs w:val="18"/>
              </w:rPr>
              <w:t>44,441.12</w:t>
            </w:r>
          </w:p>
        </w:tc>
      </w:tr>
      <w:tr w14:paraId="03190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2038E6F">
            <w:pPr>
              <w:spacing w:line="240" w:lineRule="exact"/>
              <w:rPr>
                <w:rFonts w:ascii="宋体" w:hAnsi="宋体" w:eastAsia="宋体" w:cs="宋体"/>
                <w:sz w:val="18"/>
                <w:szCs w:val="18"/>
              </w:rPr>
            </w:pPr>
            <w:r>
              <w:rPr>
                <w:rFonts w:ascii="宋体" w:hAnsi="宋体" w:eastAsia="宋体" w:cs="宋体"/>
                <w:sz w:val="18"/>
                <w:szCs w:val="18"/>
              </w:rPr>
              <w:t>巴基斯坦卢比</w:t>
            </w:r>
          </w:p>
        </w:tc>
        <w:tc>
          <w:tcPr>
            <w:tcW w:w="2410" w:type="dxa"/>
            <w:tcBorders>
              <w:top w:val="single" w:color="auto" w:sz="2" w:space="0"/>
              <w:left w:val="single" w:color="auto" w:sz="2" w:space="0"/>
              <w:bottom w:val="single" w:color="auto" w:sz="2" w:space="0"/>
              <w:right w:val="single" w:color="auto" w:sz="2" w:space="0"/>
            </w:tcBorders>
            <w:vAlign w:val="center"/>
          </w:tcPr>
          <w:p w14:paraId="49EA38D5">
            <w:pPr>
              <w:spacing w:line="240" w:lineRule="exact"/>
              <w:jc w:val="right"/>
              <w:rPr>
                <w:rFonts w:ascii="宋体" w:hAnsi="宋体" w:eastAsia="宋体" w:cs="宋体"/>
                <w:sz w:val="18"/>
                <w:szCs w:val="18"/>
              </w:rPr>
            </w:pPr>
            <w:r>
              <w:rPr>
                <w:rFonts w:ascii="宋体" w:hAnsi="宋体" w:eastAsia="宋体" w:cs="宋体"/>
                <w:sz w:val="18"/>
                <w:szCs w:val="18"/>
              </w:rPr>
              <w:t>14,200.00</w:t>
            </w:r>
          </w:p>
        </w:tc>
        <w:tc>
          <w:tcPr>
            <w:tcW w:w="2410" w:type="dxa"/>
            <w:tcBorders>
              <w:top w:val="single" w:color="auto" w:sz="2" w:space="0"/>
              <w:left w:val="single" w:color="auto" w:sz="2" w:space="0"/>
              <w:bottom w:val="single" w:color="auto" w:sz="2" w:space="0"/>
              <w:right w:val="single" w:color="auto" w:sz="2" w:space="0"/>
            </w:tcBorders>
            <w:vAlign w:val="center"/>
          </w:tcPr>
          <w:p w14:paraId="662CADDE">
            <w:pPr>
              <w:spacing w:line="240" w:lineRule="exact"/>
              <w:rPr>
                <w:rFonts w:ascii="宋体" w:hAnsi="宋体" w:eastAsia="宋体" w:cs="宋体"/>
                <w:sz w:val="18"/>
                <w:szCs w:val="18"/>
              </w:rPr>
            </w:pPr>
            <w:r>
              <w:rPr>
                <w:rFonts w:ascii="宋体" w:hAnsi="宋体" w:eastAsia="宋体" w:cs="宋体"/>
                <w:sz w:val="18"/>
                <w:szCs w:val="18"/>
              </w:rPr>
              <w:t>0.02498</w:t>
            </w:r>
          </w:p>
        </w:tc>
        <w:tc>
          <w:tcPr>
            <w:tcW w:w="2410" w:type="dxa"/>
            <w:tcBorders>
              <w:top w:val="single" w:color="auto" w:sz="2" w:space="0"/>
              <w:left w:val="single" w:color="auto" w:sz="2" w:space="0"/>
              <w:bottom w:val="single" w:color="auto" w:sz="2" w:space="0"/>
              <w:right w:val="single" w:color="auto" w:sz="2" w:space="0"/>
            </w:tcBorders>
            <w:vAlign w:val="center"/>
          </w:tcPr>
          <w:p w14:paraId="0E7D403C">
            <w:pPr>
              <w:spacing w:line="240" w:lineRule="exact"/>
              <w:jc w:val="right"/>
              <w:rPr>
                <w:rFonts w:ascii="宋体" w:hAnsi="宋体" w:eastAsia="宋体" w:cs="宋体"/>
                <w:sz w:val="18"/>
                <w:szCs w:val="18"/>
              </w:rPr>
            </w:pPr>
            <w:r>
              <w:rPr>
                <w:rFonts w:ascii="宋体" w:hAnsi="宋体" w:eastAsia="宋体" w:cs="宋体"/>
                <w:sz w:val="18"/>
                <w:szCs w:val="18"/>
              </w:rPr>
              <w:t>354.72</w:t>
            </w:r>
          </w:p>
        </w:tc>
      </w:tr>
      <w:tr w14:paraId="4866D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C164F8C">
            <w:pPr>
              <w:spacing w:before="40" w:after="40" w:line="240" w:lineRule="exact"/>
              <w:rPr>
                <w:rFonts w:ascii="宋体" w:hAnsi="宋体" w:eastAsia="宋体" w:cs="宋体"/>
                <w:sz w:val="18"/>
                <w:szCs w:val="18"/>
              </w:rPr>
            </w:pPr>
            <w:r>
              <w:rPr>
                <w:rFonts w:ascii="宋体" w:hAnsi="宋体" w:eastAsia="宋体" w:cs="宋体"/>
                <w:sz w:val="18"/>
                <w:szCs w:val="18"/>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4F928E5"/>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D4CF1AB"/>
        </w:tc>
        <w:tc>
          <w:tcPr>
            <w:tcW w:w="2410" w:type="dxa"/>
            <w:tcBorders>
              <w:top w:val="single" w:color="auto" w:sz="2" w:space="0"/>
              <w:left w:val="single" w:color="auto" w:sz="2" w:space="0"/>
              <w:bottom w:val="single" w:color="auto" w:sz="2" w:space="0"/>
              <w:right w:val="single" w:color="auto" w:sz="2" w:space="0"/>
            </w:tcBorders>
            <w:vAlign w:val="center"/>
          </w:tcPr>
          <w:p w14:paraId="4BD9501D">
            <w:pPr>
              <w:spacing w:line="240" w:lineRule="exact"/>
              <w:jc w:val="right"/>
              <w:rPr>
                <w:rFonts w:ascii="宋体" w:hAnsi="宋体" w:eastAsia="宋体" w:cs="宋体"/>
                <w:sz w:val="18"/>
                <w:szCs w:val="18"/>
              </w:rPr>
            </w:pPr>
          </w:p>
        </w:tc>
      </w:tr>
      <w:tr w14:paraId="5F223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FC4986E">
            <w:pPr>
              <w:spacing w:before="40" w:after="40" w:line="240" w:lineRule="exac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14:paraId="72FE1497">
            <w:pPr>
              <w:spacing w:line="240" w:lineRule="exact"/>
              <w:jc w:val="right"/>
              <w:rPr>
                <w:rFonts w:ascii="宋体" w:hAnsi="宋体" w:eastAsia="宋体" w:cs="宋体"/>
                <w:sz w:val="18"/>
                <w:szCs w:val="18"/>
              </w:rPr>
            </w:pPr>
            <w:r>
              <w:rPr>
                <w:rFonts w:ascii="宋体" w:hAnsi="宋体" w:eastAsia="宋体" w:cs="宋体"/>
                <w:sz w:val="18"/>
                <w:szCs w:val="18"/>
              </w:rPr>
              <w:t>128,285.25</w:t>
            </w:r>
          </w:p>
        </w:tc>
        <w:tc>
          <w:tcPr>
            <w:tcW w:w="2410" w:type="dxa"/>
            <w:tcBorders>
              <w:top w:val="single" w:color="auto" w:sz="2" w:space="0"/>
              <w:left w:val="single" w:color="auto" w:sz="2" w:space="0"/>
              <w:bottom w:val="single" w:color="auto" w:sz="2" w:space="0"/>
              <w:right w:val="single" w:color="auto" w:sz="2" w:space="0"/>
            </w:tcBorders>
            <w:vAlign w:val="center"/>
          </w:tcPr>
          <w:p w14:paraId="24D99BFA">
            <w:pPr>
              <w:spacing w:line="240" w:lineRule="exact"/>
              <w:rPr>
                <w:rFonts w:ascii="宋体" w:hAnsi="宋体" w:eastAsia="宋体" w:cs="宋体"/>
                <w:sz w:val="18"/>
                <w:szCs w:val="18"/>
              </w:rPr>
            </w:pPr>
            <w:r>
              <w:rPr>
                <w:rFonts w:ascii="宋体" w:hAnsi="宋体" w:eastAsia="宋体" w:cs="宋体"/>
                <w:sz w:val="18"/>
                <w:szCs w:val="18"/>
              </w:rPr>
              <w:t>7.02880</w:t>
            </w:r>
          </w:p>
        </w:tc>
        <w:tc>
          <w:tcPr>
            <w:tcW w:w="2410" w:type="dxa"/>
            <w:tcBorders>
              <w:top w:val="single" w:color="auto" w:sz="2" w:space="0"/>
              <w:left w:val="single" w:color="auto" w:sz="2" w:space="0"/>
              <w:bottom w:val="single" w:color="auto" w:sz="2" w:space="0"/>
              <w:right w:val="single" w:color="auto" w:sz="2" w:space="0"/>
            </w:tcBorders>
            <w:vAlign w:val="center"/>
          </w:tcPr>
          <w:p w14:paraId="4D419E1A">
            <w:pPr>
              <w:spacing w:line="240" w:lineRule="exact"/>
              <w:jc w:val="right"/>
              <w:rPr>
                <w:rFonts w:ascii="宋体" w:hAnsi="宋体" w:eastAsia="宋体" w:cs="宋体"/>
                <w:sz w:val="18"/>
                <w:szCs w:val="18"/>
              </w:rPr>
            </w:pPr>
            <w:r>
              <w:rPr>
                <w:rFonts w:ascii="宋体" w:hAnsi="宋体" w:eastAsia="宋体" w:cs="宋体"/>
                <w:sz w:val="18"/>
                <w:szCs w:val="18"/>
              </w:rPr>
              <w:t>901,691.37</w:t>
            </w:r>
          </w:p>
        </w:tc>
      </w:tr>
      <w:tr w14:paraId="32AB1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FC9073D">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14:paraId="1889FCCE">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DDE645F">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1E96EAE8">
            <w:pPr>
              <w:spacing w:line="240" w:lineRule="exact"/>
              <w:jc w:val="right"/>
              <w:rPr>
                <w:rFonts w:ascii="宋体" w:hAnsi="宋体" w:eastAsia="宋体" w:cs="宋体"/>
                <w:sz w:val="18"/>
                <w:szCs w:val="18"/>
              </w:rPr>
            </w:pPr>
          </w:p>
        </w:tc>
      </w:tr>
      <w:tr w14:paraId="00658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D6FFE0C">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14:paraId="7A6192F8">
            <w:pPr>
              <w:spacing w:line="240" w:lineRule="exact"/>
              <w:jc w:val="right"/>
              <w:rPr>
                <w:rFonts w:ascii="宋体" w:hAnsi="宋体" w:eastAsia="宋体" w:cs="宋体"/>
                <w:sz w:val="18"/>
                <w:szCs w:val="18"/>
              </w:rPr>
            </w:pPr>
            <w:r>
              <w:rPr>
                <w:rFonts w:ascii="宋体" w:hAnsi="宋体" w:eastAsia="宋体" w:cs="宋体"/>
                <w:sz w:val="18"/>
                <w:szCs w:val="18"/>
              </w:rPr>
              <w:t>250,747.21</w:t>
            </w:r>
          </w:p>
        </w:tc>
        <w:tc>
          <w:tcPr>
            <w:tcW w:w="2410" w:type="dxa"/>
            <w:tcBorders>
              <w:top w:val="single" w:color="auto" w:sz="2" w:space="0"/>
              <w:left w:val="single" w:color="auto" w:sz="2" w:space="0"/>
              <w:bottom w:val="single" w:color="auto" w:sz="2" w:space="0"/>
              <w:right w:val="single" w:color="auto" w:sz="2" w:space="0"/>
            </w:tcBorders>
            <w:vAlign w:val="center"/>
          </w:tcPr>
          <w:p w14:paraId="39ACFB81">
            <w:pPr>
              <w:spacing w:line="240" w:lineRule="exact"/>
              <w:rPr>
                <w:rFonts w:ascii="宋体" w:hAnsi="宋体" w:eastAsia="宋体" w:cs="宋体"/>
                <w:sz w:val="18"/>
                <w:szCs w:val="18"/>
              </w:rPr>
            </w:pPr>
            <w:r>
              <w:rPr>
                <w:rFonts w:ascii="宋体" w:hAnsi="宋体" w:eastAsia="宋体" w:cs="宋体"/>
                <w:sz w:val="18"/>
                <w:szCs w:val="18"/>
              </w:rPr>
              <w:t>0.90322</w:t>
            </w:r>
          </w:p>
        </w:tc>
        <w:tc>
          <w:tcPr>
            <w:tcW w:w="2410" w:type="dxa"/>
            <w:tcBorders>
              <w:top w:val="single" w:color="auto" w:sz="2" w:space="0"/>
              <w:left w:val="single" w:color="auto" w:sz="2" w:space="0"/>
              <w:bottom w:val="single" w:color="auto" w:sz="2" w:space="0"/>
              <w:right w:val="single" w:color="auto" w:sz="2" w:space="0"/>
            </w:tcBorders>
            <w:vAlign w:val="center"/>
          </w:tcPr>
          <w:p w14:paraId="536005BC">
            <w:pPr>
              <w:spacing w:line="240" w:lineRule="exact"/>
              <w:jc w:val="right"/>
              <w:rPr>
                <w:rFonts w:ascii="宋体" w:hAnsi="宋体" w:eastAsia="宋体" w:cs="宋体"/>
                <w:sz w:val="18"/>
                <w:szCs w:val="18"/>
              </w:rPr>
            </w:pPr>
            <w:r>
              <w:rPr>
                <w:rFonts w:ascii="宋体" w:hAnsi="宋体" w:eastAsia="宋体" w:cs="宋体"/>
                <w:sz w:val="18"/>
                <w:szCs w:val="18"/>
              </w:rPr>
              <w:t>226,479.89</w:t>
            </w:r>
          </w:p>
        </w:tc>
      </w:tr>
      <w:tr w14:paraId="2AA65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BBDA235">
            <w:pPr>
              <w:spacing w:line="240" w:lineRule="exact"/>
              <w:rPr>
                <w:rFonts w:ascii="宋体" w:hAnsi="宋体" w:eastAsia="宋体" w:cs="宋体"/>
                <w:sz w:val="18"/>
                <w:szCs w:val="18"/>
              </w:rPr>
            </w:pPr>
            <w:r>
              <w:rPr>
                <w:rFonts w:ascii="宋体" w:hAnsi="宋体" w:eastAsia="宋体" w:cs="宋体"/>
                <w:sz w:val="18"/>
                <w:szCs w:val="18"/>
              </w:rPr>
              <w:t>越南盾</w:t>
            </w:r>
          </w:p>
        </w:tc>
        <w:tc>
          <w:tcPr>
            <w:tcW w:w="2410" w:type="dxa"/>
            <w:tcBorders>
              <w:top w:val="single" w:color="auto" w:sz="2" w:space="0"/>
              <w:left w:val="single" w:color="auto" w:sz="2" w:space="0"/>
              <w:bottom w:val="single" w:color="auto" w:sz="2" w:space="0"/>
              <w:right w:val="single" w:color="auto" w:sz="2" w:space="0"/>
            </w:tcBorders>
            <w:vAlign w:val="center"/>
          </w:tcPr>
          <w:p w14:paraId="6CE89D2B">
            <w:pPr>
              <w:spacing w:line="240" w:lineRule="exact"/>
              <w:jc w:val="right"/>
              <w:rPr>
                <w:rFonts w:ascii="宋体" w:hAnsi="宋体" w:eastAsia="宋体" w:cs="宋体"/>
                <w:sz w:val="18"/>
                <w:szCs w:val="18"/>
              </w:rPr>
            </w:pPr>
            <w:r>
              <w:rPr>
                <w:rFonts w:ascii="宋体" w:hAnsi="宋体" w:eastAsia="宋体" w:cs="宋体"/>
                <w:sz w:val="18"/>
                <w:szCs w:val="18"/>
              </w:rPr>
              <w:t>1,422,713,775,436.00</w:t>
            </w:r>
          </w:p>
        </w:tc>
        <w:tc>
          <w:tcPr>
            <w:tcW w:w="2410" w:type="dxa"/>
            <w:tcBorders>
              <w:top w:val="single" w:color="auto" w:sz="2" w:space="0"/>
              <w:left w:val="single" w:color="auto" w:sz="2" w:space="0"/>
              <w:bottom w:val="single" w:color="auto" w:sz="2" w:space="0"/>
              <w:right w:val="single" w:color="auto" w:sz="2" w:space="0"/>
            </w:tcBorders>
            <w:vAlign w:val="center"/>
          </w:tcPr>
          <w:p w14:paraId="1174F100">
            <w:pPr>
              <w:spacing w:line="240" w:lineRule="exact"/>
              <w:rPr>
                <w:rFonts w:ascii="宋体" w:hAnsi="宋体" w:eastAsia="宋体" w:cs="宋体"/>
                <w:sz w:val="18"/>
                <w:szCs w:val="18"/>
              </w:rPr>
            </w:pPr>
            <w:r>
              <w:rPr>
                <w:rFonts w:ascii="宋体" w:hAnsi="宋体" w:eastAsia="宋体" w:cs="宋体"/>
                <w:sz w:val="18"/>
                <w:szCs w:val="18"/>
              </w:rPr>
              <w:t>0.00027</w:t>
            </w:r>
          </w:p>
        </w:tc>
        <w:tc>
          <w:tcPr>
            <w:tcW w:w="2410" w:type="dxa"/>
            <w:tcBorders>
              <w:top w:val="single" w:color="auto" w:sz="2" w:space="0"/>
              <w:left w:val="single" w:color="auto" w:sz="2" w:space="0"/>
              <w:bottom w:val="single" w:color="auto" w:sz="2" w:space="0"/>
              <w:right w:val="single" w:color="auto" w:sz="2" w:space="0"/>
            </w:tcBorders>
            <w:vAlign w:val="center"/>
          </w:tcPr>
          <w:p w14:paraId="11127C89">
            <w:pPr>
              <w:spacing w:line="240" w:lineRule="exact"/>
              <w:jc w:val="right"/>
              <w:rPr>
                <w:rFonts w:ascii="宋体" w:hAnsi="宋体" w:eastAsia="宋体" w:cs="宋体"/>
                <w:sz w:val="18"/>
                <w:szCs w:val="18"/>
              </w:rPr>
            </w:pPr>
            <w:r>
              <w:rPr>
                <w:rFonts w:ascii="宋体" w:hAnsi="宋体" w:eastAsia="宋体" w:cs="宋体"/>
                <w:sz w:val="18"/>
                <w:szCs w:val="18"/>
              </w:rPr>
              <w:t>384,132,719.37</w:t>
            </w:r>
          </w:p>
        </w:tc>
      </w:tr>
      <w:tr w14:paraId="7B78C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63A1D8B">
            <w:pPr>
              <w:spacing w:before="40" w:after="40" w:line="240" w:lineRule="exact"/>
              <w:rPr>
                <w:rFonts w:ascii="宋体" w:hAnsi="宋体" w:eastAsia="宋体" w:cs="宋体"/>
                <w:sz w:val="18"/>
                <w:szCs w:val="18"/>
              </w:rPr>
            </w:pPr>
            <w:r>
              <w:rPr>
                <w:rFonts w:ascii="宋体" w:hAnsi="宋体" w:eastAsia="宋体" w:cs="宋体"/>
                <w:sz w:val="18"/>
                <w:szCs w:val="18"/>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80699B7"/>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73DFE35"/>
        </w:tc>
        <w:tc>
          <w:tcPr>
            <w:tcW w:w="2410" w:type="dxa"/>
            <w:tcBorders>
              <w:top w:val="single" w:color="auto" w:sz="2" w:space="0"/>
              <w:left w:val="single" w:color="auto" w:sz="2" w:space="0"/>
              <w:bottom w:val="single" w:color="auto" w:sz="2" w:space="0"/>
              <w:right w:val="single" w:color="auto" w:sz="2" w:space="0"/>
            </w:tcBorders>
            <w:vAlign w:val="center"/>
          </w:tcPr>
          <w:p w14:paraId="2A7CB3BB">
            <w:pPr>
              <w:spacing w:line="240" w:lineRule="exact"/>
              <w:jc w:val="right"/>
              <w:rPr>
                <w:rFonts w:ascii="宋体" w:hAnsi="宋体" w:eastAsia="宋体" w:cs="宋体"/>
                <w:sz w:val="18"/>
                <w:szCs w:val="18"/>
              </w:rPr>
            </w:pPr>
          </w:p>
        </w:tc>
      </w:tr>
      <w:tr w14:paraId="5308EA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03D5044">
            <w:pPr>
              <w:spacing w:before="40" w:after="40" w:line="240" w:lineRule="exac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14:paraId="73506A5B">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652B481">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7863FA3">
            <w:pPr>
              <w:spacing w:line="240" w:lineRule="exact"/>
              <w:jc w:val="right"/>
              <w:rPr>
                <w:rFonts w:ascii="宋体" w:hAnsi="宋体" w:eastAsia="宋体" w:cs="宋体"/>
                <w:sz w:val="18"/>
                <w:szCs w:val="18"/>
              </w:rPr>
            </w:pPr>
          </w:p>
        </w:tc>
      </w:tr>
      <w:tr w14:paraId="2FFFA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33A32D0">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14:paraId="521EACB6">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422A313">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C362BF7">
            <w:pPr>
              <w:spacing w:line="240" w:lineRule="exact"/>
              <w:jc w:val="right"/>
              <w:rPr>
                <w:rFonts w:ascii="宋体" w:hAnsi="宋体" w:eastAsia="宋体" w:cs="宋体"/>
                <w:sz w:val="18"/>
                <w:szCs w:val="18"/>
              </w:rPr>
            </w:pPr>
          </w:p>
        </w:tc>
      </w:tr>
      <w:tr w14:paraId="0AB3A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A9B4727">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14:paraId="2E0B44CF">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DA3E9BF">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1E1B4732">
            <w:pPr>
              <w:spacing w:line="240" w:lineRule="exact"/>
              <w:jc w:val="right"/>
              <w:rPr>
                <w:rFonts w:ascii="宋体" w:hAnsi="宋体" w:eastAsia="宋体" w:cs="宋体"/>
                <w:sz w:val="18"/>
                <w:szCs w:val="18"/>
              </w:rPr>
            </w:pPr>
          </w:p>
        </w:tc>
      </w:tr>
      <w:tr w14:paraId="12F71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E9508E7">
            <w:pPr>
              <w:spacing w:line="240" w:lineRule="exact"/>
              <w:rPr>
                <w:rFonts w:ascii="宋体" w:hAnsi="宋体" w:eastAsia="宋体" w:cs="宋体"/>
                <w:sz w:val="18"/>
                <w:szCs w:val="18"/>
              </w:rPr>
            </w:pPr>
            <w:r>
              <w:rPr>
                <w:rFonts w:ascii="宋体" w:hAnsi="宋体" w:eastAsia="宋体" w:cs="宋体"/>
                <w:sz w:val="18"/>
                <w:szCs w:val="18"/>
              </w:rPr>
              <w:t>其他应收款</w:t>
            </w:r>
          </w:p>
        </w:tc>
        <w:tc>
          <w:tcPr>
            <w:tcW w:w="2410" w:type="dxa"/>
            <w:tcBorders>
              <w:top w:val="single" w:color="auto" w:sz="2" w:space="0"/>
              <w:left w:val="single" w:color="auto" w:sz="2" w:space="0"/>
              <w:bottom w:val="single" w:color="auto" w:sz="2" w:space="0"/>
              <w:right w:val="single" w:color="auto" w:sz="2" w:space="0"/>
            </w:tcBorders>
            <w:vAlign w:val="center"/>
          </w:tcPr>
          <w:p w14:paraId="7C36900C">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146743D">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10E61563">
            <w:pPr>
              <w:spacing w:line="240" w:lineRule="exact"/>
              <w:jc w:val="right"/>
              <w:rPr>
                <w:rFonts w:ascii="宋体" w:hAnsi="宋体" w:eastAsia="宋体" w:cs="宋体"/>
                <w:sz w:val="18"/>
                <w:szCs w:val="18"/>
              </w:rPr>
            </w:pPr>
          </w:p>
        </w:tc>
      </w:tr>
      <w:tr w14:paraId="7B4CA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0754219">
            <w:pPr>
              <w:spacing w:line="240" w:lineRule="exac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14:paraId="5CC49B2C">
            <w:pPr>
              <w:spacing w:line="240" w:lineRule="exact"/>
              <w:jc w:val="right"/>
              <w:rPr>
                <w:rFonts w:ascii="宋体" w:hAnsi="宋体" w:eastAsia="宋体" w:cs="宋体"/>
                <w:sz w:val="18"/>
                <w:szCs w:val="18"/>
              </w:rPr>
            </w:pPr>
            <w:r>
              <w:rPr>
                <w:rFonts w:ascii="宋体" w:hAnsi="宋体" w:eastAsia="宋体" w:cs="宋体"/>
                <w:sz w:val="18"/>
                <w:szCs w:val="18"/>
              </w:rPr>
              <w:t>43,599.10</w:t>
            </w:r>
          </w:p>
        </w:tc>
        <w:tc>
          <w:tcPr>
            <w:tcW w:w="2410" w:type="dxa"/>
            <w:tcBorders>
              <w:top w:val="single" w:color="auto" w:sz="2" w:space="0"/>
              <w:left w:val="single" w:color="auto" w:sz="2" w:space="0"/>
              <w:bottom w:val="single" w:color="auto" w:sz="2" w:space="0"/>
              <w:right w:val="single" w:color="auto" w:sz="2" w:space="0"/>
            </w:tcBorders>
            <w:vAlign w:val="center"/>
          </w:tcPr>
          <w:p w14:paraId="37829AA8">
            <w:pPr>
              <w:spacing w:line="240" w:lineRule="exact"/>
              <w:rPr>
                <w:rFonts w:ascii="宋体" w:hAnsi="宋体" w:eastAsia="宋体" w:cs="宋体"/>
                <w:sz w:val="18"/>
                <w:szCs w:val="18"/>
              </w:rPr>
            </w:pPr>
            <w:r>
              <w:rPr>
                <w:rFonts w:ascii="宋体" w:hAnsi="宋体" w:eastAsia="宋体" w:cs="宋体"/>
                <w:sz w:val="18"/>
                <w:szCs w:val="18"/>
              </w:rPr>
              <w:t>7.02880</w:t>
            </w:r>
          </w:p>
        </w:tc>
        <w:tc>
          <w:tcPr>
            <w:tcW w:w="2410" w:type="dxa"/>
            <w:tcBorders>
              <w:top w:val="single" w:color="auto" w:sz="2" w:space="0"/>
              <w:left w:val="single" w:color="auto" w:sz="2" w:space="0"/>
              <w:bottom w:val="single" w:color="auto" w:sz="2" w:space="0"/>
              <w:right w:val="single" w:color="auto" w:sz="2" w:space="0"/>
            </w:tcBorders>
            <w:vAlign w:val="center"/>
          </w:tcPr>
          <w:p w14:paraId="48B3449C">
            <w:pPr>
              <w:spacing w:line="240" w:lineRule="exact"/>
              <w:jc w:val="right"/>
              <w:rPr>
                <w:rFonts w:ascii="宋体" w:hAnsi="宋体" w:eastAsia="宋体" w:cs="宋体"/>
                <w:sz w:val="18"/>
                <w:szCs w:val="18"/>
              </w:rPr>
            </w:pPr>
            <w:r>
              <w:rPr>
                <w:rFonts w:ascii="宋体" w:hAnsi="宋体" w:eastAsia="宋体" w:cs="宋体"/>
                <w:sz w:val="18"/>
                <w:szCs w:val="18"/>
              </w:rPr>
              <w:t>306,449.35</w:t>
            </w:r>
          </w:p>
        </w:tc>
      </w:tr>
      <w:tr w14:paraId="090C2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E3F1B9D">
            <w:pPr>
              <w:spacing w:line="240" w:lineRule="exac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14:paraId="5C0EE3A6">
            <w:pPr>
              <w:spacing w:line="240" w:lineRule="exact"/>
              <w:jc w:val="right"/>
              <w:rPr>
                <w:rFonts w:ascii="宋体" w:hAnsi="宋体" w:eastAsia="宋体" w:cs="宋体"/>
                <w:sz w:val="18"/>
                <w:szCs w:val="18"/>
              </w:rPr>
            </w:pPr>
            <w:r>
              <w:rPr>
                <w:rFonts w:ascii="宋体" w:hAnsi="宋体" w:eastAsia="宋体" w:cs="宋体"/>
                <w:sz w:val="18"/>
                <w:szCs w:val="18"/>
              </w:rPr>
              <w:t>13,836,992.00</w:t>
            </w:r>
          </w:p>
        </w:tc>
        <w:tc>
          <w:tcPr>
            <w:tcW w:w="2410" w:type="dxa"/>
            <w:tcBorders>
              <w:top w:val="single" w:color="auto" w:sz="2" w:space="0"/>
              <w:left w:val="single" w:color="auto" w:sz="2" w:space="0"/>
              <w:bottom w:val="single" w:color="auto" w:sz="2" w:space="0"/>
              <w:right w:val="single" w:color="auto" w:sz="2" w:space="0"/>
            </w:tcBorders>
            <w:vAlign w:val="center"/>
          </w:tcPr>
          <w:p w14:paraId="7B188532">
            <w:pPr>
              <w:spacing w:line="240" w:lineRule="exact"/>
              <w:rPr>
                <w:rFonts w:ascii="宋体" w:hAnsi="宋体" w:eastAsia="宋体" w:cs="宋体"/>
                <w:sz w:val="18"/>
                <w:szCs w:val="18"/>
              </w:rPr>
            </w:pPr>
            <w:r>
              <w:rPr>
                <w:rFonts w:ascii="宋体" w:hAnsi="宋体" w:eastAsia="宋体" w:cs="宋体"/>
                <w:sz w:val="18"/>
                <w:szCs w:val="18"/>
              </w:rPr>
              <w:t>0.90322</w:t>
            </w:r>
          </w:p>
        </w:tc>
        <w:tc>
          <w:tcPr>
            <w:tcW w:w="2410" w:type="dxa"/>
            <w:tcBorders>
              <w:top w:val="single" w:color="auto" w:sz="2" w:space="0"/>
              <w:left w:val="single" w:color="auto" w:sz="2" w:space="0"/>
              <w:bottom w:val="single" w:color="auto" w:sz="2" w:space="0"/>
              <w:right w:val="single" w:color="auto" w:sz="2" w:space="0"/>
            </w:tcBorders>
            <w:vAlign w:val="center"/>
          </w:tcPr>
          <w:p w14:paraId="150A8532">
            <w:pPr>
              <w:spacing w:line="240" w:lineRule="exact"/>
              <w:jc w:val="right"/>
              <w:rPr>
                <w:rFonts w:ascii="宋体" w:hAnsi="宋体" w:eastAsia="宋体" w:cs="宋体"/>
                <w:sz w:val="18"/>
                <w:szCs w:val="18"/>
              </w:rPr>
            </w:pPr>
            <w:r>
              <w:rPr>
                <w:rFonts w:ascii="宋体" w:hAnsi="宋体" w:eastAsia="宋体" w:cs="宋体"/>
                <w:sz w:val="18"/>
                <w:szCs w:val="18"/>
              </w:rPr>
              <w:t>12,497,847.91</w:t>
            </w:r>
          </w:p>
        </w:tc>
      </w:tr>
      <w:tr w14:paraId="6DB6D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73F4565">
            <w:pPr>
              <w:spacing w:line="240" w:lineRule="exact"/>
              <w:rPr>
                <w:rFonts w:ascii="宋体" w:hAnsi="宋体" w:eastAsia="宋体" w:cs="宋体"/>
                <w:sz w:val="18"/>
                <w:szCs w:val="18"/>
              </w:rPr>
            </w:pPr>
            <w:r>
              <w:rPr>
                <w:rFonts w:ascii="宋体" w:hAnsi="宋体" w:eastAsia="宋体" w:cs="宋体"/>
                <w:sz w:val="18"/>
                <w:szCs w:val="18"/>
              </w:rPr>
              <w:t>越南盾</w:t>
            </w:r>
          </w:p>
        </w:tc>
        <w:tc>
          <w:tcPr>
            <w:tcW w:w="2410" w:type="dxa"/>
            <w:tcBorders>
              <w:top w:val="single" w:color="auto" w:sz="2" w:space="0"/>
              <w:left w:val="single" w:color="auto" w:sz="2" w:space="0"/>
              <w:bottom w:val="single" w:color="auto" w:sz="2" w:space="0"/>
              <w:right w:val="single" w:color="auto" w:sz="2" w:space="0"/>
            </w:tcBorders>
            <w:vAlign w:val="center"/>
          </w:tcPr>
          <w:p w14:paraId="7413499C">
            <w:pPr>
              <w:spacing w:line="240" w:lineRule="exact"/>
              <w:jc w:val="right"/>
              <w:rPr>
                <w:rFonts w:ascii="宋体" w:hAnsi="宋体" w:eastAsia="宋体" w:cs="宋体"/>
                <w:sz w:val="18"/>
                <w:szCs w:val="18"/>
              </w:rPr>
            </w:pPr>
            <w:r>
              <w:rPr>
                <w:rFonts w:ascii="宋体" w:hAnsi="宋体" w:eastAsia="宋体" w:cs="宋体"/>
                <w:sz w:val="18"/>
                <w:szCs w:val="18"/>
              </w:rPr>
              <w:t>111,396,419,094.00</w:t>
            </w:r>
          </w:p>
        </w:tc>
        <w:tc>
          <w:tcPr>
            <w:tcW w:w="2410" w:type="dxa"/>
            <w:tcBorders>
              <w:top w:val="single" w:color="auto" w:sz="2" w:space="0"/>
              <w:left w:val="single" w:color="auto" w:sz="2" w:space="0"/>
              <w:bottom w:val="single" w:color="auto" w:sz="2" w:space="0"/>
              <w:right w:val="single" w:color="auto" w:sz="2" w:space="0"/>
            </w:tcBorders>
            <w:vAlign w:val="center"/>
          </w:tcPr>
          <w:p w14:paraId="7B14327C">
            <w:pPr>
              <w:spacing w:line="240" w:lineRule="exact"/>
              <w:rPr>
                <w:rFonts w:ascii="宋体" w:hAnsi="宋体" w:eastAsia="宋体" w:cs="宋体"/>
                <w:sz w:val="18"/>
                <w:szCs w:val="18"/>
              </w:rPr>
            </w:pPr>
            <w:r>
              <w:rPr>
                <w:rFonts w:ascii="宋体" w:hAnsi="宋体" w:eastAsia="宋体" w:cs="宋体"/>
                <w:sz w:val="18"/>
                <w:szCs w:val="18"/>
              </w:rPr>
              <w:t>0.00027</w:t>
            </w:r>
          </w:p>
        </w:tc>
        <w:tc>
          <w:tcPr>
            <w:tcW w:w="2410" w:type="dxa"/>
            <w:tcBorders>
              <w:top w:val="single" w:color="auto" w:sz="2" w:space="0"/>
              <w:left w:val="single" w:color="auto" w:sz="2" w:space="0"/>
              <w:bottom w:val="single" w:color="auto" w:sz="2" w:space="0"/>
              <w:right w:val="single" w:color="auto" w:sz="2" w:space="0"/>
            </w:tcBorders>
            <w:vAlign w:val="center"/>
          </w:tcPr>
          <w:p w14:paraId="39EE3C60">
            <w:pPr>
              <w:spacing w:line="240" w:lineRule="exact"/>
              <w:jc w:val="right"/>
              <w:rPr>
                <w:rFonts w:ascii="宋体" w:hAnsi="宋体" w:eastAsia="宋体" w:cs="宋体"/>
                <w:sz w:val="18"/>
                <w:szCs w:val="18"/>
              </w:rPr>
            </w:pPr>
            <w:r>
              <w:rPr>
                <w:rFonts w:ascii="宋体" w:hAnsi="宋体" w:eastAsia="宋体" w:cs="宋体"/>
                <w:sz w:val="18"/>
                <w:szCs w:val="18"/>
              </w:rPr>
              <w:t>30,077,033.16</w:t>
            </w:r>
          </w:p>
        </w:tc>
      </w:tr>
      <w:tr w14:paraId="0FA2C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D2B24DA">
            <w:pPr>
              <w:spacing w:line="240" w:lineRule="exact"/>
              <w:rPr>
                <w:rFonts w:ascii="宋体" w:hAnsi="宋体" w:eastAsia="宋体" w:cs="宋体"/>
                <w:sz w:val="18"/>
                <w:szCs w:val="18"/>
              </w:rPr>
            </w:pPr>
            <w:r>
              <w:rPr>
                <w:rFonts w:ascii="宋体" w:hAnsi="宋体" w:eastAsia="宋体" w:cs="宋体"/>
                <w:sz w:val="18"/>
                <w:szCs w:val="18"/>
              </w:rPr>
              <w:t>短期借款</w:t>
            </w:r>
          </w:p>
        </w:tc>
        <w:tc>
          <w:tcPr>
            <w:tcW w:w="2410" w:type="dxa"/>
            <w:tcBorders>
              <w:top w:val="single" w:color="auto" w:sz="2" w:space="0"/>
              <w:left w:val="single" w:color="auto" w:sz="2" w:space="0"/>
              <w:bottom w:val="single" w:color="auto" w:sz="2" w:space="0"/>
              <w:right w:val="single" w:color="auto" w:sz="2" w:space="0"/>
            </w:tcBorders>
            <w:vAlign w:val="center"/>
          </w:tcPr>
          <w:p w14:paraId="026E04B2">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DCCF8B2">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CAE0662">
            <w:pPr>
              <w:spacing w:line="240" w:lineRule="exact"/>
              <w:jc w:val="right"/>
              <w:rPr>
                <w:rFonts w:ascii="宋体" w:hAnsi="宋体" w:eastAsia="宋体" w:cs="宋体"/>
                <w:sz w:val="18"/>
                <w:szCs w:val="18"/>
              </w:rPr>
            </w:pPr>
          </w:p>
        </w:tc>
      </w:tr>
      <w:tr w14:paraId="3C0F6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65E286C">
            <w:pPr>
              <w:spacing w:line="240" w:lineRule="exac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14:paraId="4BA61EA6">
            <w:pPr>
              <w:spacing w:line="240" w:lineRule="exact"/>
              <w:jc w:val="right"/>
              <w:rPr>
                <w:rFonts w:ascii="宋体" w:hAnsi="宋体" w:eastAsia="宋体" w:cs="宋体"/>
                <w:sz w:val="18"/>
                <w:szCs w:val="18"/>
              </w:rPr>
            </w:pPr>
            <w:r>
              <w:rPr>
                <w:rFonts w:ascii="宋体" w:hAnsi="宋体" w:eastAsia="宋体" w:cs="宋体"/>
                <w:sz w:val="18"/>
                <w:szCs w:val="18"/>
              </w:rPr>
              <w:t>173,720.00</w:t>
            </w:r>
          </w:p>
        </w:tc>
        <w:tc>
          <w:tcPr>
            <w:tcW w:w="2410" w:type="dxa"/>
            <w:tcBorders>
              <w:top w:val="single" w:color="auto" w:sz="2" w:space="0"/>
              <w:left w:val="single" w:color="auto" w:sz="2" w:space="0"/>
              <w:bottom w:val="single" w:color="auto" w:sz="2" w:space="0"/>
              <w:right w:val="single" w:color="auto" w:sz="2" w:space="0"/>
            </w:tcBorders>
            <w:vAlign w:val="center"/>
          </w:tcPr>
          <w:p w14:paraId="58D20FCF">
            <w:pPr>
              <w:spacing w:line="240" w:lineRule="exact"/>
              <w:rPr>
                <w:rFonts w:ascii="宋体" w:hAnsi="宋体" w:eastAsia="宋体" w:cs="宋体"/>
                <w:sz w:val="18"/>
                <w:szCs w:val="18"/>
              </w:rPr>
            </w:pPr>
            <w:r>
              <w:rPr>
                <w:rFonts w:ascii="宋体" w:hAnsi="宋体" w:eastAsia="宋体" w:cs="宋体"/>
                <w:sz w:val="18"/>
                <w:szCs w:val="18"/>
              </w:rPr>
              <w:t>7.02880</w:t>
            </w:r>
          </w:p>
        </w:tc>
        <w:tc>
          <w:tcPr>
            <w:tcW w:w="2410" w:type="dxa"/>
            <w:tcBorders>
              <w:top w:val="single" w:color="auto" w:sz="2" w:space="0"/>
              <w:left w:val="single" w:color="auto" w:sz="2" w:space="0"/>
              <w:bottom w:val="single" w:color="auto" w:sz="2" w:space="0"/>
              <w:right w:val="single" w:color="auto" w:sz="2" w:space="0"/>
            </w:tcBorders>
            <w:vAlign w:val="center"/>
          </w:tcPr>
          <w:p w14:paraId="1A6F3F8D">
            <w:pPr>
              <w:spacing w:line="240" w:lineRule="exact"/>
              <w:jc w:val="right"/>
              <w:rPr>
                <w:rFonts w:ascii="宋体" w:hAnsi="宋体" w:eastAsia="宋体" w:cs="宋体"/>
                <w:sz w:val="18"/>
                <w:szCs w:val="18"/>
              </w:rPr>
            </w:pPr>
            <w:r>
              <w:rPr>
                <w:rFonts w:ascii="宋体" w:hAnsi="宋体" w:eastAsia="宋体" w:cs="宋体"/>
                <w:sz w:val="18"/>
                <w:szCs w:val="18"/>
              </w:rPr>
              <w:t>1,221,043.13</w:t>
            </w:r>
          </w:p>
        </w:tc>
      </w:tr>
      <w:tr w14:paraId="167D8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5EC316D">
            <w:pPr>
              <w:spacing w:line="240" w:lineRule="exact"/>
              <w:rPr>
                <w:rFonts w:ascii="宋体" w:hAnsi="宋体" w:eastAsia="宋体" w:cs="宋体"/>
                <w:sz w:val="18"/>
                <w:szCs w:val="18"/>
              </w:rPr>
            </w:pPr>
            <w:r>
              <w:rPr>
                <w:rFonts w:ascii="宋体" w:hAnsi="宋体" w:eastAsia="宋体" w:cs="宋体"/>
                <w:sz w:val="18"/>
                <w:szCs w:val="18"/>
              </w:rPr>
              <w:t>越南盾</w:t>
            </w:r>
          </w:p>
        </w:tc>
        <w:tc>
          <w:tcPr>
            <w:tcW w:w="2410" w:type="dxa"/>
            <w:tcBorders>
              <w:top w:val="single" w:color="auto" w:sz="2" w:space="0"/>
              <w:left w:val="single" w:color="auto" w:sz="2" w:space="0"/>
              <w:bottom w:val="single" w:color="auto" w:sz="2" w:space="0"/>
              <w:right w:val="single" w:color="auto" w:sz="2" w:space="0"/>
            </w:tcBorders>
            <w:vAlign w:val="center"/>
          </w:tcPr>
          <w:p w14:paraId="74D821BA">
            <w:pPr>
              <w:spacing w:line="240" w:lineRule="exact"/>
              <w:jc w:val="right"/>
              <w:rPr>
                <w:rFonts w:ascii="宋体" w:hAnsi="宋体" w:eastAsia="宋体" w:cs="宋体"/>
                <w:sz w:val="18"/>
                <w:szCs w:val="18"/>
              </w:rPr>
            </w:pPr>
            <w:r>
              <w:rPr>
                <w:rFonts w:ascii="宋体" w:hAnsi="宋体" w:eastAsia="宋体" w:cs="宋体"/>
                <w:sz w:val="18"/>
                <w:szCs w:val="18"/>
              </w:rPr>
              <w:t>139,482,358,886.00</w:t>
            </w:r>
          </w:p>
        </w:tc>
        <w:tc>
          <w:tcPr>
            <w:tcW w:w="2410" w:type="dxa"/>
            <w:tcBorders>
              <w:top w:val="single" w:color="auto" w:sz="2" w:space="0"/>
              <w:left w:val="single" w:color="auto" w:sz="2" w:space="0"/>
              <w:bottom w:val="single" w:color="auto" w:sz="2" w:space="0"/>
              <w:right w:val="single" w:color="auto" w:sz="2" w:space="0"/>
            </w:tcBorders>
            <w:vAlign w:val="center"/>
          </w:tcPr>
          <w:p w14:paraId="6D8CAA61">
            <w:pPr>
              <w:spacing w:line="240" w:lineRule="exact"/>
              <w:rPr>
                <w:rFonts w:ascii="宋体" w:hAnsi="宋体" w:eastAsia="宋体" w:cs="宋体"/>
                <w:sz w:val="18"/>
                <w:szCs w:val="18"/>
              </w:rPr>
            </w:pPr>
            <w:r>
              <w:rPr>
                <w:rFonts w:ascii="宋体" w:hAnsi="宋体" w:eastAsia="宋体" w:cs="宋体"/>
                <w:sz w:val="18"/>
                <w:szCs w:val="18"/>
              </w:rPr>
              <w:t>0.00027</w:t>
            </w:r>
          </w:p>
        </w:tc>
        <w:tc>
          <w:tcPr>
            <w:tcW w:w="2410" w:type="dxa"/>
            <w:tcBorders>
              <w:top w:val="single" w:color="auto" w:sz="2" w:space="0"/>
              <w:left w:val="single" w:color="auto" w:sz="2" w:space="0"/>
              <w:bottom w:val="single" w:color="auto" w:sz="2" w:space="0"/>
              <w:right w:val="single" w:color="auto" w:sz="2" w:space="0"/>
            </w:tcBorders>
            <w:vAlign w:val="center"/>
          </w:tcPr>
          <w:p w14:paraId="683954F7">
            <w:pPr>
              <w:spacing w:line="240" w:lineRule="exact"/>
              <w:jc w:val="right"/>
              <w:rPr>
                <w:rFonts w:ascii="宋体" w:hAnsi="宋体" w:eastAsia="宋体" w:cs="宋体"/>
                <w:sz w:val="18"/>
                <w:szCs w:val="18"/>
              </w:rPr>
            </w:pPr>
            <w:r>
              <w:rPr>
                <w:rFonts w:ascii="宋体" w:hAnsi="宋体" w:eastAsia="宋体" w:cs="宋体"/>
                <w:sz w:val="18"/>
                <w:szCs w:val="18"/>
              </w:rPr>
              <w:t>37,660,236.90</w:t>
            </w:r>
          </w:p>
        </w:tc>
      </w:tr>
      <w:tr w14:paraId="4C1C1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32C34E6">
            <w:pPr>
              <w:spacing w:line="240" w:lineRule="exac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14:paraId="4023D9F6">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4636353">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AFAB770">
            <w:pPr>
              <w:spacing w:line="240" w:lineRule="exact"/>
              <w:jc w:val="right"/>
              <w:rPr>
                <w:rFonts w:ascii="宋体" w:hAnsi="宋体" w:eastAsia="宋体" w:cs="宋体"/>
                <w:sz w:val="18"/>
                <w:szCs w:val="18"/>
              </w:rPr>
            </w:pPr>
          </w:p>
        </w:tc>
      </w:tr>
      <w:tr w14:paraId="526D7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2F9710E">
            <w:pPr>
              <w:spacing w:line="240" w:lineRule="exac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14:paraId="50D908F1">
            <w:pPr>
              <w:spacing w:line="240" w:lineRule="exact"/>
              <w:jc w:val="right"/>
              <w:rPr>
                <w:rFonts w:ascii="宋体" w:hAnsi="宋体" w:eastAsia="宋体" w:cs="宋体"/>
                <w:sz w:val="18"/>
                <w:szCs w:val="18"/>
              </w:rPr>
            </w:pPr>
            <w:r>
              <w:rPr>
                <w:rFonts w:ascii="宋体" w:hAnsi="宋体" w:eastAsia="宋体" w:cs="宋体"/>
                <w:sz w:val="18"/>
                <w:szCs w:val="18"/>
              </w:rPr>
              <w:t>427,846.54</w:t>
            </w:r>
          </w:p>
        </w:tc>
        <w:tc>
          <w:tcPr>
            <w:tcW w:w="2410" w:type="dxa"/>
            <w:tcBorders>
              <w:top w:val="single" w:color="auto" w:sz="2" w:space="0"/>
              <w:left w:val="single" w:color="auto" w:sz="2" w:space="0"/>
              <w:bottom w:val="single" w:color="auto" w:sz="2" w:space="0"/>
              <w:right w:val="single" w:color="auto" w:sz="2" w:space="0"/>
            </w:tcBorders>
            <w:vAlign w:val="center"/>
          </w:tcPr>
          <w:p w14:paraId="50912B49">
            <w:pPr>
              <w:spacing w:line="240" w:lineRule="exact"/>
              <w:rPr>
                <w:rFonts w:ascii="宋体" w:hAnsi="宋体" w:eastAsia="宋体" w:cs="宋体"/>
                <w:sz w:val="18"/>
                <w:szCs w:val="18"/>
              </w:rPr>
            </w:pPr>
            <w:r>
              <w:rPr>
                <w:rFonts w:ascii="宋体" w:hAnsi="宋体" w:eastAsia="宋体" w:cs="宋体"/>
                <w:sz w:val="18"/>
                <w:szCs w:val="18"/>
              </w:rPr>
              <w:t>7.02880</w:t>
            </w:r>
          </w:p>
        </w:tc>
        <w:tc>
          <w:tcPr>
            <w:tcW w:w="2410" w:type="dxa"/>
            <w:tcBorders>
              <w:top w:val="single" w:color="auto" w:sz="2" w:space="0"/>
              <w:left w:val="single" w:color="auto" w:sz="2" w:space="0"/>
              <w:bottom w:val="single" w:color="auto" w:sz="2" w:space="0"/>
              <w:right w:val="single" w:color="auto" w:sz="2" w:space="0"/>
            </w:tcBorders>
            <w:vAlign w:val="center"/>
          </w:tcPr>
          <w:p w14:paraId="17B91B44">
            <w:pPr>
              <w:spacing w:line="240" w:lineRule="exact"/>
              <w:jc w:val="right"/>
              <w:rPr>
                <w:rFonts w:ascii="宋体" w:hAnsi="宋体" w:eastAsia="宋体" w:cs="宋体"/>
                <w:sz w:val="18"/>
                <w:szCs w:val="18"/>
              </w:rPr>
            </w:pPr>
            <w:r>
              <w:rPr>
                <w:rFonts w:ascii="宋体" w:hAnsi="宋体" w:eastAsia="宋体" w:cs="宋体"/>
                <w:sz w:val="18"/>
                <w:szCs w:val="18"/>
              </w:rPr>
              <w:t>3,007,247.75</w:t>
            </w:r>
          </w:p>
        </w:tc>
      </w:tr>
      <w:tr w14:paraId="15661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F025FD6">
            <w:pPr>
              <w:spacing w:line="240" w:lineRule="exact"/>
              <w:rPr>
                <w:rFonts w:ascii="宋体" w:hAnsi="宋体" w:eastAsia="宋体" w:cs="宋体"/>
                <w:sz w:val="18"/>
                <w:szCs w:val="18"/>
              </w:rPr>
            </w:pPr>
            <w:r>
              <w:rPr>
                <w:rFonts w:ascii="宋体" w:hAnsi="宋体" w:eastAsia="宋体" w:cs="宋体"/>
                <w:sz w:val="18"/>
                <w:szCs w:val="18"/>
              </w:rPr>
              <w:t>越南盾</w:t>
            </w:r>
          </w:p>
        </w:tc>
        <w:tc>
          <w:tcPr>
            <w:tcW w:w="2410" w:type="dxa"/>
            <w:tcBorders>
              <w:top w:val="single" w:color="auto" w:sz="2" w:space="0"/>
              <w:left w:val="single" w:color="auto" w:sz="2" w:space="0"/>
              <w:bottom w:val="single" w:color="auto" w:sz="2" w:space="0"/>
              <w:right w:val="single" w:color="auto" w:sz="2" w:space="0"/>
            </w:tcBorders>
            <w:vAlign w:val="center"/>
          </w:tcPr>
          <w:p w14:paraId="2885871C">
            <w:pPr>
              <w:spacing w:line="240" w:lineRule="exact"/>
              <w:jc w:val="right"/>
              <w:rPr>
                <w:rFonts w:ascii="宋体" w:hAnsi="宋体" w:eastAsia="宋体" w:cs="宋体"/>
                <w:sz w:val="18"/>
                <w:szCs w:val="18"/>
              </w:rPr>
            </w:pPr>
            <w:r>
              <w:rPr>
                <w:rFonts w:ascii="宋体" w:hAnsi="宋体" w:eastAsia="宋体" w:cs="宋体"/>
                <w:sz w:val="18"/>
                <w:szCs w:val="18"/>
              </w:rPr>
              <w:t>232,340,115,898.00</w:t>
            </w:r>
          </w:p>
        </w:tc>
        <w:tc>
          <w:tcPr>
            <w:tcW w:w="2410" w:type="dxa"/>
            <w:tcBorders>
              <w:top w:val="single" w:color="auto" w:sz="2" w:space="0"/>
              <w:left w:val="single" w:color="auto" w:sz="2" w:space="0"/>
              <w:bottom w:val="single" w:color="auto" w:sz="2" w:space="0"/>
              <w:right w:val="single" w:color="auto" w:sz="2" w:space="0"/>
            </w:tcBorders>
            <w:vAlign w:val="center"/>
          </w:tcPr>
          <w:p w14:paraId="4893FC30">
            <w:pPr>
              <w:spacing w:line="240" w:lineRule="exact"/>
              <w:rPr>
                <w:rFonts w:ascii="宋体" w:hAnsi="宋体" w:eastAsia="宋体" w:cs="宋体"/>
                <w:sz w:val="18"/>
                <w:szCs w:val="18"/>
              </w:rPr>
            </w:pPr>
            <w:r>
              <w:rPr>
                <w:rFonts w:ascii="宋体" w:hAnsi="宋体" w:eastAsia="宋体" w:cs="宋体"/>
                <w:sz w:val="18"/>
                <w:szCs w:val="18"/>
              </w:rPr>
              <w:t>0.00027</w:t>
            </w:r>
          </w:p>
        </w:tc>
        <w:tc>
          <w:tcPr>
            <w:tcW w:w="2410" w:type="dxa"/>
            <w:tcBorders>
              <w:top w:val="single" w:color="auto" w:sz="2" w:space="0"/>
              <w:left w:val="single" w:color="auto" w:sz="2" w:space="0"/>
              <w:bottom w:val="single" w:color="auto" w:sz="2" w:space="0"/>
              <w:right w:val="single" w:color="auto" w:sz="2" w:space="0"/>
            </w:tcBorders>
            <w:vAlign w:val="center"/>
          </w:tcPr>
          <w:p w14:paraId="326DD1F4">
            <w:pPr>
              <w:spacing w:line="240" w:lineRule="exact"/>
              <w:jc w:val="right"/>
              <w:rPr>
                <w:rFonts w:ascii="宋体" w:hAnsi="宋体" w:eastAsia="宋体" w:cs="宋体"/>
                <w:sz w:val="18"/>
                <w:szCs w:val="18"/>
              </w:rPr>
            </w:pPr>
            <w:r>
              <w:rPr>
                <w:rFonts w:ascii="宋体" w:hAnsi="宋体" w:eastAsia="宋体" w:cs="宋体"/>
                <w:sz w:val="18"/>
                <w:szCs w:val="18"/>
              </w:rPr>
              <w:t>62,731,831.29</w:t>
            </w:r>
          </w:p>
        </w:tc>
      </w:tr>
      <w:tr w14:paraId="1C7AF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A7D57B1">
            <w:pPr>
              <w:spacing w:line="240" w:lineRule="exac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14:paraId="6DE3EC40">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6F52FDB">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4C36DD7">
            <w:pPr>
              <w:spacing w:line="240" w:lineRule="exact"/>
              <w:jc w:val="right"/>
              <w:rPr>
                <w:rFonts w:ascii="宋体" w:hAnsi="宋体" w:eastAsia="宋体" w:cs="宋体"/>
                <w:sz w:val="18"/>
                <w:szCs w:val="18"/>
              </w:rPr>
            </w:pPr>
          </w:p>
        </w:tc>
      </w:tr>
      <w:tr w14:paraId="38C41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97A894C">
            <w:pPr>
              <w:spacing w:line="240" w:lineRule="exac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14:paraId="7B73BDA8">
            <w:pPr>
              <w:spacing w:line="240" w:lineRule="exact"/>
              <w:jc w:val="right"/>
              <w:rPr>
                <w:rFonts w:ascii="宋体" w:hAnsi="宋体" w:eastAsia="宋体" w:cs="宋体"/>
                <w:sz w:val="18"/>
                <w:szCs w:val="18"/>
              </w:rPr>
            </w:pPr>
            <w:r>
              <w:rPr>
                <w:rFonts w:ascii="宋体" w:hAnsi="宋体" w:eastAsia="宋体" w:cs="宋体"/>
                <w:sz w:val="18"/>
                <w:szCs w:val="18"/>
              </w:rPr>
              <w:t>49,822.41</w:t>
            </w:r>
          </w:p>
        </w:tc>
        <w:tc>
          <w:tcPr>
            <w:tcW w:w="2410" w:type="dxa"/>
            <w:tcBorders>
              <w:top w:val="single" w:color="auto" w:sz="2" w:space="0"/>
              <w:left w:val="single" w:color="auto" w:sz="2" w:space="0"/>
              <w:bottom w:val="single" w:color="auto" w:sz="2" w:space="0"/>
              <w:right w:val="single" w:color="auto" w:sz="2" w:space="0"/>
            </w:tcBorders>
            <w:vAlign w:val="center"/>
          </w:tcPr>
          <w:p w14:paraId="7DF42B51">
            <w:pPr>
              <w:spacing w:line="240" w:lineRule="exact"/>
              <w:rPr>
                <w:rFonts w:ascii="宋体" w:hAnsi="宋体" w:eastAsia="宋体" w:cs="宋体"/>
                <w:sz w:val="18"/>
                <w:szCs w:val="18"/>
              </w:rPr>
            </w:pPr>
            <w:r>
              <w:rPr>
                <w:rFonts w:ascii="宋体" w:hAnsi="宋体" w:eastAsia="宋体" w:cs="宋体"/>
                <w:sz w:val="18"/>
                <w:szCs w:val="18"/>
              </w:rPr>
              <w:t>7.02880</w:t>
            </w:r>
          </w:p>
        </w:tc>
        <w:tc>
          <w:tcPr>
            <w:tcW w:w="2410" w:type="dxa"/>
            <w:tcBorders>
              <w:top w:val="single" w:color="auto" w:sz="2" w:space="0"/>
              <w:left w:val="single" w:color="auto" w:sz="2" w:space="0"/>
              <w:bottom w:val="single" w:color="auto" w:sz="2" w:space="0"/>
              <w:right w:val="single" w:color="auto" w:sz="2" w:space="0"/>
            </w:tcBorders>
            <w:vAlign w:val="center"/>
          </w:tcPr>
          <w:p w14:paraId="48C16EDC">
            <w:pPr>
              <w:spacing w:line="240" w:lineRule="exact"/>
              <w:jc w:val="right"/>
              <w:rPr>
                <w:rFonts w:ascii="宋体" w:hAnsi="宋体" w:eastAsia="宋体" w:cs="宋体"/>
                <w:sz w:val="18"/>
                <w:szCs w:val="18"/>
              </w:rPr>
            </w:pPr>
            <w:r>
              <w:rPr>
                <w:rFonts w:ascii="宋体" w:hAnsi="宋体" w:eastAsia="宋体" w:cs="宋体"/>
                <w:sz w:val="18"/>
                <w:szCs w:val="18"/>
              </w:rPr>
              <w:t>350,191.76</w:t>
            </w:r>
          </w:p>
        </w:tc>
      </w:tr>
      <w:tr w14:paraId="207C5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E73364B">
            <w:pPr>
              <w:spacing w:line="240" w:lineRule="exac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14:paraId="1323043F">
            <w:pPr>
              <w:spacing w:line="240" w:lineRule="exact"/>
              <w:jc w:val="right"/>
              <w:rPr>
                <w:rFonts w:ascii="宋体" w:hAnsi="宋体" w:eastAsia="宋体" w:cs="宋体"/>
                <w:sz w:val="18"/>
                <w:szCs w:val="18"/>
              </w:rPr>
            </w:pPr>
            <w:r>
              <w:rPr>
                <w:rFonts w:ascii="宋体" w:hAnsi="宋体" w:eastAsia="宋体" w:cs="宋体"/>
                <w:sz w:val="18"/>
                <w:szCs w:val="18"/>
              </w:rPr>
              <w:t>94,800.00</w:t>
            </w:r>
          </w:p>
        </w:tc>
        <w:tc>
          <w:tcPr>
            <w:tcW w:w="2410" w:type="dxa"/>
            <w:tcBorders>
              <w:top w:val="single" w:color="auto" w:sz="2" w:space="0"/>
              <w:left w:val="single" w:color="auto" w:sz="2" w:space="0"/>
              <w:bottom w:val="single" w:color="auto" w:sz="2" w:space="0"/>
              <w:right w:val="single" w:color="auto" w:sz="2" w:space="0"/>
            </w:tcBorders>
            <w:vAlign w:val="center"/>
          </w:tcPr>
          <w:p w14:paraId="1D175EB5">
            <w:pPr>
              <w:spacing w:line="240" w:lineRule="exact"/>
              <w:rPr>
                <w:rFonts w:ascii="宋体" w:hAnsi="宋体" w:eastAsia="宋体" w:cs="宋体"/>
                <w:sz w:val="18"/>
                <w:szCs w:val="18"/>
              </w:rPr>
            </w:pPr>
            <w:r>
              <w:rPr>
                <w:rFonts w:ascii="宋体" w:hAnsi="宋体" w:eastAsia="宋体" w:cs="宋体"/>
                <w:sz w:val="18"/>
                <w:szCs w:val="18"/>
              </w:rPr>
              <w:t>0.90322</w:t>
            </w:r>
          </w:p>
        </w:tc>
        <w:tc>
          <w:tcPr>
            <w:tcW w:w="2410" w:type="dxa"/>
            <w:tcBorders>
              <w:top w:val="single" w:color="auto" w:sz="2" w:space="0"/>
              <w:left w:val="single" w:color="auto" w:sz="2" w:space="0"/>
              <w:bottom w:val="single" w:color="auto" w:sz="2" w:space="0"/>
              <w:right w:val="single" w:color="auto" w:sz="2" w:space="0"/>
            </w:tcBorders>
            <w:vAlign w:val="center"/>
          </w:tcPr>
          <w:p w14:paraId="5CA52180">
            <w:pPr>
              <w:spacing w:line="240" w:lineRule="exact"/>
              <w:jc w:val="right"/>
              <w:rPr>
                <w:rFonts w:ascii="宋体" w:hAnsi="宋体" w:eastAsia="宋体" w:cs="宋体"/>
                <w:sz w:val="18"/>
                <w:szCs w:val="18"/>
              </w:rPr>
            </w:pPr>
            <w:r>
              <w:rPr>
                <w:rFonts w:ascii="宋体" w:hAnsi="宋体" w:eastAsia="宋体" w:cs="宋体"/>
                <w:sz w:val="18"/>
                <w:szCs w:val="18"/>
              </w:rPr>
              <w:t>85,625.26</w:t>
            </w:r>
          </w:p>
        </w:tc>
      </w:tr>
      <w:tr w14:paraId="1A372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E2D5AB2">
            <w:pPr>
              <w:spacing w:line="240" w:lineRule="exact"/>
              <w:rPr>
                <w:rFonts w:ascii="宋体" w:hAnsi="宋体" w:eastAsia="宋体" w:cs="宋体"/>
                <w:sz w:val="18"/>
                <w:szCs w:val="18"/>
              </w:rPr>
            </w:pPr>
            <w:r>
              <w:rPr>
                <w:rFonts w:ascii="宋体" w:hAnsi="宋体" w:eastAsia="宋体" w:cs="宋体"/>
                <w:sz w:val="18"/>
                <w:szCs w:val="18"/>
              </w:rPr>
              <w:t>越南盾</w:t>
            </w:r>
          </w:p>
        </w:tc>
        <w:tc>
          <w:tcPr>
            <w:tcW w:w="2410" w:type="dxa"/>
            <w:tcBorders>
              <w:top w:val="single" w:color="auto" w:sz="2" w:space="0"/>
              <w:left w:val="single" w:color="auto" w:sz="2" w:space="0"/>
              <w:bottom w:val="single" w:color="auto" w:sz="2" w:space="0"/>
              <w:right w:val="single" w:color="auto" w:sz="2" w:space="0"/>
            </w:tcBorders>
            <w:vAlign w:val="center"/>
          </w:tcPr>
          <w:p w14:paraId="14BCF451">
            <w:pPr>
              <w:spacing w:line="240" w:lineRule="exact"/>
              <w:jc w:val="right"/>
              <w:rPr>
                <w:rFonts w:ascii="宋体" w:hAnsi="宋体" w:eastAsia="宋体" w:cs="宋体"/>
                <w:sz w:val="18"/>
                <w:szCs w:val="18"/>
              </w:rPr>
            </w:pPr>
            <w:r>
              <w:rPr>
                <w:rFonts w:ascii="宋体" w:hAnsi="宋体" w:eastAsia="宋体" w:cs="宋体"/>
                <w:sz w:val="18"/>
                <w:szCs w:val="18"/>
              </w:rPr>
              <w:t>758,474,860,638.59</w:t>
            </w:r>
          </w:p>
        </w:tc>
        <w:tc>
          <w:tcPr>
            <w:tcW w:w="2410" w:type="dxa"/>
            <w:tcBorders>
              <w:top w:val="single" w:color="auto" w:sz="2" w:space="0"/>
              <w:left w:val="single" w:color="auto" w:sz="2" w:space="0"/>
              <w:bottom w:val="single" w:color="auto" w:sz="2" w:space="0"/>
              <w:right w:val="single" w:color="auto" w:sz="2" w:space="0"/>
            </w:tcBorders>
            <w:vAlign w:val="center"/>
          </w:tcPr>
          <w:p w14:paraId="753EE24E">
            <w:pPr>
              <w:spacing w:line="240" w:lineRule="exact"/>
              <w:rPr>
                <w:rFonts w:ascii="宋体" w:hAnsi="宋体" w:eastAsia="宋体" w:cs="宋体"/>
                <w:sz w:val="18"/>
                <w:szCs w:val="18"/>
              </w:rPr>
            </w:pPr>
            <w:r>
              <w:rPr>
                <w:rFonts w:ascii="宋体" w:hAnsi="宋体" w:eastAsia="宋体" w:cs="宋体"/>
                <w:sz w:val="18"/>
                <w:szCs w:val="18"/>
              </w:rPr>
              <w:t>0.00027</w:t>
            </w:r>
          </w:p>
        </w:tc>
        <w:tc>
          <w:tcPr>
            <w:tcW w:w="2410" w:type="dxa"/>
            <w:tcBorders>
              <w:top w:val="single" w:color="auto" w:sz="2" w:space="0"/>
              <w:left w:val="single" w:color="auto" w:sz="2" w:space="0"/>
              <w:bottom w:val="single" w:color="auto" w:sz="2" w:space="0"/>
              <w:right w:val="single" w:color="auto" w:sz="2" w:space="0"/>
            </w:tcBorders>
            <w:vAlign w:val="center"/>
          </w:tcPr>
          <w:p w14:paraId="75A9A12E">
            <w:pPr>
              <w:spacing w:line="240" w:lineRule="exact"/>
              <w:jc w:val="right"/>
              <w:rPr>
                <w:rFonts w:ascii="宋体" w:hAnsi="宋体" w:eastAsia="宋体" w:cs="宋体"/>
                <w:sz w:val="18"/>
                <w:szCs w:val="18"/>
              </w:rPr>
            </w:pPr>
            <w:r>
              <w:rPr>
                <w:rFonts w:ascii="宋体" w:hAnsi="宋体" w:eastAsia="宋体" w:cs="宋体"/>
                <w:sz w:val="18"/>
                <w:szCs w:val="18"/>
              </w:rPr>
              <w:t>204,788,212.37</w:t>
            </w:r>
          </w:p>
        </w:tc>
      </w:tr>
    </w:tbl>
    <w:p w14:paraId="5AB49AFF">
      <w:pPr>
        <w:spacing w:before="100" w:after="100" w:line="240" w:lineRule="exact"/>
        <w:rPr>
          <w:rFonts w:ascii="宋体" w:hAnsi="宋体" w:eastAsia="宋体" w:cs="宋体"/>
          <w:sz w:val="18"/>
          <w:szCs w:val="18"/>
        </w:rPr>
      </w:pPr>
      <w:r>
        <w:rPr>
          <w:rFonts w:ascii="宋体" w:hAnsi="宋体" w:eastAsia="宋体" w:cs="宋体"/>
          <w:sz w:val="18"/>
          <w:szCs w:val="18"/>
        </w:rPr>
        <w:t>其他说明：</w:t>
      </w:r>
    </w:p>
    <w:p w14:paraId="29D7090B">
      <w:pPr>
        <w:pStyle w:val="9"/>
        <w:rPr>
          <w:sz w:val="18"/>
          <w:szCs w:val="18"/>
        </w:rPr>
      </w:pPr>
      <w:r>
        <w:rPr>
          <w:rFonts w:hint="eastAsia"/>
          <w:sz w:val="18"/>
          <w:szCs w:val="18"/>
        </w:rPr>
        <w:t>无</w:t>
      </w:r>
    </w:p>
    <w:p w14:paraId="42796499">
      <w:pPr>
        <w:keepNext/>
        <w:keepLines/>
        <w:spacing w:before="300" w:after="300" w:line="280" w:lineRule="exact"/>
        <w:outlineLvl w:val="3"/>
        <w:rPr>
          <w:rFonts w:ascii="宋体" w:hAnsi="宋体" w:eastAsia="宋体" w:cs="宋体"/>
          <w:b/>
          <w:bCs/>
          <w:szCs w:val="21"/>
        </w:rPr>
      </w:pPr>
      <w:bookmarkStart w:id="488" w:name="_Toc989343"/>
      <w:r>
        <w:rPr>
          <w:rFonts w:ascii="宋体" w:hAnsi="宋体" w:eastAsia="宋体" w:cs="宋体"/>
          <w:b/>
          <w:bCs/>
          <w:szCs w:val="21"/>
        </w:rPr>
        <w:t>（2） 境外经营实体说明，包括对于重要的境外经营实体，应披露其境外主要经营地、记账本位币及选择依据，记账本位币发生变化的还应披露原因。</w:t>
      </w:r>
      <w:bookmarkEnd w:id="488"/>
    </w:p>
    <w:p w14:paraId="47B572B3">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4559FD1">
      <w:pPr>
        <w:pStyle w:val="3"/>
        <w:spacing w:line="280" w:lineRule="exact"/>
        <w:jc w:val="left"/>
        <w:rPr>
          <w:rFonts w:ascii="宋体" w:hAnsi="宋体" w:cs="宋体"/>
          <w:b/>
          <w:bCs/>
        </w:rPr>
      </w:pPr>
      <w:bookmarkStart w:id="489" w:name="_Toc989344"/>
      <w:r>
        <w:rPr>
          <w:rFonts w:ascii="宋体" w:hAnsi="宋体" w:cs="宋体"/>
          <w:b/>
          <w:bCs/>
        </w:rPr>
        <w:t>82、租赁</w:t>
      </w:r>
      <w:bookmarkEnd w:id="489"/>
    </w:p>
    <w:p w14:paraId="102BC31F">
      <w:pPr>
        <w:keepNext/>
        <w:keepLines/>
        <w:spacing w:before="300" w:after="300" w:line="280" w:lineRule="exact"/>
        <w:outlineLvl w:val="3"/>
        <w:rPr>
          <w:rFonts w:ascii="宋体" w:hAnsi="宋体" w:eastAsia="宋体" w:cs="宋体"/>
          <w:b/>
          <w:bCs/>
          <w:szCs w:val="21"/>
        </w:rPr>
      </w:pPr>
      <w:bookmarkStart w:id="490" w:name="_Toc989345"/>
      <w:r>
        <w:rPr>
          <w:rFonts w:ascii="宋体" w:hAnsi="宋体" w:eastAsia="宋体" w:cs="宋体"/>
          <w:b/>
          <w:bCs/>
          <w:szCs w:val="21"/>
        </w:rPr>
        <w:t>（1） 本公司作为承租方</w:t>
      </w:r>
      <w:bookmarkEnd w:id="490"/>
    </w:p>
    <w:p w14:paraId="21B4DA7B">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AF267F5">
      <w:pPr>
        <w:keepNext/>
        <w:keepLines/>
        <w:spacing w:before="300" w:after="300" w:line="280" w:lineRule="exact"/>
        <w:outlineLvl w:val="3"/>
        <w:rPr>
          <w:rFonts w:ascii="宋体" w:hAnsi="宋体" w:eastAsia="宋体" w:cs="宋体"/>
          <w:b/>
          <w:bCs/>
          <w:szCs w:val="21"/>
        </w:rPr>
      </w:pPr>
      <w:bookmarkStart w:id="491" w:name="_Toc989346"/>
      <w:r>
        <w:rPr>
          <w:rFonts w:ascii="宋体" w:hAnsi="宋体" w:eastAsia="宋体" w:cs="宋体"/>
          <w:b/>
          <w:bCs/>
          <w:szCs w:val="21"/>
        </w:rPr>
        <w:t>（2） 本公司作为出租方</w:t>
      </w:r>
      <w:bookmarkEnd w:id="491"/>
    </w:p>
    <w:p w14:paraId="0BE7F9FA">
      <w:pPr>
        <w:spacing w:before="100" w:after="100" w:line="240" w:lineRule="exact"/>
        <w:rPr>
          <w:rFonts w:ascii="宋体" w:hAnsi="宋体" w:eastAsia="宋体" w:cs="宋体"/>
          <w:sz w:val="18"/>
          <w:szCs w:val="18"/>
        </w:rPr>
      </w:pPr>
      <w:r>
        <w:rPr>
          <w:rFonts w:ascii="宋体" w:hAnsi="宋体" w:eastAsia="宋体" w:cs="宋体"/>
          <w:sz w:val="18"/>
          <w:szCs w:val="18"/>
        </w:rPr>
        <w:t>作为出租人的经营租赁</w:t>
      </w:r>
    </w:p>
    <w:p w14:paraId="0CC0A423">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9C20CC1">
      <w:pPr>
        <w:spacing w:before="100" w:after="100" w:line="240" w:lineRule="exact"/>
        <w:rPr>
          <w:rFonts w:ascii="宋体" w:hAnsi="宋体" w:eastAsia="宋体" w:cs="宋体"/>
          <w:sz w:val="18"/>
          <w:szCs w:val="18"/>
        </w:rPr>
      </w:pPr>
      <w:r>
        <w:rPr>
          <w:rFonts w:ascii="宋体" w:hAnsi="宋体" w:eastAsia="宋体" w:cs="宋体"/>
          <w:sz w:val="18"/>
          <w:szCs w:val="18"/>
        </w:rPr>
        <w:t>作为出租人的融资租赁</w:t>
      </w:r>
    </w:p>
    <w:p w14:paraId="0FB3F6FD">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18B08C4">
      <w:pPr>
        <w:spacing w:before="100" w:after="100" w:line="240" w:lineRule="exact"/>
        <w:rPr>
          <w:rFonts w:ascii="宋体" w:hAnsi="宋体" w:eastAsia="宋体" w:cs="宋体"/>
          <w:sz w:val="18"/>
          <w:szCs w:val="18"/>
        </w:rPr>
      </w:pPr>
      <w:r>
        <w:rPr>
          <w:rFonts w:ascii="宋体" w:hAnsi="宋体" w:eastAsia="宋体" w:cs="宋体"/>
          <w:sz w:val="18"/>
          <w:szCs w:val="18"/>
        </w:rPr>
        <w:t>未来五年每年未折现租赁收款额</w:t>
      </w:r>
    </w:p>
    <w:p w14:paraId="244BA7DB">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306DDFD">
      <w:pPr>
        <w:spacing w:before="100" w:after="100" w:line="240" w:lineRule="exact"/>
        <w:rPr>
          <w:rFonts w:ascii="宋体" w:hAnsi="宋体" w:eastAsia="宋体" w:cs="宋体"/>
          <w:sz w:val="18"/>
          <w:szCs w:val="18"/>
        </w:rPr>
      </w:pPr>
      <w:r>
        <w:rPr>
          <w:rFonts w:ascii="宋体" w:hAnsi="宋体" w:eastAsia="宋体" w:cs="宋体"/>
          <w:sz w:val="18"/>
          <w:szCs w:val="18"/>
        </w:rPr>
        <w:t>未折现租赁收款额与租赁投资净额的调节表</w:t>
      </w:r>
    </w:p>
    <w:p w14:paraId="70EFD3F0">
      <w:pPr>
        <w:keepNext/>
        <w:keepLines/>
        <w:spacing w:before="300" w:after="300" w:line="280" w:lineRule="exact"/>
        <w:outlineLvl w:val="3"/>
        <w:rPr>
          <w:rFonts w:ascii="宋体" w:hAnsi="宋体" w:eastAsia="宋体" w:cs="宋体"/>
          <w:b/>
          <w:bCs/>
          <w:szCs w:val="21"/>
        </w:rPr>
      </w:pPr>
      <w:bookmarkStart w:id="492" w:name="_Toc989347"/>
      <w:r>
        <w:rPr>
          <w:rFonts w:ascii="宋体" w:hAnsi="宋体" w:eastAsia="宋体" w:cs="宋体"/>
          <w:b/>
          <w:bCs/>
          <w:szCs w:val="21"/>
        </w:rPr>
        <w:t>（3） 作为生产商或经销商确认融资租赁销售损益</w:t>
      </w:r>
      <w:bookmarkEnd w:id="492"/>
    </w:p>
    <w:p w14:paraId="38228F48">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BC2236E">
      <w:pPr>
        <w:pStyle w:val="3"/>
        <w:spacing w:line="280" w:lineRule="exact"/>
        <w:jc w:val="left"/>
        <w:rPr>
          <w:rFonts w:ascii="宋体" w:hAnsi="宋体" w:cs="宋体"/>
          <w:b/>
          <w:bCs/>
        </w:rPr>
      </w:pPr>
      <w:bookmarkStart w:id="493" w:name="_Toc989348"/>
      <w:r>
        <w:rPr>
          <w:rFonts w:ascii="宋体" w:hAnsi="宋体" w:cs="宋体"/>
          <w:b/>
          <w:bCs/>
        </w:rPr>
        <w:t>83、数据资源</w:t>
      </w:r>
      <w:bookmarkEnd w:id="493"/>
    </w:p>
    <w:p w14:paraId="7718AC89">
      <w:pPr>
        <w:pStyle w:val="3"/>
        <w:spacing w:line="280" w:lineRule="exact"/>
        <w:jc w:val="left"/>
        <w:rPr>
          <w:rFonts w:ascii="宋体" w:hAnsi="宋体" w:cs="宋体"/>
          <w:b/>
          <w:bCs/>
        </w:rPr>
      </w:pPr>
      <w:bookmarkStart w:id="494" w:name="_Toc989349"/>
      <w:r>
        <w:rPr>
          <w:rFonts w:ascii="宋体" w:hAnsi="宋体" w:cs="宋体"/>
          <w:b/>
          <w:bCs/>
        </w:rPr>
        <w:t>84、其他</w:t>
      </w:r>
      <w:bookmarkEnd w:id="494"/>
    </w:p>
    <w:p w14:paraId="0E3B32F0">
      <w:pPr>
        <w:pStyle w:val="2"/>
        <w:spacing w:before="300" w:after="300" w:line="320" w:lineRule="exact"/>
        <w:rPr>
          <w:rFonts w:ascii="宋体" w:hAnsi="宋体" w:eastAsia="宋体" w:cs="宋体"/>
          <w:b/>
          <w:bCs/>
          <w:sz w:val="24"/>
          <w:szCs w:val="24"/>
        </w:rPr>
      </w:pPr>
      <w:bookmarkStart w:id="495" w:name="_Toc989350"/>
      <w:r>
        <w:rPr>
          <w:rFonts w:ascii="宋体" w:hAnsi="宋体" w:eastAsia="宋体" w:cs="宋体"/>
          <w:b/>
          <w:bCs/>
          <w:sz w:val="24"/>
          <w:szCs w:val="24"/>
        </w:rPr>
        <w:t>八、研发支出</w:t>
      </w:r>
      <w:bookmarkEnd w:id="495"/>
    </w:p>
    <w:p w14:paraId="4A71A6BF">
      <w:pPr>
        <w:pStyle w:val="3"/>
        <w:spacing w:line="280" w:lineRule="exact"/>
        <w:jc w:val="left"/>
        <w:rPr>
          <w:rFonts w:ascii="宋体" w:hAnsi="宋体" w:cs="宋体"/>
          <w:b/>
          <w:bCs/>
        </w:rPr>
      </w:pPr>
      <w:bookmarkStart w:id="496" w:name="_Toc989351"/>
      <w:r>
        <w:rPr>
          <w:rFonts w:ascii="宋体" w:hAnsi="宋体" w:cs="宋体"/>
          <w:b/>
          <w:bCs/>
        </w:rPr>
        <w:t>1、符合资本化条件的研发项目</w:t>
      </w:r>
      <w:bookmarkEnd w:id="496"/>
    </w:p>
    <w:p w14:paraId="4E28ABC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p w14:paraId="06D20ECA">
      <w:pPr>
        <w:spacing w:before="100" w:after="100" w:line="240" w:lineRule="exact"/>
        <w:rPr>
          <w:rFonts w:ascii="宋体" w:hAnsi="宋体" w:eastAsia="宋体" w:cs="宋体"/>
          <w:sz w:val="18"/>
          <w:szCs w:val="18"/>
        </w:rPr>
      </w:pPr>
      <w:r>
        <w:rPr>
          <w:rFonts w:ascii="宋体" w:hAnsi="宋体" w:eastAsia="宋体" w:cs="宋体"/>
          <w:sz w:val="18"/>
          <w:szCs w:val="18"/>
        </w:rPr>
        <w:t>重要的资本化研发项目</w:t>
      </w:r>
    </w:p>
    <w:p w14:paraId="395FB772">
      <w:pPr>
        <w:spacing w:line="0" w:lineRule="atLeast"/>
      </w:pPr>
    </w:p>
    <w:p w14:paraId="5CE322A6">
      <w:pPr>
        <w:spacing w:before="100" w:after="100" w:line="240" w:lineRule="exact"/>
        <w:rPr>
          <w:rFonts w:ascii="宋体" w:hAnsi="宋体" w:eastAsia="宋体" w:cs="宋体"/>
          <w:sz w:val="18"/>
          <w:szCs w:val="18"/>
        </w:rPr>
      </w:pPr>
      <w:r>
        <w:rPr>
          <w:rFonts w:ascii="宋体" w:hAnsi="宋体" w:eastAsia="宋体" w:cs="宋体"/>
          <w:sz w:val="18"/>
          <w:szCs w:val="18"/>
        </w:rPr>
        <w:t>开发支出减值准备</w:t>
      </w:r>
    </w:p>
    <w:p w14:paraId="5BFF25B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p w14:paraId="6FDA1DA0">
      <w:pPr>
        <w:pStyle w:val="3"/>
        <w:spacing w:line="280" w:lineRule="exact"/>
        <w:jc w:val="left"/>
        <w:rPr>
          <w:rFonts w:ascii="宋体" w:hAnsi="宋体" w:cs="宋体"/>
          <w:b/>
          <w:bCs/>
        </w:rPr>
      </w:pPr>
      <w:bookmarkStart w:id="497" w:name="_Toc989352"/>
      <w:r>
        <w:rPr>
          <w:rFonts w:ascii="宋体" w:hAnsi="宋体" w:cs="宋体"/>
          <w:b/>
          <w:bCs/>
        </w:rPr>
        <w:t>2、重要外购在研项目</w:t>
      </w:r>
      <w:bookmarkEnd w:id="497"/>
    </w:p>
    <w:p w14:paraId="2353A47C">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264DD833">
      <w:pPr>
        <w:pStyle w:val="2"/>
        <w:spacing w:before="300" w:after="300" w:line="320" w:lineRule="exact"/>
        <w:rPr>
          <w:rFonts w:ascii="宋体" w:hAnsi="宋体" w:eastAsia="宋体" w:cs="宋体"/>
          <w:b/>
          <w:bCs/>
          <w:sz w:val="24"/>
          <w:szCs w:val="24"/>
        </w:rPr>
      </w:pPr>
      <w:bookmarkStart w:id="498" w:name="_Toc989353"/>
      <w:r>
        <w:rPr>
          <w:rFonts w:ascii="宋体" w:hAnsi="宋体" w:eastAsia="宋体" w:cs="宋体"/>
          <w:b/>
          <w:bCs/>
          <w:sz w:val="24"/>
          <w:szCs w:val="24"/>
        </w:rPr>
        <w:t>九、合并范围的变更</w:t>
      </w:r>
      <w:bookmarkEnd w:id="498"/>
    </w:p>
    <w:p w14:paraId="48869697">
      <w:pPr>
        <w:pStyle w:val="3"/>
        <w:spacing w:line="280" w:lineRule="exact"/>
        <w:jc w:val="left"/>
        <w:rPr>
          <w:rFonts w:ascii="宋体" w:hAnsi="宋体" w:cs="宋体"/>
          <w:b/>
          <w:bCs/>
        </w:rPr>
      </w:pPr>
      <w:bookmarkStart w:id="499" w:name="_Toc989354"/>
      <w:r>
        <w:rPr>
          <w:rFonts w:ascii="宋体" w:hAnsi="宋体" w:cs="宋体"/>
          <w:b/>
          <w:bCs/>
        </w:rPr>
        <w:t>1、非同一控制下企业合并</w:t>
      </w:r>
      <w:bookmarkEnd w:id="499"/>
    </w:p>
    <w:p w14:paraId="3703B949">
      <w:pPr>
        <w:keepNext/>
        <w:keepLines/>
        <w:spacing w:before="300" w:after="300" w:line="280" w:lineRule="exact"/>
        <w:outlineLvl w:val="3"/>
        <w:rPr>
          <w:rFonts w:ascii="宋体" w:hAnsi="宋体" w:eastAsia="宋体" w:cs="宋体"/>
          <w:b/>
          <w:bCs/>
          <w:sz w:val="18"/>
          <w:szCs w:val="18"/>
        </w:rPr>
      </w:pPr>
      <w:bookmarkStart w:id="500" w:name="_Toc989355"/>
      <w:r>
        <w:rPr>
          <w:rFonts w:ascii="宋体" w:hAnsi="宋体" w:eastAsia="宋体" w:cs="宋体"/>
          <w:b/>
          <w:bCs/>
          <w:sz w:val="18"/>
          <w:szCs w:val="18"/>
        </w:rPr>
        <w:t>（1） 本期发生的非同一控制下企业合并</w:t>
      </w:r>
      <w:bookmarkEnd w:id="500"/>
    </w:p>
    <w:p w14:paraId="30AC5AB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3"/>
        <w:gridCol w:w="964"/>
        <w:gridCol w:w="964"/>
        <w:gridCol w:w="964"/>
        <w:gridCol w:w="964"/>
        <w:gridCol w:w="964"/>
        <w:gridCol w:w="964"/>
        <w:gridCol w:w="964"/>
        <w:gridCol w:w="964"/>
        <w:gridCol w:w="964"/>
      </w:tblGrid>
      <w:tr w14:paraId="6F0B4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0A38B936">
            <w:pPr>
              <w:spacing w:before="40" w:after="40" w:line="240" w:lineRule="exact"/>
              <w:jc w:val="center"/>
              <w:rPr>
                <w:rFonts w:ascii="宋体" w:hAnsi="宋体" w:eastAsia="宋体" w:cs="宋体"/>
                <w:sz w:val="18"/>
                <w:szCs w:val="18"/>
              </w:rPr>
            </w:pPr>
            <w:r>
              <w:rPr>
                <w:rFonts w:ascii="宋体" w:hAnsi="宋体" w:eastAsia="宋体" w:cs="宋体"/>
                <w:sz w:val="18"/>
                <w:szCs w:val="18"/>
              </w:rPr>
              <w:t>被购买方名称</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27427E1E">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股权取得时点</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38A894BB">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股权取得成本</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4A5A1A73">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股权取得比例</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3F8ED50C">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股权取得方式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01FB3EAB">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4037AB9B">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购买日的确定依据</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219D9EE5">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购买日至期末被购买方的收入</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5BF3583B">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购买日至期末被购买方的净利润</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14:paraId="352C15A1">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购买日至期末被购买方的现金流</w:t>
            </w:r>
          </w:p>
        </w:tc>
      </w:tr>
      <w:tr w14:paraId="6D708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vAlign w:val="center"/>
          </w:tcPr>
          <w:p w14:paraId="7FF7CDFB">
            <w:pPr>
              <w:spacing w:line="240" w:lineRule="exact"/>
              <w:rPr>
                <w:rFonts w:ascii="宋体" w:hAnsi="宋体" w:eastAsia="宋体" w:cs="宋体"/>
                <w:sz w:val="18"/>
                <w:szCs w:val="18"/>
              </w:rPr>
            </w:pPr>
            <w:r>
              <w:rPr>
                <w:rFonts w:ascii="宋体" w:hAnsi="宋体" w:eastAsia="宋体" w:cs="宋体"/>
                <w:sz w:val="18"/>
                <w:szCs w:val="18"/>
              </w:rPr>
              <w:t>新疆硕丰种业有限公司</w:t>
            </w:r>
          </w:p>
        </w:tc>
        <w:tc>
          <w:tcPr>
            <w:tcW w:w="964" w:type="dxa"/>
            <w:tcBorders>
              <w:top w:val="single" w:color="auto" w:sz="2" w:space="0"/>
              <w:left w:val="single" w:color="auto" w:sz="2" w:space="0"/>
              <w:bottom w:val="single" w:color="auto" w:sz="2" w:space="0"/>
              <w:right w:val="single" w:color="auto" w:sz="2" w:space="0"/>
            </w:tcBorders>
            <w:vAlign w:val="center"/>
          </w:tcPr>
          <w:p w14:paraId="6A84F4D4">
            <w:pPr>
              <w:spacing w:line="240" w:lineRule="exact"/>
              <w:rPr>
                <w:rFonts w:ascii="宋体" w:hAnsi="宋体" w:eastAsia="宋体" w:cs="宋体"/>
                <w:sz w:val="18"/>
                <w:szCs w:val="18"/>
              </w:rPr>
            </w:pPr>
            <w:r>
              <w:rPr>
                <w:rFonts w:ascii="宋体" w:hAnsi="宋体" w:eastAsia="宋体" w:cs="宋体"/>
                <w:sz w:val="18"/>
                <w:szCs w:val="18"/>
              </w:rPr>
              <w:t>2025年03月24日</w:t>
            </w:r>
          </w:p>
        </w:tc>
        <w:tc>
          <w:tcPr>
            <w:tcW w:w="964" w:type="dxa"/>
            <w:tcBorders>
              <w:top w:val="single" w:color="auto" w:sz="2" w:space="0"/>
              <w:left w:val="single" w:color="auto" w:sz="2" w:space="0"/>
              <w:bottom w:val="single" w:color="auto" w:sz="2" w:space="0"/>
              <w:right w:val="single" w:color="auto" w:sz="2" w:space="0"/>
            </w:tcBorders>
            <w:vAlign w:val="center"/>
          </w:tcPr>
          <w:p w14:paraId="634410C7">
            <w:pPr>
              <w:spacing w:line="240" w:lineRule="exact"/>
              <w:jc w:val="right"/>
              <w:rPr>
                <w:rFonts w:ascii="宋体" w:hAnsi="宋体" w:eastAsia="宋体" w:cs="宋体"/>
                <w:sz w:val="18"/>
                <w:szCs w:val="18"/>
              </w:rPr>
            </w:pPr>
            <w:r>
              <w:rPr>
                <w:rFonts w:ascii="宋体" w:hAnsi="宋体" w:eastAsia="宋体" w:cs="宋体"/>
                <w:sz w:val="18"/>
                <w:szCs w:val="18"/>
              </w:rPr>
              <w:t>19,000,000.00</w:t>
            </w:r>
          </w:p>
        </w:tc>
        <w:tc>
          <w:tcPr>
            <w:tcW w:w="964" w:type="dxa"/>
            <w:tcBorders>
              <w:top w:val="single" w:color="auto" w:sz="2" w:space="0"/>
              <w:left w:val="single" w:color="auto" w:sz="2" w:space="0"/>
              <w:bottom w:val="single" w:color="auto" w:sz="2" w:space="0"/>
              <w:right w:val="single" w:color="auto" w:sz="2" w:space="0"/>
            </w:tcBorders>
            <w:vAlign w:val="center"/>
          </w:tcPr>
          <w:p w14:paraId="56D2B3C3">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14:paraId="2F069CA9">
            <w:pPr>
              <w:spacing w:line="240" w:lineRule="exact"/>
              <w:rPr>
                <w:rFonts w:ascii="宋体" w:hAnsi="宋体" w:eastAsia="宋体" w:cs="宋体"/>
                <w:sz w:val="18"/>
                <w:szCs w:val="18"/>
              </w:rPr>
            </w:pPr>
            <w:r>
              <w:rPr>
                <w:rFonts w:ascii="宋体" w:hAnsi="宋体" w:eastAsia="宋体" w:cs="宋体"/>
                <w:sz w:val="18"/>
                <w:szCs w:val="18"/>
              </w:rPr>
              <w:t> 现金</w:t>
            </w:r>
          </w:p>
        </w:tc>
        <w:tc>
          <w:tcPr>
            <w:tcW w:w="964" w:type="dxa"/>
            <w:tcBorders>
              <w:top w:val="single" w:color="auto" w:sz="2" w:space="0"/>
              <w:left w:val="single" w:color="auto" w:sz="2" w:space="0"/>
              <w:bottom w:val="single" w:color="auto" w:sz="2" w:space="0"/>
              <w:right w:val="single" w:color="auto" w:sz="2" w:space="0"/>
            </w:tcBorders>
            <w:vAlign w:val="center"/>
          </w:tcPr>
          <w:p w14:paraId="30AF0AEE">
            <w:pPr>
              <w:spacing w:line="240" w:lineRule="exact"/>
              <w:rPr>
                <w:rFonts w:ascii="宋体" w:hAnsi="宋体" w:eastAsia="宋体" w:cs="宋体"/>
                <w:sz w:val="18"/>
                <w:szCs w:val="18"/>
              </w:rPr>
            </w:pPr>
            <w:r>
              <w:rPr>
                <w:rFonts w:ascii="宋体" w:hAnsi="宋体" w:eastAsia="宋体" w:cs="宋体"/>
                <w:sz w:val="18"/>
                <w:szCs w:val="18"/>
              </w:rPr>
              <w:t>2025年03月24日</w:t>
            </w:r>
          </w:p>
        </w:tc>
        <w:tc>
          <w:tcPr>
            <w:tcW w:w="964" w:type="dxa"/>
            <w:tcBorders>
              <w:top w:val="single" w:color="auto" w:sz="2" w:space="0"/>
              <w:left w:val="single" w:color="auto" w:sz="2" w:space="0"/>
              <w:bottom w:val="single" w:color="auto" w:sz="2" w:space="0"/>
              <w:right w:val="single" w:color="auto" w:sz="2" w:space="0"/>
            </w:tcBorders>
            <w:vAlign w:val="center"/>
          </w:tcPr>
          <w:p w14:paraId="3B7F8D75">
            <w:pPr>
              <w:spacing w:line="240" w:lineRule="exact"/>
              <w:rPr>
                <w:rFonts w:ascii="宋体" w:hAnsi="宋体" w:eastAsia="宋体" w:cs="宋体"/>
                <w:sz w:val="18"/>
                <w:szCs w:val="18"/>
              </w:rPr>
            </w:pPr>
            <w:r>
              <w:rPr>
                <w:rFonts w:ascii="宋体" w:hAnsi="宋体" w:eastAsia="宋体" w:cs="宋体"/>
                <w:sz w:val="18"/>
                <w:szCs w:val="18"/>
              </w:rPr>
              <w:t>购买完成</w:t>
            </w:r>
          </w:p>
        </w:tc>
        <w:tc>
          <w:tcPr>
            <w:tcW w:w="964" w:type="dxa"/>
            <w:tcBorders>
              <w:top w:val="single" w:color="auto" w:sz="2" w:space="0"/>
              <w:left w:val="single" w:color="auto" w:sz="2" w:space="0"/>
              <w:bottom w:val="single" w:color="auto" w:sz="2" w:space="0"/>
              <w:right w:val="single" w:color="auto" w:sz="2" w:space="0"/>
            </w:tcBorders>
            <w:vAlign w:val="center"/>
          </w:tcPr>
          <w:p w14:paraId="60B8A5A5">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0D414E66">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964" w:type="dxa"/>
            <w:tcBorders>
              <w:top w:val="single" w:color="auto" w:sz="2" w:space="0"/>
              <w:left w:val="single" w:color="auto" w:sz="2" w:space="0"/>
              <w:bottom w:val="single" w:color="auto" w:sz="2" w:space="0"/>
              <w:right w:val="single" w:color="auto" w:sz="2" w:space="0"/>
            </w:tcBorders>
            <w:vAlign w:val="center"/>
          </w:tcPr>
          <w:p w14:paraId="548071F0">
            <w:pPr>
              <w:spacing w:line="240" w:lineRule="exact"/>
              <w:jc w:val="right"/>
              <w:rPr>
                <w:rFonts w:ascii="宋体" w:hAnsi="宋体" w:eastAsia="宋体" w:cs="宋体"/>
                <w:sz w:val="18"/>
                <w:szCs w:val="18"/>
              </w:rPr>
            </w:pPr>
            <w:r>
              <w:rPr>
                <w:rFonts w:ascii="宋体" w:hAnsi="宋体" w:eastAsia="宋体" w:cs="宋体"/>
                <w:sz w:val="18"/>
                <w:szCs w:val="18"/>
              </w:rPr>
              <w:t>0.00</w:t>
            </w:r>
          </w:p>
        </w:tc>
      </w:tr>
    </w:tbl>
    <w:p w14:paraId="3AD4733B">
      <w:pPr>
        <w:rPr>
          <w:sz w:val="18"/>
          <w:szCs w:val="18"/>
        </w:rPr>
      </w:pPr>
    </w:p>
    <w:p w14:paraId="77D88EFF">
      <w:pPr>
        <w:keepNext/>
        <w:keepLines/>
        <w:spacing w:before="300" w:after="300" w:line="280" w:lineRule="exact"/>
        <w:outlineLvl w:val="3"/>
        <w:rPr>
          <w:rFonts w:ascii="宋体" w:hAnsi="宋体" w:eastAsia="宋体" w:cs="宋体"/>
          <w:b/>
          <w:bCs/>
          <w:sz w:val="18"/>
          <w:szCs w:val="18"/>
        </w:rPr>
      </w:pPr>
      <w:bookmarkStart w:id="501" w:name="_Toc989356"/>
      <w:r>
        <w:rPr>
          <w:rFonts w:ascii="宋体" w:hAnsi="宋体" w:eastAsia="宋体" w:cs="宋体"/>
          <w:b/>
          <w:bCs/>
          <w:sz w:val="18"/>
          <w:szCs w:val="18"/>
        </w:rPr>
        <w:t>（2） 合并成本及商誉</w:t>
      </w:r>
      <w:bookmarkEnd w:id="501"/>
    </w:p>
    <w:p w14:paraId="46A91C9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14:paraId="7FFF6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A4EABC0">
            <w:pPr>
              <w:spacing w:before="40" w:after="40" w:line="240" w:lineRule="exact"/>
              <w:jc w:val="center"/>
              <w:rPr>
                <w:rFonts w:ascii="宋体" w:hAnsi="宋体" w:eastAsia="宋体" w:cs="宋体"/>
                <w:sz w:val="18"/>
                <w:szCs w:val="18"/>
              </w:rPr>
            </w:pPr>
            <w:r>
              <w:rPr>
                <w:rFonts w:ascii="宋体" w:hAnsi="宋体" w:eastAsia="宋体" w:cs="宋体"/>
                <w:sz w:val="18"/>
                <w:szCs w:val="18"/>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14:paraId="23CF0141">
            <w:pPr>
              <w:spacing w:line="240" w:lineRule="exact"/>
              <w:jc w:val="center"/>
              <w:rPr>
                <w:rFonts w:ascii="宋体" w:hAnsi="宋体" w:eastAsia="宋体" w:cs="宋体"/>
                <w:sz w:val="18"/>
                <w:szCs w:val="18"/>
              </w:rPr>
            </w:pPr>
          </w:p>
        </w:tc>
      </w:tr>
      <w:tr w14:paraId="7DB08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83F232E">
            <w:pPr>
              <w:spacing w:before="40" w:after="40" w:line="240" w:lineRule="exact"/>
              <w:rPr>
                <w:rFonts w:ascii="宋体" w:hAnsi="宋体" w:eastAsia="宋体" w:cs="宋体"/>
                <w:sz w:val="18"/>
                <w:szCs w:val="18"/>
              </w:rPr>
            </w:pPr>
            <w:r>
              <w:rPr>
                <w:rFonts w:ascii="宋体" w:hAnsi="宋体" w:eastAsia="宋体" w:cs="宋体"/>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14:paraId="06BB556A">
            <w:pPr>
              <w:spacing w:line="240" w:lineRule="exact"/>
              <w:jc w:val="right"/>
              <w:rPr>
                <w:rFonts w:ascii="宋体" w:hAnsi="宋体" w:eastAsia="宋体" w:cs="宋体"/>
                <w:sz w:val="18"/>
                <w:szCs w:val="18"/>
              </w:rPr>
            </w:pPr>
            <w:r>
              <w:rPr>
                <w:rFonts w:ascii="宋体" w:hAnsi="宋体" w:eastAsia="宋体" w:cs="宋体"/>
                <w:sz w:val="18"/>
                <w:szCs w:val="18"/>
              </w:rPr>
              <w:t>19,000,000.00</w:t>
            </w:r>
          </w:p>
        </w:tc>
      </w:tr>
      <w:tr w14:paraId="3FA37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6157419">
            <w:pPr>
              <w:spacing w:before="40" w:after="40" w:line="240" w:lineRule="exact"/>
              <w:rPr>
                <w:rFonts w:ascii="宋体" w:hAnsi="宋体" w:eastAsia="宋体" w:cs="宋体"/>
                <w:sz w:val="18"/>
                <w:szCs w:val="18"/>
              </w:rPr>
            </w:pPr>
            <w:r>
              <w:rPr>
                <w:rFonts w:ascii="宋体" w:hAnsi="宋体" w:eastAsia="宋体" w:cs="宋体"/>
                <w:sz w:val="18"/>
                <w:szCs w:val="18"/>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14:paraId="6E9AA186">
            <w:pPr>
              <w:spacing w:line="240" w:lineRule="exact"/>
              <w:jc w:val="right"/>
              <w:rPr>
                <w:rFonts w:ascii="宋体" w:hAnsi="宋体" w:eastAsia="宋体" w:cs="宋体"/>
                <w:sz w:val="18"/>
                <w:szCs w:val="18"/>
              </w:rPr>
            </w:pPr>
          </w:p>
        </w:tc>
      </w:tr>
      <w:tr w14:paraId="69EC6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ACCC1F3">
            <w:pPr>
              <w:spacing w:before="40" w:after="40" w:line="240" w:lineRule="exact"/>
              <w:rPr>
                <w:rFonts w:ascii="宋体" w:hAnsi="宋体" w:eastAsia="宋体" w:cs="宋体"/>
                <w:sz w:val="18"/>
                <w:szCs w:val="18"/>
              </w:rPr>
            </w:pPr>
            <w:r>
              <w:rPr>
                <w:rFonts w:ascii="宋体" w:hAnsi="宋体" w:eastAsia="宋体" w:cs="宋体"/>
                <w:sz w:val="18"/>
                <w:szCs w:val="18"/>
              </w:rPr>
              <w:t>--发行或承担的债务的公允价值</w:t>
            </w:r>
          </w:p>
        </w:tc>
        <w:tc>
          <w:tcPr>
            <w:tcW w:w="4820" w:type="dxa"/>
            <w:tcBorders>
              <w:top w:val="single" w:color="auto" w:sz="2" w:space="0"/>
              <w:left w:val="single" w:color="auto" w:sz="2" w:space="0"/>
              <w:bottom w:val="single" w:color="auto" w:sz="2" w:space="0"/>
              <w:right w:val="single" w:color="auto" w:sz="2" w:space="0"/>
            </w:tcBorders>
            <w:vAlign w:val="center"/>
          </w:tcPr>
          <w:p w14:paraId="16B445FC">
            <w:pPr>
              <w:spacing w:line="240" w:lineRule="exact"/>
              <w:jc w:val="right"/>
              <w:rPr>
                <w:rFonts w:ascii="宋体" w:hAnsi="宋体" w:eastAsia="宋体" w:cs="宋体"/>
                <w:sz w:val="18"/>
                <w:szCs w:val="18"/>
              </w:rPr>
            </w:pPr>
          </w:p>
        </w:tc>
      </w:tr>
      <w:tr w14:paraId="4689B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3A0F503">
            <w:pPr>
              <w:spacing w:before="40" w:after="40" w:line="240" w:lineRule="exact"/>
              <w:rPr>
                <w:rFonts w:ascii="宋体" w:hAnsi="宋体" w:eastAsia="宋体" w:cs="宋体"/>
                <w:sz w:val="18"/>
                <w:szCs w:val="18"/>
              </w:rPr>
            </w:pPr>
            <w:r>
              <w:rPr>
                <w:rFonts w:ascii="宋体" w:hAnsi="宋体" w:eastAsia="宋体" w:cs="宋体"/>
                <w:sz w:val="18"/>
                <w:szCs w:val="18"/>
              </w:rPr>
              <w:t>--发行的权益性证券的公允价值</w:t>
            </w:r>
          </w:p>
        </w:tc>
        <w:tc>
          <w:tcPr>
            <w:tcW w:w="4820" w:type="dxa"/>
            <w:tcBorders>
              <w:top w:val="single" w:color="auto" w:sz="2" w:space="0"/>
              <w:left w:val="single" w:color="auto" w:sz="2" w:space="0"/>
              <w:bottom w:val="single" w:color="auto" w:sz="2" w:space="0"/>
              <w:right w:val="single" w:color="auto" w:sz="2" w:space="0"/>
            </w:tcBorders>
            <w:vAlign w:val="center"/>
          </w:tcPr>
          <w:p w14:paraId="15112066">
            <w:pPr>
              <w:spacing w:line="240" w:lineRule="exact"/>
              <w:jc w:val="right"/>
              <w:rPr>
                <w:rFonts w:ascii="宋体" w:hAnsi="宋体" w:eastAsia="宋体" w:cs="宋体"/>
                <w:sz w:val="18"/>
                <w:szCs w:val="18"/>
              </w:rPr>
            </w:pPr>
          </w:p>
        </w:tc>
      </w:tr>
      <w:tr w14:paraId="7BE0C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2956E5B">
            <w:pPr>
              <w:spacing w:before="40" w:after="40" w:line="240" w:lineRule="exact"/>
              <w:rPr>
                <w:rFonts w:ascii="宋体" w:hAnsi="宋体" w:eastAsia="宋体" w:cs="宋体"/>
                <w:sz w:val="18"/>
                <w:szCs w:val="18"/>
              </w:rPr>
            </w:pPr>
            <w:r>
              <w:rPr>
                <w:rFonts w:ascii="宋体" w:hAnsi="宋体" w:eastAsia="宋体" w:cs="宋体"/>
                <w:sz w:val="18"/>
                <w:szCs w:val="18"/>
              </w:rPr>
              <w:t>--或有对价的公允价值</w:t>
            </w:r>
          </w:p>
        </w:tc>
        <w:tc>
          <w:tcPr>
            <w:tcW w:w="4820" w:type="dxa"/>
            <w:tcBorders>
              <w:top w:val="single" w:color="auto" w:sz="2" w:space="0"/>
              <w:left w:val="single" w:color="auto" w:sz="2" w:space="0"/>
              <w:bottom w:val="single" w:color="auto" w:sz="2" w:space="0"/>
              <w:right w:val="single" w:color="auto" w:sz="2" w:space="0"/>
            </w:tcBorders>
            <w:vAlign w:val="center"/>
          </w:tcPr>
          <w:p w14:paraId="4B873CA4">
            <w:pPr>
              <w:spacing w:line="240" w:lineRule="exact"/>
              <w:jc w:val="right"/>
              <w:rPr>
                <w:rFonts w:ascii="宋体" w:hAnsi="宋体" w:eastAsia="宋体" w:cs="宋体"/>
                <w:sz w:val="18"/>
                <w:szCs w:val="18"/>
              </w:rPr>
            </w:pPr>
          </w:p>
        </w:tc>
      </w:tr>
      <w:tr w14:paraId="47357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76845C4">
            <w:pPr>
              <w:spacing w:before="40" w:after="40" w:line="240" w:lineRule="exact"/>
              <w:rPr>
                <w:rFonts w:ascii="宋体" w:hAnsi="宋体" w:eastAsia="宋体" w:cs="宋体"/>
                <w:sz w:val="18"/>
                <w:szCs w:val="18"/>
              </w:rPr>
            </w:pPr>
            <w:r>
              <w:rPr>
                <w:rFonts w:ascii="宋体" w:hAnsi="宋体" w:eastAsia="宋体" w:cs="宋体"/>
                <w:sz w:val="18"/>
                <w:szCs w:val="18"/>
              </w:rPr>
              <w:t>--购买日之前持有的股权于购买日的公允价值</w:t>
            </w:r>
          </w:p>
        </w:tc>
        <w:tc>
          <w:tcPr>
            <w:tcW w:w="4820" w:type="dxa"/>
            <w:tcBorders>
              <w:top w:val="single" w:color="auto" w:sz="2" w:space="0"/>
              <w:left w:val="single" w:color="auto" w:sz="2" w:space="0"/>
              <w:bottom w:val="single" w:color="auto" w:sz="2" w:space="0"/>
              <w:right w:val="single" w:color="auto" w:sz="2" w:space="0"/>
            </w:tcBorders>
            <w:vAlign w:val="center"/>
          </w:tcPr>
          <w:p w14:paraId="37BBCEA2">
            <w:pPr>
              <w:spacing w:line="240" w:lineRule="exact"/>
              <w:jc w:val="right"/>
              <w:rPr>
                <w:rFonts w:ascii="宋体" w:hAnsi="宋体" w:eastAsia="宋体" w:cs="宋体"/>
                <w:sz w:val="18"/>
                <w:szCs w:val="18"/>
              </w:rPr>
            </w:pPr>
          </w:p>
        </w:tc>
      </w:tr>
      <w:tr w14:paraId="5E1D8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AF4FFDE">
            <w:pPr>
              <w:spacing w:before="40" w:after="40" w:line="240" w:lineRule="exact"/>
              <w:rPr>
                <w:rFonts w:ascii="宋体" w:hAnsi="宋体" w:eastAsia="宋体" w:cs="宋体"/>
                <w:sz w:val="18"/>
                <w:szCs w:val="18"/>
              </w:rPr>
            </w:pPr>
            <w:r>
              <w:rPr>
                <w:rFonts w:ascii="宋体" w:hAnsi="宋体" w:eastAsia="宋体" w:cs="宋体"/>
                <w:sz w:val="18"/>
                <w:szCs w:val="18"/>
              </w:rPr>
              <w:t>--其他</w:t>
            </w:r>
          </w:p>
        </w:tc>
        <w:tc>
          <w:tcPr>
            <w:tcW w:w="4820" w:type="dxa"/>
            <w:tcBorders>
              <w:top w:val="single" w:color="auto" w:sz="2" w:space="0"/>
              <w:left w:val="single" w:color="auto" w:sz="2" w:space="0"/>
              <w:bottom w:val="single" w:color="auto" w:sz="2" w:space="0"/>
              <w:right w:val="single" w:color="auto" w:sz="2" w:space="0"/>
            </w:tcBorders>
            <w:vAlign w:val="center"/>
          </w:tcPr>
          <w:p w14:paraId="06B4C8E3">
            <w:pPr>
              <w:spacing w:line="240" w:lineRule="exact"/>
              <w:jc w:val="right"/>
              <w:rPr>
                <w:rFonts w:ascii="宋体" w:hAnsi="宋体" w:eastAsia="宋体" w:cs="宋体"/>
                <w:sz w:val="18"/>
                <w:szCs w:val="18"/>
              </w:rPr>
            </w:pPr>
          </w:p>
        </w:tc>
      </w:tr>
      <w:tr w14:paraId="58CDB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0BAE7FF">
            <w:pPr>
              <w:spacing w:before="40" w:after="40" w:line="240" w:lineRule="exact"/>
              <w:rPr>
                <w:rFonts w:ascii="宋体" w:hAnsi="宋体" w:eastAsia="宋体" w:cs="宋体"/>
                <w:sz w:val="18"/>
                <w:szCs w:val="18"/>
              </w:rPr>
            </w:pPr>
            <w:r>
              <w:rPr>
                <w:rFonts w:ascii="宋体" w:hAnsi="宋体" w:eastAsia="宋体" w:cs="宋体"/>
                <w:sz w:val="18"/>
                <w:szCs w:val="18"/>
              </w:rPr>
              <w:t>合并成本合计</w:t>
            </w:r>
          </w:p>
        </w:tc>
        <w:tc>
          <w:tcPr>
            <w:tcW w:w="4820" w:type="dxa"/>
            <w:tcBorders>
              <w:top w:val="single" w:color="auto" w:sz="2" w:space="0"/>
              <w:left w:val="single" w:color="auto" w:sz="2" w:space="0"/>
              <w:bottom w:val="single" w:color="auto" w:sz="2" w:space="0"/>
              <w:right w:val="single" w:color="auto" w:sz="2" w:space="0"/>
            </w:tcBorders>
            <w:vAlign w:val="center"/>
          </w:tcPr>
          <w:p w14:paraId="4C7CD80A">
            <w:pPr>
              <w:spacing w:line="240" w:lineRule="exact"/>
              <w:jc w:val="right"/>
              <w:rPr>
                <w:rFonts w:ascii="宋体" w:hAnsi="宋体" w:eastAsia="宋体" w:cs="宋体"/>
                <w:sz w:val="18"/>
                <w:szCs w:val="18"/>
              </w:rPr>
            </w:pPr>
            <w:r>
              <w:rPr>
                <w:rFonts w:ascii="宋体" w:hAnsi="宋体" w:eastAsia="宋体" w:cs="宋体"/>
                <w:sz w:val="18"/>
                <w:szCs w:val="18"/>
              </w:rPr>
              <w:t>19,000,000.00</w:t>
            </w:r>
          </w:p>
        </w:tc>
      </w:tr>
      <w:tr w14:paraId="64787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37AD98E">
            <w:pPr>
              <w:spacing w:before="40" w:after="40" w:line="240" w:lineRule="exact"/>
              <w:rPr>
                <w:rFonts w:ascii="宋体" w:hAnsi="宋体" w:eastAsia="宋体" w:cs="宋体"/>
                <w:sz w:val="18"/>
                <w:szCs w:val="18"/>
              </w:rPr>
            </w:pPr>
            <w:r>
              <w:rPr>
                <w:rFonts w:ascii="宋体" w:hAnsi="宋体" w:eastAsia="宋体" w:cs="宋体"/>
                <w:sz w:val="18"/>
                <w:szCs w:val="18"/>
              </w:rPr>
              <w:t>减：取得的可辨认净资产公允价值份额</w:t>
            </w:r>
          </w:p>
        </w:tc>
        <w:tc>
          <w:tcPr>
            <w:tcW w:w="4820" w:type="dxa"/>
            <w:tcBorders>
              <w:top w:val="single" w:color="auto" w:sz="2" w:space="0"/>
              <w:left w:val="single" w:color="auto" w:sz="2" w:space="0"/>
              <w:bottom w:val="single" w:color="auto" w:sz="2" w:space="0"/>
              <w:right w:val="single" w:color="auto" w:sz="2" w:space="0"/>
            </w:tcBorders>
            <w:vAlign w:val="center"/>
          </w:tcPr>
          <w:p w14:paraId="30D60D51">
            <w:pPr>
              <w:spacing w:line="240" w:lineRule="exact"/>
              <w:jc w:val="right"/>
              <w:rPr>
                <w:rFonts w:ascii="宋体" w:hAnsi="宋体" w:eastAsia="宋体" w:cs="宋体"/>
                <w:sz w:val="18"/>
                <w:szCs w:val="18"/>
              </w:rPr>
            </w:pPr>
            <w:r>
              <w:rPr>
                <w:rFonts w:ascii="宋体" w:hAnsi="宋体" w:eastAsia="宋体" w:cs="宋体"/>
                <w:sz w:val="18"/>
                <w:szCs w:val="18"/>
              </w:rPr>
              <w:t>19,000,000.00</w:t>
            </w:r>
          </w:p>
        </w:tc>
      </w:tr>
      <w:tr w14:paraId="3AB05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50BBFA2">
            <w:pPr>
              <w:spacing w:before="40" w:after="40" w:line="240" w:lineRule="exact"/>
              <w:rPr>
                <w:rFonts w:ascii="宋体" w:hAnsi="宋体" w:eastAsia="宋体" w:cs="宋体"/>
                <w:sz w:val="18"/>
                <w:szCs w:val="18"/>
              </w:rPr>
            </w:pPr>
            <w:r>
              <w:rPr>
                <w:rFonts w:ascii="宋体" w:hAnsi="宋体" w:eastAsia="宋体" w:cs="宋体"/>
                <w:sz w:val="18"/>
                <w:szCs w:val="18"/>
              </w:rPr>
              <w:t>商誉/合并成本小于取得的可辨认净资产公允价值份额的金额</w:t>
            </w:r>
          </w:p>
        </w:tc>
        <w:tc>
          <w:tcPr>
            <w:tcW w:w="4820" w:type="dxa"/>
            <w:tcBorders>
              <w:top w:val="single" w:color="auto" w:sz="2" w:space="0"/>
              <w:left w:val="single" w:color="auto" w:sz="2" w:space="0"/>
              <w:bottom w:val="single" w:color="auto" w:sz="2" w:space="0"/>
              <w:right w:val="single" w:color="auto" w:sz="2" w:space="0"/>
            </w:tcBorders>
            <w:vAlign w:val="center"/>
          </w:tcPr>
          <w:p w14:paraId="23D3DBAE">
            <w:pPr>
              <w:spacing w:line="240" w:lineRule="exact"/>
              <w:jc w:val="right"/>
              <w:rPr>
                <w:rFonts w:ascii="宋体" w:hAnsi="宋体" w:eastAsia="宋体" w:cs="宋体"/>
                <w:sz w:val="18"/>
                <w:szCs w:val="18"/>
              </w:rPr>
            </w:pPr>
            <w:r>
              <w:rPr>
                <w:rFonts w:ascii="宋体" w:hAnsi="宋体" w:eastAsia="宋体" w:cs="宋体"/>
                <w:sz w:val="18"/>
                <w:szCs w:val="18"/>
              </w:rPr>
              <w:t>0.00</w:t>
            </w:r>
          </w:p>
        </w:tc>
      </w:tr>
    </w:tbl>
    <w:p w14:paraId="32C200D8">
      <w:pPr>
        <w:spacing w:before="100" w:after="100" w:line="240" w:lineRule="exact"/>
        <w:rPr>
          <w:rFonts w:ascii="宋体" w:hAnsi="宋体" w:eastAsia="宋体" w:cs="宋体"/>
          <w:sz w:val="18"/>
          <w:szCs w:val="18"/>
        </w:rPr>
      </w:pPr>
      <w:r>
        <w:rPr>
          <w:rFonts w:ascii="宋体" w:hAnsi="宋体" w:eastAsia="宋体" w:cs="宋体"/>
          <w:sz w:val="18"/>
          <w:szCs w:val="18"/>
        </w:rPr>
        <w:t>合并成本公允价值的确定方法：无</w:t>
      </w:r>
    </w:p>
    <w:p w14:paraId="15C88401">
      <w:pPr>
        <w:spacing w:before="100" w:after="100" w:line="240" w:lineRule="exact"/>
        <w:rPr>
          <w:rFonts w:ascii="宋体" w:hAnsi="宋体" w:eastAsia="宋体" w:cs="宋体"/>
          <w:sz w:val="18"/>
          <w:szCs w:val="18"/>
        </w:rPr>
      </w:pPr>
      <w:r>
        <w:rPr>
          <w:rFonts w:ascii="宋体" w:hAnsi="宋体" w:eastAsia="宋体" w:cs="宋体"/>
          <w:sz w:val="18"/>
          <w:szCs w:val="18"/>
        </w:rPr>
        <w:t>大额商誉形成的主要原因：无</w:t>
      </w:r>
    </w:p>
    <w:p w14:paraId="0EBD8E73">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3E9624F2">
      <w:pPr>
        <w:rPr>
          <w:sz w:val="18"/>
          <w:szCs w:val="18"/>
        </w:rPr>
      </w:pPr>
    </w:p>
    <w:p w14:paraId="49CBC77E">
      <w:pPr>
        <w:keepNext/>
        <w:keepLines/>
        <w:spacing w:before="300" w:after="300" w:line="280" w:lineRule="exact"/>
        <w:outlineLvl w:val="3"/>
        <w:rPr>
          <w:rFonts w:ascii="宋体" w:hAnsi="宋体" w:eastAsia="宋体" w:cs="宋体"/>
          <w:b/>
          <w:bCs/>
          <w:sz w:val="18"/>
          <w:szCs w:val="18"/>
        </w:rPr>
      </w:pPr>
      <w:bookmarkStart w:id="502" w:name="_Toc989357"/>
      <w:r>
        <w:rPr>
          <w:rFonts w:ascii="宋体" w:hAnsi="宋体" w:eastAsia="宋体" w:cs="宋体"/>
          <w:b/>
          <w:bCs/>
          <w:sz w:val="18"/>
          <w:szCs w:val="18"/>
        </w:rPr>
        <w:t>（3） 被购买方于购买日可辨认资产、负债</w:t>
      </w:r>
      <w:bookmarkEnd w:id="502"/>
    </w:p>
    <w:p w14:paraId="05C8365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06C3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452C3C3"/>
        </w:tc>
        <w:tc>
          <w:tcPr>
            <w:tcW w:w="6426" w:type="dxa"/>
            <w:gridSpan w:val="2"/>
            <w:tcBorders>
              <w:top w:val="single" w:color="auto" w:sz="2" w:space="0"/>
              <w:left w:val="single" w:color="auto" w:sz="2" w:space="0"/>
              <w:bottom w:val="single" w:color="auto" w:sz="2" w:space="0"/>
              <w:right w:val="single" w:color="auto" w:sz="2" w:space="0"/>
            </w:tcBorders>
            <w:vAlign w:val="center"/>
          </w:tcPr>
          <w:p w14:paraId="3E9B9993">
            <w:pPr>
              <w:spacing w:line="240" w:lineRule="exact"/>
              <w:jc w:val="center"/>
              <w:rPr>
                <w:rFonts w:ascii="宋体" w:hAnsi="宋体" w:eastAsia="宋体" w:cs="宋体"/>
                <w:sz w:val="18"/>
                <w:szCs w:val="18"/>
              </w:rPr>
            </w:pPr>
          </w:p>
        </w:tc>
      </w:tr>
      <w:tr w14:paraId="64971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41ED3CF"/>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78E486">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购买日公允价值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6D0D14">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购买日账面价值</w:t>
            </w:r>
          </w:p>
        </w:tc>
      </w:tr>
      <w:tr w14:paraId="38B28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E8308AF">
            <w:pPr>
              <w:spacing w:before="40" w:after="40" w:line="240" w:lineRule="exact"/>
              <w:rPr>
                <w:rFonts w:ascii="宋体" w:hAnsi="宋体" w:eastAsia="宋体" w:cs="宋体"/>
                <w:sz w:val="18"/>
                <w:szCs w:val="18"/>
              </w:rPr>
            </w:pPr>
            <w:r>
              <w:rPr>
                <w:rFonts w:ascii="宋体" w:hAnsi="宋体" w:eastAsia="宋体" w:cs="宋体"/>
                <w:sz w:val="18"/>
                <w:szCs w:val="18"/>
              </w:rPr>
              <w:t>资产：</w:t>
            </w:r>
          </w:p>
        </w:tc>
        <w:tc>
          <w:tcPr>
            <w:tcW w:w="3213" w:type="dxa"/>
            <w:tcBorders>
              <w:top w:val="single" w:color="auto" w:sz="2" w:space="0"/>
              <w:left w:val="single" w:color="auto" w:sz="2" w:space="0"/>
              <w:bottom w:val="single" w:color="auto" w:sz="2" w:space="0"/>
              <w:right w:val="single" w:color="auto" w:sz="2" w:space="0"/>
            </w:tcBorders>
            <w:vAlign w:val="center"/>
          </w:tcPr>
          <w:p w14:paraId="375718BE">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0C9DC24">
            <w:pPr>
              <w:spacing w:line="240" w:lineRule="exact"/>
              <w:jc w:val="right"/>
              <w:rPr>
                <w:rFonts w:ascii="宋体" w:hAnsi="宋体" w:eastAsia="宋体" w:cs="宋体"/>
                <w:sz w:val="18"/>
                <w:szCs w:val="18"/>
              </w:rPr>
            </w:pPr>
          </w:p>
        </w:tc>
      </w:tr>
      <w:tr w14:paraId="35BFC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17552A">
            <w:pPr>
              <w:spacing w:before="40" w:after="40" w:line="240" w:lineRule="exac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14:paraId="1811C2E6">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40740E9">
            <w:pPr>
              <w:spacing w:line="240" w:lineRule="exact"/>
              <w:jc w:val="right"/>
              <w:rPr>
                <w:rFonts w:ascii="宋体" w:hAnsi="宋体" w:eastAsia="宋体" w:cs="宋体"/>
                <w:sz w:val="18"/>
                <w:szCs w:val="18"/>
              </w:rPr>
            </w:pPr>
          </w:p>
        </w:tc>
      </w:tr>
      <w:tr w14:paraId="7FE89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FBD2E93">
            <w:pPr>
              <w:spacing w:before="40" w:after="40" w:line="240" w:lineRule="exact"/>
              <w:rPr>
                <w:rFonts w:ascii="宋体" w:hAnsi="宋体" w:eastAsia="宋体" w:cs="宋体"/>
                <w:sz w:val="18"/>
                <w:szCs w:val="18"/>
              </w:rPr>
            </w:pPr>
            <w:r>
              <w:rPr>
                <w:rFonts w:ascii="宋体" w:hAnsi="宋体" w:eastAsia="宋体" w:cs="宋体"/>
                <w:sz w:val="18"/>
                <w:szCs w:val="18"/>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14:paraId="577CB385">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6353442">
            <w:pPr>
              <w:spacing w:line="240" w:lineRule="exact"/>
              <w:jc w:val="right"/>
              <w:rPr>
                <w:rFonts w:ascii="宋体" w:hAnsi="宋体" w:eastAsia="宋体" w:cs="宋体"/>
                <w:sz w:val="18"/>
                <w:szCs w:val="18"/>
              </w:rPr>
            </w:pPr>
          </w:p>
        </w:tc>
      </w:tr>
      <w:tr w14:paraId="1E593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9E7FA6">
            <w:pPr>
              <w:spacing w:before="40" w:after="40" w:line="240" w:lineRule="exac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14:paraId="5307923F">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C09C9BD">
            <w:pPr>
              <w:spacing w:line="240" w:lineRule="exact"/>
              <w:jc w:val="right"/>
              <w:rPr>
                <w:rFonts w:ascii="宋体" w:hAnsi="宋体" w:eastAsia="宋体" w:cs="宋体"/>
                <w:sz w:val="18"/>
                <w:szCs w:val="18"/>
              </w:rPr>
            </w:pPr>
          </w:p>
        </w:tc>
      </w:tr>
      <w:tr w14:paraId="1208F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205E56">
            <w:pPr>
              <w:spacing w:before="40" w:after="40" w:line="240" w:lineRule="exac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14:paraId="1717A532">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A19F38C">
            <w:pPr>
              <w:spacing w:line="240" w:lineRule="exact"/>
              <w:jc w:val="right"/>
              <w:rPr>
                <w:rFonts w:ascii="宋体" w:hAnsi="宋体" w:eastAsia="宋体" w:cs="宋体"/>
                <w:sz w:val="18"/>
                <w:szCs w:val="18"/>
              </w:rPr>
            </w:pPr>
          </w:p>
        </w:tc>
      </w:tr>
      <w:tr w14:paraId="0E991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44E0C4">
            <w:pPr>
              <w:spacing w:before="40" w:after="40" w:line="240" w:lineRule="exac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14:paraId="6A5C7BFD">
            <w:pPr>
              <w:spacing w:line="240" w:lineRule="exact"/>
              <w:jc w:val="right"/>
              <w:rPr>
                <w:rFonts w:ascii="宋体" w:hAnsi="宋体" w:eastAsia="宋体" w:cs="宋体"/>
                <w:sz w:val="18"/>
                <w:szCs w:val="18"/>
              </w:rPr>
            </w:pPr>
            <w:r>
              <w:rPr>
                <w:rFonts w:ascii="宋体" w:hAnsi="宋体" w:eastAsia="宋体" w:cs="宋体"/>
                <w:sz w:val="18"/>
                <w:szCs w:val="18"/>
              </w:rPr>
              <w:t>19,000,000.00</w:t>
            </w:r>
          </w:p>
        </w:tc>
        <w:tc>
          <w:tcPr>
            <w:tcW w:w="3213" w:type="dxa"/>
            <w:tcBorders>
              <w:top w:val="single" w:color="auto" w:sz="2" w:space="0"/>
              <w:left w:val="single" w:color="auto" w:sz="2" w:space="0"/>
              <w:bottom w:val="single" w:color="auto" w:sz="2" w:space="0"/>
              <w:right w:val="single" w:color="auto" w:sz="2" w:space="0"/>
            </w:tcBorders>
            <w:vAlign w:val="center"/>
          </w:tcPr>
          <w:p w14:paraId="0F0B05EB">
            <w:pPr>
              <w:spacing w:line="240" w:lineRule="exact"/>
              <w:jc w:val="right"/>
              <w:rPr>
                <w:rFonts w:ascii="宋体" w:hAnsi="宋体" w:eastAsia="宋体" w:cs="宋体"/>
                <w:sz w:val="18"/>
                <w:szCs w:val="18"/>
              </w:rPr>
            </w:pPr>
          </w:p>
        </w:tc>
      </w:tr>
      <w:tr w14:paraId="1409F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81FF3AC">
            <w:pPr>
              <w:spacing w:line="240" w:lineRule="exac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90A2E26">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F282E00">
            <w:pPr>
              <w:spacing w:line="240" w:lineRule="exact"/>
              <w:jc w:val="right"/>
              <w:rPr>
                <w:rFonts w:ascii="宋体" w:hAnsi="宋体" w:eastAsia="宋体" w:cs="宋体"/>
                <w:sz w:val="18"/>
                <w:szCs w:val="18"/>
              </w:rPr>
            </w:pPr>
          </w:p>
        </w:tc>
      </w:tr>
      <w:tr w14:paraId="03A9E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C23A60">
            <w:pPr>
              <w:spacing w:before="40" w:after="40" w:line="240" w:lineRule="exact"/>
              <w:rPr>
                <w:rFonts w:ascii="宋体" w:hAnsi="宋体" w:eastAsia="宋体" w:cs="宋体"/>
                <w:sz w:val="18"/>
                <w:szCs w:val="18"/>
              </w:rPr>
            </w:pPr>
            <w:r>
              <w:rPr>
                <w:rFonts w:ascii="宋体" w:hAnsi="宋体" w:eastAsia="宋体" w:cs="宋体"/>
                <w:sz w:val="18"/>
                <w:szCs w:val="18"/>
              </w:rPr>
              <w:t>负债：</w:t>
            </w:r>
          </w:p>
        </w:tc>
        <w:tc>
          <w:tcPr>
            <w:tcW w:w="3213" w:type="dxa"/>
            <w:tcBorders>
              <w:top w:val="single" w:color="auto" w:sz="2" w:space="0"/>
              <w:left w:val="single" w:color="auto" w:sz="2" w:space="0"/>
              <w:bottom w:val="single" w:color="auto" w:sz="2" w:space="0"/>
              <w:right w:val="single" w:color="auto" w:sz="2" w:space="0"/>
            </w:tcBorders>
            <w:vAlign w:val="center"/>
          </w:tcPr>
          <w:p w14:paraId="5A0DF554">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B4BBD3D">
            <w:pPr>
              <w:spacing w:line="240" w:lineRule="exact"/>
              <w:jc w:val="right"/>
              <w:rPr>
                <w:rFonts w:ascii="宋体" w:hAnsi="宋体" w:eastAsia="宋体" w:cs="宋体"/>
                <w:sz w:val="18"/>
                <w:szCs w:val="18"/>
              </w:rPr>
            </w:pPr>
          </w:p>
        </w:tc>
      </w:tr>
      <w:tr w14:paraId="3E909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229698">
            <w:pPr>
              <w:spacing w:before="40" w:after="40" w:line="240" w:lineRule="exact"/>
              <w:rPr>
                <w:rFonts w:ascii="宋体" w:hAnsi="宋体" w:eastAsia="宋体" w:cs="宋体"/>
                <w:sz w:val="18"/>
                <w:szCs w:val="18"/>
              </w:rPr>
            </w:pPr>
            <w:r>
              <w:rPr>
                <w:rFonts w:ascii="宋体" w:hAnsi="宋体" w:eastAsia="宋体" w:cs="宋体"/>
                <w:sz w:val="18"/>
                <w:szCs w:val="18"/>
              </w:rPr>
              <w:t>借款</w:t>
            </w:r>
          </w:p>
        </w:tc>
        <w:tc>
          <w:tcPr>
            <w:tcW w:w="3213" w:type="dxa"/>
            <w:tcBorders>
              <w:top w:val="single" w:color="auto" w:sz="2" w:space="0"/>
              <w:left w:val="single" w:color="auto" w:sz="2" w:space="0"/>
              <w:bottom w:val="single" w:color="auto" w:sz="2" w:space="0"/>
              <w:right w:val="single" w:color="auto" w:sz="2" w:space="0"/>
            </w:tcBorders>
            <w:vAlign w:val="center"/>
          </w:tcPr>
          <w:p w14:paraId="775E7C40">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A2F54AD">
            <w:pPr>
              <w:spacing w:line="240" w:lineRule="exact"/>
              <w:jc w:val="right"/>
              <w:rPr>
                <w:rFonts w:ascii="宋体" w:hAnsi="宋体" w:eastAsia="宋体" w:cs="宋体"/>
                <w:sz w:val="18"/>
                <w:szCs w:val="18"/>
              </w:rPr>
            </w:pPr>
          </w:p>
        </w:tc>
      </w:tr>
      <w:tr w14:paraId="04009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2CD318">
            <w:pPr>
              <w:spacing w:before="40" w:after="40" w:line="240" w:lineRule="exact"/>
              <w:rPr>
                <w:rFonts w:ascii="宋体" w:hAnsi="宋体" w:eastAsia="宋体" w:cs="宋体"/>
                <w:sz w:val="18"/>
                <w:szCs w:val="18"/>
              </w:rPr>
            </w:pPr>
            <w:r>
              <w:rPr>
                <w:rFonts w:ascii="宋体" w:hAnsi="宋体" w:eastAsia="宋体" w:cs="宋体"/>
                <w:sz w:val="18"/>
                <w:szCs w:val="18"/>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14:paraId="0C50461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75F23CF">
            <w:pPr>
              <w:spacing w:line="240" w:lineRule="exact"/>
              <w:jc w:val="right"/>
              <w:rPr>
                <w:rFonts w:ascii="宋体" w:hAnsi="宋体" w:eastAsia="宋体" w:cs="宋体"/>
                <w:sz w:val="18"/>
                <w:szCs w:val="18"/>
              </w:rPr>
            </w:pPr>
          </w:p>
        </w:tc>
      </w:tr>
      <w:tr w14:paraId="605DA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1148F69">
            <w:pPr>
              <w:spacing w:before="40" w:after="40" w:line="240" w:lineRule="exac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14:paraId="6C416C8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751506C">
            <w:pPr>
              <w:spacing w:line="240" w:lineRule="exact"/>
              <w:jc w:val="right"/>
              <w:rPr>
                <w:rFonts w:ascii="宋体" w:hAnsi="宋体" w:eastAsia="宋体" w:cs="宋体"/>
                <w:sz w:val="18"/>
                <w:szCs w:val="18"/>
              </w:rPr>
            </w:pPr>
          </w:p>
        </w:tc>
      </w:tr>
      <w:tr w14:paraId="32A84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397B985B">
            <w:pPr>
              <w:spacing w:line="240" w:lineRule="exac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EAF6EA6">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5EAA8AB">
            <w:pPr>
              <w:spacing w:line="240" w:lineRule="exact"/>
              <w:jc w:val="right"/>
              <w:rPr>
                <w:rFonts w:ascii="宋体" w:hAnsi="宋体" w:eastAsia="宋体" w:cs="宋体"/>
                <w:sz w:val="18"/>
                <w:szCs w:val="18"/>
              </w:rPr>
            </w:pPr>
          </w:p>
        </w:tc>
      </w:tr>
      <w:tr w14:paraId="4FB5F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0AE328E">
            <w:pPr>
              <w:spacing w:before="40" w:after="40" w:line="240" w:lineRule="exact"/>
              <w:rPr>
                <w:rFonts w:ascii="宋体" w:hAnsi="宋体" w:eastAsia="宋体" w:cs="宋体"/>
                <w:sz w:val="18"/>
                <w:szCs w:val="18"/>
              </w:rPr>
            </w:pPr>
            <w:r>
              <w:rPr>
                <w:rFonts w:ascii="宋体" w:hAnsi="宋体" w:eastAsia="宋体" w:cs="宋体"/>
                <w:sz w:val="18"/>
                <w:szCs w:val="18"/>
              </w:rPr>
              <w:t>净资产</w:t>
            </w:r>
          </w:p>
        </w:tc>
        <w:tc>
          <w:tcPr>
            <w:tcW w:w="3213" w:type="dxa"/>
            <w:tcBorders>
              <w:top w:val="single" w:color="auto" w:sz="2" w:space="0"/>
              <w:left w:val="single" w:color="auto" w:sz="2" w:space="0"/>
              <w:bottom w:val="single" w:color="auto" w:sz="2" w:space="0"/>
              <w:right w:val="single" w:color="auto" w:sz="2" w:space="0"/>
            </w:tcBorders>
            <w:vAlign w:val="center"/>
          </w:tcPr>
          <w:p w14:paraId="3B3609A4">
            <w:pPr>
              <w:spacing w:line="240" w:lineRule="exact"/>
              <w:jc w:val="right"/>
              <w:rPr>
                <w:rFonts w:ascii="宋体" w:hAnsi="宋体" w:eastAsia="宋体" w:cs="宋体"/>
                <w:sz w:val="18"/>
                <w:szCs w:val="18"/>
              </w:rPr>
            </w:pPr>
            <w:r>
              <w:rPr>
                <w:rFonts w:ascii="宋体" w:hAnsi="宋体" w:eastAsia="宋体" w:cs="宋体"/>
                <w:sz w:val="18"/>
                <w:szCs w:val="18"/>
              </w:rPr>
              <w:t>19,000,000.00</w:t>
            </w:r>
          </w:p>
        </w:tc>
        <w:tc>
          <w:tcPr>
            <w:tcW w:w="3213" w:type="dxa"/>
            <w:tcBorders>
              <w:top w:val="single" w:color="auto" w:sz="2" w:space="0"/>
              <w:left w:val="single" w:color="auto" w:sz="2" w:space="0"/>
              <w:bottom w:val="single" w:color="auto" w:sz="2" w:space="0"/>
              <w:right w:val="single" w:color="auto" w:sz="2" w:space="0"/>
            </w:tcBorders>
            <w:vAlign w:val="center"/>
          </w:tcPr>
          <w:p w14:paraId="06CF1C2A">
            <w:pPr>
              <w:spacing w:line="240" w:lineRule="exact"/>
              <w:jc w:val="right"/>
              <w:rPr>
                <w:rFonts w:ascii="宋体" w:hAnsi="宋体" w:eastAsia="宋体" w:cs="宋体"/>
                <w:sz w:val="18"/>
                <w:szCs w:val="18"/>
              </w:rPr>
            </w:pPr>
          </w:p>
        </w:tc>
      </w:tr>
      <w:tr w14:paraId="6986E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3B0F921">
            <w:pPr>
              <w:spacing w:before="40" w:after="40" w:line="240" w:lineRule="exact"/>
              <w:rPr>
                <w:rFonts w:ascii="宋体" w:hAnsi="宋体" w:eastAsia="宋体" w:cs="宋体"/>
                <w:sz w:val="18"/>
                <w:szCs w:val="18"/>
              </w:rPr>
            </w:pPr>
            <w:r>
              <w:rPr>
                <w:rFonts w:ascii="宋体" w:hAnsi="宋体" w:eastAsia="宋体" w:cs="宋体"/>
                <w:sz w:val="18"/>
                <w:szCs w:val="18"/>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14:paraId="68243851">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C918F0C">
            <w:pPr>
              <w:spacing w:line="240" w:lineRule="exact"/>
              <w:jc w:val="right"/>
              <w:rPr>
                <w:rFonts w:ascii="宋体" w:hAnsi="宋体" w:eastAsia="宋体" w:cs="宋体"/>
                <w:sz w:val="18"/>
                <w:szCs w:val="18"/>
              </w:rPr>
            </w:pPr>
          </w:p>
        </w:tc>
      </w:tr>
      <w:tr w14:paraId="43490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2E1778">
            <w:pPr>
              <w:spacing w:before="40" w:after="40" w:line="240" w:lineRule="exact"/>
              <w:rPr>
                <w:rFonts w:ascii="宋体" w:hAnsi="宋体" w:eastAsia="宋体" w:cs="宋体"/>
                <w:sz w:val="18"/>
                <w:szCs w:val="18"/>
              </w:rPr>
            </w:pPr>
            <w:r>
              <w:rPr>
                <w:rFonts w:ascii="宋体" w:hAnsi="宋体" w:eastAsia="宋体" w:cs="宋体"/>
                <w:sz w:val="18"/>
                <w:szCs w:val="18"/>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14:paraId="2E2C921C">
            <w:pPr>
              <w:spacing w:line="240" w:lineRule="exact"/>
              <w:jc w:val="right"/>
              <w:rPr>
                <w:rFonts w:ascii="宋体" w:hAnsi="宋体" w:eastAsia="宋体" w:cs="宋体"/>
                <w:sz w:val="18"/>
                <w:szCs w:val="18"/>
              </w:rPr>
            </w:pPr>
            <w:r>
              <w:rPr>
                <w:rFonts w:ascii="宋体" w:hAnsi="宋体" w:eastAsia="宋体" w:cs="宋体"/>
                <w:sz w:val="18"/>
                <w:szCs w:val="18"/>
              </w:rPr>
              <w:t>19,000,000.00</w:t>
            </w:r>
          </w:p>
        </w:tc>
        <w:tc>
          <w:tcPr>
            <w:tcW w:w="3213" w:type="dxa"/>
            <w:tcBorders>
              <w:top w:val="single" w:color="auto" w:sz="2" w:space="0"/>
              <w:left w:val="single" w:color="auto" w:sz="2" w:space="0"/>
              <w:bottom w:val="single" w:color="auto" w:sz="2" w:space="0"/>
              <w:right w:val="single" w:color="auto" w:sz="2" w:space="0"/>
            </w:tcBorders>
            <w:vAlign w:val="center"/>
          </w:tcPr>
          <w:p w14:paraId="3A43CB15">
            <w:pPr>
              <w:spacing w:line="240" w:lineRule="exact"/>
              <w:jc w:val="right"/>
              <w:rPr>
                <w:rFonts w:ascii="宋体" w:hAnsi="宋体" w:eastAsia="宋体" w:cs="宋体"/>
                <w:sz w:val="18"/>
                <w:szCs w:val="18"/>
              </w:rPr>
            </w:pPr>
          </w:p>
        </w:tc>
      </w:tr>
    </w:tbl>
    <w:p w14:paraId="655BEA7D">
      <w:pPr>
        <w:spacing w:before="100" w:after="100" w:line="240" w:lineRule="exact"/>
        <w:rPr>
          <w:rFonts w:ascii="宋体" w:hAnsi="宋体" w:eastAsia="宋体" w:cs="宋体"/>
          <w:sz w:val="18"/>
          <w:szCs w:val="18"/>
        </w:rPr>
      </w:pPr>
      <w:r>
        <w:rPr>
          <w:rFonts w:ascii="宋体" w:hAnsi="宋体" w:eastAsia="宋体" w:cs="宋体"/>
          <w:sz w:val="18"/>
          <w:szCs w:val="18"/>
        </w:rPr>
        <w:t>可辨认资产、负债公允价值的确定方法：无</w:t>
      </w:r>
    </w:p>
    <w:p w14:paraId="2F1A796A">
      <w:pPr>
        <w:spacing w:before="100" w:after="100" w:line="240" w:lineRule="exact"/>
        <w:rPr>
          <w:rFonts w:ascii="宋体" w:hAnsi="宋体" w:eastAsia="宋体" w:cs="宋体"/>
          <w:sz w:val="18"/>
          <w:szCs w:val="18"/>
        </w:rPr>
      </w:pPr>
      <w:r>
        <w:rPr>
          <w:rFonts w:ascii="宋体" w:hAnsi="宋体" w:eastAsia="宋体" w:cs="宋体"/>
          <w:sz w:val="18"/>
          <w:szCs w:val="18"/>
        </w:rPr>
        <w:t>企业合并中承担的被购买方的或有负债：无</w:t>
      </w:r>
    </w:p>
    <w:p w14:paraId="0206EA18">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6240913B">
      <w:pPr>
        <w:keepNext/>
        <w:keepLines/>
        <w:spacing w:before="300" w:after="300" w:line="280" w:lineRule="exact"/>
        <w:outlineLvl w:val="3"/>
        <w:rPr>
          <w:rFonts w:ascii="宋体" w:hAnsi="宋体" w:eastAsia="宋体" w:cs="宋体"/>
          <w:b/>
          <w:bCs/>
          <w:sz w:val="18"/>
          <w:szCs w:val="18"/>
        </w:rPr>
      </w:pPr>
      <w:bookmarkStart w:id="503" w:name="_Toc989358"/>
      <w:r>
        <w:rPr>
          <w:rFonts w:ascii="宋体" w:hAnsi="宋体" w:eastAsia="宋体" w:cs="宋体"/>
          <w:b/>
          <w:bCs/>
          <w:sz w:val="18"/>
          <w:szCs w:val="18"/>
        </w:rPr>
        <w:t>（4） 购买日之前持有的股权按照公允价值重新计量产生的利得或损失</w:t>
      </w:r>
      <w:bookmarkEnd w:id="503"/>
    </w:p>
    <w:p w14:paraId="33827D4A">
      <w:pPr>
        <w:spacing w:before="100" w:after="100" w:line="240" w:lineRule="exact"/>
        <w:rPr>
          <w:rFonts w:ascii="宋体" w:hAnsi="宋体" w:eastAsia="宋体" w:cs="宋体"/>
          <w:sz w:val="18"/>
          <w:szCs w:val="18"/>
        </w:rPr>
      </w:pPr>
      <w:r>
        <w:rPr>
          <w:rFonts w:ascii="宋体" w:hAnsi="宋体" w:eastAsia="宋体" w:cs="宋体"/>
          <w:sz w:val="18"/>
          <w:szCs w:val="18"/>
        </w:rPr>
        <w:t>是否存在通过多次交易分步实现企业合并且在报告期内取得控制权的交易</w:t>
      </w:r>
    </w:p>
    <w:p w14:paraId="0C4F8194">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07672F88">
      <w:pPr>
        <w:keepNext/>
        <w:keepLines/>
        <w:spacing w:before="300" w:after="300" w:line="280" w:lineRule="exact"/>
        <w:outlineLvl w:val="3"/>
        <w:rPr>
          <w:rFonts w:ascii="宋体" w:hAnsi="宋体" w:eastAsia="宋体" w:cs="宋体"/>
          <w:b/>
          <w:bCs/>
          <w:sz w:val="18"/>
          <w:szCs w:val="18"/>
        </w:rPr>
      </w:pPr>
      <w:bookmarkStart w:id="504" w:name="_Toc989359"/>
      <w:r>
        <w:rPr>
          <w:rFonts w:ascii="宋体" w:hAnsi="宋体" w:eastAsia="宋体" w:cs="宋体"/>
          <w:b/>
          <w:bCs/>
          <w:sz w:val="18"/>
          <w:szCs w:val="18"/>
        </w:rPr>
        <w:t>（5） 购买日或合并当期期末无法合理确定合并对价或被购买方可辨认资产、负债公允价值的相关说明</w:t>
      </w:r>
      <w:bookmarkEnd w:id="504"/>
    </w:p>
    <w:p w14:paraId="02CEB622">
      <w:pPr>
        <w:keepNext/>
        <w:keepLines/>
        <w:spacing w:before="300" w:after="300" w:line="280" w:lineRule="exact"/>
        <w:outlineLvl w:val="3"/>
        <w:rPr>
          <w:rFonts w:ascii="宋体" w:hAnsi="宋体" w:eastAsia="宋体" w:cs="宋体"/>
          <w:b/>
          <w:bCs/>
          <w:sz w:val="18"/>
          <w:szCs w:val="18"/>
        </w:rPr>
      </w:pPr>
      <w:bookmarkStart w:id="505" w:name="_Toc989360"/>
      <w:r>
        <w:rPr>
          <w:rFonts w:ascii="宋体" w:hAnsi="宋体" w:eastAsia="宋体" w:cs="宋体"/>
          <w:b/>
          <w:bCs/>
          <w:sz w:val="18"/>
          <w:szCs w:val="18"/>
        </w:rPr>
        <w:t>（6） 其他说明</w:t>
      </w:r>
      <w:bookmarkEnd w:id="505"/>
    </w:p>
    <w:p w14:paraId="49FBF586">
      <w:pPr>
        <w:pStyle w:val="3"/>
        <w:spacing w:line="280" w:lineRule="exact"/>
        <w:jc w:val="left"/>
        <w:rPr>
          <w:rFonts w:ascii="宋体" w:hAnsi="宋体" w:cs="宋体"/>
          <w:b/>
          <w:bCs/>
        </w:rPr>
      </w:pPr>
      <w:bookmarkStart w:id="506" w:name="_Toc989361"/>
      <w:r>
        <w:rPr>
          <w:rFonts w:ascii="宋体" w:hAnsi="宋体" w:cs="宋体"/>
          <w:b/>
          <w:bCs/>
        </w:rPr>
        <w:t>2、同一控制下企业合并</w:t>
      </w:r>
      <w:bookmarkEnd w:id="506"/>
    </w:p>
    <w:p w14:paraId="01E546A2">
      <w:pPr>
        <w:keepNext/>
        <w:keepLines/>
        <w:spacing w:before="300" w:after="300" w:line="280" w:lineRule="exact"/>
        <w:outlineLvl w:val="3"/>
        <w:rPr>
          <w:rFonts w:ascii="宋体" w:hAnsi="宋体" w:eastAsia="宋体" w:cs="宋体"/>
          <w:b/>
          <w:bCs/>
          <w:sz w:val="18"/>
          <w:szCs w:val="18"/>
        </w:rPr>
      </w:pPr>
      <w:bookmarkStart w:id="507" w:name="_Toc989362"/>
      <w:r>
        <w:rPr>
          <w:rFonts w:ascii="宋体" w:hAnsi="宋体" w:eastAsia="宋体" w:cs="宋体"/>
          <w:b/>
          <w:bCs/>
          <w:sz w:val="18"/>
          <w:szCs w:val="18"/>
        </w:rPr>
        <w:t>（1） 本期发生的同一控制下企业合并</w:t>
      </w:r>
      <w:bookmarkEnd w:id="507"/>
    </w:p>
    <w:p w14:paraId="369A27D6">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6372803D">
      <w:pPr>
        <w:rPr>
          <w:sz w:val="18"/>
          <w:szCs w:val="18"/>
        </w:rPr>
      </w:pPr>
    </w:p>
    <w:p w14:paraId="35CE304D">
      <w:pPr>
        <w:keepNext/>
        <w:keepLines/>
        <w:spacing w:before="300" w:after="300" w:line="280" w:lineRule="exact"/>
        <w:outlineLvl w:val="3"/>
        <w:rPr>
          <w:rFonts w:ascii="宋体" w:hAnsi="宋体" w:eastAsia="宋体" w:cs="宋体"/>
          <w:b/>
          <w:bCs/>
          <w:sz w:val="18"/>
          <w:szCs w:val="18"/>
        </w:rPr>
      </w:pPr>
      <w:bookmarkStart w:id="508" w:name="_Toc989363"/>
      <w:r>
        <w:rPr>
          <w:rFonts w:ascii="宋体" w:hAnsi="宋体" w:eastAsia="宋体" w:cs="宋体"/>
          <w:b/>
          <w:bCs/>
          <w:sz w:val="18"/>
          <w:szCs w:val="18"/>
        </w:rPr>
        <w:t>（2） 合并成本</w:t>
      </w:r>
      <w:bookmarkEnd w:id="508"/>
    </w:p>
    <w:p w14:paraId="4A0EB595">
      <w:pPr>
        <w:spacing w:before="100" w:after="100" w:line="240" w:lineRule="exact"/>
        <w:rPr>
          <w:rFonts w:ascii="宋体" w:hAnsi="宋体" w:eastAsia="宋体" w:cs="宋体"/>
          <w:sz w:val="18"/>
          <w:szCs w:val="18"/>
        </w:rPr>
      </w:pPr>
      <w:r>
        <w:rPr>
          <w:rFonts w:ascii="宋体" w:hAnsi="宋体" w:eastAsia="宋体" w:cs="宋体"/>
          <w:sz w:val="18"/>
          <w:szCs w:val="18"/>
        </w:rPr>
        <w:t>或有对价及其变动的说明：无</w:t>
      </w:r>
    </w:p>
    <w:p w14:paraId="789C09F1">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2D094BF6">
      <w:pPr>
        <w:keepNext/>
        <w:keepLines/>
        <w:spacing w:before="300" w:after="300" w:line="280" w:lineRule="exact"/>
        <w:outlineLvl w:val="3"/>
        <w:rPr>
          <w:rFonts w:ascii="宋体" w:hAnsi="宋体" w:eastAsia="宋体" w:cs="宋体"/>
          <w:b/>
          <w:bCs/>
          <w:sz w:val="18"/>
          <w:szCs w:val="18"/>
        </w:rPr>
      </w:pPr>
      <w:bookmarkStart w:id="509" w:name="_Toc989364"/>
      <w:r>
        <w:rPr>
          <w:rFonts w:ascii="宋体" w:hAnsi="宋体" w:eastAsia="宋体" w:cs="宋体"/>
          <w:b/>
          <w:bCs/>
          <w:sz w:val="18"/>
          <w:szCs w:val="18"/>
        </w:rPr>
        <w:t>（3） 合并日被合并方资产、负债的账面价值</w:t>
      </w:r>
      <w:bookmarkEnd w:id="509"/>
    </w:p>
    <w:p w14:paraId="3E46EBEB">
      <w:pPr>
        <w:spacing w:before="100" w:after="100" w:line="240" w:lineRule="exact"/>
        <w:rPr>
          <w:rFonts w:ascii="宋体" w:hAnsi="宋体" w:eastAsia="宋体" w:cs="宋体"/>
          <w:sz w:val="18"/>
          <w:szCs w:val="18"/>
        </w:rPr>
      </w:pPr>
      <w:r>
        <w:rPr>
          <w:rFonts w:ascii="宋体" w:hAnsi="宋体" w:eastAsia="宋体" w:cs="宋体"/>
          <w:sz w:val="18"/>
          <w:szCs w:val="18"/>
        </w:rPr>
        <w:t>企业合并中承担的被合并方的或有负债：</w:t>
      </w:r>
      <w:r>
        <w:rPr>
          <w:sz w:val="18"/>
          <w:szCs w:val="18"/>
        </w:rPr>
        <w:t>无</w:t>
      </w:r>
    </w:p>
    <w:p w14:paraId="6BB99B77">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sz w:val="18"/>
          <w:szCs w:val="18"/>
        </w:rPr>
        <w:t>无</w:t>
      </w:r>
    </w:p>
    <w:p w14:paraId="5E998737">
      <w:pPr>
        <w:pStyle w:val="3"/>
        <w:spacing w:line="280" w:lineRule="exact"/>
        <w:jc w:val="left"/>
        <w:rPr>
          <w:rFonts w:ascii="宋体" w:hAnsi="宋体" w:cs="宋体"/>
          <w:b/>
          <w:bCs/>
        </w:rPr>
      </w:pPr>
      <w:bookmarkStart w:id="510" w:name="_Toc989365"/>
      <w:r>
        <w:rPr>
          <w:rFonts w:ascii="宋体" w:hAnsi="宋体" w:cs="宋体"/>
          <w:b/>
          <w:bCs/>
        </w:rPr>
        <w:t>3、反向购买</w:t>
      </w:r>
      <w:bookmarkEnd w:id="510"/>
    </w:p>
    <w:p w14:paraId="0C711BF4">
      <w:pPr>
        <w:spacing w:before="100" w:after="100" w:line="240" w:lineRule="exact"/>
        <w:rPr>
          <w:rFonts w:ascii="宋体" w:hAnsi="宋体" w:eastAsia="宋体" w:cs="宋体"/>
          <w:sz w:val="18"/>
          <w:szCs w:val="18"/>
        </w:rPr>
      </w:pPr>
      <w:r>
        <w:rPr>
          <w:rFonts w:ascii="宋体" w:hAnsi="宋体" w:eastAsia="宋体" w:cs="宋体"/>
          <w:sz w:val="18"/>
          <w:szCs w:val="18"/>
        </w:rPr>
        <w:t>交易基本信息、交易构成反向购买的依据、上市公司保留的资产、负债是否构成业务及其依据、合并成本的确定、按照权益性交易处理时调整权益的金额及其计算：</w:t>
      </w:r>
    </w:p>
    <w:p w14:paraId="56F8C32D">
      <w:pPr>
        <w:pStyle w:val="3"/>
        <w:spacing w:line="280" w:lineRule="exact"/>
        <w:jc w:val="left"/>
        <w:rPr>
          <w:rFonts w:ascii="宋体" w:hAnsi="宋体" w:cs="宋体"/>
          <w:b/>
          <w:bCs/>
        </w:rPr>
      </w:pPr>
      <w:bookmarkStart w:id="511" w:name="_Toc989366"/>
      <w:r>
        <w:rPr>
          <w:rFonts w:ascii="宋体" w:hAnsi="宋体" w:cs="宋体"/>
          <w:b/>
          <w:bCs/>
        </w:rPr>
        <w:t>4、处置子公司</w:t>
      </w:r>
      <w:bookmarkEnd w:id="511"/>
    </w:p>
    <w:p w14:paraId="1B65A4A3">
      <w:pPr>
        <w:spacing w:before="100" w:after="100" w:line="240" w:lineRule="exact"/>
        <w:rPr>
          <w:rFonts w:ascii="宋体" w:hAnsi="宋体" w:eastAsia="宋体" w:cs="宋体"/>
          <w:sz w:val="18"/>
          <w:szCs w:val="18"/>
        </w:rPr>
      </w:pPr>
      <w:r>
        <w:rPr>
          <w:rFonts w:ascii="宋体" w:hAnsi="宋体" w:eastAsia="宋体" w:cs="宋体"/>
          <w:sz w:val="18"/>
          <w:szCs w:val="18"/>
        </w:rPr>
        <w:t>本期是否存在丧失子公司控制权的交易或事项</w:t>
      </w:r>
    </w:p>
    <w:p w14:paraId="68D3EB6D">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09AEEB1B">
      <w:pPr>
        <w:spacing w:before="100" w:after="100" w:line="240" w:lineRule="exact"/>
        <w:rPr>
          <w:rFonts w:ascii="宋体" w:hAnsi="宋体" w:eastAsia="宋体" w:cs="宋体"/>
          <w:sz w:val="18"/>
          <w:szCs w:val="18"/>
        </w:rPr>
      </w:pPr>
      <w:r>
        <w:rPr>
          <w:rFonts w:ascii="宋体" w:hAnsi="宋体" w:eastAsia="宋体" w:cs="宋体"/>
          <w:sz w:val="18"/>
          <w:szCs w:val="18"/>
        </w:rPr>
        <w:t>是否存在通过多次交易分步处置对子公司投资且在本期丧失控制权的情形</w:t>
      </w:r>
    </w:p>
    <w:p w14:paraId="6BE9DC7B">
      <w:pPr>
        <w:spacing w:before="100" w:after="100" w:line="240" w:lineRule="exac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6A4651AA">
      <w:pPr>
        <w:pStyle w:val="3"/>
        <w:spacing w:line="280" w:lineRule="exact"/>
        <w:jc w:val="left"/>
        <w:rPr>
          <w:rFonts w:ascii="宋体" w:hAnsi="宋体" w:cs="宋体"/>
          <w:b/>
          <w:bCs/>
        </w:rPr>
      </w:pPr>
      <w:bookmarkStart w:id="512" w:name="_Toc989367"/>
      <w:r>
        <w:rPr>
          <w:rFonts w:ascii="宋体" w:hAnsi="宋体" w:cs="宋体"/>
          <w:b/>
          <w:bCs/>
        </w:rPr>
        <w:t>5、其他原因的合并范围变动</w:t>
      </w:r>
      <w:bookmarkEnd w:id="512"/>
    </w:p>
    <w:p w14:paraId="75449CDA">
      <w:pPr>
        <w:spacing w:before="100" w:after="100" w:line="240" w:lineRule="exact"/>
        <w:rPr>
          <w:rFonts w:ascii="宋体" w:hAnsi="宋体" w:eastAsia="宋体" w:cs="宋体"/>
          <w:sz w:val="18"/>
          <w:szCs w:val="18"/>
        </w:rPr>
      </w:pPr>
      <w:r>
        <w:rPr>
          <w:rFonts w:ascii="宋体" w:hAnsi="宋体" w:eastAsia="宋体" w:cs="宋体"/>
          <w:sz w:val="18"/>
          <w:szCs w:val="18"/>
        </w:rPr>
        <w:t>说明其他原因导致的合并范围变动（如，新设子公司、清算子公司等）及其相关情况：</w:t>
      </w:r>
    </w:p>
    <w:p w14:paraId="2A546444">
      <w:pPr>
        <w:pStyle w:val="3"/>
        <w:spacing w:line="280" w:lineRule="exact"/>
        <w:jc w:val="left"/>
        <w:rPr>
          <w:rFonts w:ascii="宋体" w:hAnsi="宋体" w:cs="宋体"/>
          <w:b/>
          <w:bCs/>
        </w:rPr>
      </w:pPr>
      <w:bookmarkStart w:id="513" w:name="_Toc989368"/>
      <w:r>
        <w:rPr>
          <w:rFonts w:ascii="宋体" w:hAnsi="宋体" w:cs="宋体"/>
          <w:b/>
          <w:bCs/>
        </w:rPr>
        <w:t>6、其他</w:t>
      </w:r>
      <w:bookmarkEnd w:id="513"/>
    </w:p>
    <w:p w14:paraId="206169AD">
      <w:pPr>
        <w:pStyle w:val="2"/>
        <w:spacing w:before="300" w:after="300" w:line="320" w:lineRule="exact"/>
        <w:rPr>
          <w:rFonts w:ascii="宋体" w:hAnsi="宋体" w:eastAsia="宋体" w:cs="宋体"/>
          <w:b/>
          <w:bCs/>
          <w:sz w:val="24"/>
          <w:szCs w:val="24"/>
        </w:rPr>
      </w:pPr>
      <w:bookmarkStart w:id="514" w:name="_Toc989369"/>
      <w:r>
        <w:rPr>
          <w:rFonts w:ascii="宋体" w:hAnsi="宋体" w:eastAsia="宋体" w:cs="宋体"/>
          <w:b/>
          <w:bCs/>
          <w:sz w:val="24"/>
          <w:szCs w:val="24"/>
        </w:rPr>
        <w:t>十、在其他主体中的权益</w:t>
      </w:r>
      <w:bookmarkEnd w:id="514"/>
    </w:p>
    <w:p w14:paraId="0C5EF412">
      <w:pPr>
        <w:pStyle w:val="3"/>
        <w:spacing w:line="280" w:lineRule="exact"/>
        <w:jc w:val="left"/>
        <w:rPr>
          <w:rFonts w:ascii="宋体" w:hAnsi="宋体" w:cs="宋体"/>
          <w:b/>
          <w:bCs/>
        </w:rPr>
      </w:pPr>
      <w:bookmarkStart w:id="515" w:name="_Toc989370"/>
      <w:r>
        <w:rPr>
          <w:rFonts w:ascii="宋体" w:hAnsi="宋体" w:cs="宋体"/>
          <w:b/>
          <w:bCs/>
        </w:rPr>
        <w:t>1、在子公司中的权益</w:t>
      </w:r>
      <w:bookmarkEnd w:id="515"/>
    </w:p>
    <w:p w14:paraId="120BEC6C">
      <w:pPr>
        <w:keepNext/>
        <w:keepLines/>
        <w:spacing w:before="300" w:after="300" w:line="280" w:lineRule="exact"/>
        <w:outlineLvl w:val="3"/>
        <w:rPr>
          <w:rFonts w:ascii="宋体" w:hAnsi="宋体" w:eastAsia="宋体" w:cs="宋体"/>
          <w:b/>
          <w:bCs/>
          <w:sz w:val="18"/>
          <w:szCs w:val="18"/>
        </w:rPr>
      </w:pPr>
      <w:bookmarkStart w:id="516" w:name="_Toc989371"/>
      <w:r>
        <w:rPr>
          <w:rFonts w:ascii="宋体" w:hAnsi="宋体" w:eastAsia="宋体" w:cs="宋体"/>
          <w:b/>
          <w:bCs/>
          <w:sz w:val="18"/>
          <w:szCs w:val="18"/>
        </w:rPr>
        <w:t>（1） 企业集团的构成</w:t>
      </w:r>
      <w:bookmarkEnd w:id="516"/>
    </w:p>
    <w:p w14:paraId="2D2382F3">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14:paraId="1247F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1BDCC02">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32F790E">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7FF01C1">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735F6A7">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0CF789F">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7B2CC37">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ED7D572">
            <w:pPr>
              <w:spacing w:before="40" w:after="40" w:line="240" w:lineRule="exact"/>
              <w:jc w:val="center"/>
              <w:rPr>
                <w:rFonts w:ascii="宋体" w:hAnsi="宋体" w:eastAsia="宋体" w:cs="宋体"/>
                <w:sz w:val="18"/>
                <w:szCs w:val="18"/>
              </w:rPr>
            </w:pPr>
            <w:r>
              <w:rPr>
                <w:rFonts w:ascii="宋体" w:hAnsi="宋体" w:eastAsia="宋体" w:cs="宋体"/>
                <w:sz w:val="18"/>
                <w:szCs w:val="18"/>
              </w:rPr>
              <w:t>取得方式</w:t>
            </w:r>
          </w:p>
        </w:tc>
      </w:tr>
      <w:tr w14:paraId="20EB0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34B15F5"/>
        </w:tc>
        <w:tc>
          <w:tcPr>
            <w:tcW w:w="1205" w:type="dxa"/>
            <w:vMerge w:val="continue"/>
            <w:tcBorders>
              <w:top w:val="single" w:color="auto" w:sz="2" w:space="0"/>
              <w:left w:val="single" w:color="auto" w:sz="2" w:space="0"/>
              <w:bottom w:val="single" w:color="auto" w:sz="2" w:space="0"/>
              <w:right w:val="single" w:color="auto" w:sz="2" w:space="0"/>
            </w:tcBorders>
            <w:vAlign w:val="center"/>
          </w:tcPr>
          <w:p w14:paraId="77ACBCB4"/>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A10C14B"/>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A38A64B"/>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E48A47D"/>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8239797">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98B1A10">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9501DF0"/>
        </w:tc>
      </w:tr>
      <w:tr w14:paraId="4D013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E42DC20">
            <w:pPr>
              <w:spacing w:line="240" w:lineRule="exact"/>
              <w:rPr>
                <w:rFonts w:ascii="宋体" w:hAnsi="宋体" w:eastAsia="宋体" w:cs="宋体"/>
                <w:sz w:val="18"/>
                <w:szCs w:val="18"/>
              </w:rPr>
            </w:pPr>
            <w:r>
              <w:rPr>
                <w:rFonts w:ascii="宋体" w:hAnsi="宋体" w:eastAsia="宋体" w:cs="宋体"/>
                <w:sz w:val="18"/>
                <w:szCs w:val="18"/>
              </w:rPr>
              <w:t>香港华孚有限公司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3439902">
            <w:pPr>
              <w:spacing w:line="240" w:lineRule="exact"/>
              <w:jc w:val="right"/>
              <w:rPr>
                <w:rFonts w:ascii="宋体" w:hAnsi="宋体" w:eastAsia="宋体" w:cs="宋体"/>
                <w:sz w:val="18"/>
                <w:szCs w:val="18"/>
              </w:rPr>
            </w:pPr>
            <w:r>
              <w:rPr>
                <w:rFonts w:ascii="宋体" w:hAnsi="宋体" w:eastAsia="宋体" w:cs="宋体"/>
                <w:sz w:val="18"/>
                <w:szCs w:val="18"/>
              </w:rPr>
              <w:t>887,849,696.34</w:t>
            </w:r>
          </w:p>
        </w:tc>
        <w:tc>
          <w:tcPr>
            <w:tcW w:w="1205" w:type="dxa"/>
            <w:tcBorders>
              <w:top w:val="single" w:color="auto" w:sz="2" w:space="0"/>
              <w:left w:val="single" w:color="auto" w:sz="2" w:space="0"/>
              <w:bottom w:val="single" w:color="auto" w:sz="2" w:space="0"/>
              <w:right w:val="single" w:color="auto" w:sz="2" w:space="0"/>
            </w:tcBorders>
            <w:vAlign w:val="center"/>
          </w:tcPr>
          <w:p w14:paraId="42496EA6">
            <w:pPr>
              <w:spacing w:line="240" w:lineRule="exact"/>
              <w:rPr>
                <w:rFonts w:ascii="宋体" w:hAnsi="宋体" w:eastAsia="宋体" w:cs="宋体"/>
                <w:sz w:val="18"/>
                <w:szCs w:val="18"/>
              </w:rPr>
            </w:pPr>
            <w:r>
              <w:rPr>
                <w:rFonts w:ascii="宋体" w:hAnsi="宋体" w:eastAsia="宋体" w:cs="宋体"/>
                <w:sz w:val="18"/>
                <w:szCs w:val="18"/>
              </w:rPr>
              <w:t>香港</w:t>
            </w:r>
          </w:p>
        </w:tc>
        <w:tc>
          <w:tcPr>
            <w:tcW w:w="1205" w:type="dxa"/>
            <w:tcBorders>
              <w:top w:val="single" w:color="auto" w:sz="2" w:space="0"/>
              <w:left w:val="single" w:color="auto" w:sz="2" w:space="0"/>
              <w:bottom w:val="single" w:color="auto" w:sz="2" w:space="0"/>
              <w:right w:val="single" w:color="auto" w:sz="2" w:space="0"/>
            </w:tcBorders>
            <w:vAlign w:val="center"/>
          </w:tcPr>
          <w:p w14:paraId="4906A66C">
            <w:pPr>
              <w:spacing w:line="240" w:lineRule="exact"/>
              <w:rPr>
                <w:rFonts w:ascii="宋体" w:hAnsi="宋体" w:eastAsia="宋体" w:cs="宋体"/>
                <w:sz w:val="18"/>
                <w:szCs w:val="18"/>
              </w:rPr>
            </w:pPr>
            <w:r>
              <w:rPr>
                <w:rFonts w:ascii="宋体" w:hAnsi="宋体" w:eastAsia="宋体" w:cs="宋体"/>
                <w:sz w:val="18"/>
                <w:szCs w:val="18"/>
              </w:rPr>
              <w:t>香港</w:t>
            </w:r>
          </w:p>
        </w:tc>
        <w:tc>
          <w:tcPr>
            <w:tcW w:w="1205" w:type="dxa"/>
            <w:tcBorders>
              <w:top w:val="single" w:color="auto" w:sz="2" w:space="0"/>
              <w:left w:val="single" w:color="auto" w:sz="2" w:space="0"/>
              <w:bottom w:val="single" w:color="auto" w:sz="2" w:space="0"/>
              <w:right w:val="single" w:color="auto" w:sz="2" w:space="0"/>
            </w:tcBorders>
            <w:vAlign w:val="center"/>
          </w:tcPr>
          <w:p w14:paraId="3F630DFB">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34707E64">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9355F3F">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23DC0C85">
            <w:pPr>
              <w:spacing w:line="240" w:lineRule="exact"/>
              <w:rPr>
                <w:rFonts w:ascii="宋体" w:hAnsi="宋体" w:eastAsia="宋体" w:cs="宋体"/>
                <w:sz w:val="18"/>
                <w:szCs w:val="18"/>
              </w:rPr>
            </w:pPr>
            <w:r>
              <w:rPr>
                <w:rFonts w:ascii="宋体" w:hAnsi="宋体" w:eastAsia="宋体" w:cs="宋体"/>
                <w:sz w:val="18"/>
                <w:szCs w:val="18"/>
              </w:rPr>
              <w:t>同一控制下企业合并</w:t>
            </w:r>
          </w:p>
        </w:tc>
      </w:tr>
      <w:tr w14:paraId="595B6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8A18F1F">
            <w:pPr>
              <w:spacing w:line="240" w:lineRule="exact"/>
              <w:rPr>
                <w:rFonts w:ascii="宋体" w:hAnsi="宋体" w:eastAsia="宋体" w:cs="宋体"/>
                <w:sz w:val="18"/>
                <w:szCs w:val="18"/>
              </w:rPr>
            </w:pPr>
            <w:r>
              <w:rPr>
                <w:rFonts w:ascii="宋体" w:hAnsi="宋体" w:eastAsia="宋体" w:cs="宋体"/>
                <w:sz w:val="18"/>
                <w:szCs w:val="18"/>
              </w:rPr>
              <w:t>香港天成贸易有限公司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63911B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D611EA0">
            <w:pPr>
              <w:spacing w:line="240" w:lineRule="exact"/>
              <w:rPr>
                <w:rFonts w:ascii="宋体" w:hAnsi="宋体" w:eastAsia="宋体" w:cs="宋体"/>
                <w:sz w:val="18"/>
                <w:szCs w:val="18"/>
              </w:rPr>
            </w:pPr>
            <w:r>
              <w:rPr>
                <w:rFonts w:ascii="宋体" w:hAnsi="宋体" w:eastAsia="宋体" w:cs="宋体"/>
                <w:sz w:val="18"/>
                <w:szCs w:val="18"/>
              </w:rPr>
              <w:t>香港</w:t>
            </w:r>
          </w:p>
        </w:tc>
        <w:tc>
          <w:tcPr>
            <w:tcW w:w="1205" w:type="dxa"/>
            <w:tcBorders>
              <w:top w:val="single" w:color="auto" w:sz="2" w:space="0"/>
              <w:left w:val="single" w:color="auto" w:sz="2" w:space="0"/>
              <w:bottom w:val="single" w:color="auto" w:sz="2" w:space="0"/>
              <w:right w:val="single" w:color="auto" w:sz="2" w:space="0"/>
            </w:tcBorders>
            <w:vAlign w:val="center"/>
          </w:tcPr>
          <w:p w14:paraId="6808BCAF">
            <w:pPr>
              <w:spacing w:line="240" w:lineRule="exact"/>
              <w:rPr>
                <w:rFonts w:ascii="宋体" w:hAnsi="宋体" w:eastAsia="宋体" w:cs="宋体"/>
                <w:sz w:val="18"/>
                <w:szCs w:val="18"/>
              </w:rPr>
            </w:pPr>
            <w:r>
              <w:rPr>
                <w:rFonts w:ascii="宋体" w:hAnsi="宋体" w:eastAsia="宋体" w:cs="宋体"/>
                <w:sz w:val="18"/>
                <w:szCs w:val="18"/>
              </w:rPr>
              <w:t>香港</w:t>
            </w:r>
          </w:p>
        </w:tc>
        <w:tc>
          <w:tcPr>
            <w:tcW w:w="1205" w:type="dxa"/>
            <w:tcBorders>
              <w:top w:val="single" w:color="auto" w:sz="2" w:space="0"/>
              <w:left w:val="single" w:color="auto" w:sz="2" w:space="0"/>
              <w:bottom w:val="single" w:color="auto" w:sz="2" w:space="0"/>
              <w:right w:val="single" w:color="auto" w:sz="2" w:space="0"/>
            </w:tcBorders>
            <w:vAlign w:val="center"/>
          </w:tcPr>
          <w:p w14:paraId="3B4B0E6C">
            <w:pPr>
              <w:spacing w:line="240" w:lineRule="exact"/>
              <w:rPr>
                <w:rFonts w:ascii="宋体" w:hAnsi="宋体" w:eastAsia="宋体" w:cs="宋体"/>
                <w:sz w:val="18"/>
                <w:szCs w:val="18"/>
              </w:rPr>
            </w:pPr>
            <w:r>
              <w:rPr>
                <w:rFonts w:ascii="宋体" w:hAnsi="宋体" w:eastAsia="宋体" w:cs="宋体"/>
                <w:sz w:val="18"/>
                <w:szCs w:val="18"/>
              </w:rPr>
              <w:t>投资管理</w:t>
            </w:r>
          </w:p>
        </w:tc>
        <w:tc>
          <w:tcPr>
            <w:tcW w:w="1205" w:type="dxa"/>
            <w:tcBorders>
              <w:top w:val="single" w:color="auto" w:sz="2" w:space="0"/>
              <w:left w:val="single" w:color="auto" w:sz="2" w:space="0"/>
              <w:bottom w:val="single" w:color="auto" w:sz="2" w:space="0"/>
              <w:right w:val="single" w:color="auto" w:sz="2" w:space="0"/>
            </w:tcBorders>
            <w:vAlign w:val="center"/>
          </w:tcPr>
          <w:p w14:paraId="0AF0B77D">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3CF38E7">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5468F164">
            <w:pPr>
              <w:spacing w:line="240" w:lineRule="exact"/>
              <w:rPr>
                <w:rFonts w:ascii="宋体" w:hAnsi="宋体" w:eastAsia="宋体" w:cs="宋体"/>
                <w:sz w:val="18"/>
                <w:szCs w:val="18"/>
              </w:rPr>
            </w:pPr>
            <w:r>
              <w:rPr>
                <w:rFonts w:ascii="宋体" w:hAnsi="宋体" w:eastAsia="宋体" w:cs="宋体"/>
                <w:sz w:val="18"/>
                <w:szCs w:val="18"/>
              </w:rPr>
              <w:t>非同一控制下企业合并</w:t>
            </w:r>
          </w:p>
        </w:tc>
      </w:tr>
      <w:tr w14:paraId="15F59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4C92C5C">
            <w:pPr>
              <w:spacing w:line="240" w:lineRule="exact"/>
              <w:rPr>
                <w:rFonts w:ascii="宋体" w:hAnsi="宋体" w:eastAsia="宋体" w:cs="宋体"/>
                <w:sz w:val="18"/>
                <w:szCs w:val="18"/>
              </w:rPr>
            </w:pPr>
            <w:r>
              <w:rPr>
                <w:rFonts w:ascii="宋体" w:hAnsi="宋体" w:eastAsia="宋体" w:cs="宋体"/>
                <w:sz w:val="18"/>
                <w:szCs w:val="18"/>
              </w:rPr>
              <w:t>越南隆安英鸿投资股份有限公司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A4A45ED">
            <w:pPr>
              <w:spacing w:line="240" w:lineRule="exact"/>
              <w:jc w:val="right"/>
              <w:rPr>
                <w:rFonts w:ascii="宋体" w:hAnsi="宋体" w:eastAsia="宋体" w:cs="宋体"/>
                <w:sz w:val="18"/>
                <w:szCs w:val="18"/>
              </w:rPr>
            </w:pPr>
            <w:r>
              <w:rPr>
                <w:rFonts w:ascii="宋体" w:hAnsi="宋体" w:eastAsia="宋体" w:cs="宋体"/>
                <w:sz w:val="18"/>
                <w:szCs w:val="18"/>
              </w:rPr>
              <w:t>88,200,000.00</w:t>
            </w:r>
          </w:p>
        </w:tc>
        <w:tc>
          <w:tcPr>
            <w:tcW w:w="1205" w:type="dxa"/>
            <w:tcBorders>
              <w:top w:val="single" w:color="auto" w:sz="2" w:space="0"/>
              <w:left w:val="single" w:color="auto" w:sz="2" w:space="0"/>
              <w:bottom w:val="single" w:color="auto" w:sz="2" w:space="0"/>
              <w:right w:val="single" w:color="auto" w:sz="2" w:space="0"/>
            </w:tcBorders>
            <w:vAlign w:val="center"/>
          </w:tcPr>
          <w:p w14:paraId="0D549C97">
            <w:pPr>
              <w:spacing w:line="240" w:lineRule="exact"/>
              <w:rPr>
                <w:rFonts w:ascii="宋体" w:hAnsi="宋体" w:eastAsia="宋体" w:cs="宋体"/>
                <w:sz w:val="18"/>
                <w:szCs w:val="18"/>
              </w:rPr>
            </w:pPr>
            <w:r>
              <w:rPr>
                <w:rFonts w:ascii="宋体" w:hAnsi="宋体" w:eastAsia="宋体" w:cs="宋体"/>
                <w:sz w:val="18"/>
                <w:szCs w:val="18"/>
              </w:rPr>
              <w:t>越南</w:t>
            </w:r>
          </w:p>
        </w:tc>
        <w:tc>
          <w:tcPr>
            <w:tcW w:w="1205" w:type="dxa"/>
            <w:tcBorders>
              <w:top w:val="single" w:color="auto" w:sz="2" w:space="0"/>
              <w:left w:val="single" w:color="auto" w:sz="2" w:space="0"/>
              <w:bottom w:val="single" w:color="auto" w:sz="2" w:space="0"/>
              <w:right w:val="single" w:color="auto" w:sz="2" w:space="0"/>
            </w:tcBorders>
            <w:vAlign w:val="center"/>
          </w:tcPr>
          <w:p w14:paraId="649EF5D5">
            <w:pPr>
              <w:spacing w:line="240" w:lineRule="exact"/>
              <w:rPr>
                <w:rFonts w:ascii="宋体" w:hAnsi="宋体" w:eastAsia="宋体" w:cs="宋体"/>
                <w:sz w:val="18"/>
                <w:szCs w:val="18"/>
              </w:rPr>
            </w:pPr>
            <w:r>
              <w:rPr>
                <w:rFonts w:ascii="宋体" w:hAnsi="宋体" w:eastAsia="宋体" w:cs="宋体"/>
                <w:sz w:val="18"/>
                <w:szCs w:val="18"/>
              </w:rPr>
              <w:t>越南</w:t>
            </w:r>
          </w:p>
        </w:tc>
        <w:tc>
          <w:tcPr>
            <w:tcW w:w="1205" w:type="dxa"/>
            <w:tcBorders>
              <w:top w:val="single" w:color="auto" w:sz="2" w:space="0"/>
              <w:left w:val="single" w:color="auto" w:sz="2" w:space="0"/>
              <w:bottom w:val="single" w:color="auto" w:sz="2" w:space="0"/>
              <w:right w:val="single" w:color="auto" w:sz="2" w:space="0"/>
            </w:tcBorders>
            <w:vAlign w:val="center"/>
          </w:tcPr>
          <w:p w14:paraId="061686A5">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762AE66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987945D">
            <w:pPr>
              <w:spacing w:line="240" w:lineRule="exact"/>
              <w:jc w:val="right"/>
              <w:rPr>
                <w:rFonts w:ascii="宋体" w:hAnsi="宋体" w:eastAsia="宋体" w:cs="宋体"/>
                <w:sz w:val="18"/>
                <w:szCs w:val="18"/>
              </w:rPr>
            </w:pPr>
            <w:r>
              <w:rPr>
                <w:rFonts w:ascii="宋体" w:hAnsi="宋体" w:eastAsia="宋体" w:cs="宋体"/>
                <w:sz w:val="18"/>
                <w:szCs w:val="18"/>
              </w:rPr>
              <w:t>90.00%</w:t>
            </w:r>
          </w:p>
        </w:tc>
        <w:tc>
          <w:tcPr>
            <w:tcW w:w="1205" w:type="dxa"/>
            <w:tcBorders>
              <w:top w:val="single" w:color="auto" w:sz="2" w:space="0"/>
              <w:left w:val="single" w:color="auto" w:sz="2" w:space="0"/>
              <w:bottom w:val="single" w:color="auto" w:sz="2" w:space="0"/>
              <w:right w:val="single" w:color="auto" w:sz="2" w:space="0"/>
            </w:tcBorders>
            <w:vAlign w:val="center"/>
          </w:tcPr>
          <w:p w14:paraId="00B7C6FD">
            <w:pPr>
              <w:spacing w:line="240" w:lineRule="exact"/>
              <w:rPr>
                <w:rFonts w:ascii="宋体" w:hAnsi="宋体" w:eastAsia="宋体" w:cs="宋体"/>
                <w:sz w:val="18"/>
                <w:szCs w:val="18"/>
              </w:rPr>
            </w:pPr>
            <w:r>
              <w:rPr>
                <w:rFonts w:ascii="宋体" w:hAnsi="宋体" w:eastAsia="宋体" w:cs="宋体"/>
                <w:sz w:val="18"/>
                <w:szCs w:val="18"/>
              </w:rPr>
              <w:t>非同控合并</w:t>
            </w:r>
          </w:p>
        </w:tc>
      </w:tr>
      <w:tr w14:paraId="7D9AD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81A2F7C">
            <w:pPr>
              <w:spacing w:line="240" w:lineRule="exact"/>
              <w:rPr>
                <w:rFonts w:ascii="宋体" w:hAnsi="宋体" w:eastAsia="宋体" w:cs="宋体"/>
                <w:sz w:val="18"/>
                <w:szCs w:val="18"/>
              </w:rPr>
            </w:pPr>
            <w:r>
              <w:rPr>
                <w:rFonts w:ascii="宋体" w:hAnsi="宋体" w:eastAsia="宋体" w:cs="宋体"/>
                <w:sz w:val="18"/>
                <w:szCs w:val="18"/>
              </w:rPr>
              <w:t>新加坡耀佳国际贸易有限公司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910DDEA">
            <w:pPr>
              <w:spacing w:line="240" w:lineRule="exact"/>
              <w:jc w:val="right"/>
              <w:rPr>
                <w:rFonts w:ascii="宋体" w:hAnsi="宋体" w:eastAsia="宋体" w:cs="宋体"/>
                <w:sz w:val="18"/>
                <w:szCs w:val="18"/>
              </w:rPr>
            </w:pPr>
            <w:r>
              <w:rPr>
                <w:rFonts w:ascii="宋体" w:hAnsi="宋体" w:eastAsia="宋体" w:cs="宋体"/>
                <w:sz w:val="18"/>
                <w:szCs w:val="18"/>
              </w:rPr>
              <w:t>4,722,789.00</w:t>
            </w:r>
          </w:p>
        </w:tc>
        <w:tc>
          <w:tcPr>
            <w:tcW w:w="1205" w:type="dxa"/>
            <w:tcBorders>
              <w:top w:val="single" w:color="auto" w:sz="2" w:space="0"/>
              <w:left w:val="single" w:color="auto" w:sz="2" w:space="0"/>
              <w:bottom w:val="single" w:color="auto" w:sz="2" w:space="0"/>
              <w:right w:val="single" w:color="auto" w:sz="2" w:space="0"/>
            </w:tcBorders>
            <w:vAlign w:val="center"/>
          </w:tcPr>
          <w:p w14:paraId="569C1A58">
            <w:pPr>
              <w:spacing w:line="240" w:lineRule="exact"/>
              <w:rPr>
                <w:rFonts w:ascii="宋体" w:hAnsi="宋体" w:eastAsia="宋体" w:cs="宋体"/>
                <w:sz w:val="18"/>
                <w:szCs w:val="18"/>
              </w:rPr>
            </w:pPr>
            <w:r>
              <w:rPr>
                <w:rFonts w:ascii="宋体" w:hAnsi="宋体" w:eastAsia="宋体" w:cs="宋体"/>
                <w:sz w:val="18"/>
                <w:szCs w:val="18"/>
              </w:rPr>
              <w:t>新加坡</w:t>
            </w:r>
          </w:p>
        </w:tc>
        <w:tc>
          <w:tcPr>
            <w:tcW w:w="1205" w:type="dxa"/>
            <w:tcBorders>
              <w:top w:val="single" w:color="auto" w:sz="2" w:space="0"/>
              <w:left w:val="single" w:color="auto" w:sz="2" w:space="0"/>
              <w:bottom w:val="single" w:color="auto" w:sz="2" w:space="0"/>
              <w:right w:val="single" w:color="auto" w:sz="2" w:space="0"/>
            </w:tcBorders>
            <w:vAlign w:val="center"/>
          </w:tcPr>
          <w:p w14:paraId="47DD6EE8">
            <w:pPr>
              <w:spacing w:line="240" w:lineRule="exact"/>
              <w:rPr>
                <w:rFonts w:ascii="宋体" w:hAnsi="宋体" w:eastAsia="宋体" w:cs="宋体"/>
                <w:sz w:val="18"/>
                <w:szCs w:val="18"/>
              </w:rPr>
            </w:pPr>
            <w:r>
              <w:rPr>
                <w:rFonts w:ascii="宋体" w:hAnsi="宋体" w:eastAsia="宋体" w:cs="宋体"/>
                <w:sz w:val="18"/>
                <w:szCs w:val="18"/>
              </w:rPr>
              <w:t>新加坡</w:t>
            </w:r>
          </w:p>
        </w:tc>
        <w:tc>
          <w:tcPr>
            <w:tcW w:w="1205" w:type="dxa"/>
            <w:tcBorders>
              <w:top w:val="single" w:color="auto" w:sz="2" w:space="0"/>
              <w:left w:val="single" w:color="auto" w:sz="2" w:space="0"/>
              <w:bottom w:val="single" w:color="auto" w:sz="2" w:space="0"/>
              <w:right w:val="single" w:color="auto" w:sz="2" w:space="0"/>
            </w:tcBorders>
            <w:vAlign w:val="center"/>
          </w:tcPr>
          <w:p w14:paraId="6425197D">
            <w:pPr>
              <w:spacing w:line="240" w:lineRule="exact"/>
              <w:rPr>
                <w:rFonts w:ascii="宋体" w:hAnsi="宋体" w:eastAsia="宋体" w:cs="宋体"/>
                <w:sz w:val="18"/>
                <w:szCs w:val="18"/>
              </w:rPr>
            </w:pPr>
            <w:r>
              <w:rPr>
                <w:rFonts w:ascii="宋体" w:hAnsi="宋体" w:eastAsia="宋体" w:cs="宋体"/>
                <w:sz w:val="18"/>
                <w:szCs w:val="18"/>
              </w:rPr>
              <w:t>投资管理</w:t>
            </w:r>
          </w:p>
        </w:tc>
        <w:tc>
          <w:tcPr>
            <w:tcW w:w="1205" w:type="dxa"/>
            <w:tcBorders>
              <w:top w:val="single" w:color="auto" w:sz="2" w:space="0"/>
              <w:left w:val="single" w:color="auto" w:sz="2" w:space="0"/>
              <w:bottom w:val="single" w:color="auto" w:sz="2" w:space="0"/>
              <w:right w:val="single" w:color="auto" w:sz="2" w:space="0"/>
            </w:tcBorders>
            <w:vAlign w:val="center"/>
          </w:tcPr>
          <w:p w14:paraId="3B97AD44">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FCECE37">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710F91B9">
            <w:pPr>
              <w:spacing w:line="240" w:lineRule="exact"/>
              <w:rPr>
                <w:rFonts w:ascii="宋体" w:hAnsi="宋体" w:eastAsia="宋体" w:cs="宋体"/>
                <w:sz w:val="18"/>
                <w:szCs w:val="18"/>
              </w:rPr>
            </w:pPr>
            <w:r>
              <w:rPr>
                <w:rFonts w:ascii="宋体" w:hAnsi="宋体" w:eastAsia="宋体" w:cs="宋体"/>
                <w:sz w:val="18"/>
                <w:szCs w:val="18"/>
              </w:rPr>
              <w:t>投资设立</w:t>
            </w:r>
          </w:p>
        </w:tc>
      </w:tr>
      <w:tr w14:paraId="41CDA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6A03FBD">
            <w:pPr>
              <w:spacing w:line="240" w:lineRule="exact"/>
              <w:rPr>
                <w:rFonts w:ascii="宋体" w:hAnsi="宋体" w:eastAsia="宋体" w:cs="宋体"/>
                <w:sz w:val="18"/>
                <w:szCs w:val="18"/>
              </w:rPr>
            </w:pPr>
            <w:r>
              <w:rPr>
                <w:rFonts w:ascii="宋体" w:hAnsi="宋体" w:eastAsia="宋体" w:cs="宋体"/>
                <w:sz w:val="18"/>
                <w:szCs w:val="18"/>
              </w:rPr>
              <w:t>香港华孚贸易有限公司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844497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326A5C4">
            <w:pPr>
              <w:spacing w:line="240" w:lineRule="exact"/>
              <w:rPr>
                <w:rFonts w:ascii="宋体" w:hAnsi="宋体" w:eastAsia="宋体" w:cs="宋体"/>
                <w:sz w:val="18"/>
                <w:szCs w:val="18"/>
              </w:rPr>
            </w:pPr>
            <w:r>
              <w:rPr>
                <w:rFonts w:ascii="宋体" w:hAnsi="宋体" w:eastAsia="宋体" w:cs="宋体"/>
                <w:sz w:val="18"/>
                <w:szCs w:val="18"/>
              </w:rPr>
              <w:t>香港</w:t>
            </w:r>
          </w:p>
        </w:tc>
        <w:tc>
          <w:tcPr>
            <w:tcW w:w="1205" w:type="dxa"/>
            <w:tcBorders>
              <w:top w:val="single" w:color="auto" w:sz="2" w:space="0"/>
              <w:left w:val="single" w:color="auto" w:sz="2" w:space="0"/>
              <w:bottom w:val="single" w:color="auto" w:sz="2" w:space="0"/>
              <w:right w:val="single" w:color="auto" w:sz="2" w:space="0"/>
            </w:tcBorders>
            <w:vAlign w:val="center"/>
          </w:tcPr>
          <w:p w14:paraId="671324DE">
            <w:pPr>
              <w:spacing w:line="240" w:lineRule="exact"/>
              <w:rPr>
                <w:rFonts w:ascii="宋体" w:hAnsi="宋体" w:eastAsia="宋体" w:cs="宋体"/>
                <w:sz w:val="18"/>
                <w:szCs w:val="18"/>
              </w:rPr>
            </w:pPr>
            <w:r>
              <w:rPr>
                <w:rFonts w:ascii="宋体" w:hAnsi="宋体" w:eastAsia="宋体" w:cs="宋体"/>
                <w:sz w:val="18"/>
                <w:szCs w:val="18"/>
              </w:rPr>
              <w:t>香港</w:t>
            </w:r>
          </w:p>
        </w:tc>
        <w:tc>
          <w:tcPr>
            <w:tcW w:w="1205" w:type="dxa"/>
            <w:tcBorders>
              <w:top w:val="single" w:color="auto" w:sz="2" w:space="0"/>
              <w:left w:val="single" w:color="auto" w:sz="2" w:space="0"/>
              <w:bottom w:val="single" w:color="auto" w:sz="2" w:space="0"/>
              <w:right w:val="single" w:color="auto" w:sz="2" w:space="0"/>
            </w:tcBorders>
            <w:vAlign w:val="center"/>
          </w:tcPr>
          <w:p w14:paraId="68C346FF">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3B2CC0ED">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6838727">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3D56EB82">
            <w:pPr>
              <w:spacing w:line="240" w:lineRule="exact"/>
              <w:rPr>
                <w:rFonts w:ascii="宋体" w:hAnsi="宋体" w:eastAsia="宋体" w:cs="宋体"/>
                <w:sz w:val="18"/>
                <w:szCs w:val="18"/>
              </w:rPr>
            </w:pPr>
            <w:r>
              <w:rPr>
                <w:rFonts w:ascii="宋体" w:hAnsi="宋体" w:eastAsia="宋体" w:cs="宋体"/>
                <w:sz w:val="18"/>
                <w:szCs w:val="18"/>
              </w:rPr>
              <w:t>投资设立</w:t>
            </w:r>
          </w:p>
        </w:tc>
      </w:tr>
      <w:tr w14:paraId="30E4A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58F8217">
            <w:pPr>
              <w:spacing w:line="240" w:lineRule="exact"/>
              <w:rPr>
                <w:rFonts w:ascii="宋体" w:hAnsi="宋体" w:eastAsia="宋体" w:cs="宋体"/>
                <w:sz w:val="18"/>
                <w:szCs w:val="18"/>
              </w:rPr>
            </w:pPr>
            <w:r>
              <w:rPr>
                <w:rFonts w:ascii="宋体" w:hAnsi="宋体" w:eastAsia="宋体" w:cs="宋体"/>
                <w:sz w:val="18"/>
                <w:szCs w:val="18"/>
              </w:rPr>
              <w:t>深圳市华孚进出口有限公司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1D952F49">
            <w:pPr>
              <w:spacing w:line="240" w:lineRule="exact"/>
              <w:jc w:val="right"/>
              <w:rPr>
                <w:rFonts w:ascii="宋体" w:hAnsi="宋体" w:eastAsia="宋体" w:cs="宋体"/>
                <w:sz w:val="18"/>
                <w:szCs w:val="18"/>
              </w:rPr>
            </w:pPr>
            <w:r>
              <w:rPr>
                <w:rFonts w:ascii="宋体" w:hAnsi="宋体" w:eastAsia="宋体" w:cs="宋体"/>
                <w:sz w:val="18"/>
                <w:szCs w:val="18"/>
              </w:rPr>
              <w:t>1,500,000,000.00</w:t>
            </w:r>
          </w:p>
        </w:tc>
        <w:tc>
          <w:tcPr>
            <w:tcW w:w="1205" w:type="dxa"/>
            <w:tcBorders>
              <w:top w:val="single" w:color="auto" w:sz="2" w:space="0"/>
              <w:left w:val="single" w:color="auto" w:sz="2" w:space="0"/>
              <w:bottom w:val="single" w:color="auto" w:sz="2" w:space="0"/>
              <w:right w:val="single" w:color="auto" w:sz="2" w:space="0"/>
            </w:tcBorders>
            <w:vAlign w:val="center"/>
          </w:tcPr>
          <w:p w14:paraId="33F34D4D">
            <w:pPr>
              <w:spacing w:line="240" w:lineRule="exact"/>
              <w:rPr>
                <w:rFonts w:ascii="宋体" w:hAnsi="宋体" w:eastAsia="宋体" w:cs="宋体"/>
                <w:sz w:val="18"/>
                <w:szCs w:val="18"/>
              </w:rPr>
            </w:pPr>
            <w:r>
              <w:rPr>
                <w:rFonts w:ascii="宋体" w:hAnsi="宋体" w:eastAsia="宋体" w:cs="宋体"/>
                <w:sz w:val="18"/>
                <w:szCs w:val="18"/>
              </w:rPr>
              <w:t>广东省深圳市</w:t>
            </w:r>
          </w:p>
        </w:tc>
        <w:tc>
          <w:tcPr>
            <w:tcW w:w="1205" w:type="dxa"/>
            <w:tcBorders>
              <w:top w:val="single" w:color="auto" w:sz="2" w:space="0"/>
              <w:left w:val="single" w:color="auto" w:sz="2" w:space="0"/>
              <w:bottom w:val="single" w:color="auto" w:sz="2" w:space="0"/>
              <w:right w:val="single" w:color="auto" w:sz="2" w:space="0"/>
            </w:tcBorders>
            <w:vAlign w:val="center"/>
          </w:tcPr>
          <w:p w14:paraId="4C384B9B">
            <w:pPr>
              <w:spacing w:line="240" w:lineRule="exact"/>
              <w:rPr>
                <w:rFonts w:ascii="宋体" w:hAnsi="宋体" w:eastAsia="宋体" w:cs="宋体"/>
                <w:sz w:val="18"/>
                <w:szCs w:val="18"/>
              </w:rPr>
            </w:pPr>
            <w:r>
              <w:rPr>
                <w:rFonts w:ascii="宋体" w:hAnsi="宋体" w:eastAsia="宋体" w:cs="宋体"/>
                <w:sz w:val="18"/>
                <w:szCs w:val="18"/>
              </w:rPr>
              <w:t>广东省深圳市</w:t>
            </w:r>
          </w:p>
        </w:tc>
        <w:tc>
          <w:tcPr>
            <w:tcW w:w="1205" w:type="dxa"/>
            <w:tcBorders>
              <w:top w:val="single" w:color="auto" w:sz="2" w:space="0"/>
              <w:left w:val="single" w:color="auto" w:sz="2" w:space="0"/>
              <w:bottom w:val="single" w:color="auto" w:sz="2" w:space="0"/>
              <w:right w:val="single" w:color="auto" w:sz="2" w:space="0"/>
            </w:tcBorders>
            <w:vAlign w:val="center"/>
          </w:tcPr>
          <w:p w14:paraId="30B8620D">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37A76377">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536C4FE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078E512">
            <w:pPr>
              <w:spacing w:line="240" w:lineRule="exact"/>
              <w:rPr>
                <w:rFonts w:ascii="宋体" w:hAnsi="宋体" w:eastAsia="宋体" w:cs="宋体"/>
                <w:sz w:val="18"/>
                <w:szCs w:val="18"/>
              </w:rPr>
            </w:pPr>
            <w:r>
              <w:rPr>
                <w:rFonts w:ascii="宋体" w:hAnsi="宋体" w:eastAsia="宋体" w:cs="宋体"/>
                <w:sz w:val="18"/>
                <w:szCs w:val="18"/>
              </w:rPr>
              <w:t>同一控制下企业合并</w:t>
            </w:r>
          </w:p>
        </w:tc>
      </w:tr>
      <w:tr w14:paraId="0872A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25D01A8">
            <w:pPr>
              <w:spacing w:line="240" w:lineRule="exact"/>
              <w:rPr>
                <w:rFonts w:ascii="宋体" w:hAnsi="宋体" w:eastAsia="宋体" w:cs="宋体"/>
                <w:sz w:val="18"/>
                <w:szCs w:val="18"/>
              </w:rPr>
            </w:pPr>
            <w:r>
              <w:rPr>
                <w:rFonts w:ascii="宋体" w:hAnsi="宋体" w:eastAsia="宋体" w:cs="宋体"/>
                <w:sz w:val="18"/>
                <w:szCs w:val="18"/>
              </w:rPr>
              <w:t>宁海华孚纺织有限公司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061C6F68">
            <w:pPr>
              <w:spacing w:line="240" w:lineRule="exact"/>
              <w:jc w:val="right"/>
              <w:rPr>
                <w:rFonts w:ascii="宋体" w:hAnsi="宋体" w:eastAsia="宋体" w:cs="宋体"/>
                <w:sz w:val="18"/>
                <w:szCs w:val="18"/>
              </w:rPr>
            </w:pPr>
            <w:r>
              <w:rPr>
                <w:rFonts w:ascii="宋体" w:hAnsi="宋体" w:eastAsia="宋体" w:cs="宋体"/>
                <w:sz w:val="18"/>
                <w:szCs w:val="18"/>
              </w:rPr>
              <w:t>253,809,924.00</w:t>
            </w:r>
          </w:p>
        </w:tc>
        <w:tc>
          <w:tcPr>
            <w:tcW w:w="1205" w:type="dxa"/>
            <w:tcBorders>
              <w:top w:val="single" w:color="auto" w:sz="2" w:space="0"/>
              <w:left w:val="single" w:color="auto" w:sz="2" w:space="0"/>
              <w:bottom w:val="single" w:color="auto" w:sz="2" w:space="0"/>
              <w:right w:val="single" w:color="auto" w:sz="2" w:space="0"/>
            </w:tcBorders>
            <w:vAlign w:val="center"/>
          </w:tcPr>
          <w:p w14:paraId="75E19AB0">
            <w:pPr>
              <w:spacing w:line="240" w:lineRule="exact"/>
              <w:rPr>
                <w:rFonts w:ascii="宋体" w:hAnsi="宋体" w:eastAsia="宋体" w:cs="宋体"/>
                <w:sz w:val="18"/>
                <w:szCs w:val="18"/>
              </w:rPr>
            </w:pPr>
            <w:r>
              <w:rPr>
                <w:rFonts w:ascii="宋体" w:hAnsi="宋体" w:eastAsia="宋体" w:cs="宋体"/>
                <w:sz w:val="18"/>
                <w:szCs w:val="18"/>
              </w:rPr>
              <w:t>浙江省宁波市</w:t>
            </w:r>
          </w:p>
        </w:tc>
        <w:tc>
          <w:tcPr>
            <w:tcW w:w="1205" w:type="dxa"/>
            <w:tcBorders>
              <w:top w:val="single" w:color="auto" w:sz="2" w:space="0"/>
              <w:left w:val="single" w:color="auto" w:sz="2" w:space="0"/>
              <w:bottom w:val="single" w:color="auto" w:sz="2" w:space="0"/>
              <w:right w:val="single" w:color="auto" w:sz="2" w:space="0"/>
            </w:tcBorders>
            <w:vAlign w:val="center"/>
          </w:tcPr>
          <w:p w14:paraId="4B52C081">
            <w:pPr>
              <w:spacing w:line="240" w:lineRule="exact"/>
              <w:rPr>
                <w:rFonts w:ascii="宋体" w:hAnsi="宋体" w:eastAsia="宋体" w:cs="宋体"/>
                <w:sz w:val="18"/>
                <w:szCs w:val="18"/>
              </w:rPr>
            </w:pPr>
            <w:r>
              <w:rPr>
                <w:rFonts w:ascii="宋体" w:hAnsi="宋体" w:eastAsia="宋体" w:cs="宋体"/>
                <w:sz w:val="18"/>
                <w:szCs w:val="18"/>
              </w:rPr>
              <w:t>浙江省宁波市</w:t>
            </w:r>
          </w:p>
        </w:tc>
        <w:tc>
          <w:tcPr>
            <w:tcW w:w="1205" w:type="dxa"/>
            <w:tcBorders>
              <w:top w:val="single" w:color="auto" w:sz="2" w:space="0"/>
              <w:left w:val="single" w:color="auto" w:sz="2" w:space="0"/>
              <w:bottom w:val="single" w:color="auto" w:sz="2" w:space="0"/>
              <w:right w:val="single" w:color="auto" w:sz="2" w:space="0"/>
            </w:tcBorders>
            <w:vAlign w:val="center"/>
          </w:tcPr>
          <w:p w14:paraId="0CBF0E7F">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44A4D37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BE4693E">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3555707D">
            <w:pPr>
              <w:spacing w:line="240" w:lineRule="exact"/>
              <w:rPr>
                <w:rFonts w:ascii="宋体" w:hAnsi="宋体" w:eastAsia="宋体" w:cs="宋体"/>
                <w:sz w:val="18"/>
                <w:szCs w:val="18"/>
              </w:rPr>
            </w:pPr>
            <w:r>
              <w:rPr>
                <w:rFonts w:ascii="宋体" w:hAnsi="宋体" w:eastAsia="宋体" w:cs="宋体"/>
                <w:sz w:val="18"/>
                <w:szCs w:val="18"/>
              </w:rPr>
              <w:t>同一控制下企业合并</w:t>
            </w:r>
          </w:p>
        </w:tc>
      </w:tr>
      <w:tr w14:paraId="54E1C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D08040A">
            <w:pPr>
              <w:spacing w:line="240" w:lineRule="exact"/>
              <w:rPr>
                <w:rFonts w:ascii="宋体" w:hAnsi="宋体" w:eastAsia="宋体" w:cs="宋体"/>
                <w:sz w:val="18"/>
                <w:szCs w:val="18"/>
              </w:rPr>
            </w:pPr>
            <w:r>
              <w:rPr>
                <w:rFonts w:ascii="宋体" w:hAnsi="宋体" w:eastAsia="宋体" w:cs="宋体"/>
                <w:sz w:val="18"/>
                <w:szCs w:val="18"/>
              </w:rPr>
              <w:t>浙江华孚色纺有限公司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71E9F0CF">
            <w:pPr>
              <w:spacing w:line="240" w:lineRule="exact"/>
              <w:jc w:val="right"/>
              <w:rPr>
                <w:rFonts w:ascii="宋体" w:hAnsi="宋体" w:eastAsia="宋体" w:cs="宋体"/>
                <w:sz w:val="18"/>
                <w:szCs w:val="18"/>
              </w:rPr>
            </w:pPr>
            <w:r>
              <w:rPr>
                <w:rFonts w:ascii="宋体" w:hAnsi="宋体" w:eastAsia="宋体" w:cs="宋体"/>
                <w:sz w:val="18"/>
                <w:szCs w:val="18"/>
              </w:rPr>
              <w:t>620,560,889.03</w:t>
            </w:r>
          </w:p>
        </w:tc>
        <w:tc>
          <w:tcPr>
            <w:tcW w:w="1205" w:type="dxa"/>
            <w:tcBorders>
              <w:top w:val="single" w:color="auto" w:sz="2" w:space="0"/>
              <w:left w:val="single" w:color="auto" w:sz="2" w:space="0"/>
              <w:bottom w:val="single" w:color="auto" w:sz="2" w:space="0"/>
              <w:right w:val="single" w:color="auto" w:sz="2" w:space="0"/>
            </w:tcBorders>
            <w:vAlign w:val="center"/>
          </w:tcPr>
          <w:p w14:paraId="6DE191E0">
            <w:pPr>
              <w:spacing w:line="240" w:lineRule="exact"/>
              <w:rPr>
                <w:rFonts w:ascii="宋体" w:hAnsi="宋体" w:eastAsia="宋体" w:cs="宋体"/>
                <w:sz w:val="18"/>
                <w:szCs w:val="18"/>
              </w:rPr>
            </w:pPr>
            <w:r>
              <w:rPr>
                <w:rFonts w:ascii="宋体" w:hAnsi="宋体" w:eastAsia="宋体" w:cs="宋体"/>
                <w:sz w:val="18"/>
                <w:szCs w:val="18"/>
              </w:rPr>
              <w:t>浙江省上虞市</w:t>
            </w:r>
          </w:p>
        </w:tc>
        <w:tc>
          <w:tcPr>
            <w:tcW w:w="1205" w:type="dxa"/>
            <w:tcBorders>
              <w:top w:val="single" w:color="auto" w:sz="2" w:space="0"/>
              <w:left w:val="single" w:color="auto" w:sz="2" w:space="0"/>
              <w:bottom w:val="single" w:color="auto" w:sz="2" w:space="0"/>
              <w:right w:val="single" w:color="auto" w:sz="2" w:space="0"/>
            </w:tcBorders>
            <w:vAlign w:val="center"/>
          </w:tcPr>
          <w:p w14:paraId="7A5D1430">
            <w:pPr>
              <w:spacing w:line="240" w:lineRule="exact"/>
              <w:rPr>
                <w:rFonts w:ascii="宋体" w:hAnsi="宋体" w:eastAsia="宋体" w:cs="宋体"/>
                <w:sz w:val="18"/>
                <w:szCs w:val="18"/>
              </w:rPr>
            </w:pPr>
            <w:r>
              <w:rPr>
                <w:rFonts w:ascii="宋体" w:hAnsi="宋体" w:eastAsia="宋体" w:cs="宋体"/>
                <w:sz w:val="18"/>
                <w:szCs w:val="18"/>
              </w:rPr>
              <w:t>浙江省上虞市</w:t>
            </w:r>
          </w:p>
        </w:tc>
        <w:tc>
          <w:tcPr>
            <w:tcW w:w="1205" w:type="dxa"/>
            <w:tcBorders>
              <w:top w:val="single" w:color="auto" w:sz="2" w:space="0"/>
              <w:left w:val="single" w:color="auto" w:sz="2" w:space="0"/>
              <w:bottom w:val="single" w:color="auto" w:sz="2" w:space="0"/>
              <w:right w:val="single" w:color="auto" w:sz="2" w:space="0"/>
            </w:tcBorders>
            <w:vAlign w:val="center"/>
          </w:tcPr>
          <w:p w14:paraId="4A35A553">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41E59A44">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945B769">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32C9C02D">
            <w:pPr>
              <w:spacing w:line="240" w:lineRule="exact"/>
              <w:rPr>
                <w:rFonts w:ascii="宋体" w:hAnsi="宋体" w:eastAsia="宋体" w:cs="宋体"/>
                <w:sz w:val="18"/>
                <w:szCs w:val="18"/>
              </w:rPr>
            </w:pPr>
            <w:r>
              <w:rPr>
                <w:rFonts w:ascii="宋体" w:hAnsi="宋体" w:eastAsia="宋体" w:cs="宋体"/>
                <w:sz w:val="18"/>
                <w:szCs w:val="18"/>
              </w:rPr>
              <w:t>同一控制下企业合并</w:t>
            </w:r>
          </w:p>
        </w:tc>
      </w:tr>
      <w:tr w14:paraId="74958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AD1453E">
            <w:pPr>
              <w:spacing w:line="240" w:lineRule="exact"/>
              <w:rPr>
                <w:rFonts w:ascii="宋体" w:hAnsi="宋体" w:eastAsia="宋体" w:cs="宋体"/>
                <w:sz w:val="18"/>
                <w:szCs w:val="18"/>
              </w:rPr>
            </w:pPr>
            <w:r>
              <w:rPr>
                <w:rFonts w:ascii="宋体" w:hAnsi="宋体" w:eastAsia="宋体" w:cs="宋体"/>
                <w:sz w:val="18"/>
                <w:szCs w:val="18"/>
              </w:rPr>
              <w:t>浙江社标纤维有限公司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1950BC0">
            <w:pPr>
              <w:spacing w:line="240" w:lineRule="exact"/>
              <w:jc w:val="right"/>
              <w:rPr>
                <w:rFonts w:ascii="宋体" w:hAnsi="宋体" w:eastAsia="宋体" w:cs="宋体"/>
                <w:sz w:val="18"/>
                <w:szCs w:val="18"/>
              </w:rPr>
            </w:pPr>
            <w:r>
              <w:rPr>
                <w:rFonts w:ascii="宋体" w:hAnsi="宋体" w:eastAsia="宋体" w:cs="宋体"/>
                <w:sz w:val="18"/>
                <w:szCs w:val="18"/>
              </w:rPr>
              <w:t>50,000,000.00</w:t>
            </w:r>
          </w:p>
        </w:tc>
        <w:tc>
          <w:tcPr>
            <w:tcW w:w="1205" w:type="dxa"/>
            <w:tcBorders>
              <w:top w:val="single" w:color="auto" w:sz="2" w:space="0"/>
              <w:left w:val="single" w:color="auto" w:sz="2" w:space="0"/>
              <w:bottom w:val="single" w:color="auto" w:sz="2" w:space="0"/>
              <w:right w:val="single" w:color="auto" w:sz="2" w:space="0"/>
            </w:tcBorders>
            <w:vAlign w:val="center"/>
          </w:tcPr>
          <w:p w14:paraId="3AB582AE">
            <w:pPr>
              <w:spacing w:line="240" w:lineRule="exact"/>
              <w:rPr>
                <w:rFonts w:ascii="宋体" w:hAnsi="宋体" w:eastAsia="宋体" w:cs="宋体"/>
                <w:sz w:val="18"/>
                <w:szCs w:val="18"/>
              </w:rPr>
            </w:pPr>
            <w:r>
              <w:rPr>
                <w:rFonts w:ascii="宋体" w:hAnsi="宋体" w:eastAsia="宋体" w:cs="宋体"/>
                <w:sz w:val="18"/>
                <w:szCs w:val="18"/>
              </w:rPr>
              <w:t>浙江绍省兴市</w:t>
            </w:r>
          </w:p>
        </w:tc>
        <w:tc>
          <w:tcPr>
            <w:tcW w:w="1205" w:type="dxa"/>
            <w:tcBorders>
              <w:top w:val="single" w:color="auto" w:sz="2" w:space="0"/>
              <w:left w:val="single" w:color="auto" w:sz="2" w:space="0"/>
              <w:bottom w:val="single" w:color="auto" w:sz="2" w:space="0"/>
              <w:right w:val="single" w:color="auto" w:sz="2" w:space="0"/>
            </w:tcBorders>
            <w:vAlign w:val="center"/>
          </w:tcPr>
          <w:p w14:paraId="2CF2069C">
            <w:pPr>
              <w:spacing w:line="240" w:lineRule="exact"/>
              <w:rPr>
                <w:rFonts w:ascii="宋体" w:hAnsi="宋体" w:eastAsia="宋体" w:cs="宋体"/>
                <w:sz w:val="18"/>
                <w:szCs w:val="18"/>
              </w:rPr>
            </w:pPr>
            <w:r>
              <w:rPr>
                <w:rFonts w:ascii="宋体" w:hAnsi="宋体" w:eastAsia="宋体" w:cs="宋体"/>
                <w:sz w:val="18"/>
                <w:szCs w:val="18"/>
              </w:rPr>
              <w:t>浙江省绍兴市</w:t>
            </w:r>
          </w:p>
        </w:tc>
        <w:tc>
          <w:tcPr>
            <w:tcW w:w="1205" w:type="dxa"/>
            <w:tcBorders>
              <w:top w:val="single" w:color="auto" w:sz="2" w:space="0"/>
              <w:left w:val="single" w:color="auto" w:sz="2" w:space="0"/>
              <w:bottom w:val="single" w:color="auto" w:sz="2" w:space="0"/>
              <w:right w:val="single" w:color="auto" w:sz="2" w:space="0"/>
            </w:tcBorders>
            <w:vAlign w:val="center"/>
          </w:tcPr>
          <w:p w14:paraId="35022A1A">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65C3C6FD">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79E07EF">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796D8826">
            <w:pPr>
              <w:spacing w:line="240" w:lineRule="exact"/>
              <w:rPr>
                <w:rFonts w:ascii="宋体" w:hAnsi="宋体" w:eastAsia="宋体" w:cs="宋体"/>
                <w:sz w:val="18"/>
                <w:szCs w:val="18"/>
              </w:rPr>
            </w:pPr>
            <w:r>
              <w:rPr>
                <w:rFonts w:ascii="宋体" w:hAnsi="宋体" w:eastAsia="宋体" w:cs="宋体"/>
                <w:sz w:val="18"/>
                <w:szCs w:val="18"/>
              </w:rPr>
              <w:t>投资设立</w:t>
            </w:r>
          </w:p>
        </w:tc>
      </w:tr>
      <w:tr w14:paraId="129B7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F54B1FB">
            <w:pPr>
              <w:spacing w:line="240" w:lineRule="exact"/>
              <w:rPr>
                <w:rFonts w:ascii="宋体" w:hAnsi="宋体" w:eastAsia="宋体" w:cs="宋体"/>
                <w:sz w:val="18"/>
                <w:szCs w:val="18"/>
              </w:rPr>
            </w:pPr>
            <w:r>
              <w:rPr>
                <w:rFonts w:ascii="宋体" w:hAnsi="宋体" w:eastAsia="宋体" w:cs="宋体"/>
                <w:sz w:val="18"/>
                <w:szCs w:val="18"/>
              </w:rPr>
              <w:t>阿克苏标信纤维有限公司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13570E8">
            <w:pPr>
              <w:spacing w:line="240" w:lineRule="exact"/>
              <w:jc w:val="right"/>
              <w:rPr>
                <w:rFonts w:ascii="宋体" w:hAnsi="宋体" w:eastAsia="宋体" w:cs="宋体"/>
                <w:sz w:val="18"/>
                <w:szCs w:val="18"/>
              </w:rPr>
            </w:pPr>
            <w:r>
              <w:rPr>
                <w:rFonts w:ascii="宋体" w:hAnsi="宋体" w:eastAsia="宋体" w:cs="宋体"/>
                <w:sz w:val="18"/>
                <w:szCs w:val="18"/>
              </w:rPr>
              <w:t>220,000,000.00</w:t>
            </w:r>
          </w:p>
        </w:tc>
        <w:tc>
          <w:tcPr>
            <w:tcW w:w="1205" w:type="dxa"/>
            <w:tcBorders>
              <w:top w:val="single" w:color="auto" w:sz="2" w:space="0"/>
              <w:left w:val="single" w:color="auto" w:sz="2" w:space="0"/>
              <w:bottom w:val="single" w:color="auto" w:sz="2" w:space="0"/>
              <w:right w:val="single" w:color="auto" w:sz="2" w:space="0"/>
            </w:tcBorders>
            <w:vAlign w:val="center"/>
          </w:tcPr>
          <w:p w14:paraId="031B52C7">
            <w:pPr>
              <w:spacing w:line="240" w:lineRule="exact"/>
              <w:rPr>
                <w:rFonts w:ascii="宋体" w:hAnsi="宋体" w:eastAsia="宋体" w:cs="宋体"/>
                <w:sz w:val="18"/>
                <w:szCs w:val="18"/>
              </w:rPr>
            </w:pPr>
            <w:r>
              <w:rPr>
                <w:rFonts w:ascii="宋体" w:hAnsi="宋体" w:eastAsia="宋体" w:cs="宋体"/>
                <w:sz w:val="18"/>
                <w:szCs w:val="18"/>
              </w:rPr>
              <w:t>新疆阿克苏市</w:t>
            </w:r>
          </w:p>
        </w:tc>
        <w:tc>
          <w:tcPr>
            <w:tcW w:w="1205" w:type="dxa"/>
            <w:tcBorders>
              <w:top w:val="single" w:color="auto" w:sz="2" w:space="0"/>
              <w:left w:val="single" w:color="auto" w:sz="2" w:space="0"/>
              <w:bottom w:val="single" w:color="auto" w:sz="2" w:space="0"/>
              <w:right w:val="single" w:color="auto" w:sz="2" w:space="0"/>
            </w:tcBorders>
            <w:vAlign w:val="center"/>
          </w:tcPr>
          <w:p w14:paraId="48495979">
            <w:pPr>
              <w:spacing w:line="240" w:lineRule="exact"/>
              <w:rPr>
                <w:rFonts w:ascii="宋体" w:hAnsi="宋体" w:eastAsia="宋体" w:cs="宋体"/>
                <w:sz w:val="18"/>
                <w:szCs w:val="18"/>
              </w:rPr>
            </w:pPr>
            <w:r>
              <w:rPr>
                <w:rFonts w:ascii="宋体" w:hAnsi="宋体" w:eastAsia="宋体" w:cs="宋体"/>
                <w:sz w:val="18"/>
                <w:szCs w:val="18"/>
              </w:rPr>
              <w:t>新疆阿克苏市</w:t>
            </w:r>
          </w:p>
        </w:tc>
        <w:tc>
          <w:tcPr>
            <w:tcW w:w="1205" w:type="dxa"/>
            <w:tcBorders>
              <w:top w:val="single" w:color="auto" w:sz="2" w:space="0"/>
              <w:left w:val="single" w:color="auto" w:sz="2" w:space="0"/>
              <w:bottom w:val="single" w:color="auto" w:sz="2" w:space="0"/>
              <w:right w:val="single" w:color="auto" w:sz="2" w:space="0"/>
            </w:tcBorders>
            <w:vAlign w:val="center"/>
          </w:tcPr>
          <w:p w14:paraId="4596DBAE">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2C6CFDD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1DE7F53">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3289F677">
            <w:pPr>
              <w:spacing w:line="240" w:lineRule="exact"/>
              <w:rPr>
                <w:rFonts w:ascii="宋体" w:hAnsi="宋体" w:eastAsia="宋体" w:cs="宋体"/>
                <w:sz w:val="18"/>
                <w:szCs w:val="18"/>
              </w:rPr>
            </w:pPr>
            <w:r>
              <w:rPr>
                <w:rFonts w:ascii="宋体" w:hAnsi="宋体" w:eastAsia="宋体" w:cs="宋体"/>
                <w:sz w:val="18"/>
                <w:szCs w:val="18"/>
              </w:rPr>
              <w:t>投资设立</w:t>
            </w:r>
          </w:p>
        </w:tc>
      </w:tr>
      <w:tr w14:paraId="54269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8E8C0F5">
            <w:pPr>
              <w:spacing w:line="240" w:lineRule="exact"/>
              <w:rPr>
                <w:rFonts w:ascii="宋体" w:hAnsi="宋体" w:eastAsia="宋体" w:cs="宋体"/>
                <w:sz w:val="18"/>
                <w:szCs w:val="18"/>
              </w:rPr>
            </w:pPr>
            <w:r>
              <w:rPr>
                <w:rFonts w:ascii="宋体" w:hAnsi="宋体" w:eastAsia="宋体" w:cs="宋体"/>
                <w:sz w:val="18"/>
                <w:szCs w:val="18"/>
              </w:rPr>
              <w:t>石河子标配纤维有限公司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0EC96C2">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7F39F063">
            <w:pPr>
              <w:spacing w:line="240" w:lineRule="exact"/>
              <w:rPr>
                <w:rFonts w:ascii="宋体" w:hAnsi="宋体" w:eastAsia="宋体" w:cs="宋体"/>
                <w:sz w:val="18"/>
                <w:szCs w:val="18"/>
              </w:rPr>
            </w:pPr>
            <w:r>
              <w:rPr>
                <w:rFonts w:ascii="宋体" w:hAnsi="宋体" w:eastAsia="宋体" w:cs="宋体"/>
                <w:sz w:val="18"/>
                <w:szCs w:val="18"/>
              </w:rPr>
              <w:t>新疆石河子市</w:t>
            </w:r>
          </w:p>
        </w:tc>
        <w:tc>
          <w:tcPr>
            <w:tcW w:w="1205" w:type="dxa"/>
            <w:tcBorders>
              <w:top w:val="single" w:color="auto" w:sz="2" w:space="0"/>
              <w:left w:val="single" w:color="auto" w:sz="2" w:space="0"/>
              <w:bottom w:val="single" w:color="auto" w:sz="2" w:space="0"/>
              <w:right w:val="single" w:color="auto" w:sz="2" w:space="0"/>
            </w:tcBorders>
            <w:vAlign w:val="center"/>
          </w:tcPr>
          <w:p w14:paraId="7A520E03">
            <w:pPr>
              <w:spacing w:line="240" w:lineRule="exact"/>
              <w:rPr>
                <w:rFonts w:ascii="宋体" w:hAnsi="宋体" w:eastAsia="宋体" w:cs="宋体"/>
                <w:sz w:val="18"/>
                <w:szCs w:val="18"/>
              </w:rPr>
            </w:pPr>
            <w:r>
              <w:rPr>
                <w:rFonts w:ascii="宋体" w:hAnsi="宋体" w:eastAsia="宋体" w:cs="宋体"/>
                <w:sz w:val="18"/>
                <w:szCs w:val="18"/>
              </w:rPr>
              <w:t>新疆石河子市</w:t>
            </w:r>
          </w:p>
        </w:tc>
        <w:tc>
          <w:tcPr>
            <w:tcW w:w="1205" w:type="dxa"/>
            <w:tcBorders>
              <w:top w:val="single" w:color="auto" w:sz="2" w:space="0"/>
              <w:left w:val="single" w:color="auto" w:sz="2" w:space="0"/>
              <w:bottom w:val="single" w:color="auto" w:sz="2" w:space="0"/>
              <w:right w:val="single" w:color="auto" w:sz="2" w:space="0"/>
            </w:tcBorders>
            <w:vAlign w:val="center"/>
          </w:tcPr>
          <w:p w14:paraId="2FD3AF9A">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64F5A781">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AB31EC6">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2A5F5E97">
            <w:pPr>
              <w:spacing w:line="240" w:lineRule="exact"/>
              <w:rPr>
                <w:rFonts w:ascii="宋体" w:hAnsi="宋体" w:eastAsia="宋体" w:cs="宋体"/>
                <w:sz w:val="18"/>
                <w:szCs w:val="18"/>
              </w:rPr>
            </w:pPr>
            <w:r>
              <w:rPr>
                <w:rFonts w:ascii="宋体" w:hAnsi="宋体" w:eastAsia="宋体" w:cs="宋体"/>
                <w:sz w:val="18"/>
                <w:szCs w:val="18"/>
              </w:rPr>
              <w:t>同一控制下企业合并</w:t>
            </w:r>
          </w:p>
        </w:tc>
      </w:tr>
      <w:tr w14:paraId="6DE89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ED9CA92">
            <w:pPr>
              <w:spacing w:line="240" w:lineRule="exact"/>
              <w:rPr>
                <w:rFonts w:ascii="宋体" w:hAnsi="宋体" w:eastAsia="宋体" w:cs="宋体"/>
                <w:sz w:val="18"/>
                <w:szCs w:val="18"/>
              </w:rPr>
            </w:pPr>
            <w:r>
              <w:rPr>
                <w:rFonts w:ascii="宋体" w:hAnsi="宋体" w:eastAsia="宋体" w:cs="宋体"/>
                <w:sz w:val="18"/>
                <w:szCs w:val="18"/>
              </w:rPr>
              <w:t>浙江昇孚贸易有限公司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7B9F22A">
            <w:pPr>
              <w:spacing w:line="240" w:lineRule="exact"/>
              <w:jc w:val="right"/>
              <w:rPr>
                <w:rFonts w:ascii="宋体" w:hAnsi="宋体" w:eastAsia="宋体" w:cs="宋体"/>
                <w:sz w:val="18"/>
                <w:szCs w:val="18"/>
              </w:rPr>
            </w:pPr>
            <w:r>
              <w:rPr>
                <w:rFonts w:ascii="宋体" w:hAnsi="宋体" w:eastAsia="宋体" w:cs="宋体"/>
                <w:sz w:val="18"/>
                <w:szCs w:val="18"/>
              </w:rPr>
              <w:t>49,497,897.00</w:t>
            </w:r>
          </w:p>
        </w:tc>
        <w:tc>
          <w:tcPr>
            <w:tcW w:w="1205" w:type="dxa"/>
            <w:tcBorders>
              <w:top w:val="single" w:color="auto" w:sz="2" w:space="0"/>
              <w:left w:val="single" w:color="auto" w:sz="2" w:space="0"/>
              <w:bottom w:val="single" w:color="auto" w:sz="2" w:space="0"/>
              <w:right w:val="single" w:color="auto" w:sz="2" w:space="0"/>
            </w:tcBorders>
            <w:vAlign w:val="center"/>
          </w:tcPr>
          <w:p w14:paraId="141C0217">
            <w:pPr>
              <w:spacing w:line="240" w:lineRule="exact"/>
              <w:rPr>
                <w:rFonts w:ascii="宋体" w:hAnsi="宋体" w:eastAsia="宋体" w:cs="宋体"/>
                <w:sz w:val="18"/>
                <w:szCs w:val="18"/>
              </w:rPr>
            </w:pPr>
            <w:r>
              <w:rPr>
                <w:rFonts w:ascii="宋体" w:hAnsi="宋体" w:eastAsia="宋体" w:cs="宋体"/>
                <w:sz w:val="18"/>
                <w:szCs w:val="18"/>
              </w:rPr>
              <w:t>浙江省上虞</w:t>
            </w:r>
          </w:p>
        </w:tc>
        <w:tc>
          <w:tcPr>
            <w:tcW w:w="1205" w:type="dxa"/>
            <w:tcBorders>
              <w:top w:val="single" w:color="auto" w:sz="2" w:space="0"/>
              <w:left w:val="single" w:color="auto" w:sz="2" w:space="0"/>
              <w:bottom w:val="single" w:color="auto" w:sz="2" w:space="0"/>
              <w:right w:val="single" w:color="auto" w:sz="2" w:space="0"/>
            </w:tcBorders>
            <w:vAlign w:val="center"/>
          </w:tcPr>
          <w:p w14:paraId="4A684CF5">
            <w:pPr>
              <w:spacing w:line="240" w:lineRule="exact"/>
              <w:rPr>
                <w:rFonts w:ascii="宋体" w:hAnsi="宋体" w:eastAsia="宋体" w:cs="宋体"/>
                <w:sz w:val="18"/>
                <w:szCs w:val="18"/>
              </w:rPr>
            </w:pPr>
            <w:r>
              <w:rPr>
                <w:rFonts w:ascii="宋体" w:hAnsi="宋体" w:eastAsia="宋体" w:cs="宋体"/>
                <w:sz w:val="18"/>
                <w:szCs w:val="18"/>
              </w:rPr>
              <w:t>浙江省上虞</w:t>
            </w:r>
          </w:p>
        </w:tc>
        <w:tc>
          <w:tcPr>
            <w:tcW w:w="1205" w:type="dxa"/>
            <w:tcBorders>
              <w:top w:val="single" w:color="auto" w:sz="2" w:space="0"/>
              <w:left w:val="single" w:color="auto" w:sz="2" w:space="0"/>
              <w:bottom w:val="single" w:color="auto" w:sz="2" w:space="0"/>
              <w:right w:val="single" w:color="auto" w:sz="2" w:space="0"/>
            </w:tcBorders>
            <w:vAlign w:val="center"/>
          </w:tcPr>
          <w:p w14:paraId="7731DB29">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349A688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2F43618">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49774E7D">
            <w:pPr>
              <w:spacing w:line="240" w:lineRule="exact"/>
              <w:rPr>
                <w:rFonts w:ascii="宋体" w:hAnsi="宋体" w:eastAsia="宋体" w:cs="宋体"/>
                <w:sz w:val="18"/>
                <w:szCs w:val="18"/>
              </w:rPr>
            </w:pPr>
            <w:r>
              <w:rPr>
                <w:rFonts w:ascii="宋体" w:hAnsi="宋体" w:eastAsia="宋体" w:cs="宋体"/>
                <w:sz w:val="18"/>
                <w:szCs w:val="18"/>
              </w:rPr>
              <w:t>投资设立</w:t>
            </w:r>
          </w:p>
        </w:tc>
      </w:tr>
      <w:tr w14:paraId="79363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D743D19">
            <w:pPr>
              <w:spacing w:line="240" w:lineRule="exact"/>
              <w:rPr>
                <w:rFonts w:ascii="宋体" w:hAnsi="宋体" w:eastAsia="宋体" w:cs="宋体"/>
                <w:sz w:val="18"/>
                <w:szCs w:val="18"/>
              </w:rPr>
            </w:pPr>
            <w:r>
              <w:rPr>
                <w:rFonts w:ascii="宋体" w:hAnsi="宋体" w:eastAsia="宋体" w:cs="宋体"/>
                <w:sz w:val="18"/>
                <w:szCs w:val="18"/>
              </w:rPr>
              <w:t>宁波华孚东浩实业有限公司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0AFF4BEF">
            <w:pPr>
              <w:spacing w:line="240" w:lineRule="exact"/>
              <w:jc w:val="right"/>
              <w:rPr>
                <w:rFonts w:ascii="宋体" w:hAnsi="宋体" w:eastAsia="宋体" w:cs="宋体"/>
                <w:sz w:val="18"/>
                <w:szCs w:val="18"/>
              </w:rPr>
            </w:pPr>
            <w:r>
              <w:rPr>
                <w:rFonts w:ascii="宋体" w:hAnsi="宋体" w:eastAsia="宋体" w:cs="宋体"/>
                <w:sz w:val="18"/>
                <w:szCs w:val="18"/>
              </w:rPr>
              <w:t>50,000,000.00</w:t>
            </w:r>
          </w:p>
        </w:tc>
        <w:tc>
          <w:tcPr>
            <w:tcW w:w="1205" w:type="dxa"/>
            <w:tcBorders>
              <w:top w:val="single" w:color="auto" w:sz="2" w:space="0"/>
              <w:left w:val="single" w:color="auto" w:sz="2" w:space="0"/>
              <w:bottom w:val="single" w:color="auto" w:sz="2" w:space="0"/>
              <w:right w:val="single" w:color="auto" w:sz="2" w:space="0"/>
            </w:tcBorders>
            <w:vAlign w:val="center"/>
          </w:tcPr>
          <w:p w14:paraId="2469D6D7">
            <w:pPr>
              <w:spacing w:line="240" w:lineRule="exact"/>
              <w:rPr>
                <w:rFonts w:ascii="宋体" w:hAnsi="宋体" w:eastAsia="宋体" w:cs="宋体"/>
                <w:sz w:val="18"/>
                <w:szCs w:val="18"/>
              </w:rPr>
            </w:pPr>
            <w:r>
              <w:rPr>
                <w:rFonts w:ascii="宋体" w:hAnsi="宋体" w:eastAsia="宋体" w:cs="宋体"/>
                <w:sz w:val="18"/>
                <w:szCs w:val="18"/>
              </w:rPr>
              <w:t>浙江宁波</w:t>
            </w:r>
          </w:p>
        </w:tc>
        <w:tc>
          <w:tcPr>
            <w:tcW w:w="1205" w:type="dxa"/>
            <w:tcBorders>
              <w:top w:val="single" w:color="auto" w:sz="2" w:space="0"/>
              <w:left w:val="single" w:color="auto" w:sz="2" w:space="0"/>
              <w:bottom w:val="single" w:color="auto" w:sz="2" w:space="0"/>
              <w:right w:val="single" w:color="auto" w:sz="2" w:space="0"/>
            </w:tcBorders>
            <w:vAlign w:val="center"/>
          </w:tcPr>
          <w:p w14:paraId="33F0FB4C">
            <w:pPr>
              <w:spacing w:line="240" w:lineRule="exact"/>
              <w:rPr>
                <w:rFonts w:ascii="宋体" w:hAnsi="宋体" w:eastAsia="宋体" w:cs="宋体"/>
                <w:sz w:val="18"/>
                <w:szCs w:val="18"/>
              </w:rPr>
            </w:pPr>
            <w:r>
              <w:rPr>
                <w:rFonts w:ascii="宋体" w:hAnsi="宋体" w:eastAsia="宋体" w:cs="宋体"/>
                <w:sz w:val="18"/>
                <w:szCs w:val="18"/>
              </w:rPr>
              <w:t>浙江宁波</w:t>
            </w:r>
          </w:p>
        </w:tc>
        <w:tc>
          <w:tcPr>
            <w:tcW w:w="1205" w:type="dxa"/>
            <w:tcBorders>
              <w:top w:val="single" w:color="auto" w:sz="2" w:space="0"/>
              <w:left w:val="single" w:color="auto" w:sz="2" w:space="0"/>
              <w:bottom w:val="single" w:color="auto" w:sz="2" w:space="0"/>
              <w:right w:val="single" w:color="auto" w:sz="2" w:space="0"/>
            </w:tcBorders>
            <w:vAlign w:val="center"/>
          </w:tcPr>
          <w:p w14:paraId="200C5ACF">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710E08E1">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93B21E4">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21A9DFD5">
            <w:pPr>
              <w:spacing w:line="240" w:lineRule="exact"/>
              <w:rPr>
                <w:rFonts w:ascii="宋体" w:hAnsi="宋体" w:eastAsia="宋体" w:cs="宋体"/>
                <w:sz w:val="18"/>
                <w:szCs w:val="18"/>
              </w:rPr>
            </w:pPr>
            <w:r>
              <w:rPr>
                <w:rFonts w:ascii="宋体" w:hAnsi="宋体" w:eastAsia="宋体" w:cs="宋体"/>
                <w:sz w:val="18"/>
                <w:szCs w:val="18"/>
              </w:rPr>
              <w:t>投资设立</w:t>
            </w:r>
          </w:p>
        </w:tc>
      </w:tr>
      <w:tr w14:paraId="32F3A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F662E89">
            <w:pPr>
              <w:spacing w:line="240" w:lineRule="exact"/>
              <w:rPr>
                <w:rFonts w:ascii="宋体" w:hAnsi="宋体" w:eastAsia="宋体" w:cs="宋体"/>
                <w:sz w:val="18"/>
                <w:szCs w:val="18"/>
              </w:rPr>
            </w:pPr>
            <w:r>
              <w:rPr>
                <w:rFonts w:ascii="宋体" w:hAnsi="宋体" w:eastAsia="宋体" w:cs="宋体"/>
                <w:sz w:val="18"/>
                <w:szCs w:val="18"/>
              </w:rPr>
              <w:t>九江中浩纺织有限公司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7754A500">
            <w:pPr>
              <w:spacing w:line="240" w:lineRule="exact"/>
              <w:jc w:val="right"/>
              <w:rPr>
                <w:rFonts w:ascii="宋体" w:hAnsi="宋体" w:eastAsia="宋体" w:cs="宋体"/>
                <w:sz w:val="18"/>
                <w:szCs w:val="18"/>
              </w:rPr>
            </w:pPr>
            <w:r>
              <w:rPr>
                <w:rFonts w:ascii="宋体" w:hAnsi="宋体" w:eastAsia="宋体" w:cs="宋体"/>
                <w:sz w:val="18"/>
                <w:szCs w:val="18"/>
              </w:rPr>
              <w:t>65,808,000.00</w:t>
            </w:r>
          </w:p>
        </w:tc>
        <w:tc>
          <w:tcPr>
            <w:tcW w:w="1205" w:type="dxa"/>
            <w:tcBorders>
              <w:top w:val="single" w:color="auto" w:sz="2" w:space="0"/>
              <w:left w:val="single" w:color="auto" w:sz="2" w:space="0"/>
              <w:bottom w:val="single" w:color="auto" w:sz="2" w:space="0"/>
              <w:right w:val="single" w:color="auto" w:sz="2" w:space="0"/>
            </w:tcBorders>
            <w:vAlign w:val="center"/>
          </w:tcPr>
          <w:p w14:paraId="162EB13D">
            <w:pPr>
              <w:spacing w:line="240" w:lineRule="exact"/>
              <w:rPr>
                <w:rFonts w:ascii="宋体" w:hAnsi="宋体" w:eastAsia="宋体" w:cs="宋体"/>
                <w:sz w:val="18"/>
                <w:szCs w:val="18"/>
              </w:rPr>
            </w:pPr>
            <w:r>
              <w:rPr>
                <w:rFonts w:ascii="宋体" w:hAnsi="宋体" w:eastAsia="宋体" w:cs="宋体"/>
                <w:sz w:val="18"/>
                <w:szCs w:val="18"/>
              </w:rPr>
              <w:t>江西省九江市</w:t>
            </w:r>
          </w:p>
        </w:tc>
        <w:tc>
          <w:tcPr>
            <w:tcW w:w="1205" w:type="dxa"/>
            <w:tcBorders>
              <w:top w:val="single" w:color="auto" w:sz="2" w:space="0"/>
              <w:left w:val="single" w:color="auto" w:sz="2" w:space="0"/>
              <w:bottom w:val="single" w:color="auto" w:sz="2" w:space="0"/>
              <w:right w:val="single" w:color="auto" w:sz="2" w:space="0"/>
            </w:tcBorders>
            <w:vAlign w:val="center"/>
          </w:tcPr>
          <w:p w14:paraId="202168F2">
            <w:pPr>
              <w:spacing w:line="240" w:lineRule="exact"/>
              <w:rPr>
                <w:rFonts w:ascii="宋体" w:hAnsi="宋体" w:eastAsia="宋体" w:cs="宋体"/>
                <w:sz w:val="18"/>
                <w:szCs w:val="18"/>
              </w:rPr>
            </w:pPr>
            <w:r>
              <w:rPr>
                <w:rFonts w:ascii="宋体" w:hAnsi="宋体" w:eastAsia="宋体" w:cs="宋体"/>
                <w:sz w:val="18"/>
                <w:szCs w:val="18"/>
              </w:rPr>
              <w:t>江西省九江市</w:t>
            </w:r>
          </w:p>
        </w:tc>
        <w:tc>
          <w:tcPr>
            <w:tcW w:w="1205" w:type="dxa"/>
            <w:tcBorders>
              <w:top w:val="single" w:color="auto" w:sz="2" w:space="0"/>
              <w:left w:val="single" w:color="auto" w:sz="2" w:space="0"/>
              <w:bottom w:val="single" w:color="auto" w:sz="2" w:space="0"/>
              <w:right w:val="single" w:color="auto" w:sz="2" w:space="0"/>
            </w:tcBorders>
            <w:vAlign w:val="center"/>
          </w:tcPr>
          <w:p w14:paraId="2B5E1B56">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5CB1B9A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BA13879">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44F49799">
            <w:pPr>
              <w:spacing w:line="240" w:lineRule="exact"/>
              <w:rPr>
                <w:rFonts w:ascii="宋体" w:hAnsi="宋体" w:eastAsia="宋体" w:cs="宋体"/>
                <w:sz w:val="18"/>
                <w:szCs w:val="18"/>
              </w:rPr>
            </w:pPr>
            <w:r>
              <w:rPr>
                <w:rFonts w:ascii="宋体" w:hAnsi="宋体" w:eastAsia="宋体" w:cs="宋体"/>
                <w:sz w:val="18"/>
                <w:szCs w:val="18"/>
              </w:rPr>
              <w:t>投资设立</w:t>
            </w:r>
          </w:p>
        </w:tc>
      </w:tr>
      <w:tr w14:paraId="29126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BF99A35">
            <w:pPr>
              <w:spacing w:line="240" w:lineRule="exact"/>
              <w:rPr>
                <w:rFonts w:ascii="宋体" w:hAnsi="宋体" w:eastAsia="宋体" w:cs="宋体"/>
                <w:sz w:val="18"/>
                <w:szCs w:val="18"/>
              </w:rPr>
            </w:pPr>
            <w:r>
              <w:rPr>
                <w:rFonts w:ascii="宋体" w:hAnsi="宋体" w:eastAsia="宋体" w:cs="宋体"/>
                <w:sz w:val="18"/>
                <w:szCs w:val="18"/>
              </w:rPr>
              <w:t>浙江金华华孚纺织有限公司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07BD8CD8">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5304E33A">
            <w:pPr>
              <w:spacing w:line="240" w:lineRule="exact"/>
              <w:rPr>
                <w:rFonts w:ascii="宋体" w:hAnsi="宋体" w:eastAsia="宋体" w:cs="宋体"/>
                <w:sz w:val="18"/>
                <w:szCs w:val="18"/>
              </w:rPr>
            </w:pPr>
            <w:r>
              <w:rPr>
                <w:rFonts w:ascii="宋体" w:hAnsi="宋体" w:eastAsia="宋体" w:cs="宋体"/>
                <w:sz w:val="18"/>
                <w:szCs w:val="18"/>
              </w:rPr>
              <w:t>浙江省金华市</w:t>
            </w:r>
          </w:p>
        </w:tc>
        <w:tc>
          <w:tcPr>
            <w:tcW w:w="1205" w:type="dxa"/>
            <w:tcBorders>
              <w:top w:val="single" w:color="auto" w:sz="2" w:space="0"/>
              <w:left w:val="single" w:color="auto" w:sz="2" w:space="0"/>
              <w:bottom w:val="single" w:color="auto" w:sz="2" w:space="0"/>
              <w:right w:val="single" w:color="auto" w:sz="2" w:space="0"/>
            </w:tcBorders>
            <w:vAlign w:val="center"/>
          </w:tcPr>
          <w:p w14:paraId="5F9ACBEC">
            <w:pPr>
              <w:spacing w:line="240" w:lineRule="exact"/>
              <w:rPr>
                <w:rFonts w:ascii="宋体" w:hAnsi="宋体" w:eastAsia="宋体" w:cs="宋体"/>
                <w:sz w:val="18"/>
                <w:szCs w:val="18"/>
              </w:rPr>
            </w:pPr>
            <w:r>
              <w:rPr>
                <w:rFonts w:ascii="宋体" w:hAnsi="宋体" w:eastAsia="宋体" w:cs="宋体"/>
                <w:sz w:val="18"/>
                <w:szCs w:val="18"/>
              </w:rPr>
              <w:t>浙江省金华市</w:t>
            </w:r>
          </w:p>
        </w:tc>
        <w:tc>
          <w:tcPr>
            <w:tcW w:w="1205" w:type="dxa"/>
            <w:tcBorders>
              <w:top w:val="single" w:color="auto" w:sz="2" w:space="0"/>
              <w:left w:val="single" w:color="auto" w:sz="2" w:space="0"/>
              <w:bottom w:val="single" w:color="auto" w:sz="2" w:space="0"/>
              <w:right w:val="single" w:color="auto" w:sz="2" w:space="0"/>
            </w:tcBorders>
            <w:vAlign w:val="center"/>
          </w:tcPr>
          <w:p w14:paraId="39BE5980">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4A4AEA5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984818F">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1A264581">
            <w:pPr>
              <w:spacing w:line="240" w:lineRule="exact"/>
              <w:rPr>
                <w:rFonts w:ascii="宋体" w:hAnsi="宋体" w:eastAsia="宋体" w:cs="宋体"/>
                <w:sz w:val="18"/>
                <w:szCs w:val="18"/>
              </w:rPr>
            </w:pPr>
            <w:r>
              <w:rPr>
                <w:rFonts w:ascii="宋体" w:hAnsi="宋体" w:eastAsia="宋体" w:cs="宋体"/>
                <w:sz w:val="18"/>
                <w:szCs w:val="18"/>
              </w:rPr>
              <w:t>同一控制下企业合并</w:t>
            </w:r>
          </w:p>
        </w:tc>
      </w:tr>
      <w:tr w14:paraId="7C46A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1B4097F">
            <w:pPr>
              <w:spacing w:line="240" w:lineRule="exact"/>
              <w:rPr>
                <w:rFonts w:ascii="宋体" w:hAnsi="宋体" w:eastAsia="宋体" w:cs="宋体"/>
                <w:sz w:val="18"/>
                <w:szCs w:val="18"/>
              </w:rPr>
            </w:pPr>
            <w:r>
              <w:rPr>
                <w:rFonts w:ascii="宋体" w:hAnsi="宋体" w:eastAsia="宋体" w:cs="宋体"/>
                <w:sz w:val="18"/>
                <w:szCs w:val="18"/>
              </w:rPr>
              <w:t>平湖市华孚金瓶纺织有限公司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98574C7">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12099181">
            <w:pPr>
              <w:spacing w:line="240" w:lineRule="exact"/>
              <w:rPr>
                <w:rFonts w:ascii="宋体" w:hAnsi="宋体" w:eastAsia="宋体" w:cs="宋体"/>
                <w:sz w:val="18"/>
                <w:szCs w:val="18"/>
              </w:rPr>
            </w:pPr>
            <w:r>
              <w:rPr>
                <w:rFonts w:ascii="宋体" w:hAnsi="宋体" w:eastAsia="宋体" w:cs="宋体"/>
                <w:sz w:val="18"/>
                <w:szCs w:val="18"/>
              </w:rPr>
              <w:t>浙江省平湖市</w:t>
            </w:r>
          </w:p>
        </w:tc>
        <w:tc>
          <w:tcPr>
            <w:tcW w:w="1205" w:type="dxa"/>
            <w:tcBorders>
              <w:top w:val="single" w:color="auto" w:sz="2" w:space="0"/>
              <w:left w:val="single" w:color="auto" w:sz="2" w:space="0"/>
              <w:bottom w:val="single" w:color="auto" w:sz="2" w:space="0"/>
              <w:right w:val="single" w:color="auto" w:sz="2" w:space="0"/>
            </w:tcBorders>
            <w:vAlign w:val="center"/>
          </w:tcPr>
          <w:p w14:paraId="15CA9EF6">
            <w:pPr>
              <w:spacing w:line="240" w:lineRule="exact"/>
              <w:rPr>
                <w:rFonts w:ascii="宋体" w:hAnsi="宋体" w:eastAsia="宋体" w:cs="宋体"/>
                <w:sz w:val="18"/>
                <w:szCs w:val="18"/>
              </w:rPr>
            </w:pPr>
            <w:r>
              <w:rPr>
                <w:rFonts w:ascii="宋体" w:hAnsi="宋体" w:eastAsia="宋体" w:cs="宋体"/>
                <w:sz w:val="18"/>
                <w:szCs w:val="18"/>
              </w:rPr>
              <w:t>浙江省平湖市</w:t>
            </w:r>
          </w:p>
        </w:tc>
        <w:tc>
          <w:tcPr>
            <w:tcW w:w="1205" w:type="dxa"/>
            <w:tcBorders>
              <w:top w:val="single" w:color="auto" w:sz="2" w:space="0"/>
              <w:left w:val="single" w:color="auto" w:sz="2" w:space="0"/>
              <w:bottom w:val="single" w:color="auto" w:sz="2" w:space="0"/>
              <w:right w:val="single" w:color="auto" w:sz="2" w:space="0"/>
            </w:tcBorders>
            <w:vAlign w:val="center"/>
          </w:tcPr>
          <w:p w14:paraId="48A4ACC5">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153C8B61">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61B89BF">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4E4414D2">
            <w:pPr>
              <w:spacing w:line="240" w:lineRule="exact"/>
              <w:rPr>
                <w:rFonts w:ascii="宋体" w:hAnsi="宋体" w:eastAsia="宋体" w:cs="宋体"/>
                <w:sz w:val="18"/>
                <w:szCs w:val="18"/>
              </w:rPr>
            </w:pPr>
            <w:r>
              <w:rPr>
                <w:rFonts w:ascii="宋体" w:hAnsi="宋体" w:eastAsia="宋体" w:cs="宋体"/>
                <w:sz w:val="18"/>
                <w:szCs w:val="18"/>
              </w:rPr>
              <w:t>同一控制下企业合并</w:t>
            </w:r>
          </w:p>
        </w:tc>
      </w:tr>
      <w:tr w14:paraId="2E541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8DE6752">
            <w:pPr>
              <w:spacing w:line="240" w:lineRule="exact"/>
              <w:rPr>
                <w:rFonts w:ascii="宋体" w:hAnsi="宋体" w:eastAsia="宋体" w:cs="宋体"/>
                <w:sz w:val="18"/>
                <w:szCs w:val="18"/>
              </w:rPr>
            </w:pPr>
            <w:r>
              <w:rPr>
                <w:rFonts w:ascii="宋体" w:hAnsi="宋体" w:eastAsia="宋体" w:cs="宋体"/>
                <w:sz w:val="18"/>
                <w:szCs w:val="18"/>
              </w:rPr>
              <w:t>上海华孚色纺贸易有限公司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6C0C7C0">
            <w:pPr>
              <w:spacing w:line="240" w:lineRule="exact"/>
              <w:jc w:val="right"/>
              <w:rPr>
                <w:rFonts w:ascii="宋体" w:hAnsi="宋体" w:eastAsia="宋体" w:cs="宋体"/>
                <w:sz w:val="18"/>
                <w:szCs w:val="18"/>
              </w:rPr>
            </w:pPr>
            <w:r>
              <w:rPr>
                <w:rFonts w:ascii="宋体" w:hAnsi="宋体" w:eastAsia="宋体" w:cs="宋体"/>
                <w:sz w:val="18"/>
                <w:szCs w:val="18"/>
              </w:rPr>
              <w:t>50,000,000.00</w:t>
            </w:r>
          </w:p>
        </w:tc>
        <w:tc>
          <w:tcPr>
            <w:tcW w:w="1205" w:type="dxa"/>
            <w:tcBorders>
              <w:top w:val="single" w:color="auto" w:sz="2" w:space="0"/>
              <w:left w:val="single" w:color="auto" w:sz="2" w:space="0"/>
              <w:bottom w:val="single" w:color="auto" w:sz="2" w:space="0"/>
              <w:right w:val="single" w:color="auto" w:sz="2" w:space="0"/>
            </w:tcBorders>
            <w:vAlign w:val="center"/>
          </w:tcPr>
          <w:p w14:paraId="3917C179">
            <w:pPr>
              <w:spacing w:line="240" w:lineRule="exact"/>
              <w:rPr>
                <w:rFonts w:ascii="宋体" w:hAnsi="宋体" w:eastAsia="宋体" w:cs="宋体"/>
                <w:sz w:val="18"/>
                <w:szCs w:val="18"/>
              </w:rPr>
            </w:pPr>
            <w:r>
              <w:rPr>
                <w:rFonts w:ascii="宋体" w:hAnsi="宋体" w:eastAsia="宋体" w:cs="宋体"/>
                <w:sz w:val="18"/>
                <w:szCs w:val="18"/>
              </w:rPr>
              <w:t>上海市</w:t>
            </w:r>
          </w:p>
        </w:tc>
        <w:tc>
          <w:tcPr>
            <w:tcW w:w="1205" w:type="dxa"/>
            <w:tcBorders>
              <w:top w:val="single" w:color="auto" w:sz="2" w:space="0"/>
              <w:left w:val="single" w:color="auto" w:sz="2" w:space="0"/>
              <w:bottom w:val="single" w:color="auto" w:sz="2" w:space="0"/>
              <w:right w:val="single" w:color="auto" w:sz="2" w:space="0"/>
            </w:tcBorders>
            <w:vAlign w:val="center"/>
          </w:tcPr>
          <w:p w14:paraId="0CFD10BE">
            <w:pPr>
              <w:spacing w:line="240" w:lineRule="exact"/>
              <w:rPr>
                <w:rFonts w:ascii="宋体" w:hAnsi="宋体" w:eastAsia="宋体" w:cs="宋体"/>
                <w:sz w:val="18"/>
                <w:szCs w:val="18"/>
              </w:rPr>
            </w:pPr>
            <w:r>
              <w:rPr>
                <w:rFonts w:ascii="宋体" w:hAnsi="宋体" w:eastAsia="宋体" w:cs="宋体"/>
                <w:sz w:val="18"/>
                <w:szCs w:val="18"/>
              </w:rPr>
              <w:t>上海市</w:t>
            </w:r>
          </w:p>
        </w:tc>
        <w:tc>
          <w:tcPr>
            <w:tcW w:w="1205" w:type="dxa"/>
            <w:tcBorders>
              <w:top w:val="single" w:color="auto" w:sz="2" w:space="0"/>
              <w:left w:val="single" w:color="auto" w:sz="2" w:space="0"/>
              <w:bottom w:val="single" w:color="auto" w:sz="2" w:space="0"/>
              <w:right w:val="single" w:color="auto" w:sz="2" w:space="0"/>
            </w:tcBorders>
            <w:vAlign w:val="center"/>
          </w:tcPr>
          <w:p w14:paraId="72FD56F8">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188E1ED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C16BC9C">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66C3CB77">
            <w:pPr>
              <w:spacing w:line="240" w:lineRule="exact"/>
              <w:rPr>
                <w:rFonts w:ascii="宋体" w:hAnsi="宋体" w:eastAsia="宋体" w:cs="宋体"/>
                <w:sz w:val="18"/>
                <w:szCs w:val="18"/>
              </w:rPr>
            </w:pPr>
            <w:r>
              <w:rPr>
                <w:rFonts w:ascii="宋体" w:hAnsi="宋体" w:eastAsia="宋体" w:cs="宋体"/>
                <w:sz w:val="18"/>
                <w:szCs w:val="18"/>
              </w:rPr>
              <w:t>投资设立</w:t>
            </w:r>
          </w:p>
        </w:tc>
      </w:tr>
      <w:tr w14:paraId="00306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272BAD7">
            <w:pPr>
              <w:spacing w:line="240" w:lineRule="exact"/>
              <w:rPr>
                <w:rFonts w:ascii="宋体" w:hAnsi="宋体" w:eastAsia="宋体" w:cs="宋体"/>
                <w:sz w:val="18"/>
                <w:szCs w:val="18"/>
              </w:rPr>
            </w:pPr>
            <w:r>
              <w:rPr>
                <w:rFonts w:ascii="宋体" w:hAnsi="宋体" w:eastAsia="宋体" w:cs="宋体"/>
                <w:sz w:val="18"/>
                <w:szCs w:val="18"/>
              </w:rPr>
              <w:t>阿克苏华孚色纺有限公司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E2FA95F">
            <w:pPr>
              <w:spacing w:line="240" w:lineRule="exact"/>
              <w:jc w:val="right"/>
              <w:rPr>
                <w:rFonts w:ascii="宋体" w:hAnsi="宋体" w:eastAsia="宋体" w:cs="宋体"/>
                <w:sz w:val="18"/>
                <w:szCs w:val="18"/>
              </w:rPr>
            </w:pPr>
            <w:r>
              <w:rPr>
                <w:rFonts w:ascii="宋体" w:hAnsi="宋体" w:eastAsia="宋体" w:cs="宋体"/>
                <w:sz w:val="18"/>
                <w:szCs w:val="18"/>
              </w:rPr>
              <w:t>2,134,516,140.00</w:t>
            </w:r>
          </w:p>
        </w:tc>
        <w:tc>
          <w:tcPr>
            <w:tcW w:w="1205" w:type="dxa"/>
            <w:tcBorders>
              <w:top w:val="single" w:color="auto" w:sz="2" w:space="0"/>
              <w:left w:val="single" w:color="auto" w:sz="2" w:space="0"/>
              <w:bottom w:val="single" w:color="auto" w:sz="2" w:space="0"/>
              <w:right w:val="single" w:color="auto" w:sz="2" w:space="0"/>
            </w:tcBorders>
            <w:vAlign w:val="center"/>
          </w:tcPr>
          <w:p w14:paraId="39CD9E9C">
            <w:pPr>
              <w:spacing w:line="240" w:lineRule="exact"/>
              <w:rPr>
                <w:rFonts w:ascii="宋体" w:hAnsi="宋体" w:eastAsia="宋体" w:cs="宋体"/>
                <w:sz w:val="18"/>
                <w:szCs w:val="18"/>
              </w:rPr>
            </w:pPr>
            <w:r>
              <w:rPr>
                <w:rFonts w:ascii="宋体" w:hAnsi="宋体" w:eastAsia="宋体" w:cs="宋体"/>
                <w:sz w:val="18"/>
                <w:szCs w:val="18"/>
              </w:rPr>
              <w:t>新疆阿克苏市</w:t>
            </w:r>
          </w:p>
        </w:tc>
        <w:tc>
          <w:tcPr>
            <w:tcW w:w="1205" w:type="dxa"/>
            <w:tcBorders>
              <w:top w:val="single" w:color="auto" w:sz="2" w:space="0"/>
              <w:left w:val="single" w:color="auto" w:sz="2" w:space="0"/>
              <w:bottom w:val="single" w:color="auto" w:sz="2" w:space="0"/>
              <w:right w:val="single" w:color="auto" w:sz="2" w:space="0"/>
            </w:tcBorders>
            <w:vAlign w:val="center"/>
          </w:tcPr>
          <w:p w14:paraId="21BE379F">
            <w:pPr>
              <w:spacing w:line="240" w:lineRule="exact"/>
              <w:rPr>
                <w:rFonts w:ascii="宋体" w:hAnsi="宋体" w:eastAsia="宋体" w:cs="宋体"/>
                <w:sz w:val="18"/>
                <w:szCs w:val="18"/>
              </w:rPr>
            </w:pPr>
            <w:r>
              <w:rPr>
                <w:rFonts w:ascii="宋体" w:hAnsi="宋体" w:eastAsia="宋体" w:cs="宋体"/>
                <w:sz w:val="18"/>
                <w:szCs w:val="18"/>
              </w:rPr>
              <w:t>新疆阿克苏市</w:t>
            </w:r>
          </w:p>
        </w:tc>
        <w:tc>
          <w:tcPr>
            <w:tcW w:w="1205" w:type="dxa"/>
            <w:tcBorders>
              <w:top w:val="single" w:color="auto" w:sz="2" w:space="0"/>
              <w:left w:val="single" w:color="auto" w:sz="2" w:space="0"/>
              <w:bottom w:val="single" w:color="auto" w:sz="2" w:space="0"/>
              <w:right w:val="single" w:color="auto" w:sz="2" w:space="0"/>
            </w:tcBorders>
            <w:vAlign w:val="center"/>
          </w:tcPr>
          <w:p w14:paraId="694F9869">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01B2A39F">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7DBEFB9">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1EAAD461">
            <w:pPr>
              <w:spacing w:line="240" w:lineRule="exact"/>
              <w:rPr>
                <w:rFonts w:ascii="宋体" w:hAnsi="宋体" w:eastAsia="宋体" w:cs="宋体"/>
                <w:sz w:val="18"/>
                <w:szCs w:val="18"/>
              </w:rPr>
            </w:pPr>
            <w:r>
              <w:rPr>
                <w:rFonts w:ascii="宋体" w:hAnsi="宋体" w:eastAsia="宋体" w:cs="宋体"/>
                <w:sz w:val="18"/>
                <w:szCs w:val="18"/>
              </w:rPr>
              <w:t>投资设立</w:t>
            </w:r>
          </w:p>
        </w:tc>
      </w:tr>
      <w:tr w14:paraId="4233C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5B13C7A">
            <w:pPr>
              <w:spacing w:line="240" w:lineRule="exact"/>
              <w:rPr>
                <w:rFonts w:ascii="宋体" w:hAnsi="宋体" w:eastAsia="宋体" w:cs="宋体"/>
                <w:sz w:val="18"/>
                <w:szCs w:val="18"/>
              </w:rPr>
            </w:pPr>
            <w:r>
              <w:rPr>
                <w:rFonts w:ascii="宋体" w:hAnsi="宋体" w:eastAsia="宋体" w:cs="宋体"/>
                <w:sz w:val="18"/>
                <w:szCs w:val="18"/>
              </w:rPr>
              <w:t>新疆华孚算网科技有限公司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0A0E275C">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607BD850">
            <w:pPr>
              <w:spacing w:line="240" w:lineRule="exact"/>
              <w:rPr>
                <w:rFonts w:ascii="宋体" w:hAnsi="宋体" w:eastAsia="宋体" w:cs="宋体"/>
                <w:sz w:val="18"/>
                <w:szCs w:val="18"/>
              </w:rPr>
            </w:pPr>
            <w:r>
              <w:rPr>
                <w:rFonts w:ascii="宋体" w:hAnsi="宋体" w:eastAsia="宋体" w:cs="宋体"/>
                <w:sz w:val="18"/>
                <w:szCs w:val="18"/>
              </w:rPr>
              <w:t>新疆乌鲁木齐</w:t>
            </w:r>
          </w:p>
        </w:tc>
        <w:tc>
          <w:tcPr>
            <w:tcW w:w="1205" w:type="dxa"/>
            <w:tcBorders>
              <w:top w:val="single" w:color="auto" w:sz="2" w:space="0"/>
              <w:left w:val="single" w:color="auto" w:sz="2" w:space="0"/>
              <w:bottom w:val="single" w:color="auto" w:sz="2" w:space="0"/>
              <w:right w:val="single" w:color="auto" w:sz="2" w:space="0"/>
            </w:tcBorders>
            <w:vAlign w:val="center"/>
          </w:tcPr>
          <w:p w14:paraId="1A494C87">
            <w:pPr>
              <w:spacing w:line="240" w:lineRule="exact"/>
              <w:rPr>
                <w:rFonts w:ascii="宋体" w:hAnsi="宋体" w:eastAsia="宋体" w:cs="宋体"/>
                <w:sz w:val="18"/>
                <w:szCs w:val="18"/>
              </w:rPr>
            </w:pPr>
            <w:r>
              <w:rPr>
                <w:rFonts w:ascii="宋体" w:hAnsi="宋体" w:eastAsia="宋体" w:cs="宋体"/>
                <w:sz w:val="18"/>
                <w:szCs w:val="18"/>
              </w:rPr>
              <w:t>新疆乌鲁木齐</w:t>
            </w:r>
          </w:p>
        </w:tc>
        <w:tc>
          <w:tcPr>
            <w:tcW w:w="1205" w:type="dxa"/>
            <w:tcBorders>
              <w:top w:val="single" w:color="auto" w:sz="2" w:space="0"/>
              <w:left w:val="single" w:color="auto" w:sz="2" w:space="0"/>
              <w:bottom w:val="single" w:color="auto" w:sz="2" w:space="0"/>
              <w:right w:val="single" w:color="auto" w:sz="2" w:space="0"/>
            </w:tcBorders>
            <w:vAlign w:val="center"/>
          </w:tcPr>
          <w:p w14:paraId="00A2CF6D">
            <w:pPr>
              <w:spacing w:line="240" w:lineRule="exact"/>
              <w:rPr>
                <w:rFonts w:ascii="宋体" w:hAnsi="宋体" w:eastAsia="宋体" w:cs="宋体"/>
                <w:sz w:val="18"/>
                <w:szCs w:val="18"/>
              </w:rPr>
            </w:pPr>
            <w:r>
              <w:rPr>
                <w:rFonts w:ascii="宋体" w:hAnsi="宋体" w:eastAsia="宋体" w:cs="宋体"/>
                <w:sz w:val="18"/>
                <w:szCs w:val="18"/>
              </w:rPr>
              <w:t>科技推广和应用服务业</w:t>
            </w:r>
          </w:p>
        </w:tc>
        <w:tc>
          <w:tcPr>
            <w:tcW w:w="1205" w:type="dxa"/>
            <w:tcBorders>
              <w:top w:val="single" w:color="auto" w:sz="2" w:space="0"/>
              <w:left w:val="single" w:color="auto" w:sz="2" w:space="0"/>
              <w:bottom w:val="single" w:color="auto" w:sz="2" w:space="0"/>
              <w:right w:val="single" w:color="auto" w:sz="2" w:space="0"/>
            </w:tcBorders>
            <w:vAlign w:val="center"/>
          </w:tcPr>
          <w:p w14:paraId="37FC294E">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1DE1DC2">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7AECEDA5">
            <w:pPr>
              <w:spacing w:line="240" w:lineRule="exact"/>
              <w:rPr>
                <w:rFonts w:ascii="宋体" w:hAnsi="宋体" w:eastAsia="宋体" w:cs="宋体"/>
                <w:sz w:val="18"/>
                <w:szCs w:val="18"/>
              </w:rPr>
            </w:pPr>
            <w:r>
              <w:rPr>
                <w:rFonts w:ascii="宋体" w:hAnsi="宋体" w:eastAsia="宋体" w:cs="宋体"/>
                <w:sz w:val="18"/>
                <w:szCs w:val="18"/>
              </w:rPr>
              <w:t>投资设立</w:t>
            </w:r>
          </w:p>
        </w:tc>
      </w:tr>
      <w:tr w14:paraId="581BF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00FA978">
            <w:pPr>
              <w:spacing w:line="240" w:lineRule="exact"/>
              <w:rPr>
                <w:rFonts w:ascii="宋体" w:hAnsi="宋体" w:eastAsia="宋体" w:cs="宋体"/>
                <w:sz w:val="18"/>
                <w:szCs w:val="18"/>
              </w:rPr>
            </w:pPr>
            <w:r>
              <w:rPr>
                <w:rFonts w:ascii="宋体" w:hAnsi="宋体" w:eastAsia="宋体" w:cs="宋体"/>
                <w:sz w:val="18"/>
                <w:szCs w:val="18"/>
              </w:rPr>
              <w:t>新疆六孚纺织工业园有限公司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BC3D7BF">
            <w:pPr>
              <w:spacing w:line="240" w:lineRule="exact"/>
              <w:jc w:val="right"/>
              <w:rPr>
                <w:rFonts w:ascii="宋体" w:hAnsi="宋体" w:eastAsia="宋体" w:cs="宋体"/>
                <w:sz w:val="18"/>
                <w:szCs w:val="18"/>
              </w:rPr>
            </w:pPr>
            <w:r>
              <w:rPr>
                <w:rFonts w:ascii="宋体" w:hAnsi="宋体" w:eastAsia="宋体" w:cs="宋体"/>
                <w:sz w:val="18"/>
                <w:szCs w:val="18"/>
              </w:rPr>
              <w:t>338,250,000.00</w:t>
            </w:r>
          </w:p>
        </w:tc>
        <w:tc>
          <w:tcPr>
            <w:tcW w:w="1205" w:type="dxa"/>
            <w:tcBorders>
              <w:top w:val="single" w:color="auto" w:sz="2" w:space="0"/>
              <w:left w:val="single" w:color="auto" w:sz="2" w:space="0"/>
              <w:bottom w:val="single" w:color="auto" w:sz="2" w:space="0"/>
              <w:right w:val="single" w:color="auto" w:sz="2" w:space="0"/>
            </w:tcBorders>
            <w:vAlign w:val="center"/>
          </w:tcPr>
          <w:p w14:paraId="74AAC718">
            <w:pPr>
              <w:spacing w:line="240" w:lineRule="exact"/>
              <w:rPr>
                <w:rFonts w:ascii="宋体" w:hAnsi="宋体" w:eastAsia="宋体" w:cs="宋体"/>
                <w:sz w:val="18"/>
                <w:szCs w:val="18"/>
              </w:rPr>
            </w:pPr>
            <w:r>
              <w:rPr>
                <w:rFonts w:ascii="宋体" w:hAnsi="宋体" w:eastAsia="宋体" w:cs="宋体"/>
                <w:sz w:val="18"/>
                <w:szCs w:val="18"/>
              </w:rPr>
              <w:t>新疆五家渠市</w:t>
            </w:r>
          </w:p>
        </w:tc>
        <w:tc>
          <w:tcPr>
            <w:tcW w:w="1205" w:type="dxa"/>
            <w:tcBorders>
              <w:top w:val="single" w:color="auto" w:sz="2" w:space="0"/>
              <w:left w:val="single" w:color="auto" w:sz="2" w:space="0"/>
              <w:bottom w:val="single" w:color="auto" w:sz="2" w:space="0"/>
              <w:right w:val="single" w:color="auto" w:sz="2" w:space="0"/>
            </w:tcBorders>
            <w:vAlign w:val="center"/>
          </w:tcPr>
          <w:p w14:paraId="2BD5023E">
            <w:pPr>
              <w:spacing w:line="240" w:lineRule="exact"/>
              <w:rPr>
                <w:rFonts w:ascii="宋体" w:hAnsi="宋体" w:eastAsia="宋体" w:cs="宋体"/>
                <w:sz w:val="18"/>
                <w:szCs w:val="18"/>
              </w:rPr>
            </w:pPr>
            <w:r>
              <w:rPr>
                <w:rFonts w:ascii="宋体" w:hAnsi="宋体" w:eastAsia="宋体" w:cs="宋体"/>
                <w:sz w:val="18"/>
                <w:szCs w:val="18"/>
              </w:rPr>
              <w:t>新疆五家渠市</w:t>
            </w:r>
          </w:p>
        </w:tc>
        <w:tc>
          <w:tcPr>
            <w:tcW w:w="1205" w:type="dxa"/>
            <w:tcBorders>
              <w:top w:val="single" w:color="auto" w:sz="2" w:space="0"/>
              <w:left w:val="single" w:color="auto" w:sz="2" w:space="0"/>
              <w:bottom w:val="single" w:color="auto" w:sz="2" w:space="0"/>
              <w:right w:val="single" w:color="auto" w:sz="2" w:space="0"/>
            </w:tcBorders>
            <w:vAlign w:val="center"/>
          </w:tcPr>
          <w:p w14:paraId="43454DF8">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55957F6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A263377">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2D0AB5A9">
            <w:pPr>
              <w:spacing w:line="240" w:lineRule="exact"/>
              <w:rPr>
                <w:rFonts w:ascii="宋体" w:hAnsi="宋体" w:eastAsia="宋体" w:cs="宋体"/>
                <w:sz w:val="18"/>
                <w:szCs w:val="18"/>
              </w:rPr>
            </w:pPr>
            <w:r>
              <w:rPr>
                <w:rFonts w:ascii="宋体" w:hAnsi="宋体" w:eastAsia="宋体" w:cs="宋体"/>
                <w:sz w:val="18"/>
                <w:szCs w:val="18"/>
              </w:rPr>
              <w:t>投资设立</w:t>
            </w:r>
          </w:p>
        </w:tc>
      </w:tr>
      <w:tr w14:paraId="7865A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DEFDA47">
            <w:pPr>
              <w:spacing w:line="240" w:lineRule="exact"/>
              <w:rPr>
                <w:rFonts w:ascii="宋体" w:hAnsi="宋体" w:eastAsia="宋体" w:cs="宋体"/>
                <w:sz w:val="18"/>
                <w:szCs w:val="18"/>
              </w:rPr>
            </w:pPr>
            <w:r>
              <w:rPr>
                <w:rFonts w:ascii="宋体" w:hAnsi="宋体" w:eastAsia="宋体" w:cs="宋体"/>
                <w:sz w:val="18"/>
                <w:szCs w:val="18"/>
              </w:rPr>
              <w:t>新疆天宏新八棉产业有限公司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BF563D8">
            <w:pPr>
              <w:spacing w:line="240" w:lineRule="exact"/>
              <w:jc w:val="right"/>
              <w:rPr>
                <w:rFonts w:ascii="宋体" w:hAnsi="宋体" w:eastAsia="宋体" w:cs="宋体"/>
                <w:sz w:val="18"/>
                <w:szCs w:val="18"/>
              </w:rPr>
            </w:pPr>
            <w:r>
              <w:rPr>
                <w:rFonts w:ascii="宋体" w:hAnsi="宋体" w:eastAsia="宋体" w:cs="宋体"/>
                <w:sz w:val="18"/>
                <w:szCs w:val="18"/>
              </w:rPr>
              <w:t>48,710,000.00</w:t>
            </w:r>
          </w:p>
        </w:tc>
        <w:tc>
          <w:tcPr>
            <w:tcW w:w="1205" w:type="dxa"/>
            <w:tcBorders>
              <w:top w:val="single" w:color="auto" w:sz="2" w:space="0"/>
              <w:left w:val="single" w:color="auto" w:sz="2" w:space="0"/>
              <w:bottom w:val="single" w:color="auto" w:sz="2" w:space="0"/>
              <w:right w:val="single" w:color="auto" w:sz="2" w:space="0"/>
            </w:tcBorders>
            <w:vAlign w:val="center"/>
          </w:tcPr>
          <w:p w14:paraId="3FA7808C">
            <w:pPr>
              <w:spacing w:line="240" w:lineRule="exact"/>
              <w:rPr>
                <w:rFonts w:ascii="宋体" w:hAnsi="宋体" w:eastAsia="宋体" w:cs="宋体"/>
                <w:sz w:val="18"/>
                <w:szCs w:val="18"/>
              </w:rPr>
            </w:pPr>
            <w:r>
              <w:rPr>
                <w:rFonts w:ascii="宋体" w:hAnsi="宋体" w:eastAsia="宋体" w:cs="宋体"/>
                <w:sz w:val="18"/>
                <w:szCs w:val="18"/>
              </w:rPr>
              <w:t>新疆石河子市</w:t>
            </w:r>
          </w:p>
        </w:tc>
        <w:tc>
          <w:tcPr>
            <w:tcW w:w="1205" w:type="dxa"/>
            <w:tcBorders>
              <w:top w:val="single" w:color="auto" w:sz="2" w:space="0"/>
              <w:left w:val="single" w:color="auto" w:sz="2" w:space="0"/>
              <w:bottom w:val="single" w:color="auto" w:sz="2" w:space="0"/>
              <w:right w:val="single" w:color="auto" w:sz="2" w:space="0"/>
            </w:tcBorders>
            <w:vAlign w:val="center"/>
          </w:tcPr>
          <w:p w14:paraId="742AFDD9">
            <w:pPr>
              <w:spacing w:line="240" w:lineRule="exact"/>
              <w:rPr>
                <w:rFonts w:ascii="宋体" w:hAnsi="宋体" w:eastAsia="宋体" w:cs="宋体"/>
                <w:sz w:val="18"/>
                <w:szCs w:val="18"/>
              </w:rPr>
            </w:pPr>
            <w:r>
              <w:rPr>
                <w:rFonts w:ascii="宋体" w:hAnsi="宋体" w:eastAsia="宋体" w:cs="宋体"/>
                <w:sz w:val="18"/>
                <w:szCs w:val="18"/>
              </w:rPr>
              <w:t>新疆石河子市</w:t>
            </w:r>
          </w:p>
        </w:tc>
        <w:tc>
          <w:tcPr>
            <w:tcW w:w="1205" w:type="dxa"/>
            <w:tcBorders>
              <w:top w:val="single" w:color="auto" w:sz="2" w:space="0"/>
              <w:left w:val="single" w:color="auto" w:sz="2" w:space="0"/>
              <w:bottom w:val="single" w:color="auto" w:sz="2" w:space="0"/>
              <w:right w:val="single" w:color="auto" w:sz="2" w:space="0"/>
            </w:tcBorders>
            <w:vAlign w:val="center"/>
          </w:tcPr>
          <w:p w14:paraId="0F99BC27">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336211F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5437373">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482A4681">
            <w:pPr>
              <w:spacing w:line="240" w:lineRule="exact"/>
              <w:rPr>
                <w:rFonts w:ascii="宋体" w:hAnsi="宋体" w:eastAsia="宋体" w:cs="宋体"/>
                <w:sz w:val="18"/>
                <w:szCs w:val="18"/>
              </w:rPr>
            </w:pPr>
            <w:r>
              <w:rPr>
                <w:rFonts w:ascii="宋体" w:hAnsi="宋体" w:eastAsia="宋体" w:cs="宋体"/>
                <w:sz w:val="18"/>
                <w:szCs w:val="18"/>
              </w:rPr>
              <w:t>非同一控制下企业合并</w:t>
            </w:r>
          </w:p>
        </w:tc>
      </w:tr>
      <w:tr w14:paraId="4B409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9F24B78">
            <w:pPr>
              <w:spacing w:line="240" w:lineRule="exact"/>
              <w:rPr>
                <w:rFonts w:ascii="宋体" w:hAnsi="宋体" w:eastAsia="宋体" w:cs="宋体"/>
                <w:sz w:val="18"/>
                <w:szCs w:val="18"/>
              </w:rPr>
            </w:pPr>
            <w:r>
              <w:rPr>
                <w:rFonts w:ascii="宋体" w:hAnsi="宋体" w:eastAsia="宋体" w:cs="宋体"/>
                <w:sz w:val="18"/>
                <w:szCs w:val="18"/>
              </w:rPr>
              <w:t>阿克苏华孚新能源有限公司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4475E51">
            <w:pPr>
              <w:spacing w:line="240" w:lineRule="exact"/>
              <w:jc w:val="right"/>
              <w:rPr>
                <w:rFonts w:ascii="宋体" w:hAnsi="宋体" w:eastAsia="宋体" w:cs="宋体"/>
                <w:sz w:val="18"/>
                <w:szCs w:val="18"/>
              </w:rPr>
            </w:pPr>
            <w:r>
              <w:rPr>
                <w:rFonts w:ascii="宋体" w:hAnsi="宋体" w:eastAsia="宋体" w:cs="宋体"/>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14:paraId="4B35AE17">
            <w:pPr>
              <w:spacing w:line="240" w:lineRule="exact"/>
              <w:rPr>
                <w:rFonts w:ascii="宋体" w:hAnsi="宋体" w:eastAsia="宋体" w:cs="宋体"/>
                <w:sz w:val="18"/>
                <w:szCs w:val="18"/>
              </w:rPr>
            </w:pPr>
            <w:r>
              <w:rPr>
                <w:rFonts w:ascii="宋体" w:hAnsi="宋体" w:eastAsia="宋体" w:cs="宋体"/>
                <w:sz w:val="18"/>
                <w:szCs w:val="18"/>
              </w:rPr>
              <w:t>新疆阿克苏市</w:t>
            </w:r>
          </w:p>
        </w:tc>
        <w:tc>
          <w:tcPr>
            <w:tcW w:w="1205" w:type="dxa"/>
            <w:tcBorders>
              <w:top w:val="single" w:color="auto" w:sz="2" w:space="0"/>
              <w:left w:val="single" w:color="auto" w:sz="2" w:space="0"/>
              <w:bottom w:val="single" w:color="auto" w:sz="2" w:space="0"/>
              <w:right w:val="single" w:color="auto" w:sz="2" w:space="0"/>
            </w:tcBorders>
            <w:vAlign w:val="center"/>
          </w:tcPr>
          <w:p w14:paraId="79BE1D7B">
            <w:pPr>
              <w:spacing w:line="240" w:lineRule="exact"/>
              <w:rPr>
                <w:rFonts w:ascii="宋体" w:hAnsi="宋体" w:eastAsia="宋体" w:cs="宋体"/>
                <w:sz w:val="18"/>
                <w:szCs w:val="18"/>
              </w:rPr>
            </w:pPr>
            <w:r>
              <w:rPr>
                <w:rFonts w:ascii="宋体" w:hAnsi="宋体" w:eastAsia="宋体" w:cs="宋体"/>
                <w:sz w:val="18"/>
                <w:szCs w:val="18"/>
              </w:rPr>
              <w:t>新疆阿克苏市</w:t>
            </w:r>
          </w:p>
        </w:tc>
        <w:tc>
          <w:tcPr>
            <w:tcW w:w="1205" w:type="dxa"/>
            <w:tcBorders>
              <w:top w:val="single" w:color="auto" w:sz="2" w:space="0"/>
              <w:left w:val="single" w:color="auto" w:sz="2" w:space="0"/>
              <w:bottom w:val="single" w:color="auto" w:sz="2" w:space="0"/>
              <w:right w:val="single" w:color="auto" w:sz="2" w:space="0"/>
            </w:tcBorders>
            <w:vAlign w:val="center"/>
          </w:tcPr>
          <w:p w14:paraId="4DA5E580">
            <w:pPr>
              <w:spacing w:line="240" w:lineRule="exact"/>
              <w:rPr>
                <w:rFonts w:ascii="宋体" w:hAnsi="宋体" w:eastAsia="宋体" w:cs="宋体"/>
                <w:sz w:val="18"/>
                <w:szCs w:val="18"/>
              </w:rPr>
            </w:pPr>
            <w:r>
              <w:rPr>
                <w:rFonts w:ascii="宋体" w:hAnsi="宋体" w:eastAsia="宋体" w:cs="宋体"/>
                <w:sz w:val="18"/>
                <w:szCs w:val="18"/>
              </w:rPr>
              <w:t>光伏销售及技术服务</w:t>
            </w:r>
          </w:p>
        </w:tc>
        <w:tc>
          <w:tcPr>
            <w:tcW w:w="1205" w:type="dxa"/>
            <w:tcBorders>
              <w:top w:val="single" w:color="auto" w:sz="2" w:space="0"/>
              <w:left w:val="single" w:color="auto" w:sz="2" w:space="0"/>
              <w:bottom w:val="single" w:color="auto" w:sz="2" w:space="0"/>
              <w:right w:val="single" w:color="auto" w:sz="2" w:space="0"/>
            </w:tcBorders>
            <w:vAlign w:val="center"/>
          </w:tcPr>
          <w:p w14:paraId="2843E33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CE8F444">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78588BF0">
            <w:pPr>
              <w:spacing w:line="240" w:lineRule="exact"/>
              <w:rPr>
                <w:rFonts w:ascii="宋体" w:hAnsi="宋体" w:eastAsia="宋体" w:cs="宋体"/>
                <w:sz w:val="18"/>
                <w:szCs w:val="18"/>
              </w:rPr>
            </w:pPr>
            <w:r>
              <w:rPr>
                <w:rFonts w:ascii="宋体" w:hAnsi="宋体" w:eastAsia="宋体" w:cs="宋体"/>
                <w:sz w:val="18"/>
                <w:szCs w:val="18"/>
              </w:rPr>
              <w:t>投资设立</w:t>
            </w:r>
          </w:p>
        </w:tc>
      </w:tr>
      <w:tr w14:paraId="0EB1C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5ADC7A9">
            <w:pPr>
              <w:spacing w:line="240" w:lineRule="exact"/>
              <w:rPr>
                <w:rFonts w:ascii="宋体" w:hAnsi="宋体" w:eastAsia="宋体" w:cs="宋体"/>
                <w:sz w:val="18"/>
                <w:szCs w:val="18"/>
              </w:rPr>
            </w:pPr>
            <w:r>
              <w:rPr>
                <w:rFonts w:ascii="宋体" w:hAnsi="宋体" w:eastAsia="宋体" w:cs="宋体"/>
                <w:sz w:val="18"/>
                <w:szCs w:val="18"/>
              </w:rPr>
              <w:t>新疆华孚纺织有限公司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0A7DEE22">
            <w:pPr>
              <w:spacing w:line="240" w:lineRule="exact"/>
              <w:jc w:val="right"/>
              <w:rPr>
                <w:rFonts w:ascii="宋体" w:hAnsi="宋体" w:eastAsia="宋体" w:cs="宋体"/>
                <w:sz w:val="18"/>
                <w:szCs w:val="18"/>
              </w:rPr>
            </w:pPr>
            <w:r>
              <w:rPr>
                <w:rFonts w:ascii="宋体" w:hAnsi="宋体" w:eastAsia="宋体" w:cs="宋体"/>
                <w:sz w:val="18"/>
                <w:szCs w:val="18"/>
              </w:rPr>
              <w:t>50,000,000.00</w:t>
            </w:r>
          </w:p>
        </w:tc>
        <w:tc>
          <w:tcPr>
            <w:tcW w:w="1205" w:type="dxa"/>
            <w:tcBorders>
              <w:top w:val="single" w:color="auto" w:sz="2" w:space="0"/>
              <w:left w:val="single" w:color="auto" w:sz="2" w:space="0"/>
              <w:bottom w:val="single" w:color="auto" w:sz="2" w:space="0"/>
              <w:right w:val="single" w:color="auto" w:sz="2" w:space="0"/>
            </w:tcBorders>
            <w:vAlign w:val="center"/>
          </w:tcPr>
          <w:p w14:paraId="5F6AD225">
            <w:pPr>
              <w:spacing w:line="240" w:lineRule="exact"/>
              <w:rPr>
                <w:rFonts w:ascii="宋体" w:hAnsi="宋体" w:eastAsia="宋体" w:cs="宋体"/>
                <w:sz w:val="18"/>
                <w:szCs w:val="18"/>
              </w:rPr>
            </w:pPr>
            <w:r>
              <w:rPr>
                <w:rFonts w:ascii="宋体" w:hAnsi="宋体" w:eastAsia="宋体" w:cs="宋体"/>
                <w:sz w:val="18"/>
                <w:szCs w:val="18"/>
              </w:rPr>
              <w:t>新疆阿克苏市</w:t>
            </w:r>
          </w:p>
        </w:tc>
        <w:tc>
          <w:tcPr>
            <w:tcW w:w="1205" w:type="dxa"/>
            <w:tcBorders>
              <w:top w:val="single" w:color="auto" w:sz="2" w:space="0"/>
              <w:left w:val="single" w:color="auto" w:sz="2" w:space="0"/>
              <w:bottom w:val="single" w:color="auto" w:sz="2" w:space="0"/>
              <w:right w:val="single" w:color="auto" w:sz="2" w:space="0"/>
            </w:tcBorders>
            <w:vAlign w:val="center"/>
          </w:tcPr>
          <w:p w14:paraId="2C693344">
            <w:pPr>
              <w:spacing w:line="240" w:lineRule="exact"/>
              <w:rPr>
                <w:rFonts w:ascii="宋体" w:hAnsi="宋体" w:eastAsia="宋体" w:cs="宋体"/>
                <w:sz w:val="18"/>
                <w:szCs w:val="18"/>
              </w:rPr>
            </w:pPr>
            <w:r>
              <w:rPr>
                <w:rFonts w:ascii="宋体" w:hAnsi="宋体" w:eastAsia="宋体" w:cs="宋体"/>
                <w:sz w:val="18"/>
                <w:szCs w:val="18"/>
              </w:rPr>
              <w:t>新疆阿克苏市</w:t>
            </w:r>
          </w:p>
        </w:tc>
        <w:tc>
          <w:tcPr>
            <w:tcW w:w="1205" w:type="dxa"/>
            <w:tcBorders>
              <w:top w:val="single" w:color="auto" w:sz="2" w:space="0"/>
              <w:left w:val="single" w:color="auto" w:sz="2" w:space="0"/>
              <w:bottom w:val="single" w:color="auto" w:sz="2" w:space="0"/>
              <w:right w:val="single" w:color="auto" w:sz="2" w:space="0"/>
            </w:tcBorders>
            <w:vAlign w:val="center"/>
          </w:tcPr>
          <w:p w14:paraId="31B05093">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75FF9DD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39DF797">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42ED3E94">
            <w:pPr>
              <w:spacing w:line="240" w:lineRule="exact"/>
              <w:rPr>
                <w:rFonts w:ascii="宋体" w:hAnsi="宋体" w:eastAsia="宋体" w:cs="宋体"/>
                <w:sz w:val="18"/>
                <w:szCs w:val="18"/>
              </w:rPr>
            </w:pPr>
            <w:r>
              <w:rPr>
                <w:rFonts w:ascii="宋体" w:hAnsi="宋体" w:eastAsia="宋体" w:cs="宋体"/>
                <w:sz w:val="18"/>
                <w:szCs w:val="18"/>
              </w:rPr>
              <w:t>同一控制下企业合并</w:t>
            </w:r>
          </w:p>
        </w:tc>
      </w:tr>
      <w:tr w14:paraId="070F4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94A234D">
            <w:pPr>
              <w:spacing w:line="240" w:lineRule="exact"/>
              <w:rPr>
                <w:rFonts w:ascii="宋体" w:hAnsi="宋体" w:eastAsia="宋体" w:cs="宋体"/>
                <w:sz w:val="18"/>
                <w:szCs w:val="18"/>
              </w:rPr>
            </w:pPr>
            <w:r>
              <w:rPr>
                <w:rFonts w:ascii="宋体" w:hAnsi="宋体" w:eastAsia="宋体" w:cs="宋体"/>
                <w:sz w:val="18"/>
                <w:szCs w:val="18"/>
              </w:rPr>
              <w:t>新疆华孚棉业集团有限公司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3B2B80D">
            <w:pPr>
              <w:spacing w:line="240" w:lineRule="exact"/>
              <w:jc w:val="right"/>
              <w:rPr>
                <w:rFonts w:ascii="宋体" w:hAnsi="宋体" w:eastAsia="宋体" w:cs="宋体"/>
                <w:sz w:val="18"/>
                <w:szCs w:val="18"/>
              </w:rPr>
            </w:pPr>
            <w:r>
              <w:rPr>
                <w:rFonts w:ascii="宋体" w:hAnsi="宋体" w:eastAsia="宋体" w:cs="宋体"/>
                <w:sz w:val="18"/>
                <w:szCs w:val="18"/>
              </w:rPr>
              <w:t>1,000,000,000.00</w:t>
            </w:r>
          </w:p>
        </w:tc>
        <w:tc>
          <w:tcPr>
            <w:tcW w:w="1205" w:type="dxa"/>
            <w:tcBorders>
              <w:top w:val="single" w:color="auto" w:sz="2" w:space="0"/>
              <w:left w:val="single" w:color="auto" w:sz="2" w:space="0"/>
              <w:bottom w:val="single" w:color="auto" w:sz="2" w:space="0"/>
              <w:right w:val="single" w:color="auto" w:sz="2" w:space="0"/>
            </w:tcBorders>
            <w:vAlign w:val="center"/>
          </w:tcPr>
          <w:p w14:paraId="5F2E8597">
            <w:pPr>
              <w:spacing w:line="240" w:lineRule="exact"/>
              <w:rPr>
                <w:rFonts w:ascii="宋体" w:hAnsi="宋体" w:eastAsia="宋体" w:cs="宋体"/>
                <w:sz w:val="18"/>
                <w:szCs w:val="18"/>
              </w:rPr>
            </w:pPr>
            <w:r>
              <w:rPr>
                <w:rFonts w:ascii="宋体" w:hAnsi="宋体" w:eastAsia="宋体" w:cs="宋体"/>
                <w:sz w:val="18"/>
                <w:szCs w:val="18"/>
              </w:rPr>
              <w:t>新疆乌鲁木齐</w:t>
            </w:r>
          </w:p>
        </w:tc>
        <w:tc>
          <w:tcPr>
            <w:tcW w:w="1205" w:type="dxa"/>
            <w:tcBorders>
              <w:top w:val="single" w:color="auto" w:sz="2" w:space="0"/>
              <w:left w:val="single" w:color="auto" w:sz="2" w:space="0"/>
              <w:bottom w:val="single" w:color="auto" w:sz="2" w:space="0"/>
              <w:right w:val="single" w:color="auto" w:sz="2" w:space="0"/>
            </w:tcBorders>
            <w:vAlign w:val="center"/>
          </w:tcPr>
          <w:p w14:paraId="50DE4E8C">
            <w:pPr>
              <w:spacing w:line="240" w:lineRule="exact"/>
              <w:rPr>
                <w:rFonts w:ascii="宋体" w:hAnsi="宋体" w:eastAsia="宋体" w:cs="宋体"/>
                <w:sz w:val="18"/>
                <w:szCs w:val="18"/>
              </w:rPr>
            </w:pPr>
            <w:r>
              <w:rPr>
                <w:rFonts w:ascii="宋体" w:hAnsi="宋体" w:eastAsia="宋体" w:cs="宋体"/>
                <w:sz w:val="18"/>
                <w:szCs w:val="18"/>
              </w:rPr>
              <w:t>新疆乌鲁木齐</w:t>
            </w:r>
          </w:p>
        </w:tc>
        <w:tc>
          <w:tcPr>
            <w:tcW w:w="1205" w:type="dxa"/>
            <w:tcBorders>
              <w:top w:val="single" w:color="auto" w:sz="2" w:space="0"/>
              <w:left w:val="single" w:color="auto" w:sz="2" w:space="0"/>
              <w:bottom w:val="single" w:color="auto" w:sz="2" w:space="0"/>
              <w:right w:val="single" w:color="auto" w:sz="2" w:space="0"/>
            </w:tcBorders>
            <w:vAlign w:val="center"/>
          </w:tcPr>
          <w:p w14:paraId="576F4798">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1750D8AE">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34622AC8">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0F4A989">
            <w:pPr>
              <w:spacing w:line="240" w:lineRule="exact"/>
              <w:rPr>
                <w:rFonts w:ascii="宋体" w:hAnsi="宋体" w:eastAsia="宋体" w:cs="宋体"/>
                <w:sz w:val="18"/>
                <w:szCs w:val="18"/>
              </w:rPr>
            </w:pPr>
            <w:r>
              <w:rPr>
                <w:rFonts w:ascii="宋体" w:hAnsi="宋体" w:eastAsia="宋体" w:cs="宋体"/>
                <w:sz w:val="18"/>
                <w:szCs w:val="18"/>
              </w:rPr>
              <w:t>投资设立</w:t>
            </w:r>
          </w:p>
        </w:tc>
      </w:tr>
      <w:tr w14:paraId="534A5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94B2C3E">
            <w:pPr>
              <w:spacing w:line="240" w:lineRule="exact"/>
              <w:rPr>
                <w:rFonts w:ascii="宋体" w:hAnsi="宋体" w:eastAsia="宋体" w:cs="宋体"/>
                <w:sz w:val="18"/>
                <w:szCs w:val="18"/>
              </w:rPr>
            </w:pPr>
            <w:r>
              <w:rPr>
                <w:rFonts w:ascii="宋体" w:hAnsi="宋体" w:eastAsia="宋体" w:cs="宋体"/>
                <w:sz w:val="18"/>
                <w:szCs w:val="18"/>
              </w:rPr>
              <w:t>新疆华孚恒丰棉业有限公司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BBA6B34">
            <w:pPr>
              <w:spacing w:line="240" w:lineRule="exact"/>
              <w:jc w:val="right"/>
              <w:rPr>
                <w:rFonts w:ascii="宋体" w:hAnsi="宋体" w:eastAsia="宋体" w:cs="宋体"/>
                <w:sz w:val="18"/>
                <w:szCs w:val="18"/>
              </w:rPr>
            </w:pPr>
            <w:r>
              <w:rPr>
                <w:rFonts w:ascii="宋体" w:hAnsi="宋体" w:eastAsia="宋体" w:cs="宋体"/>
                <w:sz w:val="18"/>
                <w:szCs w:val="18"/>
              </w:rPr>
              <w:t>50,000,000.00</w:t>
            </w:r>
          </w:p>
        </w:tc>
        <w:tc>
          <w:tcPr>
            <w:tcW w:w="1205" w:type="dxa"/>
            <w:tcBorders>
              <w:top w:val="single" w:color="auto" w:sz="2" w:space="0"/>
              <w:left w:val="single" w:color="auto" w:sz="2" w:space="0"/>
              <w:bottom w:val="single" w:color="auto" w:sz="2" w:space="0"/>
              <w:right w:val="single" w:color="auto" w:sz="2" w:space="0"/>
            </w:tcBorders>
            <w:vAlign w:val="center"/>
          </w:tcPr>
          <w:p w14:paraId="4FEC8E58">
            <w:pPr>
              <w:spacing w:line="240" w:lineRule="exact"/>
              <w:rPr>
                <w:rFonts w:ascii="宋体" w:hAnsi="宋体" w:eastAsia="宋体" w:cs="宋体"/>
                <w:sz w:val="18"/>
                <w:szCs w:val="18"/>
              </w:rPr>
            </w:pPr>
            <w:r>
              <w:rPr>
                <w:rFonts w:ascii="宋体" w:hAnsi="宋体" w:eastAsia="宋体" w:cs="宋体"/>
                <w:sz w:val="18"/>
                <w:szCs w:val="18"/>
              </w:rPr>
              <w:t>新疆阿克苏地区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29CD54D4">
            <w:pPr>
              <w:spacing w:line="240" w:lineRule="exact"/>
              <w:rPr>
                <w:rFonts w:ascii="宋体" w:hAnsi="宋体" w:eastAsia="宋体" w:cs="宋体"/>
                <w:sz w:val="18"/>
                <w:szCs w:val="18"/>
              </w:rPr>
            </w:pPr>
            <w:r>
              <w:rPr>
                <w:rFonts w:ascii="宋体" w:hAnsi="宋体" w:eastAsia="宋体" w:cs="宋体"/>
                <w:sz w:val="18"/>
                <w:szCs w:val="18"/>
              </w:rPr>
              <w:t>新疆阿克苏地区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2EAEACCC">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2796579E">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CE8238F">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763A87DE">
            <w:pPr>
              <w:spacing w:line="240" w:lineRule="exact"/>
              <w:rPr>
                <w:rFonts w:ascii="宋体" w:hAnsi="宋体" w:eastAsia="宋体" w:cs="宋体"/>
                <w:sz w:val="18"/>
                <w:szCs w:val="18"/>
              </w:rPr>
            </w:pPr>
            <w:r>
              <w:rPr>
                <w:rFonts w:ascii="宋体" w:hAnsi="宋体" w:eastAsia="宋体" w:cs="宋体"/>
                <w:sz w:val="18"/>
                <w:szCs w:val="18"/>
              </w:rPr>
              <w:t>同一控制下企业合并</w:t>
            </w:r>
          </w:p>
        </w:tc>
      </w:tr>
      <w:tr w14:paraId="145E5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1CDD143">
            <w:pPr>
              <w:spacing w:line="240" w:lineRule="exact"/>
              <w:rPr>
                <w:rFonts w:ascii="宋体" w:hAnsi="宋体" w:eastAsia="宋体" w:cs="宋体"/>
                <w:sz w:val="18"/>
                <w:szCs w:val="18"/>
              </w:rPr>
            </w:pPr>
            <w:r>
              <w:rPr>
                <w:rFonts w:ascii="宋体" w:hAnsi="宋体" w:eastAsia="宋体" w:cs="宋体"/>
                <w:sz w:val="18"/>
                <w:szCs w:val="18"/>
              </w:rPr>
              <w:t>库车纵横棉业有限责任公司</w:t>
            </w:r>
          </w:p>
        </w:tc>
        <w:tc>
          <w:tcPr>
            <w:tcW w:w="1205" w:type="dxa"/>
            <w:tcBorders>
              <w:top w:val="single" w:color="auto" w:sz="2" w:space="0"/>
              <w:left w:val="single" w:color="auto" w:sz="2" w:space="0"/>
              <w:bottom w:val="single" w:color="auto" w:sz="2" w:space="0"/>
              <w:right w:val="single" w:color="auto" w:sz="2" w:space="0"/>
            </w:tcBorders>
            <w:vAlign w:val="center"/>
          </w:tcPr>
          <w:p w14:paraId="3D393810">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62C04260">
            <w:pPr>
              <w:spacing w:line="240" w:lineRule="exact"/>
              <w:rPr>
                <w:rFonts w:ascii="宋体" w:hAnsi="宋体" w:eastAsia="宋体" w:cs="宋体"/>
                <w:sz w:val="18"/>
                <w:szCs w:val="18"/>
              </w:rPr>
            </w:pPr>
            <w:r>
              <w:rPr>
                <w:rFonts w:ascii="宋体" w:hAnsi="宋体" w:eastAsia="宋体" w:cs="宋体"/>
                <w:sz w:val="18"/>
                <w:szCs w:val="18"/>
              </w:rPr>
              <w:t>新疆阿克苏地区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5D45DC8B">
            <w:pPr>
              <w:spacing w:line="240" w:lineRule="exact"/>
              <w:rPr>
                <w:rFonts w:ascii="宋体" w:hAnsi="宋体" w:eastAsia="宋体" w:cs="宋体"/>
                <w:sz w:val="18"/>
                <w:szCs w:val="18"/>
              </w:rPr>
            </w:pPr>
            <w:r>
              <w:rPr>
                <w:rFonts w:ascii="宋体" w:hAnsi="宋体" w:eastAsia="宋体" w:cs="宋体"/>
                <w:sz w:val="18"/>
                <w:szCs w:val="18"/>
              </w:rPr>
              <w:t>新疆阿克苏地区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6916BE77">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37D953BF">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AF50C8E">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2D02F9EE">
            <w:pPr>
              <w:spacing w:line="240" w:lineRule="exact"/>
              <w:rPr>
                <w:rFonts w:ascii="宋体" w:hAnsi="宋体" w:eastAsia="宋体" w:cs="宋体"/>
                <w:sz w:val="18"/>
                <w:szCs w:val="18"/>
              </w:rPr>
            </w:pPr>
            <w:r>
              <w:rPr>
                <w:rFonts w:ascii="宋体" w:hAnsi="宋体" w:eastAsia="宋体" w:cs="宋体"/>
                <w:sz w:val="18"/>
                <w:szCs w:val="18"/>
              </w:rPr>
              <w:t>同一控制下企业合并</w:t>
            </w:r>
          </w:p>
        </w:tc>
      </w:tr>
      <w:tr w14:paraId="23D3F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6CD3D64">
            <w:pPr>
              <w:spacing w:line="240" w:lineRule="exact"/>
              <w:rPr>
                <w:rFonts w:ascii="宋体" w:hAnsi="宋体" w:eastAsia="宋体" w:cs="宋体"/>
                <w:sz w:val="18"/>
                <w:szCs w:val="18"/>
              </w:rPr>
            </w:pPr>
            <w:r>
              <w:rPr>
                <w:rFonts w:ascii="宋体" w:hAnsi="宋体" w:eastAsia="宋体" w:cs="宋体"/>
                <w:sz w:val="18"/>
                <w:szCs w:val="18"/>
              </w:rPr>
              <w:t>沙雅银花棉业有限责任公司</w:t>
            </w:r>
          </w:p>
        </w:tc>
        <w:tc>
          <w:tcPr>
            <w:tcW w:w="1205" w:type="dxa"/>
            <w:tcBorders>
              <w:top w:val="single" w:color="auto" w:sz="2" w:space="0"/>
              <w:left w:val="single" w:color="auto" w:sz="2" w:space="0"/>
              <w:bottom w:val="single" w:color="auto" w:sz="2" w:space="0"/>
              <w:right w:val="single" w:color="auto" w:sz="2" w:space="0"/>
            </w:tcBorders>
            <w:vAlign w:val="center"/>
          </w:tcPr>
          <w:p w14:paraId="568BAAAF">
            <w:pPr>
              <w:spacing w:line="240" w:lineRule="exact"/>
              <w:jc w:val="right"/>
              <w:rPr>
                <w:rFonts w:ascii="宋体" w:hAnsi="宋体" w:eastAsia="宋体" w:cs="宋体"/>
                <w:sz w:val="18"/>
                <w:szCs w:val="18"/>
              </w:rPr>
            </w:pPr>
            <w:r>
              <w:rPr>
                <w:rFonts w:ascii="宋体" w:hAnsi="宋体" w:eastAsia="宋体" w:cs="宋体"/>
                <w:sz w:val="18"/>
                <w:szCs w:val="18"/>
              </w:rPr>
              <w:t>7,960,000.00</w:t>
            </w:r>
          </w:p>
        </w:tc>
        <w:tc>
          <w:tcPr>
            <w:tcW w:w="1205" w:type="dxa"/>
            <w:tcBorders>
              <w:top w:val="single" w:color="auto" w:sz="2" w:space="0"/>
              <w:left w:val="single" w:color="auto" w:sz="2" w:space="0"/>
              <w:bottom w:val="single" w:color="auto" w:sz="2" w:space="0"/>
              <w:right w:val="single" w:color="auto" w:sz="2" w:space="0"/>
            </w:tcBorders>
            <w:vAlign w:val="center"/>
          </w:tcPr>
          <w:p w14:paraId="6396186C">
            <w:pPr>
              <w:spacing w:line="240" w:lineRule="exact"/>
              <w:rPr>
                <w:rFonts w:ascii="宋体" w:hAnsi="宋体" w:eastAsia="宋体" w:cs="宋体"/>
                <w:sz w:val="18"/>
                <w:szCs w:val="18"/>
              </w:rPr>
            </w:pPr>
            <w:r>
              <w:rPr>
                <w:rFonts w:ascii="宋体" w:hAnsi="宋体" w:eastAsia="宋体" w:cs="宋体"/>
                <w:sz w:val="18"/>
                <w:szCs w:val="18"/>
              </w:rPr>
              <w:t>新疆阿克苏地区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311E712D">
            <w:pPr>
              <w:spacing w:line="240" w:lineRule="exact"/>
              <w:rPr>
                <w:rFonts w:ascii="宋体" w:hAnsi="宋体" w:eastAsia="宋体" w:cs="宋体"/>
                <w:sz w:val="18"/>
                <w:szCs w:val="18"/>
              </w:rPr>
            </w:pPr>
            <w:r>
              <w:rPr>
                <w:rFonts w:ascii="宋体" w:hAnsi="宋体" w:eastAsia="宋体" w:cs="宋体"/>
                <w:sz w:val="18"/>
                <w:szCs w:val="18"/>
              </w:rPr>
              <w:t>新疆阿克苏地区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598CCF10">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58A418A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6A4D45C">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08B31568">
            <w:pPr>
              <w:spacing w:line="240" w:lineRule="exact"/>
              <w:rPr>
                <w:rFonts w:ascii="宋体" w:hAnsi="宋体" w:eastAsia="宋体" w:cs="宋体"/>
                <w:sz w:val="18"/>
                <w:szCs w:val="18"/>
              </w:rPr>
            </w:pPr>
            <w:r>
              <w:rPr>
                <w:rFonts w:ascii="宋体" w:hAnsi="宋体" w:eastAsia="宋体" w:cs="宋体"/>
                <w:sz w:val="18"/>
                <w:szCs w:val="18"/>
              </w:rPr>
              <w:t>同一控制下企业合并</w:t>
            </w:r>
          </w:p>
        </w:tc>
      </w:tr>
      <w:tr w14:paraId="6D986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7750C95">
            <w:pPr>
              <w:spacing w:line="240" w:lineRule="exact"/>
              <w:rPr>
                <w:rFonts w:ascii="宋体" w:hAnsi="宋体" w:eastAsia="宋体" w:cs="宋体"/>
                <w:sz w:val="18"/>
                <w:szCs w:val="18"/>
              </w:rPr>
            </w:pPr>
            <w:r>
              <w:rPr>
                <w:rFonts w:ascii="宋体" w:hAnsi="宋体" w:eastAsia="宋体" w:cs="宋体"/>
                <w:sz w:val="18"/>
                <w:szCs w:val="18"/>
              </w:rPr>
              <w:t>胡杨河华孚宏盛棉业有限公司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7A3A2DE9">
            <w:pPr>
              <w:spacing w:line="240" w:lineRule="exact"/>
              <w:jc w:val="right"/>
              <w:rPr>
                <w:rFonts w:ascii="宋体" w:hAnsi="宋体" w:eastAsia="宋体" w:cs="宋体"/>
                <w:sz w:val="18"/>
                <w:szCs w:val="18"/>
              </w:rPr>
            </w:pPr>
            <w:r>
              <w:rPr>
                <w:rFonts w:ascii="宋体" w:hAnsi="宋体" w:eastAsia="宋体" w:cs="宋体"/>
                <w:sz w:val="18"/>
                <w:szCs w:val="18"/>
              </w:rPr>
              <w:t>50,000,000.00</w:t>
            </w:r>
          </w:p>
        </w:tc>
        <w:tc>
          <w:tcPr>
            <w:tcW w:w="1205" w:type="dxa"/>
            <w:tcBorders>
              <w:top w:val="single" w:color="auto" w:sz="2" w:space="0"/>
              <w:left w:val="single" w:color="auto" w:sz="2" w:space="0"/>
              <w:bottom w:val="single" w:color="auto" w:sz="2" w:space="0"/>
              <w:right w:val="single" w:color="auto" w:sz="2" w:space="0"/>
            </w:tcBorders>
            <w:vAlign w:val="center"/>
          </w:tcPr>
          <w:p w14:paraId="1BE9DF63">
            <w:pPr>
              <w:spacing w:line="240" w:lineRule="exact"/>
              <w:rPr>
                <w:rFonts w:ascii="宋体" w:hAnsi="宋体" w:eastAsia="宋体" w:cs="宋体"/>
                <w:sz w:val="18"/>
                <w:szCs w:val="18"/>
              </w:rPr>
            </w:pPr>
            <w:r>
              <w:rPr>
                <w:rFonts w:ascii="宋体" w:hAnsi="宋体" w:eastAsia="宋体" w:cs="宋体"/>
                <w:sz w:val="18"/>
                <w:szCs w:val="18"/>
              </w:rPr>
              <w:t>新疆胡杨河市</w:t>
            </w:r>
          </w:p>
        </w:tc>
        <w:tc>
          <w:tcPr>
            <w:tcW w:w="1205" w:type="dxa"/>
            <w:tcBorders>
              <w:top w:val="single" w:color="auto" w:sz="2" w:space="0"/>
              <w:left w:val="single" w:color="auto" w:sz="2" w:space="0"/>
              <w:bottom w:val="single" w:color="auto" w:sz="2" w:space="0"/>
              <w:right w:val="single" w:color="auto" w:sz="2" w:space="0"/>
            </w:tcBorders>
            <w:vAlign w:val="center"/>
          </w:tcPr>
          <w:p w14:paraId="632B8FF2">
            <w:pPr>
              <w:spacing w:line="240" w:lineRule="exact"/>
              <w:rPr>
                <w:rFonts w:ascii="宋体" w:hAnsi="宋体" w:eastAsia="宋体" w:cs="宋体"/>
                <w:sz w:val="18"/>
                <w:szCs w:val="18"/>
              </w:rPr>
            </w:pPr>
            <w:r>
              <w:rPr>
                <w:rFonts w:ascii="宋体" w:hAnsi="宋体" w:eastAsia="宋体" w:cs="宋体"/>
                <w:sz w:val="18"/>
                <w:szCs w:val="18"/>
              </w:rPr>
              <w:t>新疆胡杨河市</w:t>
            </w:r>
          </w:p>
        </w:tc>
        <w:tc>
          <w:tcPr>
            <w:tcW w:w="1205" w:type="dxa"/>
            <w:tcBorders>
              <w:top w:val="single" w:color="auto" w:sz="2" w:space="0"/>
              <w:left w:val="single" w:color="auto" w:sz="2" w:space="0"/>
              <w:bottom w:val="single" w:color="auto" w:sz="2" w:space="0"/>
              <w:right w:val="single" w:color="auto" w:sz="2" w:space="0"/>
            </w:tcBorders>
            <w:vAlign w:val="center"/>
          </w:tcPr>
          <w:p w14:paraId="1CC4432F">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207C6AA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E4DF34E">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22F44742">
            <w:pPr>
              <w:spacing w:line="240" w:lineRule="exact"/>
              <w:rPr>
                <w:rFonts w:ascii="宋体" w:hAnsi="宋体" w:eastAsia="宋体" w:cs="宋体"/>
                <w:sz w:val="18"/>
                <w:szCs w:val="18"/>
              </w:rPr>
            </w:pPr>
            <w:r>
              <w:rPr>
                <w:rFonts w:ascii="宋体" w:hAnsi="宋体" w:eastAsia="宋体" w:cs="宋体"/>
                <w:sz w:val="18"/>
                <w:szCs w:val="18"/>
              </w:rPr>
              <w:t>投资设立</w:t>
            </w:r>
          </w:p>
        </w:tc>
      </w:tr>
      <w:tr w14:paraId="26D33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6A1D0A2">
            <w:pPr>
              <w:spacing w:line="240" w:lineRule="exact"/>
              <w:rPr>
                <w:rFonts w:ascii="宋体" w:hAnsi="宋体" w:eastAsia="宋体" w:cs="宋体"/>
                <w:sz w:val="18"/>
                <w:szCs w:val="18"/>
              </w:rPr>
            </w:pPr>
            <w:r>
              <w:rPr>
                <w:rFonts w:ascii="宋体" w:hAnsi="宋体" w:eastAsia="宋体" w:cs="宋体"/>
                <w:sz w:val="18"/>
                <w:szCs w:val="18"/>
              </w:rPr>
              <w:t>浙江聚丰贸易有限公司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C8463F8">
            <w:pPr>
              <w:spacing w:line="240" w:lineRule="exact"/>
              <w:jc w:val="right"/>
              <w:rPr>
                <w:rFonts w:ascii="宋体" w:hAnsi="宋体" w:eastAsia="宋体" w:cs="宋体"/>
                <w:sz w:val="18"/>
                <w:szCs w:val="18"/>
              </w:rPr>
            </w:pPr>
            <w:r>
              <w:rPr>
                <w:rFonts w:ascii="宋体" w:hAnsi="宋体" w:eastAsia="宋体" w:cs="宋体"/>
                <w:sz w:val="18"/>
                <w:szCs w:val="18"/>
              </w:rPr>
              <w:t>50,000,000.00</w:t>
            </w:r>
          </w:p>
        </w:tc>
        <w:tc>
          <w:tcPr>
            <w:tcW w:w="1205" w:type="dxa"/>
            <w:tcBorders>
              <w:top w:val="single" w:color="auto" w:sz="2" w:space="0"/>
              <w:left w:val="single" w:color="auto" w:sz="2" w:space="0"/>
              <w:bottom w:val="single" w:color="auto" w:sz="2" w:space="0"/>
              <w:right w:val="single" w:color="auto" w:sz="2" w:space="0"/>
            </w:tcBorders>
            <w:vAlign w:val="center"/>
          </w:tcPr>
          <w:p w14:paraId="484EC70B">
            <w:pPr>
              <w:spacing w:line="240" w:lineRule="exact"/>
              <w:rPr>
                <w:rFonts w:ascii="宋体" w:hAnsi="宋体" w:eastAsia="宋体" w:cs="宋体"/>
                <w:sz w:val="18"/>
                <w:szCs w:val="18"/>
              </w:rPr>
            </w:pPr>
            <w:r>
              <w:rPr>
                <w:rFonts w:ascii="宋体" w:hAnsi="宋体" w:eastAsia="宋体" w:cs="宋体"/>
                <w:sz w:val="18"/>
                <w:szCs w:val="18"/>
              </w:rPr>
              <w:t>浙江省杭州市</w:t>
            </w:r>
          </w:p>
        </w:tc>
        <w:tc>
          <w:tcPr>
            <w:tcW w:w="1205" w:type="dxa"/>
            <w:tcBorders>
              <w:top w:val="single" w:color="auto" w:sz="2" w:space="0"/>
              <w:left w:val="single" w:color="auto" w:sz="2" w:space="0"/>
              <w:bottom w:val="single" w:color="auto" w:sz="2" w:space="0"/>
              <w:right w:val="single" w:color="auto" w:sz="2" w:space="0"/>
            </w:tcBorders>
            <w:vAlign w:val="center"/>
          </w:tcPr>
          <w:p w14:paraId="76B4B9F7">
            <w:pPr>
              <w:spacing w:line="240" w:lineRule="exact"/>
              <w:rPr>
                <w:rFonts w:ascii="宋体" w:hAnsi="宋体" w:eastAsia="宋体" w:cs="宋体"/>
                <w:sz w:val="18"/>
                <w:szCs w:val="18"/>
              </w:rPr>
            </w:pPr>
            <w:r>
              <w:rPr>
                <w:rFonts w:ascii="宋体" w:hAnsi="宋体" w:eastAsia="宋体" w:cs="宋体"/>
                <w:sz w:val="18"/>
                <w:szCs w:val="18"/>
              </w:rPr>
              <w:t>浙江省杭州市</w:t>
            </w:r>
          </w:p>
        </w:tc>
        <w:tc>
          <w:tcPr>
            <w:tcW w:w="1205" w:type="dxa"/>
            <w:tcBorders>
              <w:top w:val="single" w:color="auto" w:sz="2" w:space="0"/>
              <w:left w:val="single" w:color="auto" w:sz="2" w:space="0"/>
              <w:bottom w:val="single" w:color="auto" w:sz="2" w:space="0"/>
              <w:right w:val="single" w:color="auto" w:sz="2" w:space="0"/>
            </w:tcBorders>
            <w:vAlign w:val="center"/>
          </w:tcPr>
          <w:p w14:paraId="46D237C9">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7CD666D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A119202">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699E27C4">
            <w:pPr>
              <w:spacing w:line="240" w:lineRule="exact"/>
              <w:rPr>
                <w:rFonts w:ascii="宋体" w:hAnsi="宋体" w:eastAsia="宋体" w:cs="宋体"/>
                <w:sz w:val="18"/>
                <w:szCs w:val="18"/>
              </w:rPr>
            </w:pPr>
            <w:r>
              <w:rPr>
                <w:rFonts w:ascii="宋体" w:hAnsi="宋体" w:eastAsia="宋体" w:cs="宋体"/>
                <w:sz w:val="18"/>
                <w:szCs w:val="18"/>
              </w:rPr>
              <w:t>同一控制下企业合并</w:t>
            </w:r>
          </w:p>
        </w:tc>
      </w:tr>
      <w:tr w14:paraId="47E34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3429F7B">
            <w:pPr>
              <w:spacing w:line="240" w:lineRule="exact"/>
              <w:rPr>
                <w:rFonts w:ascii="宋体" w:hAnsi="宋体" w:eastAsia="宋体" w:cs="宋体"/>
                <w:sz w:val="18"/>
                <w:szCs w:val="18"/>
              </w:rPr>
            </w:pPr>
            <w:r>
              <w:rPr>
                <w:rFonts w:ascii="宋体" w:hAnsi="宋体" w:eastAsia="宋体" w:cs="宋体"/>
                <w:sz w:val="18"/>
                <w:szCs w:val="18"/>
              </w:rPr>
              <w:t>石河子华孚宏盛棉业有限公司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0E2EAB2">
            <w:pPr>
              <w:spacing w:line="240" w:lineRule="exact"/>
              <w:jc w:val="right"/>
              <w:rPr>
                <w:rFonts w:ascii="宋体" w:hAnsi="宋体" w:eastAsia="宋体" w:cs="宋体"/>
                <w:sz w:val="18"/>
                <w:szCs w:val="18"/>
              </w:rPr>
            </w:pPr>
            <w:r>
              <w:rPr>
                <w:rFonts w:ascii="宋体" w:hAnsi="宋体" w:eastAsia="宋体" w:cs="宋体"/>
                <w:sz w:val="18"/>
                <w:szCs w:val="18"/>
              </w:rPr>
              <w:t>50,000,000.00</w:t>
            </w:r>
          </w:p>
        </w:tc>
        <w:tc>
          <w:tcPr>
            <w:tcW w:w="1205" w:type="dxa"/>
            <w:tcBorders>
              <w:top w:val="single" w:color="auto" w:sz="2" w:space="0"/>
              <w:left w:val="single" w:color="auto" w:sz="2" w:space="0"/>
              <w:bottom w:val="single" w:color="auto" w:sz="2" w:space="0"/>
              <w:right w:val="single" w:color="auto" w:sz="2" w:space="0"/>
            </w:tcBorders>
            <w:vAlign w:val="center"/>
          </w:tcPr>
          <w:p w14:paraId="73BDF23A">
            <w:pPr>
              <w:spacing w:line="240" w:lineRule="exact"/>
              <w:rPr>
                <w:rFonts w:ascii="宋体" w:hAnsi="宋体" w:eastAsia="宋体" w:cs="宋体"/>
                <w:sz w:val="18"/>
                <w:szCs w:val="18"/>
              </w:rPr>
            </w:pPr>
            <w:r>
              <w:rPr>
                <w:rFonts w:ascii="宋体" w:hAnsi="宋体" w:eastAsia="宋体" w:cs="宋体"/>
                <w:sz w:val="18"/>
                <w:szCs w:val="18"/>
              </w:rPr>
              <w:t>新疆石河子市</w:t>
            </w:r>
          </w:p>
        </w:tc>
        <w:tc>
          <w:tcPr>
            <w:tcW w:w="1205" w:type="dxa"/>
            <w:tcBorders>
              <w:top w:val="single" w:color="auto" w:sz="2" w:space="0"/>
              <w:left w:val="single" w:color="auto" w:sz="2" w:space="0"/>
              <w:bottom w:val="single" w:color="auto" w:sz="2" w:space="0"/>
              <w:right w:val="single" w:color="auto" w:sz="2" w:space="0"/>
            </w:tcBorders>
            <w:vAlign w:val="center"/>
          </w:tcPr>
          <w:p w14:paraId="01519594">
            <w:pPr>
              <w:spacing w:line="240" w:lineRule="exact"/>
              <w:rPr>
                <w:rFonts w:ascii="宋体" w:hAnsi="宋体" w:eastAsia="宋体" w:cs="宋体"/>
                <w:sz w:val="18"/>
                <w:szCs w:val="18"/>
              </w:rPr>
            </w:pPr>
            <w:r>
              <w:rPr>
                <w:rFonts w:ascii="宋体" w:hAnsi="宋体" w:eastAsia="宋体" w:cs="宋体"/>
                <w:sz w:val="18"/>
                <w:szCs w:val="18"/>
              </w:rPr>
              <w:t>新疆石河子市</w:t>
            </w:r>
          </w:p>
        </w:tc>
        <w:tc>
          <w:tcPr>
            <w:tcW w:w="1205" w:type="dxa"/>
            <w:tcBorders>
              <w:top w:val="single" w:color="auto" w:sz="2" w:space="0"/>
              <w:left w:val="single" w:color="auto" w:sz="2" w:space="0"/>
              <w:bottom w:val="single" w:color="auto" w:sz="2" w:space="0"/>
              <w:right w:val="single" w:color="auto" w:sz="2" w:space="0"/>
            </w:tcBorders>
            <w:vAlign w:val="center"/>
          </w:tcPr>
          <w:p w14:paraId="7579FBA4">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0EBFA3BA">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C127970">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7E8B18D2">
            <w:pPr>
              <w:spacing w:line="240" w:lineRule="exact"/>
              <w:rPr>
                <w:rFonts w:ascii="宋体" w:hAnsi="宋体" w:eastAsia="宋体" w:cs="宋体"/>
                <w:sz w:val="18"/>
                <w:szCs w:val="18"/>
              </w:rPr>
            </w:pPr>
            <w:r>
              <w:rPr>
                <w:rFonts w:ascii="宋体" w:hAnsi="宋体" w:eastAsia="宋体" w:cs="宋体"/>
                <w:sz w:val="18"/>
                <w:szCs w:val="18"/>
              </w:rPr>
              <w:t>投资设立</w:t>
            </w:r>
          </w:p>
        </w:tc>
      </w:tr>
      <w:tr w14:paraId="70AD0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2378BFC">
            <w:pPr>
              <w:spacing w:line="240" w:lineRule="exact"/>
              <w:rPr>
                <w:rFonts w:ascii="宋体" w:hAnsi="宋体" w:eastAsia="宋体" w:cs="宋体"/>
                <w:sz w:val="18"/>
                <w:szCs w:val="18"/>
              </w:rPr>
            </w:pPr>
            <w:r>
              <w:rPr>
                <w:rFonts w:ascii="宋体" w:hAnsi="宋体" w:eastAsia="宋体" w:cs="宋体"/>
                <w:sz w:val="18"/>
                <w:szCs w:val="18"/>
              </w:rPr>
              <w:t>石河子市华孚宏丰棉业有限公司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3063E88">
            <w:pPr>
              <w:spacing w:line="240" w:lineRule="exact"/>
              <w:jc w:val="right"/>
              <w:rPr>
                <w:rFonts w:ascii="宋体" w:hAnsi="宋体" w:eastAsia="宋体" w:cs="宋体"/>
                <w:sz w:val="18"/>
                <w:szCs w:val="18"/>
              </w:rPr>
            </w:pPr>
            <w:r>
              <w:rPr>
                <w:rFonts w:ascii="宋体" w:hAnsi="宋体" w:eastAsia="宋体" w:cs="宋体"/>
                <w:sz w:val="18"/>
                <w:szCs w:val="18"/>
              </w:rPr>
              <w:t>20,000,000.00</w:t>
            </w:r>
          </w:p>
        </w:tc>
        <w:tc>
          <w:tcPr>
            <w:tcW w:w="1205" w:type="dxa"/>
            <w:tcBorders>
              <w:top w:val="single" w:color="auto" w:sz="2" w:space="0"/>
              <w:left w:val="single" w:color="auto" w:sz="2" w:space="0"/>
              <w:bottom w:val="single" w:color="auto" w:sz="2" w:space="0"/>
              <w:right w:val="single" w:color="auto" w:sz="2" w:space="0"/>
            </w:tcBorders>
            <w:vAlign w:val="center"/>
          </w:tcPr>
          <w:p w14:paraId="4B686F50">
            <w:pPr>
              <w:spacing w:line="240" w:lineRule="exact"/>
              <w:rPr>
                <w:rFonts w:ascii="宋体" w:hAnsi="宋体" w:eastAsia="宋体" w:cs="宋体"/>
                <w:sz w:val="18"/>
                <w:szCs w:val="18"/>
              </w:rPr>
            </w:pPr>
            <w:r>
              <w:rPr>
                <w:rFonts w:ascii="宋体" w:hAnsi="宋体" w:eastAsia="宋体" w:cs="宋体"/>
                <w:sz w:val="18"/>
                <w:szCs w:val="18"/>
              </w:rPr>
              <w:t>新疆石河子市</w:t>
            </w:r>
          </w:p>
        </w:tc>
        <w:tc>
          <w:tcPr>
            <w:tcW w:w="1205" w:type="dxa"/>
            <w:tcBorders>
              <w:top w:val="single" w:color="auto" w:sz="2" w:space="0"/>
              <w:left w:val="single" w:color="auto" w:sz="2" w:space="0"/>
              <w:bottom w:val="single" w:color="auto" w:sz="2" w:space="0"/>
              <w:right w:val="single" w:color="auto" w:sz="2" w:space="0"/>
            </w:tcBorders>
            <w:vAlign w:val="center"/>
          </w:tcPr>
          <w:p w14:paraId="11EB4C5E">
            <w:pPr>
              <w:spacing w:line="240" w:lineRule="exact"/>
              <w:rPr>
                <w:rFonts w:ascii="宋体" w:hAnsi="宋体" w:eastAsia="宋体" w:cs="宋体"/>
                <w:sz w:val="18"/>
                <w:szCs w:val="18"/>
              </w:rPr>
            </w:pPr>
            <w:r>
              <w:rPr>
                <w:rFonts w:ascii="宋体" w:hAnsi="宋体" w:eastAsia="宋体" w:cs="宋体"/>
                <w:sz w:val="18"/>
                <w:szCs w:val="18"/>
              </w:rPr>
              <w:t>新疆石河子市</w:t>
            </w:r>
          </w:p>
        </w:tc>
        <w:tc>
          <w:tcPr>
            <w:tcW w:w="1205" w:type="dxa"/>
            <w:tcBorders>
              <w:top w:val="single" w:color="auto" w:sz="2" w:space="0"/>
              <w:left w:val="single" w:color="auto" w:sz="2" w:space="0"/>
              <w:bottom w:val="single" w:color="auto" w:sz="2" w:space="0"/>
              <w:right w:val="single" w:color="auto" w:sz="2" w:space="0"/>
            </w:tcBorders>
            <w:vAlign w:val="center"/>
          </w:tcPr>
          <w:p w14:paraId="43775E9D">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276F5274">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08D7D2B">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2CDCB768">
            <w:pPr>
              <w:spacing w:line="240" w:lineRule="exact"/>
              <w:rPr>
                <w:rFonts w:ascii="宋体" w:hAnsi="宋体" w:eastAsia="宋体" w:cs="宋体"/>
                <w:sz w:val="18"/>
                <w:szCs w:val="18"/>
              </w:rPr>
            </w:pPr>
            <w:r>
              <w:rPr>
                <w:rFonts w:ascii="宋体" w:hAnsi="宋体" w:eastAsia="宋体" w:cs="宋体"/>
                <w:sz w:val="18"/>
                <w:szCs w:val="18"/>
              </w:rPr>
              <w:t>投资设立</w:t>
            </w:r>
          </w:p>
        </w:tc>
      </w:tr>
      <w:tr w14:paraId="4B133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6B049F6">
            <w:pPr>
              <w:spacing w:line="240" w:lineRule="exact"/>
              <w:rPr>
                <w:rFonts w:ascii="宋体" w:hAnsi="宋体" w:eastAsia="宋体" w:cs="宋体"/>
                <w:sz w:val="18"/>
                <w:szCs w:val="18"/>
              </w:rPr>
            </w:pPr>
            <w:r>
              <w:rPr>
                <w:rFonts w:ascii="宋体" w:hAnsi="宋体" w:eastAsia="宋体" w:cs="宋体"/>
                <w:sz w:val="18"/>
                <w:szCs w:val="18"/>
              </w:rPr>
              <w:t>浙江维新贸易有限公司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14A01B2D">
            <w:pPr>
              <w:spacing w:line="240" w:lineRule="exact"/>
              <w:jc w:val="right"/>
              <w:rPr>
                <w:rFonts w:ascii="宋体" w:hAnsi="宋体" w:eastAsia="宋体" w:cs="宋体"/>
                <w:sz w:val="18"/>
                <w:szCs w:val="18"/>
              </w:rPr>
            </w:pPr>
            <w:r>
              <w:rPr>
                <w:rFonts w:ascii="宋体" w:hAnsi="宋体" w:eastAsia="宋体" w:cs="宋体"/>
                <w:sz w:val="18"/>
                <w:szCs w:val="18"/>
              </w:rPr>
              <w:t>30,000,000.00</w:t>
            </w:r>
          </w:p>
        </w:tc>
        <w:tc>
          <w:tcPr>
            <w:tcW w:w="1205" w:type="dxa"/>
            <w:tcBorders>
              <w:top w:val="single" w:color="auto" w:sz="2" w:space="0"/>
              <w:left w:val="single" w:color="auto" w:sz="2" w:space="0"/>
              <w:bottom w:val="single" w:color="auto" w:sz="2" w:space="0"/>
              <w:right w:val="single" w:color="auto" w:sz="2" w:space="0"/>
            </w:tcBorders>
            <w:vAlign w:val="center"/>
          </w:tcPr>
          <w:p w14:paraId="69286BC2">
            <w:pPr>
              <w:spacing w:line="240" w:lineRule="exact"/>
              <w:rPr>
                <w:rFonts w:ascii="宋体" w:hAnsi="宋体" w:eastAsia="宋体" w:cs="宋体"/>
                <w:sz w:val="18"/>
                <w:szCs w:val="18"/>
              </w:rPr>
            </w:pPr>
            <w:r>
              <w:rPr>
                <w:rFonts w:ascii="宋体" w:hAnsi="宋体" w:eastAsia="宋体" w:cs="宋体"/>
                <w:sz w:val="18"/>
                <w:szCs w:val="18"/>
              </w:rPr>
              <w:t>浙江省宁波市</w:t>
            </w:r>
          </w:p>
        </w:tc>
        <w:tc>
          <w:tcPr>
            <w:tcW w:w="1205" w:type="dxa"/>
            <w:tcBorders>
              <w:top w:val="single" w:color="auto" w:sz="2" w:space="0"/>
              <w:left w:val="single" w:color="auto" w:sz="2" w:space="0"/>
              <w:bottom w:val="single" w:color="auto" w:sz="2" w:space="0"/>
              <w:right w:val="single" w:color="auto" w:sz="2" w:space="0"/>
            </w:tcBorders>
            <w:vAlign w:val="center"/>
          </w:tcPr>
          <w:p w14:paraId="1D0DF96A">
            <w:pPr>
              <w:spacing w:line="240" w:lineRule="exact"/>
              <w:rPr>
                <w:rFonts w:ascii="宋体" w:hAnsi="宋体" w:eastAsia="宋体" w:cs="宋体"/>
                <w:sz w:val="18"/>
                <w:szCs w:val="18"/>
              </w:rPr>
            </w:pPr>
            <w:r>
              <w:rPr>
                <w:rFonts w:ascii="宋体" w:hAnsi="宋体" w:eastAsia="宋体" w:cs="宋体"/>
                <w:sz w:val="18"/>
                <w:szCs w:val="18"/>
              </w:rPr>
              <w:t>浙江省宁波市</w:t>
            </w:r>
          </w:p>
        </w:tc>
        <w:tc>
          <w:tcPr>
            <w:tcW w:w="1205" w:type="dxa"/>
            <w:tcBorders>
              <w:top w:val="single" w:color="auto" w:sz="2" w:space="0"/>
              <w:left w:val="single" w:color="auto" w:sz="2" w:space="0"/>
              <w:bottom w:val="single" w:color="auto" w:sz="2" w:space="0"/>
              <w:right w:val="single" w:color="auto" w:sz="2" w:space="0"/>
            </w:tcBorders>
            <w:vAlign w:val="center"/>
          </w:tcPr>
          <w:p w14:paraId="63DAEBDA">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3AB8FD6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E5E7F12">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0B81A7AC">
            <w:pPr>
              <w:spacing w:line="240" w:lineRule="exact"/>
              <w:rPr>
                <w:rFonts w:ascii="宋体" w:hAnsi="宋体" w:eastAsia="宋体" w:cs="宋体"/>
                <w:sz w:val="18"/>
                <w:szCs w:val="18"/>
              </w:rPr>
            </w:pPr>
            <w:r>
              <w:rPr>
                <w:rFonts w:ascii="宋体" w:hAnsi="宋体" w:eastAsia="宋体" w:cs="宋体"/>
                <w:sz w:val="18"/>
                <w:szCs w:val="18"/>
              </w:rPr>
              <w:t>投资设立</w:t>
            </w:r>
          </w:p>
        </w:tc>
      </w:tr>
      <w:tr w14:paraId="2D1D0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D57B348">
            <w:pPr>
              <w:spacing w:line="240" w:lineRule="exact"/>
              <w:rPr>
                <w:rFonts w:ascii="宋体" w:hAnsi="宋体" w:eastAsia="宋体" w:cs="宋体"/>
                <w:sz w:val="18"/>
                <w:szCs w:val="18"/>
              </w:rPr>
            </w:pPr>
            <w:r>
              <w:rPr>
                <w:rFonts w:ascii="宋体" w:hAnsi="宋体" w:eastAsia="宋体" w:cs="宋体"/>
                <w:sz w:val="18"/>
                <w:szCs w:val="18"/>
              </w:rPr>
              <w:t>浙江恒孚贸易有限公司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A70E662">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5AC89976">
            <w:pPr>
              <w:spacing w:line="240" w:lineRule="exact"/>
              <w:rPr>
                <w:rFonts w:ascii="宋体" w:hAnsi="宋体" w:eastAsia="宋体" w:cs="宋体"/>
                <w:sz w:val="18"/>
                <w:szCs w:val="18"/>
              </w:rPr>
            </w:pPr>
            <w:r>
              <w:rPr>
                <w:rFonts w:ascii="宋体" w:hAnsi="宋体" w:eastAsia="宋体" w:cs="宋体"/>
                <w:sz w:val="18"/>
                <w:szCs w:val="18"/>
              </w:rPr>
              <w:t>浙江省杭州市</w:t>
            </w:r>
          </w:p>
        </w:tc>
        <w:tc>
          <w:tcPr>
            <w:tcW w:w="1205" w:type="dxa"/>
            <w:tcBorders>
              <w:top w:val="single" w:color="auto" w:sz="2" w:space="0"/>
              <w:left w:val="single" w:color="auto" w:sz="2" w:space="0"/>
              <w:bottom w:val="single" w:color="auto" w:sz="2" w:space="0"/>
              <w:right w:val="single" w:color="auto" w:sz="2" w:space="0"/>
            </w:tcBorders>
            <w:vAlign w:val="center"/>
          </w:tcPr>
          <w:p w14:paraId="0100DAB3">
            <w:pPr>
              <w:spacing w:line="240" w:lineRule="exact"/>
              <w:rPr>
                <w:rFonts w:ascii="宋体" w:hAnsi="宋体" w:eastAsia="宋体" w:cs="宋体"/>
                <w:sz w:val="18"/>
                <w:szCs w:val="18"/>
              </w:rPr>
            </w:pPr>
            <w:r>
              <w:rPr>
                <w:rFonts w:ascii="宋体" w:hAnsi="宋体" w:eastAsia="宋体" w:cs="宋体"/>
                <w:sz w:val="18"/>
                <w:szCs w:val="18"/>
              </w:rPr>
              <w:t>浙江省杭州市</w:t>
            </w:r>
          </w:p>
        </w:tc>
        <w:tc>
          <w:tcPr>
            <w:tcW w:w="1205" w:type="dxa"/>
            <w:tcBorders>
              <w:top w:val="single" w:color="auto" w:sz="2" w:space="0"/>
              <w:left w:val="single" w:color="auto" w:sz="2" w:space="0"/>
              <w:bottom w:val="single" w:color="auto" w:sz="2" w:space="0"/>
              <w:right w:val="single" w:color="auto" w:sz="2" w:space="0"/>
            </w:tcBorders>
            <w:vAlign w:val="center"/>
          </w:tcPr>
          <w:p w14:paraId="77D49278">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6399A39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8CF3BAB">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5E62CB34">
            <w:pPr>
              <w:spacing w:line="240" w:lineRule="exact"/>
              <w:rPr>
                <w:rFonts w:ascii="宋体" w:hAnsi="宋体" w:eastAsia="宋体" w:cs="宋体"/>
                <w:sz w:val="18"/>
                <w:szCs w:val="18"/>
              </w:rPr>
            </w:pPr>
            <w:r>
              <w:rPr>
                <w:rFonts w:ascii="宋体" w:hAnsi="宋体" w:eastAsia="宋体" w:cs="宋体"/>
                <w:sz w:val="18"/>
                <w:szCs w:val="18"/>
              </w:rPr>
              <w:t>投资设立</w:t>
            </w:r>
          </w:p>
        </w:tc>
      </w:tr>
      <w:tr w14:paraId="291AA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76E5340">
            <w:pPr>
              <w:spacing w:line="240" w:lineRule="exact"/>
              <w:rPr>
                <w:rFonts w:ascii="宋体" w:hAnsi="宋体" w:eastAsia="宋体" w:cs="宋体"/>
                <w:sz w:val="18"/>
                <w:szCs w:val="18"/>
              </w:rPr>
            </w:pPr>
            <w:r>
              <w:rPr>
                <w:rFonts w:ascii="宋体" w:hAnsi="宋体" w:eastAsia="宋体" w:cs="宋体"/>
                <w:sz w:val="18"/>
                <w:szCs w:val="18"/>
              </w:rPr>
              <w:t>新疆棉花交易市场有限责任公司</w:t>
            </w:r>
          </w:p>
        </w:tc>
        <w:tc>
          <w:tcPr>
            <w:tcW w:w="1205" w:type="dxa"/>
            <w:tcBorders>
              <w:top w:val="single" w:color="auto" w:sz="2" w:space="0"/>
              <w:left w:val="single" w:color="auto" w:sz="2" w:space="0"/>
              <w:bottom w:val="single" w:color="auto" w:sz="2" w:space="0"/>
              <w:right w:val="single" w:color="auto" w:sz="2" w:space="0"/>
            </w:tcBorders>
            <w:vAlign w:val="center"/>
          </w:tcPr>
          <w:p w14:paraId="6F136C0E">
            <w:pPr>
              <w:spacing w:line="240" w:lineRule="exact"/>
              <w:jc w:val="right"/>
              <w:rPr>
                <w:rFonts w:ascii="宋体" w:hAnsi="宋体" w:eastAsia="宋体" w:cs="宋体"/>
                <w:sz w:val="18"/>
                <w:szCs w:val="18"/>
              </w:rPr>
            </w:pPr>
            <w:r>
              <w:rPr>
                <w:rFonts w:ascii="宋体" w:hAnsi="宋体" w:eastAsia="宋体" w:cs="宋体"/>
                <w:sz w:val="18"/>
                <w:szCs w:val="18"/>
              </w:rPr>
              <w:t>50,000,000.00</w:t>
            </w:r>
          </w:p>
        </w:tc>
        <w:tc>
          <w:tcPr>
            <w:tcW w:w="1205" w:type="dxa"/>
            <w:tcBorders>
              <w:top w:val="single" w:color="auto" w:sz="2" w:space="0"/>
              <w:left w:val="single" w:color="auto" w:sz="2" w:space="0"/>
              <w:bottom w:val="single" w:color="auto" w:sz="2" w:space="0"/>
              <w:right w:val="single" w:color="auto" w:sz="2" w:space="0"/>
            </w:tcBorders>
            <w:vAlign w:val="center"/>
          </w:tcPr>
          <w:p w14:paraId="76278E60">
            <w:pPr>
              <w:spacing w:line="240" w:lineRule="exact"/>
              <w:rPr>
                <w:rFonts w:ascii="宋体" w:hAnsi="宋体" w:eastAsia="宋体" w:cs="宋体"/>
                <w:sz w:val="18"/>
                <w:szCs w:val="18"/>
              </w:rPr>
            </w:pPr>
            <w:r>
              <w:rPr>
                <w:rFonts w:ascii="宋体" w:hAnsi="宋体" w:eastAsia="宋体" w:cs="宋体"/>
                <w:sz w:val="18"/>
                <w:szCs w:val="18"/>
              </w:rPr>
              <w:t>新疆乌鲁木齐</w:t>
            </w:r>
          </w:p>
        </w:tc>
        <w:tc>
          <w:tcPr>
            <w:tcW w:w="1205" w:type="dxa"/>
            <w:tcBorders>
              <w:top w:val="single" w:color="auto" w:sz="2" w:space="0"/>
              <w:left w:val="single" w:color="auto" w:sz="2" w:space="0"/>
              <w:bottom w:val="single" w:color="auto" w:sz="2" w:space="0"/>
              <w:right w:val="single" w:color="auto" w:sz="2" w:space="0"/>
            </w:tcBorders>
            <w:vAlign w:val="center"/>
          </w:tcPr>
          <w:p w14:paraId="685CDC56">
            <w:pPr>
              <w:spacing w:line="240" w:lineRule="exact"/>
              <w:rPr>
                <w:rFonts w:ascii="宋体" w:hAnsi="宋体" w:eastAsia="宋体" w:cs="宋体"/>
                <w:sz w:val="18"/>
                <w:szCs w:val="18"/>
              </w:rPr>
            </w:pPr>
            <w:r>
              <w:rPr>
                <w:rFonts w:ascii="宋体" w:hAnsi="宋体" w:eastAsia="宋体" w:cs="宋体"/>
                <w:sz w:val="18"/>
                <w:szCs w:val="18"/>
              </w:rPr>
              <w:t>新疆乌鲁木齐</w:t>
            </w:r>
          </w:p>
        </w:tc>
        <w:tc>
          <w:tcPr>
            <w:tcW w:w="1205" w:type="dxa"/>
            <w:tcBorders>
              <w:top w:val="single" w:color="auto" w:sz="2" w:space="0"/>
              <w:left w:val="single" w:color="auto" w:sz="2" w:space="0"/>
              <w:bottom w:val="single" w:color="auto" w:sz="2" w:space="0"/>
              <w:right w:val="single" w:color="auto" w:sz="2" w:space="0"/>
            </w:tcBorders>
            <w:vAlign w:val="center"/>
          </w:tcPr>
          <w:p w14:paraId="51CBB125">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03C186F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482F7D7">
            <w:pPr>
              <w:spacing w:line="240" w:lineRule="exact"/>
              <w:jc w:val="right"/>
              <w:rPr>
                <w:rFonts w:ascii="宋体" w:hAnsi="宋体" w:eastAsia="宋体" w:cs="宋体"/>
                <w:sz w:val="18"/>
                <w:szCs w:val="18"/>
              </w:rPr>
            </w:pPr>
            <w:r>
              <w:rPr>
                <w:rFonts w:ascii="宋体" w:hAnsi="宋体" w:eastAsia="宋体" w:cs="宋体"/>
                <w:sz w:val="18"/>
                <w:szCs w:val="18"/>
              </w:rPr>
              <w:t>70.40%</w:t>
            </w:r>
          </w:p>
        </w:tc>
        <w:tc>
          <w:tcPr>
            <w:tcW w:w="1205" w:type="dxa"/>
            <w:tcBorders>
              <w:top w:val="single" w:color="auto" w:sz="2" w:space="0"/>
              <w:left w:val="single" w:color="auto" w:sz="2" w:space="0"/>
              <w:bottom w:val="single" w:color="auto" w:sz="2" w:space="0"/>
              <w:right w:val="single" w:color="auto" w:sz="2" w:space="0"/>
            </w:tcBorders>
            <w:vAlign w:val="center"/>
          </w:tcPr>
          <w:p w14:paraId="6D82FA2C">
            <w:pPr>
              <w:spacing w:line="240" w:lineRule="exact"/>
              <w:rPr>
                <w:rFonts w:ascii="宋体" w:hAnsi="宋体" w:eastAsia="宋体" w:cs="宋体"/>
                <w:sz w:val="18"/>
                <w:szCs w:val="18"/>
              </w:rPr>
            </w:pPr>
            <w:r>
              <w:rPr>
                <w:rFonts w:ascii="宋体" w:hAnsi="宋体" w:eastAsia="宋体" w:cs="宋体"/>
                <w:sz w:val="18"/>
                <w:szCs w:val="18"/>
              </w:rPr>
              <w:t>非同一控制下企业合并</w:t>
            </w:r>
          </w:p>
        </w:tc>
      </w:tr>
      <w:tr w14:paraId="07E10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59B79B1">
            <w:pPr>
              <w:spacing w:line="240" w:lineRule="exact"/>
              <w:rPr>
                <w:rFonts w:ascii="宋体" w:hAnsi="宋体" w:eastAsia="宋体" w:cs="宋体"/>
                <w:sz w:val="18"/>
                <w:szCs w:val="18"/>
              </w:rPr>
            </w:pPr>
            <w:r>
              <w:rPr>
                <w:rFonts w:ascii="宋体" w:hAnsi="宋体" w:eastAsia="宋体" w:cs="宋体"/>
                <w:sz w:val="18"/>
                <w:szCs w:val="18"/>
              </w:rPr>
              <w:t>阿克苏银星物流有限公司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0685A32A">
            <w:pPr>
              <w:spacing w:line="240" w:lineRule="exact"/>
              <w:jc w:val="right"/>
              <w:rPr>
                <w:rFonts w:ascii="宋体" w:hAnsi="宋体" w:eastAsia="宋体" w:cs="宋体"/>
                <w:sz w:val="18"/>
                <w:szCs w:val="18"/>
              </w:rPr>
            </w:pPr>
            <w:r>
              <w:rPr>
                <w:rFonts w:ascii="宋体" w:hAnsi="宋体" w:eastAsia="宋体" w:cs="宋体"/>
                <w:sz w:val="18"/>
                <w:szCs w:val="18"/>
              </w:rPr>
              <w:t>20,000,000.00</w:t>
            </w:r>
          </w:p>
        </w:tc>
        <w:tc>
          <w:tcPr>
            <w:tcW w:w="1205" w:type="dxa"/>
            <w:tcBorders>
              <w:top w:val="single" w:color="auto" w:sz="2" w:space="0"/>
              <w:left w:val="single" w:color="auto" w:sz="2" w:space="0"/>
              <w:bottom w:val="single" w:color="auto" w:sz="2" w:space="0"/>
              <w:right w:val="single" w:color="auto" w:sz="2" w:space="0"/>
            </w:tcBorders>
            <w:vAlign w:val="center"/>
          </w:tcPr>
          <w:p w14:paraId="1A4A73E4">
            <w:pPr>
              <w:spacing w:line="240" w:lineRule="exact"/>
              <w:rPr>
                <w:rFonts w:ascii="宋体" w:hAnsi="宋体" w:eastAsia="宋体" w:cs="宋体"/>
                <w:sz w:val="18"/>
                <w:szCs w:val="18"/>
              </w:rPr>
            </w:pPr>
            <w:r>
              <w:rPr>
                <w:rFonts w:ascii="宋体" w:hAnsi="宋体" w:eastAsia="宋体" w:cs="宋体"/>
                <w:sz w:val="18"/>
                <w:szCs w:val="18"/>
              </w:rPr>
              <w:t>新疆阿克苏地区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30C2C156">
            <w:pPr>
              <w:spacing w:line="240" w:lineRule="exact"/>
              <w:rPr>
                <w:rFonts w:ascii="宋体" w:hAnsi="宋体" w:eastAsia="宋体" w:cs="宋体"/>
                <w:sz w:val="18"/>
                <w:szCs w:val="18"/>
              </w:rPr>
            </w:pPr>
            <w:r>
              <w:rPr>
                <w:rFonts w:ascii="宋体" w:hAnsi="宋体" w:eastAsia="宋体" w:cs="宋体"/>
                <w:sz w:val="18"/>
                <w:szCs w:val="18"/>
              </w:rPr>
              <w:t>新疆阿克苏地区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767C1E9C">
            <w:pPr>
              <w:spacing w:line="240" w:lineRule="exact"/>
              <w:rPr>
                <w:rFonts w:ascii="宋体" w:hAnsi="宋体" w:eastAsia="宋体" w:cs="宋体"/>
                <w:sz w:val="18"/>
                <w:szCs w:val="18"/>
              </w:rPr>
            </w:pPr>
            <w:r>
              <w:rPr>
                <w:rFonts w:ascii="宋体" w:hAnsi="宋体" w:eastAsia="宋体" w:cs="宋体"/>
                <w:sz w:val="18"/>
                <w:szCs w:val="18"/>
              </w:rPr>
              <w:t>物流运输业</w:t>
            </w:r>
          </w:p>
        </w:tc>
        <w:tc>
          <w:tcPr>
            <w:tcW w:w="1205" w:type="dxa"/>
            <w:tcBorders>
              <w:top w:val="single" w:color="auto" w:sz="2" w:space="0"/>
              <w:left w:val="single" w:color="auto" w:sz="2" w:space="0"/>
              <w:bottom w:val="single" w:color="auto" w:sz="2" w:space="0"/>
              <w:right w:val="single" w:color="auto" w:sz="2" w:space="0"/>
            </w:tcBorders>
            <w:vAlign w:val="center"/>
          </w:tcPr>
          <w:p w14:paraId="6DA59C21">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CF62138">
            <w:pPr>
              <w:spacing w:line="240" w:lineRule="exact"/>
              <w:jc w:val="right"/>
              <w:rPr>
                <w:rFonts w:ascii="宋体" w:hAnsi="宋体" w:eastAsia="宋体" w:cs="宋体"/>
                <w:sz w:val="18"/>
                <w:szCs w:val="18"/>
              </w:rPr>
            </w:pPr>
            <w:r>
              <w:rPr>
                <w:rFonts w:ascii="宋体" w:hAnsi="宋体" w:eastAsia="宋体" w:cs="宋体"/>
                <w:sz w:val="18"/>
                <w:szCs w:val="18"/>
              </w:rPr>
              <w:t>40.80%</w:t>
            </w:r>
          </w:p>
        </w:tc>
        <w:tc>
          <w:tcPr>
            <w:tcW w:w="1205" w:type="dxa"/>
            <w:tcBorders>
              <w:top w:val="single" w:color="auto" w:sz="2" w:space="0"/>
              <w:left w:val="single" w:color="auto" w:sz="2" w:space="0"/>
              <w:bottom w:val="single" w:color="auto" w:sz="2" w:space="0"/>
              <w:right w:val="single" w:color="auto" w:sz="2" w:space="0"/>
            </w:tcBorders>
            <w:vAlign w:val="center"/>
          </w:tcPr>
          <w:p w14:paraId="52F74E59">
            <w:pPr>
              <w:spacing w:line="240" w:lineRule="exact"/>
              <w:rPr>
                <w:rFonts w:ascii="宋体" w:hAnsi="宋体" w:eastAsia="宋体" w:cs="宋体"/>
                <w:sz w:val="18"/>
                <w:szCs w:val="18"/>
              </w:rPr>
            </w:pPr>
            <w:r>
              <w:rPr>
                <w:rFonts w:ascii="宋体" w:hAnsi="宋体" w:eastAsia="宋体" w:cs="宋体"/>
                <w:sz w:val="18"/>
                <w:szCs w:val="18"/>
              </w:rPr>
              <w:t>非同一控制下企业合并</w:t>
            </w:r>
          </w:p>
        </w:tc>
      </w:tr>
      <w:tr w14:paraId="4E1EA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7D11D7E">
            <w:pPr>
              <w:spacing w:line="240" w:lineRule="exact"/>
              <w:rPr>
                <w:rFonts w:ascii="宋体" w:hAnsi="宋体" w:eastAsia="宋体" w:cs="宋体"/>
                <w:sz w:val="18"/>
                <w:szCs w:val="18"/>
              </w:rPr>
            </w:pPr>
            <w:r>
              <w:rPr>
                <w:rFonts w:ascii="宋体" w:hAnsi="宋体" w:eastAsia="宋体" w:cs="宋体"/>
                <w:sz w:val="18"/>
                <w:szCs w:val="18"/>
              </w:rPr>
              <w:t>深圳华孚网链投资有限公司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E528DD5">
            <w:pPr>
              <w:spacing w:line="240" w:lineRule="exact"/>
              <w:jc w:val="right"/>
              <w:rPr>
                <w:rFonts w:ascii="宋体" w:hAnsi="宋体" w:eastAsia="宋体" w:cs="宋体"/>
                <w:sz w:val="18"/>
                <w:szCs w:val="18"/>
              </w:rPr>
            </w:pPr>
            <w:r>
              <w:rPr>
                <w:rFonts w:ascii="宋体" w:hAnsi="宋体" w:eastAsia="宋体" w:cs="宋体"/>
                <w:sz w:val="18"/>
                <w:szCs w:val="18"/>
              </w:rPr>
              <w:t>500,000,000.00</w:t>
            </w:r>
          </w:p>
        </w:tc>
        <w:tc>
          <w:tcPr>
            <w:tcW w:w="1205" w:type="dxa"/>
            <w:tcBorders>
              <w:top w:val="single" w:color="auto" w:sz="2" w:space="0"/>
              <w:left w:val="single" w:color="auto" w:sz="2" w:space="0"/>
              <w:bottom w:val="single" w:color="auto" w:sz="2" w:space="0"/>
              <w:right w:val="single" w:color="auto" w:sz="2" w:space="0"/>
            </w:tcBorders>
            <w:vAlign w:val="center"/>
          </w:tcPr>
          <w:p w14:paraId="5DC2B21F">
            <w:pPr>
              <w:spacing w:line="240" w:lineRule="exact"/>
              <w:rPr>
                <w:rFonts w:ascii="宋体" w:hAnsi="宋体" w:eastAsia="宋体" w:cs="宋体"/>
                <w:sz w:val="18"/>
                <w:szCs w:val="18"/>
              </w:rPr>
            </w:pPr>
            <w:r>
              <w:rPr>
                <w:rFonts w:ascii="宋体" w:hAnsi="宋体" w:eastAsia="宋体" w:cs="宋体"/>
                <w:sz w:val="18"/>
                <w:szCs w:val="18"/>
              </w:rPr>
              <w:t>广东省深圳市</w:t>
            </w:r>
          </w:p>
        </w:tc>
        <w:tc>
          <w:tcPr>
            <w:tcW w:w="1205" w:type="dxa"/>
            <w:tcBorders>
              <w:top w:val="single" w:color="auto" w:sz="2" w:space="0"/>
              <w:left w:val="single" w:color="auto" w:sz="2" w:space="0"/>
              <w:bottom w:val="single" w:color="auto" w:sz="2" w:space="0"/>
              <w:right w:val="single" w:color="auto" w:sz="2" w:space="0"/>
            </w:tcBorders>
            <w:vAlign w:val="center"/>
          </w:tcPr>
          <w:p w14:paraId="1EAE5382">
            <w:pPr>
              <w:spacing w:line="240" w:lineRule="exact"/>
              <w:rPr>
                <w:rFonts w:ascii="宋体" w:hAnsi="宋体" w:eastAsia="宋体" w:cs="宋体"/>
                <w:sz w:val="18"/>
                <w:szCs w:val="18"/>
              </w:rPr>
            </w:pPr>
            <w:r>
              <w:rPr>
                <w:rFonts w:ascii="宋体" w:hAnsi="宋体" w:eastAsia="宋体" w:cs="宋体"/>
                <w:sz w:val="18"/>
                <w:szCs w:val="18"/>
              </w:rPr>
              <w:t>广东省深圳市</w:t>
            </w:r>
          </w:p>
        </w:tc>
        <w:tc>
          <w:tcPr>
            <w:tcW w:w="1205" w:type="dxa"/>
            <w:tcBorders>
              <w:top w:val="single" w:color="auto" w:sz="2" w:space="0"/>
              <w:left w:val="single" w:color="auto" w:sz="2" w:space="0"/>
              <w:bottom w:val="single" w:color="auto" w:sz="2" w:space="0"/>
              <w:right w:val="single" w:color="auto" w:sz="2" w:space="0"/>
            </w:tcBorders>
            <w:vAlign w:val="center"/>
          </w:tcPr>
          <w:p w14:paraId="09FF312F">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441BCD74">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01AB25D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A68A080">
            <w:pPr>
              <w:spacing w:line="240" w:lineRule="exact"/>
              <w:rPr>
                <w:rFonts w:ascii="宋体" w:hAnsi="宋体" w:eastAsia="宋体" w:cs="宋体"/>
                <w:sz w:val="18"/>
                <w:szCs w:val="18"/>
              </w:rPr>
            </w:pPr>
            <w:r>
              <w:rPr>
                <w:rFonts w:ascii="宋体" w:hAnsi="宋体" w:eastAsia="宋体" w:cs="宋体"/>
                <w:sz w:val="18"/>
                <w:szCs w:val="18"/>
              </w:rPr>
              <w:t>投资设立</w:t>
            </w:r>
          </w:p>
        </w:tc>
      </w:tr>
      <w:tr w14:paraId="5A077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0C86BDE">
            <w:pPr>
              <w:spacing w:line="240" w:lineRule="exact"/>
              <w:rPr>
                <w:rFonts w:ascii="宋体" w:hAnsi="宋体" w:eastAsia="宋体" w:cs="宋体"/>
                <w:sz w:val="18"/>
                <w:szCs w:val="18"/>
              </w:rPr>
            </w:pPr>
            <w:r>
              <w:rPr>
                <w:rFonts w:ascii="宋体" w:hAnsi="宋体" w:eastAsia="宋体" w:cs="宋体"/>
                <w:sz w:val="18"/>
                <w:szCs w:val="18"/>
              </w:rPr>
              <w:t>淮北华孚供应链管理有限公司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0692DDC1">
            <w:pPr>
              <w:spacing w:line="240" w:lineRule="exact"/>
              <w:jc w:val="right"/>
              <w:rPr>
                <w:rFonts w:ascii="宋体" w:hAnsi="宋体" w:eastAsia="宋体" w:cs="宋体"/>
                <w:sz w:val="18"/>
                <w:szCs w:val="18"/>
              </w:rPr>
            </w:pPr>
            <w:r>
              <w:rPr>
                <w:rFonts w:ascii="宋体" w:hAnsi="宋体" w:eastAsia="宋体" w:cs="宋体"/>
                <w:sz w:val="18"/>
                <w:szCs w:val="18"/>
              </w:rPr>
              <w:t>200,000,000.00</w:t>
            </w:r>
          </w:p>
        </w:tc>
        <w:tc>
          <w:tcPr>
            <w:tcW w:w="1205" w:type="dxa"/>
            <w:tcBorders>
              <w:top w:val="single" w:color="auto" w:sz="2" w:space="0"/>
              <w:left w:val="single" w:color="auto" w:sz="2" w:space="0"/>
              <w:bottom w:val="single" w:color="auto" w:sz="2" w:space="0"/>
              <w:right w:val="single" w:color="auto" w:sz="2" w:space="0"/>
            </w:tcBorders>
            <w:vAlign w:val="center"/>
          </w:tcPr>
          <w:p w14:paraId="7E784C6A">
            <w:pPr>
              <w:spacing w:line="240" w:lineRule="exac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09DDC3AA">
            <w:pPr>
              <w:spacing w:line="240" w:lineRule="exac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45E2679C">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4ADAD2F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E97C75D">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5AA00A2F">
            <w:pPr>
              <w:spacing w:line="240" w:lineRule="exact"/>
              <w:rPr>
                <w:rFonts w:ascii="宋体" w:hAnsi="宋体" w:eastAsia="宋体" w:cs="宋体"/>
                <w:sz w:val="18"/>
                <w:szCs w:val="18"/>
              </w:rPr>
            </w:pPr>
            <w:r>
              <w:rPr>
                <w:rFonts w:ascii="宋体" w:hAnsi="宋体" w:eastAsia="宋体" w:cs="宋体"/>
                <w:sz w:val="18"/>
                <w:szCs w:val="18"/>
              </w:rPr>
              <w:t>投资设立</w:t>
            </w:r>
          </w:p>
        </w:tc>
      </w:tr>
      <w:tr w14:paraId="69512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0A9429A">
            <w:pPr>
              <w:spacing w:line="240" w:lineRule="exact"/>
              <w:rPr>
                <w:rFonts w:ascii="宋体" w:hAnsi="宋体" w:eastAsia="宋体" w:cs="宋体"/>
                <w:sz w:val="18"/>
                <w:szCs w:val="18"/>
              </w:rPr>
            </w:pPr>
            <w:r>
              <w:rPr>
                <w:rFonts w:ascii="宋体" w:hAnsi="宋体" w:eastAsia="宋体" w:cs="宋体"/>
                <w:sz w:val="18"/>
                <w:szCs w:val="18"/>
              </w:rPr>
              <w:t>阿克苏华孚科技有限公司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1DA6C7E">
            <w:pPr>
              <w:spacing w:line="240" w:lineRule="exact"/>
              <w:jc w:val="right"/>
              <w:rPr>
                <w:rFonts w:ascii="宋体" w:hAnsi="宋体" w:eastAsia="宋体" w:cs="宋体"/>
                <w:sz w:val="18"/>
                <w:szCs w:val="18"/>
              </w:rPr>
            </w:pPr>
            <w:r>
              <w:rPr>
                <w:rFonts w:ascii="宋体" w:hAnsi="宋体" w:eastAsia="宋体" w:cs="宋体"/>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14:paraId="408EF607">
            <w:pPr>
              <w:spacing w:line="240" w:lineRule="exact"/>
              <w:rPr>
                <w:rFonts w:ascii="宋体" w:hAnsi="宋体" w:eastAsia="宋体" w:cs="宋体"/>
                <w:sz w:val="18"/>
                <w:szCs w:val="18"/>
              </w:rPr>
            </w:pPr>
            <w:r>
              <w:rPr>
                <w:rFonts w:ascii="宋体" w:hAnsi="宋体" w:eastAsia="宋体" w:cs="宋体"/>
                <w:sz w:val="18"/>
                <w:szCs w:val="18"/>
              </w:rPr>
              <w:t>新疆阿克苏地区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7329FEC2">
            <w:pPr>
              <w:spacing w:line="240" w:lineRule="exact"/>
              <w:rPr>
                <w:rFonts w:ascii="宋体" w:hAnsi="宋体" w:eastAsia="宋体" w:cs="宋体"/>
                <w:sz w:val="18"/>
                <w:szCs w:val="18"/>
              </w:rPr>
            </w:pPr>
            <w:r>
              <w:rPr>
                <w:rFonts w:ascii="宋体" w:hAnsi="宋体" w:eastAsia="宋体" w:cs="宋体"/>
                <w:sz w:val="18"/>
                <w:szCs w:val="18"/>
              </w:rPr>
              <w:t>新疆阿克苏地区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67758031">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05D2CC84">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6079D26">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2B4E6B09">
            <w:pPr>
              <w:spacing w:line="240" w:lineRule="exact"/>
              <w:rPr>
                <w:rFonts w:ascii="宋体" w:hAnsi="宋体" w:eastAsia="宋体" w:cs="宋体"/>
                <w:sz w:val="18"/>
                <w:szCs w:val="18"/>
              </w:rPr>
            </w:pPr>
            <w:r>
              <w:rPr>
                <w:rFonts w:ascii="宋体" w:hAnsi="宋体" w:eastAsia="宋体" w:cs="宋体"/>
                <w:sz w:val="18"/>
                <w:szCs w:val="18"/>
              </w:rPr>
              <w:t>投资设立</w:t>
            </w:r>
          </w:p>
        </w:tc>
      </w:tr>
      <w:tr w14:paraId="410E5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F4F4C7A">
            <w:pPr>
              <w:spacing w:line="240" w:lineRule="exact"/>
              <w:rPr>
                <w:rFonts w:ascii="宋体" w:hAnsi="宋体" w:eastAsia="宋体" w:cs="宋体"/>
                <w:sz w:val="18"/>
                <w:szCs w:val="18"/>
              </w:rPr>
            </w:pPr>
            <w:r>
              <w:rPr>
                <w:rFonts w:ascii="宋体" w:hAnsi="宋体" w:eastAsia="宋体" w:cs="宋体"/>
                <w:sz w:val="18"/>
                <w:szCs w:val="18"/>
              </w:rPr>
              <w:t>浙江阿大互联科技有限公司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080F0C9">
            <w:pPr>
              <w:spacing w:line="240" w:lineRule="exact"/>
              <w:jc w:val="right"/>
              <w:rPr>
                <w:rFonts w:ascii="宋体" w:hAnsi="宋体" w:eastAsia="宋体" w:cs="宋体"/>
                <w:sz w:val="18"/>
                <w:szCs w:val="18"/>
              </w:rPr>
            </w:pPr>
            <w:r>
              <w:rPr>
                <w:rFonts w:ascii="宋体" w:hAnsi="宋体" w:eastAsia="宋体" w:cs="宋体"/>
                <w:sz w:val="18"/>
                <w:szCs w:val="18"/>
              </w:rPr>
              <w:t>45,472,700.00</w:t>
            </w:r>
          </w:p>
        </w:tc>
        <w:tc>
          <w:tcPr>
            <w:tcW w:w="1205" w:type="dxa"/>
            <w:tcBorders>
              <w:top w:val="single" w:color="auto" w:sz="2" w:space="0"/>
              <w:left w:val="single" w:color="auto" w:sz="2" w:space="0"/>
              <w:bottom w:val="single" w:color="auto" w:sz="2" w:space="0"/>
              <w:right w:val="single" w:color="auto" w:sz="2" w:space="0"/>
            </w:tcBorders>
            <w:vAlign w:val="center"/>
          </w:tcPr>
          <w:p w14:paraId="607DD418">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3A95069F">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25938F09">
            <w:pPr>
              <w:spacing w:line="240" w:lineRule="exact"/>
              <w:rPr>
                <w:rFonts w:ascii="宋体" w:hAnsi="宋体" w:eastAsia="宋体" w:cs="宋体"/>
                <w:sz w:val="18"/>
                <w:szCs w:val="18"/>
              </w:rPr>
            </w:pPr>
            <w:r>
              <w:rPr>
                <w:rFonts w:ascii="宋体" w:hAnsi="宋体" w:eastAsia="宋体" w:cs="宋体"/>
                <w:sz w:val="18"/>
                <w:szCs w:val="18"/>
              </w:rPr>
              <w:t>科技推广和应用服务业</w:t>
            </w:r>
          </w:p>
        </w:tc>
        <w:tc>
          <w:tcPr>
            <w:tcW w:w="1205" w:type="dxa"/>
            <w:tcBorders>
              <w:top w:val="single" w:color="auto" w:sz="2" w:space="0"/>
              <w:left w:val="single" w:color="auto" w:sz="2" w:space="0"/>
              <w:bottom w:val="single" w:color="auto" w:sz="2" w:space="0"/>
              <w:right w:val="single" w:color="auto" w:sz="2" w:space="0"/>
            </w:tcBorders>
            <w:vAlign w:val="center"/>
          </w:tcPr>
          <w:p w14:paraId="7430A2EF">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D8A9741">
            <w:pPr>
              <w:spacing w:line="240" w:lineRule="exact"/>
              <w:jc w:val="right"/>
              <w:rPr>
                <w:rFonts w:ascii="宋体" w:hAnsi="宋体" w:eastAsia="宋体" w:cs="宋体"/>
                <w:sz w:val="18"/>
                <w:szCs w:val="18"/>
              </w:rPr>
            </w:pPr>
            <w:r>
              <w:rPr>
                <w:rFonts w:ascii="宋体" w:hAnsi="宋体" w:eastAsia="宋体" w:cs="宋体"/>
                <w:sz w:val="18"/>
                <w:szCs w:val="18"/>
              </w:rPr>
              <w:t>64.95%</w:t>
            </w:r>
          </w:p>
        </w:tc>
        <w:tc>
          <w:tcPr>
            <w:tcW w:w="1205" w:type="dxa"/>
            <w:tcBorders>
              <w:top w:val="single" w:color="auto" w:sz="2" w:space="0"/>
              <w:left w:val="single" w:color="auto" w:sz="2" w:space="0"/>
              <w:bottom w:val="single" w:color="auto" w:sz="2" w:space="0"/>
              <w:right w:val="single" w:color="auto" w:sz="2" w:space="0"/>
            </w:tcBorders>
            <w:vAlign w:val="center"/>
          </w:tcPr>
          <w:p w14:paraId="4CDA5152">
            <w:pPr>
              <w:spacing w:line="240" w:lineRule="exact"/>
              <w:rPr>
                <w:rFonts w:ascii="宋体" w:hAnsi="宋体" w:eastAsia="宋体" w:cs="宋体"/>
                <w:sz w:val="18"/>
                <w:szCs w:val="18"/>
              </w:rPr>
            </w:pPr>
            <w:r>
              <w:rPr>
                <w:rFonts w:ascii="宋体" w:hAnsi="宋体" w:eastAsia="宋体" w:cs="宋体"/>
                <w:sz w:val="18"/>
                <w:szCs w:val="18"/>
              </w:rPr>
              <w:t>非同控合并</w:t>
            </w:r>
          </w:p>
        </w:tc>
      </w:tr>
      <w:tr w14:paraId="7DE9A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E1E3257">
            <w:pPr>
              <w:spacing w:line="240" w:lineRule="exact"/>
              <w:rPr>
                <w:rFonts w:ascii="宋体" w:hAnsi="宋体" w:eastAsia="宋体" w:cs="宋体"/>
                <w:sz w:val="18"/>
                <w:szCs w:val="18"/>
              </w:rPr>
            </w:pPr>
            <w:r>
              <w:rPr>
                <w:rFonts w:ascii="宋体" w:hAnsi="宋体" w:eastAsia="宋体" w:cs="宋体"/>
                <w:sz w:val="18"/>
                <w:szCs w:val="18"/>
              </w:rPr>
              <w:t>新疆阿大数字科技产业园有限公司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9EC5CD8">
            <w:pPr>
              <w:spacing w:line="240" w:lineRule="exact"/>
              <w:jc w:val="right"/>
              <w:rPr>
                <w:rFonts w:ascii="宋体" w:hAnsi="宋体" w:eastAsia="宋体" w:cs="宋体"/>
                <w:sz w:val="18"/>
                <w:szCs w:val="18"/>
              </w:rPr>
            </w:pPr>
            <w:r>
              <w:rPr>
                <w:rFonts w:ascii="宋体" w:hAnsi="宋体" w:eastAsia="宋体" w:cs="宋体"/>
                <w:sz w:val="18"/>
                <w:szCs w:val="18"/>
              </w:rPr>
              <w:t>50,000,000.00</w:t>
            </w:r>
          </w:p>
        </w:tc>
        <w:tc>
          <w:tcPr>
            <w:tcW w:w="1205" w:type="dxa"/>
            <w:tcBorders>
              <w:top w:val="single" w:color="auto" w:sz="2" w:space="0"/>
              <w:left w:val="single" w:color="auto" w:sz="2" w:space="0"/>
              <w:bottom w:val="single" w:color="auto" w:sz="2" w:space="0"/>
              <w:right w:val="single" w:color="auto" w:sz="2" w:space="0"/>
            </w:tcBorders>
            <w:vAlign w:val="center"/>
          </w:tcPr>
          <w:p w14:paraId="19CA8A09">
            <w:pPr>
              <w:spacing w:line="240" w:lineRule="exact"/>
              <w:rPr>
                <w:rFonts w:ascii="宋体" w:hAnsi="宋体" w:eastAsia="宋体" w:cs="宋体"/>
                <w:sz w:val="18"/>
                <w:szCs w:val="18"/>
              </w:rPr>
            </w:pPr>
            <w:r>
              <w:rPr>
                <w:rFonts w:ascii="宋体" w:hAnsi="宋体" w:eastAsia="宋体" w:cs="宋体"/>
                <w:sz w:val="18"/>
                <w:szCs w:val="18"/>
              </w:rPr>
              <w:t>新疆阿克苏地区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178F4AD3">
            <w:pPr>
              <w:spacing w:line="240" w:lineRule="exact"/>
              <w:rPr>
                <w:rFonts w:ascii="宋体" w:hAnsi="宋体" w:eastAsia="宋体" w:cs="宋体"/>
                <w:sz w:val="18"/>
                <w:szCs w:val="18"/>
              </w:rPr>
            </w:pPr>
            <w:r>
              <w:rPr>
                <w:rFonts w:ascii="宋体" w:hAnsi="宋体" w:eastAsia="宋体" w:cs="宋体"/>
                <w:sz w:val="18"/>
                <w:szCs w:val="18"/>
              </w:rPr>
              <w:t>新疆阿克苏地区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105CCED7">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09AE103A">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7D61E6F">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67028959">
            <w:pPr>
              <w:spacing w:line="240" w:lineRule="exact"/>
              <w:rPr>
                <w:rFonts w:ascii="宋体" w:hAnsi="宋体" w:eastAsia="宋体" w:cs="宋体"/>
                <w:sz w:val="18"/>
                <w:szCs w:val="18"/>
              </w:rPr>
            </w:pPr>
            <w:r>
              <w:rPr>
                <w:rFonts w:ascii="宋体" w:hAnsi="宋体" w:eastAsia="宋体" w:cs="宋体"/>
                <w:sz w:val="18"/>
                <w:szCs w:val="18"/>
              </w:rPr>
              <w:t>投资设立</w:t>
            </w:r>
          </w:p>
        </w:tc>
      </w:tr>
      <w:tr w14:paraId="1FF13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EDBF86E">
            <w:pPr>
              <w:spacing w:line="240" w:lineRule="exact"/>
              <w:rPr>
                <w:rFonts w:ascii="宋体" w:hAnsi="宋体" w:eastAsia="宋体" w:cs="宋体"/>
                <w:sz w:val="18"/>
                <w:szCs w:val="18"/>
              </w:rPr>
            </w:pPr>
            <w:r>
              <w:rPr>
                <w:rFonts w:ascii="宋体" w:hAnsi="宋体" w:eastAsia="宋体" w:cs="宋体"/>
                <w:sz w:val="18"/>
                <w:szCs w:val="18"/>
              </w:rPr>
              <w:t>浙江昊载科技有限公司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C6A884E">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7A240F6A">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2F74EA36">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580B0284">
            <w:pPr>
              <w:spacing w:line="240" w:lineRule="exact"/>
              <w:rPr>
                <w:rFonts w:ascii="宋体" w:hAnsi="宋体" w:eastAsia="宋体" w:cs="宋体"/>
                <w:sz w:val="18"/>
                <w:szCs w:val="18"/>
              </w:rPr>
            </w:pPr>
            <w:r>
              <w:rPr>
                <w:rFonts w:ascii="宋体" w:hAnsi="宋体" w:eastAsia="宋体" w:cs="宋体"/>
                <w:sz w:val="18"/>
                <w:szCs w:val="18"/>
              </w:rPr>
              <w:t>科技推广和应用服务业</w:t>
            </w:r>
          </w:p>
        </w:tc>
        <w:tc>
          <w:tcPr>
            <w:tcW w:w="1205" w:type="dxa"/>
            <w:tcBorders>
              <w:top w:val="single" w:color="auto" w:sz="2" w:space="0"/>
              <w:left w:val="single" w:color="auto" w:sz="2" w:space="0"/>
              <w:bottom w:val="single" w:color="auto" w:sz="2" w:space="0"/>
              <w:right w:val="single" w:color="auto" w:sz="2" w:space="0"/>
            </w:tcBorders>
            <w:vAlign w:val="center"/>
          </w:tcPr>
          <w:p w14:paraId="6D9266E8">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1ADB07E">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6E2180EC">
            <w:pPr>
              <w:spacing w:line="240" w:lineRule="exact"/>
              <w:rPr>
                <w:rFonts w:ascii="宋体" w:hAnsi="宋体" w:eastAsia="宋体" w:cs="宋体"/>
                <w:sz w:val="18"/>
                <w:szCs w:val="18"/>
              </w:rPr>
            </w:pPr>
            <w:r>
              <w:rPr>
                <w:rFonts w:ascii="宋体" w:hAnsi="宋体" w:eastAsia="宋体" w:cs="宋体"/>
                <w:sz w:val="18"/>
                <w:szCs w:val="18"/>
              </w:rPr>
              <w:t>投资设立</w:t>
            </w:r>
          </w:p>
        </w:tc>
      </w:tr>
      <w:tr w14:paraId="195FD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D688BB3">
            <w:pPr>
              <w:spacing w:line="240" w:lineRule="exact"/>
              <w:rPr>
                <w:rFonts w:ascii="宋体" w:hAnsi="宋体" w:eastAsia="宋体" w:cs="宋体"/>
                <w:sz w:val="18"/>
                <w:szCs w:val="18"/>
              </w:rPr>
            </w:pPr>
            <w:r>
              <w:rPr>
                <w:rFonts w:ascii="宋体" w:hAnsi="宋体" w:eastAsia="宋体" w:cs="宋体"/>
                <w:sz w:val="18"/>
                <w:szCs w:val="18"/>
              </w:rPr>
              <w:t>诸暨中昊投资管理有限公司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0F741A94">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6BC28D74">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49E614E6">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51C9B925">
            <w:pPr>
              <w:spacing w:line="240" w:lineRule="exact"/>
              <w:rPr>
                <w:rFonts w:ascii="宋体" w:hAnsi="宋体" w:eastAsia="宋体" w:cs="宋体"/>
                <w:sz w:val="18"/>
                <w:szCs w:val="18"/>
              </w:rPr>
            </w:pPr>
            <w:r>
              <w:rPr>
                <w:rFonts w:ascii="宋体" w:hAnsi="宋体" w:eastAsia="宋体" w:cs="宋体"/>
                <w:sz w:val="18"/>
                <w:szCs w:val="18"/>
              </w:rPr>
              <w:t>投资管理</w:t>
            </w:r>
          </w:p>
        </w:tc>
        <w:tc>
          <w:tcPr>
            <w:tcW w:w="1205" w:type="dxa"/>
            <w:tcBorders>
              <w:top w:val="single" w:color="auto" w:sz="2" w:space="0"/>
              <w:left w:val="single" w:color="auto" w:sz="2" w:space="0"/>
              <w:bottom w:val="single" w:color="auto" w:sz="2" w:space="0"/>
              <w:right w:val="single" w:color="auto" w:sz="2" w:space="0"/>
            </w:tcBorders>
            <w:vAlign w:val="center"/>
          </w:tcPr>
          <w:p w14:paraId="7F6FF13A">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6AB890C">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40D05FF3">
            <w:pPr>
              <w:spacing w:line="240" w:lineRule="exact"/>
              <w:rPr>
                <w:rFonts w:ascii="宋体" w:hAnsi="宋体" w:eastAsia="宋体" w:cs="宋体"/>
                <w:sz w:val="18"/>
                <w:szCs w:val="18"/>
              </w:rPr>
            </w:pPr>
            <w:r>
              <w:rPr>
                <w:rFonts w:ascii="宋体" w:hAnsi="宋体" w:eastAsia="宋体" w:cs="宋体"/>
                <w:sz w:val="18"/>
                <w:szCs w:val="18"/>
              </w:rPr>
              <w:t>非同控合并</w:t>
            </w:r>
          </w:p>
        </w:tc>
      </w:tr>
      <w:tr w14:paraId="29256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2D4E9BF">
            <w:pPr>
              <w:spacing w:line="240" w:lineRule="exact"/>
              <w:rPr>
                <w:rFonts w:ascii="宋体" w:hAnsi="宋体" w:eastAsia="宋体" w:cs="宋体"/>
                <w:sz w:val="18"/>
                <w:szCs w:val="18"/>
              </w:rPr>
            </w:pPr>
            <w:r>
              <w:rPr>
                <w:rFonts w:ascii="宋体" w:hAnsi="宋体" w:eastAsia="宋体" w:cs="宋体"/>
                <w:sz w:val="18"/>
                <w:szCs w:val="18"/>
              </w:rPr>
              <w:t>诸暨市承影电子商务有限公司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CF25EBE">
            <w:pPr>
              <w:spacing w:line="240" w:lineRule="exact"/>
              <w:jc w:val="right"/>
              <w:rPr>
                <w:rFonts w:ascii="宋体" w:hAnsi="宋体" w:eastAsia="宋体" w:cs="宋体"/>
                <w:sz w:val="18"/>
                <w:szCs w:val="18"/>
              </w:rPr>
            </w:pPr>
            <w:r>
              <w:rPr>
                <w:rFonts w:ascii="宋体" w:hAnsi="宋体" w:eastAsia="宋体" w:cs="宋体"/>
                <w:sz w:val="18"/>
                <w:szCs w:val="18"/>
              </w:rPr>
              <w:t>1,000,000.00</w:t>
            </w:r>
          </w:p>
        </w:tc>
        <w:tc>
          <w:tcPr>
            <w:tcW w:w="1205" w:type="dxa"/>
            <w:tcBorders>
              <w:top w:val="single" w:color="auto" w:sz="2" w:space="0"/>
              <w:left w:val="single" w:color="auto" w:sz="2" w:space="0"/>
              <w:bottom w:val="single" w:color="auto" w:sz="2" w:space="0"/>
              <w:right w:val="single" w:color="auto" w:sz="2" w:space="0"/>
            </w:tcBorders>
            <w:vAlign w:val="center"/>
          </w:tcPr>
          <w:p w14:paraId="588A0D01">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269C2C2D">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0FD6AE31">
            <w:pPr>
              <w:spacing w:line="240" w:lineRule="exact"/>
              <w:rPr>
                <w:rFonts w:ascii="宋体" w:hAnsi="宋体" w:eastAsia="宋体" w:cs="宋体"/>
                <w:sz w:val="18"/>
                <w:szCs w:val="18"/>
              </w:rPr>
            </w:pPr>
            <w:r>
              <w:rPr>
                <w:rFonts w:ascii="宋体" w:hAnsi="宋体" w:eastAsia="宋体" w:cs="宋体"/>
                <w:sz w:val="18"/>
                <w:szCs w:val="18"/>
              </w:rPr>
              <w:t>零售业</w:t>
            </w:r>
          </w:p>
        </w:tc>
        <w:tc>
          <w:tcPr>
            <w:tcW w:w="1205" w:type="dxa"/>
            <w:tcBorders>
              <w:top w:val="single" w:color="auto" w:sz="2" w:space="0"/>
              <w:left w:val="single" w:color="auto" w:sz="2" w:space="0"/>
              <w:bottom w:val="single" w:color="auto" w:sz="2" w:space="0"/>
              <w:right w:val="single" w:color="auto" w:sz="2" w:space="0"/>
            </w:tcBorders>
            <w:vAlign w:val="center"/>
          </w:tcPr>
          <w:p w14:paraId="666D5AA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3416556">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61628897">
            <w:pPr>
              <w:spacing w:line="240" w:lineRule="exact"/>
              <w:rPr>
                <w:rFonts w:ascii="宋体" w:hAnsi="宋体" w:eastAsia="宋体" w:cs="宋体"/>
                <w:sz w:val="18"/>
                <w:szCs w:val="18"/>
              </w:rPr>
            </w:pPr>
            <w:r>
              <w:rPr>
                <w:rFonts w:ascii="宋体" w:hAnsi="宋体" w:eastAsia="宋体" w:cs="宋体"/>
                <w:sz w:val="18"/>
                <w:szCs w:val="18"/>
              </w:rPr>
              <w:t>非同控合并</w:t>
            </w:r>
          </w:p>
        </w:tc>
      </w:tr>
      <w:tr w14:paraId="483E2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CBB7F2F">
            <w:pPr>
              <w:spacing w:line="240" w:lineRule="exact"/>
              <w:rPr>
                <w:rFonts w:ascii="宋体" w:hAnsi="宋体" w:eastAsia="宋体" w:cs="宋体"/>
                <w:sz w:val="18"/>
                <w:szCs w:val="18"/>
              </w:rPr>
            </w:pPr>
            <w:r>
              <w:rPr>
                <w:rFonts w:ascii="宋体" w:hAnsi="宋体" w:eastAsia="宋体" w:cs="宋体"/>
                <w:sz w:val="18"/>
                <w:szCs w:val="18"/>
              </w:rPr>
              <w:t>诸暨市渊虹电子商务有限公司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0B05C59">
            <w:pPr>
              <w:spacing w:line="240" w:lineRule="exact"/>
              <w:jc w:val="right"/>
              <w:rPr>
                <w:rFonts w:ascii="宋体" w:hAnsi="宋体" w:eastAsia="宋体" w:cs="宋体"/>
                <w:sz w:val="18"/>
                <w:szCs w:val="18"/>
              </w:rPr>
            </w:pPr>
            <w:r>
              <w:rPr>
                <w:rFonts w:ascii="宋体" w:hAnsi="宋体" w:eastAsia="宋体" w:cs="宋体"/>
                <w:sz w:val="18"/>
                <w:szCs w:val="18"/>
              </w:rPr>
              <w:t>1,000,000.00</w:t>
            </w:r>
          </w:p>
        </w:tc>
        <w:tc>
          <w:tcPr>
            <w:tcW w:w="1205" w:type="dxa"/>
            <w:tcBorders>
              <w:top w:val="single" w:color="auto" w:sz="2" w:space="0"/>
              <w:left w:val="single" w:color="auto" w:sz="2" w:space="0"/>
              <w:bottom w:val="single" w:color="auto" w:sz="2" w:space="0"/>
              <w:right w:val="single" w:color="auto" w:sz="2" w:space="0"/>
            </w:tcBorders>
            <w:vAlign w:val="center"/>
          </w:tcPr>
          <w:p w14:paraId="1BA715C6">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27AA2869">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353C328F">
            <w:pPr>
              <w:spacing w:line="240" w:lineRule="exact"/>
              <w:rPr>
                <w:rFonts w:ascii="宋体" w:hAnsi="宋体" w:eastAsia="宋体" w:cs="宋体"/>
                <w:sz w:val="18"/>
                <w:szCs w:val="18"/>
              </w:rPr>
            </w:pPr>
            <w:r>
              <w:rPr>
                <w:rFonts w:ascii="宋体" w:hAnsi="宋体" w:eastAsia="宋体" w:cs="宋体"/>
                <w:sz w:val="18"/>
                <w:szCs w:val="18"/>
              </w:rPr>
              <w:t>零售业</w:t>
            </w:r>
          </w:p>
        </w:tc>
        <w:tc>
          <w:tcPr>
            <w:tcW w:w="1205" w:type="dxa"/>
            <w:tcBorders>
              <w:top w:val="single" w:color="auto" w:sz="2" w:space="0"/>
              <w:left w:val="single" w:color="auto" w:sz="2" w:space="0"/>
              <w:bottom w:val="single" w:color="auto" w:sz="2" w:space="0"/>
              <w:right w:val="single" w:color="auto" w:sz="2" w:space="0"/>
            </w:tcBorders>
            <w:vAlign w:val="center"/>
          </w:tcPr>
          <w:p w14:paraId="11189E71">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C6606FC">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172D43ED">
            <w:pPr>
              <w:spacing w:line="240" w:lineRule="exact"/>
              <w:rPr>
                <w:rFonts w:ascii="宋体" w:hAnsi="宋体" w:eastAsia="宋体" w:cs="宋体"/>
                <w:sz w:val="18"/>
                <w:szCs w:val="18"/>
              </w:rPr>
            </w:pPr>
            <w:r>
              <w:rPr>
                <w:rFonts w:ascii="宋体" w:hAnsi="宋体" w:eastAsia="宋体" w:cs="宋体"/>
                <w:sz w:val="18"/>
                <w:szCs w:val="18"/>
              </w:rPr>
              <w:t>非同控合并</w:t>
            </w:r>
          </w:p>
        </w:tc>
      </w:tr>
      <w:tr w14:paraId="48C0E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C3C2CF4">
            <w:pPr>
              <w:spacing w:line="240" w:lineRule="exact"/>
              <w:rPr>
                <w:rFonts w:ascii="宋体" w:hAnsi="宋体" w:eastAsia="宋体" w:cs="宋体"/>
                <w:sz w:val="18"/>
                <w:szCs w:val="18"/>
              </w:rPr>
            </w:pPr>
            <w:r>
              <w:rPr>
                <w:rFonts w:ascii="宋体" w:hAnsi="宋体" w:eastAsia="宋体" w:cs="宋体"/>
                <w:sz w:val="18"/>
                <w:szCs w:val="18"/>
              </w:rPr>
              <w:t>杭州名鲲科技有限公司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23C6CBE">
            <w:pPr>
              <w:spacing w:line="240" w:lineRule="exact"/>
              <w:jc w:val="right"/>
              <w:rPr>
                <w:rFonts w:ascii="宋体" w:hAnsi="宋体" w:eastAsia="宋体" w:cs="宋体"/>
                <w:sz w:val="18"/>
                <w:szCs w:val="18"/>
              </w:rPr>
            </w:pPr>
            <w:r>
              <w:rPr>
                <w:rFonts w:ascii="宋体" w:hAnsi="宋体" w:eastAsia="宋体" w:cs="宋体"/>
                <w:sz w:val="18"/>
                <w:szCs w:val="18"/>
              </w:rPr>
              <w:t>4,000,000.00</w:t>
            </w:r>
          </w:p>
        </w:tc>
        <w:tc>
          <w:tcPr>
            <w:tcW w:w="1205" w:type="dxa"/>
            <w:tcBorders>
              <w:top w:val="single" w:color="auto" w:sz="2" w:space="0"/>
              <w:left w:val="single" w:color="auto" w:sz="2" w:space="0"/>
              <w:bottom w:val="single" w:color="auto" w:sz="2" w:space="0"/>
              <w:right w:val="single" w:color="auto" w:sz="2" w:space="0"/>
            </w:tcBorders>
            <w:vAlign w:val="center"/>
          </w:tcPr>
          <w:p w14:paraId="0865A966">
            <w:pPr>
              <w:spacing w:line="240" w:lineRule="exact"/>
              <w:rPr>
                <w:rFonts w:ascii="宋体" w:hAnsi="宋体" w:eastAsia="宋体" w:cs="宋体"/>
                <w:sz w:val="18"/>
                <w:szCs w:val="18"/>
              </w:rPr>
            </w:pPr>
            <w:r>
              <w:rPr>
                <w:rFonts w:ascii="宋体" w:hAnsi="宋体" w:eastAsia="宋体" w:cs="宋体"/>
                <w:sz w:val="18"/>
                <w:szCs w:val="18"/>
              </w:rPr>
              <w:t>浙江省杭州市</w:t>
            </w:r>
          </w:p>
        </w:tc>
        <w:tc>
          <w:tcPr>
            <w:tcW w:w="1205" w:type="dxa"/>
            <w:tcBorders>
              <w:top w:val="single" w:color="auto" w:sz="2" w:space="0"/>
              <w:left w:val="single" w:color="auto" w:sz="2" w:space="0"/>
              <w:bottom w:val="single" w:color="auto" w:sz="2" w:space="0"/>
              <w:right w:val="single" w:color="auto" w:sz="2" w:space="0"/>
            </w:tcBorders>
            <w:vAlign w:val="center"/>
          </w:tcPr>
          <w:p w14:paraId="16F39278">
            <w:pPr>
              <w:spacing w:line="240" w:lineRule="exact"/>
              <w:rPr>
                <w:rFonts w:ascii="宋体" w:hAnsi="宋体" w:eastAsia="宋体" w:cs="宋体"/>
                <w:sz w:val="18"/>
                <w:szCs w:val="18"/>
              </w:rPr>
            </w:pPr>
            <w:r>
              <w:rPr>
                <w:rFonts w:ascii="宋体" w:hAnsi="宋体" w:eastAsia="宋体" w:cs="宋体"/>
                <w:sz w:val="18"/>
                <w:szCs w:val="18"/>
              </w:rPr>
              <w:t>浙江省杭州市</w:t>
            </w:r>
          </w:p>
        </w:tc>
        <w:tc>
          <w:tcPr>
            <w:tcW w:w="1205" w:type="dxa"/>
            <w:tcBorders>
              <w:top w:val="single" w:color="auto" w:sz="2" w:space="0"/>
              <w:left w:val="single" w:color="auto" w:sz="2" w:space="0"/>
              <w:bottom w:val="single" w:color="auto" w:sz="2" w:space="0"/>
              <w:right w:val="single" w:color="auto" w:sz="2" w:space="0"/>
            </w:tcBorders>
            <w:vAlign w:val="center"/>
          </w:tcPr>
          <w:p w14:paraId="50144678">
            <w:pPr>
              <w:spacing w:line="240" w:lineRule="exact"/>
              <w:rPr>
                <w:rFonts w:ascii="宋体" w:hAnsi="宋体" w:eastAsia="宋体" w:cs="宋体"/>
                <w:sz w:val="18"/>
                <w:szCs w:val="18"/>
              </w:rPr>
            </w:pPr>
            <w:r>
              <w:rPr>
                <w:rFonts w:ascii="宋体" w:hAnsi="宋体" w:eastAsia="宋体" w:cs="宋体"/>
                <w:sz w:val="18"/>
                <w:szCs w:val="18"/>
              </w:rPr>
              <w:t>软件开发</w:t>
            </w:r>
          </w:p>
        </w:tc>
        <w:tc>
          <w:tcPr>
            <w:tcW w:w="1205" w:type="dxa"/>
            <w:tcBorders>
              <w:top w:val="single" w:color="auto" w:sz="2" w:space="0"/>
              <w:left w:val="single" w:color="auto" w:sz="2" w:space="0"/>
              <w:bottom w:val="single" w:color="auto" w:sz="2" w:space="0"/>
              <w:right w:val="single" w:color="auto" w:sz="2" w:space="0"/>
            </w:tcBorders>
            <w:vAlign w:val="center"/>
          </w:tcPr>
          <w:p w14:paraId="3B95443A">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B7F2757">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1D1B7827">
            <w:pPr>
              <w:spacing w:line="240" w:lineRule="exact"/>
              <w:rPr>
                <w:rFonts w:ascii="宋体" w:hAnsi="宋体" w:eastAsia="宋体" w:cs="宋体"/>
                <w:sz w:val="18"/>
                <w:szCs w:val="18"/>
              </w:rPr>
            </w:pPr>
            <w:r>
              <w:rPr>
                <w:rFonts w:ascii="宋体" w:hAnsi="宋体" w:eastAsia="宋体" w:cs="宋体"/>
                <w:sz w:val="18"/>
                <w:szCs w:val="18"/>
              </w:rPr>
              <w:t>投资设立</w:t>
            </w:r>
          </w:p>
        </w:tc>
      </w:tr>
      <w:tr w14:paraId="2FC11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46C9C0E">
            <w:pPr>
              <w:spacing w:line="240" w:lineRule="exact"/>
              <w:rPr>
                <w:rFonts w:ascii="宋体" w:hAnsi="宋体" w:eastAsia="宋体" w:cs="宋体"/>
                <w:sz w:val="18"/>
                <w:szCs w:val="18"/>
              </w:rPr>
            </w:pPr>
            <w:r>
              <w:rPr>
                <w:rFonts w:ascii="宋体" w:hAnsi="宋体" w:eastAsia="宋体" w:cs="宋体"/>
                <w:sz w:val="18"/>
                <w:szCs w:val="18"/>
              </w:rPr>
              <w:t>诸暨市卡拉美拉科技有限公司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BA01C38">
            <w:pPr>
              <w:spacing w:line="240" w:lineRule="exact"/>
              <w:jc w:val="right"/>
              <w:rPr>
                <w:rFonts w:ascii="宋体" w:hAnsi="宋体" w:eastAsia="宋体" w:cs="宋体"/>
                <w:sz w:val="18"/>
                <w:szCs w:val="18"/>
              </w:rPr>
            </w:pPr>
            <w:r>
              <w:rPr>
                <w:rFonts w:ascii="宋体" w:hAnsi="宋体" w:eastAsia="宋体" w:cs="宋体"/>
                <w:sz w:val="18"/>
                <w:szCs w:val="18"/>
              </w:rPr>
              <w:t>8,345,295.00</w:t>
            </w:r>
          </w:p>
        </w:tc>
        <w:tc>
          <w:tcPr>
            <w:tcW w:w="1205" w:type="dxa"/>
            <w:tcBorders>
              <w:top w:val="single" w:color="auto" w:sz="2" w:space="0"/>
              <w:left w:val="single" w:color="auto" w:sz="2" w:space="0"/>
              <w:bottom w:val="single" w:color="auto" w:sz="2" w:space="0"/>
              <w:right w:val="single" w:color="auto" w:sz="2" w:space="0"/>
            </w:tcBorders>
            <w:vAlign w:val="center"/>
          </w:tcPr>
          <w:p w14:paraId="4B563DAD">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51C3EC87">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2548E5F8">
            <w:pPr>
              <w:spacing w:line="240" w:lineRule="exact"/>
              <w:rPr>
                <w:rFonts w:ascii="宋体" w:hAnsi="宋体" w:eastAsia="宋体" w:cs="宋体"/>
                <w:sz w:val="18"/>
                <w:szCs w:val="18"/>
              </w:rPr>
            </w:pPr>
            <w:r>
              <w:rPr>
                <w:rFonts w:ascii="宋体" w:hAnsi="宋体" w:eastAsia="宋体" w:cs="宋体"/>
                <w:sz w:val="18"/>
                <w:szCs w:val="18"/>
              </w:rPr>
              <w:t>零售业</w:t>
            </w:r>
          </w:p>
        </w:tc>
        <w:tc>
          <w:tcPr>
            <w:tcW w:w="1205" w:type="dxa"/>
            <w:tcBorders>
              <w:top w:val="single" w:color="auto" w:sz="2" w:space="0"/>
              <w:left w:val="single" w:color="auto" w:sz="2" w:space="0"/>
              <w:bottom w:val="single" w:color="auto" w:sz="2" w:space="0"/>
              <w:right w:val="single" w:color="auto" w:sz="2" w:space="0"/>
            </w:tcBorders>
            <w:vAlign w:val="center"/>
          </w:tcPr>
          <w:p w14:paraId="430A57C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4435ED5">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0D4ED092">
            <w:pPr>
              <w:spacing w:line="240" w:lineRule="exact"/>
              <w:rPr>
                <w:rFonts w:ascii="宋体" w:hAnsi="宋体" w:eastAsia="宋体" w:cs="宋体"/>
                <w:sz w:val="18"/>
                <w:szCs w:val="18"/>
              </w:rPr>
            </w:pPr>
            <w:r>
              <w:rPr>
                <w:rFonts w:ascii="宋体" w:hAnsi="宋体" w:eastAsia="宋体" w:cs="宋体"/>
                <w:sz w:val="18"/>
                <w:szCs w:val="18"/>
              </w:rPr>
              <w:t>非同控合并</w:t>
            </w:r>
          </w:p>
        </w:tc>
      </w:tr>
      <w:tr w14:paraId="56254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1D937C6">
            <w:pPr>
              <w:spacing w:line="240" w:lineRule="exact"/>
              <w:rPr>
                <w:rFonts w:ascii="宋体" w:hAnsi="宋体" w:eastAsia="宋体" w:cs="宋体"/>
                <w:sz w:val="18"/>
                <w:szCs w:val="18"/>
              </w:rPr>
            </w:pPr>
            <w:r>
              <w:rPr>
                <w:rFonts w:ascii="宋体" w:hAnsi="宋体" w:eastAsia="宋体" w:cs="宋体"/>
                <w:sz w:val="18"/>
                <w:szCs w:val="18"/>
              </w:rPr>
              <w:t>诸暨市龙渊电子商务有限公司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71925DC">
            <w:pPr>
              <w:spacing w:line="240" w:lineRule="exact"/>
              <w:jc w:val="right"/>
              <w:rPr>
                <w:rFonts w:ascii="宋体" w:hAnsi="宋体" w:eastAsia="宋体" w:cs="宋体"/>
                <w:sz w:val="18"/>
                <w:szCs w:val="18"/>
              </w:rPr>
            </w:pPr>
            <w:r>
              <w:rPr>
                <w:rFonts w:ascii="宋体" w:hAnsi="宋体" w:eastAsia="宋体" w:cs="宋体"/>
                <w:sz w:val="18"/>
                <w:szCs w:val="18"/>
              </w:rPr>
              <w:t>2,000,000.00</w:t>
            </w:r>
          </w:p>
        </w:tc>
        <w:tc>
          <w:tcPr>
            <w:tcW w:w="1205" w:type="dxa"/>
            <w:tcBorders>
              <w:top w:val="single" w:color="auto" w:sz="2" w:space="0"/>
              <w:left w:val="single" w:color="auto" w:sz="2" w:space="0"/>
              <w:bottom w:val="single" w:color="auto" w:sz="2" w:space="0"/>
              <w:right w:val="single" w:color="auto" w:sz="2" w:space="0"/>
            </w:tcBorders>
            <w:vAlign w:val="center"/>
          </w:tcPr>
          <w:p w14:paraId="55368818">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6862B920">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2BDF4A14">
            <w:pPr>
              <w:spacing w:line="240" w:lineRule="exact"/>
              <w:rPr>
                <w:rFonts w:ascii="宋体" w:hAnsi="宋体" w:eastAsia="宋体" w:cs="宋体"/>
                <w:sz w:val="18"/>
                <w:szCs w:val="18"/>
              </w:rPr>
            </w:pPr>
            <w:r>
              <w:rPr>
                <w:rFonts w:ascii="宋体" w:hAnsi="宋体" w:eastAsia="宋体" w:cs="宋体"/>
                <w:sz w:val="18"/>
                <w:szCs w:val="18"/>
              </w:rPr>
              <w:t>零售业</w:t>
            </w:r>
          </w:p>
        </w:tc>
        <w:tc>
          <w:tcPr>
            <w:tcW w:w="1205" w:type="dxa"/>
            <w:tcBorders>
              <w:top w:val="single" w:color="auto" w:sz="2" w:space="0"/>
              <w:left w:val="single" w:color="auto" w:sz="2" w:space="0"/>
              <w:bottom w:val="single" w:color="auto" w:sz="2" w:space="0"/>
              <w:right w:val="single" w:color="auto" w:sz="2" w:space="0"/>
            </w:tcBorders>
            <w:vAlign w:val="center"/>
          </w:tcPr>
          <w:p w14:paraId="6DF4E16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14B5FD6">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1BD160EB">
            <w:pPr>
              <w:spacing w:line="240" w:lineRule="exact"/>
              <w:rPr>
                <w:rFonts w:ascii="宋体" w:hAnsi="宋体" w:eastAsia="宋体" w:cs="宋体"/>
                <w:sz w:val="18"/>
                <w:szCs w:val="18"/>
              </w:rPr>
            </w:pPr>
            <w:r>
              <w:rPr>
                <w:rFonts w:ascii="宋体" w:hAnsi="宋体" w:eastAsia="宋体" w:cs="宋体"/>
                <w:sz w:val="18"/>
                <w:szCs w:val="18"/>
              </w:rPr>
              <w:t>非同控合并</w:t>
            </w:r>
          </w:p>
        </w:tc>
      </w:tr>
      <w:tr w14:paraId="29A54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02837FF">
            <w:pPr>
              <w:spacing w:line="240" w:lineRule="exact"/>
              <w:rPr>
                <w:rFonts w:ascii="宋体" w:hAnsi="宋体" w:eastAsia="宋体" w:cs="宋体"/>
                <w:sz w:val="18"/>
                <w:szCs w:val="18"/>
              </w:rPr>
            </w:pPr>
            <w:r>
              <w:rPr>
                <w:rFonts w:ascii="宋体" w:hAnsi="宋体" w:eastAsia="宋体" w:cs="宋体"/>
                <w:sz w:val="18"/>
                <w:szCs w:val="18"/>
              </w:rPr>
              <w:t>诸暨市湛泸电子商务有限公司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453BE7E">
            <w:pPr>
              <w:spacing w:line="240" w:lineRule="exact"/>
              <w:jc w:val="right"/>
              <w:rPr>
                <w:rFonts w:ascii="宋体" w:hAnsi="宋体" w:eastAsia="宋体" w:cs="宋体"/>
                <w:sz w:val="18"/>
                <w:szCs w:val="18"/>
              </w:rPr>
            </w:pPr>
            <w:r>
              <w:rPr>
                <w:rFonts w:ascii="宋体" w:hAnsi="宋体" w:eastAsia="宋体" w:cs="宋体"/>
                <w:sz w:val="18"/>
                <w:szCs w:val="18"/>
              </w:rPr>
              <w:t>2,000,000.00</w:t>
            </w:r>
          </w:p>
        </w:tc>
        <w:tc>
          <w:tcPr>
            <w:tcW w:w="1205" w:type="dxa"/>
            <w:tcBorders>
              <w:top w:val="single" w:color="auto" w:sz="2" w:space="0"/>
              <w:left w:val="single" w:color="auto" w:sz="2" w:space="0"/>
              <w:bottom w:val="single" w:color="auto" w:sz="2" w:space="0"/>
              <w:right w:val="single" w:color="auto" w:sz="2" w:space="0"/>
            </w:tcBorders>
            <w:vAlign w:val="center"/>
          </w:tcPr>
          <w:p w14:paraId="33874E6F">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57AB69F4">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5F858782">
            <w:pPr>
              <w:spacing w:line="240" w:lineRule="exact"/>
              <w:rPr>
                <w:rFonts w:ascii="宋体" w:hAnsi="宋体" w:eastAsia="宋体" w:cs="宋体"/>
                <w:sz w:val="18"/>
                <w:szCs w:val="18"/>
              </w:rPr>
            </w:pPr>
            <w:r>
              <w:rPr>
                <w:rFonts w:ascii="宋体" w:hAnsi="宋体" w:eastAsia="宋体" w:cs="宋体"/>
                <w:sz w:val="18"/>
                <w:szCs w:val="18"/>
              </w:rPr>
              <w:t>零售业</w:t>
            </w:r>
          </w:p>
        </w:tc>
        <w:tc>
          <w:tcPr>
            <w:tcW w:w="1205" w:type="dxa"/>
            <w:tcBorders>
              <w:top w:val="single" w:color="auto" w:sz="2" w:space="0"/>
              <w:left w:val="single" w:color="auto" w:sz="2" w:space="0"/>
              <w:bottom w:val="single" w:color="auto" w:sz="2" w:space="0"/>
              <w:right w:val="single" w:color="auto" w:sz="2" w:space="0"/>
            </w:tcBorders>
            <w:vAlign w:val="center"/>
          </w:tcPr>
          <w:p w14:paraId="6E198F7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22B7611">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13300D9B">
            <w:pPr>
              <w:spacing w:line="240" w:lineRule="exact"/>
              <w:rPr>
                <w:rFonts w:ascii="宋体" w:hAnsi="宋体" w:eastAsia="宋体" w:cs="宋体"/>
                <w:sz w:val="18"/>
                <w:szCs w:val="18"/>
              </w:rPr>
            </w:pPr>
            <w:r>
              <w:rPr>
                <w:rFonts w:ascii="宋体" w:hAnsi="宋体" w:eastAsia="宋体" w:cs="宋体"/>
                <w:sz w:val="18"/>
                <w:szCs w:val="18"/>
              </w:rPr>
              <w:t>非同控合并</w:t>
            </w:r>
          </w:p>
        </w:tc>
      </w:tr>
      <w:tr w14:paraId="0FD1D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0E75535">
            <w:pPr>
              <w:spacing w:line="240" w:lineRule="exact"/>
              <w:rPr>
                <w:rFonts w:ascii="宋体" w:hAnsi="宋体" w:eastAsia="宋体" w:cs="宋体"/>
                <w:sz w:val="18"/>
                <w:szCs w:val="18"/>
              </w:rPr>
            </w:pPr>
            <w:r>
              <w:rPr>
                <w:rFonts w:ascii="宋体" w:hAnsi="宋体" w:eastAsia="宋体" w:cs="宋体"/>
                <w:sz w:val="18"/>
                <w:szCs w:val="18"/>
              </w:rPr>
              <w:t>诸暨市赤霄电子商务有限公司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5039943">
            <w:pPr>
              <w:spacing w:line="240" w:lineRule="exact"/>
              <w:jc w:val="right"/>
              <w:rPr>
                <w:rFonts w:ascii="宋体" w:hAnsi="宋体" w:eastAsia="宋体" w:cs="宋体"/>
                <w:sz w:val="18"/>
                <w:szCs w:val="18"/>
              </w:rPr>
            </w:pPr>
            <w:r>
              <w:rPr>
                <w:rFonts w:ascii="宋体" w:hAnsi="宋体" w:eastAsia="宋体" w:cs="宋体"/>
                <w:sz w:val="18"/>
                <w:szCs w:val="18"/>
              </w:rPr>
              <w:t>1,000,000.00</w:t>
            </w:r>
          </w:p>
        </w:tc>
        <w:tc>
          <w:tcPr>
            <w:tcW w:w="1205" w:type="dxa"/>
            <w:tcBorders>
              <w:top w:val="single" w:color="auto" w:sz="2" w:space="0"/>
              <w:left w:val="single" w:color="auto" w:sz="2" w:space="0"/>
              <w:bottom w:val="single" w:color="auto" w:sz="2" w:space="0"/>
              <w:right w:val="single" w:color="auto" w:sz="2" w:space="0"/>
            </w:tcBorders>
            <w:vAlign w:val="center"/>
          </w:tcPr>
          <w:p w14:paraId="555D9BDB">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77547262">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27DAC3EA">
            <w:pPr>
              <w:spacing w:line="240" w:lineRule="exact"/>
              <w:rPr>
                <w:rFonts w:ascii="宋体" w:hAnsi="宋体" w:eastAsia="宋体" w:cs="宋体"/>
                <w:sz w:val="18"/>
                <w:szCs w:val="18"/>
              </w:rPr>
            </w:pPr>
            <w:r>
              <w:rPr>
                <w:rFonts w:ascii="宋体" w:hAnsi="宋体" w:eastAsia="宋体" w:cs="宋体"/>
                <w:sz w:val="18"/>
                <w:szCs w:val="18"/>
              </w:rPr>
              <w:t>批发业</w:t>
            </w:r>
          </w:p>
        </w:tc>
        <w:tc>
          <w:tcPr>
            <w:tcW w:w="1205" w:type="dxa"/>
            <w:tcBorders>
              <w:top w:val="single" w:color="auto" w:sz="2" w:space="0"/>
              <w:left w:val="single" w:color="auto" w:sz="2" w:space="0"/>
              <w:bottom w:val="single" w:color="auto" w:sz="2" w:space="0"/>
              <w:right w:val="single" w:color="auto" w:sz="2" w:space="0"/>
            </w:tcBorders>
            <w:vAlign w:val="center"/>
          </w:tcPr>
          <w:p w14:paraId="2E118F3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F43CD86">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4D51F44F">
            <w:pPr>
              <w:spacing w:line="240" w:lineRule="exact"/>
              <w:rPr>
                <w:rFonts w:ascii="宋体" w:hAnsi="宋体" w:eastAsia="宋体" w:cs="宋体"/>
                <w:sz w:val="18"/>
                <w:szCs w:val="18"/>
              </w:rPr>
            </w:pPr>
            <w:r>
              <w:rPr>
                <w:rFonts w:ascii="宋体" w:hAnsi="宋体" w:eastAsia="宋体" w:cs="宋体"/>
                <w:sz w:val="18"/>
                <w:szCs w:val="18"/>
              </w:rPr>
              <w:t>非同控合并</w:t>
            </w:r>
          </w:p>
        </w:tc>
      </w:tr>
      <w:tr w14:paraId="4A89A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FA57492">
            <w:pPr>
              <w:spacing w:line="240" w:lineRule="exact"/>
              <w:rPr>
                <w:rFonts w:ascii="宋体" w:hAnsi="宋体" w:eastAsia="宋体" w:cs="宋体"/>
                <w:sz w:val="18"/>
                <w:szCs w:val="18"/>
              </w:rPr>
            </w:pPr>
            <w:r>
              <w:rPr>
                <w:rFonts w:ascii="宋体" w:hAnsi="宋体" w:eastAsia="宋体" w:cs="宋体"/>
                <w:sz w:val="18"/>
                <w:szCs w:val="18"/>
              </w:rPr>
              <w:t>诸暨市新亭电子商务有限公司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1DF6C6F">
            <w:pPr>
              <w:spacing w:line="240" w:lineRule="exact"/>
              <w:jc w:val="right"/>
              <w:rPr>
                <w:rFonts w:ascii="宋体" w:hAnsi="宋体" w:eastAsia="宋体" w:cs="宋体"/>
                <w:sz w:val="18"/>
                <w:szCs w:val="18"/>
              </w:rPr>
            </w:pPr>
            <w:r>
              <w:rPr>
                <w:rFonts w:ascii="宋体" w:hAnsi="宋体" w:eastAsia="宋体" w:cs="宋体"/>
                <w:sz w:val="18"/>
                <w:szCs w:val="18"/>
              </w:rPr>
              <w:t>1,000,000.00</w:t>
            </w:r>
          </w:p>
        </w:tc>
        <w:tc>
          <w:tcPr>
            <w:tcW w:w="1205" w:type="dxa"/>
            <w:tcBorders>
              <w:top w:val="single" w:color="auto" w:sz="2" w:space="0"/>
              <w:left w:val="single" w:color="auto" w:sz="2" w:space="0"/>
              <w:bottom w:val="single" w:color="auto" w:sz="2" w:space="0"/>
              <w:right w:val="single" w:color="auto" w:sz="2" w:space="0"/>
            </w:tcBorders>
            <w:vAlign w:val="center"/>
          </w:tcPr>
          <w:p w14:paraId="6BDE44CD">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44308CD3">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65F3AEFE">
            <w:pPr>
              <w:spacing w:line="240" w:lineRule="exact"/>
              <w:rPr>
                <w:rFonts w:ascii="宋体" w:hAnsi="宋体" w:eastAsia="宋体" w:cs="宋体"/>
                <w:sz w:val="18"/>
                <w:szCs w:val="18"/>
              </w:rPr>
            </w:pPr>
            <w:r>
              <w:rPr>
                <w:rFonts w:ascii="宋体" w:hAnsi="宋体" w:eastAsia="宋体" w:cs="宋体"/>
                <w:sz w:val="18"/>
                <w:szCs w:val="18"/>
              </w:rPr>
              <w:t>批发业</w:t>
            </w:r>
          </w:p>
        </w:tc>
        <w:tc>
          <w:tcPr>
            <w:tcW w:w="1205" w:type="dxa"/>
            <w:tcBorders>
              <w:top w:val="single" w:color="auto" w:sz="2" w:space="0"/>
              <w:left w:val="single" w:color="auto" w:sz="2" w:space="0"/>
              <w:bottom w:val="single" w:color="auto" w:sz="2" w:space="0"/>
              <w:right w:val="single" w:color="auto" w:sz="2" w:space="0"/>
            </w:tcBorders>
            <w:vAlign w:val="center"/>
          </w:tcPr>
          <w:p w14:paraId="2E9BA0D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FF47D6A">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40943F97">
            <w:pPr>
              <w:spacing w:line="240" w:lineRule="exact"/>
              <w:rPr>
                <w:rFonts w:ascii="宋体" w:hAnsi="宋体" w:eastAsia="宋体" w:cs="宋体"/>
                <w:sz w:val="18"/>
                <w:szCs w:val="18"/>
              </w:rPr>
            </w:pPr>
            <w:r>
              <w:rPr>
                <w:rFonts w:ascii="宋体" w:hAnsi="宋体" w:eastAsia="宋体" w:cs="宋体"/>
                <w:sz w:val="18"/>
                <w:szCs w:val="18"/>
              </w:rPr>
              <w:t>非同控合并</w:t>
            </w:r>
          </w:p>
        </w:tc>
      </w:tr>
      <w:tr w14:paraId="7AFDB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79DEF13">
            <w:pPr>
              <w:spacing w:line="240" w:lineRule="exact"/>
              <w:rPr>
                <w:rFonts w:ascii="宋体" w:hAnsi="宋体" w:eastAsia="宋体" w:cs="宋体"/>
                <w:sz w:val="18"/>
                <w:szCs w:val="18"/>
              </w:rPr>
            </w:pPr>
            <w:r>
              <w:rPr>
                <w:rFonts w:ascii="宋体" w:hAnsi="宋体" w:eastAsia="宋体" w:cs="宋体"/>
                <w:sz w:val="18"/>
                <w:szCs w:val="18"/>
              </w:rPr>
              <w:t>诸暨市纯钧电子商务有限公司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FA6EBFD">
            <w:pPr>
              <w:spacing w:line="240" w:lineRule="exact"/>
              <w:jc w:val="right"/>
              <w:rPr>
                <w:rFonts w:ascii="宋体" w:hAnsi="宋体" w:eastAsia="宋体" w:cs="宋体"/>
                <w:sz w:val="18"/>
                <w:szCs w:val="18"/>
              </w:rPr>
            </w:pPr>
            <w:r>
              <w:rPr>
                <w:rFonts w:ascii="宋体" w:hAnsi="宋体" w:eastAsia="宋体" w:cs="宋体"/>
                <w:sz w:val="18"/>
                <w:szCs w:val="18"/>
              </w:rPr>
              <w:t>1,000,000.00</w:t>
            </w:r>
          </w:p>
        </w:tc>
        <w:tc>
          <w:tcPr>
            <w:tcW w:w="1205" w:type="dxa"/>
            <w:tcBorders>
              <w:top w:val="single" w:color="auto" w:sz="2" w:space="0"/>
              <w:left w:val="single" w:color="auto" w:sz="2" w:space="0"/>
              <w:bottom w:val="single" w:color="auto" w:sz="2" w:space="0"/>
              <w:right w:val="single" w:color="auto" w:sz="2" w:space="0"/>
            </w:tcBorders>
            <w:vAlign w:val="center"/>
          </w:tcPr>
          <w:p w14:paraId="746980E7">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50429566">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5A2AD94A">
            <w:pPr>
              <w:spacing w:line="240" w:lineRule="exact"/>
              <w:rPr>
                <w:rFonts w:ascii="宋体" w:hAnsi="宋体" w:eastAsia="宋体" w:cs="宋体"/>
                <w:sz w:val="18"/>
                <w:szCs w:val="18"/>
              </w:rPr>
            </w:pPr>
            <w:r>
              <w:rPr>
                <w:rFonts w:ascii="宋体" w:hAnsi="宋体" w:eastAsia="宋体" w:cs="宋体"/>
                <w:sz w:val="18"/>
                <w:szCs w:val="18"/>
              </w:rPr>
              <w:t>零售业</w:t>
            </w:r>
          </w:p>
        </w:tc>
        <w:tc>
          <w:tcPr>
            <w:tcW w:w="1205" w:type="dxa"/>
            <w:tcBorders>
              <w:top w:val="single" w:color="auto" w:sz="2" w:space="0"/>
              <w:left w:val="single" w:color="auto" w:sz="2" w:space="0"/>
              <w:bottom w:val="single" w:color="auto" w:sz="2" w:space="0"/>
              <w:right w:val="single" w:color="auto" w:sz="2" w:space="0"/>
            </w:tcBorders>
            <w:vAlign w:val="center"/>
          </w:tcPr>
          <w:p w14:paraId="2B5C6F0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ABC0A82">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2BE1CFC6">
            <w:pPr>
              <w:spacing w:line="240" w:lineRule="exact"/>
              <w:rPr>
                <w:rFonts w:ascii="宋体" w:hAnsi="宋体" w:eastAsia="宋体" w:cs="宋体"/>
                <w:sz w:val="18"/>
                <w:szCs w:val="18"/>
              </w:rPr>
            </w:pPr>
            <w:r>
              <w:rPr>
                <w:rFonts w:ascii="宋体" w:hAnsi="宋体" w:eastAsia="宋体" w:cs="宋体"/>
                <w:sz w:val="18"/>
                <w:szCs w:val="18"/>
              </w:rPr>
              <w:t>非同控合并</w:t>
            </w:r>
          </w:p>
        </w:tc>
      </w:tr>
      <w:tr w14:paraId="737BF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BA0F361">
            <w:pPr>
              <w:spacing w:line="240" w:lineRule="exact"/>
              <w:rPr>
                <w:rFonts w:ascii="宋体" w:hAnsi="宋体" w:eastAsia="宋体" w:cs="宋体"/>
                <w:sz w:val="18"/>
                <w:szCs w:val="18"/>
              </w:rPr>
            </w:pPr>
            <w:r>
              <w:rPr>
                <w:rFonts w:ascii="宋体" w:hAnsi="宋体" w:eastAsia="宋体" w:cs="宋体"/>
                <w:sz w:val="18"/>
                <w:szCs w:val="18"/>
              </w:rPr>
              <w:t>诸暨市雪霁电子商务有限公司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7A51A4C2">
            <w:pPr>
              <w:spacing w:line="240" w:lineRule="exact"/>
              <w:jc w:val="right"/>
              <w:rPr>
                <w:rFonts w:ascii="宋体" w:hAnsi="宋体" w:eastAsia="宋体" w:cs="宋体"/>
                <w:sz w:val="18"/>
                <w:szCs w:val="18"/>
              </w:rPr>
            </w:pPr>
            <w:r>
              <w:rPr>
                <w:rFonts w:ascii="宋体" w:hAnsi="宋体" w:eastAsia="宋体" w:cs="宋体"/>
                <w:sz w:val="18"/>
                <w:szCs w:val="18"/>
              </w:rPr>
              <w:t>1,000,000.00</w:t>
            </w:r>
          </w:p>
        </w:tc>
        <w:tc>
          <w:tcPr>
            <w:tcW w:w="1205" w:type="dxa"/>
            <w:tcBorders>
              <w:top w:val="single" w:color="auto" w:sz="2" w:space="0"/>
              <w:left w:val="single" w:color="auto" w:sz="2" w:space="0"/>
              <w:bottom w:val="single" w:color="auto" w:sz="2" w:space="0"/>
              <w:right w:val="single" w:color="auto" w:sz="2" w:space="0"/>
            </w:tcBorders>
            <w:vAlign w:val="center"/>
          </w:tcPr>
          <w:p w14:paraId="0D1DF384">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2DE5645A">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04AF4F9D">
            <w:pPr>
              <w:spacing w:line="240" w:lineRule="exact"/>
              <w:rPr>
                <w:rFonts w:ascii="宋体" w:hAnsi="宋体" w:eastAsia="宋体" w:cs="宋体"/>
                <w:sz w:val="18"/>
                <w:szCs w:val="18"/>
              </w:rPr>
            </w:pPr>
            <w:r>
              <w:rPr>
                <w:rFonts w:ascii="宋体" w:hAnsi="宋体" w:eastAsia="宋体" w:cs="宋体"/>
                <w:sz w:val="18"/>
                <w:szCs w:val="18"/>
              </w:rPr>
              <w:t>零售业</w:t>
            </w:r>
          </w:p>
        </w:tc>
        <w:tc>
          <w:tcPr>
            <w:tcW w:w="1205" w:type="dxa"/>
            <w:tcBorders>
              <w:top w:val="single" w:color="auto" w:sz="2" w:space="0"/>
              <w:left w:val="single" w:color="auto" w:sz="2" w:space="0"/>
              <w:bottom w:val="single" w:color="auto" w:sz="2" w:space="0"/>
              <w:right w:val="single" w:color="auto" w:sz="2" w:space="0"/>
            </w:tcBorders>
            <w:vAlign w:val="center"/>
          </w:tcPr>
          <w:p w14:paraId="5C6BBEB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F01DB4E">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73D2C376">
            <w:pPr>
              <w:spacing w:line="240" w:lineRule="exact"/>
              <w:rPr>
                <w:rFonts w:ascii="宋体" w:hAnsi="宋体" w:eastAsia="宋体" w:cs="宋体"/>
                <w:sz w:val="18"/>
                <w:szCs w:val="18"/>
              </w:rPr>
            </w:pPr>
            <w:r>
              <w:rPr>
                <w:rFonts w:ascii="宋体" w:hAnsi="宋体" w:eastAsia="宋体" w:cs="宋体"/>
                <w:sz w:val="18"/>
                <w:szCs w:val="18"/>
              </w:rPr>
              <w:t>非同控合并</w:t>
            </w:r>
          </w:p>
        </w:tc>
      </w:tr>
      <w:tr w14:paraId="3A333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05F41B1">
            <w:pPr>
              <w:spacing w:line="240" w:lineRule="exact"/>
              <w:rPr>
                <w:rFonts w:ascii="宋体" w:hAnsi="宋体" w:eastAsia="宋体" w:cs="宋体"/>
                <w:sz w:val="18"/>
                <w:szCs w:val="18"/>
              </w:rPr>
            </w:pPr>
            <w:r>
              <w:rPr>
                <w:rFonts w:ascii="宋体" w:hAnsi="宋体" w:eastAsia="宋体" w:cs="宋体"/>
                <w:sz w:val="18"/>
                <w:szCs w:val="18"/>
              </w:rPr>
              <w:t>诸暨市胜跃纺织有限公司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3C76E33">
            <w:pPr>
              <w:spacing w:line="240" w:lineRule="exact"/>
              <w:jc w:val="right"/>
              <w:rPr>
                <w:rFonts w:ascii="宋体" w:hAnsi="宋体" w:eastAsia="宋体" w:cs="宋体"/>
                <w:sz w:val="18"/>
                <w:szCs w:val="18"/>
              </w:rPr>
            </w:pPr>
            <w:r>
              <w:rPr>
                <w:rFonts w:ascii="宋体" w:hAnsi="宋体" w:eastAsia="宋体" w:cs="宋体"/>
                <w:sz w:val="18"/>
                <w:szCs w:val="18"/>
              </w:rPr>
              <w:t>500,000.00</w:t>
            </w:r>
          </w:p>
        </w:tc>
        <w:tc>
          <w:tcPr>
            <w:tcW w:w="1205" w:type="dxa"/>
            <w:tcBorders>
              <w:top w:val="single" w:color="auto" w:sz="2" w:space="0"/>
              <w:left w:val="single" w:color="auto" w:sz="2" w:space="0"/>
              <w:bottom w:val="single" w:color="auto" w:sz="2" w:space="0"/>
              <w:right w:val="single" w:color="auto" w:sz="2" w:space="0"/>
            </w:tcBorders>
            <w:vAlign w:val="center"/>
          </w:tcPr>
          <w:p w14:paraId="6EB0D337">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4328990A">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4894794E">
            <w:pPr>
              <w:spacing w:line="240" w:lineRule="exact"/>
              <w:rPr>
                <w:rFonts w:ascii="宋体" w:hAnsi="宋体" w:eastAsia="宋体" w:cs="宋体"/>
                <w:sz w:val="18"/>
                <w:szCs w:val="18"/>
              </w:rPr>
            </w:pPr>
            <w:r>
              <w:rPr>
                <w:rFonts w:ascii="宋体" w:hAnsi="宋体" w:eastAsia="宋体" w:cs="宋体"/>
                <w:sz w:val="18"/>
                <w:szCs w:val="18"/>
              </w:rPr>
              <w:t>纺织业</w:t>
            </w:r>
          </w:p>
        </w:tc>
        <w:tc>
          <w:tcPr>
            <w:tcW w:w="1205" w:type="dxa"/>
            <w:tcBorders>
              <w:top w:val="single" w:color="auto" w:sz="2" w:space="0"/>
              <w:left w:val="single" w:color="auto" w:sz="2" w:space="0"/>
              <w:bottom w:val="single" w:color="auto" w:sz="2" w:space="0"/>
              <w:right w:val="single" w:color="auto" w:sz="2" w:space="0"/>
            </w:tcBorders>
            <w:vAlign w:val="center"/>
          </w:tcPr>
          <w:p w14:paraId="5F2F832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7A6E14A">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3247ABC9">
            <w:pPr>
              <w:spacing w:line="240" w:lineRule="exact"/>
              <w:rPr>
                <w:rFonts w:ascii="宋体" w:hAnsi="宋体" w:eastAsia="宋体" w:cs="宋体"/>
                <w:sz w:val="18"/>
                <w:szCs w:val="18"/>
              </w:rPr>
            </w:pPr>
            <w:r>
              <w:rPr>
                <w:rFonts w:ascii="宋体" w:hAnsi="宋体" w:eastAsia="宋体" w:cs="宋体"/>
                <w:sz w:val="18"/>
                <w:szCs w:val="18"/>
              </w:rPr>
              <w:t>非同控合并</w:t>
            </w:r>
          </w:p>
        </w:tc>
      </w:tr>
      <w:tr w14:paraId="53C29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89FD191">
            <w:pPr>
              <w:spacing w:line="240" w:lineRule="exact"/>
              <w:rPr>
                <w:rFonts w:ascii="宋体" w:hAnsi="宋体" w:eastAsia="宋体" w:cs="宋体"/>
                <w:sz w:val="18"/>
                <w:szCs w:val="18"/>
              </w:rPr>
            </w:pPr>
            <w:r>
              <w:rPr>
                <w:rFonts w:ascii="宋体" w:hAnsi="宋体" w:eastAsia="宋体" w:cs="宋体"/>
                <w:sz w:val="18"/>
                <w:szCs w:val="18"/>
              </w:rPr>
              <w:t>杭州一酷服饰有限公司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7EE0FD1">
            <w:pPr>
              <w:spacing w:line="240" w:lineRule="exact"/>
              <w:jc w:val="right"/>
              <w:rPr>
                <w:rFonts w:ascii="宋体" w:hAnsi="宋体" w:eastAsia="宋体" w:cs="宋体"/>
                <w:sz w:val="18"/>
                <w:szCs w:val="18"/>
              </w:rPr>
            </w:pPr>
            <w:r>
              <w:rPr>
                <w:rFonts w:ascii="宋体" w:hAnsi="宋体" w:eastAsia="宋体" w:cs="宋体"/>
                <w:sz w:val="18"/>
                <w:szCs w:val="18"/>
              </w:rPr>
              <w:t>1,000,000.00</w:t>
            </w:r>
          </w:p>
        </w:tc>
        <w:tc>
          <w:tcPr>
            <w:tcW w:w="1205" w:type="dxa"/>
            <w:tcBorders>
              <w:top w:val="single" w:color="auto" w:sz="2" w:space="0"/>
              <w:left w:val="single" w:color="auto" w:sz="2" w:space="0"/>
              <w:bottom w:val="single" w:color="auto" w:sz="2" w:space="0"/>
              <w:right w:val="single" w:color="auto" w:sz="2" w:space="0"/>
            </w:tcBorders>
            <w:vAlign w:val="center"/>
          </w:tcPr>
          <w:p w14:paraId="31949966">
            <w:pPr>
              <w:spacing w:line="240" w:lineRule="exact"/>
              <w:rPr>
                <w:rFonts w:ascii="宋体" w:hAnsi="宋体" w:eastAsia="宋体" w:cs="宋体"/>
                <w:sz w:val="18"/>
                <w:szCs w:val="18"/>
              </w:rPr>
            </w:pPr>
            <w:r>
              <w:rPr>
                <w:rFonts w:ascii="宋体" w:hAnsi="宋体" w:eastAsia="宋体" w:cs="宋体"/>
                <w:sz w:val="18"/>
                <w:szCs w:val="18"/>
              </w:rPr>
              <w:t>浙江省杭州市</w:t>
            </w:r>
          </w:p>
        </w:tc>
        <w:tc>
          <w:tcPr>
            <w:tcW w:w="1205" w:type="dxa"/>
            <w:tcBorders>
              <w:top w:val="single" w:color="auto" w:sz="2" w:space="0"/>
              <w:left w:val="single" w:color="auto" w:sz="2" w:space="0"/>
              <w:bottom w:val="single" w:color="auto" w:sz="2" w:space="0"/>
              <w:right w:val="single" w:color="auto" w:sz="2" w:space="0"/>
            </w:tcBorders>
            <w:vAlign w:val="center"/>
          </w:tcPr>
          <w:p w14:paraId="5C524CAF">
            <w:pPr>
              <w:spacing w:line="240" w:lineRule="exact"/>
              <w:rPr>
                <w:rFonts w:ascii="宋体" w:hAnsi="宋体" w:eastAsia="宋体" w:cs="宋体"/>
                <w:sz w:val="18"/>
                <w:szCs w:val="18"/>
              </w:rPr>
            </w:pPr>
            <w:r>
              <w:rPr>
                <w:rFonts w:ascii="宋体" w:hAnsi="宋体" w:eastAsia="宋体" w:cs="宋体"/>
                <w:sz w:val="18"/>
                <w:szCs w:val="18"/>
              </w:rPr>
              <w:t>浙江省杭州市</w:t>
            </w:r>
          </w:p>
        </w:tc>
        <w:tc>
          <w:tcPr>
            <w:tcW w:w="1205" w:type="dxa"/>
            <w:tcBorders>
              <w:top w:val="single" w:color="auto" w:sz="2" w:space="0"/>
              <w:left w:val="single" w:color="auto" w:sz="2" w:space="0"/>
              <w:bottom w:val="single" w:color="auto" w:sz="2" w:space="0"/>
              <w:right w:val="single" w:color="auto" w:sz="2" w:space="0"/>
            </w:tcBorders>
            <w:vAlign w:val="center"/>
          </w:tcPr>
          <w:p w14:paraId="04B0F88E">
            <w:pPr>
              <w:spacing w:line="240" w:lineRule="exact"/>
              <w:rPr>
                <w:rFonts w:ascii="宋体" w:hAnsi="宋体" w:eastAsia="宋体" w:cs="宋体"/>
                <w:sz w:val="18"/>
                <w:szCs w:val="18"/>
              </w:rPr>
            </w:pPr>
            <w:r>
              <w:rPr>
                <w:rFonts w:ascii="宋体" w:hAnsi="宋体" w:eastAsia="宋体" w:cs="宋体"/>
                <w:sz w:val="18"/>
                <w:szCs w:val="18"/>
              </w:rPr>
              <w:t>批发业</w:t>
            </w:r>
          </w:p>
        </w:tc>
        <w:tc>
          <w:tcPr>
            <w:tcW w:w="1205" w:type="dxa"/>
            <w:tcBorders>
              <w:top w:val="single" w:color="auto" w:sz="2" w:space="0"/>
              <w:left w:val="single" w:color="auto" w:sz="2" w:space="0"/>
              <w:bottom w:val="single" w:color="auto" w:sz="2" w:space="0"/>
              <w:right w:val="single" w:color="auto" w:sz="2" w:space="0"/>
            </w:tcBorders>
            <w:vAlign w:val="center"/>
          </w:tcPr>
          <w:p w14:paraId="3793181F">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16F6735">
            <w:pPr>
              <w:spacing w:line="240" w:lineRule="exact"/>
              <w:jc w:val="right"/>
              <w:rPr>
                <w:rFonts w:ascii="宋体" w:hAnsi="宋体" w:eastAsia="宋体" w:cs="宋体"/>
                <w:sz w:val="18"/>
                <w:szCs w:val="18"/>
              </w:rPr>
            </w:pPr>
            <w:r>
              <w:rPr>
                <w:rFonts w:ascii="宋体" w:hAnsi="宋体" w:eastAsia="宋体" w:cs="宋体"/>
                <w:sz w:val="18"/>
                <w:szCs w:val="18"/>
              </w:rPr>
              <w:t>90.00%</w:t>
            </w:r>
          </w:p>
        </w:tc>
        <w:tc>
          <w:tcPr>
            <w:tcW w:w="1205" w:type="dxa"/>
            <w:tcBorders>
              <w:top w:val="single" w:color="auto" w:sz="2" w:space="0"/>
              <w:left w:val="single" w:color="auto" w:sz="2" w:space="0"/>
              <w:bottom w:val="single" w:color="auto" w:sz="2" w:space="0"/>
              <w:right w:val="single" w:color="auto" w:sz="2" w:space="0"/>
            </w:tcBorders>
            <w:vAlign w:val="center"/>
          </w:tcPr>
          <w:p w14:paraId="20B04847">
            <w:pPr>
              <w:spacing w:line="240" w:lineRule="exact"/>
              <w:rPr>
                <w:rFonts w:ascii="宋体" w:hAnsi="宋体" w:eastAsia="宋体" w:cs="宋体"/>
                <w:sz w:val="18"/>
                <w:szCs w:val="18"/>
              </w:rPr>
            </w:pPr>
            <w:r>
              <w:rPr>
                <w:rFonts w:ascii="宋体" w:hAnsi="宋体" w:eastAsia="宋体" w:cs="宋体"/>
                <w:sz w:val="18"/>
                <w:szCs w:val="18"/>
              </w:rPr>
              <w:t>非同控合并</w:t>
            </w:r>
          </w:p>
        </w:tc>
      </w:tr>
      <w:tr w14:paraId="5F586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9DA57AC">
            <w:pPr>
              <w:spacing w:line="240" w:lineRule="exact"/>
              <w:rPr>
                <w:rFonts w:ascii="宋体" w:hAnsi="宋体" w:eastAsia="宋体" w:cs="宋体"/>
                <w:sz w:val="18"/>
                <w:szCs w:val="18"/>
              </w:rPr>
            </w:pPr>
            <w:r>
              <w:rPr>
                <w:rFonts w:ascii="宋体" w:hAnsi="宋体" w:eastAsia="宋体" w:cs="宋体"/>
                <w:sz w:val="18"/>
                <w:szCs w:val="18"/>
              </w:rPr>
              <w:t>浙江昊驰信息咨询有限公司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8F43241">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2FA69D20">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7D268F27">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23C82208">
            <w:pPr>
              <w:spacing w:line="240" w:lineRule="exact"/>
              <w:rPr>
                <w:rFonts w:ascii="宋体" w:hAnsi="宋体" w:eastAsia="宋体" w:cs="宋体"/>
                <w:sz w:val="18"/>
                <w:szCs w:val="18"/>
              </w:rPr>
            </w:pPr>
            <w:r>
              <w:rPr>
                <w:rFonts w:ascii="宋体" w:hAnsi="宋体" w:eastAsia="宋体" w:cs="宋体"/>
                <w:sz w:val="18"/>
                <w:szCs w:val="18"/>
              </w:rPr>
              <w:t>批发业</w:t>
            </w:r>
          </w:p>
        </w:tc>
        <w:tc>
          <w:tcPr>
            <w:tcW w:w="1205" w:type="dxa"/>
            <w:tcBorders>
              <w:top w:val="single" w:color="auto" w:sz="2" w:space="0"/>
              <w:left w:val="single" w:color="auto" w:sz="2" w:space="0"/>
              <w:bottom w:val="single" w:color="auto" w:sz="2" w:space="0"/>
              <w:right w:val="single" w:color="auto" w:sz="2" w:space="0"/>
            </w:tcBorders>
            <w:vAlign w:val="center"/>
          </w:tcPr>
          <w:p w14:paraId="217D541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A28754E">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663F5E4B">
            <w:pPr>
              <w:spacing w:line="240" w:lineRule="exact"/>
              <w:rPr>
                <w:rFonts w:ascii="宋体" w:hAnsi="宋体" w:eastAsia="宋体" w:cs="宋体"/>
                <w:sz w:val="18"/>
                <w:szCs w:val="18"/>
              </w:rPr>
            </w:pPr>
            <w:r>
              <w:rPr>
                <w:rFonts w:ascii="宋体" w:hAnsi="宋体" w:eastAsia="宋体" w:cs="宋体"/>
                <w:sz w:val="18"/>
                <w:szCs w:val="18"/>
              </w:rPr>
              <w:t>投资设立</w:t>
            </w:r>
          </w:p>
        </w:tc>
      </w:tr>
      <w:tr w14:paraId="2A7EB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6297096">
            <w:pPr>
              <w:spacing w:line="240" w:lineRule="exact"/>
              <w:rPr>
                <w:rFonts w:ascii="宋体" w:hAnsi="宋体" w:eastAsia="宋体" w:cs="宋体"/>
                <w:sz w:val="18"/>
                <w:szCs w:val="18"/>
              </w:rPr>
            </w:pPr>
            <w:r>
              <w:rPr>
                <w:rFonts w:ascii="宋体" w:hAnsi="宋体" w:eastAsia="宋体" w:cs="宋体"/>
                <w:sz w:val="18"/>
                <w:szCs w:val="18"/>
              </w:rPr>
              <w:t>浙江昊创贸易有限公司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12DDF247">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3286107B">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47EC9599">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017B2B6C">
            <w:pPr>
              <w:spacing w:line="240" w:lineRule="exact"/>
              <w:rPr>
                <w:rFonts w:ascii="宋体" w:hAnsi="宋体" w:eastAsia="宋体" w:cs="宋体"/>
                <w:sz w:val="18"/>
                <w:szCs w:val="18"/>
              </w:rPr>
            </w:pPr>
            <w:r>
              <w:rPr>
                <w:rFonts w:ascii="宋体" w:hAnsi="宋体" w:eastAsia="宋体" w:cs="宋体"/>
                <w:sz w:val="18"/>
                <w:szCs w:val="18"/>
              </w:rPr>
              <w:t>批发业</w:t>
            </w:r>
          </w:p>
        </w:tc>
        <w:tc>
          <w:tcPr>
            <w:tcW w:w="1205" w:type="dxa"/>
            <w:tcBorders>
              <w:top w:val="single" w:color="auto" w:sz="2" w:space="0"/>
              <w:left w:val="single" w:color="auto" w:sz="2" w:space="0"/>
              <w:bottom w:val="single" w:color="auto" w:sz="2" w:space="0"/>
              <w:right w:val="single" w:color="auto" w:sz="2" w:space="0"/>
            </w:tcBorders>
            <w:vAlign w:val="center"/>
          </w:tcPr>
          <w:p w14:paraId="7D27C2E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BC543AA">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6E450633">
            <w:pPr>
              <w:spacing w:line="240" w:lineRule="exact"/>
              <w:rPr>
                <w:rFonts w:ascii="宋体" w:hAnsi="宋体" w:eastAsia="宋体" w:cs="宋体"/>
                <w:sz w:val="18"/>
                <w:szCs w:val="18"/>
              </w:rPr>
            </w:pPr>
            <w:r>
              <w:rPr>
                <w:rFonts w:ascii="宋体" w:hAnsi="宋体" w:eastAsia="宋体" w:cs="宋体"/>
                <w:sz w:val="18"/>
                <w:szCs w:val="18"/>
              </w:rPr>
              <w:t>投资设立</w:t>
            </w:r>
          </w:p>
        </w:tc>
      </w:tr>
      <w:tr w14:paraId="1C19F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850A9C0">
            <w:pPr>
              <w:spacing w:line="240" w:lineRule="exact"/>
              <w:rPr>
                <w:rFonts w:ascii="宋体" w:hAnsi="宋体" w:eastAsia="宋体" w:cs="宋体"/>
                <w:sz w:val="18"/>
                <w:szCs w:val="18"/>
              </w:rPr>
            </w:pPr>
            <w:r>
              <w:rPr>
                <w:rFonts w:ascii="宋体" w:hAnsi="宋体" w:eastAsia="宋体" w:cs="宋体"/>
                <w:sz w:val="18"/>
                <w:szCs w:val="18"/>
              </w:rPr>
              <w:t>浙江广孚色纺有限公司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1758F7AE">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4E7E1F06">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032E4049">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3DE27B7C">
            <w:pPr>
              <w:spacing w:line="240" w:lineRule="exact"/>
              <w:rPr>
                <w:rFonts w:ascii="宋体" w:hAnsi="宋体" w:eastAsia="宋体" w:cs="宋体"/>
                <w:sz w:val="18"/>
                <w:szCs w:val="18"/>
              </w:rPr>
            </w:pPr>
            <w:r>
              <w:rPr>
                <w:rFonts w:ascii="宋体" w:hAnsi="宋体" w:eastAsia="宋体" w:cs="宋体"/>
                <w:sz w:val="18"/>
                <w:szCs w:val="18"/>
              </w:rPr>
              <w:t>批发业</w:t>
            </w:r>
          </w:p>
        </w:tc>
        <w:tc>
          <w:tcPr>
            <w:tcW w:w="1205" w:type="dxa"/>
            <w:tcBorders>
              <w:top w:val="single" w:color="auto" w:sz="2" w:space="0"/>
              <w:left w:val="single" w:color="auto" w:sz="2" w:space="0"/>
              <w:bottom w:val="single" w:color="auto" w:sz="2" w:space="0"/>
              <w:right w:val="single" w:color="auto" w:sz="2" w:space="0"/>
            </w:tcBorders>
            <w:vAlign w:val="center"/>
          </w:tcPr>
          <w:p w14:paraId="0219858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6C2AD7C">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28783E11">
            <w:pPr>
              <w:spacing w:line="240" w:lineRule="exact"/>
              <w:rPr>
                <w:rFonts w:ascii="宋体" w:hAnsi="宋体" w:eastAsia="宋体" w:cs="宋体"/>
                <w:sz w:val="18"/>
                <w:szCs w:val="18"/>
              </w:rPr>
            </w:pPr>
            <w:r>
              <w:rPr>
                <w:rFonts w:ascii="宋体" w:hAnsi="宋体" w:eastAsia="宋体" w:cs="宋体"/>
                <w:sz w:val="18"/>
                <w:szCs w:val="18"/>
              </w:rPr>
              <w:t>投资设立</w:t>
            </w:r>
          </w:p>
        </w:tc>
      </w:tr>
      <w:tr w14:paraId="34386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9B63E81">
            <w:pPr>
              <w:spacing w:line="240" w:lineRule="exact"/>
              <w:rPr>
                <w:rFonts w:ascii="宋体" w:hAnsi="宋体" w:eastAsia="宋体" w:cs="宋体"/>
                <w:sz w:val="18"/>
                <w:szCs w:val="18"/>
              </w:rPr>
            </w:pPr>
            <w:r>
              <w:rPr>
                <w:rFonts w:ascii="宋体" w:hAnsi="宋体" w:eastAsia="宋体" w:cs="宋体"/>
                <w:sz w:val="18"/>
                <w:szCs w:val="18"/>
              </w:rPr>
              <w:t>浙江易孚贸易有限公司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97B9163">
            <w:pPr>
              <w:spacing w:line="240" w:lineRule="exact"/>
              <w:jc w:val="right"/>
              <w:rPr>
                <w:rFonts w:ascii="宋体" w:hAnsi="宋体" w:eastAsia="宋体" w:cs="宋体"/>
                <w:sz w:val="18"/>
                <w:szCs w:val="18"/>
              </w:rPr>
            </w:pPr>
            <w:r>
              <w:rPr>
                <w:rFonts w:ascii="宋体" w:hAnsi="宋体" w:eastAsia="宋体" w:cs="宋体"/>
                <w:sz w:val="18"/>
                <w:szCs w:val="18"/>
              </w:rPr>
              <w:t>15,500,000.00</w:t>
            </w:r>
          </w:p>
        </w:tc>
        <w:tc>
          <w:tcPr>
            <w:tcW w:w="1205" w:type="dxa"/>
            <w:tcBorders>
              <w:top w:val="single" w:color="auto" w:sz="2" w:space="0"/>
              <w:left w:val="single" w:color="auto" w:sz="2" w:space="0"/>
              <w:bottom w:val="single" w:color="auto" w:sz="2" w:space="0"/>
              <w:right w:val="single" w:color="auto" w:sz="2" w:space="0"/>
            </w:tcBorders>
            <w:vAlign w:val="center"/>
          </w:tcPr>
          <w:p w14:paraId="08F808C3">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23EDCD87">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4B8354E9">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7AEC9E2A">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222EE6B">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1A589C3E">
            <w:pPr>
              <w:spacing w:line="240" w:lineRule="exact"/>
              <w:rPr>
                <w:rFonts w:ascii="宋体" w:hAnsi="宋体" w:eastAsia="宋体" w:cs="宋体"/>
                <w:sz w:val="18"/>
                <w:szCs w:val="18"/>
              </w:rPr>
            </w:pPr>
            <w:r>
              <w:rPr>
                <w:rFonts w:ascii="宋体" w:hAnsi="宋体" w:eastAsia="宋体" w:cs="宋体"/>
                <w:sz w:val="18"/>
                <w:szCs w:val="18"/>
              </w:rPr>
              <w:t>投资设立</w:t>
            </w:r>
          </w:p>
        </w:tc>
      </w:tr>
      <w:tr w14:paraId="37EC5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9C889FB">
            <w:pPr>
              <w:spacing w:line="240" w:lineRule="exact"/>
              <w:rPr>
                <w:rFonts w:ascii="宋体" w:hAnsi="宋体" w:eastAsia="宋体" w:cs="宋体"/>
                <w:sz w:val="18"/>
                <w:szCs w:val="18"/>
              </w:rPr>
            </w:pPr>
            <w:r>
              <w:rPr>
                <w:rFonts w:ascii="宋体" w:hAnsi="宋体" w:eastAsia="宋体" w:cs="宋体"/>
                <w:sz w:val="18"/>
                <w:szCs w:val="18"/>
              </w:rPr>
              <w:t>新疆天孚棉花供应链股份有限公司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0218B628">
            <w:pPr>
              <w:spacing w:line="240" w:lineRule="exact"/>
              <w:jc w:val="right"/>
              <w:rPr>
                <w:rFonts w:ascii="宋体" w:hAnsi="宋体" w:eastAsia="宋体" w:cs="宋体"/>
                <w:sz w:val="18"/>
                <w:szCs w:val="18"/>
              </w:rPr>
            </w:pPr>
            <w:r>
              <w:rPr>
                <w:rFonts w:ascii="宋体" w:hAnsi="宋体" w:eastAsia="宋体" w:cs="宋体"/>
                <w:sz w:val="18"/>
                <w:szCs w:val="18"/>
              </w:rPr>
              <w:t>80,000,000.00</w:t>
            </w:r>
          </w:p>
        </w:tc>
        <w:tc>
          <w:tcPr>
            <w:tcW w:w="1205" w:type="dxa"/>
            <w:tcBorders>
              <w:top w:val="single" w:color="auto" w:sz="2" w:space="0"/>
              <w:left w:val="single" w:color="auto" w:sz="2" w:space="0"/>
              <w:bottom w:val="single" w:color="auto" w:sz="2" w:space="0"/>
              <w:right w:val="single" w:color="auto" w:sz="2" w:space="0"/>
            </w:tcBorders>
            <w:vAlign w:val="center"/>
          </w:tcPr>
          <w:p w14:paraId="05E45D12">
            <w:pPr>
              <w:spacing w:line="240" w:lineRule="exact"/>
              <w:rPr>
                <w:rFonts w:ascii="宋体" w:hAnsi="宋体" w:eastAsia="宋体" w:cs="宋体"/>
                <w:sz w:val="18"/>
                <w:szCs w:val="18"/>
              </w:rPr>
            </w:pPr>
            <w:r>
              <w:rPr>
                <w:rFonts w:ascii="宋体" w:hAnsi="宋体" w:eastAsia="宋体" w:cs="宋体"/>
                <w:sz w:val="18"/>
                <w:szCs w:val="18"/>
              </w:rPr>
              <w:t>新疆喀什地区</w:t>
            </w:r>
          </w:p>
        </w:tc>
        <w:tc>
          <w:tcPr>
            <w:tcW w:w="1205" w:type="dxa"/>
            <w:tcBorders>
              <w:top w:val="single" w:color="auto" w:sz="2" w:space="0"/>
              <w:left w:val="single" w:color="auto" w:sz="2" w:space="0"/>
              <w:bottom w:val="single" w:color="auto" w:sz="2" w:space="0"/>
              <w:right w:val="single" w:color="auto" w:sz="2" w:space="0"/>
            </w:tcBorders>
            <w:vAlign w:val="center"/>
          </w:tcPr>
          <w:p w14:paraId="14FDA24B">
            <w:pPr>
              <w:spacing w:line="240" w:lineRule="exact"/>
              <w:rPr>
                <w:rFonts w:ascii="宋体" w:hAnsi="宋体" w:eastAsia="宋体" w:cs="宋体"/>
                <w:sz w:val="18"/>
                <w:szCs w:val="18"/>
              </w:rPr>
            </w:pPr>
            <w:r>
              <w:rPr>
                <w:rFonts w:ascii="宋体" w:hAnsi="宋体" w:eastAsia="宋体" w:cs="宋体"/>
                <w:sz w:val="18"/>
                <w:szCs w:val="18"/>
              </w:rPr>
              <w:t>新疆喀什地区</w:t>
            </w:r>
          </w:p>
        </w:tc>
        <w:tc>
          <w:tcPr>
            <w:tcW w:w="1205" w:type="dxa"/>
            <w:tcBorders>
              <w:top w:val="single" w:color="auto" w:sz="2" w:space="0"/>
              <w:left w:val="single" w:color="auto" w:sz="2" w:space="0"/>
              <w:bottom w:val="single" w:color="auto" w:sz="2" w:space="0"/>
              <w:right w:val="single" w:color="auto" w:sz="2" w:space="0"/>
            </w:tcBorders>
            <w:vAlign w:val="center"/>
          </w:tcPr>
          <w:p w14:paraId="563AEE54">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120921B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EEC565E">
            <w:pPr>
              <w:spacing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7949E23D">
            <w:pPr>
              <w:spacing w:line="240" w:lineRule="exact"/>
              <w:rPr>
                <w:rFonts w:ascii="宋体" w:hAnsi="宋体" w:eastAsia="宋体" w:cs="宋体"/>
                <w:sz w:val="18"/>
                <w:szCs w:val="18"/>
              </w:rPr>
            </w:pPr>
            <w:r>
              <w:rPr>
                <w:rFonts w:ascii="宋体" w:hAnsi="宋体" w:eastAsia="宋体" w:cs="宋体"/>
                <w:sz w:val="18"/>
                <w:szCs w:val="18"/>
              </w:rPr>
              <w:t>投资设立</w:t>
            </w:r>
          </w:p>
        </w:tc>
      </w:tr>
      <w:tr w14:paraId="33DCE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CC19E2A">
            <w:pPr>
              <w:spacing w:line="240" w:lineRule="exact"/>
              <w:rPr>
                <w:rFonts w:ascii="宋体" w:hAnsi="宋体" w:eastAsia="宋体" w:cs="宋体"/>
                <w:sz w:val="18"/>
                <w:szCs w:val="18"/>
              </w:rPr>
            </w:pPr>
            <w:r>
              <w:rPr>
                <w:rFonts w:ascii="宋体" w:hAnsi="宋体" w:eastAsia="宋体" w:cs="宋体"/>
                <w:sz w:val="18"/>
                <w:szCs w:val="18"/>
              </w:rPr>
              <w:t>新疆棉花产业集团岳普湖棉业有限公司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AE0FAF8">
            <w:pPr>
              <w:spacing w:line="240" w:lineRule="exact"/>
              <w:jc w:val="right"/>
              <w:rPr>
                <w:rFonts w:ascii="宋体" w:hAnsi="宋体" w:eastAsia="宋体" w:cs="宋体"/>
                <w:sz w:val="18"/>
                <w:szCs w:val="18"/>
              </w:rPr>
            </w:pPr>
            <w:r>
              <w:rPr>
                <w:rFonts w:ascii="宋体" w:hAnsi="宋体" w:eastAsia="宋体" w:cs="宋体"/>
                <w:sz w:val="18"/>
                <w:szCs w:val="18"/>
              </w:rPr>
              <w:t>20,000,000.00</w:t>
            </w:r>
          </w:p>
        </w:tc>
        <w:tc>
          <w:tcPr>
            <w:tcW w:w="1205" w:type="dxa"/>
            <w:tcBorders>
              <w:top w:val="single" w:color="auto" w:sz="2" w:space="0"/>
              <w:left w:val="single" w:color="auto" w:sz="2" w:space="0"/>
              <w:bottom w:val="single" w:color="auto" w:sz="2" w:space="0"/>
              <w:right w:val="single" w:color="auto" w:sz="2" w:space="0"/>
            </w:tcBorders>
            <w:vAlign w:val="center"/>
          </w:tcPr>
          <w:p w14:paraId="665FC596">
            <w:pPr>
              <w:spacing w:line="240" w:lineRule="exact"/>
              <w:rPr>
                <w:rFonts w:ascii="宋体" w:hAnsi="宋体" w:eastAsia="宋体" w:cs="宋体"/>
                <w:sz w:val="18"/>
                <w:szCs w:val="18"/>
              </w:rPr>
            </w:pPr>
            <w:r>
              <w:rPr>
                <w:rFonts w:ascii="宋体" w:hAnsi="宋体" w:eastAsia="宋体" w:cs="宋体"/>
                <w:sz w:val="18"/>
                <w:szCs w:val="18"/>
              </w:rPr>
              <w:t>新疆喀什地区</w:t>
            </w:r>
          </w:p>
        </w:tc>
        <w:tc>
          <w:tcPr>
            <w:tcW w:w="1205" w:type="dxa"/>
            <w:tcBorders>
              <w:top w:val="single" w:color="auto" w:sz="2" w:space="0"/>
              <w:left w:val="single" w:color="auto" w:sz="2" w:space="0"/>
              <w:bottom w:val="single" w:color="auto" w:sz="2" w:space="0"/>
              <w:right w:val="single" w:color="auto" w:sz="2" w:space="0"/>
            </w:tcBorders>
            <w:vAlign w:val="center"/>
          </w:tcPr>
          <w:p w14:paraId="280D3A2A">
            <w:pPr>
              <w:spacing w:line="240" w:lineRule="exact"/>
              <w:rPr>
                <w:rFonts w:ascii="宋体" w:hAnsi="宋体" w:eastAsia="宋体" w:cs="宋体"/>
                <w:sz w:val="18"/>
                <w:szCs w:val="18"/>
              </w:rPr>
            </w:pPr>
            <w:r>
              <w:rPr>
                <w:rFonts w:ascii="宋体" w:hAnsi="宋体" w:eastAsia="宋体" w:cs="宋体"/>
                <w:sz w:val="18"/>
                <w:szCs w:val="18"/>
              </w:rPr>
              <w:t>新疆喀什地区</w:t>
            </w:r>
          </w:p>
        </w:tc>
        <w:tc>
          <w:tcPr>
            <w:tcW w:w="1205" w:type="dxa"/>
            <w:tcBorders>
              <w:top w:val="single" w:color="auto" w:sz="2" w:space="0"/>
              <w:left w:val="single" w:color="auto" w:sz="2" w:space="0"/>
              <w:bottom w:val="single" w:color="auto" w:sz="2" w:space="0"/>
              <w:right w:val="single" w:color="auto" w:sz="2" w:space="0"/>
            </w:tcBorders>
            <w:vAlign w:val="center"/>
          </w:tcPr>
          <w:p w14:paraId="49C96FEF">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60E20AB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70CCCCD">
            <w:pPr>
              <w:spacing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527B5D9C">
            <w:pPr>
              <w:spacing w:line="240" w:lineRule="exact"/>
              <w:rPr>
                <w:rFonts w:ascii="宋体" w:hAnsi="宋体" w:eastAsia="宋体" w:cs="宋体"/>
                <w:sz w:val="18"/>
                <w:szCs w:val="18"/>
              </w:rPr>
            </w:pPr>
            <w:r>
              <w:rPr>
                <w:rFonts w:ascii="宋体" w:hAnsi="宋体" w:eastAsia="宋体" w:cs="宋体"/>
                <w:sz w:val="18"/>
                <w:szCs w:val="18"/>
              </w:rPr>
              <w:t>非同一控制下企业合并</w:t>
            </w:r>
          </w:p>
        </w:tc>
      </w:tr>
      <w:tr w14:paraId="160D7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BE3823A">
            <w:pPr>
              <w:spacing w:line="240" w:lineRule="exact"/>
              <w:rPr>
                <w:rFonts w:ascii="宋体" w:hAnsi="宋体" w:eastAsia="宋体" w:cs="宋体"/>
                <w:sz w:val="18"/>
                <w:szCs w:val="18"/>
              </w:rPr>
            </w:pPr>
            <w:r>
              <w:rPr>
                <w:rFonts w:ascii="宋体" w:hAnsi="宋体" w:eastAsia="宋体" w:cs="宋体"/>
                <w:sz w:val="18"/>
                <w:szCs w:val="18"/>
              </w:rPr>
              <w:t>新疆棉花产业集团伽师棉业有限公司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F104AAD">
            <w:pPr>
              <w:spacing w:line="240" w:lineRule="exact"/>
              <w:jc w:val="right"/>
              <w:rPr>
                <w:rFonts w:ascii="宋体" w:hAnsi="宋体" w:eastAsia="宋体" w:cs="宋体"/>
                <w:sz w:val="18"/>
                <w:szCs w:val="18"/>
              </w:rPr>
            </w:pPr>
            <w:r>
              <w:rPr>
                <w:rFonts w:ascii="宋体" w:hAnsi="宋体" w:eastAsia="宋体" w:cs="宋体"/>
                <w:sz w:val="18"/>
                <w:szCs w:val="18"/>
              </w:rPr>
              <w:t>20,000,000.00</w:t>
            </w:r>
          </w:p>
        </w:tc>
        <w:tc>
          <w:tcPr>
            <w:tcW w:w="1205" w:type="dxa"/>
            <w:tcBorders>
              <w:top w:val="single" w:color="auto" w:sz="2" w:space="0"/>
              <w:left w:val="single" w:color="auto" w:sz="2" w:space="0"/>
              <w:bottom w:val="single" w:color="auto" w:sz="2" w:space="0"/>
              <w:right w:val="single" w:color="auto" w:sz="2" w:space="0"/>
            </w:tcBorders>
            <w:vAlign w:val="center"/>
          </w:tcPr>
          <w:p w14:paraId="7417225B">
            <w:pPr>
              <w:spacing w:line="240" w:lineRule="exact"/>
              <w:rPr>
                <w:rFonts w:ascii="宋体" w:hAnsi="宋体" w:eastAsia="宋体" w:cs="宋体"/>
                <w:sz w:val="18"/>
                <w:szCs w:val="18"/>
              </w:rPr>
            </w:pPr>
            <w:r>
              <w:rPr>
                <w:rFonts w:ascii="宋体" w:hAnsi="宋体" w:eastAsia="宋体" w:cs="宋体"/>
                <w:sz w:val="18"/>
                <w:szCs w:val="18"/>
              </w:rPr>
              <w:t>新疆喀什地区</w:t>
            </w:r>
          </w:p>
        </w:tc>
        <w:tc>
          <w:tcPr>
            <w:tcW w:w="1205" w:type="dxa"/>
            <w:tcBorders>
              <w:top w:val="single" w:color="auto" w:sz="2" w:space="0"/>
              <w:left w:val="single" w:color="auto" w:sz="2" w:space="0"/>
              <w:bottom w:val="single" w:color="auto" w:sz="2" w:space="0"/>
              <w:right w:val="single" w:color="auto" w:sz="2" w:space="0"/>
            </w:tcBorders>
            <w:vAlign w:val="center"/>
          </w:tcPr>
          <w:p w14:paraId="19E25162">
            <w:pPr>
              <w:spacing w:line="240" w:lineRule="exact"/>
              <w:rPr>
                <w:rFonts w:ascii="宋体" w:hAnsi="宋体" w:eastAsia="宋体" w:cs="宋体"/>
                <w:sz w:val="18"/>
                <w:szCs w:val="18"/>
              </w:rPr>
            </w:pPr>
            <w:r>
              <w:rPr>
                <w:rFonts w:ascii="宋体" w:hAnsi="宋体" w:eastAsia="宋体" w:cs="宋体"/>
                <w:sz w:val="18"/>
                <w:szCs w:val="18"/>
              </w:rPr>
              <w:t>新疆喀什地区</w:t>
            </w:r>
          </w:p>
        </w:tc>
        <w:tc>
          <w:tcPr>
            <w:tcW w:w="1205" w:type="dxa"/>
            <w:tcBorders>
              <w:top w:val="single" w:color="auto" w:sz="2" w:space="0"/>
              <w:left w:val="single" w:color="auto" w:sz="2" w:space="0"/>
              <w:bottom w:val="single" w:color="auto" w:sz="2" w:space="0"/>
              <w:right w:val="single" w:color="auto" w:sz="2" w:space="0"/>
            </w:tcBorders>
            <w:vAlign w:val="center"/>
          </w:tcPr>
          <w:p w14:paraId="30BA9E6E">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33DE054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CED30AF">
            <w:pPr>
              <w:spacing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144A7468">
            <w:pPr>
              <w:spacing w:line="240" w:lineRule="exact"/>
              <w:rPr>
                <w:rFonts w:ascii="宋体" w:hAnsi="宋体" w:eastAsia="宋体" w:cs="宋体"/>
                <w:sz w:val="18"/>
                <w:szCs w:val="18"/>
              </w:rPr>
            </w:pPr>
            <w:r>
              <w:rPr>
                <w:rFonts w:ascii="宋体" w:hAnsi="宋体" w:eastAsia="宋体" w:cs="宋体"/>
                <w:sz w:val="18"/>
                <w:szCs w:val="18"/>
              </w:rPr>
              <w:t>非同一控制下企业合并</w:t>
            </w:r>
          </w:p>
        </w:tc>
      </w:tr>
      <w:tr w14:paraId="19776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7A99E71">
            <w:pPr>
              <w:spacing w:line="240" w:lineRule="exact"/>
              <w:rPr>
                <w:rFonts w:ascii="宋体" w:hAnsi="宋体" w:eastAsia="宋体" w:cs="宋体"/>
                <w:sz w:val="18"/>
                <w:szCs w:val="18"/>
              </w:rPr>
            </w:pPr>
            <w:r>
              <w:rPr>
                <w:rFonts w:ascii="宋体" w:hAnsi="宋体" w:eastAsia="宋体" w:cs="宋体"/>
                <w:sz w:val="18"/>
                <w:szCs w:val="18"/>
              </w:rPr>
              <w:t>浙江菁英电商管理服务有限公司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9C56A0D">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5EC0C80F">
            <w:pPr>
              <w:spacing w:line="240" w:lineRule="exact"/>
              <w:rPr>
                <w:rFonts w:ascii="宋体" w:hAnsi="宋体" w:eastAsia="宋体" w:cs="宋体"/>
                <w:sz w:val="18"/>
                <w:szCs w:val="18"/>
              </w:rPr>
            </w:pPr>
            <w:r>
              <w:rPr>
                <w:rFonts w:ascii="宋体" w:hAnsi="宋体" w:eastAsia="宋体" w:cs="宋体"/>
                <w:sz w:val="18"/>
                <w:szCs w:val="18"/>
              </w:rPr>
              <w:t>浙江省金华市</w:t>
            </w:r>
          </w:p>
        </w:tc>
        <w:tc>
          <w:tcPr>
            <w:tcW w:w="1205" w:type="dxa"/>
            <w:tcBorders>
              <w:top w:val="single" w:color="auto" w:sz="2" w:space="0"/>
              <w:left w:val="single" w:color="auto" w:sz="2" w:space="0"/>
              <w:bottom w:val="single" w:color="auto" w:sz="2" w:space="0"/>
              <w:right w:val="single" w:color="auto" w:sz="2" w:space="0"/>
            </w:tcBorders>
            <w:vAlign w:val="center"/>
          </w:tcPr>
          <w:p w14:paraId="0E8EE66A">
            <w:pPr>
              <w:spacing w:line="240" w:lineRule="exact"/>
              <w:rPr>
                <w:rFonts w:ascii="宋体" w:hAnsi="宋体" w:eastAsia="宋体" w:cs="宋体"/>
                <w:sz w:val="18"/>
                <w:szCs w:val="18"/>
              </w:rPr>
            </w:pPr>
            <w:r>
              <w:rPr>
                <w:rFonts w:ascii="宋体" w:hAnsi="宋体" w:eastAsia="宋体" w:cs="宋体"/>
                <w:sz w:val="18"/>
                <w:szCs w:val="18"/>
              </w:rPr>
              <w:t>浙江省金华市</w:t>
            </w:r>
          </w:p>
        </w:tc>
        <w:tc>
          <w:tcPr>
            <w:tcW w:w="1205" w:type="dxa"/>
            <w:tcBorders>
              <w:top w:val="single" w:color="auto" w:sz="2" w:space="0"/>
              <w:left w:val="single" w:color="auto" w:sz="2" w:space="0"/>
              <w:bottom w:val="single" w:color="auto" w:sz="2" w:space="0"/>
              <w:right w:val="single" w:color="auto" w:sz="2" w:space="0"/>
            </w:tcBorders>
            <w:vAlign w:val="center"/>
          </w:tcPr>
          <w:p w14:paraId="4C927D2F">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2A18519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6942267">
            <w:pPr>
              <w:spacing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107C4820">
            <w:pPr>
              <w:spacing w:line="240" w:lineRule="exact"/>
              <w:rPr>
                <w:rFonts w:ascii="宋体" w:hAnsi="宋体" w:eastAsia="宋体" w:cs="宋体"/>
                <w:sz w:val="18"/>
                <w:szCs w:val="18"/>
              </w:rPr>
            </w:pPr>
            <w:r>
              <w:rPr>
                <w:rFonts w:ascii="宋体" w:hAnsi="宋体" w:eastAsia="宋体" w:cs="宋体"/>
                <w:sz w:val="18"/>
                <w:szCs w:val="18"/>
              </w:rPr>
              <w:t>投资设立</w:t>
            </w:r>
          </w:p>
        </w:tc>
      </w:tr>
      <w:tr w14:paraId="4E829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BBD6D86">
            <w:pPr>
              <w:spacing w:line="240" w:lineRule="exact"/>
              <w:rPr>
                <w:rFonts w:ascii="宋体" w:hAnsi="宋体" w:eastAsia="宋体" w:cs="宋体"/>
                <w:sz w:val="18"/>
                <w:szCs w:val="18"/>
              </w:rPr>
            </w:pPr>
            <w:r>
              <w:rPr>
                <w:rFonts w:ascii="宋体" w:hAnsi="宋体" w:eastAsia="宋体" w:cs="宋体"/>
                <w:sz w:val="18"/>
                <w:szCs w:val="18"/>
              </w:rPr>
              <w:t>金华市菁英职业技能培训学校有限公司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03D3B50">
            <w:pPr>
              <w:spacing w:line="240" w:lineRule="exact"/>
              <w:jc w:val="right"/>
              <w:rPr>
                <w:rFonts w:ascii="宋体" w:hAnsi="宋体" w:eastAsia="宋体" w:cs="宋体"/>
                <w:sz w:val="18"/>
                <w:szCs w:val="18"/>
              </w:rPr>
            </w:pPr>
            <w:r>
              <w:rPr>
                <w:rFonts w:ascii="宋体" w:hAnsi="宋体" w:eastAsia="宋体" w:cs="宋体"/>
                <w:sz w:val="18"/>
                <w:szCs w:val="18"/>
              </w:rPr>
              <w:t>500,000.00</w:t>
            </w:r>
          </w:p>
        </w:tc>
        <w:tc>
          <w:tcPr>
            <w:tcW w:w="1205" w:type="dxa"/>
            <w:tcBorders>
              <w:top w:val="single" w:color="auto" w:sz="2" w:space="0"/>
              <w:left w:val="single" w:color="auto" w:sz="2" w:space="0"/>
              <w:bottom w:val="single" w:color="auto" w:sz="2" w:space="0"/>
              <w:right w:val="single" w:color="auto" w:sz="2" w:space="0"/>
            </w:tcBorders>
            <w:vAlign w:val="center"/>
          </w:tcPr>
          <w:p w14:paraId="5757EE1A">
            <w:pPr>
              <w:spacing w:line="240" w:lineRule="exact"/>
              <w:rPr>
                <w:rFonts w:ascii="宋体" w:hAnsi="宋体" w:eastAsia="宋体" w:cs="宋体"/>
                <w:sz w:val="18"/>
                <w:szCs w:val="18"/>
              </w:rPr>
            </w:pPr>
            <w:r>
              <w:rPr>
                <w:rFonts w:ascii="宋体" w:hAnsi="宋体" w:eastAsia="宋体" w:cs="宋体"/>
                <w:sz w:val="18"/>
                <w:szCs w:val="18"/>
              </w:rPr>
              <w:t>浙江省金华市</w:t>
            </w:r>
          </w:p>
        </w:tc>
        <w:tc>
          <w:tcPr>
            <w:tcW w:w="1205" w:type="dxa"/>
            <w:tcBorders>
              <w:top w:val="single" w:color="auto" w:sz="2" w:space="0"/>
              <w:left w:val="single" w:color="auto" w:sz="2" w:space="0"/>
              <w:bottom w:val="single" w:color="auto" w:sz="2" w:space="0"/>
              <w:right w:val="single" w:color="auto" w:sz="2" w:space="0"/>
            </w:tcBorders>
            <w:vAlign w:val="center"/>
          </w:tcPr>
          <w:p w14:paraId="3A4AC5FD">
            <w:pPr>
              <w:spacing w:line="240" w:lineRule="exact"/>
              <w:rPr>
                <w:rFonts w:ascii="宋体" w:hAnsi="宋体" w:eastAsia="宋体" w:cs="宋体"/>
                <w:sz w:val="18"/>
                <w:szCs w:val="18"/>
              </w:rPr>
            </w:pPr>
            <w:r>
              <w:rPr>
                <w:rFonts w:ascii="宋体" w:hAnsi="宋体" w:eastAsia="宋体" w:cs="宋体"/>
                <w:sz w:val="18"/>
                <w:szCs w:val="18"/>
              </w:rPr>
              <w:t>浙江省金华市</w:t>
            </w:r>
          </w:p>
        </w:tc>
        <w:tc>
          <w:tcPr>
            <w:tcW w:w="1205" w:type="dxa"/>
            <w:tcBorders>
              <w:top w:val="single" w:color="auto" w:sz="2" w:space="0"/>
              <w:left w:val="single" w:color="auto" w:sz="2" w:space="0"/>
              <w:bottom w:val="single" w:color="auto" w:sz="2" w:space="0"/>
              <w:right w:val="single" w:color="auto" w:sz="2" w:space="0"/>
            </w:tcBorders>
            <w:vAlign w:val="center"/>
          </w:tcPr>
          <w:p w14:paraId="03B68126">
            <w:pPr>
              <w:spacing w:line="240" w:lineRule="exact"/>
              <w:rPr>
                <w:rFonts w:ascii="宋体" w:hAnsi="宋体" w:eastAsia="宋体" w:cs="宋体"/>
                <w:sz w:val="18"/>
                <w:szCs w:val="18"/>
              </w:rPr>
            </w:pPr>
            <w:r>
              <w:rPr>
                <w:rFonts w:ascii="宋体" w:hAnsi="宋体" w:eastAsia="宋体" w:cs="宋体"/>
                <w:sz w:val="18"/>
                <w:szCs w:val="18"/>
              </w:rPr>
              <w:t>综合服务</w:t>
            </w:r>
          </w:p>
        </w:tc>
        <w:tc>
          <w:tcPr>
            <w:tcW w:w="1205" w:type="dxa"/>
            <w:tcBorders>
              <w:top w:val="single" w:color="auto" w:sz="2" w:space="0"/>
              <w:left w:val="single" w:color="auto" w:sz="2" w:space="0"/>
              <w:bottom w:val="single" w:color="auto" w:sz="2" w:space="0"/>
              <w:right w:val="single" w:color="auto" w:sz="2" w:space="0"/>
            </w:tcBorders>
            <w:vAlign w:val="center"/>
          </w:tcPr>
          <w:p w14:paraId="1C9C77A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52EE6A4">
            <w:pPr>
              <w:spacing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6FFD744D">
            <w:pPr>
              <w:spacing w:line="240" w:lineRule="exact"/>
              <w:rPr>
                <w:rFonts w:ascii="宋体" w:hAnsi="宋体" w:eastAsia="宋体" w:cs="宋体"/>
                <w:sz w:val="18"/>
                <w:szCs w:val="18"/>
              </w:rPr>
            </w:pPr>
            <w:r>
              <w:rPr>
                <w:rFonts w:ascii="宋体" w:hAnsi="宋体" w:eastAsia="宋体" w:cs="宋体"/>
                <w:sz w:val="18"/>
                <w:szCs w:val="18"/>
              </w:rPr>
              <w:t>投资设立</w:t>
            </w:r>
          </w:p>
        </w:tc>
      </w:tr>
      <w:tr w14:paraId="6BC01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1568D18">
            <w:pPr>
              <w:spacing w:line="240" w:lineRule="exact"/>
              <w:rPr>
                <w:rFonts w:ascii="宋体" w:hAnsi="宋体" w:eastAsia="宋体" w:cs="宋体"/>
                <w:sz w:val="18"/>
                <w:szCs w:val="18"/>
              </w:rPr>
            </w:pPr>
            <w:r>
              <w:rPr>
                <w:rFonts w:ascii="宋体" w:hAnsi="宋体" w:eastAsia="宋体" w:cs="宋体"/>
                <w:sz w:val="18"/>
                <w:szCs w:val="18"/>
              </w:rPr>
              <w:t>金华市菁英物业发展有限公司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E012BEB">
            <w:pPr>
              <w:spacing w:line="240" w:lineRule="exact"/>
              <w:jc w:val="right"/>
              <w:rPr>
                <w:rFonts w:ascii="宋体" w:hAnsi="宋体" w:eastAsia="宋体" w:cs="宋体"/>
                <w:sz w:val="18"/>
                <w:szCs w:val="18"/>
              </w:rPr>
            </w:pPr>
            <w:r>
              <w:rPr>
                <w:rFonts w:ascii="宋体" w:hAnsi="宋体" w:eastAsia="宋体" w:cs="宋体"/>
                <w:sz w:val="18"/>
                <w:szCs w:val="18"/>
              </w:rPr>
              <w:t>200,000.00</w:t>
            </w:r>
          </w:p>
        </w:tc>
        <w:tc>
          <w:tcPr>
            <w:tcW w:w="1205" w:type="dxa"/>
            <w:tcBorders>
              <w:top w:val="single" w:color="auto" w:sz="2" w:space="0"/>
              <w:left w:val="single" w:color="auto" w:sz="2" w:space="0"/>
              <w:bottom w:val="single" w:color="auto" w:sz="2" w:space="0"/>
              <w:right w:val="single" w:color="auto" w:sz="2" w:space="0"/>
            </w:tcBorders>
            <w:vAlign w:val="center"/>
          </w:tcPr>
          <w:p w14:paraId="5FDB7527">
            <w:pPr>
              <w:spacing w:line="240" w:lineRule="exact"/>
              <w:rPr>
                <w:rFonts w:ascii="宋体" w:hAnsi="宋体" w:eastAsia="宋体" w:cs="宋体"/>
                <w:sz w:val="18"/>
                <w:szCs w:val="18"/>
              </w:rPr>
            </w:pPr>
            <w:r>
              <w:rPr>
                <w:rFonts w:ascii="宋体" w:hAnsi="宋体" w:eastAsia="宋体" w:cs="宋体"/>
                <w:sz w:val="18"/>
                <w:szCs w:val="18"/>
              </w:rPr>
              <w:t>浙江省金华市</w:t>
            </w:r>
          </w:p>
        </w:tc>
        <w:tc>
          <w:tcPr>
            <w:tcW w:w="1205" w:type="dxa"/>
            <w:tcBorders>
              <w:top w:val="single" w:color="auto" w:sz="2" w:space="0"/>
              <w:left w:val="single" w:color="auto" w:sz="2" w:space="0"/>
              <w:bottom w:val="single" w:color="auto" w:sz="2" w:space="0"/>
              <w:right w:val="single" w:color="auto" w:sz="2" w:space="0"/>
            </w:tcBorders>
            <w:vAlign w:val="center"/>
          </w:tcPr>
          <w:p w14:paraId="12934AFD">
            <w:pPr>
              <w:spacing w:line="240" w:lineRule="exact"/>
              <w:rPr>
                <w:rFonts w:ascii="宋体" w:hAnsi="宋体" w:eastAsia="宋体" w:cs="宋体"/>
                <w:sz w:val="18"/>
                <w:szCs w:val="18"/>
              </w:rPr>
            </w:pPr>
            <w:r>
              <w:rPr>
                <w:rFonts w:ascii="宋体" w:hAnsi="宋体" w:eastAsia="宋体" w:cs="宋体"/>
                <w:sz w:val="18"/>
                <w:szCs w:val="18"/>
              </w:rPr>
              <w:t>浙江省金华市</w:t>
            </w:r>
          </w:p>
        </w:tc>
        <w:tc>
          <w:tcPr>
            <w:tcW w:w="1205" w:type="dxa"/>
            <w:tcBorders>
              <w:top w:val="single" w:color="auto" w:sz="2" w:space="0"/>
              <w:left w:val="single" w:color="auto" w:sz="2" w:space="0"/>
              <w:bottom w:val="single" w:color="auto" w:sz="2" w:space="0"/>
              <w:right w:val="single" w:color="auto" w:sz="2" w:space="0"/>
            </w:tcBorders>
            <w:vAlign w:val="center"/>
          </w:tcPr>
          <w:p w14:paraId="5D5D0561">
            <w:pPr>
              <w:spacing w:line="240" w:lineRule="exact"/>
              <w:rPr>
                <w:rFonts w:ascii="宋体" w:hAnsi="宋体" w:eastAsia="宋体" w:cs="宋体"/>
                <w:sz w:val="18"/>
                <w:szCs w:val="18"/>
              </w:rPr>
            </w:pPr>
            <w:r>
              <w:rPr>
                <w:rFonts w:ascii="宋体" w:hAnsi="宋体" w:eastAsia="宋体" w:cs="宋体"/>
                <w:sz w:val="18"/>
                <w:szCs w:val="18"/>
              </w:rPr>
              <w:t>综合服务</w:t>
            </w:r>
          </w:p>
        </w:tc>
        <w:tc>
          <w:tcPr>
            <w:tcW w:w="1205" w:type="dxa"/>
            <w:tcBorders>
              <w:top w:val="single" w:color="auto" w:sz="2" w:space="0"/>
              <w:left w:val="single" w:color="auto" w:sz="2" w:space="0"/>
              <w:bottom w:val="single" w:color="auto" w:sz="2" w:space="0"/>
              <w:right w:val="single" w:color="auto" w:sz="2" w:space="0"/>
            </w:tcBorders>
            <w:vAlign w:val="center"/>
          </w:tcPr>
          <w:p w14:paraId="7059464E">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BB1B9CD">
            <w:pPr>
              <w:spacing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753AEE08">
            <w:pPr>
              <w:spacing w:line="240" w:lineRule="exact"/>
              <w:rPr>
                <w:rFonts w:ascii="宋体" w:hAnsi="宋体" w:eastAsia="宋体" w:cs="宋体"/>
                <w:sz w:val="18"/>
                <w:szCs w:val="18"/>
              </w:rPr>
            </w:pPr>
            <w:r>
              <w:rPr>
                <w:rFonts w:ascii="宋体" w:hAnsi="宋体" w:eastAsia="宋体" w:cs="宋体"/>
                <w:sz w:val="18"/>
                <w:szCs w:val="18"/>
              </w:rPr>
              <w:t>投资设立</w:t>
            </w:r>
          </w:p>
        </w:tc>
      </w:tr>
      <w:tr w14:paraId="1943A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7FE88D9">
            <w:pPr>
              <w:spacing w:line="240" w:lineRule="exact"/>
              <w:rPr>
                <w:rFonts w:ascii="宋体" w:hAnsi="宋体" w:eastAsia="宋体" w:cs="宋体"/>
                <w:sz w:val="18"/>
                <w:szCs w:val="18"/>
              </w:rPr>
            </w:pPr>
            <w:r>
              <w:rPr>
                <w:rFonts w:ascii="宋体" w:hAnsi="宋体" w:eastAsia="宋体" w:cs="宋体"/>
                <w:sz w:val="18"/>
                <w:szCs w:val="18"/>
              </w:rPr>
              <w:t>浙江菁英创业服务有限公司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FD8F923">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223403C4">
            <w:pPr>
              <w:spacing w:line="240" w:lineRule="exact"/>
              <w:rPr>
                <w:rFonts w:ascii="宋体" w:hAnsi="宋体" w:eastAsia="宋体" w:cs="宋体"/>
                <w:sz w:val="18"/>
                <w:szCs w:val="18"/>
              </w:rPr>
            </w:pPr>
            <w:r>
              <w:rPr>
                <w:rFonts w:ascii="宋体" w:hAnsi="宋体" w:eastAsia="宋体" w:cs="宋体"/>
                <w:sz w:val="18"/>
                <w:szCs w:val="18"/>
              </w:rPr>
              <w:t>浙江省金华市</w:t>
            </w:r>
          </w:p>
        </w:tc>
        <w:tc>
          <w:tcPr>
            <w:tcW w:w="1205" w:type="dxa"/>
            <w:tcBorders>
              <w:top w:val="single" w:color="auto" w:sz="2" w:space="0"/>
              <w:left w:val="single" w:color="auto" w:sz="2" w:space="0"/>
              <w:bottom w:val="single" w:color="auto" w:sz="2" w:space="0"/>
              <w:right w:val="single" w:color="auto" w:sz="2" w:space="0"/>
            </w:tcBorders>
            <w:vAlign w:val="center"/>
          </w:tcPr>
          <w:p w14:paraId="598BD077">
            <w:pPr>
              <w:spacing w:line="240" w:lineRule="exact"/>
              <w:rPr>
                <w:rFonts w:ascii="宋体" w:hAnsi="宋体" w:eastAsia="宋体" w:cs="宋体"/>
                <w:sz w:val="18"/>
                <w:szCs w:val="18"/>
              </w:rPr>
            </w:pPr>
            <w:r>
              <w:rPr>
                <w:rFonts w:ascii="宋体" w:hAnsi="宋体" w:eastAsia="宋体" w:cs="宋体"/>
                <w:sz w:val="18"/>
                <w:szCs w:val="18"/>
              </w:rPr>
              <w:t>浙江省金华市</w:t>
            </w:r>
          </w:p>
        </w:tc>
        <w:tc>
          <w:tcPr>
            <w:tcW w:w="1205" w:type="dxa"/>
            <w:tcBorders>
              <w:top w:val="single" w:color="auto" w:sz="2" w:space="0"/>
              <w:left w:val="single" w:color="auto" w:sz="2" w:space="0"/>
              <w:bottom w:val="single" w:color="auto" w:sz="2" w:space="0"/>
              <w:right w:val="single" w:color="auto" w:sz="2" w:space="0"/>
            </w:tcBorders>
            <w:vAlign w:val="center"/>
          </w:tcPr>
          <w:p w14:paraId="367E9E56">
            <w:pPr>
              <w:spacing w:line="240" w:lineRule="exact"/>
              <w:rPr>
                <w:rFonts w:ascii="宋体" w:hAnsi="宋体" w:eastAsia="宋体" w:cs="宋体"/>
                <w:sz w:val="18"/>
                <w:szCs w:val="18"/>
              </w:rPr>
            </w:pPr>
            <w:r>
              <w:rPr>
                <w:rFonts w:ascii="宋体" w:hAnsi="宋体" w:eastAsia="宋体" w:cs="宋体"/>
                <w:sz w:val="18"/>
                <w:szCs w:val="18"/>
              </w:rPr>
              <w:t>商务服务业</w:t>
            </w:r>
          </w:p>
        </w:tc>
        <w:tc>
          <w:tcPr>
            <w:tcW w:w="1205" w:type="dxa"/>
            <w:tcBorders>
              <w:top w:val="single" w:color="auto" w:sz="2" w:space="0"/>
              <w:left w:val="single" w:color="auto" w:sz="2" w:space="0"/>
              <w:bottom w:val="single" w:color="auto" w:sz="2" w:space="0"/>
              <w:right w:val="single" w:color="auto" w:sz="2" w:space="0"/>
            </w:tcBorders>
            <w:vAlign w:val="center"/>
          </w:tcPr>
          <w:p w14:paraId="67DC1618">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2FFC368">
            <w:pPr>
              <w:spacing w:line="240" w:lineRule="exact"/>
              <w:jc w:val="right"/>
              <w:rPr>
                <w:rFonts w:ascii="宋体" w:hAnsi="宋体" w:eastAsia="宋体" w:cs="宋体"/>
                <w:sz w:val="18"/>
                <w:szCs w:val="18"/>
              </w:rPr>
            </w:pPr>
            <w:r>
              <w:rPr>
                <w:rFonts w:ascii="宋体" w:hAnsi="宋体" w:eastAsia="宋体" w:cs="宋体"/>
                <w:sz w:val="18"/>
                <w:szCs w:val="18"/>
              </w:rPr>
              <w:t>35.70%</w:t>
            </w:r>
          </w:p>
        </w:tc>
        <w:tc>
          <w:tcPr>
            <w:tcW w:w="1205" w:type="dxa"/>
            <w:tcBorders>
              <w:top w:val="single" w:color="auto" w:sz="2" w:space="0"/>
              <w:left w:val="single" w:color="auto" w:sz="2" w:space="0"/>
              <w:bottom w:val="single" w:color="auto" w:sz="2" w:space="0"/>
              <w:right w:val="single" w:color="auto" w:sz="2" w:space="0"/>
            </w:tcBorders>
            <w:vAlign w:val="center"/>
          </w:tcPr>
          <w:p w14:paraId="385A05BF">
            <w:pPr>
              <w:spacing w:line="240" w:lineRule="exact"/>
              <w:rPr>
                <w:rFonts w:ascii="宋体" w:hAnsi="宋体" w:eastAsia="宋体" w:cs="宋体"/>
                <w:sz w:val="18"/>
                <w:szCs w:val="18"/>
              </w:rPr>
            </w:pPr>
            <w:r>
              <w:rPr>
                <w:rFonts w:ascii="宋体" w:hAnsi="宋体" w:eastAsia="宋体" w:cs="宋体"/>
                <w:sz w:val="18"/>
                <w:szCs w:val="18"/>
              </w:rPr>
              <w:t>投资设立</w:t>
            </w:r>
          </w:p>
        </w:tc>
      </w:tr>
      <w:tr w14:paraId="17C0A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A606D17">
            <w:pPr>
              <w:spacing w:line="240" w:lineRule="exact"/>
              <w:rPr>
                <w:rFonts w:ascii="宋体" w:hAnsi="宋体" w:eastAsia="宋体" w:cs="宋体"/>
                <w:sz w:val="18"/>
                <w:szCs w:val="18"/>
              </w:rPr>
            </w:pPr>
            <w:r>
              <w:rPr>
                <w:rFonts w:ascii="宋体" w:hAnsi="宋体" w:eastAsia="宋体" w:cs="宋体"/>
                <w:sz w:val="18"/>
                <w:szCs w:val="18"/>
              </w:rPr>
              <w:t>淮北中新纺织有限公司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09EDFBD1">
            <w:pPr>
              <w:spacing w:line="240" w:lineRule="exact"/>
              <w:jc w:val="right"/>
              <w:rPr>
                <w:rFonts w:ascii="宋体" w:hAnsi="宋体" w:eastAsia="宋体" w:cs="宋体"/>
                <w:sz w:val="18"/>
                <w:szCs w:val="18"/>
              </w:rPr>
            </w:pPr>
            <w:r>
              <w:rPr>
                <w:rFonts w:ascii="宋体" w:hAnsi="宋体" w:eastAsia="宋体" w:cs="宋体"/>
                <w:sz w:val="18"/>
                <w:szCs w:val="18"/>
              </w:rPr>
              <w:t>200,000,000.00</w:t>
            </w:r>
          </w:p>
        </w:tc>
        <w:tc>
          <w:tcPr>
            <w:tcW w:w="1205" w:type="dxa"/>
            <w:tcBorders>
              <w:top w:val="single" w:color="auto" w:sz="2" w:space="0"/>
              <w:left w:val="single" w:color="auto" w:sz="2" w:space="0"/>
              <w:bottom w:val="single" w:color="auto" w:sz="2" w:space="0"/>
              <w:right w:val="single" w:color="auto" w:sz="2" w:space="0"/>
            </w:tcBorders>
            <w:vAlign w:val="center"/>
          </w:tcPr>
          <w:p w14:paraId="5EF36DA4">
            <w:pPr>
              <w:spacing w:line="240" w:lineRule="exac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03B87744">
            <w:pPr>
              <w:spacing w:line="240" w:lineRule="exac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187E5D2F">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79572D4D">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0E68B334">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FF4DA44">
            <w:pPr>
              <w:spacing w:line="240" w:lineRule="exact"/>
              <w:rPr>
                <w:rFonts w:ascii="宋体" w:hAnsi="宋体" w:eastAsia="宋体" w:cs="宋体"/>
                <w:sz w:val="18"/>
                <w:szCs w:val="18"/>
              </w:rPr>
            </w:pPr>
            <w:r>
              <w:rPr>
                <w:rFonts w:ascii="宋体" w:hAnsi="宋体" w:eastAsia="宋体" w:cs="宋体"/>
                <w:sz w:val="18"/>
                <w:szCs w:val="18"/>
              </w:rPr>
              <w:t>同一控制下企业合并</w:t>
            </w:r>
          </w:p>
        </w:tc>
      </w:tr>
      <w:tr w14:paraId="18E73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5A6B1AC">
            <w:pPr>
              <w:spacing w:line="240" w:lineRule="exact"/>
              <w:rPr>
                <w:rFonts w:ascii="宋体" w:hAnsi="宋体" w:eastAsia="宋体" w:cs="宋体"/>
                <w:sz w:val="18"/>
                <w:szCs w:val="18"/>
              </w:rPr>
            </w:pPr>
            <w:r>
              <w:rPr>
                <w:rFonts w:ascii="宋体" w:hAnsi="宋体" w:eastAsia="宋体" w:cs="宋体"/>
                <w:sz w:val="18"/>
                <w:szCs w:val="18"/>
              </w:rPr>
              <w:t>高可续（上海）棉花有限公司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D70E130">
            <w:pPr>
              <w:spacing w:line="240" w:lineRule="exact"/>
              <w:jc w:val="right"/>
              <w:rPr>
                <w:rFonts w:ascii="宋体" w:hAnsi="宋体" w:eastAsia="宋体" w:cs="宋体"/>
                <w:sz w:val="18"/>
                <w:szCs w:val="18"/>
              </w:rPr>
            </w:pPr>
            <w:r>
              <w:rPr>
                <w:rFonts w:ascii="宋体" w:hAnsi="宋体" w:eastAsia="宋体" w:cs="宋体"/>
                <w:sz w:val="18"/>
                <w:szCs w:val="18"/>
              </w:rPr>
              <w:t>1,000,000.00</w:t>
            </w:r>
          </w:p>
        </w:tc>
        <w:tc>
          <w:tcPr>
            <w:tcW w:w="1205" w:type="dxa"/>
            <w:tcBorders>
              <w:top w:val="single" w:color="auto" w:sz="2" w:space="0"/>
              <w:left w:val="single" w:color="auto" w:sz="2" w:space="0"/>
              <w:bottom w:val="single" w:color="auto" w:sz="2" w:space="0"/>
              <w:right w:val="single" w:color="auto" w:sz="2" w:space="0"/>
            </w:tcBorders>
            <w:vAlign w:val="center"/>
          </w:tcPr>
          <w:p w14:paraId="0FA14583">
            <w:pPr>
              <w:spacing w:line="240" w:lineRule="exact"/>
              <w:rPr>
                <w:rFonts w:ascii="宋体" w:hAnsi="宋体" w:eastAsia="宋体" w:cs="宋体"/>
                <w:sz w:val="18"/>
                <w:szCs w:val="18"/>
              </w:rPr>
            </w:pPr>
            <w:r>
              <w:rPr>
                <w:rFonts w:ascii="宋体" w:hAnsi="宋体" w:eastAsia="宋体" w:cs="宋体"/>
                <w:sz w:val="18"/>
                <w:szCs w:val="18"/>
              </w:rPr>
              <w:t>上海市</w:t>
            </w:r>
          </w:p>
        </w:tc>
        <w:tc>
          <w:tcPr>
            <w:tcW w:w="1205" w:type="dxa"/>
            <w:tcBorders>
              <w:top w:val="single" w:color="auto" w:sz="2" w:space="0"/>
              <w:left w:val="single" w:color="auto" w:sz="2" w:space="0"/>
              <w:bottom w:val="single" w:color="auto" w:sz="2" w:space="0"/>
              <w:right w:val="single" w:color="auto" w:sz="2" w:space="0"/>
            </w:tcBorders>
            <w:vAlign w:val="center"/>
          </w:tcPr>
          <w:p w14:paraId="64936D1A">
            <w:pPr>
              <w:spacing w:line="240" w:lineRule="exact"/>
              <w:rPr>
                <w:rFonts w:ascii="宋体" w:hAnsi="宋体" w:eastAsia="宋体" w:cs="宋体"/>
                <w:sz w:val="18"/>
                <w:szCs w:val="18"/>
              </w:rPr>
            </w:pPr>
            <w:r>
              <w:rPr>
                <w:rFonts w:ascii="宋体" w:hAnsi="宋体" w:eastAsia="宋体" w:cs="宋体"/>
                <w:sz w:val="18"/>
                <w:szCs w:val="18"/>
              </w:rPr>
              <w:t>上海市</w:t>
            </w:r>
          </w:p>
        </w:tc>
        <w:tc>
          <w:tcPr>
            <w:tcW w:w="1205" w:type="dxa"/>
            <w:tcBorders>
              <w:top w:val="single" w:color="auto" w:sz="2" w:space="0"/>
              <w:left w:val="single" w:color="auto" w:sz="2" w:space="0"/>
              <w:bottom w:val="single" w:color="auto" w:sz="2" w:space="0"/>
              <w:right w:val="single" w:color="auto" w:sz="2" w:space="0"/>
            </w:tcBorders>
            <w:vAlign w:val="center"/>
          </w:tcPr>
          <w:p w14:paraId="77C4E8BF">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14D2E7AB">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0B14D49F">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DAB105C">
            <w:pPr>
              <w:spacing w:line="240" w:lineRule="exact"/>
              <w:rPr>
                <w:rFonts w:ascii="宋体" w:hAnsi="宋体" w:eastAsia="宋体" w:cs="宋体"/>
                <w:sz w:val="18"/>
                <w:szCs w:val="18"/>
              </w:rPr>
            </w:pPr>
            <w:r>
              <w:rPr>
                <w:rFonts w:ascii="宋体" w:hAnsi="宋体" w:eastAsia="宋体" w:cs="宋体"/>
                <w:sz w:val="18"/>
                <w:szCs w:val="18"/>
              </w:rPr>
              <w:t>投资设立</w:t>
            </w:r>
          </w:p>
        </w:tc>
      </w:tr>
      <w:tr w14:paraId="600D8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F95A018">
            <w:pPr>
              <w:spacing w:line="240" w:lineRule="exact"/>
              <w:rPr>
                <w:rFonts w:ascii="宋体" w:hAnsi="宋体" w:eastAsia="宋体" w:cs="宋体"/>
                <w:sz w:val="18"/>
                <w:szCs w:val="18"/>
              </w:rPr>
            </w:pPr>
            <w:r>
              <w:rPr>
                <w:rFonts w:ascii="宋体" w:hAnsi="宋体" w:eastAsia="宋体" w:cs="宋体"/>
                <w:sz w:val="18"/>
                <w:szCs w:val="18"/>
              </w:rPr>
              <w:t>奎屯锦孚纺织有限公司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12DFFFD2">
            <w:pPr>
              <w:spacing w:line="240" w:lineRule="exact"/>
              <w:jc w:val="right"/>
              <w:rPr>
                <w:rFonts w:ascii="宋体" w:hAnsi="宋体" w:eastAsia="宋体" w:cs="宋体"/>
                <w:sz w:val="18"/>
                <w:szCs w:val="18"/>
              </w:rPr>
            </w:pPr>
            <w:r>
              <w:rPr>
                <w:rFonts w:ascii="宋体" w:hAnsi="宋体" w:eastAsia="宋体" w:cs="宋体"/>
                <w:sz w:val="18"/>
                <w:szCs w:val="18"/>
              </w:rPr>
              <w:t>230,343,900.00</w:t>
            </w:r>
          </w:p>
        </w:tc>
        <w:tc>
          <w:tcPr>
            <w:tcW w:w="1205" w:type="dxa"/>
            <w:tcBorders>
              <w:top w:val="single" w:color="auto" w:sz="2" w:space="0"/>
              <w:left w:val="single" w:color="auto" w:sz="2" w:space="0"/>
              <w:bottom w:val="single" w:color="auto" w:sz="2" w:space="0"/>
              <w:right w:val="single" w:color="auto" w:sz="2" w:space="0"/>
            </w:tcBorders>
            <w:vAlign w:val="center"/>
          </w:tcPr>
          <w:p w14:paraId="17EC750A">
            <w:pPr>
              <w:spacing w:line="240" w:lineRule="exact"/>
              <w:rPr>
                <w:rFonts w:ascii="宋体" w:hAnsi="宋体" w:eastAsia="宋体" w:cs="宋体"/>
                <w:sz w:val="18"/>
                <w:szCs w:val="18"/>
              </w:rPr>
            </w:pPr>
            <w:r>
              <w:rPr>
                <w:rFonts w:ascii="宋体" w:hAnsi="宋体" w:eastAsia="宋体" w:cs="宋体"/>
                <w:sz w:val="18"/>
                <w:szCs w:val="18"/>
              </w:rPr>
              <w:t>新疆奎屯市</w:t>
            </w:r>
          </w:p>
        </w:tc>
        <w:tc>
          <w:tcPr>
            <w:tcW w:w="1205" w:type="dxa"/>
            <w:tcBorders>
              <w:top w:val="single" w:color="auto" w:sz="2" w:space="0"/>
              <w:left w:val="single" w:color="auto" w:sz="2" w:space="0"/>
              <w:bottom w:val="single" w:color="auto" w:sz="2" w:space="0"/>
              <w:right w:val="single" w:color="auto" w:sz="2" w:space="0"/>
            </w:tcBorders>
            <w:vAlign w:val="center"/>
          </w:tcPr>
          <w:p w14:paraId="37F1A0FA">
            <w:pPr>
              <w:spacing w:line="240" w:lineRule="exact"/>
              <w:rPr>
                <w:rFonts w:ascii="宋体" w:hAnsi="宋体" w:eastAsia="宋体" w:cs="宋体"/>
                <w:sz w:val="18"/>
                <w:szCs w:val="18"/>
              </w:rPr>
            </w:pPr>
            <w:r>
              <w:rPr>
                <w:rFonts w:ascii="宋体" w:hAnsi="宋体" w:eastAsia="宋体" w:cs="宋体"/>
                <w:sz w:val="18"/>
                <w:szCs w:val="18"/>
              </w:rPr>
              <w:t>新疆奎屯市</w:t>
            </w:r>
          </w:p>
        </w:tc>
        <w:tc>
          <w:tcPr>
            <w:tcW w:w="1205" w:type="dxa"/>
            <w:tcBorders>
              <w:top w:val="single" w:color="auto" w:sz="2" w:space="0"/>
              <w:left w:val="single" w:color="auto" w:sz="2" w:space="0"/>
              <w:bottom w:val="single" w:color="auto" w:sz="2" w:space="0"/>
              <w:right w:val="single" w:color="auto" w:sz="2" w:space="0"/>
            </w:tcBorders>
            <w:vAlign w:val="center"/>
          </w:tcPr>
          <w:p w14:paraId="7BD223B1">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19BD8148">
            <w:pPr>
              <w:spacing w:line="240" w:lineRule="exact"/>
              <w:jc w:val="right"/>
              <w:rPr>
                <w:rFonts w:ascii="宋体" w:hAnsi="宋体" w:eastAsia="宋体" w:cs="宋体"/>
                <w:sz w:val="18"/>
                <w:szCs w:val="18"/>
              </w:rPr>
            </w:pPr>
            <w:r>
              <w:rPr>
                <w:rFonts w:ascii="宋体" w:hAnsi="宋体" w:eastAsia="宋体" w:cs="宋体"/>
                <w:sz w:val="18"/>
                <w:szCs w:val="18"/>
              </w:rPr>
              <w:t>67.00%</w:t>
            </w:r>
          </w:p>
        </w:tc>
        <w:tc>
          <w:tcPr>
            <w:tcW w:w="1205" w:type="dxa"/>
            <w:tcBorders>
              <w:top w:val="single" w:color="auto" w:sz="2" w:space="0"/>
              <w:left w:val="single" w:color="auto" w:sz="2" w:space="0"/>
              <w:bottom w:val="single" w:color="auto" w:sz="2" w:space="0"/>
              <w:right w:val="single" w:color="auto" w:sz="2" w:space="0"/>
            </w:tcBorders>
            <w:vAlign w:val="center"/>
          </w:tcPr>
          <w:p w14:paraId="540AED0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D8EEE17">
            <w:pPr>
              <w:spacing w:line="240" w:lineRule="exact"/>
              <w:rPr>
                <w:rFonts w:ascii="宋体" w:hAnsi="宋体" w:eastAsia="宋体" w:cs="宋体"/>
                <w:sz w:val="18"/>
                <w:szCs w:val="18"/>
              </w:rPr>
            </w:pPr>
            <w:r>
              <w:rPr>
                <w:rFonts w:ascii="宋体" w:hAnsi="宋体" w:eastAsia="宋体" w:cs="宋体"/>
                <w:sz w:val="18"/>
                <w:szCs w:val="18"/>
              </w:rPr>
              <w:t>非同一控制下企业合并</w:t>
            </w:r>
          </w:p>
        </w:tc>
      </w:tr>
      <w:tr w14:paraId="4A5EF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FB374A4">
            <w:pPr>
              <w:spacing w:line="240" w:lineRule="exact"/>
              <w:rPr>
                <w:rFonts w:ascii="宋体" w:hAnsi="宋体" w:eastAsia="宋体" w:cs="宋体"/>
                <w:sz w:val="18"/>
                <w:szCs w:val="18"/>
              </w:rPr>
            </w:pPr>
            <w:r>
              <w:rPr>
                <w:rFonts w:ascii="宋体" w:hAnsi="宋体" w:eastAsia="宋体" w:cs="宋体"/>
                <w:sz w:val="18"/>
                <w:szCs w:val="18"/>
              </w:rPr>
              <w:t>浙江果实设计有限公司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C1D9008">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66F83612">
            <w:pPr>
              <w:spacing w:line="240" w:lineRule="exact"/>
              <w:rPr>
                <w:rFonts w:ascii="宋体" w:hAnsi="宋体" w:eastAsia="宋体" w:cs="宋体"/>
                <w:sz w:val="18"/>
                <w:szCs w:val="18"/>
              </w:rPr>
            </w:pPr>
            <w:r>
              <w:rPr>
                <w:rFonts w:ascii="宋体" w:hAnsi="宋体" w:eastAsia="宋体" w:cs="宋体"/>
                <w:sz w:val="18"/>
                <w:szCs w:val="18"/>
              </w:rPr>
              <w:t>浙江省绍兴市</w:t>
            </w:r>
          </w:p>
        </w:tc>
        <w:tc>
          <w:tcPr>
            <w:tcW w:w="1205" w:type="dxa"/>
            <w:tcBorders>
              <w:top w:val="single" w:color="auto" w:sz="2" w:space="0"/>
              <w:left w:val="single" w:color="auto" w:sz="2" w:space="0"/>
              <w:bottom w:val="single" w:color="auto" w:sz="2" w:space="0"/>
              <w:right w:val="single" w:color="auto" w:sz="2" w:space="0"/>
            </w:tcBorders>
            <w:vAlign w:val="center"/>
          </w:tcPr>
          <w:p w14:paraId="12CD97F1">
            <w:pPr>
              <w:spacing w:line="240" w:lineRule="exact"/>
              <w:rPr>
                <w:rFonts w:ascii="宋体" w:hAnsi="宋体" w:eastAsia="宋体" w:cs="宋体"/>
                <w:sz w:val="18"/>
                <w:szCs w:val="18"/>
              </w:rPr>
            </w:pPr>
            <w:r>
              <w:rPr>
                <w:rFonts w:ascii="宋体" w:hAnsi="宋体" w:eastAsia="宋体" w:cs="宋体"/>
                <w:sz w:val="18"/>
                <w:szCs w:val="18"/>
              </w:rPr>
              <w:t>浙江省绍兴市</w:t>
            </w:r>
          </w:p>
        </w:tc>
        <w:tc>
          <w:tcPr>
            <w:tcW w:w="1205" w:type="dxa"/>
            <w:tcBorders>
              <w:top w:val="single" w:color="auto" w:sz="2" w:space="0"/>
              <w:left w:val="single" w:color="auto" w:sz="2" w:space="0"/>
              <w:bottom w:val="single" w:color="auto" w:sz="2" w:space="0"/>
              <w:right w:val="single" w:color="auto" w:sz="2" w:space="0"/>
            </w:tcBorders>
            <w:vAlign w:val="center"/>
          </w:tcPr>
          <w:p w14:paraId="58659BF4">
            <w:pPr>
              <w:spacing w:line="240" w:lineRule="exact"/>
              <w:rPr>
                <w:rFonts w:ascii="宋体" w:hAnsi="宋体" w:eastAsia="宋体" w:cs="宋体"/>
                <w:sz w:val="18"/>
                <w:szCs w:val="18"/>
              </w:rPr>
            </w:pPr>
            <w:r>
              <w:rPr>
                <w:rFonts w:ascii="宋体" w:hAnsi="宋体" w:eastAsia="宋体" w:cs="宋体"/>
                <w:sz w:val="18"/>
                <w:szCs w:val="18"/>
              </w:rPr>
              <w:t>科学研究和技术服务业</w:t>
            </w:r>
          </w:p>
        </w:tc>
        <w:tc>
          <w:tcPr>
            <w:tcW w:w="1205" w:type="dxa"/>
            <w:tcBorders>
              <w:top w:val="single" w:color="auto" w:sz="2" w:space="0"/>
              <w:left w:val="single" w:color="auto" w:sz="2" w:space="0"/>
              <w:bottom w:val="single" w:color="auto" w:sz="2" w:space="0"/>
              <w:right w:val="single" w:color="auto" w:sz="2" w:space="0"/>
            </w:tcBorders>
            <w:vAlign w:val="center"/>
          </w:tcPr>
          <w:p w14:paraId="55C400C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FFF38C2">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65470DE0">
            <w:pPr>
              <w:spacing w:line="240" w:lineRule="exact"/>
              <w:rPr>
                <w:rFonts w:ascii="宋体" w:hAnsi="宋体" w:eastAsia="宋体" w:cs="宋体"/>
                <w:sz w:val="18"/>
                <w:szCs w:val="18"/>
              </w:rPr>
            </w:pPr>
            <w:r>
              <w:rPr>
                <w:rFonts w:ascii="宋体" w:hAnsi="宋体" w:eastAsia="宋体" w:cs="宋体"/>
                <w:sz w:val="18"/>
                <w:szCs w:val="18"/>
              </w:rPr>
              <w:t>投资设立</w:t>
            </w:r>
          </w:p>
        </w:tc>
      </w:tr>
      <w:tr w14:paraId="7B181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C5178FA">
            <w:pPr>
              <w:spacing w:line="240" w:lineRule="exact"/>
              <w:rPr>
                <w:rFonts w:ascii="宋体" w:hAnsi="宋体" w:eastAsia="宋体" w:cs="宋体"/>
                <w:sz w:val="18"/>
                <w:szCs w:val="18"/>
              </w:rPr>
            </w:pPr>
            <w:r>
              <w:rPr>
                <w:rFonts w:ascii="宋体" w:hAnsi="宋体" w:eastAsia="宋体" w:cs="宋体"/>
                <w:sz w:val="18"/>
                <w:szCs w:val="18"/>
              </w:rPr>
              <w:t>浙江果实纺织科技有限公司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91944D4">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2FF3020D">
            <w:pPr>
              <w:spacing w:line="240" w:lineRule="exact"/>
              <w:rPr>
                <w:rFonts w:ascii="宋体" w:hAnsi="宋体" w:eastAsia="宋体" w:cs="宋体"/>
                <w:sz w:val="18"/>
                <w:szCs w:val="18"/>
              </w:rPr>
            </w:pPr>
            <w:r>
              <w:rPr>
                <w:rFonts w:ascii="宋体" w:hAnsi="宋体" w:eastAsia="宋体" w:cs="宋体"/>
                <w:sz w:val="18"/>
                <w:szCs w:val="18"/>
              </w:rPr>
              <w:t>浙江省绍兴市</w:t>
            </w:r>
          </w:p>
        </w:tc>
        <w:tc>
          <w:tcPr>
            <w:tcW w:w="1205" w:type="dxa"/>
            <w:tcBorders>
              <w:top w:val="single" w:color="auto" w:sz="2" w:space="0"/>
              <w:left w:val="single" w:color="auto" w:sz="2" w:space="0"/>
              <w:bottom w:val="single" w:color="auto" w:sz="2" w:space="0"/>
              <w:right w:val="single" w:color="auto" w:sz="2" w:space="0"/>
            </w:tcBorders>
            <w:vAlign w:val="center"/>
          </w:tcPr>
          <w:p w14:paraId="518E54F7">
            <w:pPr>
              <w:spacing w:line="240" w:lineRule="exact"/>
              <w:rPr>
                <w:rFonts w:ascii="宋体" w:hAnsi="宋体" w:eastAsia="宋体" w:cs="宋体"/>
                <w:sz w:val="18"/>
                <w:szCs w:val="18"/>
              </w:rPr>
            </w:pPr>
            <w:r>
              <w:rPr>
                <w:rFonts w:ascii="宋体" w:hAnsi="宋体" w:eastAsia="宋体" w:cs="宋体"/>
                <w:sz w:val="18"/>
                <w:szCs w:val="18"/>
              </w:rPr>
              <w:t>浙江省绍兴市</w:t>
            </w:r>
          </w:p>
        </w:tc>
        <w:tc>
          <w:tcPr>
            <w:tcW w:w="1205" w:type="dxa"/>
            <w:tcBorders>
              <w:top w:val="single" w:color="auto" w:sz="2" w:space="0"/>
              <w:left w:val="single" w:color="auto" w:sz="2" w:space="0"/>
              <w:bottom w:val="single" w:color="auto" w:sz="2" w:space="0"/>
              <w:right w:val="single" w:color="auto" w:sz="2" w:space="0"/>
            </w:tcBorders>
            <w:vAlign w:val="center"/>
          </w:tcPr>
          <w:p w14:paraId="58B4F1AA">
            <w:pPr>
              <w:spacing w:line="240" w:lineRule="exact"/>
              <w:rPr>
                <w:rFonts w:ascii="宋体" w:hAnsi="宋体" w:eastAsia="宋体" w:cs="宋体"/>
                <w:sz w:val="18"/>
                <w:szCs w:val="18"/>
              </w:rPr>
            </w:pPr>
            <w:r>
              <w:rPr>
                <w:rFonts w:ascii="宋体" w:hAnsi="宋体" w:eastAsia="宋体" w:cs="宋体"/>
                <w:sz w:val="18"/>
                <w:szCs w:val="18"/>
              </w:rPr>
              <w:t>科学研究和技术服务业</w:t>
            </w:r>
          </w:p>
        </w:tc>
        <w:tc>
          <w:tcPr>
            <w:tcW w:w="1205" w:type="dxa"/>
            <w:tcBorders>
              <w:top w:val="single" w:color="auto" w:sz="2" w:space="0"/>
              <w:left w:val="single" w:color="auto" w:sz="2" w:space="0"/>
              <w:bottom w:val="single" w:color="auto" w:sz="2" w:space="0"/>
              <w:right w:val="single" w:color="auto" w:sz="2" w:space="0"/>
            </w:tcBorders>
            <w:vAlign w:val="center"/>
          </w:tcPr>
          <w:p w14:paraId="630871F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CE5771D">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39EEAB84">
            <w:pPr>
              <w:spacing w:line="240" w:lineRule="exact"/>
              <w:rPr>
                <w:rFonts w:ascii="宋体" w:hAnsi="宋体" w:eastAsia="宋体" w:cs="宋体"/>
                <w:sz w:val="18"/>
                <w:szCs w:val="18"/>
              </w:rPr>
            </w:pPr>
            <w:r>
              <w:rPr>
                <w:rFonts w:ascii="宋体" w:hAnsi="宋体" w:eastAsia="宋体" w:cs="宋体"/>
                <w:sz w:val="18"/>
                <w:szCs w:val="18"/>
              </w:rPr>
              <w:t>投资设立</w:t>
            </w:r>
          </w:p>
        </w:tc>
      </w:tr>
      <w:tr w14:paraId="6E496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19016C6C">
            <w:pPr>
              <w:spacing w:line="240" w:lineRule="exact"/>
              <w:rPr>
                <w:rFonts w:ascii="宋体" w:hAnsi="宋体" w:eastAsia="宋体" w:cs="宋体"/>
                <w:sz w:val="18"/>
                <w:szCs w:val="18"/>
              </w:rPr>
            </w:pPr>
            <w:r>
              <w:rPr>
                <w:rFonts w:ascii="宋体" w:hAnsi="宋体" w:eastAsia="宋体" w:cs="宋体"/>
                <w:sz w:val="18"/>
                <w:szCs w:val="18"/>
              </w:rPr>
              <w:t>浙江其实科技有限公司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4A1879D">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250AE983">
            <w:pPr>
              <w:spacing w:line="240" w:lineRule="exact"/>
              <w:rPr>
                <w:rFonts w:ascii="宋体" w:hAnsi="宋体" w:eastAsia="宋体" w:cs="宋体"/>
                <w:sz w:val="18"/>
                <w:szCs w:val="18"/>
              </w:rPr>
            </w:pPr>
            <w:r>
              <w:rPr>
                <w:rFonts w:ascii="宋体" w:hAnsi="宋体" w:eastAsia="宋体" w:cs="宋体"/>
                <w:sz w:val="18"/>
                <w:szCs w:val="18"/>
              </w:rPr>
              <w:t>浙江省绍兴市</w:t>
            </w:r>
          </w:p>
        </w:tc>
        <w:tc>
          <w:tcPr>
            <w:tcW w:w="1205" w:type="dxa"/>
            <w:tcBorders>
              <w:top w:val="single" w:color="auto" w:sz="2" w:space="0"/>
              <w:left w:val="single" w:color="auto" w:sz="2" w:space="0"/>
              <w:bottom w:val="single" w:color="auto" w:sz="2" w:space="0"/>
              <w:right w:val="single" w:color="auto" w:sz="2" w:space="0"/>
            </w:tcBorders>
            <w:vAlign w:val="center"/>
          </w:tcPr>
          <w:p w14:paraId="319D8A40">
            <w:pPr>
              <w:spacing w:line="240" w:lineRule="exact"/>
              <w:rPr>
                <w:rFonts w:ascii="宋体" w:hAnsi="宋体" w:eastAsia="宋体" w:cs="宋体"/>
                <w:sz w:val="18"/>
                <w:szCs w:val="18"/>
              </w:rPr>
            </w:pPr>
            <w:r>
              <w:rPr>
                <w:rFonts w:ascii="宋体" w:hAnsi="宋体" w:eastAsia="宋体" w:cs="宋体"/>
                <w:sz w:val="18"/>
                <w:szCs w:val="18"/>
              </w:rPr>
              <w:t>浙江省绍兴市</w:t>
            </w:r>
          </w:p>
        </w:tc>
        <w:tc>
          <w:tcPr>
            <w:tcW w:w="1205" w:type="dxa"/>
            <w:tcBorders>
              <w:top w:val="single" w:color="auto" w:sz="2" w:space="0"/>
              <w:left w:val="single" w:color="auto" w:sz="2" w:space="0"/>
              <w:bottom w:val="single" w:color="auto" w:sz="2" w:space="0"/>
              <w:right w:val="single" w:color="auto" w:sz="2" w:space="0"/>
            </w:tcBorders>
            <w:vAlign w:val="center"/>
          </w:tcPr>
          <w:p w14:paraId="5D9A3EA1">
            <w:pPr>
              <w:spacing w:line="240" w:lineRule="exact"/>
              <w:rPr>
                <w:rFonts w:ascii="宋体" w:hAnsi="宋体" w:eastAsia="宋体" w:cs="宋体"/>
                <w:sz w:val="18"/>
                <w:szCs w:val="18"/>
              </w:rPr>
            </w:pPr>
            <w:r>
              <w:rPr>
                <w:rFonts w:ascii="宋体" w:hAnsi="宋体" w:eastAsia="宋体" w:cs="宋体"/>
                <w:sz w:val="18"/>
                <w:szCs w:val="18"/>
              </w:rPr>
              <w:t>科学研究和技术服务业</w:t>
            </w:r>
          </w:p>
        </w:tc>
        <w:tc>
          <w:tcPr>
            <w:tcW w:w="1205" w:type="dxa"/>
            <w:tcBorders>
              <w:top w:val="single" w:color="auto" w:sz="2" w:space="0"/>
              <w:left w:val="single" w:color="auto" w:sz="2" w:space="0"/>
              <w:bottom w:val="single" w:color="auto" w:sz="2" w:space="0"/>
              <w:right w:val="single" w:color="auto" w:sz="2" w:space="0"/>
            </w:tcBorders>
            <w:vAlign w:val="center"/>
          </w:tcPr>
          <w:p w14:paraId="58C711E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A5BCC33">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0C6E8A19">
            <w:pPr>
              <w:spacing w:line="240" w:lineRule="exact"/>
              <w:rPr>
                <w:rFonts w:ascii="宋体" w:hAnsi="宋体" w:eastAsia="宋体" w:cs="宋体"/>
                <w:sz w:val="18"/>
                <w:szCs w:val="18"/>
              </w:rPr>
            </w:pPr>
            <w:r>
              <w:rPr>
                <w:rFonts w:ascii="宋体" w:hAnsi="宋体" w:eastAsia="宋体" w:cs="宋体"/>
                <w:sz w:val="18"/>
                <w:szCs w:val="18"/>
              </w:rPr>
              <w:t>投资设立</w:t>
            </w:r>
          </w:p>
        </w:tc>
      </w:tr>
      <w:tr w14:paraId="15C0B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27459BC">
            <w:pPr>
              <w:spacing w:line="240" w:lineRule="exact"/>
              <w:rPr>
                <w:rFonts w:ascii="宋体" w:hAnsi="宋体" w:eastAsia="宋体" w:cs="宋体"/>
                <w:sz w:val="18"/>
                <w:szCs w:val="18"/>
              </w:rPr>
            </w:pPr>
            <w:r>
              <w:rPr>
                <w:rFonts w:ascii="宋体" w:hAnsi="宋体" w:eastAsia="宋体" w:cs="宋体"/>
                <w:sz w:val="18"/>
                <w:szCs w:val="18"/>
              </w:rPr>
              <w:t>新疆华孚宏丰农业开发有限公司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1B5414D4">
            <w:pPr>
              <w:spacing w:line="240" w:lineRule="exact"/>
              <w:jc w:val="right"/>
              <w:rPr>
                <w:rFonts w:ascii="宋体" w:hAnsi="宋体" w:eastAsia="宋体" w:cs="宋体"/>
                <w:sz w:val="18"/>
                <w:szCs w:val="18"/>
              </w:rPr>
            </w:pPr>
            <w:r>
              <w:rPr>
                <w:rFonts w:ascii="宋体" w:hAnsi="宋体" w:eastAsia="宋体" w:cs="宋体"/>
                <w:sz w:val="18"/>
                <w:szCs w:val="18"/>
              </w:rPr>
              <w:t>50,000,000.00</w:t>
            </w:r>
          </w:p>
        </w:tc>
        <w:tc>
          <w:tcPr>
            <w:tcW w:w="1205" w:type="dxa"/>
            <w:tcBorders>
              <w:top w:val="single" w:color="auto" w:sz="2" w:space="0"/>
              <w:left w:val="single" w:color="auto" w:sz="2" w:space="0"/>
              <w:bottom w:val="single" w:color="auto" w:sz="2" w:space="0"/>
              <w:right w:val="single" w:color="auto" w:sz="2" w:space="0"/>
            </w:tcBorders>
            <w:vAlign w:val="center"/>
          </w:tcPr>
          <w:p w14:paraId="73E601A0">
            <w:pPr>
              <w:spacing w:line="240" w:lineRule="exact"/>
              <w:rPr>
                <w:rFonts w:ascii="宋体" w:hAnsi="宋体" w:eastAsia="宋体" w:cs="宋体"/>
                <w:sz w:val="18"/>
                <w:szCs w:val="18"/>
              </w:rPr>
            </w:pPr>
            <w:r>
              <w:rPr>
                <w:rFonts w:ascii="宋体" w:hAnsi="宋体" w:eastAsia="宋体" w:cs="宋体"/>
                <w:sz w:val="18"/>
                <w:szCs w:val="18"/>
              </w:rPr>
              <w:t>新疆维吾尔自治区阿克苏地区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7FEEBC79">
            <w:pPr>
              <w:spacing w:line="240" w:lineRule="exact"/>
              <w:rPr>
                <w:rFonts w:ascii="宋体" w:hAnsi="宋体" w:eastAsia="宋体" w:cs="宋体"/>
                <w:sz w:val="18"/>
                <w:szCs w:val="18"/>
              </w:rPr>
            </w:pPr>
            <w:r>
              <w:rPr>
                <w:rFonts w:ascii="宋体" w:hAnsi="宋体" w:eastAsia="宋体" w:cs="宋体"/>
                <w:sz w:val="18"/>
                <w:szCs w:val="18"/>
              </w:rPr>
              <w:t>新疆维吾尔自治区阿克苏地区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24D3C45B">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1BEE0C27">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421CFD5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8C97C6F">
            <w:pPr>
              <w:spacing w:line="240" w:lineRule="exact"/>
              <w:rPr>
                <w:rFonts w:ascii="宋体" w:hAnsi="宋体" w:eastAsia="宋体" w:cs="宋体"/>
                <w:sz w:val="18"/>
                <w:szCs w:val="18"/>
              </w:rPr>
            </w:pPr>
            <w:r>
              <w:rPr>
                <w:rFonts w:ascii="宋体" w:hAnsi="宋体" w:eastAsia="宋体" w:cs="宋体"/>
                <w:sz w:val="18"/>
                <w:szCs w:val="18"/>
              </w:rPr>
              <w:t>投资设立</w:t>
            </w:r>
          </w:p>
        </w:tc>
      </w:tr>
      <w:tr w14:paraId="5328D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F7ED52E">
            <w:pPr>
              <w:spacing w:line="240" w:lineRule="exact"/>
              <w:rPr>
                <w:rFonts w:ascii="宋体" w:hAnsi="宋体" w:eastAsia="宋体" w:cs="宋体"/>
                <w:sz w:val="18"/>
                <w:szCs w:val="18"/>
              </w:rPr>
            </w:pPr>
            <w:r>
              <w:rPr>
                <w:rFonts w:ascii="宋体" w:hAnsi="宋体" w:eastAsia="宋体" w:cs="宋体"/>
                <w:sz w:val="18"/>
                <w:szCs w:val="18"/>
              </w:rPr>
              <w:t>新疆盛孚棉业有限公司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710115E7">
            <w:pPr>
              <w:spacing w:line="240" w:lineRule="exact"/>
              <w:jc w:val="right"/>
              <w:rPr>
                <w:rFonts w:ascii="宋体" w:hAnsi="宋体" w:eastAsia="宋体" w:cs="宋体"/>
                <w:sz w:val="18"/>
                <w:szCs w:val="18"/>
              </w:rPr>
            </w:pPr>
            <w:r>
              <w:rPr>
                <w:rFonts w:ascii="宋体" w:hAnsi="宋体" w:eastAsia="宋体" w:cs="宋体"/>
                <w:sz w:val="18"/>
                <w:szCs w:val="18"/>
              </w:rPr>
              <w:t>500,000.00</w:t>
            </w:r>
          </w:p>
        </w:tc>
        <w:tc>
          <w:tcPr>
            <w:tcW w:w="1205" w:type="dxa"/>
            <w:tcBorders>
              <w:top w:val="single" w:color="auto" w:sz="2" w:space="0"/>
              <w:left w:val="single" w:color="auto" w:sz="2" w:space="0"/>
              <w:bottom w:val="single" w:color="auto" w:sz="2" w:space="0"/>
              <w:right w:val="single" w:color="auto" w:sz="2" w:space="0"/>
            </w:tcBorders>
            <w:vAlign w:val="center"/>
          </w:tcPr>
          <w:p w14:paraId="30BE1119">
            <w:pPr>
              <w:spacing w:line="240" w:lineRule="exact"/>
              <w:rPr>
                <w:rFonts w:ascii="宋体" w:hAnsi="宋体" w:eastAsia="宋体" w:cs="宋体"/>
                <w:sz w:val="18"/>
                <w:szCs w:val="18"/>
              </w:rPr>
            </w:pPr>
            <w:r>
              <w:rPr>
                <w:rFonts w:ascii="宋体" w:hAnsi="宋体" w:eastAsia="宋体" w:cs="宋体"/>
                <w:sz w:val="18"/>
                <w:szCs w:val="18"/>
              </w:rPr>
              <w:t>新疆维吾尔自治区喀什地区</w:t>
            </w:r>
          </w:p>
        </w:tc>
        <w:tc>
          <w:tcPr>
            <w:tcW w:w="1205" w:type="dxa"/>
            <w:tcBorders>
              <w:top w:val="single" w:color="auto" w:sz="2" w:space="0"/>
              <w:left w:val="single" w:color="auto" w:sz="2" w:space="0"/>
              <w:bottom w:val="single" w:color="auto" w:sz="2" w:space="0"/>
              <w:right w:val="single" w:color="auto" w:sz="2" w:space="0"/>
            </w:tcBorders>
            <w:vAlign w:val="center"/>
          </w:tcPr>
          <w:p w14:paraId="5AA554D2">
            <w:pPr>
              <w:spacing w:line="240" w:lineRule="exact"/>
              <w:rPr>
                <w:rFonts w:ascii="宋体" w:hAnsi="宋体" w:eastAsia="宋体" w:cs="宋体"/>
                <w:sz w:val="18"/>
                <w:szCs w:val="18"/>
              </w:rPr>
            </w:pPr>
            <w:r>
              <w:rPr>
                <w:rFonts w:ascii="宋体" w:hAnsi="宋体" w:eastAsia="宋体" w:cs="宋体"/>
                <w:sz w:val="18"/>
                <w:szCs w:val="18"/>
              </w:rPr>
              <w:t>新疆维吾尔自治区喀什地区</w:t>
            </w:r>
          </w:p>
        </w:tc>
        <w:tc>
          <w:tcPr>
            <w:tcW w:w="1205" w:type="dxa"/>
            <w:tcBorders>
              <w:top w:val="single" w:color="auto" w:sz="2" w:space="0"/>
              <w:left w:val="single" w:color="auto" w:sz="2" w:space="0"/>
              <w:bottom w:val="single" w:color="auto" w:sz="2" w:space="0"/>
              <w:right w:val="single" w:color="auto" w:sz="2" w:space="0"/>
            </w:tcBorders>
            <w:vAlign w:val="center"/>
          </w:tcPr>
          <w:p w14:paraId="185461F0">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0745088F">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B97CE57">
            <w:pPr>
              <w:spacing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0955C54F">
            <w:pPr>
              <w:spacing w:line="240" w:lineRule="exact"/>
              <w:rPr>
                <w:rFonts w:ascii="宋体" w:hAnsi="宋体" w:eastAsia="宋体" w:cs="宋体"/>
                <w:sz w:val="18"/>
                <w:szCs w:val="18"/>
              </w:rPr>
            </w:pPr>
            <w:r>
              <w:rPr>
                <w:rFonts w:ascii="宋体" w:hAnsi="宋体" w:eastAsia="宋体" w:cs="宋体"/>
                <w:sz w:val="18"/>
                <w:szCs w:val="18"/>
              </w:rPr>
              <w:t>投资设立</w:t>
            </w:r>
          </w:p>
        </w:tc>
      </w:tr>
      <w:tr w14:paraId="511A7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DD67582">
            <w:pPr>
              <w:spacing w:line="240" w:lineRule="exact"/>
              <w:rPr>
                <w:rFonts w:ascii="宋体" w:hAnsi="宋体" w:eastAsia="宋体" w:cs="宋体"/>
                <w:sz w:val="18"/>
                <w:szCs w:val="18"/>
              </w:rPr>
            </w:pPr>
            <w:r>
              <w:rPr>
                <w:rFonts w:ascii="宋体" w:hAnsi="宋体" w:eastAsia="宋体" w:cs="宋体"/>
                <w:sz w:val="18"/>
                <w:szCs w:val="18"/>
              </w:rPr>
              <w:t>淮北华孚新能源有限公司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42FEA01">
            <w:pPr>
              <w:spacing w:line="240" w:lineRule="exact"/>
              <w:jc w:val="right"/>
              <w:rPr>
                <w:rFonts w:ascii="宋体" w:hAnsi="宋体" w:eastAsia="宋体" w:cs="宋体"/>
                <w:sz w:val="18"/>
                <w:szCs w:val="18"/>
              </w:rPr>
            </w:pPr>
            <w:r>
              <w:rPr>
                <w:rFonts w:ascii="宋体" w:hAnsi="宋体" w:eastAsia="宋体" w:cs="宋体"/>
                <w:sz w:val="18"/>
                <w:szCs w:val="18"/>
              </w:rPr>
              <w:t>5,000,000.00</w:t>
            </w:r>
          </w:p>
        </w:tc>
        <w:tc>
          <w:tcPr>
            <w:tcW w:w="1205" w:type="dxa"/>
            <w:tcBorders>
              <w:top w:val="single" w:color="auto" w:sz="2" w:space="0"/>
              <w:left w:val="single" w:color="auto" w:sz="2" w:space="0"/>
              <w:bottom w:val="single" w:color="auto" w:sz="2" w:space="0"/>
              <w:right w:val="single" w:color="auto" w:sz="2" w:space="0"/>
            </w:tcBorders>
            <w:vAlign w:val="center"/>
          </w:tcPr>
          <w:p w14:paraId="0B6167EB">
            <w:pPr>
              <w:spacing w:line="240" w:lineRule="exac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050C0010">
            <w:pPr>
              <w:spacing w:line="240" w:lineRule="exact"/>
              <w:rPr>
                <w:rFonts w:ascii="宋体" w:hAnsi="宋体" w:eastAsia="宋体" w:cs="宋体"/>
                <w:sz w:val="18"/>
                <w:szCs w:val="18"/>
              </w:rPr>
            </w:pPr>
            <w:r>
              <w:rPr>
                <w:rFonts w:ascii="宋体" w:hAnsi="宋体" w:eastAsia="宋体" w:cs="宋体"/>
                <w:sz w:val="18"/>
                <w:szCs w:val="18"/>
              </w:rPr>
              <w:t>安徽省淮北市</w:t>
            </w:r>
          </w:p>
        </w:tc>
        <w:tc>
          <w:tcPr>
            <w:tcW w:w="1205" w:type="dxa"/>
            <w:tcBorders>
              <w:top w:val="single" w:color="auto" w:sz="2" w:space="0"/>
              <w:left w:val="single" w:color="auto" w:sz="2" w:space="0"/>
              <w:bottom w:val="single" w:color="auto" w:sz="2" w:space="0"/>
              <w:right w:val="single" w:color="auto" w:sz="2" w:space="0"/>
            </w:tcBorders>
            <w:vAlign w:val="center"/>
          </w:tcPr>
          <w:p w14:paraId="69CD6555">
            <w:pPr>
              <w:spacing w:line="240" w:lineRule="exact"/>
              <w:rPr>
                <w:rFonts w:ascii="宋体" w:hAnsi="宋体" w:eastAsia="宋体" w:cs="宋体"/>
                <w:sz w:val="18"/>
                <w:szCs w:val="18"/>
              </w:rPr>
            </w:pPr>
            <w:r>
              <w:rPr>
                <w:rFonts w:ascii="宋体" w:hAnsi="宋体" w:eastAsia="宋体" w:cs="宋体"/>
                <w:sz w:val="18"/>
                <w:szCs w:val="18"/>
              </w:rPr>
              <w:t>纺织制造业</w:t>
            </w:r>
          </w:p>
        </w:tc>
        <w:tc>
          <w:tcPr>
            <w:tcW w:w="1205" w:type="dxa"/>
            <w:tcBorders>
              <w:top w:val="single" w:color="auto" w:sz="2" w:space="0"/>
              <w:left w:val="single" w:color="auto" w:sz="2" w:space="0"/>
              <w:bottom w:val="single" w:color="auto" w:sz="2" w:space="0"/>
              <w:right w:val="single" w:color="auto" w:sz="2" w:space="0"/>
            </w:tcBorders>
            <w:vAlign w:val="center"/>
          </w:tcPr>
          <w:p w14:paraId="2AFAE1A1">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5FED9B31">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8219BC5">
            <w:pPr>
              <w:spacing w:line="240" w:lineRule="exact"/>
              <w:rPr>
                <w:rFonts w:ascii="宋体" w:hAnsi="宋体" w:eastAsia="宋体" w:cs="宋体"/>
                <w:sz w:val="18"/>
                <w:szCs w:val="18"/>
              </w:rPr>
            </w:pPr>
            <w:r>
              <w:rPr>
                <w:rFonts w:ascii="宋体" w:hAnsi="宋体" w:eastAsia="宋体" w:cs="宋体"/>
                <w:sz w:val="18"/>
                <w:szCs w:val="18"/>
              </w:rPr>
              <w:t>投资设立</w:t>
            </w:r>
          </w:p>
        </w:tc>
      </w:tr>
      <w:tr w14:paraId="5FAAE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6196706">
            <w:pPr>
              <w:spacing w:line="240" w:lineRule="exact"/>
              <w:rPr>
                <w:rFonts w:ascii="宋体" w:hAnsi="宋体" w:eastAsia="宋体" w:cs="宋体"/>
                <w:sz w:val="18"/>
                <w:szCs w:val="18"/>
              </w:rPr>
            </w:pPr>
            <w:r>
              <w:rPr>
                <w:rFonts w:ascii="宋体" w:hAnsi="宋体" w:eastAsia="宋体" w:cs="宋体"/>
                <w:sz w:val="18"/>
                <w:szCs w:val="18"/>
              </w:rPr>
              <w:t>平湖市科新贸易有限公司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0C9F1B9">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6C52617D">
            <w:pPr>
              <w:spacing w:line="240" w:lineRule="exact"/>
              <w:rPr>
                <w:rFonts w:ascii="宋体" w:hAnsi="宋体" w:eastAsia="宋体" w:cs="宋体"/>
                <w:sz w:val="18"/>
                <w:szCs w:val="18"/>
              </w:rPr>
            </w:pPr>
            <w:r>
              <w:rPr>
                <w:rFonts w:ascii="宋体" w:hAnsi="宋体" w:eastAsia="宋体" w:cs="宋体"/>
                <w:sz w:val="18"/>
                <w:szCs w:val="18"/>
              </w:rPr>
              <w:t>浙江省嘉兴市</w:t>
            </w:r>
          </w:p>
        </w:tc>
        <w:tc>
          <w:tcPr>
            <w:tcW w:w="1205" w:type="dxa"/>
            <w:tcBorders>
              <w:top w:val="single" w:color="auto" w:sz="2" w:space="0"/>
              <w:left w:val="single" w:color="auto" w:sz="2" w:space="0"/>
              <w:bottom w:val="single" w:color="auto" w:sz="2" w:space="0"/>
              <w:right w:val="single" w:color="auto" w:sz="2" w:space="0"/>
            </w:tcBorders>
            <w:vAlign w:val="center"/>
          </w:tcPr>
          <w:p w14:paraId="2927AA05">
            <w:pPr>
              <w:spacing w:line="240" w:lineRule="exact"/>
              <w:rPr>
                <w:rFonts w:ascii="宋体" w:hAnsi="宋体" w:eastAsia="宋体" w:cs="宋体"/>
                <w:sz w:val="18"/>
                <w:szCs w:val="18"/>
              </w:rPr>
            </w:pPr>
            <w:r>
              <w:rPr>
                <w:rFonts w:ascii="宋体" w:hAnsi="宋体" w:eastAsia="宋体" w:cs="宋体"/>
                <w:sz w:val="18"/>
                <w:szCs w:val="18"/>
              </w:rPr>
              <w:t>浙江省嘉兴市</w:t>
            </w:r>
          </w:p>
        </w:tc>
        <w:tc>
          <w:tcPr>
            <w:tcW w:w="1205" w:type="dxa"/>
            <w:tcBorders>
              <w:top w:val="single" w:color="auto" w:sz="2" w:space="0"/>
              <w:left w:val="single" w:color="auto" w:sz="2" w:space="0"/>
              <w:bottom w:val="single" w:color="auto" w:sz="2" w:space="0"/>
              <w:right w:val="single" w:color="auto" w:sz="2" w:space="0"/>
            </w:tcBorders>
            <w:vAlign w:val="center"/>
          </w:tcPr>
          <w:p w14:paraId="6ECB85AA">
            <w:pPr>
              <w:spacing w:line="240" w:lineRule="exact"/>
              <w:rPr>
                <w:rFonts w:ascii="宋体" w:hAnsi="宋体" w:eastAsia="宋体" w:cs="宋体"/>
                <w:sz w:val="18"/>
                <w:szCs w:val="18"/>
              </w:rPr>
            </w:pPr>
            <w:r>
              <w:rPr>
                <w:rFonts w:ascii="宋体" w:hAnsi="宋体" w:eastAsia="宋体" w:cs="宋体"/>
                <w:sz w:val="18"/>
                <w:szCs w:val="18"/>
              </w:rPr>
              <w:t>物资贸易业</w:t>
            </w:r>
          </w:p>
        </w:tc>
        <w:tc>
          <w:tcPr>
            <w:tcW w:w="1205" w:type="dxa"/>
            <w:tcBorders>
              <w:top w:val="single" w:color="auto" w:sz="2" w:space="0"/>
              <w:left w:val="single" w:color="auto" w:sz="2" w:space="0"/>
              <w:bottom w:val="single" w:color="auto" w:sz="2" w:space="0"/>
              <w:right w:val="single" w:color="auto" w:sz="2" w:space="0"/>
            </w:tcBorders>
            <w:vAlign w:val="center"/>
          </w:tcPr>
          <w:p w14:paraId="278D31AA">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AAE4F5F">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573CB47B">
            <w:pPr>
              <w:spacing w:line="240" w:lineRule="exact"/>
              <w:rPr>
                <w:rFonts w:ascii="宋体" w:hAnsi="宋体" w:eastAsia="宋体" w:cs="宋体"/>
                <w:sz w:val="18"/>
                <w:szCs w:val="18"/>
              </w:rPr>
            </w:pPr>
            <w:r>
              <w:rPr>
                <w:rFonts w:ascii="宋体" w:hAnsi="宋体" w:eastAsia="宋体" w:cs="宋体"/>
                <w:sz w:val="18"/>
                <w:szCs w:val="18"/>
              </w:rPr>
              <w:t>投资设立</w:t>
            </w:r>
          </w:p>
        </w:tc>
      </w:tr>
      <w:tr w14:paraId="2C804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3D90BD6">
            <w:pPr>
              <w:spacing w:line="240" w:lineRule="exact"/>
              <w:rPr>
                <w:rFonts w:ascii="宋体" w:hAnsi="宋体" w:eastAsia="宋体" w:cs="宋体"/>
                <w:sz w:val="18"/>
                <w:szCs w:val="18"/>
              </w:rPr>
            </w:pPr>
            <w:r>
              <w:rPr>
                <w:rFonts w:ascii="宋体" w:hAnsi="宋体" w:eastAsia="宋体" w:cs="宋体"/>
                <w:sz w:val="18"/>
                <w:szCs w:val="18"/>
              </w:rPr>
              <w:t>新疆华孚种业科技股份有限公司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6A68609">
            <w:pPr>
              <w:spacing w:line="240" w:lineRule="exact"/>
              <w:jc w:val="right"/>
              <w:rPr>
                <w:rFonts w:ascii="宋体" w:hAnsi="宋体" w:eastAsia="宋体" w:cs="宋体"/>
                <w:sz w:val="18"/>
                <w:szCs w:val="18"/>
              </w:rPr>
            </w:pPr>
            <w:r>
              <w:rPr>
                <w:rFonts w:ascii="宋体" w:hAnsi="宋体" w:eastAsia="宋体" w:cs="宋体"/>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14:paraId="78C648A3">
            <w:pPr>
              <w:spacing w:line="240" w:lineRule="exact"/>
              <w:rPr>
                <w:rFonts w:ascii="宋体" w:hAnsi="宋体" w:eastAsia="宋体" w:cs="宋体"/>
                <w:sz w:val="18"/>
                <w:szCs w:val="18"/>
              </w:rPr>
            </w:pPr>
            <w:r>
              <w:rPr>
                <w:rFonts w:ascii="宋体" w:hAnsi="宋体" w:eastAsia="宋体" w:cs="宋体"/>
                <w:sz w:val="18"/>
                <w:szCs w:val="18"/>
              </w:rPr>
              <w:t>新疆昌吉</w:t>
            </w:r>
          </w:p>
        </w:tc>
        <w:tc>
          <w:tcPr>
            <w:tcW w:w="1205" w:type="dxa"/>
            <w:tcBorders>
              <w:top w:val="single" w:color="auto" w:sz="2" w:space="0"/>
              <w:left w:val="single" w:color="auto" w:sz="2" w:space="0"/>
              <w:bottom w:val="single" w:color="auto" w:sz="2" w:space="0"/>
              <w:right w:val="single" w:color="auto" w:sz="2" w:space="0"/>
            </w:tcBorders>
            <w:vAlign w:val="center"/>
          </w:tcPr>
          <w:p w14:paraId="3C21E4A1">
            <w:pPr>
              <w:spacing w:line="240" w:lineRule="exact"/>
              <w:rPr>
                <w:rFonts w:ascii="宋体" w:hAnsi="宋体" w:eastAsia="宋体" w:cs="宋体"/>
                <w:sz w:val="18"/>
                <w:szCs w:val="18"/>
              </w:rPr>
            </w:pPr>
            <w:r>
              <w:rPr>
                <w:rFonts w:ascii="宋体" w:hAnsi="宋体" w:eastAsia="宋体" w:cs="宋体"/>
                <w:sz w:val="18"/>
                <w:szCs w:val="18"/>
              </w:rPr>
              <w:t>新疆昌吉</w:t>
            </w:r>
          </w:p>
        </w:tc>
        <w:tc>
          <w:tcPr>
            <w:tcW w:w="1205" w:type="dxa"/>
            <w:tcBorders>
              <w:top w:val="single" w:color="auto" w:sz="2" w:space="0"/>
              <w:left w:val="single" w:color="auto" w:sz="2" w:space="0"/>
              <w:bottom w:val="single" w:color="auto" w:sz="2" w:space="0"/>
              <w:right w:val="single" w:color="auto" w:sz="2" w:space="0"/>
            </w:tcBorders>
            <w:vAlign w:val="center"/>
          </w:tcPr>
          <w:p w14:paraId="61F7CC88">
            <w:pPr>
              <w:spacing w:line="240" w:lineRule="exact"/>
              <w:rPr>
                <w:rFonts w:ascii="宋体" w:hAnsi="宋体" w:eastAsia="宋体" w:cs="宋体"/>
                <w:sz w:val="18"/>
                <w:szCs w:val="18"/>
              </w:rPr>
            </w:pPr>
            <w:r>
              <w:rPr>
                <w:rFonts w:ascii="宋体" w:hAnsi="宋体" w:eastAsia="宋体" w:cs="宋体"/>
                <w:sz w:val="18"/>
                <w:szCs w:val="18"/>
              </w:rPr>
              <w:t>批发业</w:t>
            </w:r>
          </w:p>
        </w:tc>
        <w:tc>
          <w:tcPr>
            <w:tcW w:w="1205" w:type="dxa"/>
            <w:tcBorders>
              <w:top w:val="single" w:color="auto" w:sz="2" w:space="0"/>
              <w:left w:val="single" w:color="auto" w:sz="2" w:space="0"/>
              <w:bottom w:val="single" w:color="auto" w:sz="2" w:space="0"/>
              <w:right w:val="single" w:color="auto" w:sz="2" w:space="0"/>
            </w:tcBorders>
            <w:vAlign w:val="center"/>
          </w:tcPr>
          <w:p w14:paraId="623A397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64970AF">
            <w:pPr>
              <w:spacing w:line="240" w:lineRule="exact"/>
              <w:jc w:val="right"/>
              <w:rPr>
                <w:rFonts w:ascii="宋体" w:hAnsi="宋体" w:eastAsia="宋体" w:cs="宋体"/>
                <w:sz w:val="18"/>
                <w:szCs w:val="18"/>
              </w:rPr>
            </w:pPr>
            <w:r>
              <w:rPr>
                <w:rFonts w:ascii="宋体" w:hAnsi="宋体" w:eastAsia="宋体" w:cs="宋体"/>
                <w:sz w:val="18"/>
                <w:szCs w:val="18"/>
              </w:rPr>
              <w:t>60.00%</w:t>
            </w:r>
          </w:p>
        </w:tc>
        <w:tc>
          <w:tcPr>
            <w:tcW w:w="1205" w:type="dxa"/>
            <w:tcBorders>
              <w:top w:val="single" w:color="auto" w:sz="2" w:space="0"/>
              <w:left w:val="single" w:color="auto" w:sz="2" w:space="0"/>
              <w:bottom w:val="single" w:color="auto" w:sz="2" w:space="0"/>
              <w:right w:val="single" w:color="auto" w:sz="2" w:space="0"/>
            </w:tcBorders>
            <w:vAlign w:val="center"/>
          </w:tcPr>
          <w:p w14:paraId="16CF2650">
            <w:pPr>
              <w:spacing w:line="240" w:lineRule="exact"/>
              <w:rPr>
                <w:rFonts w:ascii="宋体" w:hAnsi="宋体" w:eastAsia="宋体" w:cs="宋体"/>
                <w:sz w:val="18"/>
                <w:szCs w:val="18"/>
              </w:rPr>
            </w:pPr>
            <w:r>
              <w:rPr>
                <w:rFonts w:ascii="宋体" w:hAnsi="宋体" w:eastAsia="宋体" w:cs="宋体"/>
                <w:sz w:val="18"/>
                <w:szCs w:val="18"/>
              </w:rPr>
              <w:t>投资设立</w:t>
            </w:r>
          </w:p>
        </w:tc>
      </w:tr>
      <w:tr w14:paraId="690DC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783DA41">
            <w:pPr>
              <w:spacing w:line="240" w:lineRule="exact"/>
              <w:rPr>
                <w:rFonts w:ascii="宋体" w:hAnsi="宋体" w:eastAsia="宋体" w:cs="宋体"/>
                <w:sz w:val="18"/>
                <w:szCs w:val="18"/>
              </w:rPr>
            </w:pPr>
            <w:r>
              <w:rPr>
                <w:rFonts w:ascii="宋体" w:hAnsi="宋体" w:eastAsia="宋体" w:cs="宋体"/>
                <w:sz w:val="18"/>
                <w:szCs w:val="18"/>
              </w:rPr>
              <w:t>浙江达米安品牌管理有限公司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44376DE">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204998C7">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0B0ACB21">
            <w:pPr>
              <w:spacing w:line="240" w:lineRule="exact"/>
              <w:rPr>
                <w:rFonts w:ascii="宋体" w:hAnsi="宋体" w:eastAsia="宋体" w:cs="宋体"/>
                <w:sz w:val="18"/>
                <w:szCs w:val="18"/>
              </w:rPr>
            </w:pPr>
            <w:r>
              <w:rPr>
                <w:rFonts w:ascii="宋体" w:hAnsi="宋体" w:eastAsia="宋体" w:cs="宋体"/>
                <w:sz w:val="18"/>
                <w:szCs w:val="18"/>
              </w:rPr>
              <w:t>浙江省诸暨市</w:t>
            </w:r>
          </w:p>
        </w:tc>
        <w:tc>
          <w:tcPr>
            <w:tcW w:w="1205" w:type="dxa"/>
            <w:tcBorders>
              <w:top w:val="single" w:color="auto" w:sz="2" w:space="0"/>
              <w:left w:val="single" w:color="auto" w:sz="2" w:space="0"/>
              <w:bottom w:val="single" w:color="auto" w:sz="2" w:space="0"/>
              <w:right w:val="single" w:color="auto" w:sz="2" w:space="0"/>
            </w:tcBorders>
            <w:vAlign w:val="center"/>
          </w:tcPr>
          <w:p w14:paraId="15DCDD40">
            <w:pPr>
              <w:spacing w:line="240" w:lineRule="exact"/>
              <w:rPr>
                <w:rFonts w:ascii="宋体" w:hAnsi="宋体" w:eastAsia="宋体" w:cs="宋体"/>
                <w:sz w:val="18"/>
                <w:szCs w:val="18"/>
              </w:rPr>
            </w:pPr>
            <w:r>
              <w:rPr>
                <w:rFonts w:ascii="宋体" w:hAnsi="宋体" w:eastAsia="宋体" w:cs="宋体"/>
                <w:sz w:val="18"/>
                <w:szCs w:val="18"/>
              </w:rPr>
              <w:t>租赁和商务服务业</w:t>
            </w:r>
          </w:p>
        </w:tc>
        <w:tc>
          <w:tcPr>
            <w:tcW w:w="1205" w:type="dxa"/>
            <w:tcBorders>
              <w:top w:val="single" w:color="auto" w:sz="2" w:space="0"/>
              <w:left w:val="single" w:color="auto" w:sz="2" w:space="0"/>
              <w:bottom w:val="single" w:color="auto" w:sz="2" w:space="0"/>
              <w:right w:val="single" w:color="auto" w:sz="2" w:space="0"/>
            </w:tcBorders>
            <w:vAlign w:val="center"/>
          </w:tcPr>
          <w:p w14:paraId="5DBD626A">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B407432">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55C8D75E">
            <w:pPr>
              <w:spacing w:line="240" w:lineRule="exact"/>
              <w:rPr>
                <w:rFonts w:ascii="宋体" w:hAnsi="宋体" w:eastAsia="宋体" w:cs="宋体"/>
                <w:sz w:val="18"/>
                <w:szCs w:val="18"/>
              </w:rPr>
            </w:pPr>
            <w:r>
              <w:rPr>
                <w:rFonts w:ascii="宋体" w:hAnsi="宋体" w:eastAsia="宋体" w:cs="宋体"/>
                <w:sz w:val="18"/>
                <w:szCs w:val="18"/>
              </w:rPr>
              <w:t>投资设立</w:t>
            </w:r>
          </w:p>
        </w:tc>
      </w:tr>
      <w:tr w14:paraId="17BF9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02C21A6">
            <w:pPr>
              <w:spacing w:line="240" w:lineRule="exact"/>
              <w:rPr>
                <w:rFonts w:ascii="宋体" w:hAnsi="宋体" w:eastAsia="宋体" w:cs="宋体"/>
                <w:sz w:val="18"/>
                <w:szCs w:val="18"/>
              </w:rPr>
            </w:pPr>
            <w:r>
              <w:rPr>
                <w:rFonts w:ascii="宋体" w:hAnsi="宋体" w:eastAsia="宋体" w:cs="宋体"/>
                <w:sz w:val="18"/>
                <w:szCs w:val="18"/>
              </w:rPr>
              <w:t>华孚智算（上海）网络有限公司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5E8E7D18">
            <w:pPr>
              <w:spacing w:line="240" w:lineRule="exact"/>
              <w:jc w:val="right"/>
              <w:rPr>
                <w:rFonts w:ascii="宋体" w:hAnsi="宋体" w:eastAsia="宋体" w:cs="宋体"/>
                <w:sz w:val="18"/>
                <w:szCs w:val="18"/>
              </w:rPr>
            </w:pPr>
            <w:r>
              <w:rPr>
                <w:rFonts w:ascii="宋体" w:hAnsi="宋体" w:eastAsia="宋体" w:cs="宋体"/>
                <w:sz w:val="18"/>
                <w:szCs w:val="18"/>
              </w:rPr>
              <w:t>50,000,000.00</w:t>
            </w:r>
          </w:p>
        </w:tc>
        <w:tc>
          <w:tcPr>
            <w:tcW w:w="1205" w:type="dxa"/>
            <w:tcBorders>
              <w:top w:val="single" w:color="auto" w:sz="2" w:space="0"/>
              <w:left w:val="single" w:color="auto" w:sz="2" w:space="0"/>
              <w:bottom w:val="single" w:color="auto" w:sz="2" w:space="0"/>
              <w:right w:val="single" w:color="auto" w:sz="2" w:space="0"/>
            </w:tcBorders>
            <w:vAlign w:val="center"/>
          </w:tcPr>
          <w:p w14:paraId="349167DD">
            <w:pPr>
              <w:spacing w:line="240" w:lineRule="exact"/>
              <w:rPr>
                <w:rFonts w:ascii="宋体" w:hAnsi="宋体" w:eastAsia="宋体" w:cs="宋体"/>
                <w:sz w:val="18"/>
                <w:szCs w:val="18"/>
              </w:rPr>
            </w:pPr>
            <w:r>
              <w:rPr>
                <w:rFonts w:ascii="宋体" w:hAnsi="宋体" w:eastAsia="宋体" w:cs="宋体"/>
                <w:sz w:val="18"/>
                <w:szCs w:val="18"/>
              </w:rPr>
              <w:t>上海市普陀区</w:t>
            </w:r>
          </w:p>
        </w:tc>
        <w:tc>
          <w:tcPr>
            <w:tcW w:w="1205" w:type="dxa"/>
            <w:tcBorders>
              <w:top w:val="single" w:color="auto" w:sz="2" w:space="0"/>
              <w:left w:val="single" w:color="auto" w:sz="2" w:space="0"/>
              <w:bottom w:val="single" w:color="auto" w:sz="2" w:space="0"/>
              <w:right w:val="single" w:color="auto" w:sz="2" w:space="0"/>
            </w:tcBorders>
            <w:vAlign w:val="center"/>
          </w:tcPr>
          <w:p w14:paraId="24140B3C">
            <w:pPr>
              <w:spacing w:line="240" w:lineRule="exact"/>
              <w:rPr>
                <w:rFonts w:ascii="宋体" w:hAnsi="宋体" w:eastAsia="宋体" w:cs="宋体"/>
                <w:sz w:val="18"/>
                <w:szCs w:val="18"/>
              </w:rPr>
            </w:pPr>
            <w:r>
              <w:rPr>
                <w:rFonts w:ascii="宋体" w:hAnsi="宋体" w:eastAsia="宋体" w:cs="宋体"/>
                <w:sz w:val="18"/>
                <w:szCs w:val="18"/>
              </w:rPr>
              <w:t>上海市普陀区</w:t>
            </w:r>
          </w:p>
        </w:tc>
        <w:tc>
          <w:tcPr>
            <w:tcW w:w="1205" w:type="dxa"/>
            <w:tcBorders>
              <w:top w:val="single" w:color="auto" w:sz="2" w:space="0"/>
              <w:left w:val="single" w:color="auto" w:sz="2" w:space="0"/>
              <w:bottom w:val="single" w:color="auto" w:sz="2" w:space="0"/>
              <w:right w:val="single" w:color="auto" w:sz="2" w:space="0"/>
            </w:tcBorders>
            <w:vAlign w:val="center"/>
          </w:tcPr>
          <w:p w14:paraId="2F582DBB">
            <w:pPr>
              <w:spacing w:line="240" w:lineRule="exact"/>
              <w:rPr>
                <w:rFonts w:ascii="宋体" w:hAnsi="宋体" w:eastAsia="宋体" w:cs="宋体"/>
                <w:sz w:val="18"/>
                <w:szCs w:val="18"/>
              </w:rPr>
            </w:pPr>
            <w:r>
              <w:rPr>
                <w:rFonts w:ascii="宋体" w:hAnsi="宋体" w:eastAsia="宋体" w:cs="宋体"/>
                <w:sz w:val="18"/>
                <w:szCs w:val="18"/>
              </w:rPr>
              <w:t>科学研究和技术服务业</w:t>
            </w:r>
          </w:p>
        </w:tc>
        <w:tc>
          <w:tcPr>
            <w:tcW w:w="1205" w:type="dxa"/>
            <w:tcBorders>
              <w:top w:val="single" w:color="auto" w:sz="2" w:space="0"/>
              <w:left w:val="single" w:color="auto" w:sz="2" w:space="0"/>
              <w:bottom w:val="single" w:color="auto" w:sz="2" w:space="0"/>
              <w:right w:val="single" w:color="auto" w:sz="2" w:space="0"/>
            </w:tcBorders>
            <w:vAlign w:val="center"/>
          </w:tcPr>
          <w:p w14:paraId="33604E7D">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83033EB">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19CD32A0">
            <w:pPr>
              <w:spacing w:line="240" w:lineRule="exact"/>
              <w:rPr>
                <w:rFonts w:ascii="宋体" w:hAnsi="宋体" w:eastAsia="宋体" w:cs="宋体"/>
                <w:sz w:val="18"/>
                <w:szCs w:val="18"/>
              </w:rPr>
            </w:pPr>
            <w:r>
              <w:rPr>
                <w:rFonts w:ascii="宋体" w:hAnsi="宋体" w:eastAsia="宋体" w:cs="宋体"/>
                <w:sz w:val="18"/>
                <w:szCs w:val="18"/>
              </w:rPr>
              <w:t>投资设立</w:t>
            </w:r>
          </w:p>
        </w:tc>
      </w:tr>
      <w:tr w14:paraId="12849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F348BD6">
            <w:pPr>
              <w:spacing w:line="240" w:lineRule="exact"/>
              <w:rPr>
                <w:rFonts w:ascii="宋体" w:hAnsi="宋体" w:eastAsia="宋体" w:cs="宋体"/>
                <w:sz w:val="18"/>
                <w:szCs w:val="18"/>
              </w:rPr>
            </w:pPr>
            <w:r>
              <w:rPr>
                <w:rFonts w:ascii="宋体" w:hAnsi="宋体" w:eastAsia="宋体" w:cs="宋体"/>
                <w:sz w:val="18"/>
                <w:szCs w:val="18"/>
              </w:rPr>
              <w:t>新疆华孚人工智能科技有限公司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67990B93">
            <w:pPr>
              <w:spacing w:line="240" w:lineRule="exact"/>
              <w:jc w:val="right"/>
              <w:rPr>
                <w:rFonts w:ascii="宋体" w:hAnsi="宋体" w:eastAsia="宋体" w:cs="宋体"/>
                <w:sz w:val="18"/>
                <w:szCs w:val="18"/>
              </w:rPr>
            </w:pPr>
            <w:r>
              <w:rPr>
                <w:rFonts w:ascii="宋体" w:hAnsi="宋体" w:eastAsia="宋体" w:cs="宋体"/>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14:paraId="78A68BC5">
            <w:pPr>
              <w:spacing w:line="240" w:lineRule="exact"/>
              <w:rPr>
                <w:rFonts w:ascii="宋体" w:hAnsi="宋体" w:eastAsia="宋体" w:cs="宋体"/>
                <w:sz w:val="18"/>
                <w:szCs w:val="18"/>
              </w:rPr>
            </w:pPr>
            <w:r>
              <w:rPr>
                <w:rFonts w:ascii="宋体" w:hAnsi="宋体" w:eastAsia="宋体" w:cs="宋体"/>
                <w:sz w:val="18"/>
                <w:szCs w:val="18"/>
              </w:rPr>
              <w:t>新疆阿克苏</w:t>
            </w:r>
          </w:p>
        </w:tc>
        <w:tc>
          <w:tcPr>
            <w:tcW w:w="1205" w:type="dxa"/>
            <w:tcBorders>
              <w:top w:val="single" w:color="auto" w:sz="2" w:space="0"/>
              <w:left w:val="single" w:color="auto" w:sz="2" w:space="0"/>
              <w:bottom w:val="single" w:color="auto" w:sz="2" w:space="0"/>
              <w:right w:val="single" w:color="auto" w:sz="2" w:space="0"/>
            </w:tcBorders>
            <w:vAlign w:val="center"/>
          </w:tcPr>
          <w:p w14:paraId="54869D01">
            <w:pPr>
              <w:spacing w:line="240" w:lineRule="exact"/>
              <w:rPr>
                <w:rFonts w:ascii="宋体" w:hAnsi="宋体" w:eastAsia="宋体" w:cs="宋体"/>
                <w:sz w:val="18"/>
                <w:szCs w:val="18"/>
              </w:rPr>
            </w:pPr>
            <w:r>
              <w:rPr>
                <w:rFonts w:ascii="宋体" w:hAnsi="宋体" w:eastAsia="宋体" w:cs="宋体"/>
                <w:sz w:val="18"/>
                <w:szCs w:val="18"/>
              </w:rPr>
              <w:t>新疆阿克苏</w:t>
            </w:r>
          </w:p>
        </w:tc>
        <w:tc>
          <w:tcPr>
            <w:tcW w:w="1205" w:type="dxa"/>
            <w:tcBorders>
              <w:top w:val="single" w:color="auto" w:sz="2" w:space="0"/>
              <w:left w:val="single" w:color="auto" w:sz="2" w:space="0"/>
              <w:bottom w:val="single" w:color="auto" w:sz="2" w:space="0"/>
              <w:right w:val="single" w:color="auto" w:sz="2" w:space="0"/>
            </w:tcBorders>
            <w:vAlign w:val="center"/>
          </w:tcPr>
          <w:p w14:paraId="6B7700F5">
            <w:pPr>
              <w:spacing w:line="240" w:lineRule="exact"/>
              <w:rPr>
                <w:rFonts w:ascii="宋体" w:hAnsi="宋体" w:eastAsia="宋体" w:cs="宋体"/>
                <w:sz w:val="18"/>
                <w:szCs w:val="18"/>
              </w:rPr>
            </w:pPr>
            <w:r>
              <w:rPr>
                <w:rFonts w:ascii="宋体" w:hAnsi="宋体" w:eastAsia="宋体" w:cs="宋体"/>
                <w:sz w:val="18"/>
                <w:szCs w:val="18"/>
              </w:rPr>
              <w:t>信息传输、软件和信息技术服务业</w:t>
            </w:r>
          </w:p>
        </w:tc>
        <w:tc>
          <w:tcPr>
            <w:tcW w:w="1205" w:type="dxa"/>
            <w:tcBorders>
              <w:top w:val="single" w:color="auto" w:sz="2" w:space="0"/>
              <w:left w:val="single" w:color="auto" w:sz="2" w:space="0"/>
              <w:bottom w:val="single" w:color="auto" w:sz="2" w:space="0"/>
              <w:right w:val="single" w:color="auto" w:sz="2" w:space="0"/>
            </w:tcBorders>
            <w:vAlign w:val="center"/>
          </w:tcPr>
          <w:p w14:paraId="7FC9F2E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BF112B5">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7E8FE122">
            <w:pPr>
              <w:spacing w:line="240" w:lineRule="exact"/>
              <w:rPr>
                <w:rFonts w:ascii="宋体" w:hAnsi="宋体" w:eastAsia="宋体" w:cs="宋体"/>
                <w:sz w:val="18"/>
                <w:szCs w:val="18"/>
              </w:rPr>
            </w:pPr>
            <w:r>
              <w:rPr>
                <w:rFonts w:ascii="宋体" w:hAnsi="宋体" w:eastAsia="宋体" w:cs="宋体"/>
                <w:sz w:val="18"/>
                <w:szCs w:val="18"/>
              </w:rPr>
              <w:t>投资设立</w:t>
            </w:r>
          </w:p>
        </w:tc>
      </w:tr>
      <w:tr w14:paraId="2A7C1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55A93157">
            <w:pPr>
              <w:spacing w:line="240" w:lineRule="exact"/>
              <w:rPr>
                <w:rFonts w:ascii="宋体" w:hAnsi="宋体" w:eastAsia="宋体" w:cs="宋体"/>
                <w:sz w:val="18"/>
                <w:szCs w:val="18"/>
              </w:rPr>
            </w:pPr>
            <w:r>
              <w:rPr>
                <w:rFonts w:ascii="宋体" w:hAnsi="宋体" w:eastAsia="宋体" w:cs="宋体"/>
                <w:sz w:val="18"/>
                <w:szCs w:val="18"/>
              </w:rPr>
              <w:t>绍兴智宽科技有限公司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833A0DE">
            <w:pPr>
              <w:spacing w:line="240" w:lineRule="exact"/>
              <w:jc w:val="right"/>
              <w:rPr>
                <w:rFonts w:ascii="宋体" w:hAnsi="宋体" w:eastAsia="宋体" w:cs="宋体"/>
                <w:sz w:val="18"/>
                <w:szCs w:val="18"/>
              </w:rPr>
            </w:pPr>
            <w:r>
              <w:rPr>
                <w:rFonts w:ascii="宋体" w:hAnsi="宋体" w:eastAsia="宋体" w:cs="宋体"/>
                <w:sz w:val="18"/>
                <w:szCs w:val="18"/>
              </w:rPr>
              <w:t>20,000,000.00</w:t>
            </w:r>
          </w:p>
        </w:tc>
        <w:tc>
          <w:tcPr>
            <w:tcW w:w="1205" w:type="dxa"/>
            <w:tcBorders>
              <w:top w:val="single" w:color="auto" w:sz="2" w:space="0"/>
              <w:left w:val="single" w:color="auto" w:sz="2" w:space="0"/>
              <w:bottom w:val="single" w:color="auto" w:sz="2" w:space="0"/>
              <w:right w:val="single" w:color="auto" w:sz="2" w:space="0"/>
            </w:tcBorders>
            <w:vAlign w:val="center"/>
          </w:tcPr>
          <w:p w14:paraId="6BA06694">
            <w:pPr>
              <w:spacing w:line="240" w:lineRule="exact"/>
              <w:rPr>
                <w:rFonts w:ascii="宋体" w:hAnsi="宋体" w:eastAsia="宋体" w:cs="宋体"/>
                <w:sz w:val="18"/>
                <w:szCs w:val="18"/>
              </w:rPr>
            </w:pPr>
            <w:r>
              <w:rPr>
                <w:rFonts w:ascii="宋体" w:hAnsi="宋体" w:eastAsia="宋体" w:cs="宋体"/>
                <w:sz w:val="18"/>
                <w:szCs w:val="18"/>
              </w:rPr>
              <w:t>浙江省绍兴市</w:t>
            </w:r>
          </w:p>
        </w:tc>
        <w:tc>
          <w:tcPr>
            <w:tcW w:w="1205" w:type="dxa"/>
            <w:tcBorders>
              <w:top w:val="single" w:color="auto" w:sz="2" w:space="0"/>
              <w:left w:val="single" w:color="auto" w:sz="2" w:space="0"/>
              <w:bottom w:val="single" w:color="auto" w:sz="2" w:space="0"/>
              <w:right w:val="single" w:color="auto" w:sz="2" w:space="0"/>
            </w:tcBorders>
            <w:vAlign w:val="center"/>
          </w:tcPr>
          <w:p w14:paraId="041CB756">
            <w:pPr>
              <w:spacing w:line="240" w:lineRule="exact"/>
              <w:rPr>
                <w:rFonts w:ascii="宋体" w:hAnsi="宋体" w:eastAsia="宋体" w:cs="宋体"/>
                <w:sz w:val="18"/>
                <w:szCs w:val="18"/>
              </w:rPr>
            </w:pPr>
            <w:r>
              <w:rPr>
                <w:rFonts w:ascii="宋体" w:hAnsi="宋体" w:eastAsia="宋体" w:cs="宋体"/>
                <w:sz w:val="18"/>
                <w:szCs w:val="18"/>
              </w:rPr>
              <w:t>浙江省绍兴市</w:t>
            </w:r>
          </w:p>
        </w:tc>
        <w:tc>
          <w:tcPr>
            <w:tcW w:w="1205" w:type="dxa"/>
            <w:tcBorders>
              <w:top w:val="single" w:color="auto" w:sz="2" w:space="0"/>
              <w:left w:val="single" w:color="auto" w:sz="2" w:space="0"/>
              <w:bottom w:val="single" w:color="auto" w:sz="2" w:space="0"/>
              <w:right w:val="single" w:color="auto" w:sz="2" w:space="0"/>
            </w:tcBorders>
            <w:vAlign w:val="center"/>
          </w:tcPr>
          <w:p w14:paraId="57049DCC">
            <w:pPr>
              <w:spacing w:line="240" w:lineRule="exact"/>
              <w:rPr>
                <w:rFonts w:ascii="宋体" w:hAnsi="宋体" w:eastAsia="宋体" w:cs="宋体"/>
                <w:sz w:val="18"/>
                <w:szCs w:val="18"/>
              </w:rPr>
            </w:pPr>
            <w:r>
              <w:rPr>
                <w:rFonts w:ascii="宋体" w:hAnsi="宋体" w:eastAsia="宋体" w:cs="宋体"/>
                <w:sz w:val="18"/>
                <w:szCs w:val="18"/>
              </w:rPr>
              <w:t>信息传输、软件和信息技术服务业</w:t>
            </w:r>
          </w:p>
        </w:tc>
        <w:tc>
          <w:tcPr>
            <w:tcW w:w="1205" w:type="dxa"/>
            <w:tcBorders>
              <w:top w:val="single" w:color="auto" w:sz="2" w:space="0"/>
              <w:left w:val="single" w:color="auto" w:sz="2" w:space="0"/>
              <w:bottom w:val="single" w:color="auto" w:sz="2" w:space="0"/>
              <w:right w:val="single" w:color="auto" w:sz="2" w:space="0"/>
            </w:tcBorders>
            <w:vAlign w:val="center"/>
          </w:tcPr>
          <w:p w14:paraId="0FCD7B2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BCA5849">
            <w:pPr>
              <w:spacing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4087CEDB">
            <w:pPr>
              <w:spacing w:line="240" w:lineRule="exact"/>
              <w:rPr>
                <w:rFonts w:ascii="宋体" w:hAnsi="宋体" w:eastAsia="宋体" w:cs="宋体"/>
                <w:sz w:val="18"/>
                <w:szCs w:val="18"/>
              </w:rPr>
            </w:pPr>
            <w:r>
              <w:rPr>
                <w:rFonts w:ascii="宋体" w:hAnsi="宋体" w:eastAsia="宋体" w:cs="宋体"/>
                <w:sz w:val="18"/>
                <w:szCs w:val="18"/>
              </w:rPr>
              <w:t>投资设立</w:t>
            </w:r>
          </w:p>
        </w:tc>
      </w:tr>
      <w:tr w14:paraId="3B269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9874984">
            <w:pPr>
              <w:spacing w:line="240" w:lineRule="exact"/>
              <w:rPr>
                <w:rFonts w:ascii="宋体" w:hAnsi="宋体" w:eastAsia="宋体" w:cs="宋体"/>
                <w:sz w:val="18"/>
                <w:szCs w:val="18"/>
              </w:rPr>
            </w:pPr>
            <w:r>
              <w:rPr>
                <w:rFonts w:ascii="宋体" w:hAnsi="宋体" w:eastAsia="宋体" w:cs="宋体"/>
                <w:sz w:val="18"/>
                <w:szCs w:val="18"/>
              </w:rPr>
              <w:t>绍兴天路科技有限公司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2D8A330">
            <w:pPr>
              <w:spacing w:line="240" w:lineRule="exact"/>
              <w:jc w:val="right"/>
              <w:rPr>
                <w:rFonts w:ascii="宋体" w:hAnsi="宋体" w:eastAsia="宋体" w:cs="宋体"/>
                <w:sz w:val="18"/>
                <w:szCs w:val="18"/>
              </w:rPr>
            </w:pPr>
            <w:r>
              <w:rPr>
                <w:rFonts w:ascii="宋体" w:hAnsi="宋体" w:eastAsia="宋体" w:cs="宋体"/>
                <w:sz w:val="18"/>
                <w:szCs w:val="18"/>
              </w:rPr>
              <w:t>20,000,000.00</w:t>
            </w:r>
          </w:p>
        </w:tc>
        <w:tc>
          <w:tcPr>
            <w:tcW w:w="1205" w:type="dxa"/>
            <w:tcBorders>
              <w:top w:val="single" w:color="auto" w:sz="2" w:space="0"/>
              <w:left w:val="single" w:color="auto" w:sz="2" w:space="0"/>
              <w:bottom w:val="single" w:color="auto" w:sz="2" w:space="0"/>
              <w:right w:val="single" w:color="auto" w:sz="2" w:space="0"/>
            </w:tcBorders>
            <w:vAlign w:val="center"/>
          </w:tcPr>
          <w:p w14:paraId="7107AD50">
            <w:pPr>
              <w:spacing w:line="240" w:lineRule="exact"/>
              <w:rPr>
                <w:rFonts w:ascii="宋体" w:hAnsi="宋体" w:eastAsia="宋体" w:cs="宋体"/>
                <w:sz w:val="18"/>
                <w:szCs w:val="18"/>
              </w:rPr>
            </w:pPr>
            <w:r>
              <w:rPr>
                <w:rFonts w:ascii="宋体" w:hAnsi="宋体" w:eastAsia="宋体" w:cs="宋体"/>
                <w:sz w:val="18"/>
                <w:szCs w:val="18"/>
              </w:rPr>
              <w:t>浙江省绍兴市</w:t>
            </w:r>
          </w:p>
        </w:tc>
        <w:tc>
          <w:tcPr>
            <w:tcW w:w="1205" w:type="dxa"/>
            <w:tcBorders>
              <w:top w:val="single" w:color="auto" w:sz="2" w:space="0"/>
              <w:left w:val="single" w:color="auto" w:sz="2" w:space="0"/>
              <w:bottom w:val="single" w:color="auto" w:sz="2" w:space="0"/>
              <w:right w:val="single" w:color="auto" w:sz="2" w:space="0"/>
            </w:tcBorders>
            <w:vAlign w:val="center"/>
          </w:tcPr>
          <w:p w14:paraId="1363FB0F">
            <w:pPr>
              <w:spacing w:line="240" w:lineRule="exact"/>
              <w:rPr>
                <w:rFonts w:ascii="宋体" w:hAnsi="宋体" w:eastAsia="宋体" w:cs="宋体"/>
                <w:sz w:val="18"/>
                <w:szCs w:val="18"/>
              </w:rPr>
            </w:pPr>
            <w:r>
              <w:rPr>
                <w:rFonts w:ascii="宋体" w:hAnsi="宋体" w:eastAsia="宋体" w:cs="宋体"/>
                <w:sz w:val="18"/>
                <w:szCs w:val="18"/>
              </w:rPr>
              <w:t>浙江省绍兴市</w:t>
            </w:r>
          </w:p>
        </w:tc>
        <w:tc>
          <w:tcPr>
            <w:tcW w:w="1205" w:type="dxa"/>
            <w:tcBorders>
              <w:top w:val="single" w:color="auto" w:sz="2" w:space="0"/>
              <w:left w:val="single" w:color="auto" w:sz="2" w:space="0"/>
              <w:bottom w:val="single" w:color="auto" w:sz="2" w:space="0"/>
              <w:right w:val="single" w:color="auto" w:sz="2" w:space="0"/>
            </w:tcBorders>
            <w:vAlign w:val="center"/>
          </w:tcPr>
          <w:p w14:paraId="1BBDAA3E">
            <w:pPr>
              <w:spacing w:line="240" w:lineRule="exact"/>
              <w:rPr>
                <w:rFonts w:ascii="宋体" w:hAnsi="宋体" w:eastAsia="宋体" w:cs="宋体"/>
                <w:sz w:val="18"/>
                <w:szCs w:val="18"/>
              </w:rPr>
            </w:pPr>
            <w:r>
              <w:rPr>
                <w:rFonts w:ascii="宋体" w:hAnsi="宋体" w:eastAsia="宋体" w:cs="宋体"/>
                <w:sz w:val="18"/>
                <w:szCs w:val="18"/>
              </w:rPr>
              <w:t>信息传输、软件和信息技术服务业</w:t>
            </w:r>
          </w:p>
        </w:tc>
        <w:tc>
          <w:tcPr>
            <w:tcW w:w="1205" w:type="dxa"/>
            <w:tcBorders>
              <w:top w:val="single" w:color="auto" w:sz="2" w:space="0"/>
              <w:left w:val="single" w:color="auto" w:sz="2" w:space="0"/>
              <w:bottom w:val="single" w:color="auto" w:sz="2" w:space="0"/>
              <w:right w:val="single" w:color="auto" w:sz="2" w:space="0"/>
            </w:tcBorders>
            <w:vAlign w:val="center"/>
          </w:tcPr>
          <w:p w14:paraId="7C74605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AE4039C">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2BBBEDB3">
            <w:pPr>
              <w:spacing w:line="240" w:lineRule="exact"/>
              <w:rPr>
                <w:rFonts w:ascii="宋体" w:hAnsi="宋体" w:eastAsia="宋体" w:cs="宋体"/>
                <w:sz w:val="18"/>
                <w:szCs w:val="18"/>
              </w:rPr>
            </w:pPr>
            <w:r>
              <w:rPr>
                <w:rFonts w:ascii="宋体" w:hAnsi="宋体" w:eastAsia="宋体" w:cs="宋体"/>
                <w:sz w:val="18"/>
                <w:szCs w:val="18"/>
              </w:rPr>
              <w:t>投资设立</w:t>
            </w:r>
          </w:p>
        </w:tc>
      </w:tr>
      <w:tr w14:paraId="59686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B6BC084">
            <w:pPr>
              <w:spacing w:line="240" w:lineRule="exact"/>
              <w:rPr>
                <w:rFonts w:ascii="宋体" w:hAnsi="宋体" w:eastAsia="宋体" w:cs="宋体"/>
                <w:sz w:val="18"/>
                <w:szCs w:val="18"/>
              </w:rPr>
            </w:pPr>
            <w:r>
              <w:rPr>
                <w:rFonts w:ascii="宋体" w:hAnsi="宋体" w:eastAsia="宋体" w:cs="宋体"/>
                <w:sz w:val="18"/>
                <w:szCs w:val="18"/>
              </w:rPr>
              <w:t>新疆华孚智算科技有限公司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147D07ED">
            <w:pPr>
              <w:spacing w:line="240" w:lineRule="exact"/>
              <w:jc w:val="right"/>
              <w:rPr>
                <w:rFonts w:ascii="宋体" w:hAnsi="宋体" w:eastAsia="宋体" w:cs="宋体"/>
                <w:sz w:val="18"/>
                <w:szCs w:val="18"/>
              </w:rPr>
            </w:pPr>
            <w:r>
              <w:rPr>
                <w:rFonts w:ascii="宋体" w:hAnsi="宋体" w:eastAsia="宋体" w:cs="宋体"/>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14:paraId="590F0357">
            <w:pPr>
              <w:spacing w:line="240" w:lineRule="exact"/>
              <w:rPr>
                <w:rFonts w:ascii="宋体" w:hAnsi="宋体" w:eastAsia="宋体" w:cs="宋体"/>
                <w:sz w:val="18"/>
                <w:szCs w:val="18"/>
              </w:rPr>
            </w:pPr>
            <w:r>
              <w:rPr>
                <w:rFonts w:ascii="宋体" w:hAnsi="宋体" w:eastAsia="宋体" w:cs="宋体"/>
                <w:sz w:val="18"/>
                <w:szCs w:val="18"/>
              </w:rPr>
              <w:t>新疆阿克苏</w:t>
            </w:r>
          </w:p>
        </w:tc>
        <w:tc>
          <w:tcPr>
            <w:tcW w:w="1205" w:type="dxa"/>
            <w:tcBorders>
              <w:top w:val="single" w:color="auto" w:sz="2" w:space="0"/>
              <w:left w:val="single" w:color="auto" w:sz="2" w:space="0"/>
              <w:bottom w:val="single" w:color="auto" w:sz="2" w:space="0"/>
              <w:right w:val="single" w:color="auto" w:sz="2" w:space="0"/>
            </w:tcBorders>
            <w:vAlign w:val="center"/>
          </w:tcPr>
          <w:p w14:paraId="0472DFB5">
            <w:pPr>
              <w:spacing w:line="240" w:lineRule="exact"/>
              <w:rPr>
                <w:rFonts w:ascii="宋体" w:hAnsi="宋体" w:eastAsia="宋体" w:cs="宋体"/>
                <w:sz w:val="18"/>
                <w:szCs w:val="18"/>
              </w:rPr>
            </w:pPr>
            <w:r>
              <w:rPr>
                <w:rFonts w:ascii="宋体" w:hAnsi="宋体" w:eastAsia="宋体" w:cs="宋体"/>
                <w:sz w:val="18"/>
                <w:szCs w:val="18"/>
              </w:rPr>
              <w:t>新疆阿克苏</w:t>
            </w:r>
          </w:p>
        </w:tc>
        <w:tc>
          <w:tcPr>
            <w:tcW w:w="1205" w:type="dxa"/>
            <w:tcBorders>
              <w:top w:val="single" w:color="auto" w:sz="2" w:space="0"/>
              <w:left w:val="single" w:color="auto" w:sz="2" w:space="0"/>
              <w:bottom w:val="single" w:color="auto" w:sz="2" w:space="0"/>
              <w:right w:val="single" w:color="auto" w:sz="2" w:space="0"/>
            </w:tcBorders>
            <w:vAlign w:val="center"/>
          </w:tcPr>
          <w:p w14:paraId="7A671320">
            <w:pPr>
              <w:spacing w:line="240" w:lineRule="exact"/>
              <w:rPr>
                <w:rFonts w:ascii="宋体" w:hAnsi="宋体" w:eastAsia="宋体" w:cs="宋体"/>
                <w:sz w:val="18"/>
                <w:szCs w:val="18"/>
              </w:rPr>
            </w:pPr>
            <w:r>
              <w:rPr>
                <w:rFonts w:ascii="宋体" w:hAnsi="宋体" w:eastAsia="宋体" w:cs="宋体"/>
                <w:sz w:val="18"/>
                <w:szCs w:val="18"/>
              </w:rPr>
              <w:t>科学研究和技术服务业</w:t>
            </w:r>
          </w:p>
        </w:tc>
        <w:tc>
          <w:tcPr>
            <w:tcW w:w="1205" w:type="dxa"/>
            <w:tcBorders>
              <w:top w:val="single" w:color="auto" w:sz="2" w:space="0"/>
              <w:left w:val="single" w:color="auto" w:sz="2" w:space="0"/>
              <w:bottom w:val="single" w:color="auto" w:sz="2" w:space="0"/>
              <w:right w:val="single" w:color="auto" w:sz="2" w:space="0"/>
            </w:tcBorders>
            <w:vAlign w:val="center"/>
          </w:tcPr>
          <w:p w14:paraId="15305CF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6A43B61">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582BF2A9">
            <w:pPr>
              <w:spacing w:line="240" w:lineRule="exact"/>
              <w:rPr>
                <w:rFonts w:ascii="宋体" w:hAnsi="宋体" w:eastAsia="宋体" w:cs="宋体"/>
                <w:sz w:val="18"/>
                <w:szCs w:val="18"/>
              </w:rPr>
            </w:pPr>
            <w:r>
              <w:rPr>
                <w:rFonts w:ascii="宋体" w:hAnsi="宋体" w:eastAsia="宋体" w:cs="宋体"/>
                <w:sz w:val="18"/>
                <w:szCs w:val="18"/>
              </w:rPr>
              <w:t>投资设立</w:t>
            </w:r>
          </w:p>
        </w:tc>
      </w:tr>
      <w:tr w14:paraId="7254A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B38657B">
            <w:pPr>
              <w:spacing w:line="240" w:lineRule="exact"/>
              <w:rPr>
                <w:rFonts w:ascii="宋体" w:hAnsi="宋体" w:eastAsia="宋体" w:cs="宋体"/>
                <w:sz w:val="18"/>
                <w:szCs w:val="18"/>
              </w:rPr>
            </w:pPr>
            <w:r>
              <w:rPr>
                <w:rFonts w:ascii="宋体" w:hAnsi="宋体" w:eastAsia="宋体" w:cs="宋体"/>
                <w:sz w:val="18"/>
                <w:szCs w:val="18"/>
              </w:rPr>
              <w:t>兰溪市菁英数字产业发展有限公司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C75780F">
            <w:pPr>
              <w:spacing w:line="240" w:lineRule="exact"/>
              <w:jc w:val="right"/>
              <w:rPr>
                <w:rFonts w:ascii="宋体" w:hAnsi="宋体" w:eastAsia="宋体" w:cs="宋体"/>
                <w:sz w:val="18"/>
                <w:szCs w:val="18"/>
              </w:rPr>
            </w:pPr>
            <w:r>
              <w:rPr>
                <w:rFonts w:ascii="宋体" w:hAnsi="宋体" w:eastAsia="宋体" w:cs="宋体"/>
                <w:sz w:val="18"/>
                <w:szCs w:val="18"/>
              </w:rPr>
              <w:t>5,000,000.00</w:t>
            </w:r>
          </w:p>
        </w:tc>
        <w:tc>
          <w:tcPr>
            <w:tcW w:w="1205" w:type="dxa"/>
            <w:tcBorders>
              <w:top w:val="single" w:color="auto" w:sz="2" w:space="0"/>
              <w:left w:val="single" w:color="auto" w:sz="2" w:space="0"/>
              <w:bottom w:val="single" w:color="auto" w:sz="2" w:space="0"/>
              <w:right w:val="single" w:color="auto" w:sz="2" w:space="0"/>
            </w:tcBorders>
            <w:vAlign w:val="center"/>
          </w:tcPr>
          <w:p w14:paraId="794041E6">
            <w:pPr>
              <w:spacing w:line="240" w:lineRule="exact"/>
              <w:rPr>
                <w:rFonts w:ascii="宋体" w:hAnsi="宋体" w:eastAsia="宋体" w:cs="宋体"/>
                <w:sz w:val="18"/>
                <w:szCs w:val="18"/>
              </w:rPr>
            </w:pPr>
            <w:r>
              <w:rPr>
                <w:rFonts w:ascii="宋体" w:hAnsi="宋体" w:eastAsia="宋体" w:cs="宋体"/>
                <w:sz w:val="18"/>
                <w:szCs w:val="18"/>
              </w:rPr>
              <w:t>浙江省金华市</w:t>
            </w:r>
          </w:p>
        </w:tc>
        <w:tc>
          <w:tcPr>
            <w:tcW w:w="1205" w:type="dxa"/>
            <w:tcBorders>
              <w:top w:val="single" w:color="auto" w:sz="2" w:space="0"/>
              <w:left w:val="single" w:color="auto" w:sz="2" w:space="0"/>
              <w:bottom w:val="single" w:color="auto" w:sz="2" w:space="0"/>
              <w:right w:val="single" w:color="auto" w:sz="2" w:space="0"/>
            </w:tcBorders>
            <w:vAlign w:val="center"/>
          </w:tcPr>
          <w:p w14:paraId="671D8CD4">
            <w:pPr>
              <w:spacing w:line="240" w:lineRule="exact"/>
              <w:rPr>
                <w:rFonts w:ascii="宋体" w:hAnsi="宋体" w:eastAsia="宋体" w:cs="宋体"/>
                <w:sz w:val="18"/>
                <w:szCs w:val="18"/>
              </w:rPr>
            </w:pPr>
            <w:r>
              <w:rPr>
                <w:rFonts w:ascii="宋体" w:hAnsi="宋体" w:eastAsia="宋体" w:cs="宋体"/>
                <w:sz w:val="18"/>
                <w:szCs w:val="18"/>
              </w:rPr>
              <w:t>浙江省金华市</w:t>
            </w:r>
          </w:p>
        </w:tc>
        <w:tc>
          <w:tcPr>
            <w:tcW w:w="1205" w:type="dxa"/>
            <w:tcBorders>
              <w:top w:val="single" w:color="auto" w:sz="2" w:space="0"/>
              <w:left w:val="single" w:color="auto" w:sz="2" w:space="0"/>
              <w:bottom w:val="single" w:color="auto" w:sz="2" w:space="0"/>
              <w:right w:val="single" w:color="auto" w:sz="2" w:space="0"/>
            </w:tcBorders>
            <w:vAlign w:val="center"/>
          </w:tcPr>
          <w:p w14:paraId="166D8CCE">
            <w:pPr>
              <w:spacing w:line="240" w:lineRule="exact"/>
              <w:rPr>
                <w:rFonts w:ascii="宋体" w:hAnsi="宋体" w:eastAsia="宋体" w:cs="宋体"/>
                <w:sz w:val="18"/>
                <w:szCs w:val="18"/>
              </w:rPr>
            </w:pPr>
            <w:r>
              <w:rPr>
                <w:rFonts w:ascii="宋体" w:hAnsi="宋体" w:eastAsia="宋体" w:cs="宋体"/>
                <w:sz w:val="18"/>
                <w:szCs w:val="18"/>
              </w:rPr>
              <w:t>科学研究和技术服务业</w:t>
            </w:r>
          </w:p>
        </w:tc>
        <w:tc>
          <w:tcPr>
            <w:tcW w:w="1205" w:type="dxa"/>
            <w:tcBorders>
              <w:top w:val="single" w:color="auto" w:sz="2" w:space="0"/>
              <w:left w:val="single" w:color="auto" w:sz="2" w:space="0"/>
              <w:bottom w:val="single" w:color="auto" w:sz="2" w:space="0"/>
              <w:right w:val="single" w:color="auto" w:sz="2" w:space="0"/>
            </w:tcBorders>
            <w:vAlign w:val="center"/>
          </w:tcPr>
          <w:p w14:paraId="3BD40DA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F8C4B9B">
            <w:pPr>
              <w:spacing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10898481">
            <w:pPr>
              <w:spacing w:line="240" w:lineRule="exact"/>
              <w:rPr>
                <w:rFonts w:ascii="宋体" w:hAnsi="宋体" w:eastAsia="宋体" w:cs="宋体"/>
                <w:sz w:val="18"/>
                <w:szCs w:val="18"/>
              </w:rPr>
            </w:pPr>
            <w:r>
              <w:rPr>
                <w:rFonts w:ascii="宋体" w:hAnsi="宋体" w:eastAsia="宋体" w:cs="宋体"/>
                <w:sz w:val="18"/>
                <w:szCs w:val="18"/>
              </w:rPr>
              <w:t>投资设立</w:t>
            </w:r>
          </w:p>
        </w:tc>
      </w:tr>
      <w:tr w14:paraId="598DD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2BC62B0">
            <w:pPr>
              <w:spacing w:line="240" w:lineRule="exact"/>
              <w:rPr>
                <w:rFonts w:ascii="宋体" w:hAnsi="宋体" w:eastAsia="宋体" w:cs="宋体"/>
                <w:sz w:val="18"/>
                <w:szCs w:val="18"/>
              </w:rPr>
            </w:pPr>
            <w:r>
              <w:rPr>
                <w:rFonts w:ascii="宋体" w:hAnsi="宋体" w:eastAsia="宋体" w:cs="宋体"/>
                <w:sz w:val="18"/>
                <w:szCs w:val="18"/>
              </w:rPr>
              <w:t>东阳市广厦菁英创业服务有限公司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1A656615">
            <w:pPr>
              <w:spacing w:line="240" w:lineRule="exact"/>
              <w:jc w:val="right"/>
              <w:rPr>
                <w:rFonts w:ascii="宋体" w:hAnsi="宋体" w:eastAsia="宋体" w:cs="宋体"/>
                <w:sz w:val="18"/>
                <w:szCs w:val="18"/>
              </w:rPr>
            </w:pPr>
            <w:r>
              <w:rPr>
                <w:rFonts w:ascii="宋体" w:hAnsi="宋体" w:eastAsia="宋体" w:cs="宋体"/>
                <w:sz w:val="18"/>
                <w:szCs w:val="18"/>
              </w:rPr>
              <w:t>5,000,000.00</w:t>
            </w:r>
          </w:p>
        </w:tc>
        <w:tc>
          <w:tcPr>
            <w:tcW w:w="1205" w:type="dxa"/>
            <w:tcBorders>
              <w:top w:val="single" w:color="auto" w:sz="2" w:space="0"/>
              <w:left w:val="single" w:color="auto" w:sz="2" w:space="0"/>
              <w:bottom w:val="single" w:color="auto" w:sz="2" w:space="0"/>
              <w:right w:val="single" w:color="auto" w:sz="2" w:space="0"/>
            </w:tcBorders>
            <w:vAlign w:val="center"/>
          </w:tcPr>
          <w:p w14:paraId="19C955AA">
            <w:pPr>
              <w:spacing w:line="240" w:lineRule="exact"/>
              <w:rPr>
                <w:rFonts w:ascii="宋体" w:hAnsi="宋体" w:eastAsia="宋体" w:cs="宋体"/>
                <w:sz w:val="18"/>
                <w:szCs w:val="18"/>
              </w:rPr>
            </w:pPr>
            <w:r>
              <w:rPr>
                <w:rFonts w:ascii="宋体" w:hAnsi="宋体" w:eastAsia="宋体" w:cs="宋体"/>
                <w:sz w:val="18"/>
                <w:szCs w:val="18"/>
              </w:rPr>
              <w:t>浙江省金华市</w:t>
            </w:r>
          </w:p>
        </w:tc>
        <w:tc>
          <w:tcPr>
            <w:tcW w:w="1205" w:type="dxa"/>
            <w:tcBorders>
              <w:top w:val="single" w:color="auto" w:sz="2" w:space="0"/>
              <w:left w:val="single" w:color="auto" w:sz="2" w:space="0"/>
              <w:bottom w:val="single" w:color="auto" w:sz="2" w:space="0"/>
              <w:right w:val="single" w:color="auto" w:sz="2" w:space="0"/>
            </w:tcBorders>
            <w:vAlign w:val="center"/>
          </w:tcPr>
          <w:p w14:paraId="1701D894">
            <w:pPr>
              <w:spacing w:line="240" w:lineRule="exact"/>
              <w:rPr>
                <w:rFonts w:ascii="宋体" w:hAnsi="宋体" w:eastAsia="宋体" w:cs="宋体"/>
                <w:sz w:val="18"/>
                <w:szCs w:val="18"/>
              </w:rPr>
            </w:pPr>
            <w:r>
              <w:rPr>
                <w:rFonts w:ascii="宋体" w:hAnsi="宋体" w:eastAsia="宋体" w:cs="宋体"/>
                <w:sz w:val="18"/>
                <w:szCs w:val="18"/>
              </w:rPr>
              <w:t>浙江省金华市</w:t>
            </w:r>
          </w:p>
        </w:tc>
        <w:tc>
          <w:tcPr>
            <w:tcW w:w="1205" w:type="dxa"/>
            <w:tcBorders>
              <w:top w:val="single" w:color="auto" w:sz="2" w:space="0"/>
              <w:left w:val="single" w:color="auto" w:sz="2" w:space="0"/>
              <w:bottom w:val="single" w:color="auto" w:sz="2" w:space="0"/>
              <w:right w:val="single" w:color="auto" w:sz="2" w:space="0"/>
            </w:tcBorders>
            <w:vAlign w:val="center"/>
          </w:tcPr>
          <w:p w14:paraId="3AC544FE">
            <w:pPr>
              <w:spacing w:line="240" w:lineRule="exact"/>
              <w:rPr>
                <w:rFonts w:ascii="宋体" w:hAnsi="宋体" w:eastAsia="宋体" w:cs="宋体"/>
                <w:sz w:val="18"/>
                <w:szCs w:val="18"/>
              </w:rPr>
            </w:pPr>
            <w:r>
              <w:rPr>
                <w:rFonts w:ascii="宋体" w:hAnsi="宋体" w:eastAsia="宋体" w:cs="宋体"/>
                <w:sz w:val="18"/>
                <w:szCs w:val="18"/>
              </w:rPr>
              <w:t>科学研究和技术服务业</w:t>
            </w:r>
          </w:p>
        </w:tc>
        <w:tc>
          <w:tcPr>
            <w:tcW w:w="1205" w:type="dxa"/>
            <w:tcBorders>
              <w:top w:val="single" w:color="auto" w:sz="2" w:space="0"/>
              <w:left w:val="single" w:color="auto" w:sz="2" w:space="0"/>
              <w:bottom w:val="single" w:color="auto" w:sz="2" w:space="0"/>
              <w:right w:val="single" w:color="auto" w:sz="2" w:space="0"/>
            </w:tcBorders>
            <w:vAlign w:val="center"/>
          </w:tcPr>
          <w:p w14:paraId="7F93DBC4">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B1019EF">
            <w:pPr>
              <w:spacing w:line="240" w:lineRule="exact"/>
              <w:jc w:val="right"/>
              <w:rPr>
                <w:rFonts w:ascii="宋体" w:hAnsi="宋体" w:eastAsia="宋体" w:cs="宋体"/>
                <w:sz w:val="18"/>
                <w:szCs w:val="18"/>
              </w:rPr>
            </w:pPr>
            <w:r>
              <w:rPr>
                <w:rFonts w:ascii="宋体" w:hAnsi="宋体" w:eastAsia="宋体" w:cs="宋体"/>
                <w:sz w:val="18"/>
                <w:szCs w:val="18"/>
              </w:rPr>
              <w:t>24.99%</w:t>
            </w:r>
          </w:p>
        </w:tc>
        <w:tc>
          <w:tcPr>
            <w:tcW w:w="1205" w:type="dxa"/>
            <w:tcBorders>
              <w:top w:val="single" w:color="auto" w:sz="2" w:space="0"/>
              <w:left w:val="single" w:color="auto" w:sz="2" w:space="0"/>
              <w:bottom w:val="single" w:color="auto" w:sz="2" w:space="0"/>
              <w:right w:val="single" w:color="auto" w:sz="2" w:space="0"/>
            </w:tcBorders>
            <w:vAlign w:val="center"/>
          </w:tcPr>
          <w:p w14:paraId="3A34E111">
            <w:pPr>
              <w:spacing w:line="240" w:lineRule="exact"/>
              <w:rPr>
                <w:rFonts w:ascii="宋体" w:hAnsi="宋体" w:eastAsia="宋体" w:cs="宋体"/>
                <w:sz w:val="18"/>
                <w:szCs w:val="18"/>
              </w:rPr>
            </w:pPr>
            <w:r>
              <w:rPr>
                <w:rFonts w:ascii="宋体" w:hAnsi="宋体" w:eastAsia="宋体" w:cs="宋体"/>
                <w:sz w:val="18"/>
                <w:szCs w:val="18"/>
              </w:rPr>
              <w:t>投资设立</w:t>
            </w:r>
          </w:p>
        </w:tc>
      </w:tr>
      <w:tr w14:paraId="59279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3E8F3AE">
            <w:pPr>
              <w:spacing w:line="240" w:lineRule="exact"/>
              <w:rPr>
                <w:rFonts w:ascii="宋体" w:hAnsi="宋体" w:eastAsia="宋体" w:cs="宋体"/>
                <w:sz w:val="18"/>
                <w:szCs w:val="18"/>
              </w:rPr>
            </w:pPr>
            <w:r>
              <w:rPr>
                <w:rFonts w:ascii="宋体" w:hAnsi="宋体" w:eastAsia="宋体" w:cs="宋体"/>
                <w:sz w:val="18"/>
                <w:szCs w:val="18"/>
              </w:rPr>
              <w:t>浙江尚春酒店有限公司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3D0325AF">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462BAD4E">
            <w:pPr>
              <w:spacing w:line="240" w:lineRule="exact"/>
              <w:rPr>
                <w:rFonts w:ascii="宋体" w:hAnsi="宋体" w:eastAsia="宋体" w:cs="宋体"/>
                <w:sz w:val="18"/>
                <w:szCs w:val="18"/>
              </w:rPr>
            </w:pPr>
            <w:r>
              <w:rPr>
                <w:rFonts w:ascii="宋体" w:hAnsi="宋体" w:eastAsia="宋体" w:cs="宋体"/>
                <w:sz w:val="18"/>
                <w:szCs w:val="18"/>
              </w:rPr>
              <w:t>浙江省绍兴市</w:t>
            </w:r>
          </w:p>
        </w:tc>
        <w:tc>
          <w:tcPr>
            <w:tcW w:w="1205" w:type="dxa"/>
            <w:tcBorders>
              <w:top w:val="single" w:color="auto" w:sz="2" w:space="0"/>
              <w:left w:val="single" w:color="auto" w:sz="2" w:space="0"/>
              <w:bottom w:val="single" w:color="auto" w:sz="2" w:space="0"/>
              <w:right w:val="single" w:color="auto" w:sz="2" w:space="0"/>
            </w:tcBorders>
            <w:vAlign w:val="center"/>
          </w:tcPr>
          <w:p w14:paraId="276E25B3">
            <w:pPr>
              <w:spacing w:line="240" w:lineRule="exact"/>
              <w:rPr>
                <w:rFonts w:ascii="宋体" w:hAnsi="宋体" w:eastAsia="宋体" w:cs="宋体"/>
                <w:sz w:val="18"/>
                <w:szCs w:val="18"/>
              </w:rPr>
            </w:pPr>
            <w:r>
              <w:rPr>
                <w:rFonts w:ascii="宋体" w:hAnsi="宋体" w:eastAsia="宋体" w:cs="宋体"/>
                <w:sz w:val="18"/>
                <w:szCs w:val="18"/>
              </w:rPr>
              <w:t>浙江省绍兴市</w:t>
            </w:r>
          </w:p>
        </w:tc>
        <w:tc>
          <w:tcPr>
            <w:tcW w:w="1205" w:type="dxa"/>
            <w:tcBorders>
              <w:top w:val="single" w:color="auto" w:sz="2" w:space="0"/>
              <w:left w:val="single" w:color="auto" w:sz="2" w:space="0"/>
              <w:bottom w:val="single" w:color="auto" w:sz="2" w:space="0"/>
              <w:right w:val="single" w:color="auto" w:sz="2" w:space="0"/>
            </w:tcBorders>
            <w:vAlign w:val="center"/>
          </w:tcPr>
          <w:p w14:paraId="5A531AFF">
            <w:pPr>
              <w:spacing w:line="240" w:lineRule="exact"/>
              <w:rPr>
                <w:rFonts w:ascii="宋体" w:hAnsi="宋体" w:eastAsia="宋体" w:cs="宋体"/>
                <w:sz w:val="18"/>
                <w:szCs w:val="18"/>
              </w:rPr>
            </w:pPr>
            <w:r>
              <w:rPr>
                <w:rFonts w:ascii="宋体" w:hAnsi="宋体" w:eastAsia="宋体" w:cs="宋体"/>
                <w:sz w:val="18"/>
                <w:szCs w:val="18"/>
              </w:rPr>
              <w:t>住宿和餐饮业</w:t>
            </w:r>
          </w:p>
        </w:tc>
        <w:tc>
          <w:tcPr>
            <w:tcW w:w="1205" w:type="dxa"/>
            <w:tcBorders>
              <w:top w:val="single" w:color="auto" w:sz="2" w:space="0"/>
              <w:left w:val="single" w:color="auto" w:sz="2" w:space="0"/>
              <w:bottom w:val="single" w:color="auto" w:sz="2" w:space="0"/>
              <w:right w:val="single" w:color="auto" w:sz="2" w:space="0"/>
            </w:tcBorders>
            <w:vAlign w:val="center"/>
          </w:tcPr>
          <w:p w14:paraId="2A6E46BE">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9D03D67">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33B401BE">
            <w:pPr>
              <w:spacing w:line="240" w:lineRule="exact"/>
              <w:rPr>
                <w:rFonts w:ascii="宋体" w:hAnsi="宋体" w:eastAsia="宋体" w:cs="宋体"/>
                <w:sz w:val="18"/>
                <w:szCs w:val="18"/>
              </w:rPr>
            </w:pPr>
            <w:r>
              <w:rPr>
                <w:rFonts w:ascii="宋体" w:hAnsi="宋体" w:eastAsia="宋体" w:cs="宋体"/>
                <w:sz w:val="18"/>
                <w:szCs w:val="18"/>
              </w:rPr>
              <w:t>投资设立</w:t>
            </w:r>
          </w:p>
        </w:tc>
      </w:tr>
      <w:tr w14:paraId="62EC3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07D57A4">
            <w:pPr>
              <w:spacing w:line="240" w:lineRule="exact"/>
              <w:rPr>
                <w:rFonts w:ascii="宋体" w:hAnsi="宋体" w:eastAsia="宋体" w:cs="宋体"/>
                <w:sz w:val="18"/>
                <w:szCs w:val="18"/>
              </w:rPr>
            </w:pPr>
            <w:r>
              <w:rPr>
                <w:rFonts w:ascii="宋体" w:hAnsi="宋体" w:eastAsia="宋体" w:cs="宋体"/>
                <w:sz w:val="18"/>
                <w:szCs w:val="18"/>
              </w:rPr>
              <w:t>新疆硕丰种业有限公司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2D11DBDC">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14:paraId="15304A51">
            <w:pPr>
              <w:spacing w:line="240" w:lineRule="exact"/>
              <w:rPr>
                <w:rFonts w:ascii="宋体" w:hAnsi="宋体" w:eastAsia="宋体" w:cs="宋体"/>
                <w:sz w:val="18"/>
                <w:szCs w:val="18"/>
              </w:rPr>
            </w:pPr>
            <w:r>
              <w:rPr>
                <w:rFonts w:ascii="宋体" w:hAnsi="宋体" w:eastAsia="宋体" w:cs="宋体"/>
                <w:sz w:val="18"/>
                <w:szCs w:val="18"/>
              </w:rPr>
              <w:t>新疆昌吉</w:t>
            </w:r>
          </w:p>
        </w:tc>
        <w:tc>
          <w:tcPr>
            <w:tcW w:w="1205" w:type="dxa"/>
            <w:tcBorders>
              <w:top w:val="single" w:color="auto" w:sz="2" w:space="0"/>
              <w:left w:val="single" w:color="auto" w:sz="2" w:space="0"/>
              <w:bottom w:val="single" w:color="auto" w:sz="2" w:space="0"/>
              <w:right w:val="single" w:color="auto" w:sz="2" w:space="0"/>
            </w:tcBorders>
            <w:vAlign w:val="center"/>
          </w:tcPr>
          <w:p w14:paraId="061D28C4">
            <w:pPr>
              <w:spacing w:line="240" w:lineRule="exact"/>
              <w:rPr>
                <w:rFonts w:ascii="宋体" w:hAnsi="宋体" w:eastAsia="宋体" w:cs="宋体"/>
                <w:sz w:val="18"/>
                <w:szCs w:val="18"/>
              </w:rPr>
            </w:pPr>
            <w:r>
              <w:rPr>
                <w:rFonts w:ascii="宋体" w:hAnsi="宋体" w:eastAsia="宋体" w:cs="宋体"/>
                <w:sz w:val="18"/>
                <w:szCs w:val="18"/>
              </w:rPr>
              <w:t>新疆昌吉</w:t>
            </w:r>
          </w:p>
        </w:tc>
        <w:tc>
          <w:tcPr>
            <w:tcW w:w="1205" w:type="dxa"/>
            <w:tcBorders>
              <w:top w:val="single" w:color="auto" w:sz="2" w:space="0"/>
              <w:left w:val="single" w:color="auto" w:sz="2" w:space="0"/>
              <w:bottom w:val="single" w:color="auto" w:sz="2" w:space="0"/>
              <w:right w:val="single" w:color="auto" w:sz="2" w:space="0"/>
            </w:tcBorders>
            <w:vAlign w:val="center"/>
          </w:tcPr>
          <w:p w14:paraId="013D3BD8">
            <w:pPr>
              <w:spacing w:line="240" w:lineRule="exact"/>
              <w:rPr>
                <w:rFonts w:ascii="宋体" w:hAnsi="宋体" w:eastAsia="宋体" w:cs="宋体"/>
                <w:sz w:val="18"/>
                <w:szCs w:val="18"/>
              </w:rPr>
            </w:pPr>
            <w:r>
              <w:rPr>
                <w:rFonts w:ascii="宋体" w:hAnsi="宋体" w:eastAsia="宋体" w:cs="宋体"/>
                <w:sz w:val="18"/>
                <w:szCs w:val="18"/>
              </w:rPr>
              <w:t>批发业</w:t>
            </w:r>
          </w:p>
        </w:tc>
        <w:tc>
          <w:tcPr>
            <w:tcW w:w="1205" w:type="dxa"/>
            <w:tcBorders>
              <w:top w:val="single" w:color="auto" w:sz="2" w:space="0"/>
              <w:left w:val="single" w:color="auto" w:sz="2" w:space="0"/>
              <w:bottom w:val="single" w:color="auto" w:sz="2" w:space="0"/>
              <w:right w:val="single" w:color="auto" w:sz="2" w:space="0"/>
            </w:tcBorders>
            <w:vAlign w:val="center"/>
          </w:tcPr>
          <w:p w14:paraId="16597274">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54C99BF">
            <w:pPr>
              <w:spacing w:line="240" w:lineRule="exact"/>
              <w:jc w:val="right"/>
              <w:rPr>
                <w:rFonts w:ascii="宋体" w:hAnsi="宋体" w:eastAsia="宋体" w:cs="宋体"/>
                <w:sz w:val="18"/>
                <w:szCs w:val="18"/>
              </w:rPr>
            </w:pPr>
            <w:r>
              <w:rPr>
                <w:rFonts w:ascii="宋体" w:hAnsi="宋体" w:eastAsia="宋体" w:cs="宋体"/>
                <w:sz w:val="18"/>
                <w:szCs w:val="18"/>
              </w:rPr>
              <w:t>60.00%</w:t>
            </w:r>
          </w:p>
        </w:tc>
        <w:tc>
          <w:tcPr>
            <w:tcW w:w="1205" w:type="dxa"/>
            <w:tcBorders>
              <w:top w:val="single" w:color="auto" w:sz="2" w:space="0"/>
              <w:left w:val="single" w:color="auto" w:sz="2" w:space="0"/>
              <w:bottom w:val="single" w:color="auto" w:sz="2" w:space="0"/>
              <w:right w:val="single" w:color="auto" w:sz="2" w:space="0"/>
            </w:tcBorders>
            <w:vAlign w:val="center"/>
          </w:tcPr>
          <w:p w14:paraId="6F56974B">
            <w:pPr>
              <w:spacing w:line="240" w:lineRule="exact"/>
              <w:rPr>
                <w:rFonts w:ascii="宋体" w:hAnsi="宋体" w:eastAsia="宋体" w:cs="宋体"/>
                <w:sz w:val="18"/>
                <w:szCs w:val="18"/>
              </w:rPr>
            </w:pPr>
            <w:r>
              <w:rPr>
                <w:rFonts w:ascii="宋体" w:hAnsi="宋体" w:eastAsia="宋体" w:cs="宋体"/>
                <w:sz w:val="18"/>
                <w:szCs w:val="18"/>
              </w:rPr>
              <w:t>非同一控制下企业合并</w:t>
            </w:r>
          </w:p>
        </w:tc>
      </w:tr>
      <w:tr w14:paraId="1FFF8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F5A1B79">
            <w:pPr>
              <w:spacing w:line="240" w:lineRule="exact"/>
              <w:rPr>
                <w:rFonts w:ascii="宋体" w:hAnsi="宋体" w:eastAsia="宋体" w:cs="宋体"/>
                <w:sz w:val="18"/>
                <w:szCs w:val="18"/>
              </w:rPr>
            </w:pPr>
            <w:r>
              <w:rPr>
                <w:rFonts w:ascii="宋体" w:hAnsi="宋体" w:eastAsia="宋体" w:cs="宋体"/>
                <w:sz w:val="18"/>
                <w:szCs w:val="18"/>
              </w:rPr>
              <w:t>阿克苏恒鑫棉花有限公司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ECAA674">
            <w:pPr>
              <w:spacing w:line="240" w:lineRule="exact"/>
              <w:jc w:val="right"/>
              <w:rPr>
                <w:rFonts w:ascii="宋体" w:hAnsi="宋体" w:eastAsia="宋体" w:cs="宋体"/>
                <w:sz w:val="18"/>
                <w:szCs w:val="18"/>
              </w:rPr>
            </w:pPr>
            <w:r>
              <w:rPr>
                <w:rFonts w:ascii="宋体" w:hAnsi="宋体" w:eastAsia="宋体" w:cs="宋体"/>
                <w:sz w:val="18"/>
                <w:szCs w:val="18"/>
              </w:rPr>
              <w:t>20,000,000.00</w:t>
            </w:r>
          </w:p>
        </w:tc>
        <w:tc>
          <w:tcPr>
            <w:tcW w:w="1205" w:type="dxa"/>
            <w:tcBorders>
              <w:top w:val="single" w:color="auto" w:sz="2" w:space="0"/>
              <w:left w:val="single" w:color="auto" w:sz="2" w:space="0"/>
              <w:bottom w:val="single" w:color="auto" w:sz="2" w:space="0"/>
              <w:right w:val="single" w:color="auto" w:sz="2" w:space="0"/>
            </w:tcBorders>
            <w:vAlign w:val="center"/>
          </w:tcPr>
          <w:p w14:paraId="3090BBE5">
            <w:pPr>
              <w:spacing w:line="240" w:lineRule="exact"/>
              <w:rPr>
                <w:rFonts w:ascii="宋体" w:hAnsi="宋体" w:eastAsia="宋体" w:cs="宋体"/>
                <w:sz w:val="18"/>
                <w:szCs w:val="18"/>
              </w:rPr>
            </w:pPr>
            <w:r>
              <w:rPr>
                <w:rFonts w:ascii="宋体" w:hAnsi="宋体" w:eastAsia="宋体" w:cs="宋体"/>
                <w:sz w:val="18"/>
                <w:szCs w:val="18"/>
              </w:rPr>
              <w:t>新疆阿克苏地区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03A46429">
            <w:pPr>
              <w:spacing w:line="240" w:lineRule="exact"/>
              <w:rPr>
                <w:rFonts w:ascii="宋体" w:hAnsi="宋体" w:eastAsia="宋体" w:cs="宋体"/>
                <w:sz w:val="18"/>
                <w:szCs w:val="18"/>
              </w:rPr>
            </w:pPr>
            <w:r>
              <w:rPr>
                <w:rFonts w:ascii="宋体" w:hAnsi="宋体" w:eastAsia="宋体" w:cs="宋体"/>
                <w:sz w:val="18"/>
                <w:szCs w:val="18"/>
              </w:rPr>
              <w:t>新疆阿克苏地区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42178D17">
            <w:pPr>
              <w:spacing w:line="240" w:lineRule="exact"/>
              <w:rPr>
                <w:rFonts w:ascii="宋体" w:hAnsi="宋体" w:eastAsia="宋体" w:cs="宋体"/>
                <w:sz w:val="18"/>
                <w:szCs w:val="18"/>
              </w:rPr>
            </w:pPr>
            <w:r>
              <w:rPr>
                <w:rFonts w:ascii="宋体" w:hAnsi="宋体" w:eastAsia="宋体" w:cs="宋体"/>
                <w:sz w:val="18"/>
                <w:szCs w:val="18"/>
              </w:rPr>
              <w:t>批发业</w:t>
            </w:r>
          </w:p>
        </w:tc>
        <w:tc>
          <w:tcPr>
            <w:tcW w:w="1205" w:type="dxa"/>
            <w:tcBorders>
              <w:top w:val="single" w:color="auto" w:sz="2" w:space="0"/>
              <w:left w:val="single" w:color="auto" w:sz="2" w:space="0"/>
              <w:bottom w:val="single" w:color="auto" w:sz="2" w:space="0"/>
              <w:right w:val="single" w:color="auto" w:sz="2" w:space="0"/>
            </w:tcBorders>
            <w:vAlign w:val="center"/>
          </w:tcPr>
          <w:p w14:paraId="0785B4C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74BDBAB">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14:paraId="25CA43A7">
            <w:pPr>
              <w:spacing w:line="240" w:lineRule="exact"/>
              <w:rPr>
                <w:rFonts w:ascii="宋体" w:hAnsi="宋体" w:eastAsia="宋体" w:cs="宋体"/>
                <w:sz w:val="18"/>
                <w:szCs w:val="18"/>
              </w:rPr>
            </w:pPr>
            <w:r>
              <w:rPr>
                <w:rFonts w:ascii="宋体" w:hAnsi="宋体" w:eastAsia="宋体" w:cs="宋体"/>
                <w:sz w:val="18"/>
                <w:szCs w:val="18"/>
              </w:rPr>
              <w:t>投资设立</w:t>
            </w:r>
          </w:p>
        </w:tc>
      </w:tr>
      <w:tr w14:paraId="76CCE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977503A">
            <w:pPr>
              <w:spacing w:line="240" w:lineRule="exact"/>
              <w:rPr>
                <w:rFonts w:ascii="宋体" w:hAnsi="宋体" w:eastAsia="宋体" w:cs="宋体"/>
                <w:sz w:val="18"/>
                <w:szCs w:val="18"/>
              </w:rPr>
            </w:pPr>
            <w:r>
              <w:rPr>
                <w:rFonts w:ascii="宋体" w:hAnsi="宋体" w:eastAsia="宋体" w:cs="宋体"/>
                <w:sz w:val="18"/>
                <w:szCs w:val="18"/>
              </w:rPr>
              <w:t>阿克苏恒孚医疗科技有限公司</w:t>
            </w:r>
          </w:p>
        </w:tc>
        <w:tc>
          <w:tcPr>
            <w:tcW w:w="1205" w:type="dxa"/>
            <w:tcBorders>
              <w:top w:val="single" w:color="auto" w:sz="2" w:space="0"/>
              <w:left w:val="single" w:color="auto" w:sz="2" w:space="0"/>
              <w:bottom w:val="single" w:color="auto" w:sz="2" w:space="0"/>
              <w:right w:val="single" w:color="auto" w:sz="2" w:space="0"/>
            </w:tcBorders>
            <w:vAlign w:val="center"/>
          </w:tcPr>
          <w:p w14:paraId="4AE3FDCE">
            <w:pPr>
              <w:spacing w:line="240" w:lineRule="exact"/>
              <w:jc w:val="right"/>
              <w:rPr>
                <w:rFonts w:ascii="宋体" w:hAnsi="宋体" w:eastAsia="宋体" w:cs="宋体"/>
                <w:sz w:val="18"/>
                <w:szCs w:val="18"/>
              </w:rPr>
            </w:pPr>
            <w:r>
              <w:rPr>
                <w:rFonts w:ascii="宋体" w:hAnsi="宋体" w:eastAsia="宋体" w:cs="宋体"/>
                <w:sz w:val="18"/>
                <w:szCs w:val="18"/>
              </w:rPr>
              <w:t>30,000,000.00</w:t>
            </w:r>
          </w:p>
        </w:tc>
        <w:tc>
          <w:tcPr>
            <w:tcW w:w="1205" w:type="dxa"/>
            <w:tcBorders>
              <w:top w:val="single" w:color="auto" w:sz="2" w:space="0"/>
              <w:left w:val="single" w:color="auto" w:sz="2" w:space="0"/>
              <w:bottom w:val="single" w:color="auto" w:sz="2" w:space="0"/>
              <w:right w:val="single" w:color="auto" w:sz="2" w:space="0"/>
            </w:tcBorders>
            <w:vAlign w:val="center"/>
          </w:tcPr>
          <w:p w14:paraId="2C5225E5">
            <w:pPr>
              <w:spacing w:line="240" w:lineRule="exact"/>
              <w:rPr>
                <w:rFonts w:ascii="宋体" w:hAnsi="宋体" w:eastAsia="宋体" w:cs="宋体"/>
                <w:sz w:val="18"/>
                <w:szCs w:val="18"/>
              </w:rPr>
            </w:pPr>
            <w:r>
              <w:rPr>
                <w:rFonts w:ascii="宋体" w:hAnsi="宋体" w:eastAsia="宋体" w:cs="宋体"/>
                <w:sz w:val="18"/>
                <w:szCs w:val="18"/>
              </w:rPr>
              <w:t>新疆阿克苏地区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715CC8F6">
            <w:pPr>
              <w:spacing w:line="240" w:lineRule="exact"/>
              <w:rPr>
                <w:rFonts w:ascii="宋体" w:hAnsi="宋体" w:eastAsia="宋体" w:cs="宋体"/>
                <w:sz w:val="18"/>
                <w:szCs w:val="18"/>
              </w:rPr>
            </w:pPr>
            <w:r>
              <w:rPr>
                <w:rFonts w:ascii="宋体" w:hAnsi="宋体" w:eastAsia="宋体" w:cs="宋体"/>
                <w:sz w:val="18"/>
                <w:szCs w:val="18"/>
              </w:rPr>
              <w:t>新疆阿克苏地区</w:t>
            </w:r>
          </w:p>
        </w:tc>
        <w:tc>
          <w:tcPr>
            <w:tcW w:w="1205" w:type="dxa"/>
            <w:tcBorders>
              <w:top w:val="single" w:color="auto" w:sz="2" w:space="0"/>
              <w:left w:val="single" w:color="auto" w:sz="2" w:space="0"/>
              <w:bottom w:val="single" w:color="auto" w:sz="2" w:space="0"/>
              <w:right w:val="single" w:color="auto" w:sz="2" w:space="0"/>
            </w:tcBorders>
            <w:vAlign w:val="center"/>
          </w:tcPr>
          <w:p w14:paraId="44F75FC1">
            <w:pPr>
              <w:spacing w:line="240" w:lineRule="exact"/>
              <w:rPr>
                <w:rFonts w:ascii="宋体" w:hAnsi="宋体" w:eastAsia="宋体" w:cs="宋体"/>
                <w:sz w:val="18"/>
                <w:szCs w:val="18"/>
              </w:rPr>
            </w:pPr>
            <w:r>
              <w:rPr>
                <w:rFonts w:ascii="宋体" w:hAnsi="宋体" w:eastAsia="宋体" w:cs="宋体"/>
                <w:sz w:val="18"/>
                <w:szCs w:val="18"/>
              </w:rPr>
              <w:t>科学研究和技术服务业</w:t>
            </w:r>
          </w:p>
        </w:tc>
        <w:tc>
          <w:tcPr>
            <w:tcW w:w="1205" w:type="dxa"/>
            <w:tcBorders>
              <w:top w:val="single" w:color="auto" w:sz="2" w:space="0"/>
              <w:left w:val="single" w:color="auto" w:sz="2" w:space="0"/>
              <w:bottom w:val="single" w:color="auto" w:sz="2" w:space="0"/>
              <w:right w:val="single" w:color="auto" w:sz="2" w:space="0"/>
            </w:tcBorders>
            <w:vAlign w:val="center"/>
          </w:tcPr>
          <w:p w14:paraId="5C7AB30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37D7F3E">
            <w:pPr>
              <w:spacing w:line="240" w:lineRule="exact"/>
              <w:jc w:val="right"/>
              <w:rPr>
                <w:rFonts w:ascii="宋体" w:hAnsi="宋体" w:eastAsia="宋体" w:cs="宋体"/>
                <w:sz w:val="18"/>
                <w:szCs w:val="18"/>
              </w:rPr>
            </w:pPr>
            <w:r>
              <w:rPr>
                <w:rFonts w:ascii="宋体" w:hAnsi="宋体" w:eastAsia="宋体" w:cs="宋体"/>
                <w:sz w:val="18"/>
                <w:szCs w:val="18"/>
              </w:rPr>
              <w:t>51.00%</w:t>
            </w:r>
          </w:p>
        </w:tc>
        <w:tc>
          <w:tcPr>
            <w:tcW w:w="1205" w:type="dxa"/>
            <w:tcBorders>
              <w:top w:val="single" w:color="auto" w:sz="2" w:space="0"/>
              <w:left w:val="single" w:color="auto" w:sz="2" w:space="0"/>
              <w:bottom w:val="single" w:color="auto" w:sz="2" w:space="0"/>
              <w:right w:val="single" w:color="auto" w:sz="2" w:space="0"/>
            </w:tcBorders>
            <w:vAlign w:val="center"/>
          </w:tcPr>
          <w:p w14:paraId="07C7B53C">
            <w:pPr>
              <w:spacing w:line="240" w:lineRule="exact"/>
              <w:rPr>
                <w:rFonts w:ascii="宋体" w:hAnsi="宋体" w:eastAsia="宋体" w:cs="宋体"/>
                <w:sz w:val="18"/>
                <w:szCs w:val="18"/>
              </w:rPr>
            </w:pPr>
            <w:r>
              <w:rPr>
                <w:rFonts w:ascii="宋体" w:hAnsi="宋体" w:eastAsia="宋体" w:cs="宋体"/>
                <w:sz w:val="18"/>
                <w:szCs w:val="18"/>
              </w:rPr>
              <w:t>投资设立</w:t>
            </w:r>
          </w:p>
        </w:tc>
      </w:tr>
    </w:tbl>
    <w:p w14:paraId="304BC95A">
      <w:pPr>
        <w:spacing w:before="100" w:after="100" w:line="240" w:lineRule="exact"/>
        <w:rPr>
          <w:rFonts w:ascii="宋体" w:hAnsi="宋体" w:eastAsia="宋体" w:cs="宋体"/>
          <w:sz w:val="18"/>
          <w:szCs w:val="18"/>
        </w:rPr>
      </w:pPr>
      <w:r>
        <w:rPr>
          <w:rFonts w:ascii="宋体" w:hAnsi="宋体" w:eastAsia="宋体" w:cs="宋体"/>
          <w:sz w:val="18"/>
          <w:szCs w:val="18"/>
        </w:rPr>
        <w:t>在子公司的持股比例不同于表决权比例的说明：无</w:t>
      </w:r>
    </w:p>
    <w:p w14:paraId="557E6C41">
      <w:pPr>
        <w:spacing w:before="100" w:after="100" w:line="240" w:lineRule="exact"/>
        <w:rPr>
          <w:rFonts w:ascii="宋体" w:hAnsi="宋体" w:eastAsia="宋体" w:cs="宋体"/>
          <w:sz w:val="18"/>
          <w:szCs w:val="18"/>
        </w:rPr>
      </w:pPr>
      <w:r>
        <w:rPr>
          <w:rFonts w:ascii="宋体" w:hAnsi="宋体" w:eastAsia="宋体" w:cs="宋体"/>
          <w:sz w:val="18"/>
          <w:szCs w:val="18"/>
        </w:rPr>
        <w:t>持有半数或以下表决权但仍控制被投资单位、以及持有半数以上表决权但不控制被投资单位的依据：无</w:t>
      </w:r>
    </w:p>
    <w:p w14:paraId="222F9546">
      <w:pPr>
        <w:spacing w:before="100" w:after="100" w:line="240" w:lineRule="exact"/>
        <w:rPr>
          <w:rFonts w:ascii="宋体" w:hAnsi="宋体" w:eastAsia="宋体" w:cs="宋体"/>
          <w:sz w:val="18"/>
          <w:szCs w:val="18"/>
        </w:rPr>
      </w:pPr>
      <w:r>
        <w:rPr>
          <w:rFonts w:ascii="宋体" w:hAnsi="宋体" w:eastAsia="宋体" w:cs="宋体"/>
          <w:sz w:val="18"/>
          <w:szCs w:val="18"/>
        </w:rPr>
        <w:t>对于纳入合并范围的重要的结构化主体，控制的依据：无</w:t>
      </w:r>
    </w:p>
    <w:p w14:paraId="121C7BF5">
      <w:pPr>
        <w:spacing w:before="100" w:after="100" w:line="240" w:lineRule="exact"/>
        <w:rPr>
          <w:rFonts w:ascii="宋体" w:hAnsi="宋体" w:eastAsia="宋体" w:cs="宋体"/>
          <w:sz w:val="18"/>
          <w:szCs w:val="18"/>
        </w:rPr>
      </w:pPr>
      <w:r>
        <w:rPr>
          <w:rFonts w:ascii="宋体" w:hAnsi="宋体" w:eastAsia="宋体" w:cs="宋体"/>
          <w:sz w:val="18"/>
          <w:szCs w:val="18"/>
        </w:rPr>
        <w:t>确定公司是代理人还是委托人的依据：无</w:t>
      </w:r>
    </w:p>
    <w:p w14:paraId="03E6FCAE">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76BAD352">
      <w:pPr>
        <w:keepNext/>
        <w:keepLines/>
        <w:spacing w:before="300" w:after="300" w:line="280" w:lineRule="exact"/>
        <w:outlineLvl w:val="3"/>
        <w:rPr>
          <w:rFonts w:ascii="宋体" w:hAnsi="宋体" w:eastAsia="宋体" w:cs="宋体"/>
          <w:b/>
          <w:bCs/>
          <w:sz w:val="18"/>
          <w:szCs w:val="18"/>
        </w:rPr>
      </w:pPr>
      <w:bookmarkStart w:id="517" w:name="_Toc989372"/>
      <w:r>
        <w:rPr>
          <w:rFonts w:ascii="宋体" w:hAnsi="宋体" w:eastAsia="宋体" w:cs="宋体"/>
          <w:b/>
          <w:bCs/>
          <w:sz w:val="18"/>
          <w:szCs w:val="18"/>
        </w:rPr>
        <w:t>（2） 重要的非全资子公司</w:t>
      </w:r>
      <w:bookmarkEnd w:id="517"/>
    </w:p>
    <w:p w14:paraId="6AFB6C0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56B9E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7A602D1">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2362B38">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EB70235">
            <w:pPr>
              <w:spacing w:before="40" w:after="40" w:line="240" w:lineRule="exact"/>
              <w:jc w:val="center"/>
              <w:rPr>
                <w:rFonts w:ascii="宋体" w:hAnsi="宋体" w:eastAsia="宋体" w:cs="宋体"/>
                <w:sz w:val="18"/>
                <w:szCs w:val="18"/>
              </w:rPr>
            </w:pPr>
            <w:r>
              <w:rPr>
                <w:rFonts w:ascii="宋体" w:hAnsi="宋体" w:eastAsia="宋体" w:cs="宋体"/>
                <w:sz w:val="18"/>
                <w:szCs w:val="18"/>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4CD8DF8">
            <w:pPr>
              <w:spacing w:before="40" w:after="40" w:line="240" w:lineRule="exact"/>
              <w:jc w:val="center"/>
              <w:rPr>
                <w:rFonts w:ascii="宋体" w:hAnsi="宋体" w:eastAsia="宋体" w:cs="宋体"/>
                <w:sz w:val="18"/>
                <w:szCs w:val="18"/>
              </w:rPr>
            </w:pPr>
            <w:r>
              <w:rPr>
                <w:rFonts w:ascii="宋体" w:hAnsi="宋体" w:eastAsia="宋体" w:cs="宋体"/>
                <w:sz w:val="18"/>
                <w:szCs w:val="18"/>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371C17E">
            <w:pPr>
              <w:spacing w:before="40" w:after="40" w:line="240" w:lineRule="exact"/>
              <w:jc w:val="center"/>
              <w:rPr>
                <w:rFonts w:ascii="宋体" w:hAnsi="宋体" w:eastAsia="宋体" w:cs="宋体"/>
                <w:sz w:val="18"/>
                <w:szCs w:val="18"/>
              </w:rPr>
            </w:pPr>
            <w:r>
              <w:rPr>
                <w:rFonts w:ascii="宋体" w:hAnsi="宋体" w:eastAsia="宋体" w:cs="宋体"/>
                <w:sz w:val="18"/>
                <w:szCs w:val="18"/>
              </w:rPr>
              <w:t>期末少数股东权益余额</w:t>
            </w:r>
          </w:p>
        </w:tc>
      </w:tr>
      <w:tr w14:paraId="681CB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287AB97">
            <w:pPr>
              <w:spacing w:line="240" w:lineRule="exact"/>
              <w:rPr>
                <w:rFonts w:ascii="宋体" w:hAnsi="宋体" w:eastAsia="宋体" w:cs="宋体"/>
                <w:sz w:val="18"/>
                <w:szCs w:val="18"/>
              </w:rPr>
            </w:pPr>
            <w:r>
              <w:rPr>
                <w:rFonts w:ascii="宋体" w:hAnsi="宋体" w:eastAsia="宋体" w:cs="宋体"/>
                <w:sz w:val="18"/>
                <w:szCs w:val="18"/>
              </w:rPr>
              <w:t>浙江阿大互联科技有限公司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5A30FEB7">
            <w:pPr>
              <w:spacing w:line="240" w:lineRule="exact"/>
              <w:jc w:val="right"/>
              <w:rPr>
                <w:rFonts w:ascii="宋体" w:hAnsi="宋体" w:eastAsia="宋体" w:cs="宋体"/>
                <w:sz w:val="18"/>
                <w:szCs w:val="18"/>
              </w:rPr>
            </w:pPr>
            <w:r>
              <w:rPr>
                <w:rFonts w:ascii="宋体" w:hAnsi="宋体" w:eastAsia="宋体" w:cs="宋体"/>
                <w:sz w:val="18"/>
                <w:szCs w:val="18"/>
              </w:rPr>
              <w:t>21.63%</w:t>
            </w:r>
          </w:p>
        </w:tc>
        <w:tc>
          <w:tcPr>
            <w:tcW w:w="1928" w:type="dxa"/>
            <w:tcBorders>
              <w:top w:val="single" w:color="auto" w:sz="2" w:space="0"/>
              <w:left w:val="single" w:color="auto" w:sz="2" w:space="0"/>
              <w:bottom w:val="single" w:color="auto" w:sz="2" w:space="0"/>
              <w:right w:val="single" w:color="auto" w:sz="2" w:space="0"/>
            </w:tcBorders>
            <w:vAlign w:val="center"/>
          </w:tcPr>
          <w:p w14:paraId="7A5476F1">
            <w:pPr>
              <w:spacing w:line="240" w:lineRule="exact"/>
              <w:jc w:val="right"/>
              <w:rPr>
                <w:rFonts w:ascii="宋体" w:hAnsi="宋体" w:eastAsia="宋体" w:cs="宋体"/>
                <w:sz w:val="18"/>
                <w:szCs w:val="18"/>
              </w:rPr>
            </w:pPr>
            <w:r>
              <w:rPr>
                <w:rFonts w:ascii="宋体" w:hAnsi="宋体" w:eastAsia="宋体" w:cs="宋体"/>
                <w:sz w:val="18"/>
                <w:szCs w:val="18"/>
              </w:rPr>
              <w:t>5,643,270.79</w:t>
            </w:r>
          </w:p>
        </w:tc>
        <w:tc>
          <w:tcPr>
            <w:tcW w:w="1928" w:type="dxa"/>
            <w:tcBorders>
              <w:top w:val="single" w:color="auto" w:sz="2" w:space="0"/>
              <w:left w:val="single" w:color="auto" w:sz="2" w:space="0"/>
              <w:bottom w:val="single" w:color="auto" w:sz="2" w:space="0"/>
              <w:right w:val="single" w:color="auto" w:sz="2" w:space="0"/>
            </w:tcBorders>
            <w:vAlign w:val="center"/>
          </w:tcPr>
          <w:p w14:paraId="190248DC">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4A1EB30">
            <w:pPr>
              <w:spacing w:line="240" w:lineRule="exact"/>
              <w:jc w:val="right"/>
              <w:rPr>
                <w:rFonts w:ascii="宋体" w:hAnsi="宋体" w:eastAsia="宋体" w:cs="宋体"/>
                <w:sz w:val="18"/>
                <w:szCs w:val="18"/>
              </w:rPr>
            </w:pPr>
            <w:r>
              <w:rPr>
                <w:rFonts w:ascii="宋体" w:hAnsi="宋体" w:eastAsia="宋体" w:cs="宋体"/>
                <w:sz w:val="18"/>
                <w:szCs w:val="18"/>
              </w:rPr>
              <w:t>119,799,256.25</w:t>
            </w:r>
          </w:p>
        </w:tc>
      </w:tr>
      <w:tr w14:paraId="594B2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6B15A66">
            <w:pPr>
              <w:spacing w:line="240" w:lineRule="exact"/>
              <w:rPr>
                <w:rFonts w:ascii="宋体" w:hAnsi="宋体" w:eastAsia="宋体" w:cs="宋体"/>
                <w:sz w:val="18"/>
                <w:szCs w:val="18"/>
              </w:rPr>
            </w:pPr>
            <w:r>
              <w:rPr>
                <w:rFonts w:ascii="宋体" w:hAnsi="宋体" w:eastAsia="宋体" w:cs="宋体"/>
                <w:sz w:val="18"/>
                <w:szCs w:val="18"/>
              </w:rPr>
              <w:t>新疆天孚棉花供应链股份有限公司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65D82361">
            <w:pPr>
              <w:spacing w:line="240" w:lineRule="exact"/>
              <w:jc w:val="right"/>
              <w:rPr>
                <w:rFonts w:ascii="宋体" w:hAnsi="宋体" w:eastAsia="宋体" w:cs="宋体"/>
                <w:sz w:val="18"/>
                <w:szCs w:val="18"/>
              </w:rPr>
            </w:pPr>
            <w:r>
              <w:rPr>
                <w:rFonts w:ascii="宋体" w:hAnsi="宋体" w:eastAsia="宋体" w:cs="宋体"/>
                <w:sz w:val="18"/>
                <w:szCs w:val="18"/>
              </w:rPr>
              <w:t>49.00%</w:t>
            </w:r>
          </w:p>
        </w:tc>
        <w:tc>
          <w:tcPr>
            <w:tcW w:w="1928" w:type="dxa"/>
            <w:tcBorders>
              <w:top w:val="single" w:color="auto" w:sz="2" w:space="0"/>
              <w:left w:val="single" w:color="auto" w:sz="2" w:space="0"/>
              <w:bottom w:val="single" w:color="auto" w:sz="2" w:space="0"/>
              <w:right w:val="single" w:color="auto" w:sz="2" w:space="0"/>
            </w:tcBorders>
            <w:vAlign w:val="center"/>
          </w:tcPr>
          <w:p w14:paraId="60D44339">
            <w:pPr>
              <w:spacing w:line="240" w:lineRule="exact"/>
              <w:jc w:val="right"/>
              <w:rPr>
                <w:rFonts w:ascii="宋体" w:hAnsi="宋体" w:eastAsia="宋体" w:cs="宋体"/>
                <w:sz w:val="18"/>
                <w:szCs w:val="18"/>
              </w:rPr>
            </w:pPr>
            <w:r>
              <w:rPr>
                <w:rFonts w:ascii="宋体" w:hAnsi="宋体" w:eastAsia="宋体" w:cs="宋体"/>
                <w:sz w:val="18"/>
                <w:szCs w:val="18"/>
              </w:rPr>
              <w:t>5,316,098.59</w:t>
            </w:r>
          </w:p>
        </w:tc>
        <w:tc>
          <w:tcPr>
            <w:tcW w:w="1928" w:type="dxa"/>
            <w:tcBorders>
              <w:top w:val="single" w:color="auto" w:sz="2" w:space="0"/>
              <w:left w:val="single" w:color="auto" w:sz="2" w:space="0"/>
              <w:bottom w:val="single" w:color="auto" w:sz="2" w:space="0"/>
              <w:right w:val="single" w:color="auto" w:sz="2" w:space="0"/>
            </w:tcBorders>
            <w:vAlign w:val="center"/>
          </w:tcPr>
          <w:p w14:paraId="574F31AC">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71E9FCB">
            <w:pPr>
              <w:spacing w:line="240" w:lineRule="exact"/>
              <w:jc w:val="right"/>
              <w:rPr>
                <w:rFonts w:ascii="宋体" w:hAnsi="宋体" w:eastAsia="宋体" w:cs="宋体"/>
                <w:sz w:val="18"/>
                <w:szCs w:val="18"/>
              </w:rPr>
            </w:pPr>
            <w:r>
              <w:rPr>
                <w:rFonts w:ascii="宋体" w:hAnsi="宋体" w:eastAsia="宋体" w:cs="宋体"/>
                <w:sz w:val="18"/>
                <w:szCs w:val="18"/>
              </w:rPr>
              <w:t>62,974,626.42</w:t>
            </w:r>
          </w:p>
        </w:tc>
      </w:tr>
      <w:tr w14:paraId="17DF7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702AFF76">
            <w:pPr>
              <w:spacing w:line="240" w:lineRule="exact"/>
              <w:rPr>
                <w:rFonts w:ascii="宋体" w:hAnsi="宋体" w:eastAsia="宋体" w:cs="宋体"/>
                <w:sz w:val="18"/>
                <w:szCs w:val="18"/>
              </w:rPr>
            </w:pPr>
            <w:r>
              <w:rPr>
                <w:rFonts w:ascii="宋体" w:hAnsi="宋体" w:eastAsia="宋体" w:cs="宋体"/>
                <w:sz w:val="18"/>
                <w:szCs w:val="18"/>
              </w:rPr>
              <w:t>新疆棉花交易市场有限责任公司</w:t>
            </w:r>
          </w:p>
        </w:tc>
        <w:tc>
          <w:tcPr>
            <w:tcW w:w="1928" w:type="dxa"/>
            <w:tcBorders>
              <w:top w:val="single" w:color="auto" w:sz="2" w:space="0"/>
              <w:left w:val="single" w:color="auto" w:sz="2" w:space="0"/>
              <w:bottom w:val="single" w:color="auto" w:sz="2" w:space="0"/>
              <w:right w:val="single" w:color="auto" w:sz="2" w:space="0"/>
            </w:tcBorders>
            <w:vAlign w:val="center"/>
          </w:tcPr>
          <w:p w14:paraId="09BDD7A9">
            <w:pPr>
              <w:spacing w:line="240" w:lineRule="exact"/>
              <w:jc w:val="right"/>
              <w:rPr>
                <w:rFonts w:ascii="宋体" w:hAnsi="宋体" w:eastAsia="宋体" w:cs="宋体"/>
                <w:sz w:val="18"/>
                <w:szCs w:val="18"/>
              </w:rPr>
            </w:pPr>
            <w:r>
              <w:rPr>
                <w:rFonts w:ascii="宋体" w:hAnsi="宋体" w:eastAsia="宋体" w:cs="宋体"/>
                <w:sz w:val="18"/>
                <w:szCs w:val="18"/>
              </w:rPr>
              <w:t>29.60%</w:t>
            </w:r>
          </w:p>
        </w:tc>
        <w:tc>
          <w:tcPr>
            <w:tcW w:w="1928" w:type="dxa"/>
            <w:tcBorders>
              <w:top w:val="single" w:color="auto" w:sz="2" w:space="0"/>
              <w:left w:val="single" w:color="auto" w:sz="2" w:space="0"/>
              <w:bottom w:val="single" w:color="auto" w:sz="2" w:space="0"/>
              <w:right w:val="single" w:color="auto" w:sz="2" w:space="0"/>
            </w:tcBorders>
            <w:vAlign w:val="center"/>
          </w:tcPr>
          <w:p w14:paraId="3B3EABEB">
            <w:pPr>
              <w:spacing w:line="240" w:lineRule="exact"/>
              <w:jc w:val="right"/>
              <w:rPr>
                <w:rFonts w:ascii="宋体" w:hAnsi="宋体" w:eastAsia="宋体" w:cs="宋体"/>
                <w:sz w:val="18"/>
                <w:szCs w:val="18"/>
              </w:rPr>
            </w:pPr>
            <w:r>
              <w:rPr>
                <w:rFonts w:ascii="宋体" w:hAnsi="宋体" w:eastAsia="宋体" w:cs="宋体"/>
                <w:sz w:val="18"/>
                <w:szCs w:val="18"/>
              </w:rPr>
              <w:t>-606,188.98</w:t>
            </w:r>
          </w:p>
        </w:tc>
        <w:tc>
          <w:tcPr>
            <w:tcW w:w="1928" w:type="dxa"/>
            <w:tcBorders>
              <w:top w:val="single" w:color="auto" w:sz="2" w:space="0"/>
              <w:left w:val="single" w:color="auto" w:sz="2" w:space="0"/>
              <w:bottom w:val="single" w:color="auto" w:sz="2" w:space="0"/>
              <w:right w:val="single" w:color="auto" w:sz="2" w:space="0"/>
            </w:tcBorders>
            <w:vAlign w:val="center"/>
          </w:tcPr>
          <w:p w14:paraId="1A97A286">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42FD3E4">
            <w:pPr>
              <w:spacing w:line="240" w:lineRule="exact"/>
              <w:jc w:val="right"/>
              <w:rPr>
                <w:rFonts w:ascii="宋体" w:hAnsi="宋体" w:eastAsia="宋体" w:cs="宋体"/>
                <w:sz w:val="18"/>
                <w:szCs w:val="18"/>
              </w:rPr>
            </w:pPr>
            <w:r>
              <w:rPr>
                <w:rFonts w:ascii="宋体" w:hAnsi="宋体" w:eastAsia="宋体" w:cs="宋体"/>
                <w:sz w:val="18"/>
                <w:szCs w:val="18"/>
              </w:rPr>
              <w:t>20,838,797.32</w:t>
            </w:r>
          </w:p>
        </w:tc>
      </w:tr>
      <w:tr w14:paraId="1E206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5C1713E">
            <w:pPr>
              <w:spacing w:line="240" w:lineRule="exact"/>
              <w:rPr>
                <w:rFonts w:ascii="宋体" w:hAnsi="宋体" w:eastAsia="宋体" w:cs="宋体"/>
                <w:sz w:val="18"/>
                <w:szCs w:val="18"/>
              </w:rPr>
            </w:pPr>
            <w:r>
              <w:rPr>
                <w:rFonts w:ascii="宋体" w:hAnsi="宋体" w:eastAsia="宋体" w:cs="宋体"/>
                <w:sz w:val="18"/>
                <w:szCs w:val="18"/>
              </w:rPr>
              <w:t>阿克苏银星物流有限公司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4C24B0D7">
            <w:pPr>
              <w:spacing w:line="240" w:lineRule="exact"/>
              <w:jc w:val="right"/>
              <w:rPr>
                <w:rFonts w:ascii="宋体" w:hAnsi="宋体" w:eastAsia="宋体" w:cs="宋体"/>
                <w:sz w:val="18"/>
                <w:szCs w:val="18"/>
              </w:rPr>
            </w:pPr>
            <w:r>
              <w:rPr>
                <w:rFonts w:ascii="宋体" w:hAnsi="宋体" w:eastAsia="宋体" w:cs="宋体"/>
                <w:sz w:val="18"/>
                <w:szCs w:val="18"/>
              </w:rPr>
              <w:t>59.20%</w:t>
            </w:r>
          </w:p>
        </w:tc>
        <w:tc>
          <w:tcPr>
            <w:tcW w:w="1928" w:type="dxa"/>
            <w:tcBorders>
              <w:top w:val="single" w:color="auto" w:sz="2" w:space="0"/>
              <w:left w:val="single" w:color="auto" w:sz="2" w:space="0"/>
              <w:bottom w:val="single" w:color="auto" w:sz="2" w:space="0"/>
              <w:right w:val="single" w:color="auto" w:sz="2" w:space="0"/>
            </w:tcBorders>
            <w:vAlign w:val="center"/>
          </w:tcPr>
          <w:p w14:paraId="4379D303">
            <w:pPr>
              <w:spacing w:line="240" w:lineRule="exact"/>
              <w:jc w:val="right"/>
              <w:rPr>
                <w:rFonts w:ascii="宋体" w:hAnsi="宋体" w:eastAsia="宋体" w:cs="宋体"/>
                <w:sz w:val="18"/>
                <w:szCs w:val="18"/>
              </w:rPr>
            </w:pPr>
            <w:r>
              <w:rPr>
                <w:rFonts w:ascii="宋体" w:hAnsi="宋体" w:eastAsia="宋体" w:cs="宋体"/>
                <w:sz w:val="18"/>
                <w:szCs w:val="18"/>
              </w:rPr>
              <w:t>9,975,173.99</w:t>
            </w:r>
          </w:p>
        </w:tc>
        <w:tc>
          <w:tcPr>
            <w:tcW w:w="1928" w:type="dxa"/>
            <w:tcBorders>
              <w:top w:val="single" w:color="auto" w:sz="2" w:space="0"/>
              <w:left w:val="single" w:color="auto" w:sz="2" w:space="0"/>
              <w:bottom w:val="single" w:color="auto" w:sz="2" w:space="0"/>
              <w:right w:val="single" w:color="auto" w:sz="2" w:space="0"/>
            </w:tcBorders>
            <w:vAlign w:val="center"/>
          </w:tcPr>
          <w:p w14:paraId="7BE584EA">
            <w:pPr>
              <w:spacing w:line="240" w:lineRule="exact"/>
              <w:jc w:val="right"/>
              <w:rPr>
                <w:rFonts w:ascii="宋体" w:hAnsi="宋体" w:eastAsia="宋体" w:cs="宋体"/>
                <w:sz w:val="18"/>
                <w:szCs w:val="18"/>
              </w:rPr>
            </w:pPr>
            <w:r>
              <w:rPr>
                <w:rFonts w:ascii="宋体" w:hAnsi="宋体" w:eastAsia="宋体" w:cs="宋体"/>
                <w:sz w:val="18"/>
                <w:szCs w:val="18"/>
              </w:rPr>
              <w:t>9,460,160.00</w:t>
            </w:r>
          </w:p>
        </w:tc>
        <w:tc>
          <w:tcPr>
            <w:tcW w:w="1928" w:type="dxa"/>
            <w:tcBorders>
              <w:top w:val="single" w:color="auto" w:sz="2" w:space="0"/>
              <w:left w:val="single" w:color="auto" w:sz="2" w:space="0"/>
              <w:bottom w:val="single" w:color="auto" w:sz="2" w:space="0"/>
              <w:right w:val="single" w:color="auto" w:sz="2" w:space="0"/>
            </w:tcBorders>
            <w:vAlign w:val="center"/>
          </w:tcPr>
          <w:p w14:paraId="7CED764F">
            <w:pPr>
              <w:spacing w:line="240" w:lineRule="exact"/>
              <w:jc w:val="right"/>
              <w:rPr>
                <w:rFonts w:ascii="宋体" w:hAnsi="宋体" w:eastAsia="宋体" w:cs="宋体"/>
                <w:sz w:val="18"/>
                <w:szCs w:val="18"/>
              </w:rPr>
            </w:pPr>
            <w:r>
              <w:rPr>
                <w:rFonts w:ascii="宋体" w:hAnsi="宋体" w:eastAsia="宋体" w:cs="宋体"/>
                <w:sz w:val="18"/>
                <w:szCs w:val="18"/>
              </w:rPr>
              <w:t>36,580,856.32</w:t>
            </w:r>
          </w:p>
        </w:tc>
      </w:tr>
      <w:tr w14:paraId="0155B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73EBA798">
            <w:pPr>
              <w:spacing w:line="240" w:lineRule="exact"/>
              <w:rPr>
                <w:rFonts w:ascii="宋体" w:hAnsi="宋体" w:eastAsia="宋体" w:cs="宋体"/>
                <w:sz w:val="18"/>
                <w:szCs w:val="18"/>
              </w:rPr>
            </w:pPr>
            <w:r>
              <w:rPr>
                <w:rFonts w:ascii="宋体" w:hAnsi="宋体" w:eastAsia="宋体" w:cs="宋体"/>
                <w:sz w:val="18"/>
                <w:szCs w:val="18"/>
              </w:rPr>
              <w:t>奎屯锦孚纺织有限公司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09015896">
            <w:pPr>
              <w:spacing w:line="240" w:lineRule="exact"/>
              <w:jc w:val="right"/>
              <w:rPr>
                <w:rFonts w:ascii="宋体" w:hAnsi="宋体" w:eastAsia="宋体" w:cs="宋体"/>
                <w:sz w:val="18"/>
                <w:szCs w:val="18"/>
              </w:rPr>
            </w:pPr>
            <w:r>
              <w:rPr>
                <w:rFonts w:ascii="宋体" w:hAnsi="宋体" w:eastAsia="宋体" w:cs="宋体"/>
                <w:sz w:val="18"/>
                <w:szCs w:val="18"/>
              </w:rPr>
              <w:t>33.00%</w:t>
            </w:r>
          </w:p>
        </w:tc>
        <w:tc>
          <w:tcPr>
            <w:tcW w:w="1928" w:type="dxa"/>
            <w:tcBorders>
              <w:top w:val="single" w:color="auto" w:sz="2" w:space="0"/>
              <w:left w:val="single" w:color="auto" w:sz="2" w:space="0"/>
              <w:bottom w:val="single" w:color="auto" w:sz="2" w:space="0"/>
              <w:right w:val="single" w:color="auto" w:sz="2" w:space="0"/>
            </w:tcBorders>
            <w:vAlign w:val="center"/>
          </w:tcPr>
          <w:p w14:paraId="659E7BB3">
            <w:pPr>
              <w:spacing w:line="240" w:lineRule="exact"/>
              <w:jc w:val="right"/>
              <w:rPr>
                <w:rFonts w:ascii="宋体" w:hAnsi="宋体" w:eastAsia="宋体" w:cs="宋体"/>
                <w:sz w:val="18"/>
                <w:szCs w:val="18"/>
              </w:rPr>
            </w:pPr>
            <w:r>
              <w:rPr>
                <w:rFonts w:ascii="宋体" w:hAnsi="宋体" w:eastAsia="宋体" w:cs="宋体"/>
                <w:sz w:val="18"/>
                <w:szCs w:val="18"/>
              </w:rPr>
              <w:t>-15,220,674.54</w:t>
            </w:r>
          </w:p>
        </w:tc>
        <w:tc>
          <w:tcPr>
            <w:tcW w:w="1928" w:type="dxa"/>
            <w:tcBorders>
              <w:top w:val="single" w:color="auto" w:sz="2" w:space="0"/>
              <w:left w:val="single" w:color="auto" w:sz="2" w:space="0"/>
              <w:bottom w:val="single" w:color="auto" w:sz="2" w:space="0"/>
              <w:right w:val="single" w:color="auto" w:sz="2" w:space="0"/>
            </w:tcBorders>
            <w:vAlign w:val="center"/>
          </w:tcPr>
          <w:p w14:paraId="39B573A7">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934BB46">
            <w:pPr>
              <w:spacing w:line="240" w:lineRule="exact"/>
              <w:jc w:val="right"/>
              <w:rPr>
                <w:rFonts w:ascii="宋体" w:hAnsi="宋体" w:eastAsia="宋体" w:cs="宋体"/>
                <w:sz w:val="18"/>
                <w:szCs w:val="18"/>
              </w:rPr>
            </w:pPr>
            <w:r>
              <w:rPr>
                <w:rFonts w:ascii="宋体" w:hAnsi="宋体" w:eastAsia="宋体" w:cs="宋体"/>
                <w:sz w:val="18"/>
                <w:szCs w:val="18"/>
              </w:rPr>
              <w:t>-22,148,363.36</w:t>
            </w:r>
          </w:p>
        </w:tc>
      </w:tr>
      <w:tr w14:paraId="3BC2D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DFAB433">
            <w:pPr>
              <w:spacing w:line="240" w:lineRule="exact"/>
              <w:rPr>
                <w:rFonts w:ascii="宋体" w:hAnsi="宋体" w:eastAsia="宋体" w:cs="宋体"/>
                <w:sz w:val="18"/>
                <w:szCs w:val="18"/>
              </w:rPr>
            </w:pPr>
            <w:r>
              <w:rPr>
                <w:rFonts w:ascii="宋体" w:hAnsi="宋体" w:eastAsia="宋体" w:cs="宋体"/>
                <w:sz w:val="18"/>
                <w:szCs w:val="18"/>
              </w:rPr>
              <w:t>越南隆安英鸿投资股份有限公司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675D6F18">
            <w:pPr>
              <w:spacing w:line="240" w:lineRule="exact"/>
              <w:jc w:val="right"/>
              <w:rPr>
                <w:rFonts w:ascii="宋体" w:hAnsi="宋体" w:eastAsia="宋体" w:cs="宋体"/>
                <w:sz w:val="18"/>
                <w:szCs w:val="18"/>
              </w:rPr>
            </w:pPr>
            <w:r>
              <w:rPr>
                <w:rFonts w:ascii="宋体" w:hAnsi="宋体" w:eastAsia="宋体" w:cs="宋体"/>
                <w:sz w:val="18"/>
                <w:szCs w:val="18"/>
              </w:rPr>
              <w:t>10.00%</w:t>
            </w:r>
          </w:p>
        </w:tc>
        <w:tc>
          <w:tcPr>
            <w:tcW w:w="1928" w:type="dxa"/>
            <w:tcBorders>
              <w:top w:val="single" w:color="auto" w:sz="2" w:space="0"/>
              <w:left w:val="single" w:color="auto" w:sz="2" w:space="0"/>
              <w:bottom w:val="single" w:color="auto" w:sz="2" w:space="0"/>
              <w:right w:val="single" w:color="auto" w:sz="2" w:space="0"/>
            </w:tcBorders>
            <w:vAlign w:val="center"/>
          </w:tcPr>
          <w:p w14:paraId="0F7D391E">
            <w:pPr>
              <w:spacing w:line="240" w:lineRule="exact"/>
              <w:jc w:val="right"/>
              <w:rPr>
                <w:rFonts w:ascii="宋体" w:hAnsi="宋体" w:eastAsia="宋体" w:cs="宋体"/>
                <w:sz w:val="18"/>
                <w:szCs w:val="18"/>
              </w:rPr>
            </w:pPr>
            <w:r>
              <w:rPr>
                <w:rFonts w:ascii="宋体" w:hAnsi="宋体" w:eastAsia="宋体" w:cs="宋体"/>
                <w:sz w:val="18"/>
                <w:szCs w:val="18"/>
              </w:rPr>
              <w:t>-759,262.93</w:t>
            </w:r>
          </w:p>
        </w:tc>
        <w:tc>
          <w:tcPr>
            <w:tcW w:w="1928" w:type="dxa"/>
            <w:tcBorders>
              <w:top w:val="single" w:color="auto" w:sz="2" w:space="0"/>
              <w:left w:val="single" w:color="auto" w:sz="2" w:space="0"/>
              <w:bottom w:val="single" w:color="auto" w:sz="2" w:space="0"/>
              <w:right w:val="single" w:color="auto" w:sz="2" w:space="0"/>
            </w:tcBorders>
            <w:vAlign w:val="center"/>
          </w:tcPr>
          <w:p w14:paraId="7D84DCF8">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4929D32">
            <w:pPr>
              <w:spacing w:line="240" w:lineRule="exact"/>
              <w:jc w:val="right"/>
              <w:rPr>
                <w:rFonts w:ascii="宋体" w:hAnsi="宋体" w:eastAsia="宋体" w:cs="宋体"/>
                <w:sz w:val="18"/>
                <w:szCs w:val="18"/>
              </w:rPr>
            </w:pPr>
            <w:r>
              <w:rPr>
                <w:rFonts w:ascii="宋体" w:hAnsi="宋体" w:eastAsia="宋体" w:cs="宋体"/>
                <w:sz w:val="18"/>
                <w:szCs w:val="18"/>
              </w:rPr>
              <w:t>18,269,376.61</w:t>
            </w:r>
          </w:p>
        </w:tc>
      </w:tr>
    </w:tbl>
    <w:p w14:paraId="33945433">
      <w:pPr>
        <w:spacing w:before="100" w:after="100" w:line="240" w:lineRule="exact"/>
        <w:rPr>
          <w:rFonts w:ascii="宋体" w:hAnsi="宋体" w:eastAsia="宋体" w:cs="宋体"/>
          <w:sz w:val="18"/>
          <w:szCs w:val="18"/>
        </w:rPr>
      </w:pPr>
      <w:r>
        <w:rPr>
          <w:rFonts w:ascii="宋体" w:hAnsi="宋体" w:eastAsia="宋体" w:cs="宋体"/>
          <w:sz w:val="18"/>
          <w:szCs w:val="18"/>
        </w:rPr>
        <w:t>子公司少数股东的持股比例不同于表决权比例的说明：无</w:t>
      </w:r>
    </w:p>
    <w:p w14:paraId="59199466">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3F0011F0">
      <w:pPr>
        <w:keepNext/>
        <w:keepLines/>
        <w:spacing w:before="300" w:after="300" w:line="280" w:lineRule="exact"/>
        <w:outlineLvl w:val="3"/>
        <w:rPr>
          <w:rFonts w:ascii="宋体" w:hAnsi="宋体" w:eastAsia="宋体" w:cs="宋体"/>
          <w:b/>
          <w:bCs/>
          <w:sz w:val="18"/>
          <w:szCs w:val="18"/>
        </w:rPr>
      </w:pPr>
      <w:bookmarkStart w:id="518" w:name="_Toc989373"/>
      <w:r>
        <w:rPr>
          <w:rFonts w:ascii="宋体" w:hAnsi="宋体" w:eastAsia="宋体" w:cs="宋体"/>
          <w:b/>
          <w:bCs/>
          <w:sz w:val="18"/>
          <w:szCs w:val="18"/>
        </w:rPr>
        <w:t>（3） 重要非全资子公司的主要财务信息</w:t>
      </w:r>
      <w:bookmarkEnd w:id="518"/>
    </w:p>
    <w:p w14:paraId="700BB84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4"/>
        <w:gridCol w:w="741"/>
        <w:gridCol w:w="741"/>
        <w:gridCol w:w="741"/>
        <w:gridCol w:w="741"/>
        <w:gridCol w:w="741"/>
        <w:gridCol w:w="744"/>
      </w:tblGrid>
      <w:tr w14:paraId="2AA9C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C0E191E">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304ADC9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14:paraId="039A43E8">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2D68F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C98216D"/>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329E2D7">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70800D3">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21934A0">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5EDB108">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F571838">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C9B75A8">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10C0BC8">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3063E7B">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455E720">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D26E81B">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0A445F9">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FCC7318">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r>
      <w:tr w14:paraId="4138A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0C4A0B44">
            <w:pPr>
              <w:spacing w:line="240" w:lineRule="exact"/>
              <w:rPr>
                <w:rFonts w:ascii="宋体" w:hAnsi="宋体" w:eastAsia="宋体" w:cs="宋体"/>
                <w:sz w:val="18"/>
                <w:szCs w:val="18"/>
              </w:rPr>
            </w:pPr>
            <w:r>
              <w:rPr>
                <w:rFonts w:ascii="宋体" w:hAnsi="宋体" w:eastAsia="宋体" w:cs="宋体"/>
                <w:sz w:val="18"/>
                <w:szCs w:val="18"/>
              </w:rPr>
              <w:t> 浙江阿大互联科技有限公司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770CBF15">
            <w:pPr>
              <w:spacing w:line="240" w:lineRule="exact"/>
              <w:jc w:val="right"/>
              <w:rPr>
                <w:rFonts w:ascii="宋体" w:hAnsi="宋体" w:eastAsia="宋体" w:cs="宋体"/>
                <w:sz w:val="18"/>
                <w:szCs w:val="18"/>
              </w:rPr>
            </w:pPr>
            <w:r>
              <w:rPr>
                <w:rFonts w:ascii="宋体" w:hAnsi="宋体" w:eastAsia="宋体" w:cs="宋体"/>
                <w:sz w:val="18"/>
                <w:szCs w:val="18"/>
              </w:rPr>
              <w:t>672,556,756.94</w:t>
            </w:r>
          </w:p>
        </w:tc>
        <w:tc>
          <w:tcPr>
            <w:tcW w:w="741" w:type="dxa"/>
            <w:tcBorders>
              <w:top w:val="single" w:color="auto" w:sz="2" w:space="0"/>
              <w:left w:val="single" w:color="auto" w:sz="2" w:space="0"/>
              <w:bottom w:val="single" w:color="auto" w:sz="2" w:space="0"/>
              <w:right w:val="single" w:color="auto" w:sz="2" w:space="0"/>
            </w:tcBorders>
            <w:vAlign w:val="center"/>
          </w:tcPr>
          <w:p w14:paraId="467E69CB">
            <w:pPr>
              <w:spacing w:line="240" w:lineRule="exact"/>
              <w:jc w:val="right"/>
              <w:rPr>
                <w:rFonts w:ascii="宋体" w:hAnsi="宋体" w:eastAsia="宋体" w:cs="宋体"/>
                <w:sz w:val="18"/>
                <w:szCs w:val="18"/>
              </w:rPr>
            </w:pPr>
            <w:r>
              <w:rPr>
                <w:rFonts w:ascii="宋体" w:hAnsi="宋体" w:eastAsia="宋体" w:cs="宋体"/>
                <w:sz w:val="18"/>
                <w:szCs w:val="18"/>
              </w:rPr>
              <w:t>247,605,932.63</w:t>
            </w:r>
          </w:p>
        </w:tc>
        <w:tc>
          <w:tcPr>
            <w:tcW w:w="741" w:type="dxa"/>
            <w:tcBorders>
              <w:top w:val="single" w:color="auto" w:sz="2" w:space="0"/>
              <w:left w:val="single" w:color="auto" w:sz="2" w:space="0"/>
              <w:bottom w:val="single" w:color="auto" w:sz="2" w:space="0"/>
              <w:right w:val="single" w:color="auto" w:sz="2" w:space="0"/>
            </w:tcBorders>
            <w:vAlign w:val="center"/>
          </w:tcPr>
          <w:p w14:paraId="05D1BF1B">
            <w:pPr>
              <w:spacing w:line="240" w:lineRule="exact"/>
              <w:jc w:val="right"/>
              <w:rPr>
                <w:rFonts w:ascii="宋体" w:hAnsi="宋体" w:eastAsia="宋体" w:cs="宋体"/>
                <w:sz w:val="18"/>
                <w:szCs w:val="18"/>
              </w:rPr>
            </w:pPr>
            <w:r>
              <w:rPr>
                <w:rFonts w:ascii="宋体" w:hAnsi="宋体" w:eastAsia="宋体" w:cs="宋体"/>
                <w:sz w:val="18"/>
                <w:szCs w:val="18"/>
              </w:rPr>
              <w:t>920,162,689.57</w:t>
            </w:r>
          </w:p>
        </w:tc>
        <w:tc>
          <w:tcPr>
            <w:tcW w:w="741" w:type="dxa"/>
            <w:tcBorders>
              <w:top w:val="single" w:color="auto" w:sz="2" w:space="0"/>
              <w:left w:val="single" w:color="auto" w:sz="2" w:space="0"/>
              <w:bottom w:val="single" w:color="auto" w:sz="2" w:space="0"/>
              <w:right w:val="single" w:color="auto" w:sz="2" w:space="0"/>
            </w:tcBorders>
            <w:vAlign w:val="center"/>
          </w:tcPr>
          <w:p w14:paraId="621FA6FC">
            <w:pPr>
              <w:spacing w:line="240" w:lineRule="exact"/>
              <w:jc w:val="right"/>
              <w:rPr>
                <w:rFonts w:ascii="宋体" w:hAnsi="宋体" w:eastAsia="宋体" w:cs="宋体"/>
                <w:sz w:val="18"/>
                <w:szCs w:val="18"/>
              </w:rPr>
            </w:pPr>
            <w:r>
              <w:rPr>
                <w:rFonts w:ascii="宋体" w:hAnsi="宋体" w:eastAsia="宋体" w:cs="宋体"/>
                <w:sz w:val="18"/>
                <w:szCs w:val="18"/>
              </w:rPr>
              <w:t>350,254,213.35</w:t>
            </w:r>
          </w:p>
        </w:tc>
        <w:tc>
          <w:tcPr>
            <w:tcW w:w="741" w:type="dxa"/>
            <w:tcBorders>
              <w:top w:val="single" w:color="auto" w:sz="2" w:space="0"/>
              <w:left w:val="single" w:color="auto" w:sz="2" w:space="0"/>
              <w:bottom w:val="single" w:color="auto" w:sz="2" w:space="0"/>
              <w:right w:val="single" w:color="auto" w:sz="2" w:space="0"/>
            </w:tcBorders>
            <w:vAlign w:val="center"/>
          </w:tcPr>
          <w:p w14:paraId="27E231A3">
            <w:pPr>
              <w:spacing w:line="240" w:lineRule="exact"/>
              <w:jc w:val="right"/>
              <w:rPr>
                <w:rFonts w:ascii="宋体" w:hAnsi="宋体" w:eastAsia="宋体" w:cs="宋体"/>
                <w:sz w:val="18"/>
                <w:szCs w:val="18"/>
              </w:rPr>
            </w:pPr>
            <w:r>
              <w:rPr>
                <w:rFonts w:ascii="宋体" w:hAnsi="宋体" w:eastAsia="宋体" w:cs="宋体"/>
                <w:sz w:val="18"/>
                <w:szCs w:val="18"/>
              </w:rPr>
              <w:t>5,243,523.88</w:t>
            </w:r>
          </w:p>
        </w:tc>
        <w:tc>
          <w:tcPr>
            <w:tcW w:w="741" w:type="dxa"/>
            <w:tcBorders>
              <w:top w:val="single" w:color="auto" w:sz="2" w:space="0"/>
              <w:left w:val="single" w:color="auto" w:sz="2" w:space="0"/>
              <w:bottom w:val="single" w:color="auto" w:sz="2" w:space="0"/>
              <w:right w:val="single" w:color="auto" w:sz="2" w:space="0"/>
            </w:tcBorders>
            <w:vAlign w:val="center"/>
          </w:tcPr>
          <w:p w14:paraId="4B3F6907">
            <w:pPr>
              <w:spacing w:line="240" w:lineRule="exact"/>
              <w:jc w:val="right"/>
              <w:rPr>
                <w:rFonts w:ascii="宋体" w:hAnsi="宋体" w:eastAsia="宋体" w:cs="宋体"/>
                <w:sz w:val="18"/>
                <w:szCs w:val="18"/>
              </w:rPr>
            </w:pPr>
            <w:r>
              <w:rPr>
                <w:rFonts w:ascii="宋体" w:hAnsi="宋体" w:eastAsia="宋体" w:cs="宋体"/>
                <w:sz w:val="18"/>
                <w:szCs w:val="18"/>
              </w:rPr>
              <w:t>355,497,737.23</w:t>
            </w:r>
          </w:p>
        </w:tc>
        <w:tc>
          <w:tcPr>
            <w:tcW w:w="741" w:type="dxa"/>
            <w:tcBorders>
              <w:top w:val="single" w:color="auto" w:sz="2" w:space="0"/>
              <w:left w:val="single" w:color="auto" w:sz="2" w:space="0"/>
              <w:bottom w:val="single" w:color="auto" w:sz="2" w:space="0"/>
              <w:right w:val="single" w:color="auto" w:sz="2" w:space="0"/>
            </w:tcBorders>
            <w:vAlign w:val="center"/>
          </w:tcPr>
          <w:p w14:paraId="4CFA5C1A">
            <w:pPr>
              <w:spacing w:line="240" w:lineRule="exact"/>
              <w:jc w:val="right"/>
              <w:rPr>
                <w:rFonts w:ascii="宋体" w:hAnsi="宋体" w:eastAsia="宋体" w:cs="宋体"/>
                <w:sz w:val="18"/>
                <w:szCs w:val="18"/>
              </w:rPr>
            </w:pPr>
            <w:r>
              <w:rPr>
                <w:rFonts w:ascii="宋体" w:hAnsi="宋体" w:eastAsia="宋体" w:cs="宋体"/>
                <w:sz w:val="18"/>
                <w:szCs w:val="18"/>
              </w:rPr>
              <w:t>581,157,883.14</w:t>
            </w:r>
          </w:p>
        </w:tc>
        <w:tc>
          <w:tcPr>
            <w:tcW w:w="741" w:type="dxa"/>
            <w:tcBorders>
              <w:top w:val="single" w:color="auto" w:sz="2" w:space="0"/>
              <w:left w:val="single" w:color="auto" w:sz="2" w:space="0"/>
              <w:bottom w:val="single" w:color="auto" w:sz="2" w:space="0"/>
              <w:right w:val="single" w:color="auto" w:sz="2" w:space="0"/>
            </w:tcBorders>
            <w:vAlign w:val="center"/>
          </w:tcPr>
          <w:p w14:paraId="10AA3D43">
            <w:pPr>
              <w:spacing w:line="240" w:lineRule="exact"/>
              <w:jc w:val="right"/>
              <w:rPr>
                <w:rFonts w:ascii="宋体" w:hAnsi="宋体" w:eastAsia="宋体" w:cs="宋体"/>
                <w:sz w:val="18"/>
                <w:szCs w:val="18"/>
              </w:rPr>
            </w:pPr>
            <w:r>
              <w:rPr>
                <w:rFonts w:ascii="宋体" w:hAnsi="宋体" w:eastAsia="宋体" w:cs="宋体"/>
                <w:sz w:val="18"/>
                <w:szCs w:val="18"/>
              </w:rPr>
              <w:t>246,495,156.90</w:t>
            </w:r>
          </w:p>
        </w:tc>
        <w:tc>
          <w:tcPr>
            <w:tcW w:w="741" w:type="dxa"/>
            <w:tcBorders>
              <w:top w:val="single" w:color="auto" w:sz="2" w:space="0"/>
              <w:left w:val="single" w:color="auto" w:sz="2" w:space="0"/>
              <w:bottom w:val="single" w:color="auto" w:sz="2" w:space="0"/>
              <w:right w:val="single" w:color="auto" w:sz="2" w:space="0"/>
            </w:tcBorders>
            <w:vAlign w:val="center"/>
          </w:tcPr>
          <w:p w14:paraId="7F485877">
            <w:pPr>
              <w:spacing w:line="240" w:lineRule="exact"/>
              <w:jc w:val="right"/>
              <w:rPr>
                <w:rFonts w:ascii="宋体" w:hAnsi="宋体" w:eastAsia="宋体" w:cs="宋体"/>
                <w:sz w:val="18"/>
                <w:szCs w:val="18"/>
              </w:rPr>
            </w:pPr>
            <w:r>
              <w:rPr>
                <w:rFonts w:ascii="宋体" w:hAnsi="宋体" w:eastAsia="宋体" w:cs="宋体"/>
                <w:sz w:val="18"/>
                <w:szCs w:val="18"/>
              </w:rPr>
              <w:t>827,653,040.04</w:t>
            </w:r>
          </w:p>
        </w:tc>
        <w:tc>
          <w:tcPr>
            <w:tcW w:w="741" w:type="dxa"/>
            <w:tcBorders>
              <w:top w:val="single" w:color="auto" w:sz="2" w:space="0"/>
              <w:left w:val="single" w:color="auto" w:sz="2" w:space="0"/>
              <w:bottom w:val="single" w:color="auto" w:sz="2" w:space="0"/>
              <w:right w:val="single" w:color="auto" w:sz="2" w:space="0"/>
            </w:tcBorders>
            <w:vAlign w:val="center"/>
          </w:tcPr>
          <w:p w14:paraId="3582C78B">
            <w:pPr>
              <w:spacing w:line="240" w:lineRule="exact"/>
              <w:jc w:val="right"/>
              <w:rPr>
                <w:rFonts w:ascii="宋体" w:hAnsi="宋体" w:eastAsia="宋体" w:cs="宋体"/>
                <w:sz w:val="18"/>
                <w:szCs w:val="18"/>
              </w:rPr>
            </w:pPr>
            <w:r>
              <w:rPr>
                <w:rFonts w:ascii="宋体" w:hAnsi="宋体" w:eastAsia="宋体" w:cs="宋体"/>
                <w:sz w:val="18"/>
                <w:szCs w:val="18"/>
              </w:rPr>
              <w:t>274,662,063.26</w:t>
            </w:r>
          </w:p>
        </w:tc>
        <w:tc>
          <w:tcPr>
            <w:tcW w:w="741" w:type="dxa"/>
            <w:tcBorders>
              <w:top w:val="single" w:color="auto" w:sz="2" w:space="0"/>
              <w:left w:val="single" w:color="auto" w:sz="2" w:space="0"/>
              <w:bottom w:val="single" w:color="auto" w:sz="2" w:space="0"/>
              <w:right w:val="single" w:color="auto" w:sz="2" w:space="0"/>
            </w:tcBorders>
            <w:vAlign w:val="center"/>
          </w:tcPr>
          <w:p w14:paraId="64A7753D">
            <w:pPr>
              <w:spacing w:line="240" w:lineRule="exact"/>
              <w:jc w:val="right"/>
              <w:rPr>
                <w:rFonts w:ascii="宋体" w:hAnsi="宋体" w:eastAsia="宋体" w:cs="宋体"/>
                <w:sz w:val="18"/>
                <w:szCs w:val="18"/>
              </w:rPr>
            </w:pPr>
            <w:r>
              <w:rPr>
                <w:rFonts w:ascii="宋体" w:hAnsi="宋体" w:eastAsia="宋体" w:cs="宋体"/>
                <w:sz w:val="18"/>
                <w:szCs w:val="18"/>
              </w:rPr>
              <w:t>6,410,284.16</w:t>
            </w:r>
          </w:p>
        </w:tc>
        <w:tc>
          <w:tcPr>
            <w:tcW w:w="741" w:type="dxa"/>
            <w:tcBorders>
              <w:top w:val="single" w:color="auto" w:sz="2" w:space="0"/>
              <w:left w:val="single" w:color="auto" w:sz="2" w:space="0"/>
              <w:bottom w:val="single" w:color="auto" w:sz="2" w:space="0"/>
              <w:right w:val="single" w:color="auto" w:sz="2" w:space="0"/>
            </w:tcBorders>
            <w:vAlign w:val="center"/>
          </w:tcPr>
          <w:p w14:paraId="3BE1F101">
            <w:pPr>
              <w:spacing w:line="240" w:lineRule="exact"/>
              <w:jc w:val="right"/>
              <w:rPr>
                <w:rFonts w:ascii="宋体" w:hAnsi="宋体" w:eastAsia="宋体" w:cs="宋体"/>
                <w:sz w:val="18"/>
                <w:szCs w:val="18"/>
              </w:rPr>
            </w:pPr>
            <w:r>
              <w:rPr>
                <w:rFonts w:ascii="宋体" w:hAnsi="宋体" w:eastAsia="宋体" w:cs="宋体"/>
                <w:sz w:val="18"/>
                <w:szCs w:val="18"/>
              </w:rPr>
              <w:t>281,072,347.42</w:t>
            </w:r>
          </w:p>
        </w:tc>
      </w:tr>
      <w:tr w14:paraId="15C5C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4A17E919">
            <w:pPr>
              <w:spacing w:line="240" w:lineRule="exact"/>
              <w:rPr>
                <w:rFonts w:ascii="宋体" w:hAnsi="宋体" w:eastAsia="宋体" w:cs="宋体"/>
                <w:sz w:val="18"/>
                <w:szCs w:val="18"/>
              </w:rPr>
            </w:pPr>
            <w:r>
              <w:rPr>
                <w:rFonts w:ascii="宋体" w:hAnsi="宋体" w:eastAsia="宋体" w:cs="宋体"/>
                <w:sz w:val="18"/>
                <w:szCs w:val="18"/>
              </w:rPr>
              <w:t>  新疆天孚棉花供应链股份有限公司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3E0ED75D">
            <w:pPr>
              <w:spacing w:line="240" w:lineRule="exact"/>
              <w:jc w:val="right"/>
              <w:rPr>
                <w:rFonts w:ascii="宋体" w:hAnsi="宋体" w:eastAsia="宋体" w:cs="宋体"/>
                <w:sz w:val="18"/>
                <w:szCs w:val="18"/>
              </w:rPr>
            </w:pPr>
            <w:r>
              <w:rPr>
                <w:rFonts w:ascii="宋体" w:hAnsi="宋体" w:eastAsia="宋体" w:cs="宋体"/>
                <w:sz w:val="18"/>
                <w:szCs w:val="18"/>
              </w:rPr>
              <w:t>53,648,730.81</w:t>
            </w:r>
          </w:p>
        </w:tc>
        <w:tc>
          <w:tcPr>
            <w:tcW w:w="741" w:type="dxa"/>
            <w:tcBorders>
              <w:top w:val="single" w:color="auto" w:sz="2" w:space="0"/>
              <w:left w:val="single" w:color="auto" w:sz="2" w:space="0"/>
              <w:bottom w:val="single" w:color="auto" w:sz="2" w:space="0"/>
              <w:right w:val="single" w:color="auto" w:sz="2" w:space="0"/>
            </w:tcBorders>
            <w:vAlign w:val="center"/>
          </w:tcPr>
          <w:p w14:paraId="6AF520F8">
            <w:pPr>
              <w:spacing w:line="240" w:lineRule="exact"/>
              <w:jc w:val="right"/>
              <w:rPr>
                <w:rFonts w:ascii="宋体" w:hAnsi="宋体" w:eastAsia="宋体" w:cs="宋体"/>
                <w:sz w:val="18"/>
                <w:szCs w:val="18"/>
              </w:rPr>
            </w:pPr>
            <w:r>
              <w:rPr>
                <w:rFonts w:ascii="宋体" w:hAnsi="宋体" w:eastAsia="宋体" w:cs="宋体"/>
                <w:sz w:val="18"/>
                <w:szCs w:val="18"/>
              </w:rPr>
              <w:t>99,997,882.12</w:t>
            </w:r>
          </w:p>
        </w:tc>
        <w:tc>
          <w:tcPr>
            <w:tcW w:w="741" w:type="dxa"/>
            <w:tcBorders>
              <w:top w:val="single" w:color="auto" w:sz="2" w:space="0"/>
              <w:left w:val="single" w:color="auto" w:sz="2" w:space="0"/>
              <w:bottom w:val="single" w:color="auto" w:sz="2" w:space="0"/>
              <w:right w:val="single" w:color="auto" w:sz="2" w:space="0"/>
            </w:tcBorders>
            <w:vAlign w:val="center"/>
          </w:tcPr>
          <w:p w14:paraId="2068258C">
            <w:pPr>
              <w:spacing w:line="240" w:lineRule="exact"/>
              <w:jc w:val="right"/>
              <w:rPr>
                <w:rFonts w:ascii="宋体" w:hAnsi="宋体" w:eastAsia="宋体" w:cs="宋体"/>
                <w:sz w:val="18"/>
                <w:szCs w:val="18"/>
              </w:rPr>
            </w:pPr>
            <w:r>
              <w:rPr>
                <w:rFonts w:ascii="宋体" w:hAnsi="宋体" w:eastAsia="宋体" w:cs="宋体"/>
                <w:sz w:val="18"/>
                <w:szCs w:val="18"/>
              </w:rPr>
              <w:t>153,646,612.93</w:t>
            </w:r>
          </w:p>
        </w:tc>
        <w:tc>
          <w:tcPr>
            <w:tcW w:w="741" w:type="dxa"/>
            <w:tcBorders>
              <w:top w:val="single" w:color="auto" w:sz="2" w:space="0"/>
              <w:left w:val="single" w:color="auto" w:sz="2" w:space="0"/>
              <w:bottom w:val="single" w:color="auto" w:sz="2" w:space="0"/>
              <w:right w:val="single" w:color="auto" w:sz="2" w:space="0"/>
            </w:tcBorders>
            <w:vAlign w:val="center"/>
          </w:tcPr>
          <w:p w14:paraId="02855FDA">
            <w:pPr>
              <w:spacing w:line="240" w:lineRule="exact"/>
              <w:jc w:val="right"/>
              <w:rPr>
                <w:rFonts w:ascii="宋体" w:hAnsi="宋体" w:eastAsia="宋体" w:cs="宋体"/>
                <w:sz w:val="18"/>
                <w:szCs w:val="18"/>
              </w:rPr>
            </w:pPr>
            <w:r>
              <w:rPr>
                <w:rFonts w:ascii="宋体" w:hAnsi="宋体" w:eastAsia="宋体" w:cs="宋体"/>
                <w:sz w:val="18"/>
                <w:szCs w:val="18"/>
              </w:rPr>
              <w:t>25,126,967.15</w:t>
            </w:r>
          </w:p>
        </w:tc>
        <w:tc>
          <w:tcPr>
            <w:tcW w:w="741" w:type="dxa"/>
            <w:tcBorders>
              <w:top w:val="single" w:color="auto" w:sz="2" w:space="0"/>
              <w:left w:val="single" w:color="auto" w:sz="2" w:space="0"/>
              <w:bottom w:val="single" w:color="auto" w:sz="2" w:space="0"/>
              <w:right w:val="single" w:color="auto" w:sz="2" w:space="0"/>
            </w:tcBorders>
            <w:vAlign w:val="center"/>
          </w:tcPr>
          <w:p w14:paraId="48839FB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72A1591">
            <w:pPr>
              <w:spacing w:line="240" w:lineRule="exact"/>
              <w:jc w:val="right"/>
              <w:rPr>
                <w:rFonts w:ascii="宋体" w:hAnsi="宋体" w:eastAsia="宋体" w:cs="宋体"/>
                <w:sz w:val="18"/>
                <w:szCs w:val="18"/>
              </w:rPr>
            </w:pPr>
            <w:r>
              <w:rPr>
                <w:rFonts w:ascii="宋体" w:hAnsi="宋体" w:eastAsia="宋体" w:cs="宋体"/>
                <w:sz w:val="18"/>
                <w:szCs w:val="18"/>
              </w:rPr>
              <w:t>25,126,967.15</w:t>
            </w:r>
          </w:p>
        </w:tc>
        <w:tc>
          <w:tcPr>
            <w:tcW w:w="741" w:type="dxa"/>
            <w:tcBorders>
              <w:top w:val="single" w:color="auto" w:sz="2" w:space="0"/>
              <w:left w:val="single" w:color="auto" w:sz="2" w:space="0"/>
              <w:bottom w:val="single" w:color="auto" w:sz="2" w:space="0"/>
              <w:right w:val="single" w:color="auto" w:sz="2" w:space="0"/>
            </w:tcBorders>
            <w:vAlign w:val="center"/>
          </w:tcPr>
          <w:p w14:paraId="0126966F">
            <w:pPr>
              <w:spacing w:line="240" w:lineRule="exact"/>
              <w:jc w:val="right"/>
              <w:rPr>
                <w:rFonts w:ascii="宋体" w:hAnsi="宋体" w:eastAsia="宋体" w:cs="宋体"/>
                <w:sz w:val="18"/>
                <w:szCs w:val="18"/>
              </w:rPr>
            </w:pPr>
            <w:r>
              <w:rPr>
                <w:rFonts w:ascii="宋体" w:hAnsi="宋体" w:eastAsia="宋体" w:cs="宋体"/>
                <w:sz w:val="18"/>
                <w:szCs w:val="18"/>
              </w:rPr>
              <w:t>48,384,422.07</w:t>
            </w:r>
          </w:p>
        </w:tc>
        <w:tc>
          <w:tcPr>
            <w:tcW w:w="741" w:type="dxa"/>
            <w:tcBorders>
              <w:top w:val="single" w:color="auto" w:sz="2" w:space="0"/>
              <w:left w:val="single" w:color="auto" w:sz="2" w:space="0"/>
              <w:bottom w:val="single" w:color="auto" w:sz="2" w:space="0"/>
              <w:right w:val="single" w:color="auto" w:sz="2" w:space="0"/>
            </w:tcBorders>
            <w:vAlign w:val="center"/>
          </w:tcPr>
          <w:p w14:paraId="42EE9EA4">
            <w:pPr>
              <w:spacing w:line="240" w:lineRule="exact"/>
              <w:jc w:val="right"/>
              <w:rPr>
                <w:rFonts w:ascii="宋体" w:hAnsi="宋体" w:eastAsia="宋体" w:cs="宋体"/>
                <w:sz w:val="18"/>
                <w:szCs w:val="18"/>
              </w:rPr>
            </w:pPr>
            <w:r>
              <w:rPr>
                <w:rFonts w:ascii="宋体" w:hAnsi="宋体" w:eastAsia="宋体" w:cs="宋体"/>
                <w:sz w:val="18"/>
                <w:szCs w:val="18"/>
              </w:rPr>
              <w:t>126,275,608.38</w:t>
            </w:r>
          </w:p>
        </w:tc>
        <w:tc>
          <w:tcPr>
            <w:tcW w:w="741" w:type="dxa"/>
            <w:tcBorders>
              <w:top w:val="single" w:color="auto" w:sz="2" w:space="0"/>
              <w:left w:val="single" w:color="auto" w:sz="2" w:space="0"/>
              <w:bottom w:val="single" w:color="auto" w:sz="2" w:space="0"/>
              <w:right w:val="single" w:color="auto" w:sz="2" w:space="0"/>
            </w:tcBorders>
            <w:vAlign w:val="center"/>
          </w:tcPr>
          <w:p w14:paraId="72432CA1">
            <w:pPr>
              <w:spacing w:line="240" w:lineRule="exact"/>
              <w:jc w:val="right"/>
              <w:rPr>
                <w:rFonts w:ascii="宋体" w:hAnsi="宋体" w:eastAsia="宋体" w:cs="宋体"/>
                <w:sz w:val="18"/>
                <w:szCs w:val="18"/>
              </w:rPr>
            </w:pPr>
            <w:r>
              <w:rPr>
                <w:rFonts w:ascii="宋体" w:hAnsi="宋体" w:eastAsia="宋体" w:cs="宋体"/>
                <w:sz w:val="18"/>
                <w:szCs w:val="18"/>
              </w:rPr>
              <w:t>174,660,030.45</w:t>
            </w:r>
          </w:p>
        </w:tc>
        <w:tc>
          <w:tcPr>
            <w:tcW w:w="741" w:type="dxa"/>
            <w:tcBorders>
              <w:top w:val="single" w:color="auto" w:sz="2" w:space="0"/>
              <w:left w:val="single" w:color="auto" w:sz="2" w:space="0"/>
              <w:bottom w:val="single" w:color="auto" w:sz="2" w:space="0"/>
              <w:right w:val="single" w:color="auto" w:sz="2" w:space="0"/>
            </w:tcBorders>
            <w:vAlign w:val="center"/>
          </w:tcPr>
          <w:p w14:paraId="6C0032BE">
            <w:pPr>
              <w:spacing w:line="240" w:lineRule="exact"/>
              <w:jc w:val="right"/>
              <w:rPr>
                <w:rFonts w:ascii="宋体" w:hAnsi="宋体" w:eastAsia="宋体" w:cs="宋体"/>
                <w:sz w:val="18"/>
                <w:szCs w:val="18"/>
              </w:rPr>
            </w:pPr>
            <w:r>
              <w:rPr>
                <w:rFonts w:ascii="宋体" w:hAnsi="宋体" w:eastAsia="宋体" w:cs="宋体"/>
                <w:sz w:val="18"/>
                <w:szCs w:val="18"/>
              </w:rPr>
              <w:t>56,989,565.46</w:t>
            </w:r>
          </w:p>
        </w:tc>
        <w:tc>
          <w:tcPr>
            <w:tcW w:w="741" w:type="dxa"/>
            <w:tcBorders>
              <w:top w:val="single" w:color="auto" w:sz="2" w:space="0"/>
              <w:left w:val="single" w:color="auto" w:sz="2" w:space="0"/>
              <w:bottom w:val="single" w:color="auto" w:sz="2" w:space="0"/>
              <w:right w:val="single" w:color="auto" w:sz="2" w:space="0"/>
            </w:tcBorders>
            <w:vAlign w:val="center"/>
          </w:tcPr>
          <w:p w14:paraId="3501DC89">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2918018">
            <w:pPr>
              <w:spacing w:line="240" w:lineRule="exact"/>
              <w:jc w:val="right"/>
              <w:rPr>
                <w:rFonts w:ascii="宋体" w:hAnsi="宋体" w:eastAsia="宋体" w:cs="宋体"/>
                <w:sz w:val="18"/>
                <w:szCs w:val="18"/>
              </w:rPr>
            </w:pPr>
            <w:r>
              <w:rPr>
                <w:rFonts w:ascii="宋体" w:hAnsi="宋体" w:eastAsia="宋体" w:cs="宋体"/>
                <w:sz w:val="18"/>
                <w:szCs w:val="18"/>
              </w:rPr>
              <w:t>56,989,565.46</w:t>
            </w:r>
          </w:p>
        </w:tc>
      </w:tr>
      <w:tr w14:paraId="14100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3E75DFF3">
            <w:pPr>
              <w:spacing w:line="240" w:lineRule="exact"/>
              <w:rPr>
                <w:rFonts w:ascii="宋体" w:hAnsi="宋体" w:eastAsia="宋体" w:cs="宋体"/>
                <w:sz w:val="18"/>
                <w:szCs w:val="18"/>
              </w:rPr>
            </w:pPr>
            <w:r>
              <w:rPr>
                <w:rFonts w:ascii="宋体" w:hAnsi="宋体" w:eastAsia="宋体" w:cs="宋体"/>
                <w:sz w:val="18"/>
                <w:szCs w:val="18"/>
              </w:rPr>
              <w:t> 新疆棉花交易市场有限责任公司</w:t>
            </w:r>
          </w:p>
        </w:tc>
        <w:tc>
          <w:tcPr>
            <w:tcW w:w="741" w:type="dxa"/>
            <w:tcBorders>
              <w:top w:val="single" w:color="auto" w:sz="2" w:space="0"/>
              <w:left w:val="single" w:color="auto" w:sz="2" w:space="0"/>
              <w:bottom w:val="single" w:color="auto" w:sz="2" w:space="0"/>
              <w:right w:val="single" w:color="auto" w:sz="2" w:space="0"/>
            </w:tcBorders>
            <w:vAlign w:val="center"/>
          </w:tcPr>
          <w:p w14:paraId="2F1390C6">
            <w:pPr>
              <w:spacing w:line="240" w:lineRule="exact"/>
              <w:jc w:val="right"/>
              <w:rPr>
                <w:rFonts w:ascii="宋体" w:hAnsi="宋体" w:eastAsia="宋体" w:cs="宋体"/>
                <w:sz w:val="18"/>
                <w:szCs w:val="18"/>
              </w:rPr>
            </w:pPr>
            <w:r>
              <w:rPr>
                <w:rFonts w:ascii="宋体" w:hAnsi="宋体" w:eastAsia="宋体" w:cs="宋体"/>
                <w:sz w:val="18"/>
                <w:szCs w:val="18"/>
              </w:rPr>
              <w:t>216,624,908.47</w:t>
            </w:r>
          </w:p>
        </w:tc>
        <w:tc>
          <w:tcPr>
            <w:tcW w:w="741" w:type="dxa"/>
            <w:tcBorders>
              <w:top w:val="single" w:color="auto" w:sz="2" w:space="0"/>
              <w:left w:val="single" w:color="auto" w:sz="2" w:space="0"/>
              <w:bottom w:val="single" w:color="auto" w:sz="2" w:space="0"/>
              <w:right w:val="single" w:color="auto" w:sz="2" w:space="0"/>
            </w:tcBorders>
            <w:vAlign w:val="center"/>
          </w:tcPr>
          <w:p w14:paraId="7EA994A0">
            <w:pPr>
              <w:spacing w:line="240" w:lineRule="exact"/>
              <w:jc w:val="right"/>
              <w:rPr>
                <w:rFonts w:ascii="宋体" w:hAnsi="宋体" w:eastAsia="宋体" w:cs="宋体"/>
                <w:sz w:val="18"/>
                <w:szCs w:val="18"/>
              </w:rPr>
            </w:pPr>
            <w:r>
              <w:rPr>
                <w:rFonts w:ascii="宋体" w:hAnsi="宋体" w:eastAsia="宋体" w:cs="宋体"/>
                <w:sz w:val="18"/>
                <w:szCs w:val="18"/>
              </w:rPr>
              <w:t>6,582,081.67</w:t>
            </w:r>
          </w:p>
        </w:tc>
        <w:tc>
          <w:tcPr>
            <w:tcW w:w="741" w:type="dxa"/>
            <w:tcBorders>
              <w:top w:val="single" w:color="auto" w:sz="2" w:space="0"/>
              <w:left w:val="single" w:color="auto" w:sz="2" w:space="0"/>
              <w:bottom w:val="single" w:color="auto" w:sz="2" w:space="0"/>
              <w:right w:val="single" w:color="auto" w:sz="2" w:space="0"/>
            </w:tcBorders>
            <w:vAlign w:val="center"/>
          </w:tcPr>
          <w:p w14:paraId="4B4BA8A7">
            <w:pPr>
              <w:spacing w:line="240" w:lineRule="exact"/>
              <w:jc w:val="right"/>
              <w:rPr>
                <w:rFonts w:ascii="宋体" w:hAnsi="宋体" w:eastAsia="宋体" w:cs="宋体"/>
                <w:sz w:val="18"/>
                <w:szCs w:val="18"/>
              </w:rPr>
            </w:pPr>
            <w:r>
              <w:rPr>
                <w:rFonts w:ascii="宋体" w:hAnsi="宋体" w:eastAsia="宋体" w:cs="宋体"/>
                <w:sz w:val="18"/>
                <w:szCs w:val="18"/>
              </w:rPr>
              <w:t>223,206,990.14</w:t>
            </w:r>
          </w:p>
        </w:tc>
        <w:tc>
          <w:tcPr>
            <w:tcW w:w="741" w:type="dxa"/>
            <w:tcBorders>
              <w:top w:val="single" w:color="auto" w:sz="2" w:space="0"/>
              <w:left w:val="single" w:color="auto" w:sz="2" w:space="0"/>
              <w:bottom w:val="single" w:color="auto" w:sz="2" w:space="0"/>
              <w:right w:val="single" w:color="auto" w:sz="2" w:space="0"/>
            </w:tcBorders>
            <w:vAlign w:val="center"/>
          </w:tcPr>
          <w:p w14:paraId="102E2940">
            <w:pPr>
              <w:spacing w:line="240" w:lineRule="exact"/>
              <w:jc w:val="right"/>
              <w:rPr>
                <w:rFonts w:ascii="宋体" w:hAnsi="宋体" w:eastAsia="宋体" w:cs="宋体"/>
                <w:sz w:val="18"/>
                <w:szCs w:val="18"/>
              </w:rPr>
            </w:pPr>
            <w:r>
              <w:rPr>
                <w:rFonts w:ascii="宋体" w:hAnsi="宋体" w:eastAsia="宋体" w:cs="宋体"/>
                <w:sz w:val="18"/>
                <w:szCs w:val="18"/>
              </w:rPr>
              <w:t>151,051,720.55</w:t>
            </w:r>
          </w:p>
        </w:tc>
        <w:tc>
          <w:tcPr>
            <w:tcW w:w="741" w:type="dxa"/>
            <w:tcBorders>
              <w:top w:val="single" w:color="auto" w:sz="2" w:space="0"/>
              <w:left w:val="single" w:color="auto" w:sz="2" w:space="0"/>
              <w:bottom w:val="single" w:color="auto" w:sz="2" w:space="0"/>
              <w:right w:val="single" w:color="auto" w:sz="2" w:space="0"/>
            </w:tcBorders>
            <w:vAlign w:val="center"/>
          </w:tcPr>
          <w:p w14:paraId="2568AA2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3871144A">
            <w:pPr>
              <w:spacing w:line="240" w:lineRule="exact"/>
              <w:jc w:val="right"/>
              <w:rPr>
                <w:rFonts w:ascii="宋体" w:hAnsi="宋体" w:eastAsia="宋体" w:cs="宋体"/>
                <w:sz w:val="18"/>
                <w:szCs w:val="18"/>
              </w:rPr>
            </w:pPr>
            <w:r>
              <w:rPr>
                <w:rFonts w:ascii="宋体" w:hAnsi="宋体" w:eastAsia="宋体" w:cs="宋体"/>
                <w:sz w:val="18"/>
                <w:szCs w:val="18"/>
              </w:rPr>
              <w:t>151,051,720.55</w:t>
            </w:r>
          </w:p>
        </w:tc>
        <w:tc>
          <w:tcPr>
            <w:tcW w:w="741" w:type="dxa"/>
            <w:tcBorders>
              <w:top w:val="single" w:color="auto" w:sz="2" w:space="0"/>
              <w:left w:val="single" w:color="auto" w:sz="2" w:space="0"/>
              <w:bottom w:val="single" w:color="auto" w:sz="2" w:space="0"/>
              <w:right w:val="single" w:color="auto" w:sz="2" w:space="0"/>
            </w:tcBorders>
            <w:vAlign w:val="center"/>
          </w:tcPr>
          <w:p w14:paraId="1414F6EA">
            <w:pPr>
              <w:spacing w:line="240" w:lineRule="exact"/>
              <w:jc w:val="right"/>
              <w:rPr>
                <w:rFonts w:ascii="宋体" w:hAnsi="宋体" w:eastAsia="宋体" w:cs="宋体"/>
                <w:sz w:val="18"/>
                <w:szCs w:val="18"/>
              </w:rPr>
            </w:pPr>
            <w:r>
              <w:rPr>
                <w:rFonts w:ascii="宋体" w:hAnsi="宋体" w:eastAsia="宋体" w:cs="宋体"/>
                <w:sz w:val="18"/>
                <w:szCs w:val="18"/>
              </w:rPr>
              <w:t>282,018,228.05</w:t>
            </w:r>
          </w:p>
        </w:tc>
        <w:tc>
          <w:tcPr>
            <w:tcW w:w="741" w:type="dxa"/>
            <w:tcBorders>
              <w:top w:val="single" w:color="auto" w:sz="2" w:space="0"/>
              <w:left w:val="single" w:color="auto" w:sz="2" w:space="0"/>
              <w:bottom w:val="single" w:color="auto" w:sz="2" w:space="0"/>
              <w:right w:val="single" w:color="auto" w:sz="2" w:space="0"/>
            </w:tcBorders>
            <w:vAlign w:val="center"/>
          </w:tcPr>
          <w:p w14:paraId="17B15C1F">
            <w:pPr>
              <w:spacing w:line="240" w:lineRule="exact"/>
              <w:jc w:val="right"/>
              <w:rPr>
                <w:rFonts w:ascii="宋体" w:hAnsi="宋体" w:eastAsia="宋体" w:cs="宋体"/>
                <w:sz w:val="18"/>
                <w:szCs w:val="18"/>
              </w:rPr>
            </w:pPr>
            <w:r>
              <w:rPr>
                <w:rFonts w:ascii="宋体" w:hAnsi="宋体" w:eastAsia="宋体" w:cs="宋体"/>
                <w:sz w:val="18"/>
                <w:szCs w:val="18"/>
              </w:rPr>
              <w:t>5,905,859.01</w:t>
            </w:r>
          </w:p>
        </w:tc>
        <w:tc>
          <w:tcPr>
            <w:tcW w:w="741" w:type="dxa"/>
            <w:tcBorders>
              <w:top w:val="single" w:color="auto" w:sz="2" w:space="0"/>
              <w:left w:val="single" w:color="auto" w:sz="2" w:space="0"/>
              <w:bottom w:val="single" w:color="auto" w:sz="2" w:space="0"/>
              <w:right w:val="single" w:color="auto" w:sz="2" w:space="0"/>
            </w:tcBorders>
            <w:vAlign w:val="center"/>
          </w:tcPr>
          <w:p w14:paraId="48E9E277">
            <w:pPr>
              <w:spacing w:line="240" w:lineRule="exact"/>
              <w:jc w:val="right"/>
              <w:rPr>
                <w:rFonts w:ascii="宋体" w:hAnsi="宋体" w:eastAsia="宋体" w:cs="宋体"/>
                <w:sz w:val="18"/>
                <w:szCs w:val="18"/>
              </w:rPr>
            </w:pPr>
            <w:r>
              <w:rPr>
                <w:rFonts w:ascii="宋体" w:hAnsi="宋体" w:eastAsia="宋体" w:cs="宋体"/>
                <w:sz w:val="18"/>
                <w:szCs w:val="18"/>
              </w:rPr>
              <w:t>287,924,087.06</w:t>
            </w:r>
          </w:p>
        </w:tc>
        <w:tc>
          <w:tcPr>
            <w:tcW w:w="741" w:type="dxa"/>
            <w:tcBorders>
              <w:top w:val="single" w:color="auto" w:sz="2" w:space="0"/>
              <w:left w:val="single" w:color="auto" w:sz="2" w:space="0"/>
              <w:bottom w:val="single" w:color="auto" w:sz="2" w:space="0"/>
              <w:right w:val="single" w:color="auto" w:sz="2" w:space="0"/>
            </w:tcBorders>
            <w:vAlign w:val="center"/>
          </w:tcPr>
          <w:p w14:paraId="7AFD80E2">
            <w:pPr>
              <w:spacing w:line="240" w:lineRule="exact"/>
              <w:jc w:val="right"/>
              <w:rPr>
                <w:rFonts w:ascii="宋体" w:hAnsi="宋体" w:eastAsia="宋体" w:cs="宋体"/>
                <w:sz w:val="18"/>
                <w:szCs w:val="18"/>
              </w:rPr>
            </w:pPr>
            <w:r>
              <w:rPr>
                <w:rFonts w:ascii="宋体" w:hAnsi="宋体" w:eastAsia="宋体" w:cs="宋体"/>
                <w:sz w:val="18"/>
                <w:szCs w:val="18"/>
              </w:rPr>
              <w:t>213,720,881.74</w:t>
            </w:r>
          </w:p>
        </w:tc>
        <w:tc>
          <w:tcPr>
            <w:tcW w:w="741" w:type="dxa"/>
            <w:tcBorders>
              <w:top w:val="single" w:color="auto" w:sz="2" w:space="0"/>
              <w:left w:val="single" w:color="auto" w:sz="2" w:space="0"/>
              <w:bottom w:val="single" w:color="auto" w:sz="2" w:space="0"/>
              <w:right w:val="single" w:color="auto" w:sz="2" w:space="0"/>
            </w:tcBorders>
            <w:vAlign w:val="center"/>
          </w:tcPr>
          <w:p w14:paraId="7ADEE1E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CB4178D">
            <w:pPr>
              <w:spacing w:line="240" w:lineRule="exact"/>
              <w:jc w:val="right"/>
              <w:rPr>
                <w:rFonts w:ascii="宋体" w:hAnsi="宋体" w:eastAsia="宋体" w:cs="宋体"/>
                <w:sz w:val="18"/>
                <w:szCs w:val="18"/>
              </w:rPr>
            </w:pPr>
            <w:r>
              <w:rPr>
                <w:rFonts w:ascii="宋体" w:hAnsi="宋体" w:eastAsia="宋体" w:cs="宋体"/>
                <w:sz w:val="18"/>
                <w:szCs w:val="18"/>
              </w:rPr>
              <w:t>213,720,881.74</w:t>
            </w:r>
          </w:p>
        </w:tc>
      </w:tr>
      <w:tr w14:paraId="10E06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5EBEF87C">
            <w:pPr>
              <w:spacing w:line="240" w:lineRule="exact"/>
              <w:rPr>
                <w:rFonts w:ascii="宋体" w:hAnsi="宋体" w:eastAsia="宋体" w:cs="宋体"/>
                <w:sz w:val="18"/>
                <w:szCs w:val="18"/>
              </w:rPr>
            </w:pPr>
            <w:r>
              <w:rPr>
                <w:rFonts w:ascii="宋体" w:hAnsi="宋体" w:eastAsia="宋体" w:cs="宋体"/>
                <w:sz w:val="18"/>
                <w:szCs w:val="18"/>
              </w:rPr>
              <w:t>  阿克苏银星物流有限公司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761630A4">
            <w:pPr>
              <w:spacing w:line="240" w:lineRule="exact"/>
              <w:jc w:val="right"/>
              <w:rPr>
                <w:rFonts w:ascii="宋体" w:hAnsi="宋体" w:eastAsia="宋体" w:cs="宋体"/>
                <w:sz w:val="18"/>
                <w:szCs w:val="18"/>
              </w:rPr>
            </w:pPr>
            <w:r>
              <w:rPr>
                <w:rFonts w:ascii="宋体" w:hAnsi="宋体" w:eastAsia="宋体" w:cs="宋体"/>
                <w:sz w:val="18"/>
                <w:szCs w:val="18"/>
              </w:rPr>
              <w:t>7,065,517.22</w:t>
            </w:r>
          </w:p>
        </w:tc>
        <w:tc>
          <w:tcPr>
            <w:tcW w:w="741" w:type="dxa"/>
            <w:tcBorders>
              <w:top w:val="single" w:color="auto" w:sz="2" w:space="0"/>
              <w:left w:val="single" w:color="auto" w:sz="2" w:space="0"/>
              <w:bottom w:val="single" w:color="auto" w:sz="2" w:space="0"/>
              <w:right w:val="single" w:color="auto" w:sz="2" w:space="0"/>
            </w:tcBorders>
            <w:vAlign w:val="center"/>
          </w:tcPr>
          <w:p w14:paraId="3AF30F62">
            <w:pPr>
              <w:spacing w:line="240" w:lineRule="exact"/>
              <w:jc w:val="right"/>
              <w:rPr>
                <w:rFonts w:ascii="宋体" w:hAnsi="宋体" w:eastAsia="宋体" w:cs="宋体"/>
                <w:sz w:val="18"/>
                <w:szCs w:val="18"/>
              </w:rPr>
            </w:pPr>
            <w:r>
              <w:rPr>
                <w:rFonts w:ascii="宋体" w:hAnsi="宋体" w:eastAsia="宋体" w:cs="宋体"/>
                <w:sz w:val="18"/>
                <w:szCs w:val="18"/>
              </w:rPr>
              <w:t>77,218,884.10</w:t>
            </w:r>
          </w:p>
        </w:tc>
        <w:tc>
          <w:tcPr>
            <w:tcW w:w="741" w:type="dxa"/>
            <w:tcBorders>
              <w:top w:val="single" w:color="auto" w:sz="2" w:space="0"/>
              <w:left w:val="single" w:color="auto" w:sz="2" w:space="0"/>
              <w:bottom w:val="single" w:color="auto" w:sz="2" w:space="0"/>
              <w:right w:val="single" w:color="auto" w:sz="2" w:space="0"/>
            </w:tcBorders>
            <w:vAlign w:val="center"/>
          </w:tcPr>
          <w:p w14:paraId="74E8D9EB">
            <w:pPr>
              <w:spacing w:line="240" w:lineRule="exact"/>
              <w:jc w:val="right"/>
              <w:rPr>
                <w:rFonts w:ascii="宋体" w:hAnsi="宋体" w:eastAsia="宋体" w:cs="宋体"/>
                <w:sz w:val="18"/>
                <w:szCs w:val="18"/>
              </w:rPr>
            </w:pPr>
            <w:r>
              <w:rPr>
                <w:rFonts w:ascii="宋体" w:hAnsi="宋体" w:eastAsia="宋体" w:cs="宋体"/>
                <w:sz w:val="18"/>
                <w:szCs w:val="18"/>
              </w:rPr>
              <w:t>84,284,401.32</w:t>
            </w:r>
          </w:p>
        </w:tc>
        <w:tc>
          <w:tcPr>
            <w:tcW w:w="741" w:type="dxa"/>
            <w:tcBorders>
              <w:top w:val="single" w:color="auto" w:sz="2" w:space="0"/>
              <w:left w:val="single" w:color="auto" w:sz="2" w:space="0"/>
              <w:bottom w:val="single" w:color="auto" w:sz="2" w:space="0"/>
              <w:right w:val="single" w:color="auto" w:sz="2" w:space="0"/>
            </w:tcBorders>
            <w:vAlign w:val="center"/>
          </w:tcPr>
          <w:p w14:paraId="720E86D9">
            <w:pPr>
              <w:spacing w:line="240" w:lineRule="exact"/>
              <w:jc w:val="right"/>
              <w:rPr>
                <w:rFonts w:ascii="宋体" w:hAnsi="宋体" w:eastAsia="宋体" w:cs="宋体"/>
                <w:sz w:val="18"/>
                <w:szCs w:val="18"/>
              </w:rPr>
            </w:pPr>
            <w:r>
              <w:rPr>
                <w:rFonts w:ascii="宋体" w:hAnsi="宋体" w:eastAsia="宋体" w:cs="宋体"/>
                <w:sz w:val="18"/>
                <w:szCs w:val="18"/>
              </w:rPr>
              <w:t>20,522,321.58</w:t>
            </w:r>
          </w:p>
        </w:tc>
        <w:tc>
          <w:tcPr>
            <w:tcW w:w="741" w:type="dxa"/>
            <w:tcBorders>
              <w:top w:val="single" w:color="auto" w:sz="2" w:space="0"/>
              <w:left w:val="single" w:color="auto" w:sz="2" w:space="0"/>
              <w:bottom w:val="single" w:color="auto" w:sz="2" w:space="0"/>
              <w:right w:val="single" w:color="auto" w:sz="2" w:space="0"/>
            </w:tcBorders>
            <w:vAlign w:val="center"/>
          </w:tcPr>
          <w:p w14:paraId="3ABBAB1C">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3909DA2">
            <w:pPr>
              <w:spacing w:line="240" w:lineRule="exact"/>
              <w:jc w:val="right"/>
              <w:rPr>
                <w:rFonts w:ascii="宋体" w:hAnsi="宋体" w:eastAsia="宋体" w:cs="宋体"/>
                <w:sz w:val="18"/>
                <w:szCs w:val="18"/>
              </w:rPr>
            </w:pPr>
            <w:r>
              <w:rPr>
                <w:rFonts w:ascii="宋体" w:hAnsi="宋体" w:eastAsia="宋体" w:cs="宋体"/>
                <w:sz w:val="18"/>
                <w:szCs w:val="18"/>
              </w:rPr>
              <w:t>20,522,321.58</w:t>
            </w:r>
          </w:p>
        </w:tc>
        <w:tc>
          <w:tcPr>
            <w:tcW w:w="741" w:type="dxa"/>
            <w:tcBorders>
              <w:top w:val="single" w:color="auto" w:sz="2" w:space="0"/>
              <w:left w:val="single" w:color="auto" w:sz="2" w:space="0"/>
              <w:bottom w:val="single" w:color="auto" w:sz="2" w:space="0"/>
              <w:right w:val="single" w:color="auto" w:sz="2" w:space="0"/>
            </w:tcBorders>
            <w:vAlign w:val="center"/>
          </w:tcPr>
          <w:p w14:paraId="524A39F0">
            <w:pPr>
              <w:spacing w:line="240" w:lineRule="exact"/>
              <w:jc w:val="right"/>
              <w:rPr>
                <w:rFonts w:ascii="宋体" w:hAnsi="宋体" w:eastAsia="宋体" w:cs="宋体"/>
                <w:sz w:val="18"/>
                <w:szCs w:val="18"/>
              </w:rPr>
            </w:pPr>
            <w:r>
              <w:rPr>
                <w:rFonts w:ascii="宋体" w:hAnsi="宋体" w:eastAsia="宋体" w:cs="宋体"/>
                <w:sz w:val="18"/>
                <w:szCs w:val="18"/>
              </w:rPr>
              <w:t>56,622,904.13</w:t>
            </w:r>
          </w:p>
        </w:tc>
        <w:tc>
          <w:tcPr>
            <w:tcW w:w="741" w:type="dxa"/>
            <w:tcBorders>
              <w:top w:val="single" w:color="auto" w:sz="2" w:space="0"/>
              <w:left w:val="single" w:color="auto" w:sz="2" w:space="0"/>
              <w:bottom w:val="single" w:color="auto" w:sz="2" w:space="0"/>
              <w:right w:val="single" w:color="auto" w:sz="2" w:space="0"/>
            </w:tcBorders>
            <w:vAlign w:val="center"/>
          </w:tcPr>
          <w:p w14:paraId="17D3B582">
            <w:pPr>
              <w:spacing w:line="240" w:lineRule="exact"/>
              <w:jc w:val="right"/>
              <w:rPr>
                <w:rFonts w:ascii="宋体" w:hAnsi="宋体" w:eastAsia="宋体" w:cs="宋体"/>
                <w:sz w:val="18"/>
                <w:szCs w:val="18"/>
              </w:rPr>
            </w:pPr>
            <w:r>
              <w:rPr>
                <w:rFonts w:ascii="宋体" w:hAnsi="宋体" w:eastAsia="宋体" w:cs="宋体"/>
                <w:sz w:val="18"/>
                <w:szCs w:val="18"/>
              </w:rPr>
              <w:t>79,856,481.40</w:t>
            </w:r>
          </w:p>
        </w:tc>
        <w:tc>
          <w:tcPr>
            <w:tcW w:w="741" w:type="dxa"/>
            <w:tcBorders>
              <w:top w:val="single" w:color="auto" w:sz="2" w:space="0"/>
              <w:left w:val="single" w:color="auto" w:sz="2" w:space="0"/>
              <w:bottom w:val="single" w:color="auto" w:sz="2" w:space="0"/>
              <w:right w:val="single" w:color="auto" w:sz="2" w:space="0"/>
            </w:tcBorders>
            <w:vAlign w:val="center"/>
          </w:tcPr>
          <w:p w14:paraId="55CE04BA">
            <w:pPr>
              <w:spacing w:line="240" w:lineRule="exact"/>
              <w:jc w:val="right"/>
              <w:rPr>
                <w:rFonts w:ascii="宋体" w:hAnsi="宋体" w:eastAsia="宋体" w:cs="宋体"/>
                <w:sz w:val="18"/>
                <w:szCs w:val="18"/>
              </w:rPr>
            </w:pPr>
            <w:r>
              <w:rPr>
                <w:rFonts w:ascii="宋体" w:hAnsi="宋体" w:eastAsia="宋体" w:cs="宋体"/>
                <w:sz w:val="18"/>
                <w:szCs w:val="18"/>
              </w:rPr>
              <w:t>136,479,385.53</w:t>
            </w:r>
          </w:p>
        </w:tc>
        <w:tc>
          <w:tcPr>
            <w:tcW w:w="741" w:type="dxa"/>
            <w:tcBorders>
              <w:top w:val="single" w:color="auto" w:sz="2" w:space="0"/>
              <w:left w:val="single" w:color="auto" w:sz="2" w:space="0"/>
              <w:bottom w:val="single" w:color="auto" w:sz="2" w:space="0"/>
              <w:right w:val="single" w:color="auto" w:sz="2" w:space="0"/>
            </w:tcBorders>
            <w:vAlign w:val="center"/>
          </w:tcPr>
          <w:p w14:paraId="48D5B559">
            <w:pPr>
              <w:spacing w:line="240" w:lineRule="exact"/>
              <w:jc w:val="right"/>
              <w:rPr>
                <w:rFonts w:ascii="宋体" w:hAnsi="宋体" w:eastAsia="宋体" w:cs="宋体"/>
                <w:sz w:val="18"/>
                <w:szCs w:val="18"/>
              </w:rPr>
            </w:pPr>
            <w:r>
              <w:rPr>
                <w:rFonts w:ascii="宋体" w:hAnsi="宋体" w:eastAsia="宋体" w:cs="宋体"/>
                <w:sz w:val="18"/>
                <w:szCs w:val="18"/>
              </w:rPr>
              <w:t>13,587,261.85</w:t>
            </w:r>
          </w:p>
        </w:tc>
        <w:tc>
          <w:tcPr>
            <w:tcW w:w="741" w:type="dxa"/>
            <w:tcBorders>
              <w:top w:val="single" w:color="auto" w:sz="2" w:space="0"/>
              <w:left w:val="single" w:color="auto" w:sz="2" w:space="0"/>
              <w:bottom w:val="single" w:color="auto" w:sz="2" w:space="0"/>
              <w:right w:val="single" w:color="auto" w:sz="2" w:space="0"/>
            </w:tcBorders>
            <w:vAlign w:val="center"/>
          </w:tcPr>
          <w:p w14:paraId="5D6A34DF">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6B218761">
            <w:pPr>
              <w:spacing w:line="240" w:lineRule="exact"/>
              <w:jc w:val="right"/>
              <w:rPr>
                <w:rFonts w:ascii="宋体" w:hAnsi="宋体" w:eastAsia="宋体" w:cs="宋体"/>
                <w:sz w:val="18"/>
                <w:szCs w:val="18"/>
              </w:rPr>
            </w:pPr>
            <w:r>
              <w:rPr>
                <w:rFonts w:ascii="宋体" w:hAnsi="宋体" w:eastAsia="宋体" w:cs="宋体"/>
                <w:sz w:val="18"/>
                <w:szCs w:val="18"/>
              </w:rPr>
              <w:t>13,587,261.85</w:t>
            </w:r>
          </w:p>
        </w:tc>
      </w:tr>
      <w:tr w14:paraId="2B358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5976F8E5">
            <w:pPr>
              <w:spacing w:line="240" w:lineRule="exact"/>
              <w:rPr>
                <w:rFonts w:ascii="宋体" w:hAnsi="宋体" w:eastAsia="宋体" w:cs="宋体"/>
                <w:sz w:val="18"/>
                <w:szCs w:val="18"/>
              </w:rPr>
            </w:pPr>
            <w:r>
              <w:rPr>
                <w:rFonts w:ascii="宋体" w:hAnsi="宋体" w:eastAsia="宋体" w:cs="宋体"/>
                <w:sz w:val="18"/>
                <w:szCs w:val="18"/>
              </w:rPr>
              <w:t> 奎屯锦孚纺织有限公司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31404165">
            <w:pPr>
              <w:spacing w:line="240" w:lineRule="exact"/>
              <w:jc w:val="right"/>
              <w:rPr>
                <w:rFonts w:ascii="宋体" w:hAnsi="宋体" w:eastAsia="宋体" w:cs="宋体"/>
                <w:sz w:val="18"/>
                <w:szCs w:val="18"/>
              </w:rPr>
            </w:pPr>
            <w:r>
              <w:rPr>
                <w:rFonts w:ascii="宋体" w:hAnsi="宋体" w:eastAsia="宋体" w:cs="宋体"/>
                <w:sz w:val="18"/>
                <w:szCs w:val="18"/>
              </w:rPr>
              <w:t>357,538,684.01</w:t>
            </w:r>
          </w:p>
        </w:tc>
        <w:tc>
          <w:tcPr>
            <w:tcW w:w="741" w:type="dxa"/>
            <w:tcBorders>
              <w:top w:val="single" w:color="auto" w:sz="2" w:space="0"/>
              <w:left w:val="single" w:color="auto" w:sz="2" w:space="0"/>
              <w:bottom w:val="single" w:color="auto" w:sz="2" w:space="0"/>
              <w:right w:val="single" w:color="auto" w:sz="2" w:space="0"/>
            </w:tcBorders>
            <w:vAlign w:val="center"/>
          </w:tcPr>
          <w:p w14:paraId="079C4B02">
            <w:pPr>
              <w:spacing w:line="240" w:lineRule="exact"/>
              <w:jc w:val="right"/>
              <w:rPr>
                <w:rFonts w:ascii="宋体" w:hAnsi="宋体" w:eastAsia="宋体" w:cs="宋体"/>
                <w:sz w:val="18"/>
                <w:szCs w:val="18"/>
              </w:rPr>
            </w:pPr>
            <w:r>
              <w:rPr>
                <w:rFonts w:ascii="宋体" w:hAnsi="宋体" w:eastAsia="宋体" w:cs="宋体"/>
                <w:sz w:val="18"/>
                <w:szCs w:val="18"/>
              </w:rPr>
              <w:t>239,149,909.54</w:t>
            </w:r>
          </w:p>
        </w:tc>
        <w:tc>
          <w:tcPr>
            <w:tcW w:w="741" w:type="dxa"/>
            <w:tcBorders>
              <w:top w:val="single" w:color="auto" w:sz="2" w:space="0"/>
              <w:left w:val="single" w:color="auto" w:sz="2" w:space="0"/>
              <w:bottom w:val="single" w:color="auto" w:sz="2" w:space="0"/>
              <w:right w:val="single" w:color="auto" w:sz="2" w:space="0"/>
            </w:tcBorders>
            <w:vAlign w:val="center"/>
          </w:tcPr>
          <w:p w14:paraId="2D0E706F">
            <w:pPr>
              <w:spacing w:line="240" w:lineRule="exact"/>
              <w:jc w:val="right"/>
              <w:rPr>
                <w:rFonts w:ascii="宋体" w:hAnsi="宋体" w:eastAsia="宋体" w:cs="宋体"/>
                <w:sz w:val="18"/>
                <w:szCs w:val="18"/>
              </w:rPr>
            </w:pPr>
            <w:r>
              <w:rPr>
                <w:rFonts w:ascii="宋体" w:hAnsi="宋体" w:eastAsia="宋体" w:cs="宋体"/>
                <w:sz w:val="18"/>
                <w:szCs w:val="18"/>
              </w:rPr>
              <w:t>596,688,593.55</w:t>
            </w:r>
          </w:p>
        </w:tc>
        <w:tc>
          <w:tcPr>
            <w:tcW w:w="741" w:type="dxa"/>
            <w:tcBorders>
              <w:top w:val="single" w:color="auto" w:sz="2" w:space="0"/>
              <w:left w:val="single" w:color="auto" w:sz="2" w:space="0"/>
              <w:bottom w:val="single" w:color="auto" w:sz="2" w:space="0"/>
              <w:right w:val="single" w:color="auto" w:sz="2" w:space="0"/>
            </w:tcBorders>
            <w:vAlign w:val="center"/>
          </w:tcPr>
          <w:p w14:paraId="49DCBCDA">
            <w:pPr>
              <w:spacing w:line="240" w:lineRule="exact"/>
              <w:jc w:val="right"/>
              <w:rPr>
                <w:rFonts w:ascii="宋体" w:hAnsi="宋体" w:eastAsia="宋体" w:cs="宋体"/>
                <w:sz w:val="18"/>
                <w:szCs w:val="18"/>
              </w:rPr>
            </w:pPr>
            <w:r>
              <w:rPr>
                <w:rFonts w:ascii="宋体" w:hAnsi="宋体" w:eastAsia="宋体" w:cs="宋体"/>
                <w:sz w:val="18"/>
                <w:szCs w:val="18"/>
              </w:rPr>
              <w:t>663,804,846.14</w:t>
            </w:r>
          </w:p>
        </w:tc>
        <w:tc>
          <w:tcPr>
            <w:tcW w:w="741" w:type="dxa"/>
            <w:tcBorders>
              <w:top w:val="single" w:color="auto" w:sz="2" w:space="0"/>
              <w:left w:val="single" w:color="auto" w:sz="2" w:space="0"/>
              <w:bottom w:val="single" w:color="auto" w:sz="2" w:space="0"/>
              <w:right w:val="single" w:color="auto" w:sz="2" w:space="0"/>
            </w:tcBorders>
            <w:vAlign w:val="center"/>
          </w:tcPr>
          <w:p w14:paraId="203D2EF3">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3EF0835">
            <w:pPr>
              <w:spacing w:line="240" w:lineRule="exact"/>
              <w:jc w:val="right"/>
              <w:rPr>
                <w:rFonts w:ascii="宋体" w:hAnsi="宋体" w:eastAsia="宋体" w:cs="宋体"/>
                <w:sz w:val="18"/>
                <w:szCs w:val="18"/>
              </w:rPr>
            </w:pPr>
            <w:r>
              <w:rPr>
                <w:rFonts w:ascii="宋体" w:hAnsi="宋体" w:eastAsia="宋体" w:cs="宋体"/>
                <w:sz w:val="18"/>
                <w:szCs w:val="18"/>
              </w:rPr>
              <w:t>663,804,846.14</w:t>
            </w:r>
          </w:p>
        </w:tc>
        <w:tc>
          <w:tcPr>
            <w:tcW w:w="741" w:type="dxa"/>
            <w:tcBorders>
              <w:top w:val="single" w:color="auto" w:sz="2" w:space="0"/>
              <w:left w:val="single" w:color="auto" w:sz="2" w:space="0"/>
              <w:bottom w:val="single" w:color="auto" w:sz="2" w:space="0"/>
              <w:right w:val="single" w:color="auto" w:sz="2" w:space="0"/>
            </w:tcBorders>
            <w:vAlign w:val="center"/>
          </w:tcPr>
          <w:p w14:paraId="39C89B3F">
            <w:pPr>
              <w:spacing w:line="240" w:lineRule="exact"/>
              <w:jc w:val="right"/>
              <w:rPr>
                <w:rFonts w:ascii="宋体" w:hAnsi="宋体" w:eastAsia="宋体" w:cs="宋体"/>
                <w:sz w:val="18"/>
                <w:szCs w:val="18"/>
              </w:rPr>
            </w:pPr>
            <w:r>
              <w:rPr>
                <w:rFonts w:ascii="宋体" w:hAnsi="宋体" w:eastAsia="宋体" w:cs="宋体"/>
                <w:sz w:val="18"/>
                <w:szCs w:val="18"/>
              </w:rPr>
              <w:t>203,511,947.07</w:t>
            </w:r>
          </w:p>
        </w:tc>
        <w:tc>
          <w:tcPr>
            <w:tcW w:w="741" w:type="dxa"/>
            <w:tcBorders>
              <w:top w:val="single" w:color="auto" w:sz="2" w:space="0"/>
              <w:left w:val="single" w:color="auto" w:sz="2" w:space="0"/>
              <w:bottom w:val="single" w:color="auto" w:sz="2" w:space="0"/>
              <w:right w:val="single" w:color="auto" w:sz="2" w:space="0"/>
            </w:tcBorders>
            <w:vAlign w:val="center"/>
          </w:tcPr>
          <w:p w14:paraId="24E6BA2F">
            <w:pPr>
              <w:spacing w:line="240" w:lineRule="exact"/>
              <w:jc w:val="right"/>
              <w:rPr>
                <w:rFonts w:ascii="宋体" w:hAnsi="宋体" w:eastAsia="宋体" w:cs="宋体"/>
                <w:sz w:val="18"/>
                <w:szCs w:val="18"/>
              </w:rPr>
            </w:pPr>
            <w:r>
              <w:rPr>
                <w:rFonts w:ascii="宋体" w:hAnsi="宋体" w:eastAsia="宋体" w:cs="宋体"/>
                <w:sz w:val="18"/>
                <w:szCs w:val="18"/>
              </w:rPr>
              <w:t>257,662,410.97</w:t>
            </w:r>
          </w:p>
        </w:tc>
        <w:tc>
          <w:tcPr>
            <w:tcW w:w="741" w:type="dxa"/>
            <w:tcBorders>
              <w:top w:val="single" w:color="auto" w:sz="2" w:space="0"/>
              <w:left w:val="single" w:color="auto" w:sz="2" w:space="0"/>
              <w:bottom w:val="single" w:color="auto" w:sz="2" w:space="0"/>
              <w:right w:val="single" w:color="auto" w:sz="2" w:space="0"/>
            </w:tcBorders>
            <w:vAlign w:val="center"/>
          </w:tcPr>
          <w:p w14:paraId="4655D1B7">
            <w:pPr>
              <w:spacing w:line="240" w:lineRule="exact"/>
              <w:jc w:val="right"/>
              <w:rPr>
                <w:rFonts w:ascii="宋体" w:hAnsi="宋体" w:eastAsia="宋体" w:cs="宋体"/>
                <w:sz w:val="18"/>
                <w:szCs w:val="18"/>
              </w:rPr>
            </w:pPr>
            <w:r>
              <w:rPr>
                <w:rFonts w:ascii="宋体" w:hAnsi="宋体" w:eastAsia="宋体" w:cs="宋体"/>
                <w:sz w:val="18"/>
                <w:szCs w:val="18"/>
              </w:rPr>
              <w:t>461,174,358.04</w:t>
            </w:r>
          </w:p>
        </w:tc>
        <w:tc>
          <w:tcPr>
            <w:tcW w:w="741" w:type="dxa"/>
            <w:tcBorders>
              <w:top w:val="single" w:color="auto" w:sz="2" w:space="0"/>
              <w:left w:val="single" w:color="auto" w:sz="2" w:space="0"/>
              <w:bottom w:val="single" w:color="auto" w:sz="2" w:space="0"/>
              <w:right w:val="single" w:color="auto" w:sz="2" w:space="0"/>
            </w:tcBorders>
            <w:vAlign w:val="center"/>
          </w:tcPr>
          <w:p w14:paraId="47A80421">
            <w:pPr>
              <w:spacing w:line="240" w:lineRule="exact"/>
              <w:jc w:val="right"/>
              <w:rPr>
                <w:rFonts w:ascii="宋体" w:hAnsi="宋体" w:eastAsia="宋体" w:cs="宋体"/>
                <w:sz w:val="18"/>
                <w:szCs w:val="18"/>
              </w:rPr>
            </w:pPr>
            <w:r>
              <w:rPr>
                <w:rFonts w:ascii="宋体" w:hAnsi="宋体" w:eastAsia="宋体" w:cs="宋体"/>
                <w:sz w:val="18"/>
                <w:szCs w:val="18"/>
              </w:rPr>
              <w:t>482,167,354.46</w:t>
            </w:r>
          </w:p>
        </w:tc>
        <w:tc>
          <w:tcPr>
            <w:tcW w:w="741" w:type="dxa"/>
            <w:tcBorders>
              <w:top w:val="single" w:color="auto" w:sz="2" w:space="0"/>
              <w:left w:val="single" w:color="auto" w:sz="2" w:space="0"/>
              <w:bottom w:val="single" w:color="auto" w:sz="2" w:space="0"/>
              <w:right w:val="single" w:color="auto" w:sz="2" w:space="0"/>
            </w:tcBorders>
            <w:vAlign w:val="center"/>
          </w:tcPr>
          <w:p w14:paraId="6A44A4D7">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6AEA367">
            <w:pPr>
              <w:spacing w:line="240" w:lineRule="exact"/>
              <w:jc w:val="right"/>
              <w:rPr>
                <w:rFonts w:ascii="宋体" w:hAnsi="宋体" w:eastAsia="宋体" w:cs="宋体"/>
                <w:sz w:val="18"/>
                <w:szCs w:val="18"/>
              </w:rPr>
            </w:pPr>
            <w:r>
              <w:rPr>
                <w:rFonts w:ascii="宋体" w:hAnsi="宋体" w:eastAsia="宋体" w:cs="宋体"/>
                <w:sz w:val="18"/>
                <w:szCs w:val="18"/>
              </w:rPr>
              <w:t>482,167,354.46</w:t>
            </w:r>
          </w:p>
        </w:tc>
      </w:tr>
      <w:tr w14:paraId="574FD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14:paraId="5AD41D44">
            <w:pPr>
              <w:spacing w:line="240" w:lineRule="exact"/>
              <w:rPr>
                <w:rFonts w:ascii="宋体" w:hAnsi="宋体" w:eastAsia="宋体" w:cs="宋体"/>
                <w:sz w:val="18"/>
                <w:szCs w:val="18"/>
              </w:rPr>
            </w:pPr>
            <w:r>
              <w:rPr>
                <w:rFonts w:ascii="宋体" w:hAnsi="宋体" w:eastAsia="宋体" w:cs="宋体"/>
                <w:sz w:val="18"/>
                <w:szCs w:val="18"/>
              </w:rPr>
              <w:t>  越南隆安英鸿投资股份有限公司</w:t>
            </w:r>
          </w:p>
        </w:tc>
        <w:tc>
          <w:tcPr>
            <w:tcW w:w="741" w:type="dxa"/>
            <w:tcBorders>
              <w:top w:val="single" w:color="auto" w:sz="2" w:space="0"/>
              <w:left w:val="single" w:color="auto" w:sz="2" w:space="0"/>
              <w:bottom w:val="single" w:color="auto" w:sz="2" w:space="0"/>
              <w:right w:val="single" w:color="auto" w:sz="2" w:space="0"/>
            </w:tcBorders>
            <w:vAlign w:val="center"/>
          </w:tcPr>
          <w:p w14:paraId="76D9E268">
            <w:pPr>
              <w:spacing w:line="240" w:lineRule="exact"/>
              <w:jc w:val="right"/>
              <w:rPr>
                <w:rFonts w:ascii="宋体" w:hAnsi="宋体" w:eastAsia="宋体" w:cs="宋体"/>
                <w:sz w:val="18"/>
                <w:szCs w:val="18"/>
              </w:rPr>
            </w:pPr>
            <w:r>
              <w:rPr>
                <w:rFonts w:ascii="宋体" w:hAnsi="宋体" w:eastAsia="宋体" w:cs="宋体"/>
                <w:sz w:val="18"/>
                <w:szCs w:val="18"/>
              </w:rPr>
              <w:t>167,676,644.68</w:t>
            </w:r>
          </w:p>
        </w:tc>
        <w:tc>
          <w:tcPr>
            <w:tcW w:w="741" w:type="dxa"/>
            <w:tcBorders>
              <w:top w:val="single" w:color="auto" w:sz="2" w:space="0"/>
              <w:left w:val="single" w:color="auto" w:sz="2" w:space="0"/>
              <w:bottom w:val="single" w:color="auto" w:sz="2" w:space="0"/>
              <w:right w:val="single" w:color="auto" w:sz="2" w:space="0"/>
            </w:tcBorders>
            <w:vAlign w:val="center"/>
          </w:tcPr>
          <w:p w14:paraId="20BF6E0A">
            <w:pPr>
              <w:spacing w:line="240" w:lineRule="exact"/>
              <w:jc w:val="right"/>
              <w:rPr>
                <w:rFonts w:ascii="宋体" w:hAnsi="宋体" w:eastAsia="宋体" w:cs="宋体"/>
                <w:sz w:val="18"/>
                <w:szCs w:val="18"/>
              </w:rPr>
            </w:pPr>
            <w:r>
              <w:rPr>
                <w:rFonts w:ascii="宋体" w:hAnsi="宋体" w:eastAsia="宋体" w:cs="宋体"/>
                <w:sz w:val="18"/>
                <w:szCs w:val="18"/>
              </w:rPr>
              <w:t>126,283,052.65</w:t>
            </w:r>
          </w:p>
        </w:tc>
        <w:tc>
          <w:tcPr>
            <w:tcW w:w="741" w:type="dxa"/>
            <w:tcBorders>
              <w:top w:val="single" w:color="auto" w:sz="2" w:space="0"/>
              <w:left w:val="single" w:color="auto" w:sz="2" w:space="0"/>
              <w:bottom w:val="single" w:color="auto" w:sz="2" w:space="0"/>
              <w:right w:val="single" w:color="auto" w:sz="2" w:space="0"/>
            </w:tcBorders>
            <w:vAlign w:val="center"/>
          </w:tcPr>
          <w:p w14:paraId="228658AC">
            <w:pPr>
              <w:spacing w:line="240" w:lineRule="exact"/>
              <w:jc w:val="right"/>
              <w:rPr>
                <w:rFonts w:ascii="宋体" w:hAnsi="宋体" w:eastAsia="宋体" w:cs="宋体"/>
                <w:sz w:val="18"/>
                <w:szCs w:val="18"/>
              </w:rPr>
            </w:pPr>
            <w:r>
              <w:rPr>
                <w:rFonts w:ascii="宋体" w:hAnsi="宋体" w:eastAsia="宋体" w:cs="宋体"/>
                <w:sz w:val="18"/>
                <w:szCs w:val="18"/>
              </w:rPr>
              <w:t>293,959,697.33</w:t>
            </w:r>
          </w:p>
        </w:tc>
        <w:tc>
          <w:tcPr>
            <w:tcW w:w="741" w:type="dxa"/>
            <w:tcBorders>
              <w:top w:val="single" w:color="auto" w:sz="2" w:space="0"/>
              <w:left w:val="single" w:color="auto" w:sz="2" w:space="0"/>
              <w:bottom w:val="single" w:color="auto" w:sz="2" w:space="0"/>
              <w:right w:val="single" w:color="auto" w:sz="2" w:space="0"/>
            </w:tcBorders>
            <w:vAlign w:val="center"/>
          </w:tcPr>
          <w:p w14:paraId="5203D4FD">
            <w:pPr>
              <w:spacing w:line="240" w:lineRule="exact"/>
              <w:jc w:val="right"/>
              <w:rPr>
                <w:rFonts w:ascii="宋体" w:hAnsi="宋体" w:eastAsia="宋体" w:cs="宋体"/>
                <w:sz w:val="18"/>
                <w:szCs w:val="18"/>
              </w:rPr>
            </w:pPr>
            <w:r>
              <w:rPr>
                <w:rFonts w:ascii="宋体" w:hAnsi="宋体" w:eastAsia="宋体" w:cs="宋体"/>
                <w:sz w:val="18"/>
                <w:szCs w:val="18"/>
              </w:rPr>
              <w:t>207,612,159.10</w:t>
            </w:r>
          </w:p>
        </w:tc>
        <w:tc>
          <w:tcPr>
            <w:tcW w:w="741" w:type="dxa"/>
            <w:tcBorders>
              <w:top w:val="single" w:color="auto" w:sz="2" w:space="0"/>
              <w:left w:val="single" w:color="auto" w:sz="2" w:space="0"/>
              <w:bottom w:val="single" w:color="auto" w:sz="2" w:space="0"/>
              <w:right w:val="single" w:color="auto" w:sz="2" w:space="0"/>
            </w:tcBorders>
            <w:vAlign w:val="center"/>
          </w:tcPr>
          <w:p w14:paraId="3CFB5FDD">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583B7580">
            <w:pPr>
              <w:spacing w:line="240" w:lineRule="exact"/>
              <w:jc w:val="right"/>
              <w:rPr>
                <w:rFonts w:ascii="宋体" w:hAnsi="宋体" w:eastAsia="宋体" w:cs="宋体"/>
                <w:sz w:val="18"/>
                <w:szCs w:val="18"/>
              </w:rPr>
            </w:pPr>
            <w:r>
              <w:rPr>
                <w:rFonts w:ascii="宋体" w:hAnsi="宋体" w:eastAsia="宋体" w:cs="宋体"/>
                <w:sz w:val="18"/>
                <w:szCs w:val="18"/>
              </w:rPr>
              <w:t>207,612,159.10</w:t>
            </w:r>
          </w:p>
        </w:tc>
        <w:tc>
          <w:tcPr>
            <w:tcW w:w="741" w:type="dxa"/>
            <w:tcBorders>
              <w:top w:val="single" w:color="auto" w:sz="2" w:space="0"/>
              <w:left w:val="single" w:color="auto" w:sz="2" w:space="0"/>
              <w:bottom w:val="single" w:color="auto" w:sz="2" w:space="0"/>
              <w:right w:val="single" w:color="auto" w:sz="2" w:space="0"/>
            </w:tcBorders>
            <w:vAlign w:val="center"/>
          </w:tcPr>
          <w:p w14:paraId="4FBF14D3">
            <w:pPr>
              <w:spacing w:line="240" w:lineRule="exact"/>
              <w:jc w:val="right"/>
              <w:rPr>
                <w:rFonts w:ascii="宋体" w:hAnsi="宋体" w:eastAsia="宋体" w:cs="宋体"/>
                <w:sz w:val="18"/>
                <w:szCs w:val="18"/>
              </w:rPr>
            </w:pPr>
            <w:r>
              <w:rPr>
                <w:rFonts w:ascii="宋体" w:hAnsi="宋体" w:eastAsia="宋体" w:cs="宋体"/>
                <w:sz w:val="18"/>
                <w:szCs w:val="18"/>
              </w:rPr>
              <w:t>187,634,665.04</w:t>
            </w:r>
          </w:p>
        </w:tc>
        <w:tc>
          <w:tcPr>
            <w:tcW w:w="741" w:type="dxa"/>
            <w:tcBorders>
              <w:top w:val="single" w:color="auto" w:sz="2" w:space="0"/>
              <w:left w:val="single" w:color="auto" w:sz="2" w:space="0"/>
              <w:bottom w:val="single" w:color="auto" w:sz="2" w:space="0"/>
              <w:right w:val="single" w:color="auto" w:sz="2" w:space="0"/>
            </w:tcBorders>
            <w:vAlign w:val="center"/>
          </w:tcPr>
          <w:p w14:paraId="2F0CD25E">
            <w:pPr>
              <w:spacing w:line="240" w:lineRule="exact"/>
              <w:jc w:val="right"/>
              <w:rPr>
                <w:rFonts w:ascii="宋体" w:hAnsi="宋体" w:eastAsia="宋体" w:cs="宋体"/>
                <w:sz w:val="18"/>
                <w:szCs w:val="18"/>
              </w:rPr>
            </w:pPr>
            <w:r>
              <w:rPr>
                <w:rFonts w:ascii="宋体" w:hAnsi="宋体" w:eastAsia="宋体" w:cs="宋体"/>
                <w:sz w:val="18"/>
                <w:szCs w:val="18"/>
              </w:rPr>
              <w:t>134,319,827.44</w:t>
            </w:r>
          </w:p>
        </w:tc>
        <w:tc>
          <w:tcPr>
            <w:tcW w:w="741" w:type="dxa"/>
            <w:tcBorders>
              <w:top w:val="single" w:color="auto" w:sz="2" w:space="0"/>
              <w:left w:val="single" w:color="auto" w:sz="2" w:space="0"/>
              <w:bottom w:val="single" w:color="auto" w:sz="2" w:space="0"/>
              <w:right w:val="single" w:color="auto" w:sz="2" w:space="0"/>
            </w:tcBorders>
            <w:vAlign w:val="center"/>
          </w:tcPr>
          <w:p w14:paraId="3222EC2E">
            <w:pPr>
              <w:spacing w:line="240" w:lineRule="exact"/>
              <w:jc w:val="right"/>
              <w:rPr>
                <w:rFonts w:ascii="宋体" w:hAnsi="宋体" w:eastAsia="宋体" w:cs="宋体"/>
                <w:sz w:val="18"/>
                <w:szCs w:val="18"/>
              </w:rPr>
            </w:pPr>
            <w:r>
              <w:rPr>
                <w:rFonts w:ascii="宋体" w:hAnsi="宋体" w:eastAsia="宋体" w:cs="宋体"/>
                <w:sz w:val="18"/>
                <w:szCs w:val="18"/>
              </w:rPr>
              <w:t>321,954,492.48</w:t>
            </w:r>
          </w:p>
        </w:tc>
        <w:tc>
          <w:tcPr>
            <w:tcW w:w="741" w:type="dxa"/>
            <w:tcBorders>
              <w:top w:val="single" w:color="auto" w:sz="2" w:space="0"/>
              <w:left w:val="single" w:color="auto" w:sz="2" w:space="0"/>
              <w:bottom w:val="single" w:color="auto" w:sz="2" w:space="0"/>
              <w:right w:val="single" w:color="auto" w:sz="2" w:space="0"/>
            </w:tcBorders>
            <w:vAlign w:val="center"/>
          </w:tcPr>
          <w:p w14:paraId="249918FE">
            <w:pPr>
              <w:spacing w:line="240" w:lineRule="exact"/>
              <w:jc w:val="right"/>
              <w:rPr>
                <w:rFonts w:ascii="宋体" w:hAnsi="宋体" w:eastAsia="宋体" w:cs="宋体"/>
                <w:sz w:val="18"/>
                <w:szCs w:val="18"/>
              </w:rPr>
            </w:pPr>
            <w:r>
              <w:rPr>
                <w:rFonts w:ascii="宋体" w:hAnsi="宋体" w:eastAsia="宋体" w:cs="宋体"/>
                <w:sz w:val="18"/>
                <w:szCs w:val="18"/>
              </w:rPr>
              <w:t>222,498,546.63</w:t>
            </w:r>
          </w:p>
        </w:tc>
        <w:tc>
          <w:tcPr>
            <w:tcW w:w="741" w:type="dxa"/>
            <w:tcBorders>
              <w:top w:val="single" w:color="auto" w:sz="2" w:space="0"/>
              <w:left w:val="single" w:color="auto" w:sz="2" w:space="0"/>
              <w:bottom w:val="single" w:color="auto" w:sz="2" w:space="0"/>
              <w:right w:val="single" w:color="auto" w:sz="2" w:space="0"/>
            </w:tcBorders>
            <w:vAlign w:val="center"/>
          </w:tcPr>
          <w:p w14:paraId="5B976B05">
            <w:pPr>
              <w:spacing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14:paraId="1901425F">
            <w:pPr>
              <w:spacing w:line="240" w:lineRule="exact"/>
              <w:jc w:val="right"/>
              <w:rPr>
                <w:rFonts w:ascii="宋体" w:hAnsi="宋体" w:eastAsia="宋体" w:cs="宋体"/>
                <w:sz w:val="18"/>
                <w:szCs w:val="18"/>
              </w:rPr>
            </w:pPr>
            <w:r>
              <w:rPr>
                <w:rFonts w:ascii="宋体" w:hAnsi="宋体" w:eastAsia="宋体" w:cs="宋体"/>
                <w:sz w:val="18"/>
                <w:szCs w:val="18"/>
              </w:rPr>
              <w:t>222,498,546.63</w:t>
            </w:r>
          </w:p>
        </w:tc>
      </w:tr>
    </w:tbl>
    <w:p w14:paraId="26B713D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6FA90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D4DD20F">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2BD2F078">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5BF01F64">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6B3B9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CEFA05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9A86B75">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238F6EA">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2FA581A">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0C2B240">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5EE8575">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ECC8046">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BEBEB87">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58BE070">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r>
      <w:tr w14:paraId="2E156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FA08053">
            <w:pPr>
              <w:spacing w:line="240" w:lineRule="exact"/>
              <w:rPr>
                <w:rFonts w:ascii="宋体" w:hAnsi="宋体" w:eastAsia="宋体" w:cs="宋体"/>
                <w:sz w:val="18"/>
                <w:szCs w:val="18"/>
              </w:rPr>
            </w:pPr>
            <w:r>
              <w:rPr>
                <w:rFonts w:ascii="宋体" w:hAnsi="宋体" w:eastAsia="宋体" w:cs="宋体"/>
                <w:sz w:val="18"/>
                <w:szCs w:val="18"/>
              </w:rPr>
              <w:t> 浙江阿大互联科技有限公司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349062A6">
            <w:pPr>
              <w:spacing w:line="240" w:lineRule="exact"/>
              <w:jc w:val="right"/>
              <w:rPr>
                <w:rFonts w:ascii="宋体" w:hAnsi="宋体" w:eastAsia="宋体" w:cs="宋体"/>
                <w:sz w:val="18"/>
                <w:szCs w:val="18"/>
              </w:rPr>
            </w:pPr>
            <w:r>
              <w:rPr>
                <w:rFonts w:ascii="宋体" w:hAnsi="宋体" w:eastAsia="宋体" w:cs="宋体"/>
                <w:sz w:val="18"/>
                <w:szCs w:val="18"/>
              </w:rPr>
              <w:t>421,109,662.26</w:t>
            </w:r>
          </w:p>
        </w:tc>
        <w:tc>
          <w:tcPr>
            <w:tcW w:w="1071" w:type="dxa"/>
            <w:tcBorders>
              <w:top w:val="single" w:color="auto" w:sz="2" w:space="0"/>
              <w:left w:val="single" w:color="auto" w:sz="2" w:space="0"/>
              <w:bottom w:val="single" w:color="auto" w:sz="2" w:space="0"/>
              <w:right w:val="single" w:color="auto" w:sz="2" w:space="0"/>
            </w:tcBorders>
            <w:vAlign w:val="center"/>
          </w:tcPr>
          <w:p w14:paraId="001F2C98">
            <w:pPr>
              <w:spacing w:line="240" w:lineRule="exact"/>
              <w:jc w:val="right"/>
              <w:rPr>
                <w:rFonts w:ascii="宋体" w:hAnsi="宋体" w:eastAsia="宋体" w:cs="宋体"/>
                <w:sz w:val="18"/>
                <w:szCs w:val="18"/>
              </w:rPr>
            </w:pPr>
            <w:r>
              <w:rPr>
                <w:rFonts w:ascii="宋体" w:hAnsi="宋体" w:eastAsia="宋体" w:cs="宋体"/>
                <w:sz w:val="18"/>
                <w:szCs w:val="18"/>
              </w:rPr>
              <w:t>16,084,259.72</w:t>
            </w:r>
          </w:p>
        </w:tc>
        <w:tc>
          <w:tcPr>
            <w:tcW w:w="1071" w:type="dxa"/>
            <w:tcBorders>
              <w:top w:val="single" w:color="auto" w:sz="2" w:space="0"/>
              <w:left w:val="single" w:color="auto" w:sz="2" w:space="0"/>
              <w:bottom w:val="single" w:color="auto" w:sz="2" w:space="0"/>
              <w:right w:val="single" w:color="auto" w:sz="2" w:space="0"/>
            </w:tcBorders>
            <w:vAlign w:val="center"/>
          </w:tcPr>
          <w:p w14:paraId="630F9A9F">
            <w:pPr>
              <w:spacing w:line="240" w:lineRule="exact"/>
              <w:jc w:val="right"/>
              <w:rPr>
                <w:rFonts w:ascii="宋体" w:hAnsi="宋体" w:eastAsia="宋体" w:cs="宋体"/>
                <w:sz w:val="18"/>
                <w:szCs w:val="18"/>
              </w:rPr>
            </w:pPr>
            <w:r>
              <w:rPr>
                <w:rFonts w:ascii="宋体" w:hAnsi="宋体" w:eastAsia="宋体" w:cs="宋体"/>
                <w:sz w:val="18"/>
                <w:szCs w:val="18"/>
              </w:rPr>
              <w:t>16,084,259.72</w:t>
            </w:r>
          </w:p>
        </w:tc>
        <w:tc>
          <w:tcPr>
            <w:tcW w:w="1071" w:type="dxa"/>
            <w:tcBorders>
              <w:top w:val="single" w:color="auto" w:sz="2" w:space="0"/>
              <w:left w:val="single" w:color="auto" w:sz="2" w:space="0"/>
              <w:bottom w:val="single" w:color="auto" w:sz="2" w:space="0"/>
              <w:right w:val="single" w:color="auto" w:sz="2" w:space="0"/>
            </w:tcBorders>
            <w:vAlign w:val="center"/>
          </w:tcPr>
          <w:p w14:paraId="0E9B6867">
            <w:pPr>
              <w:spacing w:line="240" w:lineRule="exact"/>
              <w:jc w:val="right"/>
              <w:rPr>
                <w:rFonts w:ascii="宋体" w:hAnsi="宋体" w:eastAsia="宋体" w:cs="宋体"/>
                <w:sz w:val="18"/>
                <w:szCs w:val="18"/>
              </w:rPr>
            </w:pPr>
            <w:r>
              <w:rPr>
                <w:rFonts w:ascii="宋体" w:hAnsi="宋体" w:eastAsia="宋体" w:cs="宋体"/>
                <w:sz w:val="18"/>
                <w:szCs w:val="18"/>
              </w:rPr>
              <w:t>13,139,531.50</w:t>
            </w:r>
          </w:p>
        </w:tc>
        <w:tc>
          <w:tcPr>
            <w:tcW w:w="1071" w:type="dxa"/>
            <w:tcBorders>
              <w:top w:val="single" w:color="auto" w:sz="2" w:space="0"/>
              <w:left w:val="single" w:color="auto" w:sz="2" w:space="0"/>
              <w:bottom w:val="single" w:color="auto" w:sz="2" w:space="0"/>
              <w:right w:val="single" w:color="auto" w:sz="2" w:space="0"/>
            </w:tcBorders>
            <w:vAlign w:val="center"/>
          </w:tcPr>
          <w:p w14:paraId="3BB7E871">
            <w:pPr>
              <w:spacing w:line="240" w:lineRule="exact"/>
              <w:jc w:val="right"/>
              <w:rPr>
                <w:rFonts w:ascii="宋体" w:hAnsi="宋体" w:eastAsia="宋体" w:cs="宋体"/>
                <w:sz w:val="18"/>
                <w:szCs w:val="18"/>
              </w:rPr>
            </w:pPr>
            <w:r>
              <w:rPr>
                <w:rFonts w:ascii="宋体" w:hAnsi="宋体" w:eastAsia="宋体" w:cs="宋体"/>
                <w:sz w:val="18"/>
                <w:szCs w:val="18"/>
              </w:rPr>
              <w:t>358,002,201.02</w:t>
            </w:r>
          </w:p>
        </w:tc>
        <w:tc>
          <w:tcPr>
            <w:tcW w:w="1071" w:type="dxa"/>
            <w:tcBorders>
              <w:top w:val="single" w:color="auto" w:sz="2" w:space="0"/>
              <w:left w:val="single" w:color="auto" w:sz="2" w:space="0"/>
              <w:bottom w:val="single" w:color="auto" w:sz="2" w:space="0"/>
              <w:right w:val="single" w:color="auto" w:sz="2" w:space="0"/>
            </w:tcBorders>
            <w:vAlign w:val="center"/>
          </w:tcPr>
          <w:p w14:paraId="057555C1">
            <w:pPr>
              <w:spacing w:line="240" w:lineRule="exact"/>
              <w:jc w:val="right"/>
              <w:rPr>
                <w:rFonts w:ascii="宋体" w:hAnsi="宋体" w:eastAsia="宋体" w:cs="宋体"/>
                <w:sz w:val="18"/>
                <w:szCs w:val="18"/>
              </w:rPr>
            </w:pPr>
            <w:r>
              <w:rPr>
                <w:rFonts w:ascii="宋体" w:hAnsi="宋体" w:eastAsia="宋体" w:cs="宋体"/>
                <w:sz w:val="18"/>
                <w:szCs w:val="18"/>
              </w:rPr>
              <w:t>11,666,793.56</w:t>
            </w:r>
          </w:p>
        </w:tc>
        <w:tc>
          <w:tcPr>
            <w:tcW w:w="1071" w:type="dxa"/>
            <w:tcBorders>
              <w:top w:val="single" w:color="auto" w:sz="2" w:space="0"/>
              <w:left w:val="single" w:color="auto" w:sz="2" w:space="0"/>
              <w:bottom w:val="single" w:color="auto" w:sz="2" w:space="0"/>
              <w:right w:val="single" w:color="auto" w:sz="2" w:space="0"/>
            </w:tcBorders>
            <w:vAlign w:val="center"/>
          </w:tcPr>
          <w:p w14:paraId="5EBD39BE">
            <w:pPr>
              <w:spacing w:line="240" w:lineRule="exact"/>
              <w:jc w:val="right"/>
              <w:rPr>
                <w:rFonts w:ascii="宋体" w:hAnsi="宋体" w:eastAsia="宋体" w:cs="宋体"/>
                <w:sz w:val="18"/>
                <w:szCs w:val="18"/>
              </w:rPr>
            </w:pPr>
            <w:r>
              <w:rPr>
                <w:rFonts w:ascii="宋体" w:hAnsi="宋体" w:eastAsia="宋体" w:cs="宋体"/>
                <w:sz w:val="18"/>
                <w:szCs w:val="18"/>
              </w:rPr>
              <w:t>11,666,793.56</w:t>
            </w:r>
          </w:p>
        </w:tc>
        <w:tc>
          <w:tcPr>
            <w:tcW w:w="1071" w:type="dxa"/>
            <w:tcBorders>
              <w:top w:val="single" w:color="auto" w:sz="2" w:space="0"/>
              <w:left w:val="single" w:color="auto" w:sz="2" w:space="0"/>
              <w:bottom w:val="single" w:color="auto" w:sz="2" w:space="0"/>
              <w:right w:val="single" w:color="auto" w:sz="2" w:space="0"/>
            </w:tcBorders>
            <w:vAlign w:val="center"/>
          </w:tcPr>
          <w:p w14:paraId="1937DD4B">
            <w:pPr>
              <w:spacing w:line="240" w:lineRule="exact"/>
              <w:jc w:val="right"/>
              <w:rPr>
                <w:rFonts w:ascii="宋体" w:hAnsi="宋体" w:eastAsia="宋体" w:cs="宋体"/>
                <w:sz w:val="18"/>
                <w:szCs w:val="18"/>
              </w:rPr>
            </w:pPr>
            <w:r>
              <w:rPr>
                <w:rFonts w:ascii="宋体" w:hAnsi="宋体" w:eastAsia="宋体" w:cs="宋体"/>
                <w:sz w:val="18"/>
                <w:szCs w:val="18"/>
              </w:rPr>
              <w:t>-4,615,593.50</w:t>
            </w:r>
          </w:p>
        </w:tc>
      </w:tr>
      <w:tr w14:paraId="04145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F57F1CA">
            <w:pPr>
              <w:spacing w:line="240" w:lineRule="exact"/>
              <w:rPr>
                <w:rFonts w:ascii="宋体" w:hAnsi="宋体" w:eastAsia="宋体" w:cs="宋体"/>
                <w:sz w:val="18"/>
                <w:szCs w:val="18"/>
              </w:rPr>
            </w:pPr>
            <w:r>
              <w:rPr>
                <w:rFonts w:ascii="宋体" w:hAnsi="宋体" w:eastAsia="宋体" w:cs="宋体"/>
                <w:sz w:val="18"/>
                <w:szCs w:val="18"/>
              </w:rPr>
              <w:t>  新疆天孚棉花供应链股份有限公司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64A08434">
            <w:pPr>
              <w:spacing w:line="240" w:lineRule="exact"/>
              <w:jc w:val="right"/>
              <w:rPr>
                <w:rFonts w:ascii="宋体" w:hAnsi="宋体" w:eastAsia="宋体" w:cs="宋体"/>
                <w:sz w:val="18"/>
                <w:szCs w:val="18"/>
              </w:rPr>
            </w:pPr>
            <w:r>
              <w:rPr>
                <w:rFonts w:ascii="宋体" w:hAnsi="宋体" w:eastAsia="宋体" w:cs="宋体"/>
                <w:sz w:val="18"/>
                <w:szCs w:val="18"/>
              </w:rPr>
              <w:t>53,648,730.81</w:t>
            </w:r>
          </w:p>
        </w:tc>
        <w:tc>
          <w:tcPr>
            <w:tcW w:w="1071" w:type="dxa"/>
            <w:tcBorders>
              <w:top w:val="single" w:color="auto" w:sz="2" w:space="0"/>
              <w:left w:val="single" w:color="auto" w:sz="2" w:space="0"/>
              <w:bottom w:val="single" w:color="auto" w:sz="2" w:space="0"/>
              <w:right w:val="single" w:color="auto" w:sz="2" w:space="0"/>
            </w:tcBorders>
            <w:vAlign w:val="center"/>
          </w:tcPr>
          <w:p w14:paraId="3054B45F">
            <w:pPr>
              <w:spacing w:line="240" w:lineRule="exact"/>
              <w:jc w:val="right"/>
              <w:rPr>
                <w:rFonts w:ascii="宋体" w:hAnsi="宋体" w:eastAsia="宋体" w:cs="宋体"/>
                <w:sz w:val="18"/>
                <w:szCs w:val="18"/>
              </w:rPr>
            </w:pPr>
            <w:r>
              <w:rPr>
                <w:rFonts w:ascii="宋体" w:hAnsi="宋体" w:eastAsia="宋体" w:cs="宋体"/>
                <w:sz w:val="18"/>
                <w:szCs w:val="18"/>
              </w:rPr>
              <w:t>10,849,180.79</w:t>
            </w:r>
          </w:p>
        </w:tc>
        <w:tc>
          <w:tcPr>
            <w:tcW w:w="1071" w:type="dxa"/>
            <w:tcBorders>
              <w:top w:val="single" w:color="auto" w:sz="2" w:space="0"/>
              <w:left w:val="single" w:color="auto" w:sz="2" w:space="0"/>
              <w:bottom w:val="single" w:color="auto" w:sz="2" w:space="0"/>
              <w:right w:val="single" w:color="auto" w:sz="2" w:space="0"/>
            </w:tcBorders>
            <w:vAlign w:val="center"/>
          </w:tcPr>
          <w:p w14:paraId="33A36FD7">
            <w:pPr>
              <w:spacing w:line="240" w:lineRule="exact"/>
              <w:jc w:val="right"/>
              <w:rPr>
                <w:rFonts w:ascii="宋体" w:hAnsi="宋体" w:eastAsia="宋体" w:cs="宋体"/>
                <w:sz w:val="18"/>
                <w:szCs w:val="18"/>
              </w:rPr>
            </w:pPr>
            <w:r>
              <w:rPr>
                <w:rFonts w:ascii="宋体" w:hAnsi="宋体" w:eastAsia="宋体" w:cs="宋体"/>
                <w:sz w:val="18"/>
                <w:szCs w:val="18"/>
              </w:rPr>
              <w:t>10,849,180.79</w:t>
            </w:r>
          </w:p>
        </w:tc>
        <w:tc>
          <w:tcPr>
            <w:tcW w:w="1071" w:type="dxa"/>
            <w:tcBorders>
              <w:top w:val="single" w:color="auto" w:sz="2" w:space="0"/>
              <w:left w:val="single" w:color="auto" w:sz="2" w:space="0"/>
              <w:bottom w:val="single" w:color="auto" w:sz="2" w:space="0"/>
              <w:right w:val="single" w:color="auto" w:sz="2" w:space="0"/>
            </w:tcBorders>
            <w:vAlign w:val="center"/>
          </w:tcPr>
          <w:p w14:paraId="7CD68176">
            <w:pPr>
              <w:spacing w:line="240" w:lineRule="exact"/>
              <w:jc w:val="right"/>
              <w:rPr>
                <w:rFonts w:ascii="宋体" w:hAnsi="宋体" w:eastAsia="宋体" w:cs="宋体"/>
                <w:sz w:val="18"/>
                <w:szCs w:val="18"/>
              </w:rPr>
            </w:pPr>
            <w:r>
              <w:rPr>
                <w:rFonts w:ascii="宋体" w:hAnsi="宋体" w:eastAsia="宋体" w:cs="宋体"/>
                <w:sz w:val="18"/>
                <w:szCs w:val="18"/>
              </w:rPr>
              <w:t>-5,529,025.18</w:t>
            </w:r>
          </w:p>
        </w:tc>
        <w:tc>
          <w:tcPr>
            <w:tcW w:w="1071" w:type="dxa"/>
            <w:tcBorders>
              <w:top w:val="single" w:color="auto" w:sz="2" w:space="0"/>
              <w:left w:val="single" w:color="auto" w:sz="2" w:space="0"/>
              <w:bottom w:val="single" w:color="auto" w:sz="2" w:space="0"/>
              <w:right w:val="single" w:color="auto" w:sz="2" w:space="0"/>
            </w:tcBorders>
            <w:vAlign w:val="center"/>
          </w:tcPr>
          <w:p w14:paraId="04B1F448">
            <w:pPr>
              <w:spacing w:line="240" w:lineRule="exact"/>
              <w:jc w:val="right"/>
              <w:rPr>
                <w:rFonts w:ascii="宋体" w:hAnsi="宋体" w:eastAsia="宋体" w:cs="宋体"/>
                <w:sz w:val="18"/>
                <w:szCs w:val="18"/>
              </w:rPr>
            </w:pPr>
            <w:r>
              <w:rPr>
                <w:rFonts w:ascii="宋体" w:hAnsi="宋体" w:eastAsia="宋体" w:cs="宋体"/>
                <w:sz w:val="18"/>
                <w:szCs w:val="18"/>
              </w:rPr>
              <w:t>19,851,034.70</w:t>
            </w:r>
          </w:p>
        </w:tc>
        <w:tc>
          <w:tcPr>
            <w:tcW w:w="1071" w:type="dxa"/>
            <w:tcBorders>
              <w:top w:val="single" w:color="auto" w:sz="2" w:space="0"/>
              <w:left w:val="single" w:color="auto" w:sz="2" w:space="0"/>
              <w:bottom w:val="single" w:color="auto" w:sz="2" w:space="0"/>
              <w:right w:val="single" w:color="auto" w:sz="2" w:space="0"/>
            </w:tcBorders>
            <w:vAlign w:val="center"/>
          </w:tcPr>
          <w:p w14:paraId="1A1ADAAB">
            <w:pPr>
              <w:spacing w:line="240" w:lineRule="exact"/>
              <w:jc w:val="right"/>
              <w:rPr>
                <w:rFonts w:ascii="宋体" w:hAnsi="宋体" w:eastAsia="宋体" w:cs="宋体"/>
                <w:sz w:val="18"/>
                <w:szCs w:val="18"/>
              </w:rPr>
            </w:pPr>
            <w:r>
              <w:rPr>
                <w:rFonts w:ascii="宋体" w:hAnsi="宋体" w:eastAsia="宋体" w:cs="宋体"/>
                <w:sz w:val="18"/>
                <w:szCs w:val="18"/>
              </w:rPr>
              <w:t>-13,560,229.91</w:t>
            </w:r>
          </w:p>
        </w:tc>
        <w:tc>
          <w:tcPr>
            <w:tcW w:w="1071" w:type="dxa"/>
            <w:tcBorders>
              <w:top w:val="single" w:color="auto" w:sz="2" w:space="0"/>
              <w:left w:val="single" w:color="auto" w:sz="2" w:space="0"/>
              <w:bottom w:val="single" w:color="auto" w:sz="2" w:space="0"/>
              <w:right w:val="single" w:color="auto" w:sz="2" w:space="0"/>
            </w:tcBorders>
            <w:vAlign w:val="center"/>
          </w:tcPr>
          <w:p w14:paraId="555E7EED">
            <w:pPr>
              <w:spacing w:line="240" w:lineRule="exact"/>
              <w:jc w:val="right"/>
              <w:rPr>
                <w:rFonts w:ascii="宋体" w:hAnsi="宋体" w:eastAsia="宋体" w:cs="宋体"/>
                <w:sz w:val="18"/>
                <w:szCs w:val="18"/>
              </w:rPr>
            </w:pPr>
            <w:r>
              <w:rPr>
                <w:rFonts w:ascii="宋体" w:hAnsi="宋体" w:eastAsia="宋体" w:cs="宋体"/>
                <w:sz w:val="18"/>
                <w:szCs w:val="18"/>
              </w:rPr>
              <w:t>-13,560,229.91</w:t>
            </w:r>
          </w:p>
        </w:tc>
        <w:tc>
          <w:tcPr>
            <w:tcW w:w="1071" w:type="dxa"/>
            <w:tcBorders>
              <w:top w:val="single" w:color="auto" w:sz="2" w:space="0"/>
              <w:left w:val="single" w:color="auto" w:sz="2" w:space="0"/>
              <w:bottom w:val="single" w:color="auto" w:sz="2" w:space="0"/>
              <w:right w:val="single" w:color="auto" w:sz="2" w:space="0"/>
            </w:tcBorders>
            <w:vAlign w:val="center"/>
          </w:tcPr>
          <w:p w14:paraId="67C1874D">
            <w:pPr>
              <w:spacing w:line="240" w:lineRule="exact"/>
              <w:jc w:val="right"/>
              <w:rPr>
                <w:rFonts w:ascii="宋体" w:hAnsi="宋体" w:eastAsia="宋体" w:cs="宋体"/>
                <w:sz w:val="18"/>
                <w:szCs w:val="18"/>
              </w:rPr>
            </w:pPr>
            <w:r>
              <w:rPr>
                <w:rFonts w:ascii="宋体" w:hAnsi="宋体" w:eastAsia="宋体" w:cs="宋体"/>
                <w:sz w:val="18"/>
                <w:szCs w:val="18"/>
              </w:rPr>
              <w:t>-39,051,947.62</w:t>
            </w:r>
          </w:p>
        </w:tc>
      </w:tr>
      <w:tr w14:paraId="2A794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2D9088D">
            <w:pPr>
              <w:spacing w:line="240" w:lineRule="exact"/>
              <w:rPr>
                <w:rFonts w:ascii="宋体" w:hAnsi="宋体" w:eastAsia="宋体" w:cs="宋体"/>
                <w:sz w:val="18"/>
                <w:szCs w:val="18"/>
              </w:rPr>
            </w:pPr>
            <w:r>
              <w:rPr>
                <w:rFonts w:ascii="宋体" w:hAnsi="宋体" w:eastAsia="宋体" w:cs="宋体"/>
                <w:sz w:val="18"/>
                <w:szCs w:val="18"/>
              </w:rPr>
              <w:t> 新疆棉花交易市场有限责任公司</w:t>
            </w:r>
          </w:p>
        </w:tc>
        <w:tc>
          <w:tcPr>
            <w:tcW w:w="1071" w:type="dxa"/>
            <w:tcBorders>
              <w:top w:val="single" w:color="auto" w:sz="2" w:space="0"/>
              <w:left w:val="single" w:color="auto" w:sz="2" w:space="0"/>
              <w:bottom w:val="single" w:color="auto" w:sz="2" w:space="0"/>
              <w:right w:val="single" w:color="auto" w:sz="2" w:space="0"/>
            </w:tcBorders>
            <w:vAlign w:val="center"/>
          </w:tcPr>
          <w:p w14:paraId="790C9530">
            <w:pPr>
              <w:spacing w:line="240" w:lineRule="exact"/>
              <w:jc w:val="right"/>
              <w:rPr>
                <w:rFonts w:ascii="宋体" w:hAnsi="宋体" w:eastAsia="宋体" w:cs="宋体"/>
                <w:sz w:val="18"/>
                <w:szCs w:val="18"/>
              </w:rPr>
            </w:pPr>
            <w:r>
              <w:rPr>
                <w:rFonts w:ascii="宋体" w:hAnsi="宋体" w:eastAsia="宋体" w:cs="宋体"/>
                <w:sz w:val="18"/>
                <w:szCs w:val="18"/>
              </w:rPr>
              <w:t>1,276,157,254.14</w:t>
            </w:r>
          </w:p>
        </w:tc>
        <w:tc>
          <w:tcPr>
            <w:tcW w:w="1071" w:type="dxa"/>
            <w:tcBorders>
              <w:top w:val="single" w:color="auto" w:sz="2" w:space="0"/>
              <w:left w:val="single" w:color="auto" w:sz="2" w:space="0"/>
              <w:bottom w:val="single" w:color="auto" w:sz="2" w:space="0"/>
              <w:right w:val="single" w:color="auto" w:sz="2" w:space="0"/>
            </w:tcBorders>
            <w:vAlign w:val="center"/>
          </w:tcPr>
          <w:p w14:paraId="0F36A4C7">
            <w:pPr>
              <w:spacing w:line="240" w:lineRule="exact"/>
              <w:jc w:val="right"/>
              <w:rPr>
                <w:rFonts w:ascii="宋体" w:hAnsi="宋体" w:eastAsia="宋体" w:cs="宋体"/>
                <w:sz w:val="18"/>
                <w:szCs w:val="18"/>
              </w:rPr>
            </w:pPr>
            <w:r>
              <w:rPr>
                <w:rFonts w:ascii="宋体" w:hAnsi="宋体" w:eastAsia="宋体" w:cs="宋体"/>
                <w:sz w:val="18"/>
                <w:szCs w:val="18"/>
              </w:rPr>
              <w:t>-2,047,935.73</w:t>
            </w:r>
          </w:p>
        </w:tc>
        <w:tc>
          <w:tcPr>
            <w:tcW w:w="1071" w:type="dxa"/>
            <w:tcBorders>
              <w:top w:val="single" w:color="auto" w:sz="2" w:space="0"/>
              <w:left w:val="single" w:color="auto" w:sz="2" w:space="0"/>
              <w:bottom w:val="single" w:color="auto" w:sz="2" w:space="0"/>
              <w:right w:val="single" w:color="auto" w:sz="2" w:space="0"/>
            </w:tcBorders>
            <w:vAlign w:val="center"/>
          </w:tcPr>
          <w:p w14:paraId="0C7E933C">
            <w:pPr>
              <w:spacing w:line="240" w:lineRule="exact"/>
              <w:jc w:val="right"/>
              <w:rPr>
                <w:rFonts w:ascii="宋体" w:hAnsi="宋体" w:eastAsia="宋体" w:cs="宋体"/>
                <w:sz w:val="18"/>
                <w:szCs w:val="18"/>
              </w:rPr>
            </w:pPr>
            <w:r>
              <w:rPr>
                <w:rFonts w:ascii="宋体" w:hAnsi="宋体" w:eastAsia="宋体" w:cs="宋体"/>
                <w:sz w:val="18"/>
                <w:szCs w:val="18"/>
              </w:rPr>
              <w:t>-2,047,935.73</w:t>
            </w:r>
          </w:p>
        </w:tc>
        <w:tc>
          <w:tcPr>
            <w:tcW w:w="1071" w:type="dxa"/>
            <w:tcBorders>
              <w:top w:val="single" w:color="auto" w:sz="2" w:space="0"/>
              <w:left w:val="single" w:color="auto" w:sz="2" w:space="0"/>
              <w:bottom w:val="single" w:color="auto" w:sz="2" w:space="0"/>
              <w:right w:val="single" w:color="auto" w:sz="2" w:space="0"/>
            </w:tcBorders>
            <w:vAlign w:val="center"/>
          </w:tcPr>
          <w:p w14:paraId="2EE74CEF">
            <w:pPr>
              <w:spacing w:line="240" w:lineRule="exact"/>
              <w:jc w:val="right"/>
              <w:rPr>
                <w:rFonts w:ascii="宋体" w:hAnsi="宋体" w:eastAsia="宋体" w:cs="宋体"/>
                <w:sz w:val="18"/>
                <w:szCs w:val="18"/>
              </w:rPr>
            </w:pPr>
            <w:r>
              <w:rPr>
                <w:rFonts w:ascii="宋体" w:hAnsi="宋体" w:eastAsia="宋体" w:cs="宋体"/>
                <w:sz w:val="18"/>
                <w:szCs w:val="18"/>
              </w:rPr>
              <w:t>-40,129,742.80</w:t>
            </w:r>
          </w:p>
        </w:tc>
        <w:tc>
          <w:tcPr>
            <w:tcW w:w="1071" w:type="dxa"/>
            <w:tcBorders>
              <w:top w:val="single" w:color="auto" w:sz="2" w:space="0"/>
              <w:left w:val="single" w:color="auto" w:sz="2" w:space="0"/>
              <w:bottom w:val="single" w:color="auto" w:sz="2" w:space="0"/>
              <w:right w:val="single" w:color="auto" w:sz="2" w:space="0"/>
            </w:tcBorders>
            <w:vAlign w:val="center"/>
          </w:tcPr>
          <w:p w14:paraId="11CE5D2C">
            <w:pPr>
              <w:spacing w:line="240" w:lineRule="exact"/>
              <w:jc w:val="right"/>
              <w:rPr>
                <w:rFonts w:ascii="宋体" w:hAnsi="宋体" w:eastAsia="宋体" w:cs="宋体"/>
                <w:sz w:val="18"/>
                <w:szCs w:val="18"/>
              </w:rPr>
            </w:pPr>
            <w:r>
              <w:rPr>
                <w:rFonts w:ascii="宋体" w:hAnsi="宋体" w:eastAsia="宋体" w:cs="宋体"/>
                <w:sz w:val="18"/>
                <w:szCs w:val="18"/>
              </w:rPr>
              <w:t>1,450,093,737.80</w:t>
            </w:r>
          </w:p>
        </w:tc>
        <w:tc>
          <w:tcPr>
            <w:tcW w:w="1071" w:type="dxa"/>
            <w:tcBorders>
              <w:top w:val="single" w:color="auto" w:sz="2" w:space="0"/>
              <w:left w:val="single" w:color="auto" w:sz="2" w:space="0"/>
              <w:bottom w:val="single" w:color="auto" w:sz="2" w:space="0"/>
              <w:right w:val="single" w:color="auto" w:sz="2" w:space="0"/>
            </w:tcBorders>
            <w:vAlign w:val="center"/>
          </w:tcPr>
          <w:p w14:paraId="32218029">
            <w:pPr>
              <w:spacing w:line="240" w:lineRule="exact"/>
              <w:jc w:val="right"/>
              <w:rPr>
                <w:rFonts w:ascii="宋体" w:hAnsi="宋体" w:eastAsia="宋体" w:cs="宋体"/>
                <w:sz w:val="18"/>
                <w:szCs w:val="18"/>
              </w:rPr>
            </w:pPr>
            <w:r>
              <w:rPr>
                <w:rFonts w:ascii="宋体" w:hAnsi="宋体" w:eastAsia="宋体" w:cs="宋体"/>
                <w:sz w:val="18"/>
                <w:szCs w:val="18"/>
              </w:rPr>
              <w:t>3,800,722.45</w:t>
            </w:r>
          </w:p>
        </w:tc>
        <w:tc>
          <w:tcPr>
            <w:tcW w:w="1071" w:type="dxa"/>
            <w:tcBorders>
              <w:top w:val="single" w:color="auto" w:sz="2" w:space="0"/>
              <w:left w:val="single" w:color="auto" w:sz="2" w:space="0"/>
              <w:bottom w:val="single" w:color="auto" w:sz="2" w:space="0"/>
              <w:right w:val="single" w:color="auto" w:sz="2" w:space="0"/>
            </w:tcBorders>
            <w:vAlign w:val="center"/>
          </w:tcPr>
          <w:p w14:paraId="1A178DF3">
            <w:pPr>
              <w:spacing w:line="240" w:lineRule="exact"/>
              <w:jc w:val="right"/>
              <w:rPr>
                <w:rFonts w:ascii="宋体" w:hAnsi="宋体" w:eastAsia="宋体" w:cs="宋体"/>
                <w:sz w:val="18"/>
                <w:szCs w:val="18"/>
              </w:rPr>
            </w:pPr>
            <w:r>
              <w:rPr>
                <w:rFonts w:ascii="宋体" w:hAnsi="宋体" w:eastAsia="宋体" w:cs="宋体"/>
                <w:sz w:val="18"/>
                <w:szCs w:val="18"/>
              </w:rPr>
              <w:t>3,800,722.45</w:t>
            </w:r>
          </w:p>
        </w:tc>
        <w:tc>
          <w:tcPr>
            <w:tcW w:w="1071" w:type="dxa"/>
            <w:tcBorders>
              <w:top w:val="single" w:color="auto" w:sz="2" w:space="0"/>
              <w:left w:val="single" w:color="auto" w:sz="2" w:space="0"/>
              <w:bottom w:val="single" w:color="auto" w:sz="2" w:space="0"/>
              <w:right w:val="single" w:color="auto" w:sz="2" w:space="0"/>
            </w:tcBorders>
            <w:vAlign w:val="center"/>
          </w:tcPr>
          <w:p w14:paraId="4842A2DD">
            <w:pPr>
              <w:spacing w:line="240" w:lineRule="exact"/>
              <w:jc w:val="right"/>
              <w:rPr>
                <w:rFonts w:ascii="宋体" w:hAnsi="宋体" w:eastAsia="宋体" w:cs="宋体"/>
                <w:sz w:val="18"/>
                <w:szCs w:val="18"/>
              </w:rPr>
            </w:pPr>
            <w:r>
              <w:rPr>
                <w:rFonts w:ascii="宋体" w:hAnsi="宋体" w:eastAsia="宋体" w:cs="宋体"/>
                <w:sz w:val="18"/>
                <w:szCs w:val="18"/>
              </w:rPr>
              <w:t>45,053,214.74</w:t>
            </w:r>
          </w:p>
        </w:tc>
      </w:tr>
      <w:tr w14:paraId="099F7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23DCC7B">
            <w:pPr>
              <w:spacing w:line="240" w:lineRule="exact"/>
              <w:rPr>
                <w:rFonts w:ascii="宋体" w:hAnsi="宋体" w:eastAsia="宋体" w:cs="宋体"/>
                <w:sz w:val="18"/>
                <w:szCs w:val="18"/>
              </w:rPr>
            </w:pPr>
            <w:r>
              <w:rPr>
                <w:rFonts w:ascii="宋体" w:hAnsi="宋体" w:eastAsia="宋体" w:cs="宋体"/>
                <w:sz w:val="18"/>
                <w:szCs w:val="18"/>
              </w:rPr>
              <w:t>  阿克苏银星物流有限公司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7D40703F">
            <w:pPr>
              <w:spacing w:line="240" w:lineRule="exact"/>
              <w:jc w:val="right"/>
              <w:rPr>
                <w:rFonts w:ascii="宋体" w:hAnsi="宋体" w:eastAsia="宋体" w:cs="宋体"/>
                <w:sz w:val="18"/>
                <w:szCs w:val="18"/>
              </w:rPr>
            </w:pPr>
            <w:r>
              <w:rPr>
                <w:rFonts w:ascii="宋体" w:hAnsi="宋体" w:eastAsia="宋体" w:cs="宋体"/>
                <w:sz w:val="18"/>
                <w:szCs w:val="18"/>
              </w:rPr>
              <w:t>39,543,131.05</w:t>
            </w:r>
          </w:p>
        </w:tc>
        <w:tc>
          <w:tcPr>
            <w:tcW w:w="1071" w:type="dxa"/>
            <w:tcBorders>
              <w:top w:val="single" w:color="auto" w:sz="2" w:space="0"/>
              <w:left w:val="single" w:color="auto" w:sz="2" w:space="0"/>
              <w:bottom w:val="single" w:color="auto" w:sz="2" w:space="0"/>
              <w:right w:val="single" w:color="auto" w:sz="2" w:space="0"/>
            </w:tcBorders>
            <w:vAlign w:val="center"/>
          </w:tcPr>
          <w:p w14:paraId="4325B2A4">
            <w:pPr>
              <w:spacing w:line="240" w:lineRule="exact"/>
              <w:jc w:val="right"/>
              <w:rPr>
                <w:rFonts w:ascii="宋体" w:hAnsi="宋体" w:eastAsia="宋体" w:cs="宋体"/>
                <w:sz w:val="18"/>
                <w:szCs w:val="18"/>
              </w:rPr>
            </w:pPr>
            <w:r>
              <w:rPr>
                <w:rFonts w:ascii="宋体" w:hAnsi="宋体" w:eastAsia="宋体" w:cs="宋体"/>
                <w:sz w:val="18"/>
                <w:szCs w:val="18"/>
              </w:rPr>
              <w:t>16,849,956.06</w:t>
            </w:r>
          </w:p>
        </w:tc>
        <w:tc>
          <w:tcPr>
            <w:tcW w:w="1071" w:type="dxa"/>
            <w:tcBorders>
              <w:top w:val="single" w:color="auto" w:sz="2" w:space="0"/>
              <w:left w:val="single" w:color="auto" w:sz="2" w:space="0"/>
              <w:bottom w:val="single" w:color="auto" w:sz="2" w:space="0"/>
              <w:right w:val="single" w:color="auto" w:sz="2" w:space="0"/>
            </w:tcBorders>
            <w:vAlign w:val="center"/>
          </w:tcPr>
          <w:p w14:paraId="6DA22471">
            <w:pPr>
              <w:spacing w:line="240" w:lineRule="exact"/>
              <w:jc w:val="right"/>
              <w:rPr>
                <w:rFonts w:ascii="宋体" w:hAnsi="宋体" w:eastAsia="宋体" w:cs="宋体"/>
                <w:sz w:val="18"/>
                <w:szCs w:val="18"/>
              </w:rPr>
            </w:pPr>
            <w:r>
              <w:rPr>
                <w:rFonts w:ascii="宋体" w:hAnsi="宋体" w:eastAsia="宋体" w:cs="宋体"/>
                <w:sz w:val="18"/>
                <w:szCs w:val="18"/>
              </w:rPr>
              <w:t>16,849,956.06</w:t>
            </w:r>
          </w:p>
        </w:tc>
        <w:tc>
          <w:tcPr>
            <w:tcW w:w="1071" w:type="dxa"/>
            <w:tcBorders>
              <w:top w:val="single" w:color="auto" w:sz="2" w:space="0"/>
              <w:left w:val="single" w:color="auto" w:sz="2" w:space="0"/>
              <w:bottom w:val="single" w:color="auto" w:sz="2" w:space="0"/>
              <w:right w:val="single" w:color="auto" w:sz="2" w:space="0"/>
            </w:tcBorders>
            <w:vAlign w:val="center"/>
          </w:tcPr>
          <w:p w14:paraId="1E5B66F0">
            <w:pPr>
              <w:spacing w:line="240" w:lineRule="exact"/>
              <w:jc w:val="right"/>
              <w:rPr>
                <w:rFonts w:ascii="宋体" w:hAnsi="宋体" w:eastAsia="宋体" w:cs="宋体"/>
                <w:sz w:val="18"/>
                <w:szCs w:val="18"/>
              </w:rPr>
            </w:pPr>
            <w:r>
              <w:rPr>
                <w:rFonts w:ascii="宋体" w:hAnsi="宋体" w:eastAsia="宋体" w:cs="宋体"/>
                <w:sz w:val="18"/>
                <w:szCs w:val="18"/>
              </w:rPr>
              <w:t>27,597,047.11</w:t>
            </w:r>
          </w:p>
        </w:tc>
        <w:tc>
          <w:tcPr>
            <w:tcW w:w="1071" w:type="dxa"/>
            <w:tcBorders>
              <w:top w:val="single" w:color="auto" w:sz="2" w:space="0"/>
              <w:left w:val="single" w:color="auto" w:sz="2" w:space="0"/>
              <w:bottom w:val="single" w:color="auto" w:sz="2" w:space="0"/>
              <w:right w:val="single" w:color="auto" w:sz="2" w:space="0"/>
            </w:tcBorders>
            <w:vAlign w:val="center"/>
          </w:tcPr>
          <w:p w14:paraId="21D6C76C">
            <w:pPr>
              <w:spacing w:line="240" w:lineRule="exact"/>
              <w:jc w:val="right"/>
              <w:rPr>
                <w:rFonts w:ascii="宋体" w:hAnsi="宋体" w:eastAsia="宋体" w:cs="宋体"/>
                <w:sz w:val="18"/>
                <w:szCs w:val="18"/>
              </w:rPr>
            </w:pPr>
            <w:r>
              <w:rPr>
                <w:rFonts w:ascii="宋体" w:hAnsi="宋体" w:eastAsia="宋体" w:cs="宋体"/>
                <w:sz w:val="18"/>
                <w:szCs w:val="18"/>
              </w:rPr>
              <w:t>37,121,611.05</w:t>
            </w:r>
          </w:p>
        </w:tc>
        <w:tc>
          <w:tcPr>
            <w:tcW w:w="1071" w:type="dxa"/>
            <w:tcBorders>
              <w:top w:val="single" w:color="auto" w:sz="2" w:space="0"/>
              <w:left w:val="single" w:color="auto" w:sz="2" w:space="0"/>
              <w:bottom w:val="single" w:color="auto" w:sz="2" w:space="0"/>
              <w:right w:val="single" w:color="auto" w:sz="2" w:space="0"/>
            </w:tcBorders>
            <w:vAlign w:val="center"/>
          </w:tcPr>
          <w:p w14:paraId="6C840F17">
            <w:pPr>
              <w:spacing w:line="240" w:lineRule="exact"/>
              <w:jc w:val="right"/>
              <w:rPr>
                <w:rFonts w:ascii="宋体" w:hAnsi="宋体" w:eastAsia="宋体" w:cs="宋体"/>
                <w:sz w:val="18"/>
                <w:szCs w:val="18"/>
              </w:rPr>
            </w:pPr>
            <w:r>
              <w:rPr>
                <w:rFonts w:ascii="宋体" w:hAnsi="宋体" w:eastAsia="宋体" w:cs="宋体"/>
                <w:sz w:val="18"/>
                <w:szCs w:val="18"/>
              </w:rPr>
              <w:t>13,919,658.70</w:t>
            </w:r>
          </w:p>
        </w:tc>
        <w:tc>
          <w:tcPr>
            <w:tcW w:w="1071" w:type="dxa"/>
            <w:tcBorders>
              <w:top w:val="single" w:color="auto" w:sz="2" w:space="0"/>
              <w:left w:val="single" w:color="auto" w:sz="2" w:space="0"/>
              <w:bottom w:val="single" w:color="auto" w:sz="2" w:space="0"/>
              <w:right w:val="single" w:color="auto" w:sz="2" w:space="0"/>
            </w:tcBorders>
            <w:vAlign w:val="center"/>
          </w:tcPr>
          <w:p w14:paraId="36D3748F">
            <w:pPr>
              <w:spacing w:line="240" w:lineRule="exact"/>
              <w:jc w:val="right"/>
              <w:rPr>
                <w:rFonts w:ascii="宋体" w:hAnsi="宋体" w:eastAsia="宋体" w:cs="宋体"/>
                <w:sz w:val="18"/>
                <w:szCs w:val="18"/>
              </w:rPr>
            </w:pPr>
            <w:r>
              <w:rPr>
                <w:rFonts w:ascii="宋体" w:hAnsi="宋体" w:eastAsia="宋体" w:cs="宋体"/>
                <w:sz w:val="18"/>
                <w:szCs w:val="18"/>
              </w:rPr>
              <w:t>13,919,658.70</w:t>
            </w:r>
          </w:p>
        </w:tc>
        <w:tc>
          <w:tcPr>
            <w:tcW w:w="1071" w:type="dxa"/>
            <w:tcBorders>
              <w:top w:val="single" w:color="auto" w:sz="2" w:space="0"/>
              <w:left w:val="single" w:color="auto" w:sz="2" w:space="0"/>
              <w:bottom w:val="single" w:color="auto" w:sz="2" w:space="0"/>
              <w:right w:val="single" w:color="auto" w:sz="2" w:space="0"/>
            </w:tcBorders>
            <w:vAlign w:val="center"/>
          </w:tcPr>
          <w:p w14:paraId="57905F49">
            <w:pPr>
              <w:spacing w:line="240" w:lineRule="exact"/>
              <w:jc w:val="right"/>
              <w:rPr>
                <w:rFonts w:ascii="宋体" w:hAnsi="宋体" w:eastAsia="宋体" w:cs="宋体"/>
                <w:sz w:val="18"/>
                <w:szCs w:val="18"/>
              </w:rPr>
            </w:pPr>
            <w:r>
              <w:rPr>
                <w:rFonts w:ascii="宋体" w:hAnsi="宋体" w:eastAsia="宋体" w:cs="宋体"/>
                <w:sz w:val="18"/>
                <w:szCs w:val="18"/>
              </w:rPr>
              <w:t>298,051.56</w:t>
            </w:r>
          </w:p>
        </w:tc>
      </w:tr>
      <w:tr w14:paraId="7327E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A966D72">
            <w:pPr>
              <w:spacing w:line="240" w:lineRule="exact"/>
              <w:rPr>
                <w:rFonts w:ascii="宋体" w:hAnsi="宋体" w:eastAsia="宋体" w:cs="宋体"/>
                <w:sz w:val="18"/>
                <w:szCs w:val="18"/>
              </w:rPr>
            </w:pPr>
            <w:r>
              <w:rPr>
                <w:rFonts w:ascii="宋体" w:hAnsi="宋体" w:eastAsia="宋体" w:cs="宋体"/>
                <w:sz w:val="18"/>
                <w:szCs w:val="18"/>
              </w:rPr>
              <w:t> 奎屯锦孚纺织有限公司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1ABD04AB">
            <w:pPr>
              <w:spacing w:line="240" w:lineRule="exact"/>
              <w:jc w:val="right"/>
              <w:rPr>
                <w:rFonts w:ascii="宋体" w:hAnsi="宋体" w:eastAsia="宋体" w:cs="宋体"/>
                <w:sz w:val="18"/>
                <w:szCs w:val="18"/>
              </w:rPr>
            </w:pPr>
            <w:r>
              <w:rPr>
                <w:rFonts w:ascii="宋体" w:hAnsi="宋体" w:eastAsia="宋体" w:cs="宋体"/>
                <w:sz w:val="18"/>
                <w:szCs w:val="18"/>
              </w:rPr>
              <w:t>429,201,746.45</w:t>
            </w:r>
          </w:p>
        </w:tc>
        <w:tc>
          <w:tcPr>
            <w:tcW w:w="1071" w:type="dxa"/>
            <w:tcBorders>
              <w:top w:val="single" w:color="auto" w:sz="2" w:space="0"/>
              <w:left w:val="single" w:color="auto" w:sz="2" w:space="0"/>
              <w:bottom w:val="single" w:color="auto" w:sz="2" w:space="0"/>
              <w:right w:val="single" w:color="auto" w:sz="2" w:space="0"/>
            </w:tcBorders>
            <w:vAlign w:val="center"/>
          </w:tcPr>
          <w:p w14:paraId="7C69C0B1">
            <w:pPr>
              <w:spacing w:line="240" w:lineRule="exact"/>
              <w:jc w:val="right"/>
              <w:rPr>
                <w:rFonts w:ascii="宋体" w:hAnsi="宋体" w:eastAsia="宋体" w:cs="宋体"/>
                <w:sz w:val="18"/>
                <w:szCs w:val="18"/>
              </w:rPr>
            </w:pPr>
            <w:r>
              <w:rPr>
                <w:rFonts w:ascii="宋体" w:hAnsi="宋体" w:eastAsia="宋体" w:cs="宋体"/>
                <w:sz w:val="18"/>
                <w:szCs w:val="18"/>
              </w:rPr>
              <w:t>-46,123,256.17</w:t>
            </w:r>
          </w:p>
        </w:tc>
        <w:tc>
          <w:tcPr>
            <w:tcW w:w="1071" w:type="dxa"/>
            <w:tcBorders>
              <w:top w:val="single" w:color="auto" w:sz="2" w:space="0"/>
              <w:left w:val="single" w:color="auto" w:sz="2" w:space="0"/>
              <w:bottom w:val="single" w:color="auto" w:sz="2" w:space="0"/>
              <w:right w:val="single" w:color="auto" w:sz="2" w:space="0"/>
            </w:tcBorders>
            <w:vAlign w:val="center"/>
          </w:tcPr>
          <w:p w14:paraId="4D2F50BF">
            <w:pPr>
              <w:spacing w:line="240" w:lineRule="exact"/>
              <w:jc w:val="right"/>
              <w:rPr>
                <w:rFonts w:ascii="宋体" w:hAnsi="宋体" w:eastAsia="宋体" w:cs="宋体"/>
                <w:sz w:val="18"/>
                <w:szCs w:val="18"/>
              </w:rPr>
            </w:pPr>
            <w:r>
              <w:rPr>
                <w:rFonts w:ascii="宋体" w:hAnsi="宋体" w:eastAsia="宋体" w:cs="宋体"/>
                <w:sz w:val="18"/>
                <w:szCs w:val="18"/>
              </w:rPr>
              <w:t>-46,123,256.17</w:t>
            </w:r>
          </w:p>
        </w:tc>
        <w:tc>
          <w:tcPr>
            <w:tcW w:w="1071" w:type="dxa"/>
            <w:tcBorders>
              <w:top w:val="single" w:color="auto" w:sz="2" w:space="0"/>
              <w:left w:val="single" w:color="auto" w:sz="2" w:space="0"/>
              <w:bottom w:val="single" w:color="auto" w:sz="2" w:space="0"/>
              <w:right w:val="single" w:color="auto" w:sz="2" w:space="0"/>
            </w:tcBorders>
            <w:vAlign w:val="center"/>
          </w:tcPr>
          <w:p w14:paraId="5CCABB8C">
            <w:pPr>
              <w:spacing w:line="240" w:lineRule="exact"/>
              <w:jc w:val="right"/>
              <w:rPr>
                <w:rFonts w:ascii="宋体" w:hAnsi="宋体" w:eastAsia="宋体" w:cs="宋体"/>
                <w:sz w:val="18"/>
                <w:szCs w:val="18"/>
              </w:rPr>
            </w:pPr>
            <w:r>
              <w:rPr>
                <w:rFonts w:ascii="宋体" w:hAnsi="宋体" w:eastAsia="宋体" w:cs="宋体"/>
                <w:sz w:val="18"/>
                <w:szCs w:val="18"/>
              </w:rPr>
              <w:t>2,185,411.54</w:t>
            </w:r>
          </w:p>
        </w:tc>
        <w:tc>
          <w:tcPr>
            <w:tcW w:w="1071" w:type="dxa"/>
            <w:tcBorders>
              <w:top w:val="single" w:color="auto" w:sz="2" w:space="0"/>
              <w:left w:val="single" w:color="auto" w:sz="2" w:space="0"/>
              <w:bottom w:val="single" w:color="auto" w:sz="2" w:space="0"/>
              <w:right w:val="single" w:color="auto" w:sz="2" w:space="0"/>
            </w:tcBorders>
            <w:vAlign w:val="center"/>
          </w:tcPr>
          <w:p w14:paraId="523291B1">
            <w:pPr>
              <w:spacing w:line="240" w:lineRule="exact"/>
              <w:jc w:val="right"/>
              <w:rPr>
                <w:rFonts w:ascii="宋体" w:hAnsi="宋体" w:eastAsia="宋体" w:cs="宋体"/>
                <w:sz w:val="18"/>
                <w:szCs w:val="18"/>
              </w:rPr>
            </w:pPr>
            <w:r>
              <w:rPr>
                <w:rFonts w:ascii="宋体" w:hAnsi="宋体" w:eastAsia="宋体" w:cs="宋体"/>
                <w:sz w:val="18"/>
                <w:szCs w:val="18"/>
              </w:rPr>
              <w:t>370,922,138.94</w:t>
            </w:r>
          </w:p>
        </w:tc>
        <w:tc>
          <w:tcPr>
            <w:tcW w:w="1071" w:type="dxa"/>
            <w:tcBorders>
              <w:top w:val="single" w:color="auto" w:sz="2" w:space="0"/>
              <w:left w:val="single" w:color="auto" w:sz="2" w:space="0"/>
              <w:bottom w:val="single" w:color="auto" w:sz="2" w:space="0"/>
              <w:right w:val="single" w:color="auto" w:sz="2" w:space="0"/>
            </w:tcBorders>
            <w:vAlign w:val="center"/>
          </w:tcPr>
          <w:p w14:paraId="12CAF08D">
            <w:pPr>
              <w:spacing w:line="240" w:lineRule="exact"/>
              <w:jc w:val="right"/>
              <w:rPr>
                <w:rFonts w:ascii="宋体" w:hAnsi="宋体" w:eastAsia="宋体" w:cs="宋体"/>
                <w:sz w:val="18"/>
                <w:szCs w:val="18"/>
              </w:rPr>
            </w:pPr>
            <w:r>
              <w:rPr>
                <w:rFonts w:ascii="宋体" w:hAnsi="宋体" w:eastAsia="宋体" w:cs="宋体"/>
                <w:sz w:val="18"/>
                <w:szCs w:val="18"/>
              </w:rPr>
              <w:t>-18,546,021.06</w:t>
            </w:r>
          </w:p>
        </w:tc>
        <w:tc>
          <w:tcPr>
            <w:tcW w:w="1071" w:type="dxa"/>
            <w:tcBorders>
              <w:top w:val="single" w:color="auto" w:sz="2" w:space="0"/>
              <w:left w:val="single" w:color="auto" w:sz="2" w:space="0"/>
              <w:bottom w:val="single" w:color="auto" w:sz="2" w:space="0"/>
              <w:right w:val="single" w:color="auto" w:sz="2" w:space="0"/>
            </w:tcBorders>
            <w:vAlign w:val="center"/>
          </w:tcPr>
          <w:p w14:paraId="0C6763EC">
            <w:pPr>
              <w:spacing w:line="240" w:lineRule="exact"/>
              <w:jc w:val="right"/>
              <w:rPr>
                <w:rFonts w:ascii="宋体" w:hAnsi="宋体" w:eastAsia="宋体" w:cs="宋体"/>
                <w:sz w:val="18"/>
                <w:szCs w:val="18"/>
              </w:rPr>
            </w:pPr>
            <w:r>
              <w:rPr>
                <w:rFonts w:ascii="宋体" w:hAnsi="宋体" w:eastAsia="宋体" w:cs="宋体"/>
                <w:sz w:val="18"/>
                <w:szCs w:val="18"/>
              </w:rPr>
              <w:t>-18,546,021.06</w:t>
            </w:r>
          </w:p>
        </w:tc>
        <w:tc>
          <w:tcPr>
            <w:tcW w:w="1071" w:type="dxa"/>
            <w:tcBorders>
              <w:top w:val="single" w:color="auto" w:sz="2" w:space="0"/>
              <w:left w:val="single" w:color="auto" w:sz="2" w:space="0"/>
              <w:bottom w:val="single" w:color="auto" w:sz="2" w:space="0"/>
              <w:right w:val="single" w:color="auto" w:sz="2" w:space="0"/>
            </w:tcBorders>
            <w:vAlign w:val="center"/>
          </w:tcPr>
          <w:p w14:paraId="07C68D1D">
            <w:pPr>
              <w:spacing w:line="240" w:lineRule="exact"/>
              <w:jc w:val="right"/>
              <w:rPr>
                <w:rFonts w:ascii="宋体" w:hAnsi="宋体" w:eastAsia="宋体" w:cs="宋体"/>
                <w:sz w:val="18"/>
                <w:szCs w:val="18"/>
              </w:rPr>
            </w:pPr>
            <w:r>
              <w:rPr>
                <w:rFonts w:ascii="宋体" w:hAnsi="宋体" w:eastAsia="宋体" w:cs="宋体"/>
                <w:sz w:val="18"/>
                <w:szCs w:val="18"/>
              </w:rPr>
              <w:t>391,390.00</w:t>
            </w:r>
          </w:p>
        </w:tc>
      </w:tr>
      <w:tr w14:paraId="744A9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E95034B">
            <w:pPr>
              <w:spacing w:line="240" w:lineRule="exact"/>
              <w:rPr>
                <w:rFonts w:ascii="宋体" w:hAnsi="宋体" w:eastAsia="宋体" w:cs="宋体"/>
                <w:sz w:val="18"/>
                <w:szCs w:val="18"/>
              </w:rPr>
            </w:pPr>
            <w:r>
              <w:rPr>
                <w:rFonts w:ascii="宋体" w:hAnsi="宋体" w:eastAsia="宋体" w:cs="宋体"/>
                <w:sz w:val="18"/>
                <w:szCs w:val="18"/>
              </w:rPr>
              <w:t>  越南隆安英鸿投资股份有限公司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22C72CC7">
            <w:pPr>
              <w:spacing w:line="240" w:lineRule="exact"/>
              <w:jc w:val="right"/>
              <w:rPr>
                <w:rFonts w:ascii="宋体" w:hAnsi="宋体" w:eastAsia="宋体" w:cs="宋体"/>
                <w:sz w:val="18"/>
                <w:szCs w:val="18"/>
              </w:rPr>
            </w:pPr>
            <w:r>
              <w:rPr>
                <w:rFonts w:ascii="宋体" w:hAnsi="宋体" w:eastAsia="宋体" w:cs="宋体"/>
                <w:sz w:val="18"/>
                <w:szCs w:val="18"/>
              </w:rPr>
              <w:t>944,213.75</w:t>
            </w:r>
          </w:p>
        </w:tc>
        <w:tc>
          <w:tcPr>
            <w:tcW w:w="1071" w:type="dxa"/>
            <w:tcBorders>
              <w:top w:val="single" w:color="auto" w:sz="2" w:space="0"/>
              <w:left w:val="single" w:color="auto" w:sz="2" w:space="0"/>
              <w:bottom w:val="single" w:color="auto" w:sz="2" w:space="0"/>
              <w:right w:val="single" w:color="auto" w:sz="2" w:space="0"/>
            </w:tcBorders>
            <w:vAlign w:val="center"/>
          </w:tcPr>
          <w:p w14:paraId="3E5CAC72">
            <w:pPr>
              <w:spacing w:line="240" w:lineRule="exact"/>
              <w:jc w:val="right"/>
              <w:rPr>
                <w:rFonts w:ascii="宋体" w:hAnsi="宋体" w:eastAsia="宋体" w:cs="宋体"/>
                <w:sz w:val="18"/>
                <w:szCs w:val="18"/>
              </w:rPr>
            </w:pPr>
            <w:r>
              <w:rPr>
                <w:rFonts w:ascii="宋体" w:hAnsi="宋体" w:eastAsia="宋体" w:cs="宋体"/>
                <w:sz w:val="18"/>
                <w:szCs w:val="18"/>
              </w:rPr>
              <w:t>-7,592,629.28</w:t>
            </w:r>
          </w:p>
        </w:tc>
        <w:tc>
          <w:tcPr>
            <w:tcW w:w="1071" w:type="dxa"/>
            <w:tcBorders>
              <w:top w:val="single" w:color="auto" w:sz="2" w:space="0"/>
              <w:left w:val="single" w:color="auto" w:sz="2" w:space="0"/>
              <w:bottom w:val="single" w:color="auto" w:sz="2" w:space="0"/>
              <w:right w:val="single" w:color="auto" w:sz="2" w:space="0"/>
            </w:tcBorders>
            <w:vAlign w:val="center"/>
          </w:tcPr>
          <w:p w14:paraId="5114F63C">
            <w:pPr>
              <w:spacing w:line="240" w:lineRule="exact"/>
              <w:jc w:val="right"/>
              <w:rPr>
                <w:rFonts w:ascii="宋体" w:hAnsi="宋体" w:eastAsia="宋体" w:cs="宋体"/>
                <w:sz w:val="18"/>
                <w:szCs w:val="18"/>
              </w:rPr>
            </w:pPr>
            <w:r>
              <w:rPr>
                <w:rFonts w:ascii="宋体" w:hAnsi="宋体" w:eastAsia="宋体" w:cs="宋体"/>
                <w:sz w:val="18"/>
                <w:szCs w:val="18"/>
              </w:rPr>
              <w:t>-7,592,629.28</w:t>
            </w:r>
          </w:p>
        </w:tc>
        <w:tc>
          <w:tcPr>
            <w:tcW w:w="1071" w:type="dxa"/>
            <w:tcBorders>
              <w:top w:val="single" w:color="auto" w:sz="2" w:space="0"/>
              <w:left w:val="single" w:color="auto" w:sz="2" w:space="0"/>
              <w:bottom w:val="single" w:color="auto" w:sz="2" w:space="0"/>
              <w:right w:val="single" w:color="auto" w:sz="2" w:space="0"/>
            </w:tcBorders>
            <w:vAlign w:val="center"/>
          </w:tcPr>
          <w:p w14:paraId="6DA6FFD9">
            <w:pPr>
              <w:spacing w:line="240" w:lineRule="exact"/>
              <w:jc w:val="right"/>
              <w:rPr>
                <w:rFonts w:ascii="宋体" w:hAnsi="宋体" w:eastAsia="宋体" w:cs="宋体"/>
                <w:sz w:val="18"/>
                <w:szCs w:val="18"/>
              </w:rPr>
            </w:pPr>
            <w:r>
              <w:rPr>
                <w:rFonts w:ascii="宋体" w:hAnsi="宋体" w:eastAsia="宋体" w:cs="宋体"/>
                <w:sz w:val="18"/>
                <w:szCs w:val="18"/>
              </w:rPr>
              <w:t>-160,500,883.51</w:t>
            </w:r>
          </w:p>
        </w:tc>
        <w:tc>
          <w:tcPr>
            <w:tcW w:w="1071" w:type="dxa"/>
            <w:tcBorders>
              <w:top w:val="single" w:color="auto" w:sz="2" w:space="0"/>
              <w:left w:val="single" w:color="auto" w:sz="2" w:space="0"/>
              <w:bottom w:val="single" w:color="auto" w:sz="2" w:space="0"/>
              <w:right w:val="single" w:color="auto" w:sz="2" w:space="0"/>
            </w:tcBorders>
            <w:vAlign w:val="center"/>
          </w:tcPr>
          <w:p w14:paraId="0B6CF830">
            <w:pPr>
              <w:spacing w:line="240" w:lineRule="exact"/>
              <w:jc w:val="right"/>
              <w:rPr>
                <w:rFonts w:ascii="宋体" w:hAnsi="宋体" w:eastAsia="宋体" w:cs="宋体"/>
                <w:sz w:val="18"/>
                <w:szCs w:val="18"/>
              </w:rPr>
            </w:pPr>
            <w:r>
              <w:rPr>
                <w:rFonts w:ascii="宋体" w:hAnsi="宋体" w:eastAsia="宋体" w:cs="宋体"/>
                <w:sz w:val="18"/>
                <w:szCs w:val="18"/>
              </w:rPr>
              <w:t>24,841,228.58</w:t>
            </w:r>
          </w:p>
        </w:tc>
        <w:tc>
          <w:tcPr>
            <w:tcW w:w="1071" w:type="dxa"/>
            <w:tcBorders>
              <w:top w:val="single" w:color="auto" w:sz="2" w:space="0"/>
              <w:left w:val="single" w:color="auto" w:sz="2" w:space="0"/>
              <w:bottom w:val="single" w:color="auto" w:sz="2" w:space="0"/>
              <w:right w:val="single" w:color="auto" w:sz="2" w:space="0"/>
            </w:tcBorders>
            <w:vAlign w:val="center"/>
          </w:tcPr>
          <w:p w14:paraId="19A4F6BE">
            <w:pPr>
              <w:spacing w:line="240" w:lineRule="exact"/>
              <w:jc w:val="right"/>
              <w:rPr>
                <w:rFonts w:ascii="宋体" w:hAnsi="宋体" w:eastAsia="宋体" w:cs="宋体"/>
                <w:sz w:val="18"/>
                <w:szCs w:val="18"/>
              </w:rPr>
            </w:pPr>
            <w:r>
              <w:rPr>
                <w:rFonts w:ascii="宋体" w:hAnsi="宋体" w:eastAsia="宋体" w:cs="宋体"/>
                <w:sz w:val="18"/>
                <w:szCs w:val="18"/>
              </w:rPr>
              <w:t>-5,629,117.20</w:t>
            </w:r>
          </w:p>
        </w:tc>
        <w:tc>
          <w:tcPr>
            <w:tcW w:w="1071" w:type="dxa"/>
            <w:tcBorders>
              <w:top w:val="single" w:color="auto" w:sz="2" w:space="0"/>
              <w:left w:val="single" w:color="auto" w:sz="2" w:space="0"/>
              <w:bottom w:val="single" w:color="auto" w:sz="2" w:space="0"/>
              <w:right w:val="single" w:color="auto" w:sz="2" w:space="0"/>
            </w:tcBorders>
            <w:vAlign w:val="center"/>
          </w:tcPr>
          <w:p w14:paraId="4C361AEA">
            <w:pPr>
              <w:spacing w:line="240" w:lineRule="exact"/>
              <w:jc w:val="right"/>
              <w:rPr>
                <w:rFonts w:ascii="宋体" w:hAnsi="宋体" w:eastAsia="宋体" w:cs="宋体"/>
                <w:sz w:val="18"/>
                <w:szCs w:val="18"/>
              </w:rPr>
            </w:pPr>
            <w:r>
              <w:rPr>
                <w:rFonts w:ascii="宋体" w:hAnsi="宋体" w:eastAsia="宋体" w:cs="宋体"/>
                <w:sz w:val="18"/>
                <w:szCs w:val="18"/>
              </w:rPr>
              <w:t>-5,629,117.20</w:t>
            </w:r>
          </w:p>
        </w:tc>
        <w:tc>
          <w:tcPr>
            <w:tcW w:w="1071" w:type="dxa"/>
            <w:tcBorders>
              <w:top w:val="single" w:color="auto" w:sz="2" w:space="0"/>
              <w:left w:val="single" w:color="auto" w:sz="2" w:space="0"/>
              <w:bottom w:val="single" w:color="auto" w:sz="2" w:space="0"/>
              <w:right w:val="single" w:color="auto" w:sz="2" w:space="0"/>
            </w:tcBorders>
            <w:vAlign w:val="center"/>
          </w:tcPr>
          <w:p w14:paraId="2CAA961C">
            <w:pPr>
              <w:spacing w:line="240" w:lineRule="exact"/>
              <w:jc w:val="right"/>
              <w:rPr>
                <w:rFonts w:ascii="宋体" w:hAnsi="宋体" w:eastAsia="宋体" w:cs="宋体"/>
                <w:sz w:val="18"/>
                <w:szCs w:val="18"/>
              </w:rPr>
            </w:pPr>
            <w:r>
              <w:rPr>
                <w:rFonts w:ascii="宋体" w:hAnsi="宋体" w:eastAsia="宋体" w:cs="宋体"/>
                <w:sz w:val="18"/>
                <w:szCs w:val="18"/>
              </w:rPr>
              <w:t>-1,368,667.37</w:t>
            </w:r>
          </w:p>
        </w:tc>
      </w:tr>
    </w:tbl>
    <w:p w14:paraId="39C0DDDC">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2C0DE3EC">
      <w:pPr>
        <w:rPr>
          <w:sz w:val="18"/>
          <w:szCs w:val="18"/>
        </w:rPr>
      </w:pPr>
    </w:p>
    <w:p w14:paraId="11362EF5">
      <w:pPr>
        <w:keepNext/>
        <w:keepLines/>
        <w:spacing w:before="300" w:after="300" w:line="280" w:lineRule="exact"/>
        <w:outlineLvl w:val="3"/>
        <w:rPr>
          <w:rFonts w:ascii="宋体" w:hAnsi="宋体" w:eastAsia="宋体" w:cs="宋体"/>
          <w:b/>
          <w:bCs/>
          <w:sz w:val="18"/>
          <w:szCs w:val="18"/>
        </w:rPr>
      </w:pPr>
      <w:bookmarkStart w:id="519" w:name="_Toc989374"/>
      <w:r>
        <w:rPr>
          <w:rFonts w:ascii="宋体" w:hAnsi="宋体" w:eastAsia="宋体" w:cs="宋体"/>
          <w:b/>
          <w:bCs/>
          <w:sz w:val="18"/>
          <w:szCs w:val="18"/>
        </w:rPr>
        <w:t>（4） 使用企业集团资产和清偿企业集团债务的重大限制</w:t>
      </w:r>
      <w:bookmarkEnd w:id="519"/>
    </w:p>
    <w:p w14:paraId="78273728">
      <w:pPr>
        <w:keepNext/>
        <w:keepLines/>
        <w:spacing w:before="300" w:after="300" w:line="280" w:lineRule="exact"/>
        <w:outlineLvl w:val="3"/>
        <w:rPr>
          <w:rFonts w:ascii="宋体" w:hAnsi="宋体" w:eastAsia="宋体" w:cs="宋体"/>
          <w:b/>
          <w:bCs/>
          <w:sz w:val="18"/>
          <w:szCs w:val="18"/>
        </w:rPr>
      </w:pPr>
      <w:bookmarkStart w:id="520" w:name="_Toc989375"/>
      <w:r>
        <w:rPr>
          <w:rFonts w:ascii="宋体" w:hAnsi="宋体" w:eastAsia="宋体" w:cs="宋体"/>
          <w:b/>
          <w:bCs/>
          <w:sz w:val="18"/>
          <w:szCs w:val="18"/>
        </w:rPr>
        <w:t>（5） 向纳入合并财务报表范围的结构化主体提供的财务支持或其他支持</w:t>
      </w:r>
      <w:bookmarkEnd w:id="520"/>
    </w:p>
    <w:p w14:paraId="3C68C627">
      <w:pPr>
        <w:spacing w:before="100" w:after="100" w:line="240" w:lineRule="exact"/>
        <w:rPr>
          <w:rFonts w:ascii="宋体" w:hAnsi="宋体" w:eastAsia="宋体" w:cs="宋体"/>
          <w:sz w:val="18"/>
          <w:szCs w:val="18"/>
        </w:rPr>
      </w:pPr>
      <w:r>
        <w:rPr>
          <w:rFonts w:ascii="宋体" w:hAnsi="宋体" w:eastAsia="宋体" w:cs="宋体"/>
          <w:sz w:val="18"/>
          <w:szCs w:val="18"/>
        </w:rPr>
        <w:t>其他说明：</w:t>
      </w:r>
    </w:p>
    <w:p w14:paraId="4B8E1087">
      <w:pPr>
        <w:pStyle w:val="3"/>
        <w:spacing w:line="280" w:lineRule="exact"/>
        <w:jc w:val="left"/>
        <w:rPr>
          <w:rFonts w:ascii="宋体" w:hAnsi="宋体" w:cs="宋体"/>
          <w:b/>
          <w:bCs/>
        </w:rPr>
      </w:pPr>
      <w:bookmarkStart w:id="521" w:name="_Toc989376"/>
      <w:r>
        <w:rPr>
          <w:rFonts w:ascii="宋体" w:hAnsi="宋体" w:cs="宋体"/>
          <w:b/>
          <w:bCs/>
        </w:rPr>
        <w:t>2、在子公司的所有者权益份额发生变化且仍控制子公司的交易</w:t>
      </w:r>
      <w:bookmarkEnd w:id="521"/>
    </w:p>
    <w:p w14:paraId="4C1DB795">
      <w:pPr>
        <w:keepNext/>
        <w:keepLines/>
        <w:spacing w:before="300" w:after="300" w:line="280" w:lineRule="exact"/>
        <w:outlineLvl w:val="3"/>
        <w:rPr>
          <w:rFonts w:ascii="宋体" w:hAnsi="宋体" w:eastAsia="宋体" w:cs="宋体"/>
          <w:b/>
          <w:bCs/>
          <w:sz w:val="18"/>
          <w:szCs w:val="18"/>
        </w:rPr>
      </w:pPr>
      <w:bookmarkStart w:id="522" w:name="_Toc989377"/>
      <w:r>
        <w:rPr>
          <w:rFonts w:ascii="宋体" w:hAnsi="宋体" w:eastAsia="宋体" w:cs="宋体"/>
          <w:b/>
          <w:bCs/>
          <w:sz w:val="18"/>
          <w:szCs w:val="18"/>
        </w:rPr>
        <w:t>（1） 在子公司所有者权益份额发生变化的情况说明</w:t>
      </w:r>
      <w:bookmarkEnd w:id="522"/>
    </w:p>
    <w:p w14:paraId="29064F67">
      <w:pPr>
        <w:keepNext/>
        <w:keepLines/>
        <w:spacing w:before="300" w:after="300" w:line="280" w:lineRule="exact"/>
        <w:outlineLvl w:val="3"/>
        <w:rPr>
          <w:rFonts w:ascii="宋体" w:hAnsi="宋体" w:eastAsia="宋体" w:cs="宋体"/>
          <w:b/>
          <w:bCs/>
          <w:sz w:val="18"/>
          <w:szCs w:val="18"/>
        </w:rPr>
      </w:pPr>
      <w:bookmarkStart w:id="523" w:name="_Toc989378"/>
      <w:r>
        <w:rPr>
          <w:rFonts w:ascii="宋体" w:hAnsi="宋体" w:eastAsia="宋体" w:cs="宋体"/>
          <w:b/>
          <w:bCs/>
          <w:sz w:val="18"/>
          <w:szCs w:val="18"/>
        </w:rPr>
        <w:t>（2） 交易对于少数股东权益及归属于母公司所有者权益的影响</w:t>
      </w:r>
      <w:bookmarkEnd w:id="523"/>
    </w:p>
    <w:p w14:paraId="1F0BAAD9">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14:paraId="18F82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CE461B4"/>
        </w:tc>
        <w:tc>
          <w:tcPr>
            <w:tcW w:w="4820" w:type="dxa"/>
            <w:tcBorders>
              <w:top w:val="single" w:color="auto" w:sz="2" w:space="0"/>
              <w:left w:val="single" w:color="auto" w:sz="2" w:space="0"/>
              <w:bottom w:val="single" w:color="auto" w:sz="2" w:space="0"/>
              <w:right w:val="single" w:color="auto" w:sz="2" w:space="0"/>
            </w:tcBorders>
            <w:vAlign w:val="center"/>
          </w:tcPr>
          <w:p w14:paraId="0F1E783D">
            <w:pPr>
              <w:spacing w:line="240" w:lineRule="exact"/>
              <w:jc w:val="center"/>
              <w:rPr>
                <w:rFonts w:ascii="宋体" w:hAnsi="宋体" w:eastAsia="宋体" w:cs="宋体"/>
                <w:sz w:val="18"/>
                <w:szCs w:val="18"/>
              </w:rPr>
            </w:pPr>
          </w:p>
        </w:tc>
      </w:tr>
      <w:tr w14:paraId="3B076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88C1587">
            <w:pPr>
              <w:spacing w:before="40" w:after="40" w:line="240" w:lineRule="exact"/>
              <w:rPr>
                <w:rFonts w:ascii="宋体" w:hAnsi="宋体" w:eastAsia="宋体" w:cs="宋体"/>
                <w:sz w:val="18"/>
                <w:szCs w:val="18"/>
              </w:rPr>
            </w:pPr>
            <w:r>
              <w:rPr>
                <w:rFonts w:ascii="宋体" w:hAnsi="宋体" w:eastAsia="宋体" w:cs="宋体"/>
                <w:sz w:val="18"/>
                <w:szCs w:val="18"/>
              </w:rPr>
              <w:t>购买成本/处置对价</w:t>
            </w:r>
          </w:p>
        </w:tc>
        <w:tc>
          <w:tcPr>
            <w:tcW w:w="4820" w:type="dxa"/>
            <w:tcBorders>
              <w:top w:val="single" w:color="auto" w:sz="2" w:space="0"/>
              <w:left w:val="single" w:color="auto" w:sz="2" w:space="0"/>
              <w:bottom w:val="single" w:color="auto" w:sz="2" w:space="0"/>
              <w:right w:val="single" w:color="auto" w:sz="2" w:space="0"/>
            </w:tcBorders>
            <w:vAlign w:val="center"/>
          </w:tcPr>
          <w:p w14:paraId="757AA647">
            <w:pPr>
              <w:spacing w:line="240" w:lineRule="exact"/>
              <w:jc w:val="right"/>
              <w:rPr>
                <w:rFonts w:ascii="宋体" w:hAnsi="宋体" w:eastAsia="宋体" w:cs="宋体"/>
                <w:sz w:val="18"/>
                <w:szCs w:val="18"/>
              </w:rPr>
            </w:pPr>
          </w:p>
        </w:tc>
      </w:tr>
      <w:tr w14:paraId="71541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774D2BD7">
            <w:pPr>
              <w:spacing w:before="40" w:after="40" w:line="240" w:lineRule="exact"/>
              <w:rPr>
                <w:rFonts w:ascii="宋体" w:hAnsi="宋体" w:eastAsia="宋体" w:cs="宋体"/>
                <w:sz w:val="18"/>
                <w:szCs w:val="18"/>
              </w:rPr>
            </w:pPr>
            <w:r>
              <w:rPr>
                <w:rFonts w:ascii="宋体" w:hAnsi="宋体" w:eastAsia="宋体" w:cs="宋体"/>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14:paraId="4070CCBB">
            <w:pPr>
              <w:spacing w:line="240" w:lineRule="exact"/>
              <w:jc w:val="right"/>
              <w:rPr>
                <w:rFonts w:ascii="宋体" w:hAnsi="宋体" w:eastAsia="宋体" w:cs="宋体"/>
                <w:sz w:val="18"/>
                <w:szCs w:val="18"/>
              </w:rPr>
            </w:pPr>
          </w:p>
        </w:tc>
      </w:tr>
      <w:tr w14:paraId="7FC33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EF656C4">
            <w:pPr>
              <w:spacing w:before="40" w:after="40" w:line="240" w:lineRule="exact"/>
              <w:rPr>
                <w:rFonts w:ascii="宋体" w:hAnsi="宋体" w:eastAsia="宋体" w:cs="宋体"/>
                <w:sz w:val="18"/>
                <w:szCs w:val="18"/>
              </w:rPr>
            </w:pPr>
            <w:r>
              <w:rPr>
                <w:rFonts w:ascii="宋体" w:hAnsi="宋体" w:eastAsia="宋体" w:cs="宋体"/>
                <w:sz w:val="18"/>
                <w:szCs w:val="18"/>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14:paraId="4414636F">
            <w:pPr>
              <w:spacing w:line="240" w:lineRule="exact"/>
              <w:jc w:val="right"/>
              <w:rPr>
                <w:rFonts w:ascii="宋体" w:hAnsi="宋体" w:eastAsia="宋体" w:cs="宋体"/>
                <w:sz w:val="18"/>
                <w:szCs w:val="18"/>
              </w:rPr>
            </w:pPr>
          </w:p>
        </w:tc>
      </w:tr>
      <w:tr w14:paraId="79FED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AA12917">
            <w:pPr>
              <w:spacing w:line="240" w:lineRule="exact"/>
              <w:rPr>
                <w:rFonts w:ascii="宋体" w:hAnsi="宋体" w:eastAsia="宋体" w:cs="宋体"/>
                <w:sz w:val="18"/>
                <w:szCs w:val="18"/>
              </w:rPr>
            </w:pPr>
          </w:p>
        </w:tc>
        <w:tc>
          <w:tcPr>
            <w:tcW w:w="4820" w:type="dxa"/>
            <w:tcBorders>
              <w:top w:val="single" w:color="auto" w:sz="2" w:space="0"/>
              <w:left w:val="single" w:color="auto" w:sz="2" w:space="0"/>
              <w:bottom w:val="single" w:color="auto" w:sz="2" w:space="0"/>
              <w:right w:val="single" w:color="auto" w:sz="2" w:space="0"/>
            </w:tcBorders>
            <w:vAlign w:val="center"/>
          </w:tcPr>
          <w:p w14:paraId="7BB2672D">
            <w:pPr>
              <w:spacing w:line="240" w:lineRule="exact"/>
              <w:jc w:val="right"/>
              <w:rPr>
                <w:rFonts w:ascii="宋体" w:hAnsi="宋体" w:eastAsia="宋体" w:cs="宋体"/>
                <w:sz w:val="18"/>
                <w:szCs w:val="18"/>
              </w:rPr>
            </w:pPr>
          </w:p>
        </w:tc>
      </w:tr>
      <w:tr w14:paraId="15F6C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8C5EB28">
            <w:pPr>
              <w:spacing w:before="40" w:after="40" w:line="240" w:lineRule="exact"/>
              <w:rPr>
                <w:rFonts w:ascii="宋体" w:hAnsi="宋体" w:eastAsia="宋体" w:cs="宋体"/>
                <w:sz w:val="18"/>
                <w:szCs w:val="18"/>
              </w:rPr>
            </w:pPr>
            <w:r>
              <w:rPr>
                <w:rFonts w:ascii="宋体" w:hAnsi="宋体" w:eastAsia="宋体" w:cs="宋体"/>
                <w:sz w:val="18"/>
                <w:szCs w:val="18"/>
              </w:rPr>
              <w:t>购买成本/处置对价合计</w:t>
            </w:r>
          </w:p>
        </w:tc>
        <w:tc>
          <w:tcPr>
            <w:tcW w:w="4820" w:type="dxa"/>
            <w:tcBorders>
              <w:top w:val="single" w:color="auto" w:sz="2" w:space="0"/>
              <w:left w:val="single" w:color="auto" w:sz="2" w:space="0"/>
              <w:bottom w:val="single" w:color="auto" w:sz="2" w:space="0"/>
              <w:right w:val="single" w:color="auto" w:sz="2" w:space="0"/>
            </w:tcBorders>
            <w:vAlign w:val="center"/>
          </w:tcPr>
          <w:p w14:paraId="596713C8">
            <w:pPr>
              <w:spacing w:line="240" w:lineRule="exact"/>
              <w:jc w:val="right"/>
              <w:rPr>
                <w:rFonts w:ascii="宋体" w:hAnsi="宋体" w:eastAsia="宋体" w:cs="宋体"/>
                <w:sz w:val="18"/>
                <w:szCs w:val="18"/>
              </w:rPr>
            </w:pPr>
          </w:p>
        </w:tc>
      </w:tr>
      <w:tr w14:paraId="575DA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1A9EF94">
            <w:pPr>
              <w:spacing w:before="40" w:after="40" w:line="240" w:lineRule="exact"/>
              <w:rPr>
                <w:rFonts w:ascii="宋体" w:hAnsi="宋体" w:eastAsia="宋体" w:cs="宋体"/>
                <w:sz w:val="18"/>
                <w:szCs w:val="18"/>
              </w:rPr>
            </w:pPr>
            <w:r>
              <w:rPr>
                <w:rFonts w:ascii="宋体" w:hAnsi="宋体" w:eastAsia="宋体" w:cs="宋体"/>
                <w:sz w:val="18"/>
                <w:szCs w:val="18"/>
              </w:rPr>
              <w:t>减：按取得/处置的股权比例计算的子公司净资产份额</w:t>
            </w:r>
          </w:p>
        </w:tc>
        <w:tc>
          <w:tcPr>
            <w:tcW w:w="4820" w:type="dxa"/>
            <w:tcBorders>
              <w:top w:val="single" w:color="auto" w:sz="2" w:space="0"/>
              <w:left w:val="single" w:color="auto" w:sz="2" w:space="0"/>
              <w:bottom w:val="single" w:color="auto" w:sz="2" w:space="0"/>
              <w:right w:val="single" w:color="auto" w:sz="2" w:space="0"/>
            </w:tcBorders>
            <w:vAlign w:val="center"/>
          </w:tcPr>
          <w:p w14:paraId="293705DD">
            <w:pPr>
              <w:spacing w:line="240" w:lineRule="exact"/>
              <w:jc w:val="right"/>
              <w:rPr>
                <w:rFonts w:ascii="宋体" w:hAnsi="宋体" w:eastAsia="宋体" w:cs="宋体"/>
                <w:sz w:val="18"/>
                <w:szCs w:val="18"/>
              </w:rPr>
            </w:pPr>
          </w:p>
        </w:tc>
      </w:tr>
      <w:tr w14:paraId="7CACD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275BC417">
            <w:pPr>
              <w:spacing w:before="40" w:after="40" w:line="240" w:lineRule="exact"/>
              <w:rPr>
                <w:rFonts w:ascii="宋体" w:hAnsi="宋体" w:eastAsia="宋体" w:cs="宋体"/>
                <w:sz w:val="18"/>
                <w:szCs w:val="18"/>
              </w:rPr>
            </w:pPr>
            <w:r>
              <w:rPr>
                <w:rFonts w:ascii="宋体" w:hAnsi="宋体" w:eastAsia="宋体" w:cs="宋体"/>
                <w:sz w:val="18"/>
                <w:szCs w:val="18"/>
              </w:rPr>
              <w:t>差额</w:t>
            </w:r>
          </w:p>
        </w:tc>
        <w:tc>
          <w:tcPr>
            <w:tcW w:w="4820" w:type="dxa"/>
            <w:tcBorders>
              <w:top w:val="single" w:color="auto" w:sz="2" w:space="0"/>
              <w:left w:val="single" w:color="auto" w:sz="2" w:space="0"/>
              <w:bottom w:val="single" w:color="auto" w:sz="2" w:space="0"/>
              <w:right w:val="single" w:color="auto" w:sz="2" w:space="0"/>
            </w:tcBorders>
            <w:vAlign w:val="center"/>
          </w:tcPr>
          <w:p w14:paraId="49F1AA11">
            <w:pPr>
              <w:spacing w:line="240" w:lineRule="exact"/>
              <w:jc w:val="right"/>
              <w:rPr>
                <w:rFonts w:ascii="宋体" w:hAnsi="宋体" w:eastAsia="宋体" w:cs="宋体"/>
                <w:sz w:val="18"/>
                <w:szCs w:val="18"/>
              </w:rPr>
            </w:pPr>
          </w:p>
        </w:tc>
      </w:tr>
      <w:tr w14:paraId="025AE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5176FD7D">
            <w:pPr>
              <w:spacing w:before="40" w:after="40" w:line="240" w:lineRule="exact"/>
              <w:rPr>
                <w:rFonts w:ascii="宋体" w:hAnsi="宋体" w:eastAsia="宋体" w:cs="宋体"/>
                <w:sz w:val="18"/>
                <w:szCs w:val="18"/>
              </w:rPr>
            </w:pPr>
            <w:r>
              <w:rPr>
                <w:rFonts w:ascii="宋体" w:hAnsi="宋体" w:eastAsia="宋体" w:cs="宋体"/>
                <w:sz w:val="18"/>
                <w:szCs w:val="18"/>
              </w:rPr>
              <w:t>其中：调整资本公积</w:t>
            </w:r>
          </w:p>
        </w:tc>
        <w:tc>
          <w:tcPr>
            <w:tcW w:w="4820" w:type="dxa"/>
            <w:tcBorders>
              <w:top w:val="single" w:color="auto" w:sz="2" w:space="0"/>
              <w:left w:val="single" w:color="auto" w:sz="2" w:space="0"/>
              <w:bottom w:val="single" w:color="auto" w:sz="2" w:space="0"/>
              <w:right w:val="single" w:color="auto" w:sz="2" w:space="0"/>
            </w:tcBorders>
            <w:vAlign w:val="center"/>
          </w:tcPr>
          <w:p w14:paraId="5B687A2B">
            <w:pPr>
              <w:spacing w:line="240" w:lineRule="exact"/>
              <w:jc w:val="right"/>
              <w:rPr>
                <w:rFonts w:ascii="宋体" w:hAnsi="宋体" w:eastAsia="宋体" w:cs="宋体"/>
                <w:sz w:val="18"/>
                <w:szCs w:val="18"/>
              </w:rPr>
            </w:pPr>
          </w:p>
        </w:tc>
      </w:tr>
      <w:tr w14:paraId="76BE5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AD8D568">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调整盈余公积</w:t>
            </w:r>
          </w:p>
        </w:tc>
        <w:tc>
          <w:tcPr>
            <w:tcW w:w="4820" w:type="dxa"/>
            <w:tcBorders>
              <w:top w:val="single" w:color="auto" w:sz="2" w:space="0"/>
              <w:left w:val="single" w:color="auto" w:sz="2" w:space="0"/>
              <w:bottom w:val="single" w:color="auto" w:sz="2" w:space="0"/>
              <w:right w:val="single" w:color="auto" w:sz="2" w:space="0"/>
            </w:tcBorders>
            <w:vAlign w:val="center"/>
          </w:tcPr>
          <w:p w14:paraId="50DADA2C">
            <w:pPr>
              <w:spacing w:line="240" w:lineRule="exact"/>
              <w:jc w:val="right"/>
              <w:rPr>
                <w:rFonts w:ascii="宋体" w:hAnsi="宋体" w:eastAsia="宋体" w:cs="宋体"/>
                <w:sz w:val="18"/>
                <w:szCs w:val="18"/>
              </w:rPr>
            </w:pPr>
          </w:p>
        </w:tc>
      </w:tr>
      <w:tr w14:paraId="10F7D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41376193">
            <w:pPr>
              <w:spacing w:before="40" w:after="40" w:line="240" w:lineRule="exact"/>
              <w:ind w:firstLine="540" w:firstLineChars="300"/>
              <w:rPr>
                <w:rFonts w:ascii="宋体" w:hAnsi="宋体" w:eastAsia="宋体" w:cs="宋体"/>
                <w:sz w:val="18"/>
                <w:szCs w:val="18"/>
              </w:rPr>
            </w:pPr>
            <w:r>
              <w:rPr>
                <w:rFonts w:ascii="宋体" w:hAnsi="宋体" w:eastAsia="宋体" w:cs="宋体"/>
                <w:sz w:val="18"/>
                <w:szCs w:val="18"/>
              </w:rPr>
              <w:t>调整未分配利润</w:t>
            </w:r>
          </w:p>
        </w:tc>
        <w:tc>
          <w:tcPr>
            <w:tcW w:w="4820" w:type="dxa"/>
            <w:tcBorders>
              <w:top w:val="single" w:color="auto" w:sz="2" w:space="0"/>
              <w:left w:val="single" w:color="auto" w:sz="2" w:space="0"/>
              <w:bottom w:val="single" w:color="auto" w:sz="2" w:space="0"/>
              <w:right w:val="single" w:color="auto" w:sz="2" w:space="0"/>
            </w:tcBorders>
            <w:vAlign w:val="center"/>
          </w:tcPr>
          <w:p w14:paraId="1DC97046">
            <w:pPr>
              <w:spacing w:line="240" w:lineRule="exact"/>
              <w:jc w:val="right"/>
              <w:rPr>
                <w:rFonts w:ascii="宋体" w:hAnsi="宋体" w:eastAsia="宋体" w:cs="宋体"/>
                <w:sz w:val="18"/>
                <w:szCs w:val="18"/>
              </w:rPr>
            </w:pPr>
          </w:p>
        </w:tc>
      </w:tr>
    </w:tbl>
    <w:p w14:paraId="654C552A">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2315C631">
      <w:pPr>
        <w:pStyle w:val="3"/>
        <w:spacing w:line="280" w:lineRule="exact"/>
        <w:jc w:val="left"/>
        <w:rPr>
          <w:rFonts w:ascii="宋体" w:hAnsi="宋体" w:cs="宋体"/>
          <w:b/>
          <w:bCs/>
        </w:rPr>
      </w:pPr>
      <w:bookmarkStart w:id="524" w:name="_Toc989379"/>
      <w:r>
        <w:rPr>
          <w:rFonts w:ascii="宋体" w:hAnsi="宋体" w:cs="宋体"/>
          <w:b/>
          <w:bCs/>
        </w:rPr>
        <w:t>3、在合营企业或联营企业中的权益</w:t>
      </w:r>
      <w:bookmarkEnd w:id="524"/>
    </w:p>
    <w:p w14:paraId="564A01C6">
      <w:pPr>
        <w:keepNext/>
        <w:keepLines/>
        <w:spacing w:before="300" w:after="300" w:line="280" w:lineRule="exact"/>
        <w:outlineLvl w:val="3"/>
        <w:rPr>
          <w:rFonts w:ascii="宋体" w:hAnsi="宋体" w:eastAsia="宋体" w:cs="宋体"/>
          <w:b/>
          <w:bCs/>
          <w:szCs w:val="21"/>
        </w:rPr>
      </w:pPr>
      <w:bookmarkStart w:id="525" w:name="_Toc989380"/>
      <w:r>
        <w:rPr>
          <w:rFonts w:ascii="宋体" w:hAnsi="宋体" w:eastAsia="宋体" w:cs="宋体"/>
          <w:b/>
          <w:bCs/>
          <w:szCs w:val="21"/>
        </w:rPr>
        <w:t>（1） 重要的合营企业或联营企业</w:t>
      </w:r>
      <w:bookmarkEnd w:id="525"/>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29160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B1BEF73">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8218ECD">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52E6BDA">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399AB47">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0004F081">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5C61281">
            <w:pPr>
              <w:spacing w:before="40" w:after="40" w:line="240" w:lineRule="exact"/>
              <w:jc w:val="center"/>
              <w:rPr>
                <w:rFonts w:ascii="宋体" w:hAnsi="宋体" w:eastAsia="宋体" w:cs="宋体"/>
                <w:sz w:val="18"/>
                <w:szCs w:val="18"/>
              </w:rPr>
            </w:pPr>
            <w:r>
              <w:rPr>
                <w:rFonts w:ascii="宋体" w:hAnsi="宋体" w:eastAsia="宋体" w:cs="宋体"/>
                <w:sz w:val="18"/>
                <w:szCs w:val="18"/>
              </w:rPr>
              <w:t>对合营企业或联营企业投资的会计处理方法</w:t>
            </w:r>
          </w:p>
        </w:tc>
      </w:tr>
      <w:tr w14:paraId="45103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88490A0"/>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FFB8FC9"/>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3A17270"/>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38CE54F"/>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3A44EB7">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16F8A4F">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B9008A3"/>
        </w:tc>
      </w:tr>
      <w:tr w14:paraId="12A9F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3265939F">
            <w:pPr>
              <w:spacing w:line="240" w:lineRule="exact"/>
              <w:rPr>
                <w:rFonts w:ascii="宋体" w:hAnsi="宋体" w:eastAsia="宋体" w:cs="宋体"/>
                <w:sz w:val="18"/>
                <w:szCs w:val="18"/>
              </w:rPr>
            </w:pPr>
            <w:r>
              <w:rPr>
                <w:rFonts w:ascii="宋体" w:hAnsi="宋体" w:eastAsia="宋体" w:cs="宋体"/>
                <w:sz w:val="18"/>
                <w:szCs w:val="18"/>
              </w:rPr>
              <w:t>福田实业（集团）有限公司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3BFD431A">
            <w:pPr>
              <w:spacing w:line="240" w:lineRule="exact"/>
              <w:rPr>
                <w:rFonts w:ascii="宋体" w:hAnsi="宋体" w:eastAsia="宋体" w:cs="宋体"/>
                <w:sz w:val="18"/>
                <w:szCs w:val="18"/>
              </w:rPr>
            </w:pPr>
            <w:r>
              <w:rPr>
                <w:rFonts w:ascii="宋体" w:hAnsi="宋体" w:eastAsia="宋体" w:cs="宋体"/>
                <w:sz w:val="18"/>
                <w:szCs w:val="18"/>
              </w:rPr>
              <w:t>境内外</w:t>
            </w:r>
          </w:p>
        </w:tc>
        <w:tc>
          <w:tcPr>
            <w:tcW w:w="1377" w:type="dxa"/>
            <w:tcBorders>
              <w:top w:val="single" w:color="auto" w:sz="2" w:space="0"/>
              <w:left w:val="single" w:color="auto" w:sz="2" w:space="0"/>
              <w:bottom w:val="single" w:color="auto" w:sz="2" w:space="0"/>
              <w:right w:val="single" w:color="auto" w:sz="2" w:space="0"/>
            </w:tcBorders>
            <w:vAlign w:val="center"/>
          </w:tcPr>
          <w:p w14:paraId="01B448E2">
            <w:pPr>
              <w:spacing w:line="240" w:lineRule="exact"/>
              <w:rPr>
                <w:rFonts w:ascii="宋体" w:hAnsi="宋体" w:eastAsia="宋体" w:cs="宋体"/>
                <w:sz w:val="18"/>
                <w:szCs w:val="18"/>
              </w:rPr>
            </w:pPr>
            <w:r>
              <w:rPr>
                <w:rFonts w:ascii="宋体" w:hAnsi="宋体" w:eastAsia="宋体" w:cs="宋体"/>
                <w:sz w:val="18"/>
                <w:szCs w:val="18"/>
              </w:rPr>
              <w:t>香港</w:t>
            </w:r>
          </w:p>
        </w:tc>
        <w:tc>
          <w:tcPr>
            <w:tcW w:w="1377" w:type="dxa"/>
            <w:tcBorders>
              <w:top w:val="single" w:color="auto" w:sz="2" w:space="0"/>
              <w:left w:val="single" w:color="auto" w:sz="2" w:space="0"/>
              <w:bottom w:val="single" w:color="auto" w:sz="2" w:space="0"/>
              <w:right w:val="single" w:color="auto" w:sz="2" w:space="0"/>
            </w:tcBorders>
            <w:vAlign w:val="center"/>
          </w:tcPr>
          <w:p w14:paraId="3CACB3B1">
            <w:pPr>
              <w:spacing w:line="240" w:lineRule="exact"/>
              <w:rPr>
                <w:rFonts w:ascii="宋体" w:hAnsi="宋体" w:eastAsia="宋体" w:cs="宋体"/>
                <w:sz w:val="18"/>
                <w:szCs w:val="18"/>
              </w:rPr>
            </w:pPr>
            <w:r>
              <w:rPr>
                <w:rFonts w:ascii="宋体" w:hAnsi="宋体" w:eastAsia="宋体" w:cs="宋体"/>
                <w:sz w:val="18"/>
                <w:szCs w:val="18"/>
              </w:rPr>
              <w:t>纱线生产贸易</w:t>
            </w:r>
          </w:p>
        </w:tc>
        <w:tc>
          <w:tcPr>
            <w:tcW w:w="1377" w:type="dxa"/>
            <w:tcBorders>
              <w:top w:val="single" w:color="auto" w:sz="2" w:space="0"/>
              <w:left w:val="single" w:color="auto" w:sz="2" w:space="0"/>
              <w:bottom w:val="single" w:color="auto" w:sz="2" w:space="0"/>
              <w:right w:val="single" w:color="auto" w:sz="2" w:space="0"/>
            </w:tcBorders>
            <w:vAlign w:val="center"/>
          </w:tcPr>
          <w:p w14:paraId="71ADB96B">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95BAF94">
            <w:pPr>
              <w:spacing w:line="240" w:lineRule="exact"/>
              <w:jc w:val="right"/>
              <w:rPr>
                <w:rFonts w:ascii="宋体" w:hAnsi="宋体" w:eastAsia="宋体" w:cs="宋体"/>
                <w:sz w:val="18"/>
                <w:szCs w:val="18"/>
              </w:rPr>
            </w:pPr>
            <w:r>
              <w:rPr>
                <w:rFonts w:ascii="宋体" w:hAnsi="宋体" w:eastAsia="宋体" w:cs="宋体"/>
                <w:sz w:val="18"/>
                <w:szCs w:val="18"/>
              </w:rPr>
              <w:t>17.30%</w:t>
            </w:r>
          </w:p>
        </w:tc>
        <w:tc>
          <w:tcPr>
            <w:tcW w:w="1377" w:type="dxa"/>
            <w:tcBorders>
              <w:top w:val="single" w:color="auto" w:sz="2" w:space="0"/>
              <w:left w:val="single" w:color="auto" w:sz="2" w:space="0"/>
              <w:bottom w:val="single" w:color="auto" w:sz="2" w:space="0"/>
              <w:right w:val="single" w:color="auto" w:sz="2" w:space="0"/>
            </w:tcBorders>
            <w:vAlign w:val="center"/>
          </w:tcPr>
          <w:p w14:paraId="5844C754">
            <w:pPr>
              <w:spacing w:line="240" w:lineRule="exact"/>
              <w:rPr>
                <w:rFonts w:ascii="宋体" w:hAnsi="宋体" w:eastAsia="宋体" w:cs="宋体"/>
                <w:sz w:val="18"/>
                <w:szCs w:val="18"/>
              </w:rPr>
            </w:pPr>
            <w:r>
              <w:rPr>
                <w:rFonts w:ascii="宋体" w:hAnsi="宋体" w:eastAsia="宋体" w:cs="宋体"/>
                <w:sz w:val="18"/>
                <w:szCs w:val="18"/>
              </w:rPr>
              <w:t>权益法核算</w:t>
            </w:r>
          </w:p>
        </w:tc>
      </w:tr>
      <w:tr w14:paraId="7C98E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FEBFF60">
            <w:pPr>
              <w:spacing w:line="240" w:lineRule="exact"/>
              <w:rPr>
                <w:rFonts w:ascii="宋体" w:hAnsi="宋体" w:eastAsia="宋体" w:cs="宋体"/>
                <w:sz w:val="18"/>
                <w:szCs w:val="18"/>
              </w:rPr>
            </w:pPr>
            <w:r>
              <w:rPr>
                <w:rFonts w:ascii="宋体" w:hAnsi="宋体" w:eastAsia="宋体" w:cs="宋体"/>
                <w:sz w:val="18"/>
                <w:szCs w:val="18"/>
              </w:rPr>
              <w:t>江苏科孚纺织品贸易有限公司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62796F15">
            <w:pPr>
              <w:spacing w:line="240" w:lineRule="exact"/>
              <w:rPr>
                <w:rFonts w:ascii="宋体" w:hAnsi="宋体" w:eastAsia="宋体" w:cs="宋体"/>
                <w:sz w:val="18"/>
                <w:szCs w:val="18"/>
              </w:rPr>
            </w:pPr>
            <w:r>
              <w:rPr>
                <w:rFonts w:ascii="宋体" w:hAnsi="宋体" w:eastAsia="宋体" w:cs="宋体"/>
                <w:sz w:val="18"/>
                <w:szCs w:val="18"/>
              </w:rPr>
              <w:t>江苏省常州市</w:t>
            </w:r>
          </w:p>
        </w:tc>
        <w:tc>
          <w:tcPr>
            <w:tcW w:w="1377" w:type="dxa"/>
            <w:tcBorders>
              <w:top w:val="single" w:color="auto" w:sz="2" w:space="0"/>
              <w:left w:val="single" w:color="auto" w:sz="2" w:space="0"/>
              <w:bottom w:val="single" w:color="auto" w:sz="2" w:space="0"/>
              <w:right w:val="single" w:color="auto" w:sz="2" w:space="0"/>
            </w:tcBorders>
            <w:vAlign w:val="center"/>
          </w:tcPr>
          <w:p w14:paraId="722F92DF">
            <w:pPr>
              <w:spacing w:line="240" w:lineRule="exact"/>
              <w:rPr>
                <w:rFonts w:ascii="宋体" w:hAnsi="宋体" w:eastAsia="宋体" w:cs="宋体"/>
                <w:sz w:val="18"/>
                <w:szCs w:val="18"/>
              </w:rPr>
            </w:pPr>
            <w:r>
              <w:rPr>
                <w:rFonts w:ascii="宋体" w:hAnsi="宋体" w:eastAsia="宋体" w:cs="宋体"/>
                <w:sz w:val="18"/>
                <w:szCs w:val="18"/>
              </w:rPr>
              <w:t>江苏省常州市</w:t>
            </w:r>
          </w:p>
        </w:tc>
        <w:tc>
          <w:tcPr>
            <w:tcW w:w="1377" w:type="dxa"/>
            <w:tcBorders>
              <w:top w:val="single" w:color="auto" w:sz="2" w:space="0"/>
              <w:left w:val="single" w:color="auto" w:sz="2" w:space="0"/>
              <w:bottom w:val="single" w:color="auto" w:sz="2" w:space="0"/>
              <w:right w:val="single" w:color="auto" w:sz="2" w:space="0"/>
            </w:tcBorders>
            <w:vAlign w:val="center"/>
          </w:tcPr>
          <w:p w14:paraId="3E7BC3ED">
            <w:pPr>
              <w:spacing w:line="240" w:lineRule="exact"/>
              <w:rPr>
                <w:rFonts w:ascii="宋体" w:hAnsi="宋体" w:eastAsia="宋体" w:cs="宋体"/>
                <w:sz w:val="18"/>
                <w:szCs w:val="18"/>
              </w:rPr>
            </w:pPr>
            <w:r>
              <w:rPr>
                <w:rFonts w:ascii="宋体" w:hAnsi="宋体" w:eastAsia="宋体" w:cs="宋体"/>
                <w:sz w:val="18"/>
                <w:szCs w:val="18"/>
              </w:rPr>
              <w:t>批发业</w:t>
            </w:r>
          </w:p>
        </w:tc>
        <w:tc>
          <w:tcPr>
            <w:tcW w:w="1377" w:type="dxa"/>
            <w:tcBorders>
              <w:top w:val="single" w:color="auto" w:sz="2" w:space="0"/>
              <w:left w:val="single" w:color="auto" w:sz="2" w:space="0"/>
              <w:bottom w:val="single" w:color="auto" w:sz="2" w:space="0"/>
              <w:right w:val="single" w:color="auto" w:sz="2" w:space="0"/>
            </w:tcBorders>
            <w:vAlign w:val="center"/>
          </w:tcPr>
          <w:p w14:paraId="11D8B075">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EE79ABE">
            <w:pPr>
              <w:spacing w:line="240" w:lineRule="exact"/>
              <w:jc w:val="right"/>
              <w:rPr>
                <w:rFonts w:ascii="宋体" w:hAnsi="宋体" w:eastAsia="宋体" w:cs="宋体"/>
                <w:sz w:val="18"/>
                <w:szCs w:val="18"/>
              </w:rPr>
            </w:pPr>
            <w:r>
              <w:rPr>
                <w:rFonts w:ascii="宋体" w:hAnsi="宋体" w:eastAsia="宋体" w:cs="宋体"/>
                <w:sz w:val="18"/>
                <w:szCs w:val="18"/>
              </w:rPr>
              <w:t>45.00%</w:t>
            </w:r>
          </w:p>
        </w:tc>
        <w:tc>
          <w:tcPr>
            <w:tcW w:w="1377" w:type="dxa"/>
            <w:tcBorders>
              <w:top w:val="single" w:color="auto" w:sz="2" w:space="0"/>
              <w:left w:val="single" w:color="auto" w:sz="2" w:space="0"/>
              <w:bottom w:val="single" w:color="auto" w:sz="2" w:space="0"/>
              <w:right w:val="single" w:color="auto" w:sz="2" w:space="0"/>
            </w:tcBorders>
            <w:vAlign w:val="center"/>
          </w:tcPr>
          <w:p w14:paraId="6A54286C">
            <w:pPr>
              <w:spacing w:line="240" w:lineRule="exact"/>
              <w:rPr>
                <w:rFonts w:ascii="宋体" w:hAnsi="宋体" w:eastAsia="宋体" w:cs="宋体"/>
                <w:sz w:val="18"/>
                <w:szCs w:val="18"/>
              </w:rPr>
            </w:pPr>
            <w:r>
              <w:rPr>
                <w:rFonts w:ascii="宋体" w:hAnsi="宋体" w:eastAsia="宋体" w:cs="宋体"/>
                <w:sz w:val="18"/>
                <w:szCs w:val="18"/>
              </w:rPr>
              <w:t>权益法核算</w:t>
            </w:r>
          </w:p>
        </w:tc>
      </w:tr>
      <w:tr w14:paraId="12A8E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D37F8BE">
            <w:pPr>
              <w:spacing w:line="240" w:lineRule="exact"/>
              <w:rPr>
                <w:rFonts w:ascii="宋体" w:hAnsi="宋体" w:eastAsia="宋体" w:cs="宋体"/>
                <w:sz w:val="18"/>
                <w:szCs w:val="18"/>
              </w:rPr>
            </w:pPr>
            <w:r>
              <w:rPr>
                <w:rFonts w:ascii="宋体" w:hAnsi="宋体" w:eastAsia="宋体" w:cs="宋体"/>
                <w:sz w:val="18"/>
                <w:szCs w:val="18"/>
              </w:rPr>
              <w:t>浙江华尚产业运营有限公司</w:t>
            </w:r>
          </w:p>
        </w:tc>
        <w:tc>
          <w:tcPr>
            <w:tcW w:w="1377" w:type="dxa"/>
            <w:tcBorders>
              <w:top w:val="single" w:color="auto" w:sz="2" w:space="0"/>
              <w:left w:val="single" w:color="auto" w:sz="2" w:space="0"/>
              <w:bottom w:val="single" w:color="auto" w:sz="2" w:space="0"/>
              <w:right w:val="single" w:color="auto" w:sz="2" w:space="0"/>
            </w:tcBorders>
            <w:vAlign w:val="center"/>
          </w:tcPr>
          <w:p w14:paraId="6C651894">
            <w:pPr>
              <w:spacing w:line="240" w:lineRule="exact"/>
              <w:rPr>
                <w:rFonts w:ascii="宋体" w:hAnsi="宋体" w:eastAsia="宋体" w:cs="宋体"/>
                <w:sz w:val="18"/>
                <w:szCs w:val="18"/>
              </w:rPr>
            </w:pPr>
            <w:r>
              <w:rPr>
                <w:rFonts w:ascii="宋体" w:hAnsi="宋体" w:eastAsia="宋体" w:cs="宋体"/>
                <w:sz w:val="18"/>
                <w:szCs w:val="18"/>
              </w:rPr>
              <w:t>浙江省绍兴市</w:t>
            </w:r>
          </w:p>
        </w:tc>
        <w:tc>
          <w:tcPr>
            <w:tcW w:w="1377" w:type="dxa"/>
            <w:tcBorders>
              <w:top w:val="single" w:color="auto" w:sz="2" w:space="0"/>
              <w:left w:val="single" w:color="auto" w:sz="2" w:space="0"/>
              <w:bottom w:val="single" w:color="auto" w:sz="2" w:space="0"/>
              <w:right w:val="single" w:color="auto" w:sz="2" w:space="0"/>
            </w:tcBorders>
            <w:vAlign w:val="center"/>
          </w:tcPr>
          <w:p w14:paraId="42727337">
            <w:pPr>
              <w:spacing w:line="240" w:lineRule="exact"/>
              <w:rPr>
                <w:rFonts w:ascii="宋体" w:hAnsi="宋体" w:eastAsia="宋体" w:cs="宋体"/>
                <w:sz w:val="18"/>
                <w:szCs w:val="18"/>
              </w:rPr>
            </w:pPr>
            <w:r>
              <w:rPr>
                <w:rFonts w:ascii="宋体" w:hAnsi="宋体" w:eastAsia="宋体" w:cs="宋体"/>
                <w:sz w:val="18"/>
                <w:szCs w:val="18"/>
              </w:rPr>
              <w:t>浙江省绍兴市</w:t>
            </w:r>
          </w:p>
        </w:tc>
        <w:tc>
          <w:tcPr>
            <w:tcW w:w="1377" w:type="dxa"/>
            <w:tcBorders>
              <w:top w:val="single" w:color="auto" w:sz="2" w:space="0"/>
              <w:left w:val="single" w:color="auto" w:sz="2" w:space="0"/>
              <w:bottom w:val="single" w:color="auto" w:sz="2" w:space="0"/>
              <w:right w:val="single" w:color="auto" w:sz="2" w:space="0"/>
            </w:tcBorders>
            <w:vAlign w:val="center"/>
          </w:tcPr>
          <w:p w14:paraId="289C02DC">
            <w:pPr>
              <w:spacing w:line="240" w:lineRule="exact"/>
              <w:rPr>
                <w:rFonts w:ascii="宋体" w:hAnsi="宋体" w:eastAsia="宋体" w:cs="宋体"/>
                <w:sz w:val="18"/>
                <w:szCs w:val="18"/>
              </w:rPr>
            </w:pPr>
            <w:r>
              <w:rPr>
                <w:rFonts w:ascii="宋体" w:hAnsi="宋体" w:eastAsia="宋体" w:cs="宋体"/>
                <w:sz w:val="18"/>
                <w:szCs w:val="18"/>
              </w:rPr>
              <w:t>园区管理及供应链</w:t>
            </w:r>
          </w:p>
        </w:tc>
        <w:tc>
          <w:tcPr>
            <w:tcW w:w="1377" w:type="dxa"/>
            <w:tcBorders>
              <w:top w:val="single" w:color="auto" w:sz="2" w:space="0"/>
              <w:left w:val="single" w:color="auto" w:sz="2" w:space="0"/>
              <w:bottom w:val="single" w:color="auto" w:sz="2" w:space="0"/>
              <w:right w:val="single" w:color="auto" w:sz="2" w:space="0"/>
            </w:tcBorders>
            <w:vAlign w:val="center"/>
          </w:tcPr>
          <w:p w14:paraId="1E34446E">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5AC8C2C">
            <w:pPr>
              <w:spacing w:line="240" w:lineRule="exact"/>
              <w:jc w:val="right"/>
              <w:rPr>
                <w:rFonts w:ascii="宋体" w:hAnsi="宋体" w:eastAsia="宋体" w:cs="宋体"/>
                <w:sz w:val="18"/>
                <w:szCs w:val="18"/>
              </w:rPr>
            </w:pPr>
            <w:r>
              <w:rPr>
                <w:rFonts w:ascii="宋体" w:hAnsi="宋体" w:eastAsia="宋体" w:cs="宋体"/>
                <w:sz w:val="18"/>
                <w:szCs w:val="18"/>
              </w:rPr>
              <w:t>40.00%</w:t>
            </w:r>
          </w:p>
        </w:tc>
        <w:tc>
          <w:tcPr>
            <w:tcW w:w="1377" w:type="dxa"/>
            <w:tcBorders>
              <w:top w:val="single" w:color="auto" w:sz="2" w:space="0"/>
              <w:left w:val="single" w:color="auto" w:sz="2" w:space="0"/>
              <w:bottom w:val="single" w:color="auto" w:sz="2" w:space="0"/>
              <w:right w:val="single" w:color="auto" w:sz="2" w:space="0"/>
            </w:tcBorders>
            <w:vAlign w:val="center"/>
          </w:tcPr>
          <w:p w14:paraId="5977A82E">
            <w:pPr>
              <w:spacing w:line="240" w:lineRule="exact"/>
              <w:rPr>
                <w:rFonts w:ascii="宋体" w:hAnsi="宋体" w:eastAsia="宋体" w:cs="宋体"/>
                <w:sz w:val="18"/>
                <w:szCs w:val="18"/>
              </w:rPr>
            </w:pPr>
            <w:r>
              <w:rPr>
                <w:rFonts w:ascii="宋体" w:hAnsi="宋体" w:eastAsia="宋体" w:cs="宋体"/>
                <w:sz w:val="18"/>
                <w:szCs w:val="18"/>
              </w:rPr>
              <w:t>权益法核算</w:t>
            </w:r>
          </w:p>
        </w:tc>
      </w:tr>
    </w:tbl>
    <w:p w14:paraId="2AFF30AB">
      <w:pPr>
        <w:spacing w:before="100" w:after="100" w:line="240" w:lineRule="exact"/>
        <w:rPr>
          <w:rFonts w:ascii="宋体" w:hAnsi="宋体" w:eastAsia="宋体" w:cs="宋体"/>
          <w:sz w:val="18"/>
          <w:szCs w:val="18"/>
        </w:rPr>
      </w:pPr>
      <w:r>
        <w:rPr>
          <w:rFonts w:ascii="宋体" w:hAnsi="宋体" w:eastAsia="宋体" w:cs="宋体"/>
          <w:sz w:val="18"/>
          <w:szCs w:val="18"/>
        </w:rPr>
        <w:t>在合营企业或联营企业的持股比例不同于表决权比例的说明：无</w:t>
      </w:r>
    </w:p>
    <w:p w14:paraId="7BE1C4CB">
      <w:pPr>
        <w:spacing w:before="100" w:after="100" w:line="240" w:lineRule="exact"/>
        <w:rPr>
          <w:rFonts w:ascii="宋体" w:hAnsi="宋体" w:eastAsia="宋体" w:cs="宋体"/>
          <w:sz w:val="18"/>
          <w:szCs w:val="18"/>
        </w:rPr>
      </w:pPr>
      <w:r>
        <w:rPr>
          <w:rFonts w:ascii="宋体" w:hAnsi="宋体" w:eastAsia="宋体" w:cs="宋体"/>
          <w:sz w:val="18"/>
          <w:szCs w:val="18"/>
        </w:rPr>
        <w:t>持有20%以下表决权但具有重大影响，或者持有20%或以上表决权但不具有重大影响的依据：无</w:t>
      </w:r>
    </w:p>
    <w:p w14:paraId="06CF3810">
      <w:pPr>
        <w:keepNext/>
        <w:keepLines/>
        <w:spacing w:before="300" w:after="300" w:line="280" w:lineRule="exact"/>
        <w:outlineLvl w:val="3"/>
        <w:rPr>
          <w:rFonts w:ascii="宋体" w:hAnsi="宋体" w:eastAsia="宋体" w:cs="宋体"/>
          <w:b/>
          <w:bCs/>
          <w:szCs w:val="21"/>
        </w:rPr>
      </w:pPr>
      <w:bookmarkStart w:id="526" w:name="_Toc989381"/>
      <w:r>
        <w:rPr>
          <w:rFonts w:ascii="宋体" w:hAnsi="宋体" w:eastAsia="宋体" w:cs="宋体"/>
          <w:b/>
          <w:bCs/>
          <w:szCs w:val="21"/>
        </w:rPr>
        <w:t>（2） 重要合营企业的主要财务信息</w:t>
      </w:r>
      <w:bookmarkEnd w:id="526"/>
    </w:p>
    <w:p w14:paraId="755365E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E3D4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4C966E1"/>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990413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6E6D516">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14:paraId="27A90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80FD144"/>
        </w:tc>
        <w:tc>
          <w:tcPr>
            <w:tcW w:w="3213" w:type="dxa"/>
            <w:tcBorders>
              <w:top w:val="single" w:color="auto" w:sz="2" w:space="0"/>
              <w:left w:val="single" w:color="auto" w:sz="2" w:space="0"/>
              <w:bottom w:val="single" w:color="auto" w:sz="2" w:space="0"/>
              <w:right w:val="single" w:color="auto" w:sz="2" w:space="0"/>
            </w:tcBorders>
            <w:vAlign w:val="center"/>
          </w:tcPr>
          <w:p w14:paraId="4E390E52">
            <w:pPr>
              <w:spacing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C2DAB9D">
            <w:pPr>
              <w:spacing w:line="240" w:lineRule="exact"/>
              <w:jc w:val="center"/>
              <w:rPr>
                <w:rFonts w:ascii="宋体" w:hAnsi="宋体" w:eastAsia="宋体" w:cs="宋体"/>
                <w:sz w:val="18"/>
                <w:szCs w:val="18"/>
              </w:rPr>
            </w:pPr>
          </w:p>
        </w:tc>
      </w:tr>
      <w:tr w14:paraId="4FEAD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DDFB603">
            <w:pPr>
              <w:spacing w:before="40" w:after="40" w:line="240" w:lineRule="exac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7FCAE56F">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1354269">
            <w:pPr>
              <w:spacing w:line="240" w:lineRule="exact"/>
              <w:jc w:val="right"/>
              <w:rPr>
                <w:rFonts w:ascii="宋体" w:hAnsi="宋体" w:eastAsia="宋体" w:cs="宋体"/>
                <w:sz w:val="18"/>
                <w:szCs w:val="18"/>
              </w:rPr>
            </w:pPr>
          </w:p>
        </w:tc>
      </w:tr>
      <w:tr w14:paraId="0BAEE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20DAB7">
            <w:pPr>
              <w:spacing w:before="40" w:after="40" w:line="240" w:lineRule="exact"/>
              <w:rPr>
                <w:rFonts w:ascii="宋体" w:hAnsi="宋体" w:eastAsia="宋体" w:cs="宋体"/>
                <w:sz w:val="18"/>
                <w:szCs w:val="18"/>
              </w:rPr>
            </w:pPr>
            <w:r>
              <w:rPr>
                <w:rFonts w:ascii="宋体" w:hAnsi="宋体" w:eastAsia="宋体" w:cs="宋体"/>
                <w:sz w:val="18"/>
                <w:szCs w:val="18"/>
              </w:rPr>
              <w:t>其中：现金和现金等价物</w:t>
            </w:r>
          </w:p>
        </w:tc>
        <w:tc>
          <w:tcPr>
            <w:tcW w:w="3213" w:type="dxa"/>
            <w:tcBorders>
              <w:top w:val="single" w:color="auto" w:sz="2" w:space="0"/>
              <w:left w:val="single" w:color="auto" w:sz="2" w:space="0"/>
              <w:bottom w:val="single" w:color="auto" w:sz="2" w:space="0"/>
              <w:right w:val="single" w:color="auto" w:sz="2" w:space="0"/>
            </w:tcBorders>
            <w:vAlign w:val="center"/>
          </w:tcPr>
          <w:p w14:paraId="2AD4A95F">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14108AA">
            <w:pPr>
              <w:spacing w:line="240" w:lineRule="exact"/>
              <w:jc w:val="right"/>
              <w:rPr>
                <w:rFonts w:ascii="宋体" w:hAnsi="宋体" w:eastAsia="宋体" w:cs="宋体"/>
                <w:sz w:val="18"/>
                <w:szCs w:val="18"/>
              </w:rPr>
            </w:pPr>
          </w:p>
        </w:tc>
      </w:tr>
      <w:tr w14:paraId="584DC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788DB0B">
            <w:pPr>
              <w:spacing w:before="40" w:after="40" w:line="240" w:lineRule="exac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14:paraId="2C246794">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0DF02EA">
            <w:pPr>
              <w:spacing w:line="240" w:lineRule="exact"/>
              <w:jc w:val="right"/>
              <w:rPr>
                <w:rFonts w:ascii="宋体" w:hAnsi="宋体" w:eastAsia="宋体" w:cs="宋体"/>
                <w:sz w:val="18"/>
                <w:szCs w:val="18"/>
              </w:rPr>
            </w:pPr>
          </w:p>
        </w:tc>
      </w:tr>
      <w:tr w14:paraId="33835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5779EE1">
            <w:pPr>
              <w:spacing w:before="40" w:after="40" w:line="240" w:lineRule="exact"/>
              <w:rPr>
                <w:rFonts w:ascii="宋体" w:hAnsi="宋体" w:eastAsia="宋体" w:cs="宋体"/>
                <w:sz w:val="18"/>
                <w:szCs w:val="18"/>
              </w:rPr>
            </w:pPr>
            <w:r>
              <w:rPr>
                <w:rFonts w:ascii="宋体" w:hAnsi="宋体" w:eastAsia="宋体" w:cs="宋体"/>
                <w:sz w:val="18"/>
                <w:szCs w:val="18"/>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14:paraId="27E579D1">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AEB240B">
            <w:pPr>
              <w:spacing w:line="240" w:lineRule="exact"/>
              <w:jc w:val="right"/>
              <w:rPr>
                <w:rFonts w:ascii="宋体" w:hAnsi="宋体" w:eastAsia="宋体" w:cs="宋体"/>
                <w:sz w:val="18"/>
                <w:szCs w:val="18"/>
              </w:rPr>
            </w:pPr>
          </w:p>
        </w:tc>
      </w:tr>
      <w:tr w14:paraId="40106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E71C3C">
            <w:pPr>
              <w:spacing w:before="40" w:after="40" w:line="240" w:lineRule="exac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4CFD66FE">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FF3E883">
            <w:pPr>
              <w:spacing w:line="240" w:lineRule="exact"/>
              <w:jc w:val="right"/>
              <w:rPr>
                <w:rFonts w:ascii="宋体" w:hAnsi="宋体" w:eastAsia="宋体" w:cs="宋体"/>
                <w:sz w:val="18"/>
                <w:szCs w:val="18"/>
              </w:rPr>
            </w:pPr>
          </w:p>
        </w:tc>
      </w:tr>
      <w:tr w14:paraId="4BD18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85319BF">
            <w:pPr>
              <w:spacing w:before="40" w:after="40" w:line="240" w:lineRule="exac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14:paraId="164A9353">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B5FF16C">
            <w:pPr>
              <w:spacing w:line="240" w:lineRule="exact"/>
              <w:jc w:val="right"/>
              <w:rPr>
                <w:rFonts w:ascii="宋体" w:hAnsi="宋体" w:eastAsia="宋体" w:cs="宋体"/>
                <w:sz w:val="18"/>
                <w:szCs w:val="18"/>
              </w:rPr>
            </w:pPr>
          </w:p>
        </w:tc>
      </w:tr>
      <w:tr w14:paraId="65404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54F2F4">
            <w:pPr>
              <w:spacing w:before="40" w:after="40" w:line="240" w:lineRule="exac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14:paraId="004A4151">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AEA14F2">
            <w:pPr>
              <w:spacing w:line="240" w:lineRule="exact"/>
              <w:jc w:val="right"/>
              <w:rPr>
                <w:rFonts w:ascii="宋体" w:hAnsi="宋体" w:eastAsia="宋体" w:cs="宋体"/>
                <w:sz w:val="18"/>
                <w:szCs w:val="18"/>
              </w:rPr>
            </w:pPr>
          </w:p>
        </w:tc>
      </w:tr>
      <w:tr w14:paraId="629BF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DA2C7A0">
            <w:pPr>
              <w:spacing w:before="40" w:after="40" w:line="240" w:lineRule="exac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14:paraId="78873EC7">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7DD6791">
            <w:pPr>
              <w:spacing w:line="240" w:lineRule="exact"/>
              <w:jc w:val="right"/>
              <w:rPr>
                <w:rFonts w:ascii="宋体" w:hAnsi="宋体" w:eastAsia="宋体" w:cs="宋体"/>
                <w:sz w:val="18"/>
                <w:szCs w:val="18"/>
              </w:rPr>
            </w:pPr>
          </w:p>
        </w:tc>
      </w:tr>
      <w:tr w14:paraId="4643F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CE7884F">
            <w:pPr>
              <w:spacing w:before="40" w:after="40" w:line="240" w:lineRule="exact"/>
              <w:rPr>
                <w:rFonts w:ascii="宋体" w:hAnsi="宋体" w:eastAsia="宋体" w:cs="宋体"/>
                <w:sz w:val="18"/>
                <w:szCs w:val="18"/>
              </w:rPr>
            </w:pPr>
            <w:r>
              <w:rPr>
                <w:rFonts w:ascii="宋体" w:hAnsi="宋体" w:eastAsia="宋体" w:cs="宋体"/>
                <w:sz w:val="18"/>
                <w:szCs w:val="18"/>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14:paraId="368595A9">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E4E7B88">
            <w:pPr>
              <w:spacing w:line="240" w:lineRule="exact"/>
              <w:jc w:val="right"/>
              <w:rPr>
                <w:rFonts w:ascii="宋体" w:hAnsi="宋体" w:eastAsia="宋体" w:cs="宋体"/>
                <w:sz w:val="18"/>
                <w:szCs w:val="18"/>
              </w:rPr>
            </w:pPr>
          </w:p>
        </w:tc>
      </w:tr>
      <w:tr w14:paraId="753BA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590B64">
            <w:pPr>
              <w:spacing w:before="40" w:after="40" w:line="240" w:lineRule="exact"/>
              <w:rPr>
                <w:rFonts w:ascii="宋体" w:hAnsi="宋体" w:eastAsia="宋体" w:cs="宋体"/>
                <w:sz w:val="18"/>
                <w:szCs w:val="18"/>
              </w:rPr>
            </w:pPr>
            <w:r>
              <w:rPr>
                <w:rFonts w:ascii="宋体" w:hAnsi="宋体" w:eastAsia="宋体" w:cs="宋体"/>
                <w:sz w:val="18"/>
                <w:szCs w:val="18"/>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14:paraId="7A4C41C6">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6B47D87">
            <w:pPr>
              <w:spacing w:line="240" w:lineRule="exact"/>
              <w:jc w:val="right"/>
              <w:rPr>
                <w:rFonts w:ascii="宋体" w:hAnsi="宋体" w:eastAsia="宋体" w:cs="宋体"/>
                <w:sz w:val="18"/>
                <w:szCs w:val="18"/>
              </w:rPr>
            </w:pPr>
          </w:p>
        </w:tc>
      </w:tr>
      <w:tr w14:paraId="5250D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DDAF4A">
            <w:pPr>
              <w:spacing w:before="40" w:after="40" w:line="240" w:lineRule="exact"/>
              <w:rPr>
                <w:rFonts w:ascii="宋体" w:hAnsi="宋体" w:eastAsia="宋体" w:cs="宋体"/>
                <w:sz w:val="18"/>
                <w:szCs w:val="18"/>
              </w:rPr>
            </w:pPr>
            <w:r>
              <w:rPr>
                <w:rFonts w:ascii="宋体" w:hAnsi="宋体" w:eastAsia="宋体" w:cs="宋体"/>
                <w:sz w:val="18"/>
                <w:szCs w:val="18"/>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14:paraId="339C536E">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4345915">
            <w:pPr>
              <w:spacing w:line="240" w:lineRule="exact"/>
              <w:jc w:val="right"/>
              <w:rPr>
                <w:rFonts w:ascii="宋体" w:hAnsi="宋体" w:eastAsia="宋体" w:cs="宋体"/>
                <w:sz w:val="18"/>
                <w:szCs w:val="18"/>
              </w:rPr>
            </w:pPr>
          </w:p>
        </w:tc>
      </w:tr>
      <w:tr w14:paraId="51F71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B8B39D">
            <w:pPr>
              <w:spacing w:before="40" w:after="40" w:line="240" w:lineRule="exac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14:paraId="105EE58B">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FBEA0E6">
            <w:pPr>
              <w:spacing w:line="240" w:lineRule="exact"/>
              <w:jc w:val="right"/>
              <w:rPr>
                <w:rFonts w:ascii="宋体" w:hAnsi="宋体" w:eastAsia="宋体" w:cs="宋体"/>
                <w:sz w:val="18"/>
                <w:szCs w:val="18"/>
              </w:rPr>
            </w:pPr>
          </w:p>
        </w:tc>
      </w:tr>
      <w:tr w14:paraId="49C0E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F0CBE18">
            <w:pPr>
              <w:spacing w:before="40" w:after="40" w:line="240" w:lineRule="exact"/>
              <w:rPr>
                <w:rFonts w:ascii="宋体" w:hAnsi="宋体" w:eastAsia="宋体" w:cs="宋体"/>
                <w:sz w:val="18"/>
                <w:szCs w:val="18"/>
              </w:rPr>
            </w:pPr>
            <w:r>
              <w:rPr>
                <w:rFonts w:ascii="宋体" w:hAnsi="宋体" w:eastAsia="宋体" w:cs="宋体"/>
                <w:sz w:val="18"/>
                <w:szCs w:val="18"/>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14:paraId="6F8DAD33">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5EA1075">
            <w:pPr>
              <w:spacing w:line="240" w:lineRule="exact"/>
              <w:jc w:val="right"/>
              <w:rPr>
                <w:rFonts w:ascii="宋体" w:hAnsi="宋体" w:eastAsia="宋体" w:cs="宋体"/>
                <w:sz w:val="18"/>
                <w:szCs w:val="18"/>
              </w:rPr>
            </w:pPr>
          </w:p>
        </w:tc>
      </w:tr>
      <w:tr w14:paraId="206C4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59AC5EF">
            <w:pPr>
              <w:spacing w:before="40" w:after="40" w:line="240" w:lineRule="exac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14:paraId="67CD5861">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63A0108">
            <w:pPr>
              <w:spacing w:line="240" w:lineRule="exact"/>
              <w:jc w:val="right"/>
              <w:rPr>
                <w:rFonts w:ascii="宋体" w:hAnsi="宋体" w:eastAsia="宋体" w:cs="宋体"/>
                <w:sz w:val="18"/>
                <w:szCs w:val="18"/>
              </w:rPr>
            </w:pPr>
          </w:p>
        </w:tc>
      </w:tr>
      <w:tr w14:paraId="4F82D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AF8601B">
            <w:pPr>
              <w:spacing w:before="40" w:after="40" w:line="240" w:lineRule="exact"/>
              <w:rPr>
                <w:rFonts w:ascii="宋体" w:hAnsi="宋体" w:eastAsia="宋体" w:cs="宋体"/>
                <w:sz w:val="18"/>
                <w:szCs w:val="18"/>
              </w:rPr>
            </w:pPr>
            <w:r>
              <w:rPr>
                <w:rFonts w:ascii="宋体" w:hAnsi="宋体" w:eastAsia="宋体" w:cs="宋体"/>
                <w:sz w:val="18"/>
                <w:szCs w:val="18"/>
              </w:rPr>
              <w:t>对合营企业权益投资的账面价值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14:paraId="4E2851D2">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BE0AC0C">
            <w:pPr>
              <w:spacing w:line="240" w:lineRule="exact"/>
              <w:jc w:val="right"/>
              <w:rPr>
                <w:rFonts w:ascii="宋体" w:hAnsi="宋体" w:eastAsia="宋体" w:cs="宋体"/>
                <w:sz w:val="18"/>
                <w:szCs w:val="18"/>
              </w:rPr>
            </w:pPr>
          </w:p>
        </w:tc>
      </w:tr>
      <w:tr w14:paraId="15E74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E6D51FA">
            <w:pPr>
              <w:spacing w:before="40" w:after="40" w:line="240" w:lineRule="exact"/>
              <w:rPr>
                <w:rFonts w:ascii="宋体" w:hAnsi="宋体" w:eastAsia="宋体" w:cs="宋体"/>
                <w:sz w:val="18"/>
                <w:szCs w:val="18"/>
              </w:rPr>
            </w:pPr>
            <w:r>
              <w:rPr>
                <w:rFonts w:ascii="宋体" w:hAnsi="宋体" w:eastAsia="宋体" w:cs="宋体"/>
                <w:sz w:val="18"/>
                <w:szCs w:val="18"/>
              </w:rPr>
              <w:t>存在公开报价的合营企业权益投资的公允价值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14:paraId="76BE9DA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2258AB18">
            <w:pPr>
              <w:spacing w:line="240" w:lineRule="exact"/>
              <w:jc w:val="right"/>
              <w:rPr>
                <w:rFonts w:ascii="宋体" w:hAnsi="宋体" w:eastAsia="宋体" w:cs="宋体"/>
                <w:sz w:val="18"/>
                <w:szCs w:val="18"/>
              </w:rPr>
            </w:pPr>
          </w:p>
        </w:tc>
      </w:tr>
      <w:tr w14:paraId="0841A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60E0B1">
            <w:pPr>
              <w:spacing w:before="40" w:after="40" w:line="240" w:lineRule="exact"/>
              <w:rPr>
                <w:rFonts w:ascii="宋体" w:hAnsi="宋体" w:eastAsia="宋体" w:cs="宋体"/>
                <w:sz w:val="18"/>
                <w:szCs w:val="18"/>
              </w:rPr>
            </w:pPr>
            <w:r>
              <w:rPr>
                <w:rFonts w:ascii="宋体" w:hAnsi="宋体" w:eastAsia="宋体" w:cs="宋体"/>
                <w:sz w:val="18"/>
                <w:szCs w:val="18"/>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14:paraId="53F8D7CE">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60D7F47">
            <w:pPr>
              <w:spacing w:line="240" w:lineRule="exact"/>
              <w:jc w:val="right"/>
              <w:rPr>
                <w:rFonts w:ascii="宋体" w:hAnsi="宋体" w:eastAsia="宋体" w:cs="宋体"/>
                <w:sz w:val="18"/>
                <w:szCs w:val="18"/>
              </w:rPr>
            </w:pPr>
          </w:p>
        </w:tc>
      </w:tr>
      <w:tr w14:paraId="6580D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C6FFDC">
            <w:pPr>
              <w:spacing w:before="40" w:after="40" w:line="240" w:lineRule="exac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14:paraId="072543DE">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3E6EA0D5">
            <w:pPr>
              <w:spacing w:line="240" w:lineRule="exact"/>
              <w:jc w:val="right"/>
              <w:rPr>
                <w:rFonts w:ascii="宋体" w:hAnsi="宋体" w:eastAsia="宋体" w:cs="宋体"/>
                <w:sz w:val="18"/>
                <w:szCs w:val="18"/>
              </w:rPr>
            </w:pPr>
          </w:p>
        </w:tc>
      </w:tr>
      <w:tr w14:paraId="61E74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093556E">
            <w:pPr>
              <w:spacing w:before="40" w:after="40" w:line="240" w:lineRule="exact"/>
              <w:rPr>
                <w:rFonts w:ascii="宋体" w:hAnsi="宋体" w:eastAsia="宋体" w:cs="宋体"/>
                <w:sz w:val="18"/>
                <w:szCs w:val="18"/>
              </w:rPr>
            </w:pPr>
            <w:r>
              <w:rPr>
                <w:rFonts w:ascii="宋体" w:hAnsi="宋体" w:eastAsia="宋体" w:cs="宋体"/>
                <w:sz w:val="18"/>
                <w:szCs w:val="18"/>
              </w:rPr>
              <w:t>所得税费用</w:t>
            </w:r>
          </w:p>
        </w:tc>
        <w:tc>
          <w:tcPr>
            <w:tcW w:w="3213" w:type="dxa"/>
            <w:tcBorders>
              <w:top w:val="single" w:color="auto" w:sz="2" w:space="0"/>
              <w:left w:val="single" w:color="auto" w:sz="2" w:space="0"/>
              <w:bottom w:val="single" w:color="auto" w:sz="2" w:space="0"/>
              <w:right w:val="single" w:color="auto" w:sz="2" w:space="0"/>
            </w:tcBorders>
            <w:vAlign w:val="center"/>
          </w:tcPr>
          <w:p w14:paraId="0EFDE913">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FE4C41E">
            <w:pPr>
              <w:spacing w:line="240" w:lineRule="exact"/>
              <w:jc w:val="right"/>
              <w:rPr>
                <w:rFonts w:ascii="宋体" w:hAnsi="宋体" w:eastAsia="宋体" w:cs="宋体"/>
                <w:sz w:val="18"/>
                <w:szCs w:val="18"/>
              </w:rPr>
            </w:pPr>
          </w:p>
        </w:tc>
      </w:tr>
      <w:tr w14:paraId="7E330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648B824">
            <w:pPr>
              <w:spacing w:before="40" w:after="40" w:line="240" w:lineRule="exac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14:paraId="49A9B822">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9DEF1AF">
            <w:pPr>
              <w:spacing w:line="240" w:lineRule="exact"/>
              <w:jc w:val="right"/>
              <w:rPr>
                <w:rFonts w:ascii="宋体" w:hAnsi="宋体" w:eastAsia="宋体" w:cs="宋体"/>
                <w:sz w:val="18"/>
                <w:szCs w:val="18"/>
              </w:rPr>
            </w:pPr>
          </w:p>
        </w:tc>
      </w:tr>
      <w:tr w14:paraId="0854B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11033C1">
            <w:pPr>
              <w:spacing w:before="40" w:after="40" w:line="240" w:lineRule="exact"/>
              <w:rPr>
                <w:rFonts w:ascii="宋体" w:hAnsi="宋体" w:eastAsia="宋体" w:cs="宋体"/>
                <w:sz w:val="18"/>
                <w:szCs w:val="18"/>
              </w:rPr>
            </w:pPr>
            <w:r>
              <w:rPr>
                <w:rFonts w:ascii="宋体" w:hAnsi="宋体" w:eastAsia="宋体" w:cs="宋体"/>
                <w:sz w:val="18"/>
                <w:szCs w:val="18"/>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14:paraId="588668D5">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15D416C">
            <w:pPr>
              <w:spacing w:line="240" w:lineRule="exact"/>
              <w:jc w:val="right"/>
              <w:rPr>
                <w:rFonts w:ascii="宋体" w:hAnsi="宋体" w:eastAsia="宋体" w:cs="宋体"/>
                <w:sz w:val="18"/>
                <w:szCs w:val="18"/>
              </w:rPr>
            </w:pPr>
          </w:p>
        </w:tc>
      </w:tr>
      <w:tr w14:paraId="485CB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08C1FF0">
            <w:pPr>
              <w:spacing w:before="40" w:after="40" w:line="240" w:lineRule="exac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14:paraId="20009F1A">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01786EDB">
            <w:pPr>
              <w:spacing w:line="240" w:lineRule="exact"/>
              <w:jc w:val="right"/>
              <w:rPr>
                <w:rFonts w:ascii="宋体" w:hAnsi="宋体" w:eastAsia="宋体" w:cs="宋体"/>
                <w:sz w:val="18"/>
                <w:szCs w:val="18"/>
              </w:rPr>
            </w:pPr>
          </w:p>
        </w:tc>
      </w:tr>
      <w:tr w14:paraId="0B44E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4D38961">
            <w:pPr>
              <w:spacing w:before="40" w:after="40" w:line="240" w:lineRule="exac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14:paraId="47228E7D">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5A79CF26">
            <w:pPr>
              <w:spacing w:line="240" w:lineRule="exact"/>
              <w:jc w:val="right"/>
              <w:rPr>
                <w:rFonts w:ascii="宋体" w:hAnsi="宋体" w:eastAsia="宋体" w:cs="宋体"/>
                <w:sz w:val="18"/>
                <w:szCs w:val="18"/>
              </w:rPr>
            </w:pPr>
          </w:p>
        </w:tc>
      </w:tr>
      <w:tr w14:paraId="25957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28A31DC5">
            <w:pPr>
              <w:spacing w:line="240" w:lineRule="exac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70CF332C">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4FDB3C0E">
            <w:pPr>
              <w:spacing w:line="240" w:lineRule="exact"/>
              <w:jc w:val="right"/>
              <w:rPr>
                <w:rFonts w:ascii="宋体" w:hAnsi="宋体" w:eastAsia="宋体" w:cs="宋体"/>
                <w:sz w:val="18"/>
                <w:szCs w:val="18"/>
              </w:rPr>
            </w:pPr>
          </w:p>
        </w:tc>
      </w:tr>
      <w:tr w14:paraId="747E2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F2E39F7">
            <w:pPr>
              <w:spacing w:before="40" w:after="40" w:line="240" w:lineRule="exact"/>
              <w:rPr>
                <w:rFonts w:ascii="宋体" w:hAnsi="宋体" w:eastAsia="宋体" w:cs="宋体"/>
                <w:sz w:val="18"/>
                <w:szCs w:val="18"/>
              </w:rPr>
            </w:pPr>
            <w:r>
              <w:rPr>
                <w:rFonts w:ascii="宋体" w:hAnsi="宋体" w:eastAsia="宋体" w:cs="宋体"/>
                <w:sz w:val="18"/>
                <w:szCs w:val="18"/>
              </w:rPr>
              <w:t>本年度收到的来自合营企业的股利</w:t>
            </w:r>
          </w:p>
        </w:tc>
        <w:tc>
          <w:tcPr>
            <w:tcW w:w="3213" w:type="dxa"/>
            <w:tcBorders>
              <w:top w:val="single" w:color="auto" w:sz="2" w:space="0"/>
              <w:left w:val="single" w:color="auto" w:sz="2" w:space="0"/>
              <w:bottom w:val="single" w:color="auto" w:sz="2" w:space="0"/>
              <w:right w:val="single" w:color="auto" w:sz="2" w:space="0"/>
            </w:tcBorders>
            <w:vAlign w:val="center"/>
          </w:tcPr>
          <w:p w14:paraId="1CB57CB7">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626E3478">
            <w:pPr>
              <w:spacing w:line="240" w:lineRule="exact"/>
              <w:jc w:val="right"/>
              <w:rPr>
                <w:rFonts w:ascii="宋体" w:hAnsi="宋体" w:eastAsia="宋体" w:cs="宋体"/>
                <w:sz w:val="18"/>
                <w:szCs w:val="18"/>
              </w:rPr>
            </w:pPr>
          </w:p>
        </w:tc>
      </w:tr>
    </w:tbl>
    <w:p w14:paraId="5D41C24D">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34615895">
      <w:pPr>
        <w:keepNext/>
        <w:keepLines/>
        <w:spacing w:before="300" w:after="300" w:line="280" w:lineRule="exact"/>
        <w:outlineLvl w:val="3"/>
        <w:rPr>
          <w:rFonts w:ascii="宋体" w:hAnsi="宋体" w:eastAsia="宋体" w:cs="宋体"/>
          <w:b/>
          <w:bCs/>
          <w:szCs w:val="21"/>
        </w:rPr>
      </w:pPr>
      <w:bookmarkStart w:id="527" w:name="_Toc989382"/>
      <w:r>
        <w:rPr>
          <w:rFonts w:ascii="宋体" w:hAnsi="宋体" w:eastAsia="宋体" w:cs="宋体"/>
          <w:b/>
          <w:bCs/>
          <w:szCs w:val="21"/>
        </w:rPr>
        <w:t>（3） 重要联营企业的主要财务信息</w:t>
      </w:r>
      <w:bookmarkEnd w:id="527"/>
    </w:p>
    <w:p w14:paraId="48124DE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3CDF2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1DE7A90"/>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31D14E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BF12A47">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14:paraId="43A51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9597925"/>
        </w:tc>
        <w:tc>
          <w:tcPr>
            <w:tcW w:w="1928" w:type="dxa"/>
            <w:tcBorders>
              <w:top w:val="single" w:color="auto" w:sz="2" w:space="0"/>
              <w:left w:val="single" w:color="auto" w:sz="2" w:space="0"/>
              <w:bottom w:val="single" w:color="auto" w:sz="2" w:space="0"/>
              <w:right w:val="single" w:color="auto" w:sz="2" w:space="0"/>
            </w:tcBorders>
            <w:vAlign w:val="center"/>
          </w:tcPr>
          <w:p w14:paraId="353422B2">
            <w:pPr>
              <w:spacing w:line="240" w:lineRule="exact"/>
              <w:jc w:val="center"/>
              <w:rPr>
                <w:rFonts w:ascii="宋体" w:hAnsi="宋体" w:eastAsia="宋体" w:cs="宋体"/>
                <w:sz w:val="18"/>
                <w:szCs w:val="18"/>
              </w:rPr>
            </w:pPr>
            <w:r>
              <w:rPr>
                <w:rFonts w:ascii="宋体" w:hAnsi="宋体" w:eastAsia="宋体" w:cs="宋体"/>
                <w:sz w:val="18"/>
                <w:szCs w:val="18"/>
              </w:rPr>
              <w:t>江苏科孚纺织品贸易有限公司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63E9A621">
            <w:pPr>
              <w:spacing w:line="240" w:lineRule="exact"/>
              <w:jc w:val="center"/>
              <w:rPr>
                <w:rFonts w:ascii="宋体" w:hAnsi="宋体" w:eastAsia="宋体" w:cs="宋体"/>
                <w:sz w:val="18"/>
                <w:szCs w:val="18"/>
              </w:rPr>
            </w:pPr>
            <w:r>
              <w:rPr>
                <w:rFonts w:ascii="宋体" w:hAnsi="宋体" w:eastAsia="宋体" w:cs="宋体"/>
                <w:sz w:val="18"/>
                <w:szCs w:val="18"/>
              </w:rPr>
              <w:t>浙江华尚产业运营有限公司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0CCBB859">
            <w:pPr>
              <w:spacing w:line="240" w:lineRule="exact"/>
              <w:jc w:val="center"/>
              <w:rPr>
                <w:rFonts w:ascii="宋体" w:hAnsi="宋体" w:eastAsia="宋体" w:cs="宋体"/>
                <w:sz w:val="18"/>
                <w:szCs w:val="18"/>
              </w:rPr>
            </w:pPr>
            <w:r>
              <w:rPr>
                <w:rFonts w:ascii="宋体" w:hAnsi="宋体" w:eastAsia="宋体" w:cs="宋体"/>
                <w:sz w:val="18"/>
                <w:szCs w:val="18"/>
              </w:rPr>
              <w:t>江苏科孚纺织品贸易有限公司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6849DC28">
            <w:pPr>
              <w:spacing w:line="240" w:lineRule="exact"/>
              <w:jc w:val="center"/>
              <w:rPr>
                <w:rFonts w:ascii="宋体" w:hAnsi="宋体" w:eastAsia="宋体" w:cs="宋体"/>
                <w:sz w:val="18"/>
                <w:szCs w:val="18"/>
              </w:rPr>
            </w:pPr>
            <w:r>
              <w:rPr>
                <w:rFonts w:ascii="宋体" w:hAnsi="宋体" w:eastAsia="宋体" w:cs="宋体"/>
                <w:sz w:val="18"/>
                <w:szCs w:val="18"/>
              </w:rPr>
              <w:t>浙江华尚产业运营有限公司</w:t>
            </w:r>
          </w:p>
        </w:tc>
      </w:tr>
      <w:tr w14:paraId="082F4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BCF17D2">
            <w:pPr>
              <w:spacing w:before="40" w:after="40" w:line="240" w:lineRule="exact"/>
              <w:rPr>
                <w:rFonts w:ascii="宋体" w:hAnsi="宋体" w:eastAsia="宋体" w:cs="宋体"/>
                <w:sz w:val="18"/>
                <w:szCs w:val="18"/>
              </w:rPr>
            </w:pPr>
            <w:r>
              <w:rPr>
                <w:rFonts w:ascii="宋体" w:hAnsi="宋体" w:eastAsia="宋体" w:cs="宋体"/>
                <w:sz w:val="18"/>
                <w:szCs w:val="18"/>
              </w:rPr>
              <w:t>流动资产</w:t>
            </w:r>
          </w:p>
        </w:tc>
        <w:tc>
          <w:tcPr>
            <w:tcW w:w="1928" w:type="dxa"/>
            <w:tcBorders>
              <w:top w:val="single" w:color="auto" w:sz="2" w:space="0"/>
              <w:left w:val="single" w:color="auto" w:sz="2" w:space="0"/>
              <w:bottom w:val="single" w:color="auto" w:sz="2" w:space="0"/>
              <w:right w:val="single" w:color="auto" w:sz="2" w:space="0"/>
            </w:tcBorders>
            <w:vAlign w:val="center"/>
          </w:tcPr>
          <w:p w14:paraId="0375FB4C">
            <w:pPr>
              <w:spacing w:line="240" w:lineRule="exact"/>
              <w:jc w:val="right"/>
              <w:rPr>
                <w:rFonts w:ascii="宋体" w:hAnsi="宋体" w:eastAsia="宋体" w:cs="宋体"/>
                <w:sz w:val="18"/>
                <w:szCs w:val="18"/>
              </w:rPr>
            </w:pPr>
            <w:r>
              <w:rPr>
                <w:rFonts w:ascii="宋体" w:hAnsi="宋体" w:eastAsia="宋体" w:cs="宋体"/>
                <w:sz w:val="18"/>
                <w:szCs w:val="18"/>
              </w:rPr>
              <w:t>45,338,434.81</w:t>
            </w:r>
          </w:p>
        </w:tc>
        <w:tc>
          <w:tcPr>
            <w:tcW w:w="1928" w:type="dxa"/>
            <w:tcBorders>
              <w:top w:val="single" w:color="auto" w:sz="2" w:space="0"/>
              <w:left w:val="single" w:color="auto" w:sz="2" w:space="0"/>
              <w:bottom w:val="single" w:color="auto" w:sz="2" w:space="0"/>
              <w:right w:val="single" w:color="auto" w:sz="2" w:space="0"/>
            </w:tcBorders>
            <w:vAlign w:val="center"/>
          </w:tcPr>
          <w:p w14:paraId="7B883E39">
            <w:pPr>
              <w:spacing w:line="240" w:lineRule="exact"/>
              <w:jc w:val="right"/>
              <w:rPr>
                <w:rFonts w:ascii="宋体" w:hAnsi="宋体" w:eastAsia="宋体" w:cs="宋体"/>
                <w:sz w:val="18"/>
                <w:szCs w:val="18"/>
              </w:rPr>
            </w:pPr>
            <w:r>
              <w:rPr>
                <w:rFonts w:ascii="宋体" w:hAnsi="宋体" w:eastAsia="宋体" w:cs="宋体"/>
                <w:sz w:val="18"/>
                <w:szCs w:val="18"/>
              </w:rPr>
              <w:t>216,553,432.00</w:t>
            </w:r>
          </w:p>
        </w:tc>
        <w:tc>
          <w:tcPr>
            <w:tcW w:w="1928" w:type="dxa"/>
            <w:tcBorders>
              <w:top w:val="single" w:color="auto" w:sz="2" w:space="0"/>
              <w:left w:val="single" w:color="auto" w:sz="2" w:space="0"/>
              <w:bottom w:val="single" w:color="auto" w:sz="2" w:space="0"/>
              <w:right w:val="single" w:color="auto" w:sz="2" w:space="0"/>
            </w:tcBorders>
            <w:vAlign w:val="center"/>
          </w:tcPr>
          <w:p w14:paraId="471BE014">
            <w:pPr>
              <w:spacing w:line="240" w:lineRule="exact"/>
              <w:jc w:val="right"/>
              <w:rPr>
                <w:rFonts w:ascii="宋体" w:hAnsi="宋体" w:eastAsia="宋体" w:cs="宋体"/>
                <w:sz w:val="18"/>
                <w:szCs w:val="18"/>
              </w:rPr>
            </w:pPr>
            <w:r>
              <w:rPr>
                <w:rFonts w:ascii="宋体" w:hAnsi="宋体" w:eastAsia="宋体" w:cs="宋体"/>
                <w:sz w:val="18"/>
                <w:szCs w:val="18"/>
              </w:rPr>
              <w:t>45,019,406.59</w:t>
            </w:r>
          </w:p>
        </w:tc>
        <w:tc>
          <w:tcPr>
            <w:tcW w:w="1928" w:type="dxa"/>
            <w:tcBorders>
              <w:top w:val="single" w:color="auto" w:sz="2" w:space="0"/>
              <w:left w:val="single" w:color="auto" w:sz="2" w:space="0"/>
              <w:bottom w:val="single" w:color="auto" w:sz="2" w:space="0"/>
              <w:right w:val="single" w:color="auto" w:sz="2" w:space="0"/>
            </w:tcBorders>
            <w:vAlign w:val="center"/>
          </w:tcPr>
          <w:p w14:paraId="50244416">
            <w:pPr>
              <w:spacing w:line="240" w:lineRule="exact"/>
              <w:jc w:val="right"/>
              <w:rPr>
                <w:rFonts w:ascii="宋体" w:hAnsi="宋体" w:eastAsia="宋体" w:cs="宋体"/>
                <w:sz w:val="18"/>
                <w:szCs w:val="18"/>
              </w:rPr>
            </w:pPr>
            <w:r>
              <w:rPr>
                <w:rFonts w:ascii="宋体" w:hAnsi="宋体" w:eastAsia="宋体" w:cs="宋体"/>
                <w:sz w:val="18"/>
                <w:szCs w:val="18"/>
              </w:rPr>
              <w:t>133,203,768.77</w:t>
            </w:r>
          </w:p>
        </w:tc>
      </w:tr>
      <w:tr w14:paraId="16C76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A5B1087">
            <w:pPr>
              <w:spacing w:before="40" w:after="40" w:line="240" w:lineRule="exact"/>
              <w:rPr>
                <w:rFonts w:ascii="宋体" w:hAnsi="宋体" w:eastAsia="宋体" w:cs="宋体"/>
                <w:sz w:val="18"/>
                <w:szCs w:val="18"/>
              </w:rPr>
            </w:pPr>
            <w:r>
              <w:rPr>
                <w:rFonts w:ascii="宋体" w:hAnsi="宋体" w:eastAsia="宋体" w:cs="宋体"/>
                <w:sz w:val="18"/>
                <w:szCs w:val="18"/>
              </w:rPr>
              <w:t>非流动资产</w:t>
            </w:r>
          </w:p>
        </w:tc>
        <w:tc>
          <w:tcPr>
            <w:tcW w:w="1928" w:type="dxa"/>
            <w:tcBorders>
              <w:top w:val="single" w:color="auto" w:sz="2" w:space="0"/>
              <w:left w:val="single" w:color="auto" w:sz="2" w:space="0"/>
              <w:bottom w:val="single" w:color="auto" w:sz="2" w:space="0"/>
              <w:right w:val="single" w:color="auto" w:sz="2" w:space="0"/>
            </w:tcBorders>
            <w:vAlign w:val="center"/>
          </w:tcPr>
          <w:p w14:paraId="2D782E6D">
            <w:pPr>
              <w:spacing w:line="240" w:lineRule="exact"/>
              <w:jc w:val="right"/>
              <w:rPr>
                <w:rFonts w:ascii="宋体" w:hAnsi="宋体" w:eastAsia="宋体" w:cs="宋体"/>
                <w:sz w:val="18"/>
                <w:szCs w:val="18"/>
              </w:rPr>
            </w:pPr>
            <w:r>
              <w:rPr>
                <w:rFonts w:ascii="宋体" w:hAnsi="宋体" w:eastAsia="宋体" w:cs="宋体"/>
                <w:sz w:val="18"/>
                <w:szCs w:val="18"/>
              </w:rPr>
              <w:t>18,879.10</w:t>
            </w:r>
          </w:p>
        </w:tc>
        <w:tc>
          <w:tcPr>
            <w:tcW w:w="1928" w:type="dxa"/>
            <w:tcBorders>
              <w:top w:val="single" w:color="auto" w:sz="2" w:space="0"/>
              <w:left w:val="single" w:color="auto" w:sz="2" w:space="0"/>
              <w:bottom w:val="single" w:color="auto" w:sz="2" w:space="0"/>
              <w:right w:val="single" w:color="auto" w:sz="2" w:space="0"/>
            </w:tcBorders>
            <w:vAlign w:val="center"/>
          </w:tcPr>
          <w:p w14:paraId="1E9982C8">
            <w:pPr>
              <w:spacing w:line="240" w:lineRule="exact"/>
              <w:jc w:val="right"/>
              <w:rPr>
                <w:rFonts w:ascii="宋体" w:hAnsi="宋体" w:eastAsia="宋体" w:cs="宋体"/>
                <w:sz w:val="18"/>
                <w:szCs w:val="18"/>
              </w:rPr>
            </w:pPr>
            <w:r>
              <w:rPr>
                <w:rFonts w:ascii="宋体" w:hAnsi="宋体" w:eastAsia="宋体" w:cs="宋体"/>
                <w:sz w:val="18"/>
                <w:szCs w:val="18"/>
              </w:rPr>
              <w:t>53,652.46</w:t>
            </w:r>
          </w:p>
        </w:tc>
        <w:tc>
          <w:tcPr>
            <w:tcW w:w="1928" w:type="dxa"/>
            <w:tcBorders>
              <w:top w:val="single" w:color="auto" w:sz="2" w:space="0"/>
              <w:left w:val="single" w:color="auto" w:sz="2" w:space="0"/>
              <w:bottom w:val="single" w:color="auto" w:sz="2" w:space="0"/>
              <w:right w:val="single" w:color="auto" w:sz="2" w:space="0"/>
            </w:tcBorders>
            <w:vAlign w:val="center"/>
          </w:tcPr>
          <w:p w14:paraId="657B96D0">
            <w:pPr>
              <w:spacing w:line="240" w:lineRule="exact"/>
              <w:jc w:val="right"/>
              <w:rPr>
                <w:rFonts w:ascii="宋体" w:hAnsi="宋体" w:eastAsia="宋体" w:cs="宋体"/>
                <w:sz w:val="18"/>
                <w:szCs w:val="18"/>
              </w:rPr>
            </w:pPr>
            <w:r>
              <w:rPr>
                <w:rFonts w:ascii="宋体" w:hAnsi="宋体" w:eastAsia="宋体" w:cs="宋体"/>
                <w:sz w:val="18"/>
                <w:szCs w:val="18"/>
              </w:rPr>
              <w:t>33,038.38</w:t>
            </w:r>
          </w:p>
        </w:tc>
        <w:tc>
          <w:tcPr>
            <w:tcW w:w="1928" w:type="dxa"/>
            <w:tcBorders>
              <w:top w:val="single" w:color="auto" w:sz="2" w:space="0"/>
              <w:left w:val="single" w:color="auto" w:sz="2" w:space="0"/>
              <w:bottom w:val="single" w:color="auto" w:sz="2" w:space="0"/>
              <w:right w:val="single" w:color="auto" w:sz="2" w:space="0"/>
            </w:tcBorders>
            <w:vAlign w:val="center"/>
          </w:tcPr>
          <w:p w14:paraId="67649DD4">
            <w:pPr>
              <w:spacing w:line="240" w:lineRule="exact"/>
              <w:jc w:val="right"/>
              <w:rPr>
                <w:rFonts w:ascii="宋体" w:hAnsi="宋体" w:eastAsia="宋体" w:cs="宋体"/>
                <w:sz w:val="18"/>
                <w:szCs w:val="18"/>
              </w:rPr>
            </w:pPr>
            <w:r>
              <w:rPr>
                <w:rFonts w:ascii="宋体" w:hAnsi="宋体" w:eastAsia="宋体" w:cs="宋体"/>
                <w:sz w:val="18"/>
                <w:szCs w:val="18"/>
              </w:rPr>
              <w:t>55,404.72</w:t>
            </w:r>
          </w:p>
        </w:tc>
      </w:tr>
      <w:tr w14:paraId="5BA57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25DAFA3">
            <w:pPr>
              <w:spacing w:before="40" w:after="40" w:line="240" w:lineRule="exact"/>
              <w:rPr>
                <w:rFonts w:ascii="宋体" w:hAnsi="宋体" w:eastAsia="宋体" w:cs="宋体"/>
                <w:sz w:val="18"/>
                <w:szCs w:val="18"/>
              </w:rPr>
            </w:pPr>
            <w:r>
              <w:rPr>
                <w:rFonts w:ascii="宋体" w:hAnsi="宋体" w:eastAsia="宋体" w:cs="宋体"/>
                <w:sz w:val="18"/>
                <w:szCs w:val="18"/>
              </w:rPr>
              <w:t>资产合计</w:t>
            </w:r>
          </w:p>
        </w:tc>
        <w:tc>
          <w:tcPr>
            <w:tcW w:w="1928" w:type="dxa"/>
            <w:tcBorders>
              <w:top w:val="single" w:color="auto" w:sz="2" w:space="0"/>
              <w:left w:val="single" w:color="auto" w:sz="2" w:space="0"/>
              <w:bottom w:val="single" w:color="auto" w:sz="2" w:space="0"/>
              <w:right w:val="single" w:color="auto" w:sz="2" w:space="0"/>
            </w:tcBorders>
            <w:vAlign w:val="center"/>
          </w:tcPr>
          <w:p w14:paraId="0BEE468E">
            <w:pPr>
              <w:spacing w:line="240" w:lineRule="exact"/>
              <w:jc w:val="right"/>
              <w:rPr>
                <w:rFonts w:ascii="宋体" w:hAnsi="宋体" w:eastAsia="宋体" w:cs="宋体"/>
                <w:sz w:val="18"/>
                <w:szCs w:val="18"/>
              </w:rPr>
            </w:pPr>
            <w:r>
              <w:rPr>
                <w:rFonts w:ascii="宋体" w:hAnsi="宋体" w:eastAsia="宋体" w:cs="宋体"/>
                <w:sz w:val="18"/>
                <w:szCs w:val="18"/>
              </w:rPr>
              <w:t>45,357,313.91</w:t>
            </w:r>
          </w:p>
        </w:tc>
        <w:tc>
          <w:tcPr>
            <w:tcW w:w="1928" w:type="dxa"/>
            <w:tcBorders>
              <w:top w:val="single" w:color="auto" w:sz="2" w:space="0"/>
              <w:left w:val="single" w:color="auto" w:sz="2" w:space="0"/>
              <w:bottom w:val="single" w:color="auto" w:sz="2" w:space="0"/>
              <w:right w:val="single" w:color="auto" w:sz="2" w:space="0"/>
            </w:tcBorders>
            <w:vAlign w:val="center"/>
          </w:tcPr>
          <w:p w14:paraId="17A76B10">
            <w:pPr>
              <w:spacing w:line="240" w:lineRule="exact"/>
              <w:jc w:val="right"/>
              <w:rPr>
                <w:rFonts w:ascii="宋体" w:hAnsi="宋体" w:eastAsia="宋体" w:cs="宋体"/>
                <w:sz w:val="18"/>
                <w:szCs w:val="18"/>
              </w:rPr>
            </w:pPr>
            <w:r>
              <w:rPr>
                <w:rFonts w:ascii="宋体" w:hAnsi="宋体" w:eastAsia="宋体" w:cs="宋体"/>
                <w:sz w:val="18"/>
                <w:szCs w:val="18"/>
              </w:rPr>
              <w:t>216,607,084.46</w:t>
            </w:r>
          </w:p>
        </w:tc>
        <w:tc>
          <w:tcPr>
            <w:tcW w:w="1928" w:type="dxa"/>
            <w:tcBorders>
              <w:top w:val="single" w:color="auto" w:sz="2" w:space="0"/>
              <w:left w:val="single" w:color="auto" w:sz="2" w:space="0"/>
              <w:bottom w:val="single" w:color="auto" w:sz="2" w:space="0"/>
              <w:right w:val="single" w:color="auto" w:sz="2" w:space="0"/>
            </w:tcBorders>
            <w:vAlign w:val="center"/>
          </w:tcPr>
          <w:p w14:paraId="4088AA79">
            <w:pPr>
              <w:spacing w:line="240" w:lineRule="exact"/>
              <w:jc w:val="right"/>
              <w:rPr>
                <w:rFonts w:ascii="宋体" w:hAnsi="宋体" w:eastAsia="宋体" w:cs="宋体"/>
                <w:sz w:val="18"/>
                <w:szCs w:val="18"/>
              </w:rPr>
            </w:pPr>
            <w:r>
              <w:rPr>
                <w:rFonts w:ascii="宋体" w:hAnsi="宋体" w:eastAsia="宋体" w:cs="宋体"/>
                <w:sz w:val="18"/>
                <w:szCs w:val="18"/>
              </w:rPr>
              <w:t>45,052,444.97</w:t>
            </w:r>
          </w:p>
        </w:tc>
        <w:tc>
          <w:tcPr>
            <w:tcW w:w="1928" w:type="dxa"/>
            <w:tcBorders>
              <w:top w:val="single" w:color="auto" w:sz="2" w:space="0"/>
              <w:left w:val="single" w:color="auto" w:sz="2" w:space="0"/>
              <w:bottom w:val="single" w:color="auto" w:sz="2" w:space="0"/>
              <w:right w:val="single" w:color="auto" w:sz="2" w:space="0"/>
            </w:tcBorders>
            <w:vAlign w:val="center"/>
          </w:tcPr>
          <w:p w14:paraId="4BA90453">
            <w:pPr>
              <w:spacing w:line="240" w:lineRule="exact"/>
              <w:jc w:val="right"/>
              <w:rPr>
                <w:rFonts w:ascii="宋体" w:hAnsi="宋体" w:eastAsia="宋体" w:cs="宋体"/>
                <w:sz w:val="18"/>
                <w:szCs w:val="18"/>
              </w:rPr>
            </w:pPr>
            <w:r>
              <w:rPr>
                <w:rFonts w:ascii="宋体" w:hAnsi="宋体" w:eastAsia="宋体" w:cs="宋体"/>
                <w:sz w:val="18"/>
                <w:szCs w:val="18"/>
              </w:rPr>
              <w:t>133,259,173.49</w:t>
            </w:r>
          </w:p>
        </w:tc>
      </w:tr>
      <w:tr w14:paraId="033B6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5291E39">
            <w:pPr>
              <w:spacing w:before="40" w:after="40" w:line="240" w:lineRule="exact"/>
              <w:rPr>
                <w:rFonts w:ascii="宋体" w:hAnsi="宋体" w:eastAsia="宋体" w:cs="宋体"/>
                <w:sz w:val="18"/>
                <w:szCs w:val="18"/>
              </w:rPr>
            </w:pPr>
            <w:r>
              <w:rPr>
                <w:rFonts w:ascii="宋体" w:hAnsi="宋体" w:eastAsia="宋体" w:cs="宋体"/>
                <w:sz w:val="18"/>
                <w:szCs w:val="18"/>
              </w:rPr>
              <w:t>流动负债</w:t>
            </w:r>
          </w:p>
        </w:tc>
        <w:tc>
          <w:tcPr>
            <w:tcW w:w="1928" w:type="dxa"/>
            <w:tcBorders>
              <w:top w:val="single" w:color="auto" w:sz="2" w:space="0"/>
              <w:left w:val="single" w:color="auto" w:sz="2" w:space="0"/>
              <w:bottom w:val="single" w:color="auto" w:sz="2" w:space="0"/>
              <w:right w:val="single" w:color="auto" w:sz="2" w:space="0"/>
            </w:tcBorders>
            <w:vAlign w:val="center"/>
          </w:tcPr>
          <w:p w14:paraId="0C4A4654">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28EA2FF">
            <w:pPr>
              <w:spacing w:line="240" w:lineRule="exact"/>
              <w:jc w:val="right"/>
              <w:rPr>
                <w:rFonts w:ascii="宋体" w:hAnsi="宋体" w:eastAsia="宋体" w:cs="宋体"/>
                <w:sz w:val="18"/>
                <w:szCs w:val="18"/>
              </w:rPr>
            </w:pPr>
            <w:r>
              <w:rPr>
                <w:rFonts w:ascii="宋体" w:hAnsi="宋体" w:eastAsia="宋体" w:cs="宋体"/>
                <w:sz w:val="18"/>
                <w:szCs w:val="18"/>
              </w:rPr>
              <w:t>124,480,546.50</w:t>
            </w:r>
          </w:p>
        </w:tc>
        <w:tc>
          <w:tcPr>
            <w:tcW w:w="1928" w:type="dxa"/>
            <w:tcBorders>
              <w:top w:val="single" w:color="auto" w:sz="2" w:space="0"/>
              <w:left w:val="single" w:color="auto" w:sz="2" w:space="0"/>
              <w:bottom w:val="single" w:color="auto" w:sz="2" w:space="0"/>
              <w:right w:val="single" w:color="auto" w:sz="2" w:space="0"/>
            </w:tcBorders>
            <w:vAlign w:val="center"/>
          </w:tcPr>
          <w:p w14:paraId="6EF5F7EF">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B5A3799">
            <w:pPr>
              <w:spacing w:line="240" w:lineRule="exact"/>
              <w:jc w:val="right"/>
              <w:rPr>
                <w:rFonts w:ascii="宋体" w:hAnsi="宋体" w:eastAsia="宋体" w:cs="宋体"/>
                <w:sz w:val="18"/>
                <w:szCs w:val="18"/>
              </w:rPr>
            </w:pPr>
            <w:r>
              <w:rPr>
                <w:rFonts w:ascii="宋体" w:hAnsi="宋体" w:eastAsia="宋体" w:cs="宋体"/>
                <w:sz w:val="18"/>
                <w:szCs w:val="18"/>
              </w:rPr>
              <w:t>36,637,303.56</w:t>
            </w:r>
          </w:p>
        </w:tc>
      </w:tr>
      <w:tr w14:paraId="7478D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A915A37">
            <w:pPr>
              <w:spacing w:before="40" w:after="40" w:line="240" w:lineRule="exact"/>
              <w:rPr>
                <w:rFonts w:ascii="宋体" w:hAnsi="宋体" w:eastAsia="宋体" w:cs="宋体"/>
                <w:sz w:val="18"/>
                <w:szCs w:val="18"/>
              </w:rPr>
            </w:pPr>
            <w:r>
              <w:rPr>
                <w:rFonts w:ascii="宋体" w:hAnsi="宋体" w:eastAsia="宋体" w:cs="宋体"/>
                <w:sz w:val="18"/>
                <w:szCs w:val="18"/>
              </w:rPr>
              <w:t>非流动负债</w:t>
            </w:r>
          </w:p>
        </w:tc>
        <w:tc>
          <w:tcPr>
            <w:tcW w:w="1928" w:type="dxa"/>
            <w:tcBorders>
              <w:top w:val="single" w:color="auto" w:sz="2" w:space="0"/>
              <w:left w:val="single" w:color="auto" w:sz="2" w:space="0"/>
              <w:bottom w:val="single" w:color="auto" w:sz="2" w:space="0"/>
              <w:right w:val="single" w:color="auto" w:sz="2" w:space="0"/>
            </w:tcBorders>
            <w:vAlign w:val="center"/>
          </w:tcPr>
          <w:p w14:paraId="6455F800">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69D6504">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69489E7">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982AED0">
            <w:pPr>
              <w:spacing w:line="240" w:lineRule="exact"/>
              <w:jc w:val="right"/>
              <w:rPr>
                <w:rFonts w:ascii="宋体" w:hAnsi="宋体" w:eastAsia="宋体" w:cs="宋体"/>
                <w:sz w:val="18"/>
                <w:szCs w:val="18"/>
              </w:rPr>
            </w:pPr>
          </w:p>
        </w:tc>
      </w:tr>
      <w:tr w14:paraId="7A129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BA48677">
            <w:pPr>
              <w:spacing w:before="40" w:after="40" w:line="240" w:lineRule="exact"/>
              <w:rPr>
                <w:rFonts w:ascii="宋体" w:hAnsi="宋体" w:eastAsia="宋体" w:cs="宋体"/>
                <w:sz w:val="18"/>
                <w:szCs w:val="18"/>
              </w:rPr>
            </w:pPr>
            <w:r>
              <w:rPr>
                <w:rFonts w:ascii="宋体" w:hAnsi="宋体" w:eastAsia="宋体" w:cs="宋体"/>
                <w:sz w:val="18"/>
                <w:szCs w:val="18"/>
              </w:rPr>
              <w:t>负债合计</w:t>
            </w:r>
          </w:p>
        </w:tc>
        <w:tc>
          <w:tcPr>
            <w:tcW w:w="1928" w:type="dxa"/>
            <w:tcBorders>
              <w:top w:val="single" w:color="auto" w:sz="2" w:space="0"/>
              <w:left w:val="single" w:color="auto" w:sz="2" w:space="0"/>
              <w:bottom w:val="single" w:color="auto" w:sz="2" w:space="0"/>
              <w:right w:val="single" w:color="auto" w:sz="2" w:space="0"/>
            </w:tcBorders>
            <w:vAlign w:val="center"/>
          </w:tcPr>
          <w:p w14:paraId="615EC660">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E77F93E">
            <w:pPr>
              <w:spacing w:line="240" w:lineRule="exact"/>
              <w:jc w:val="right"/>
              <w:rPr>
                <w:rFonts w:ascii="宋体" w:hAnsi="宋体" w:eastAsia="宋体" w:cs="宋体"/>
                <w:sz w:val="18"/>
                <w:szCs w:val="18"/>
              </w:rPr>
            </w:pPr>
            <w:r>
              <w:rPr>
                <w:rFonts w:ascii="宋体" w:hAnsi="宋体" w:eastAsia="宋体" w:cs="宋体"/>
                <w:sz w:val="18"/>
                <w:szCs w:val="18"/>
              </w:rPr>
              <w:t>124,480,546.50</w:t>
            </w:r>
          </w:p>
        </w:tc>
        <w:tc>
          <w:tcPr>
            <w:tcW w:w="1928" w:type="dxa"/>
            <w:tcBorders>
              <w:top w:val="single" w:color="auto" w:sz="2" w:space="0"/>
              <w:left w:val="single" w:color="auto" w:sz="2" w:space="0"/>
              <w:bottom w:val="single" w:color="auto" w:sz="2" w:space="0"/>
              <w:right w:val="single" w:color="auto" w:sz="2" w:space="0"/>
            </w:tcBorders>
            <w:vAlign w:val="center"/>
          </w:tcPr>
          <w:p w14:paraId="1E3E6838">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3498187">
            <w:pPr>
              <w:spacing w:line="240" w:lineRule="exact"/>
              <w:jc w:val="right"/>
              <w:rPr>
                <w:rFonts w:ascii="宋体" w:hAnsi="宋体" w:eastAsia="宋体" w:cs="宋体"/>
                <w:sz w:val="18"/>
                <w:szCs w:val="18"/>
              </w:rPr>
            </w:pPr>
            <w:r>
              <w:rPr>
                <w:rFonts w:ascii="宋体" w:hAnsi="宋体" w:eastAsia="宋体" w:cs="宋体"/>
                <w:sz w:val="18"/>
                <w:szCs w:val="18"/>
              </w:rPr>
              <w:t>36,637,303.56</w:t>
            </w:r>
          </w:p>
        </w:tc>
      </w:tr>
      <w:tr w14:paraId="6F459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C018CE1">
            <w:pPr>
              <w:spacing w:line="240" w:lineRule="exac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0047804">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6000A81">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4BF01F3">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D6D3A2F">
            <w:pPr>
              <w:spacing w:line="240" w:lineRule="exact"/>
              <w:jc w:val="right"/>
              <w:rPr>
                <w:rFonts w:ascii="宋体" w:hAnsi="宋体" w:eastAsia="宋体" w:cs="宋体"/>
                <w:sz w:val="18"/>
                <w:szCs w:val="18"/>
              </w:rPr>
            </w:pPr>
          </w:p>
        </w:tc>
      </w:tr>
      <w:tr w14:paraId="2378D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729F5B6">
            <w:pPr>
              <w:spacing w:before="40" w:after="40" w:line="240" w:lineRule="exact"/>
              <w:rPr>
                <w:rFonts w:ascii="宋体" w:hAnsi="宋体" w:eastAsia="宋体" w:cs="宋体"/>
                <w:sz w:val="18"/>
                <w:szCs w:val="18"/>
              </w:rPr>
            </w:pPr>
            <w:r>
              <w:rPr>
                <w:rFonts w:ascii="宋体" w:hAnsi="宋体" w:eastAsia="宋体" w:cs="宋体"/>
                <w:sz w:val="18"/>
                <w:szCs w:val="18"/>
              </w:rPr>
              <w:t>少数股东权益</w:t>
            </w:r>
          </w:p>
        </w:tc>
        <w:tc>
          <w:tcPr>
            <w:tcW w:w="1928" w:type="dxa"/>
            <w:tcBorders>
              <w:top w:val="single" w:color="auto" w:sz="2" w:space="0"/>
              <w:left w:val="single" w:color="auto" w:sz="2" w:space="0"/>
              <w:bottom w:val="single" w:color="auto" w:sz="2" w:space="0"/>
              <w:right w:val="single" w:color="auto" w:sz="2" w:space="0"/>
            </w:tcBorders>
            <w:vAlign w:val="center"/>
          </w:tcPr>
          <w:p w14:paraId="3B88EEE6">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CE91C07">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384F6D6">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D142BC1">
            <w:pPr>
              <w:spacing w:line="240" w:lineRule="exact"/>
              <w:jc w:val="right"/>
              <w:rPr>
                <w:rFonts w:ascii="宋体" w:hAnsi="宋体" w:eastAsia="宋体" w:cs="宋体"/>
                <w:sz w:val="18"/>
                <w:szCs w:val="18"/>
              </w:rPr>
            </w:pPr>
          </w:p>
        </w:tc>
      </w:tr>
      <w:tr w14:paraId="45280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50AD054">
            <w:pPr>
              <w:spacing w:before="40" w:after="40" w:line="240" w:lineRule="exact"/>
              <w:rPr>
                <w:rFonts w:ascii="宋体" w:hAnsi="宋体" w:eastAsia="宋体" w:cs="宋体"/>
                <w:sz w:val="18"/>
                <w:szCs w:val="18"/>
              </w:rPr>
            </w:pPr>
            <w:r>
              <w:rPr>
                <w:rFonts w:ascii="宋体" w:hAnsi="宋体" w:eastAsia="宋体" w:cs="宋体"/>
                <w:sz w:val="18"/>
                <w:szCs w:val="18"/>
              </w:rPr>
              <w:t>归属于母公司股东权益</w:t>
            </w:r>
          </w:p>
        </w:tc>
        <w:tc>
          <w:tcPr>
            <w:tcW w:w="1928" w:type="dxa"/>
            <w:tcBorders>
              <w:top w:val="single" w:color="auto" w:sz="2" w:space="0"/>
              <w:left w:val="single" w:color="auto" w:sz="2" w:space="0"/>
              <w:bottom w:val="single" w:color="auto" w:sz="2" w:space="0"/>
              <w:right w:val="single" w:color="auto" w:sz="2" w:space="0"/>
            </w:tcBorders>
            <w:vAlign w:val="center"/>
          </w:tcPr>
          <w:p w14:paraId="41DD018A">
            <w:pPr>
              <w:spacing w:line="240" w:lineRule="exact"/>
              <w:jc w:val="right"/>
              <w:rPr>
                <w:rFonts w:ascii="宋体" w:hAnsi="宋体" w:eastAsia="宋体" w:cs="宋体"/>
                <w:sz w:val="18"/>
                <w:szCs w:val="18"/>
              </w:rPr>
            </w:pPr>
            <w:r>
              <w:rPr>
                <w:rFonts w:ascii="宋体" w:hAnsi="宋体" w:eastAsia="宋体" w:cs="宋体"/>
                <w:sz w:val="18"/>
                <w:szCs w:val="18"/>
              </w:rPr>
              <w:t>45,357,313.91</w:t>
            </w:r>
          </w:p>
        </w:tc>
        <w:tc>
          <w:tcPr>
            <w:tcW w:w="1928" w:type="dxa"/>
            <w:tcBorders>
              <w:top w:val="single" w:color="auto" w:sz="2" w:space="0"/>
              <w:left w:val="single" w:color="auto" w:sz="2" w:space="0"/>
              <w:bottom w:val="single" w:color="auto" w:sz="2" w:space="0"/>
              <w:right w:val="single" w:color="auto" w:sz="2" w:space="0"/>
            </w:tcBorders>
            <w:vAlign w:val="center"/>
          </w:tcPr>
          <w:p w14:paraId="3D00BB8E">
            <w:pPr>
              <w:spacing w:line="240" w:lineRule="exact"/>
              <w:jc w:val="right"/>
              <w:rPr>
                <w:rFonts w:ascii="宋体" w:hAnsi="宋体" w:eastAsia="宋体" w:cs="宋体"/>
                <w:sz w:val="18"/>
                <w:szCs w:val="18"/>
              </w:rPr>
            </w:pPr>
            <w:r>
              <w:rPr>
                <w:rFonts w:ascii="宋体" w:hAnsi="宋体" w:eastAsia="宋体" w:cs="宋体"/>
                <w:sz w:val="18"/>
                <w:szCs w:val="18"/>
              </w:rPr>
              <w:t>92,126,537.96</w:t>
            </w:r>
          </w:p>
        </w:tc>
        <w:tc>
          <w:tcPr>
            <w:tcW w:w="1928" w:type="dxa"/>
            <w:tcBorders>
              <w:top w:val="single" w:color="auto" w:sz="2" w:space="0"/>
              <w:left w:val="single" w:color="auto" w:sz="2" w:space="0"/>
              <w:bottom w:val="single" w:color="auto" w:sz="2" w:space="0"/>
              <w:right w:val="single" w:color="auto" w:sz="2" w:space="0"/>
            </w:tcBorders>
            <w:vAlign w:val="center"/>
          </w:tcPr>
          <w:p w14:paraId="626DCBF8">
            <w:pPr>
              <w:spacing w:line="240" w:lineRule="exact"/>
              <w:jc w:val="right"/>
              <w:rPr>
                <w:rFonts w:ascii="宋体" w:hAnsi="宋体" w:eastAsia="宋体" w:cs="宋体"/>
                <w:sz w:val="18"/>
                <w:szCs w:val="18"/>
              </w:rPr>
            </w:pPr>
            <w:r>
              <w:rPr>
                <w:rFonts w:ascii="宋体" w:hAnsi="宋体" w:eastAsia="宋体" w:cs="宋体"/>
                <w:sz w:val="18"/>
                <w:szCs w:val="18"/>
              </w:rPr>
              <w:t>45,052,444.97</w:t>
            </w:r>
          </w:p>
        </w:tc>
        <w:tc>
          <w:tcPr>
            <w:tcW w:w="1928" w:type="dxa"/>
            <w:tcBorders>
              <w:top w:val="single" w:color="auto" w:sz="2" w:space="0"/>
              <w:left w:val="single" w:color="auto" w:sz="2" w:space="0"/>
              <w:bottom w:val="single" w:color="auto" w:sz="2" w:space="0"/>
              <w:right w:val="single" w:color="auto" w:sz="2" w:space="0"/>
            </w:tcBorders>
            <w:vAlign w:val="center"/>
          </w:tcPr>
          <w:p w14:paraId="5F79254C">
            <w:pPr>
              <w:spacing w:line="240" w:lineRule="exact"/>
              <w:jc w:val="right"/>
              <w:rPr>
                <w:rFonts w:ascii="宋体" w:hAnsi="宋体" w:eastAsia="宋体" w:cs="宋体"/>
                <w:sz w:val="18"/>
                <w:szCs w:val="18"/>
              </w:rPr>
            </w:pPr>
            <w:r>
              <w:rPr>
                <w:rFonts w:ascii="宋体" w:hAnsi="宋体" w:eastAsia="宋体" w:cs="宋体"/>
                <w:sz w:val="18"/>
                <w:szCs w:val="18"/>
              </w:rPr>
              <w:t>96,471,869.93</w:t>
            </w:r>
          </w:p>
        </w:tc>
      </w:tr>
      <w:tr w14:paraId="59F41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9803433">
            <w:pPr>
              <w:spacing w:before="40" w:after="40" w:line="240" w:lineRule="exact"/>
              <w:rPr>
                <w:rFonts w:ascii="宋体" w:hAnsi="宋体" w:eastAsia="宋体" w:cs="宋体"/>
                <w:sz w:val="18"/>
                <w:szCs w:val="18"/>
              </w:rPr>
            </w:pPr>
            <w:r>
              <w:rPr>
                <w:rFonts w:ascii="宋体" w:hAnsi="宋体" w:eastAsia="宋体" w:cs="宋体"/>
                <w:sz w:val="18"/>
                <w:szCs w:val="18"/>
              </w:rPr>
              <w:t>按持股比例计算的净资产份额</w:t>
            </w:r>
          </w:p>
        </w:tc>
        <w:tc>
          <w:tcPr>
            <w:tcW w:w="1928" w:type="dxa"/>
            <w:tcBorders>
              <w:top w:val="single" w:color="auto" w:sz="2" w:space="0"/>
              <w:left w:val="single" w:color="auto" w:sz="2" w:space="0"/>
              <w:bottom w:val="single" w:color="auto" w:sz="2" w:space="0"/>
              <w:right w:val="single" w:color="auto" w:sz="2" w:space="0"/>
            </w:tcBorders>
            <w:vAlign w:val="center"/>
          </w:tcPr>
          <w:p w14:paraId="31E2A34D">
            <w:pPr>
              <w:spacing w:line="240" w:lineRule="exact"/>
              <w:jc w:val="right"/>
              <w:rPr>
                <w:rFonts w:ascii="宋体" w:hAnsi="宋体" w:eastAsia="宋体" w:cs="宋体"/>
                <w:sz w:val="18"/>
                <w:szCs w:val="18"/>
              </w:rPr>
            </w:pPr>
            <w:r>
              <w:rPr>
                <w:rFonts w:ascii="宋体" w:hAnsi="宋体" w:eastAsia="宋体" w:cs="宋体"/>
                <w:sz w:val="18"/>
                <w:szCs w:val="18"/>
              </w:rPr>
              <w:t>20,410,790.81</w:t>
            </w:r>
          </w:p>
        </w:tc>
        <w:tc>
          <w:tcPr>
            <w:tcW w:w="1928" w:type="dxa"/>
            <w:tcBorders>
              <w:top w:val="single" w:color="auto" w:sz="2" w:space="0"/>
              <w:left w:val="single" w:color="auto" w:sz="2" w:space="0"/>
              <w:bottom w:val="single" w:color="auto" w:sz="2" w:space="0"/>
              <w:right w:val="single" w:color="auto" w:sz="2" w:space="0"/>
            </w:tcBorders>
            <w:vAlign w:val="center"/>
          </w:tcPr>
          <w:p w14:paraId="5C8374E8">
            <w:pPr>
              <w:spacing w:line="240" w:lineRule="exact"/>
              <w:jc w:val="right"/>
              <w:rPr>
                <w:rFonts w:ascii="宋体" w:hAnsi="宋体" w:eastAsia="宋体" w:cs="宋体"/>
                <w:sz w:val="18"/>
                <w:szCs w:val="18"/>
              </w:rPr>
            </w:pPr>
            <w:r>
              <w:rPr>
                <w:rFonts w:ascii="宋体" w:hAnsi="宋体" w:eastAsia="宋体" w:cs="宋体"/>
                <w:sz w:val="18"/>
                <w:szCs w:val="18"/>
              </w:rPr>
              <w:t>36,850,615.18</w:t>
            </w:r>
          </w:p>
        </w:tc>
        <w:tc>
          <w:tcPr>
            <w:tcW w:w="1928" w:type="dxa"/>
            <w:tcBorders>
              <w:top w:val="single" w:color="auto" w:sz="2" w:space="0"/>
              <w:left w:val="single" w:color="auto" w:sz="2" w:space="0"/>
              <w:bottom w:val="single" w:color="auto" w:sz="2" w:space="0"/>
              <w:right w:val="single" w:color="auto" w:sz="2" w:space="0"/>
            </w:tcBorders>
            <w:vAlign w:val="center"/>
          </w:tcPr>
          <w:p w14:paraId="510E6360">
            <w:pPr>
              <w:spacing w:line="240" w:lineRule="exact"/>
              <w:jc w:val="right"/>
              <w:rPr>
                <w:rFonts w:ascii="宋体" w:hAnsi="宋体" w:eastAsia="宋体" w:cs="宋体"/>
                <w:sz w:val="18"/>
                <w:szCs w:val="18"/>
              </w:rPr>
            </w:pPr>
            <w:r>
              <w:rPr>
                <w:rFonts w:ascii="宋体" w:hAnsi="宋体" w:eastAsia="宋体" w:cs="宋体"/>
                <w:sz w:val="18"/>
                <w:szCs w:val="18"/>
              </w:rPr>
              <w:t>31,190,150.47</w:t>
            </w:r>
          </w:p>
        </w:tc>
        <w:tc>
          <w:tcPr>
            <w:tcW w:w="1928" w:type="dxa"/>
            <w:tcBorders>
              <w:top w:val="single" w:color="auto" w:sz="2" w:space="0"/>
              <w:left w:val="single" w:color="auto" w:sz="2" w:space="0"/>
              <w:bottom w:val="single" w:color="auto" w:sz="2" w:space="0"/>
              <w:right w:val="single" w:color="auto" w:sz="2" w:space="0"/>
            </w:tcBorders>
            <w:vAlign w:val="center"/>
          </w:tcPr>
          <w:p w14:paraId="68777756">
            <w:pPr>
              <w:spacing w:line="240" w:lineRule="exact"/>
              <w:jc w:val="right"/>
              <w:rPr>
                <w:rFonts w:ascii="宋体" w:hAnsi="宋体" w:eastAsia="宋体" w:cs="宋体"/>
                <w:sz w:val="18"/>
                <w:szCs w:val="18"/>
              </w:rPr>
            </w:pPr>
            <w:r>
              <w:rPr>
                <w:rFonts w:ascii="宋体" w:hAnsi="宋体" w:eastAsia="宋体" w:cs="宋体"/>
                <w:sz w:val="18"/>
                <w:szCs w:val="18"/>
              </w:rPr>
              <w:t>38,588,747.97</w:t>
            </w:r>
          </w:p>
        </w:tc>
      </w:tr>
      <w:tr w14:paraId="51FAA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E0B4D2F">
            <w:pPr>
              <w:spacing w:before="40" w:after="40" w:line="240" w:lineRule="exact"/>
              <w:rPr>
                <w:rFonts w:ascii="宋体" w:hAnsi="宋体" w:eastAsia="宋体" w:cs="宋体"/>
                <w:sz w:val="18"/>
                <w:szCs w:val="18"/>
              </w:rPr>
            </w:pPr>
            <w:r>
              <w:rPr>
                <w:rFonts w:ascii="宋体" w:hAnsi="宋体" w:eastAsia="宋体" w:cs="宋体"/>
                <w:sz w:val="18"/>
                <w:szCs w:val="18"/>
              </w:rPr>
              <w:t>调整事项</w:t>
            </w:r>
          </w:p>
        </w:tc>
        <w:tc>
          <w:tcPr>
            <w:tcW w:w="1928" w:type="dxa"/>
            <w:tcBorders>
              <w:top w:val="single" w:color="auto" w:sz="2" w:space="0"/>
              <w:left w:val="single" w:color="auto" w:sz="2" w:space="0"/>
              <w:bottom w:val="single" w:color="auto" w:sz="2" w:space="0"/>
              <w:right w:val="single" w:color="auto" w:sz="2" w:space="0"/>
            </w:tcBorders>
            <w:vAlign w:val="center"/>
          </w:tcPr>
          <w:p w14:paraId="1969046E">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B044555">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85F41D4">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ABDAB7E">
            <w:pPr>
              <w:spacing w:line="240" w:lineRule="exact"/>
              <w:jc w:val="right"/>
              <w:rPr>
                <w:rFonts w:ascii="宋体" w:hAnsi="宋体" w:eastAsia="宋体" w:cs="宋体"/>
                <w:sz w:val="18"/>
                <w:szCs w:val="18"/>
              </w:rPr>
            </w:pPr>
          </w:p>
        </w:tc>
      </w:tr>
      <w:tr w14:paraId="17825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20E7845">
            <w:pPr>
              <w:spacing w:before="40" w:after="40" w:line="240" w:lineRule="exact"/>
              <w:rPr>
                <w:rFonts w:ascii="宋体" w:hAnsi="宋体" w:eastAsia="宋体" w:cs="宋体"/>
                <w:sz w:val="18"/>
                <w:szCs w:val="18"/>
              </w:rPr>
            </w:pPr>
            <w:r>
              <w:rPr>
                <w:rFonts w:ascii="宋体" w:hAnsi="宋体" w:eastAsia="宋体" w:cs="宋体"/>
                <w:sz w:val="18"/>
                <w:szCs w:val="18"/>
              </w:rPr>
              <w:t>--商誉</w:t>
            </w:r>
          </w:p>
        </w:tc>
        <w:tc>
          <w:tcPr>
            <w:tcW w:w="1928" w:type="dxa"/>
            <w:tcBorders>
              <w:top w:val="single" w:color="auto" w:sz="2" w:space="0"/>
              <w:left w:val="single" w:color="auto" w:sz="2" w:space="0"/>
              <w:bottom w:val="single" w:color="auto" w:sz="2" w:space="0"/>
              <w:right w:val="single" w:color="auto" w:sz="2" w:space="0"/>
            </w:tcBorders>
            <w:vAlign w:val="center"/>
          </w:tcPr>
          <w:p w14:paraId="2B387C55">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8290A36">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40C8ADC">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4BE3204">
            <w:pPr>
              <w:spacing w:line="240" w:lineRule="exact"/>
              <w:jc w:val="right"/>
              <w:rPr>
                <w:rFonts w:ascii="宋体" w:hAnsi="宋体" w:eastAsia="宋体" w:cs="宋体"/>
                <w:sz w:val="18"/>
                <w:szCs w:val="18"/>
              </w:rPr>
            </w:pPr>
          </w:p>
        </w:tc>
      </w:tr>
      <w:tr w14:paraId="21E8F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636B224">
            <w:pPr>
              <w:spacing w:before="40" w:after="40" w:line="240" w:lineRule="exact"/>
              <w:rPr>
                <w:rFonts w:ascii="宋体" w:hAnsi="宋体" w:eastAsia="宋体" w:cs="宋体"/>
                <w:sz w:val="18"/>
                <w:szCs w:val="18"/>
              </w:rPr>
            </w:pPr>
            <w:r>
              <w:rPr>
                <w:rFonts w:ascii="宋体" w:hAnsi="宋体" w:eastAsia="宋体" w:cs="宋体"/>
                <w:sz w:val="18"/>
                <w:szCs w:val="18"/>
              </w:rPr>
              <w:t>--内部交易未实现利润</w:t>
            </w:r>
          </w:p>
        </w:tc>
        <w:tc>
          <w:tcPr>
            <w:tcW w:w="1928" w:type="dxa"/>
            <w:tcBorders>
              <w:top w:val="single" w:color="auto" w:sz="2" w:space="0"/>
              <w:left w:val="single" w:color="auto" w:sz="2" w:space="0"/>
              <w:bottom w:val="single" w:color="auto" w:sz="2" w:space="0"/>
              <w:right w:val="single" w:color="auto" w:sz="2" w:space="0"/>
            </w:tcBorders>
            <w:vAlign w:val="center"/>
          </w:tcPr>
          <w:p w14:paraId="06625412">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17ADAD5">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55407AB">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56CF454">
            <w:pPr>
              <w:spacing w:line="240" w:lineRule="exact"/>
              <w:jc w:val="right"/>
              <w:rPr>
                <w:rFonts w:ascii="宋体" w:hAnsi="宋体" w:eastAsia="宋体" w:cs="宋体"/>
                <w:sz w:val="18"/>
                <w:szCs w:val="18"/>
              </w:rPr>
            </w:pPr>
          </w:p>
        </w:tc>
      </w:tr>
      <w:tr w14:paraId="4DB7E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BB3850B">
            <w:pPr>
              <w:spacing w:before="40" w:after="40" w:line="240" w:lineRule="exact"/>
              <w:rPr>
                <w:rFonts w:ascii="宋体" w:hAnsi="宋体" w:eastAsia="宋体" w:cs="宋体"/>
                <w:sz w:val="18"/>
                <w:szCs w:val="18"/>
              </w:rPr>
            </w:pPr>
            <w:r>
              <w:rPr>
                <w:rFonts w:ascii="宋体" w:hAnsi="宋体" w:eastAsia="宋体" w:cs="宋体"/>
                <w:sz w:val="18"/>
                <w:szCs w:val="18"/>
              </w:rPr>
              <w:t>--其他</w:t>
            </w:r>
          </w:p>
        </w:tc>
        <w:tc>
          <w:tcPr>
            <w:tcW w:w="1928" w:type="dxa"/>
            <w:tcBorders>
              <w:top w:val="single" w:color="auto" w:sz="2" w:space="0"/>
              <w:left w:val="single" w:color="auto" w:sz="2" w:space="0"/>
              <w:bottom w:val="single" w:color="auto" w:sz="2" w:space="0"/>
              <w:right w:val="single" w:color="auto" w:sz="2" w:space="0"/>
            </w:tcBorders>
            <w:vAlign w:val="center"/>
          </w:tcPr>
          <w:p w14:paraId="6283AC7D">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B3B587B">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8F1E631">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2C6F5E8">
            <w:pPr>
              <w:spacing w:line="240" w:lineRule="exact"/>
              <w:jc w:val="right"/>
              <w:rPr>
                <w:rFonts w:ascii="宋体" w:hAnsi="宋体" w:eastAsia="宋体" w:cs="宋体"/>
                <w:sz w:val="18"/>
                <w:szCs w:val="18"/>
              </w:rPr>
            </w:pPr>
          </w:p>
        </w:tc>
      </w:tr>
      <w:tr w14:paraId="7F821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189D362">
            <w:pPr>
              <w:spacing w:before="40" w:after="40" w:line="240" w:lineRule="exact"/>
              <w:rPr>
                <w:rFonts w:ascii="宋体" w:hAnsi="宋体" w:eastAsia="宋体" w:cs="宋体"/>
                <w:sz w:val="18"/>
                <w:szCs w:val="18"/>
              </w:rPr>
            </w:pPr>
            <w:r>
              <w:rPr>
                <w:rFonts w:ascii="宋体" w:hAnsi="宋体" w:eastAsia="宋体" w:cs="宋体"/>
                <w:sz w:val="18"/>
                <w:szCs w:val="18"/>
              </w:rPr>
              <w:t>对联营企业权益投资的账面价值</w:t>
            </w:r>
          </w:p>
        </w:tc>
        <w:tc>
          <w:tcPr>
            <w:tcW w:w="1928" w:type="dxa"/>
            <w:tcBorders>
              <w:top w:val="single" w:color="auto" w:sz="2" w:space="0"/>
              <w:left w:val="single" w:color="auto" w:sz="2" w:space="0"/>
              <w:bottom w:val="single" w:color="auto" w:sz="2" w:space="0"/>
              <w:right w:val="single" w:color="auto" w:sz="2" w:space="0"/>
            </w:tcBorders>
            <w:vAlign w:val="center"/>
          </w:tcPr>
          <w:p w14:paraId="10E28287">
            <w:pPr>
              <w:spacing w:line="240" w:lineRule="exact"/>
              <w:jc w:val="right"/>
              <w:rPr>
                <w:rFonts w:ascii="宋体" w:hAnsi="宋体" w:eastAsia="宋体" w:cs="宋体"/>
                <w:sz w:val="18"/>
                <w:szCs w:val="18"/>
              </w:rPr>
            </w:pPr>
            <w:r>
              <w:rPr>
                <w:rFonts w:ascii="宋体" w:hAnsi="宋体" w:eastAsia="宋体" w:cs="宋体"/>
                <w:sz w:val="18"/>
                <w:szCs w:val="18"/>
              </w:rPr>
              <w:t>45,183,843.02</w:t>
            </w:r>
          </w:p>
        </w:tc>
        <w:tc>
          <w:tcPr>
            <w:tcW w:w="1928" w:type="dxa"/>
            <w:tcBorders>
              <w:top w:val="single" w:color="auto" w:sz="2" w:space="0"/>
              <w:left w:val="single" w:color="auto" w:sz="2" w:space="0"/>
              <w:bottom w:val="single" w:color="auto" w:sz="2" w:space="0"/>
              <w:right w:val="single" w:color="auto" w:sz="2" w:space="0"/>
            </w:tcBorders>
            <w:vAlign w:val="center"/>
          </w:tcPr>
          <w:p w14:paraId="6088E112">
            <w:pPr>
              <w:spacing w:line="240" w:lineRule="exact"/>
              <w:jc w:val="right"/>
              <w:rPr>
                <w:rFonts w:ascii="宋体" w:hAnsi="宋体" w:eastAsia="宋体" w:cs="宋体"/>
                <w:sz w:val="18"/>
                <w:szCs w:val="18"/>
              </w:rPr>
            </w:pPr>
            <w:r>
              <w:rPr>
                <w:rFonts w:ascii="宋体" w:hAnsi="宋体" w:eastAsia="宋体" w:cs="宋体"/>
                <w:sz w:val="18"/>
                <w:szCs w:val="18"/>
              </w:rPr>
              <w:t>36,740,120.26</w:t>
            </w:r>
          </w:p>
        </w:tc>
        <w:tc>
          <w:tcPr>
            <w:tcW w:w="1928" w:type="dxa"/>
            <w:tcBorders>
              <w:top w:val="single" w:color="auto" w:sz="2" w:space="0"/>
              <w:left w:val="single" w:color="auto" w:sz="2" w:space="0"/>
              <w:bottom w:val="single" w:color="auto" w:sz="2" w:space="0"/>
              <w:right w:val="single" w:color="auto" w:sz="2" w:space="0"/>
            </w:tcBorders>
            <w:vAlign w:val="center"/>
          </w:tcPr>
          <w:p w14:paraId="032E65AF">
            <w:pPr>
              <w:spacing w:line="240" w:lineRule="exact"/>
              <w:jc w:val="right"/>
              <w:rPr>
                <w:rFonts w:ascii="宋体" w:hAnsi="宋体" w:eastAsia="宋体" w:cs="宋体"/>
                <w:sz w:val="18"/>
                <w:szCs w:val="18"/>
              </w:rPr>
            </w:pPr>
            <w:r>
              <w:rPr>
                <w:rFonts w:ascii="宋体" w:hAnsi="宋体" w:eastAsia="宋体" w:cs="宋体"/>
                <w:sz w:val="18"/>
                <w:szCs w:val="18"/>
              </w:rPr>
              <w:t>45,183,843.02</w:t>
            </w:r>
          </w:p>
        </w:tc>
        <w:tc>
          <w:tcPr>
            <w:tcW w:w="1928" w:type="dxa"/>
            <w:tcBorders>
              <w:top w:val="single" w:color="auto" w:sz="2" w:space="0"/>
              <w:left w:val="single" w:color="auto" w:sz="2" w:space="0"/>
              <w:bottom w:val="single" w:color="auto" w:sz="2" w:space="0"/>
              <w:right w:val="single" w:color="auto" w:sz="2" w:space="0"/>
            </w:tcBorders>
            <w:vAlign w:val="center"/>
          </w:tcPr>
          <w:p w14:paraId="03788CE4">
            <w:pPr>
              <w:spacing w:line="240" w:lineRule="exact"/>
              <w:jc w:val="right"/>
              <w:rPr>
                <w:rFonts w:ascii="宋体" w:hAnsi="宋体" w:eastAsia="宋体" w:cs="宋体"/>
                <w:sz w:val="18"/>
                <w:szCs w:val="18"/>
              </w:rPr>
            </w:pPr>
            <w:r>
              <w:rPr>
                <w:rFonts w:ascii="宋体" w:hAnsi="宋体" w:eastAsia="宋体" w:cs="宋体"/>
                <w:sz w:val="18"/>
                <w:szCs w:val="18"/>
              </w:rPr>
              <w:t>36,740,120.26</w:t>
            </w:r>
          </w:p>
        </w:tc>
      </w:tr>
      <w:tr w14:paraId="300FA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DE13262">
            <w:pPr>
              <w:spacing w:before="40" w:after="40" w:line="240" w:lineRule="exact"/>
              <w:rPr>
                <w:rFonts w:ascii="宋体" w:hAnsi="宋体" w:eastAsia="宋体" w:cs="宋体"/>
                <w:sz w:val="18"/>
                <w:szCs w:val="18"/>
              </w:rPr>
            </w:pPr>
            <w:r>
              <w:rPr>
                <w:rFonts w:ascii="宋体" w:hAnsi="宋体" w:eastAsia="宋体" w:cs="宋体"/>
                <w:sz w:val="18"/>
                <w:szCs w:val="18"/>
              </w:rPr>
              <w:t>存在公开报价的联营企业权益投资的公允价值</w:t>
            </w:r>
          </w:p>
        </w:tc>
        <w:tc>
          <w:tcPr>
            <w:tcW w:w="1928" w:type="dxa"/>
            <w:tcBorders>
              <w:top w:val="single" w:color="auto" w:sz="2" w:space="0"/>
              <w:left w:val="single" w:color="auto" w:sz="2" w:space="0"/>
              <w:bottom w:val="single" w:color="auto" w:sz="2" w:space="0"/>
              <w:right w:val="single" w:color="auto" w:sz="2" w:space="0"/>
            </w:tcBorders>
            <w:vAlign w:val="center"/>
          </w:tcPr>
          <w:p w14:paraId="265FF5D9">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066ED35">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CF3851E">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02EF11A">
            <w:pPr>
              <w:spacing w:line="240" w:lineRule="exact"/>
              <w:jc w:val="right"/>
              <w:rPr>
                <w:rFonts w:ascii="宋体" w:hAnsi="宋体" w:eastAsia="宋体" w:cs="宋体"/>
                <w:sz w:val="18"/>
                <w:szCs w:val="18"/>
              </w:rPr>
            </w:pPr>
          </w:p>
        </w:tc>
      </w:tr>
      <w:tr w14:paraId="534B5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9E65169">
            <w:pPr>
              <w:spacing w:before="40" w:after="40" w:line="240" w:lineRule="exact"/>
              <w:rPr>
                <w:rFonts w:ascii="宋体" w:hAnsi="宋体" w:eastAsia="宋体" w:cs="宋体"/>
                <w:sz w:val="18"/>
                <w:szCs w:val="18"/>
              </w:rPr>
            </w:pPr>
            <w:r>
              <w:rPr>
                <w:rFonts w:ascii="宋体" w:hAnsi="宋体" w:eastAsia="宋体" w:cs="宋体"/>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14:paraId="472E6B8A">
            <w:pPr>
              <w:spacing w:line="240" w:lineRule="exact"/>
              <w:jc w:val="right"/>
              <w:rPr>
                <w:rFonts w:ascii="宋体" w:hAnsi="宋体" w:eastAsia="宋体" w:cs="宋体"/>
                <w:sz w:val="18"/>
                <w:szCs w:val="18"/>
              </w:rPr>
            </w:pPr>
            <w:r>
              <w:rPr>
                <w:rFonts w:ascii="宋体" w:hAnsi="宋体" w:eastAsia="宋体" w:cs="宋体"/>
                <w:sz w:val="18"/>
                <w:szCs w:val="18"/>
              </w:rPr>
              <w:t>223,463,394.15</w:t>
            </w:r>
          </w:p>
        </w:tc>
        <w:tc>
          <w:tcPr>
            <w:tcW w:w="1928" w:type="dxa"/>
            <w:tcBorders>
              <w:top w:val="single" w:color="auto" w:sz="2" w:space="0"/>
              <w:left w:val="single" w:color="auto" w:sz="2" w:space="0"/>
              <w:bottom w:val="single" w:color="auto" w:sz="2" w:space="0"/>
              <w:right w:val="single" w:color="auto" w:sz="2" w:space="0"/>
            </w:tcBorders>
            <w:vAlign w:val="center"/>
          </w:tcPr>
          <w:p w14:paraId="7F0E789D">
            <w:pPr>
              <w:spacing w:line="240" w:lineRule="exact"/>
              <w:jc w:val="right"/>
              <w:rPr>
                <w:rFonts w:ascii="宋体" w:hAnsi="宋体" w:eastAsia="宋体" w:cs="宋体"/>
                <w:sz w:val="18"/>
                <w:szCs w:val="18"/>
              </w:rPr>
            </w:pPr>
            <w:r>
              <w:rPr>
                <w:rFonts w:ascii="宋体" w:hAnsi="宋体" w:eastAsia="宋体" w:cs="宋体"/>
                <w:sz w:val="18"/>
                <w:szCs w:val="18"/>
              </w:rPr>
              <w:t>116,127,378.07</w:t>
            </w:r>
          </w:p>
        </w:tc>
        <w:tc>
          <w:tcPr>
            <w:tcW w:w="1928" w:type="dxa"/>
            <w:tcBorders>
              <w:top w:val="single" w:color="auto" w:sz="2" w:space="0"/>
              <w:left w:val="single" w:color="auto" w:sz="2" w:space="0"/>
              <w:bottom w:val="single" w:color="auto" w:sz="2" w:space="0"/>
              <w:right w:val="single" w:color="auto" w:sz="2" w:space="0"/>
            </w:tcBorders>
            <w:vAlign w:val="center"/>
          </w:tcPr>
          <w:p w14:paraId="7F69EA41">
            <w:pPr>
              <w:spacing w:line="240" w:lineRule="exact"/>
              <w:jc w:val="right"/>
              <w:rPr>
                <w:rFonts w:ascii="宋体" w:hAnsi="宋体" w:eastAsia="宋体" w:cs="宋体"/>
                <w:sz w:val="18"/>
                <w:szCs w:val="18"/>
              </w:rPr>
            </w:pPr>
            <w:r>
              <w:rPr>
                <w:rFonts w:ascii="宋体" w:hAnsi="宋体" w:eastAsia="宋体" w:cs="宋体"/>
                <w:sz w:val="18"/>
                <w:szCs w:val="18"/>
              </w:rPr>
              <w:t>189,293,144.07</w:t>
            </w:r>
          </w:p>
        </w:tc>
        <w:tc>
          <w:tcPr>
            <w:tcW w:w="1928" w:type="dxa"/>
            <w:tcBorders>
              <w:top w:val="single" w:color="auto" w:sz="2" w:space="0"/>
              <w:left w:val="single" w:color="auto" w:sz="2" w:space="0"/>
              <w:bottom w:val="single" w:color="auto" w:sz="2" w:space="0"/>
              <w:right w:val="single" w:color="auto" w:sz="2" w:space="0"/>
            </w:tcBorders>
            <w:vAlign w:val="center"/>
          </w:tcPr>
          <w:p w14:paraId="03DDB124">
            <w:pPr>
              <w:spacing w:line="240" w:lineRule="exact"/>
              <w:jc w:val="right"/>
              <w:rPr>
                <w:rFonts w:ascii="宋体" w:hAnsi="宋体" w:eastAsia="宋体" w:cs="宋体"/>
                <w:sz w:val="18"/>
                <w:szCs w:val="18"/>
              </w:rPr>
            </w:pPr>
            <w:r>
              <w:rPr>
                <w:rFonts w:ascii="宋体" w:hAnsi="宋体" w:eastAsia="宋体" w:cs="宋体"/>
                <w:sz w:val="18"/>
                <w:szCs w:val="18"/>
              </w:rPr>
              <w:t>83,090,212.75</w:t>
            </w:r>
          </w:p>
        </w:tc>
      </w:tr>
      <w:tr w14:paraId="682F8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F3C4342">
            <w:pPr>
              <w:spacing w:before="40" w:after="40" w:line="240" w:lineRule="exact"/>
              <w:rPr>
                <w:rFonts w:ascii="宋体" w:hAnsi="宋体" w:eastAsia="宋体" w:cs="宋体"/>
                <w:sz w:val="18"/>
                <w:szCs w:val="18"/>
              </w:rPr>
            </w:pPr>
            <w:r>
              <w:rPr>
                <w:rFonts w:ascii="宋体" w:hAnsi="宋体" w:eastAsia="宋体" w:cs="宋体"/>
                <w:sz w:val="18"/>
                <w:szCs w:val="18"/>
              </w:rPr>
              <w:t>净利润</w:t>
            </w:r>
          </w:p>
        </w:tc>
        <w:tc>
          <w:tcPr>
            <w:tcW w:w="1928" w:type="dxa"/>
            <w:tcBorders>
              <w:top w:val="single" w:color="auto" w:sz="2" w:space="0"/>
              <w:left w:val="single" w:color="auto" w:sz="2" w:space="0"/>
              <w:bottom w:val="single" w:color="auto" w:sz="2" w:space="0"/>
              <w:right w:val="single" w:color="auto" w:sz="2" w:space="0"/>
            </w:tcBorders>
            <w:vAlign w:val="center"/>
          </w:tcPr>
          <w:p w14:paraId="7339CB0B">
            <w:pPr>
              <w:spacing w:line="240" w:lineRule="exact"/>
              <w:jc w:val="right"/>
              <w:rPr>
                <w:rFonts w:ascii="宋体" w:hAnsi="宋体" w:eastAsia="宋体" w:cs="宋体"/>
                <w:sz w:val="18"/>
                <w:szCs w:val="18"/>
              </w:rPr>
            </w:pPr>
            <w:r>
              <w:rPr>
                <w:rFonts w:ascii="宋体" w:hAnsi="宋体" w:eastAsia="宋体" w:cs="宋体"/>
                <w:sz w:val="18"/>
                <w:szCs w:val="18"/>
              </w:rPr>
              <w:t>304,892.34</w:t>
            </w:r>
          </w:p>
        </w:tc>
        <w:tc>
          <w:tcPr>
            <w:tcW w:w="1928" w:type="dxa"/>
            <w:tcBorders>
              <w:top w:val="single" w:color="auto" w:sz="2" w:space="0"/>
              <w:left w:val="single" w:color="auto" w:sz="2" w:space="0"/>
              <w:bottom w:val="single" w:color="auto" w:sz="2" w:space="0"/>
              <w:right w:val="single" w:color="auto" w:sz="2" w:space="0"/>
            </w:tcBorders>
            <w:vAlign w:val="center"/>
          </w:tcPr>
          <w:p w14:paraId="46A153D4">
            <w:pPr>
              <w:spacing w:line="240" w:lineRule="exact"/>
              <w:jc w:val="right"/>
              <w:rPr>
                <w:rFonts w:ascii="宋体" w:hAnsi="宋体" w:eastAsia="宋体" w:cs="宋体"/>
                <w:sz w:val="18"/>
                <w:szCs w:val="18"/>
              </w:rPr>
            </w:pPr>
            <w:r>
              <w:rPr>
                <w:rFonts w:ascii="宋体" w:hAnsi="宋体" w:eastAsia="宋体" w:cs="宋体"/>
                <w:sz w:val="18"/>
                <w:szCs w:val="18"/>
              </w:rPr>
              <w:t>-4,621,569.30</w:t>
            </w:r>
          </w:p>
        </w:tc>
        <w:tc>
          <w:tcPr>
            <w:tcW w:w="1928" w:type="dxa"/>
            <w:tcBorders>
              <w:top w:val="single" w:color="auto" w:sz="2" w:space="0"/>
              <w:left w:val="single" w:color="auto" w:sz="2" w:space="0"/>
              <w:bottom w:val="single" w:color="auto" w:sz="2" w:space="0"/>
              <w:right w:val="single" w:color="auto" w:sz="2" w:space="0"/>
            </w:tcBorders>
            <w:vAlign w:val="center"/>
          </w:tcPr>
          <w:p w14:paraId="2E9537E8">
            <w:pPr>
              <w:spacing w:line="240" w:lineRule="exact"/>
              <w:jc w:val="right"/>
              <w:rPr>
                <w:rFonts w:ascii="宋体" w:hAnsi="宋体" w:eastAsia="宋体" w:cs="宋体"/>
                <w:sz w:val="18"/>
                <w:szCs w:val="18"/>
              </w:rPr>
            </w:pPr>
            <w:r>
              <w:rPr>
                <w:rFonts w:ascii="宋体" w:hAnsi="宋体" w:eastAsia="宋体" w:cs="宋体"/>
                <w:sz w:val="18"/>
                <w:szCs w:val="18"/>
              </w:rPr>
              <w:t>9,256.81</w:t>
            </w:r>
          </w:p>
        </w:tc>
        <w:tc>
          <w:tcPr>
            <w:tcW w:w="1928" w:type="dxa"/>
            <w:tcBorders>
              <w:top w:val="single" w:color="auto" w:sz="2" w:space="0"/>
              <w:left w:val="single" w:color="auto" w:sz="2" w:space="0"/>
              <w:bottom w:val="single" w:color="auto" w:sz="2" w:space="0"/>
              <w:right w:val="single" w:color="auto" w:sz="2" w:space="0"/>
            </w:tcBorders>
            <w:vAlign w:val="center"/>
          </w:tcPr>
          <w:p w14:paraId="67BAA443">
            <w:pPr>
              <w:spacing w:line="240" w:lineRule="exact"/>
              <w:jc w:val="right"/>
              <w:rPr>
                <w:rFonts w:ascii="宋体" w:hAnsi="宋体" w:eastAsia="宋体" w:cs="宋体"/>
                <w:sz w:val="18"/>
                <w:szCs w:val="18"/>
              </w:rPr>
            </w:pPr>
            <w:r>
              <w:rPr>
                <w:rFonts w:ascii="宋体" w:hAnsi="宋体" w:eastAsia="宋体" w:cs="宋体"/>
                <w:sz w:val="18"/>
                <w:szCs w:val="18"/>
              </w:rPr>
              <w:t>-3,515,506.21</w:t>
            </w:r>
          </w:p>
        </w:tc>
      </w:tr>
      <w:tr w14:paraId="3200A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17A5E60">
            <w:pPr>
              <w:spacing w:before="40" w:after="40" w:line="240" w:lineRule="exact"/>
              <w:rPr>
                <w:rFonts w:ascii="宋体" w:hAnsi="宋体" w:eastAsia="宋体" w:cs="宋体"/>
                <w:sz w:val="18"/>
                <w:szCs w:val="18"/>
              </w:rPr>
            </w:pPr>
            <w:r>
              <w:rPr>
                <w:rFonts w:ascii="宋体" w:hAnsi="宋体" w:eastAsia="宋体" w:cs="宋体"/>
                <w:sz w:val="18"/>
                <w:szCs w:val="18"/>
              </w:rPr>
              <w:t>终止经营的净利润</w:t>
            </w:r>
          </w:p>
        </w:tc>
        <w:tc>
          <w:tcPr>
            <w:tcW w:w="1928" w:type="dxa"/>
            <w:tcBorders>
              <w:top w:val="single" w:color="auto" w:sz="2" w:space="0"/>
              <w:left w:val="single" w:color="auto" w:sz="2" w:space="0"/>
              <w:bottom w:val="single" w:color="auto" w:sz="2" w:space="0"/>
              <w:right w:val="single" w:color="auto" w:sz="2" w:space="0"/>
            </w:tcBorders>
            <w:vAlign w:val="center"/>
          </w:tcPr>
          <w:p w14:paraId="04CC7628">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D93136D">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75C47E1">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05CC6A7">
            <w:pPr>
              <w:spacing w:line="240" w:lineRule="exact"/>
              <w:jc w:val="right"/>
              <w:rPr>
                <w:rFonts w:ascii="宋体" w:hAnsi="宋体" w:eastAsia="宋体" w:cs="宋体"/>
                <w:sz w:val="18"/>
                <w:szCs w:val="18"/>
              </w:rPr>
            </w:pPr>
          </w:p>
        </w:tc>
      </w:tr>
      <w:tr w14:paraId="26814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BB5C05E">
            <w:pPr>
              <w:spacing w:before="40" w:after="40" w:line="240" w:lineRule="exact"/>
              <w:rPr>
                <w:rFonts w:ascii="宋体" w:hAnsi="宋体" w:eastAsia="宋体" w:cs="宋体"/>
                <w:sz w:val="18"/>
                <w:szCs w:val="18"/>
              </w:rPr>
            </w:pPr>
            <w:r>
              <w:rPr>
                <w:rFonts w:ascii="宋体" w:hAnsi="宋体" w:eastAsia="宋体" w:cs="宋体"/>
                <w:sz w:val="18"/>
                <w:szCs w:val="18"/>
              </w:rPr>
              <w:t>其他综合收益</w:t>
            </w:r>
          </w:p>
        </w:tc>
        <w:tc>
          <w:tcPr>
            <w:tcW w:w="1928" w:type="dxa"/>
            <w:tcBorders>
              <w:top w:val="single" w:color="auto" w:sz="2" w:space="0"/>
              <w:left w:val="single" w:color="auto" w:sz="2" w:space="0"/>
              <w:bottom w:val="single" w:color="auto" w:sz="2" w:space="0"/>
              <w:right w:val="single" w:color="auto" w:sz="2" w:space="0"/>
            </w:tcBorders>
            <w:vAlign w:val="center"/>
          </w:tcPr>
          <w:p w14:paraId="4F6260EC">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D6A83AD">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9F2A70A">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A749747">
            <w:pPr>
              <w:spacing w:line="240" w:lineRule="exact"/>
              <w:jc w:val="right"/>
              <w:rPr>
                <w:rFonts w:ascii="宋体" w:hAnsi="宋体" w:eastAsia="宋体" w:cs="宋体"/>
                <w:sz w:val="18"/>
                <w:szCs w:val="18"/>
              </w:rPr>
            </w:pPr>
          </w:p>
        </w:tc>
      </w:tr>
      <w:tr w14:paraId="0A0FF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37BEA19">
            <w:pPr>
              <w:spacing w:before="40" w:after="40" w:line="240" w:lineRule="exact"/>
              <w:rPr>
                <w:rFonts w:ascii="宋体" w:hAnsi="宋体" w:eastAsia="宋体" w:cs="宋体"/>
                <w:sz w:val="18"/>
                <w:szCs w:val="18"/>
              </w:rPr>
            </w:pPr>
            <w:r>
              <w:rPr>
                <w:rFonts w:ascii="宋体" w:hAnsi="宋体" w:eastAsia="宋体" w:cs="宋体"/>
                <w:sz w:val="18"/>
                <w:szCs w:val="18"/>
              </w:rPr>
              <w:t>综合收益总额</w:t>
            </w:r>
          </w:p>
        </w:tc>
        <w:tc>
          <w:tcPr>
            <w:tcW w:w="1928" w:type="dxa"/>
            <w:tcBorders>
              <w:top w:val="single" w:color="auto" w:sz="2" w:space="0"/>
              <w:left w:val="single" w:color="auto" w:sz="2" w:space="0"/>
              <w:bottom w:val="single" w:color="auto" w:sz="2" w:space="0"/>
              <w:right w:val="single" w:color="auto" w:sz="2" w:space="0"/>
            </w:tcBorders>
            <w:vAlign w:val="center"/>
          </w:tcPr>
          <w:p w14:paraId="2DDF5388">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74F9B60">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F613A26">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CFD32A7">
            <w:pPr>
              <w:spacing w:line="240" w:lineRule="exact"/>
              <w:jc w:val="right"/>
              <w:rPr>
                <w:rFonts w:ascii="宋体" w:hAnsi="宋体" w:eastAsia="宋体" w:cs="宋体"/>
                <w:sz w:val="18"/>
                <w:szCs w:val="18"/>
              </w:rPr>
            </w:pPr>
          </w:p>
        </w:tc>
      </w:tr>
      <w:tr w14:paraId="496B5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8991A7D">
            <w:pPr>
              <w:spacing w:line="240" w:lineRule="exac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3EBA1D1">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56C3D10">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C01A5B6">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48D4CF3">
            <w:pPr>
              <w:spacing w:line="240" w:lineRule="exact"/>
              <w:jc w:val="right"/>
              <w:rPr>
                <w:rFonts w:ascii="宋体" w:hAnsi="宋体" w:eastAsia="宋体" w:cs="宋体"/>
                <w:sz w:val="18"/>
                <w:szCs w:val="18"/>
              </w:rPr>
            </w:pPr>
          </w:p>
        </w:tc>
      </w:tr>
      <w:tr w14:paraId="765B9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7BAFE5E">
            <w:pPr>
              <w:spacing w:before="40" w:after="40" w:line="240" w:lineRule="exact"/>
              <w:rPr>
                <w:rFonts w:ascii="宋体" w:hAnsi="宋体" w:eastAsia="宋体" w:cs="宋体"/>
                <w:sz w:val="18"/>
                <w:szCs w:val="18"/>
              </w:rPr>
            </w:pPr>
            <w:r>
              <w:rPr>
                <w:rFonts w:ascii="宋体" w:hAnsi="宋体" w:eastAsia="宋体" w:cs="宋体"/>
                <w:sz w:val="18"/>
                <w:szCs w:val="18"/>
              </w:rPr>
              <w:t>本年度收到的来自联营企业的股利</w:t>
            </w:r>
          </w:p>
        </w:tc>
        <w:tc>
          <w:tcPr>
            <w:tcW w:w="1928" w:type="dxa"/>
            <w:tcBorders>
              <w:top w:val="single" w:color="auto" w:sz="2" w:space="0"/>
              <w:left w:val="single" w:color="auto" w:sz="2" w:space="0"/>
              <w:bottom w:val="single" w:color="auto" w:sz="2" w:space="0"/>
              <w:right w:val="single" w:color="auto" w:sz="2" w:space="0"/>
            </w:tcBorders>
            <w:vAlign w:val="center"/>
          </w:tcPr>
          <w:p w14:paraId="5FEE538C">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AA43923">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19E60053">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7C5781EE">
            <w:pPr>
              <w:spacing w:line="240" w:lineRule="exact"/>
              <w:jc w:val="right"/>
              <w:rPr>
                <w:rFonts w:ascii="宋体" w:hAnsi="宋体" w:eastAsia="宋体" w:cs="宋体"/>
                <w:sz w:val="18"/>
                <w:szCs w:val="18"/>
              </w:rPr>
            </w:pPr>
          </w:p>
        </w:tc>
      </w:tr>
    </w:tbl>
    <w:p w14:paraId="769A48B0">
      <w:pPr>
        <w:spacing w:before="100" w:after="100" w:line="240" w:lineRule="exact"/>
        <w:rPr>
          <w:rFonts w:ascii="宋体" w:hAnsi="宋体" w:eastAsia="宋体" w:cs="宋体"/>
          <w:sz w:val="18"/>
          <w:szCs w:val="18"/>
        </w:rPr>
      </w:pPr>
      <w:r>
        <w:rPr>
          <w:rFonts w:ascii="宋体" w:hAnsi="宋体" w:eastAsia="宋体" w:cs="宋体"/>
          <w:sz w:val="18"/>
          <w:szCs w:val="18"/>
        </w:rPr>
        <w:t>其他说明：</w:t>
      </w:r>
    </w:p>
    <w:p w14:paraId="67F349C1">
      <w:pPr>
        <w:spacing w:before="100" w:after="100" w:line="240" w:lineRule="exact"/>
        <w:rPr>
          <w:rFonts w:ascii="宋体" w:hAnsi="宋体" w:eastAsia="宋体" w:cs="宋体"/>
          <w:sz w:val="18"/>
          <w:szCs w:val="18"/>
        </w:rPr>
      </w:pPr>
      <w:r>
        <w:rPr>
          <w:rFonts w:hint="eastAsia" w:ascii="宋体" w:hAnsi="宋体" w:eastAsia="宋体" w:cs="宋体"/>
          <w:sz w:val="18"/>
          <w:szCs w:val="18"/>
        </w:rPr>
        <w:t>联营企业福田实业</w:t>
      </w:r>
      <w:r>
        <w:rPr>
          <w:rFonts w:ascii="宋体" w:hAnsi="宋体" w:eastAsia="宋体" w:cs="宋体"/>
          <w:sz w:val="18"/>
          <w:szCs w:val="18"/>
        </w:rPr>
        <w:t>(</w:t>
      </w:r>
      <w:r>
        <w:rPr>
          <w:rFonts w:hint="eastAsia" w:ascii="宋体" w:hAnsi="宋体" w:eastAsia="宋体" w:cs="宋体"/>
          <w:sz w:val="18"/>
          <w:szCs w:val="18"/>
        </w:rPr>
        <w:t>集团</w:t>
      </w:r>
      <w:r>
        <w:rPr>
          <w:rFonts w:ascii="宋体" w:hAnsi="宋体" w:eastAsia="宋体" w:cs="宋体"/>
          <w:sz w:val="18"/>
          <w:szCs w:val="18"/>
        </w:rPr>
        <w:t>)</w:t>
      </w:r>
      <w:r>
        <w:rPr>
          <w:rFonts w:hint="eastAsia" w:ascii="宋体" w:hAnsi="宋体" w:eastAsia="宋体" w:cs="宋体"/>
          <w:sz w:val="18"/>
          <w:szCs w:val="18"/>
        </w:rPr>
        <w:t>有限公司（代码：</w:t>
      </w:r>
      <w:r>
        <w:rPr>
          <w:rFonts w:ascii="宋体" w:hAnsi="宋体" w:eastAsia="宋体" w:cs="宋体"/>
          <w:sz w:val="18"/>
          <w:szCs w:val="18"/>
        </w:rPr>
        <w:t>HK0420</w:t>
      </w:r>
      <w:r>
        <w:rPr>
          <w:rFonts w:hint="eastAsia" w:ascii="宋体" w:hAnsi="宋体" w:eastAsia="宋体" w:cs="宋体"/>
          <w:sz w:val="18"/>
          <w:szCs w:val="18"/>
        </w:rPr>
        <w:t>）主要财务信息详见香港披露易：</w:t>
      </w:r>
    </w:p>
    <w:p w14:paraId="29511FFD">
      <w:pPr>
        <w:spacing w:before="100" w:after="100" w:line="240" w:lineRule="exact"/>
        <w:rPr>
          <w:rFonts w:ascii="宋体" w:hAnsi="宋体" w:eastAsia="宋体" w:cs="宋体"/>
          <w:sz w:val="18"/>
          <w:szCs w:val="18"/>
        </w:rPr>
      </w:pPr>
      <w:r>
        <w:fldChar w:fldCharType="begin"/>
      </w:r>
      <w:r>
        <w:instrText xml:space="preserve"> HYPERLINK "https://www1.hkexnews.hk/listedco/listconews/sehk/2026/0319/2026031900357_c.pdf" </w:instrText>
      </w:r>
      <w:r>
        <w:fldChar w:fldCharType="separate"/>
      </w:r>
      <w:r>
        <w:rPr>
          <w:rFonts w:ascii="宋体" w:hAnsi="宋体" w:eastAsia="宋体" w:cs="宋体"/>
          <w:sz w:val="18"/>
          <w:szCs w:val="18"/>
        </w:rPr>
        <w:t>https://www1.hkexnews.hk/listedco/listconews/sehk/2026/0319/2026031900357_c.pdf</w:t>
      </w:r>
      <w:r>
        <w:rPr>
          <w:rFonts w:ascii="宋体" w:hAnsi="宋体" w:eastAsia="宋体" w:cs="宋体"/>
          <w:sz w:val="18"/>
          <w:szCs w:val="18"/>
        </w:rPr>
        <w:fldChar w:fldCharType="end"/>
      </w:r>
    </w:p>
    <w:p w14:paraId="5371E7BF">
      <w:pPr>
        <w:keepNext/>
        <w:keepLines/>
        <w:spacing w:before="300" w:after="300" w:line="280" w:lineRule="exact"/>
        <w:outlineLvl w:val="3"/>
        <w:rPr>
          <w:rFonts w:ascii="宋体" w:hAnsi="宋体" w:eastAsia="宋体" w:cs="宋体"/>
          <w:b/>
          <w:bCs/>
          <w:szCs w:val="21"/>
        </w:rPr>
      </w:pPr>
      <w:bookmarkStart w:id="528" w:name="_Toc989383"/>
      <w:r>
        <w:rPr>
          <w:rFonts w:ascii="宋体" w:hAnsi="宋体" w:eastAsia="宋体" w:cs="宋体"/>
          <w:b/>
          <w:bCs/>
          <w:szCs w:val="21"/>
        </w:rPr>
        <w:t>（4） 不重要的合营企业和联营企业的汇总财务信息</w:t>
      </w:r>
      <w:bookmarkEnd w:id="528"/>
    </w:p>
    <w:p w14:paraId="0519DF57">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4784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8C565B"/>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CFE66A">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B3C476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14:paraId="4E127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AF2BA41">
            <w:pPr>
              <w:spacing w:before="40" w:after="40" w:line="240" w:lineRule="exact"/>
              <w:rPr>
                <w:rFonts w:ascii="宋体" w:hAnsi="宋体" w:eastAsia="宋体" w:cs="宋体"/>
                <w:sz w:val="18"/>
                <w:szCs w:val="18"/>
              </w:rPr>
            </w:pPr>
            <w:r>
              <w:rPr>
                <w:rFonts w:ascii="宋体" w:hAnsi="宋体" w:eastAsia="宋体" w:cs="宋体"/>
                <w:sz w:val="18"/>
                <w:szCs w:val="18"/>
              </w:rPr>
              <w:t>合营企业：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79A4293"/>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75143E8"/>
        </w:tc>
      </w:tr>
      <w:tr w14:paraId="0AAFE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E17CC65">
            <w:pPr>
              <w:spacing w:before="40" w:after="40" w:line="240" w:lineRule="exact"/>
              <w:rPr>
                <w:rFonts w:ascii="宋体" w:hAnsi="宋体" w:eastAsia="宋体" w:cs="宋体"/>
                <w:sz w:val="18"/>
                <w:szCs w:val="18"/>
              </w:rPr>
            </w:pPr>
            <w:r>
              <w:rPr>
                <w:rFonts w:ascii="宋体" w:hAnsi="宋体" w:eastAsia="宋体" w:cs="宋体"/>
                <w:sz w:val="18"/>
                <w:szCs w:val="18"/>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079F8C5"/>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F45B835"/>
        </w:tc>
      </w:tr>
      <w:tr w14:paraId="0F893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99CED7">
            <w:pPr>
              <w:spacing w:before="40" w:after="40" w:line="240" w:lineRule="exact"/>
              <w:rPr>
                <w:rFonts w:ascii="宋体" w:hAnsi="宋体" w:eastAsia="宋体" w:cs="宋体"/>
                <w:sz w:val="18"/>
                <w:szCs w:val="18"/>
              </w:rPr>
            </w:pPr>
            <w:r>
              <w:rPr>
                <w:rFonts w:ascii="宋体" w:hAnsi="宋体" w:eastAsia="宋体" w:cs="宋体"/>
                <w:sz w:val="18"/>
                <w:szCs w:val="18"/>
              </w:rPr>
              <w:t>联营企业：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B9E1C22"/>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54BFD7"/>
        </w:tc>
      </w:tr>
      <w:tr w14:paraId="514D8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252CC9">
            <w:pPr>
              <w:spacing w:before="40" w:after="40" w:line="240" w:lineRule="exact"/>
              <w:rPr>
                <w:rFonts w:ascii="宋体" w:hAnsi="宋体" w:eastAsia="宋体" w:cs="宋体"/>
                <w:sz w:val="18"/>
                <w:szCs w:val="18"/>
              </w:rPr>
            </w:pPr>
            <w:r>
              <w:rPr>
                <w:rFonts w:ascii="宋体" w:hAnsi="宋体" w:eastAsia="宋体" w:cs="宋体"/>
                <w:sz w:val="18"/>
                <w:szCs w:val="18"/>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D76E836"/>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8E34557"/>
        </w:tc>
      </w:tr>
    </w:tbl>
    <w:p w14:paraId="2E6C6DAF">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7905B8DB">
      <w:pPr>
        <w:keepNext/>
        <w:keepLines/>
        <w:spacing w:before="300" w:after="300" w:line="280" w:lineRule="exact"/>
        <w:outlineLvl w:val="3"/>
        <w:rPr>
          <w:rFonts w:ascii="宋体" w:hAnsi="宋体" w:eastAsia="宋体" w:cs="宋体"/>
          <w:b/>
          <w:bCs/>
          <w:szCs w:val="21"/>
        </w:rPr>
      </w:pPr>
      <w:bookmarkStart w:id="529" w:name="_Toc989384"/>
      <w:r>
        <w:rPr>
          <w:rFonts w:ascii="宋体" w:hAnsi="宋体" w:eastAsia="宋体" w:cs="宋体"/>
          <w:b/>
          <w:bCs/>
          <w:szCs w:val="21"/>
        </w:rPr>
        <w:t>（5） 合营企业或联营企业向本公司转移资金的能力存在重大限制的说明</w:t>
      </w:r>
      <w:bookmarkEnd w:id="529"/>
    </w:p>
    <w:p w14:paraId="49AA2800">
      <w:pPr>
        <w:keepNext/>
        <w:keepLines/>
        <w:spacing w:before="300" w:after="300" w:line="280" w:lineRule="exact"/>
        <w:outlineLvl w:val="3"/>
        <w:rPr>
          <w:rFonts w:ascii="宋体" w:hAnsi="宋体" w:eastAsia="宋体" w:cs="宋体"/>
          <w:b/>
          <w:bCs/>
          <w:szCs w:val="21"/>
        </w:rPr>
      </w:pPr>
      <w:bookmarkStart w:id="530" w:name="_Toc989385"/>
      <w:r>
        <w:rPr>
          <w:rFonts w:ascii="宋体" w:hAnsi="宋体" w:eastAsia="宋体" w:cs="宋体"/>
          <w:b/>
          <w:bCs/>
          <w:szCs w:val="21"/>
        </w:rPr>
        <w:t>（6） 合营企业或联营企业发生的超额亏损</w:t>
      </w:r>
      <w:bookmarkEnd w:id="530"/>
    </w:p>
    <w:p w14:paraId="42F60F22">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2613CBB9">
      <w:pPr>
        <w:keepNext/>
        <w:keepLines/>
        <w:spacing w:before="300" w:after="300" w:line="280" w:lineRule="exact"/>
        <w:outlineLvl w:val="3"/>
        <w:rPr>
          <w:rFonts w:ascii="宋体" w:hAnsi="宋体" w:eastAsia="宋体" w:cs="宋体"/>
          <w:b/>
          <w:bCs/>
          <w:szCs w:val="21"/>
        </w:rPr>
      </w:pPr>
      <w:bookmarkStart w:id="531" w:name="_Toc989386"/>
      <w:r>
        <w:rPr>
          <w:rFonts w:ascii="宋体" w:hAnsi="宋体" w:eastAsia="宋体" w:cs="宋体"/>
          <w:b/>
          <w:bCs/>
          <w:szCs w:val="21"/>
        </w:rPr>
        <w:t>（7） 与合营企业投资相关的未确认承诺</w:t>
      </w:r>
      <w:bookmarkEnd w:id="531"/>
    </w:p>
    <w:p w14:paraId="06AA6400">
      <w:pPr>
        <w:rPr>
          <w:sz w:val="18"/>
          <w:szCs w:val="18"/>
        </w:rPr>
      </w:pPr>
    </w:p>
    <w:p w14:paraId="1215A9AA">
      <w:pPr>
        <w:keepNext/>
        <w:keepLines/>
        <w:spacing w:before="300" w:after="300" w:line="280" w:lineRule="exact"/>
        <w:outlineLvl w:val="3"/>
        <w:rPr>
          <w:rFonts w:ascii="宋体" w:hAnsi="宋体" w:eastAsia="宋体" w:cs="宋体"/>
          <w:b/>
          <w:bCs/>
          <w:szCs w:val="21"/>
        </w:rPr>
      </w:pPr>
      <w:bookmarkStart w:id="532" w:name="_Toc989387"/>
      <w:r>
        <w:rPr>
          <w:rFonts w:ascii="宋体" w:hAnsi="宋体" w:eastAsia="宋体" w:cs="宋体"/>
          <w:b/>
          <w:bCs/>
          <w:szCs w:val="21"/>
        </w:rPr>
        <w:t>（8） 与合营企业或联营企业投资相关的或有负债</w:t>
      </w:r>
      <w:bookmarkEnd w:id="532"/>
    </w:p>
    <w:p w14:paraId="0B6EBF0F">
      <w:pPr>
        <w:pStyle w:val="3"/>
        <w:spacing w:line="280" w:lineRule="exact"/>
        <w:jc w:val="left"/>
        <w:rPr>
          <w:rFonts w:ascii="宋体" w:hAnsi="宋体" w:cs="宋体"/>
          <w:b/>
          <w:bCs/>
        </w:rPr>
      </w:pPr>
      <w:bookmarkStart w:id="533" w:name="_Toc989388"/>
      <w:r>
        <w:rPr>
          <w:rFonts w:ascii="宋体" w:hAnsi="宋体" w:cs="宋体"/>
          <w:b/>
          <w:bCs/>
        </w:rPr>
        <w:t>4、重要的共同经营</w:t>
      </w:r>
      <w:bookmarkEnd w:id="533"/>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7"/>
        <w:gridCol w:w="1607"/>
        <w:gridCol w:w="1606"/>
        <w:gridCol w:w="1606"/>
        <w:gridCol w:w="1606"/>
        <w:gridCol w:w="1607"/>
      </w:tblGrid>
      <w:tr w14:paraId="6B2CA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D748DDE">
            <w:pPr>
              <w:spacing w:before="40" w:after="40" w:line="240" w:lineRule="exact"/>
              <w:jc w:val="center"/>
              <w:rPr>
                <w:rFonts w:ascii="宋体" w:hAnsi="宋体" w:eastAsia="宋体" w:cs="宋体"/>
                <w:sz w:val="18"/>
                <w:szCs w:val="18"/>
              </w:rPr>
            </w:pPr>
            <w:r>
              <w:rPr>
                <w:rFonts w:ascii="宋体" w:hAnsi="宋体" w:eastAsia="宋体" w:cs="宋体"/>
                <w:sz w:val="18"/>
                <w:szCs w:val="18"/>
              </w:rPr>
              <w:t>共同经营名称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2C4CB03">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9D348D9">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C0C984A">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98F4A14">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持股比例/享有的份额</w:t>
            </w:r>
          </w:p>
        </w:tc>
      </w:tr>
      <w:tr w14:paraId="4A587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4E61043"/>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F9CFA77"/>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296469F"/>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5334E87"/>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84D8D72">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12FB1A8">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r>
    </w:tbl>
    <w:p w14:paraId="210B20C3">
      <w:pPr>
        <w:spacing w:before="100" w:after="100" w:line="240" w:lineRule="exact"/>
        <w:rPr>
          <w:rFonts w:ascii="宋体" w:hAnsi="宋体" w:eastAsia="宋体" w:cs="宋体"/>
          <w:sz w:val="18"/>
          <w:szCs w:val="18"/>
        </w:rPr>
      </w:pPr>
      <w:r>
        <w:rPr>
          <w:rFonts w:ascii="宋体" w:hAnsi="宋体" w:eastAsia="宋体" w:cs="宋体"/>
          <w:sz w:val="18"/>
          <w:szCs w:val="18"/>
        </w:rPr>
        <w:t>在共同经营中的持股比例或享有的份额不同于表决权比例的说明：</w:t>
      </w:r>
    </w:p>
    <w:p w14:paraId="73A2F336">
      <w:pPr>
        <w:spacing w:before="100" w:after="100" w:line="240" w:lineRule="exact"/>
        <w:rPr>
          <w:rFonts w:ascii="宋体" w:hAnsi="宋体" w:eastAsia="宋体" w:cs="宋体"/>
          <w:sz w:val="18"/>
          <w:szCs w:val="18"/>
        </w:rPr>
      </w:pPr>
      <w:r>
        <w:rPr>
          <w:rFonts w:ascii="宋体" w:hAnsi="宋体" w:eastAsia="宋体" w:cs="宋体"/>
          <w:sz w:val="18"/>
          <w:szCs w:val="18"/>
        </w:rPr>
        <w:t>共同经营为单独主体的，分类为共同经营的依据：</w:t>
      </w:r>
    </w:p>
    <w:p w14:paraId="7A1F8A10">
      <w:pPr>
        <w:spacing w:before="100" w:after="100" w:line="240" w:lineRule="exact"/>
        <w:rPr>
          <w:rFonts w:ascii="宋体" w:hAnsi="宋体" w:eastAsia="宋体" w:cs="宋体"/>
          <w:sz w:val="18"/>
          <w:szCs w:val="18"/>
        </w:rPr>
      </w:pPr>
      <w:r>
        <w:rPr>
          <w:rFonts w:ascii="宋体" w:hAnsi="宋体" w:eastAsia="宋体" w:cs="宋体"/>
          <w:sz w:val="18"/>
          <w:szCs w:val="18"/>
        </w:rPr>
        <w:t>其他说明：</w:t>
      </w:r>
    </w:p>
    <w:p w14:paraId="321D3C41">
      <w:pPr>
        <w:pStyle w:val="3"/>
        <w:spacing w:line="280" w:lineRule="exact"/>
        <w:jc w:val="left"/>
        <w:rPr>
          <w:rFonts w:ascii="宋体" w:hAnsi="宋体" w:cs="宋体"/>
          <w:b/>
          <w:bCs/>
        </w:rPr>
      </w:pPr>
      <w:bookmarkStart w:id="534" w:name="_Toc989389"/>
      <w:r>
        <w:rPr>
          <w:rFonts w:ascii="宋体" w:hAnsi="宋体" w:cs="宋体"/>
          <w:b/>
          <w:bCs/>
        </w:rPr>
        <w:t>5、在未纳入合并财务报表范围的结构化主体中的权益</w:t>
      </w:r>
      <w:bookmarkEnd w:id="534"/>
    </w:p>
    <w:p w14:paraId="27881B01">
      <w:pPr>
        <w:spacing w:before="100" w:after="100" w:line="240" w:lineRule="exact"/>
        <w:rPr>
          <w:rFonts w:ascii="宋体" w:hAnsi="宋体" w:eastAsia="宋体" w:cs="宋体"/>
          <w:sz w:val="18"/>
          <w:szCs w:val="18"/>
        </w:rPr>
      </w:pPr>
      <w:r>
        <w:rPr>
          <w:rFonts w:ascii="宋体" w:hAnsi="宋体" w:eastAsia="宋体" w:cs="宋体"/>
          <w:sz w:val="18"/>
          <w:szCs w:val="18"/>
        </w:rPr>
        <w:t>未纳入合并财务报表范围的结构化主体的相关说明：</w:t>
      </w:r>
    </w:p>
    <w:p w14:paraId="08765F35">
      <w:pPr>
        <w:pStyle w:val="3"/>
        <w:spacing w:line="280" w:lineRule="exact"/>
        <w:jc w:val="left"/>
        <w:rPr>
          <w:rFonts w:ascii="宋体" w:hAnsi="宋体" w:cs="宋体"/>
          <w:b/>
          <w:bCs/>
        </w:rPr>
      </w:pPr>
      <w:bookmarkStart w:id="535" w:name="_Toc989390"/>
      <w:r>
        <w:rPr>
          <w:rFonts w:ascii="宋体" w:hAnsi="宋体" w:cs="宋体"/>
          <w:b/>
          <w:bCs/>
        </w:rPr>
        <w:t>6、其他</w:t>
      </w:r>
      <w:bookmarkEnd w:id="535"/>
    </w:p>
    <w:p w14:paraId="2E6E42D6">
      <w:pPr>
        <w:pStyle w:val="2"/>
        <w:spacing w:before="300" w:after="300" w:line="320" w:lineRule="exact"/>
        <w:rPr>
          <w:rFonts w:ascii="宋体" w:hAnsi="宋体" w:eastAsia="宋体" w:cs="宋体"/>
          <w:b/>
          <w:bCs/>
          <w:sz w:val="24"/>
          <w:szCs w:val="24"/>
        </w:rPr>
      </w:pPr>
      <w:bookmarkStart w:id="536" w:name="_Toc989391"/>
      <w:r>
        <w:rPr>
          <w:rFonts w:ascii="宋体" w:hAnsi="宋体" w:eastAsia="宋体" w:cs="宋体"/>
          <w:b/>
          <w:bCs/>
          <w:sz w:val="24"/>
          <w:szCs w:val="24"/>
        </w:rPr>
        <w:t>十一、政府补助</w:t>
      </w:r>
      <w:bookmarkEnd w:id="536"/>
    </w:p>
    <w:p w14:paraId="21E0E8E7">
      <w:pPr>
        <w:pStyle w:val="3"/>
        <w:spacing w:line="280" w:lineRule="exact"/>
        <w:jc w:val="left"/>
        <w:rPr>
          <w:rFonts w:ascii="宋体" w:hAnsi="宋体" w:cs="宋体"/>
          <w:b/>
          <w:bCs/>
        </w:rPr>
      </w:pPr>
      <w:bookmarkStart w:id="537" w:name="_Toc989392"/>
      <w:r>
        <w:rPr>
          <w:rFonts w:ascii="宋体" w:hAnsi="宋体" w:cs="宋体"/>
          <w:b/>
          <w:bCs/>
        </w:rPr>
        <w:t>1、报告期末按应收金额确认的政府补助</w:t>
      </w:r>
      <w:bookmarkEnd w:id="537"/>
    </w:p>
    <w:p w14:paraId="3CF9DDD6">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6D919B01">
      <w:pPr>
        <w:spacing w:line="240" w:lineRule="exact"/>
        <w:rPr>
          <w:rFonts w:ascii="宋体" w:hAnsi="宋体" w:eastAsia="宋体" w:cs="宋体"/>
          <w:sz w:val="18"/>
          <w:szCs w:val="18"/>
        </w:rPr>
      </w:pPr>
      <w:r>
        <w:rPr>
          <w:rFonts w:ascii="宋体" w:hAnsi="宋体" w:eastAsia="宋体" w:cs="宋体"/>
          <w:sz w:val="18"/>
          <w:szCs w:val="18"/>
        </w:rPr>
        <w:t>应收款项的期末余额：88,536,103.09元。</w:t>
      </w:r>
    </w:p>
    <w:p w14:paraId="504B6ADF">
      <w:pPr>
        <w:spacing w:line="240" w:lineRule="exact"/>
        <w:rPr>
          <w:rFonts w:ascii="宋体" w:hAnsi="宋体" w:eastAsia="宋体" w:cs="宋体"/>
          <w:sz w:val="18"/>
          <w:szCs w:val="18"/>
        </w:rPr>
      </w:pPr>
      <w:r>
        <w:rPr>
          <w:rFonts w:ascii="宋体" w:hAnsi="宋体" w:eastAsia="宋体" w:cs="宋体"/>
          <w:sz w:val="18"/>
          <w:szCs w:val="18"/>
        </w:rPr>
        <w:t>未能在预计时点收到预计金额的政府补助的原因</w:t>
      </w:r>
    </w:p>
    <w:p w14:paraId="0C8A40CF">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73DECE2">
      <w:pPr>
        <w:pStyle w:val="3"/>
        <w:spacing w:line="280" w:lineRule="exact"/>
        <w:jc w:val="left"/>
        <w:rPr>
          <w:rFonts w:ascii="宋体" w:hAnsi="宋体" w:cs="宋体"/>
          <w:b/>
          <w:bCs/>
        </w:rPr>
      </w:pPr>
      <w:bookmarkStart w:id="538" w:name="_Toc989393"/>
      <w:r>
        <w:rPr>
          <w:rFonts w:ascii="宋体" w:hAnsi="宋体" w:cs="宋体"/>
          <w:b/>
          <w:bCs/>
        </w:rPr>
        <w:t>2、涉及政府补助的负债项目</w:t>
      </w:r>
      <w:bookmarkEnd w:id="538"/>
    </w:p>
    <w:p w14:paraId="11EE97E2">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44BD939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14:paraId="74D8C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733C3AF">
            <w:pPr>
              <w:spacing w:before="40" w:after="40" w:line="240" w:lineRule="exact"/>
              <w:jc w:val="center"/>
              <w:rPr>
                <w:rFonts w:ascii="宋体" w:hAnsi="宋体" w:eastAsia="宋体" w:cs="宋体"/>
                <w:sz w:val="18"/>
                <w:szCs w:val="18"/>
              </w:rPr>
            </w:pPr>
            <w:r>
              <w:rPr>
                <w:rFonts w:ascii="宋体" w:hAnsi="宋体" w:eastAsia="宋体" w:cs="宋体"/>
                <w:sz w:val="18"/>
                <w:szCs w:val="18"/>
              </w:rPr>
              <w:t>会计科目</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049B25C4">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2053B4D9">
            <w:pPr>
              <w:spacing w:before="40" w:after="40" w:line="240" w:lineRule="exact"/>
              <w:jc w:val="center"/>
              <w:rPr>
                <w:rFonts w:ascii="宋体" w:hAnsi="宋体" w:eastAsia="宋体" w:cs="宋体"/>
                <w:sz w:val="18"/>
                <w:szCs w:val="18"/>
              </w:rPr>
            </w:pPr>
            <w:r>
              <w:rPr>
                <w:rFonts w:ascii="宋体" w:hAnsi="宋体" w:eastAsia="宋体" w:cs="宋体"/>
                <w:sz w:val="18"/>
                <w:szCs w:val="18"/>
              </w:rPr>
              <w:t>本期新增补助金额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6CEA5C0B">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本期计入营业外收入金额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F4BC3B9">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本期转入其他收益金额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34CA06F1">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本期其他变动</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2170B1F4">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14:paraId="714D678E">
            <w:pPr>
              <w:spacing w:before="40" w:after="40" w:line="240" w:lineRule="exact"/>
              <w:jc w:val="center"/>
              <w:rPr>
                <w:rFonts w:ascii="宋体" w:hAnsi="宋体" w:eastAsia="宋体" w:cs="宋体"/>
                <w:sz w:val="18"/>
                <w:szCs w:val="18"/>
              </w:rPr>
            </w:pPr>
            <w:r>
              <w:rPr>
                <w:rFonts w:ascii="宋体" w:hAnsi="宋体" w:eastAsia="宋体" w:cs="宋体"/>
                <w:sz w:val="18"/>
                <w:szCs w:val="18"/>
              </w:rPr>
              <w:t>与资产/收益相关</w:t>
            </w:r>
          </w:p>
        </w:tc>
      </w:tr>
      <w:tr w14:paraId="118AF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85A949F">
            <w:pPr>
              <w:spacing w:line="240" w:lineRule="exact"/>
              <w:rPr>
                <w:rFonts w:ascii="宋体" w:hAnsi="宋体" w:eastAsia="宋体" w:cs="宋体"/>
                <w:sz w:val="18"/>
                <w:szCs w:val="18"/>
              </w:rPr>
            </w:pPr>
            <w:r>
              <w:rPr>
                <w:rFonts w:ascii="宋体" w:hAnsi="宋体" w:eastAsia="宋体" w:cs="宋体"/>
                <w:sz w:val="18"/>
                <w:szCs w:val="18"/>
              </w:rPr>
              <w:t>华孚时尚技改</w:t>
            </w:r>
          </w:p>
        </w:tc>
        <w:tc>
          <w:tcPr>
            <w:tcW w:w="1205" w:type="dxa"/>
            <w:tcBorders>
              <w:top w:val="single" w:color="auto" w:sz="2" w:space="0"/>
              <w:left w:val="single" w:color="auto" w:sz="2" w:space="0"/>
              <w:bottom w:val="single" w:color="auto" w:sz="2" w:space="0"/>
              <w:right w:val="single" w:color="auto" w:sz="2" w:space="0"/>
            </w:tcBorders>
            <w:vAlign w:val="center"/>
          </w:tcPr>
          <w:p w14:paraId="34735779">
            <w:pPr>
              <w:spacing w:line="240" w:lineRule="exact"/>
              <w:jc w:val="right"/>
              <w:rPr>
                <w:rFonts w:ascii="宋体" w:hAnsi="宋体" w:eastAsia="宋体" w:cs="宋体"/>
                <w:sz w:val="18"/>
                <w:szCs w:val="18"/>
              </w:rPr>
            </w:pPr>
            <w:r>
              <w:rPr>
                <w:rFonts w:ascii="宋体" w:hAnsi="宋体" w:eastAsia="宋体" w:cs="宋体"/>
                <w:sz w:val="18"/>
                <w:szCs w:val="18"/>
              </w:rPr>
              <w:t>40,176,000.00</w:t>
            </w:r>
          </w:p>
        </w:tc>
        <w:tc>
          <w:tcPr>
            <w:tcW w:w="1205" w:type="dxa"/>
            <w:tcBorders>
              <w:top w:val="single" w:color="auto" w:sz="2" w:space="0"/>
              <w:left w:val="single" w:color="auto" w:sz="2" w:space="0"/>
              <w:bottom w:val="single" w:color="auto" w:sz="2" w:space="0"/>
              <w:right w:val="single" w:color="auto" w:sz="2" w:space="0"/>
            </w:tcBorders>
            <w:vAlign w:val="center"/>
          </w:tcPr>
          <w:p w14:paraId="6EA958EA">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FEC62E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ACDE083">
            <w:pPr>
              <w:spacing w:line="240" w:lineRule="exact"/>
              <w:jc w:val="right"/>
              <w:rPr>
                <w:rFonts w:ascii="宋体" w:hAnsi="宋体" w:eastAsia="宋体" w:cs="宋体"/>
                <w:sz w:val="18"/>
                <w:szCs w:val="18"/>
              </w:rPr>
            </w:pPr>
            <w:r>
              <w:rPr>
                <w:rFonts w:ascii="宋体" w:hAnsi="宋体" w:eastAsia="宋体" w:cs="宋体"/>
                <w:sz w:val="18"/>
                <w:szCs w:val="18"/>
              </w:rPr>
              <w:t>4,464,000.00</w:t>
            </w:r>
          </w:p>
        </w:tc>
        <w:tc>
          <w:tcPr>
            <w:tcW w:w="1205" w:type="dxa"/>
            <w:tcBorders>
              <w:top w:val="single" w:color="auto" w:sz="2" w:space="0"/>
              <w:left w:val="single" w:color="auto" w:sz="2" w:space="0"/>
              <w:bottom w:val="single" w:color="auto" w:sz="2" w:space="0"/>
              <w:right w:val="single" w:color="auto" w:sz="2" w:space="0"/>
            </w:tcBorders>
            <w:vAlign w:val="center"/>
          </w:tcPr>
          <w:p w14:paraId="0091938E">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A973C57">
            <w:pPr>
              <w:spacing w:line="240" w:lineRule="exact"/>
              <w:jc w:val="right"/>
              <w:rPr>
                <w:rFonts w:ascii="宋体" w:hAnsi="宋体" w:eastAsia="宋体" w:cs="宋体"/>
                <w:sz w:val="18"/>
                <w:szCs w:val="18"/>
              </w:rPr>
            </w:pPr>
            <w:r>
              <w:rPr>
                <w:rFonts w:ascii="宋体" w:hAnsi="宋体" w:eastAsia="宋体" w:cs="宋体"/>
                <w:sz w:val="18"/>
                <w:szCs w:val="18"/>
              </w:rPr>
              <w:t>35,712,000.00</w:t>
            </w:r>
          </w:p>
        </w:tc>
        <w:tc>
          <w:tcPr>
            <w:tcW w:w="1205" w:type="dxa"/>
            <w:tcBorders>
              <w:top w:val="single" w:color="auto" w:sz="2" w:space="0"/>
              <w:left w:val="single" w:color="auto" w:sz="2" w:space="0"/>
              <w:bottom w:val="single" w:color="auto" w:sz="2" w:space="0"/>
              <w:right w:val="single" w:color="auto" w:sz="2" w:space="0"/>
            </w:tcBorders>
            <w:vAlign w:val="center"/>
          </w:tcPr>
          <w:p w14:paraId="285EDD4C">
            <w:pPr>
              <w:spacing w:line="240" w:lineRule="exact"/>
              <w:rPr>
                <w:rFonts w:ascii="宋体" w:hAnsi="宋体" w:eastAsia="宋体" w:cs="宋体"/>
                <w:sz w:val="18"/>
                <w:szCs w:val="18"/>
              </w:rPr>
            </w:pPr>
            <w:r>
              <w:rPr>
                <w:rFonts w:ascii="宋体" w:hAnsi="宋体" w:eastAsia="宋体" w:cs="宋体"/>
                <w:sz w:val="18"/>
                <w:szCs w:val="18"/>
              </w:rPr>
              <w:t>与资产相关</w:t>
            </w:r>
          </w:p>
        </w:tc>
      </w:tr>
      <w:tr w14:paraId="1E4C9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BEB1ED6">
            <w:pPr>
              <w:spacing w:line="240" w:lineRule="exact"/>
              <w:rPr>
                <w:rFonts w:ascii="宋体" w:hAnsi="宋体" w:eastAsia="宋体" w:cs="宋体"/>
                <w:sz w:val="18"/>
                <w:szCs w:val="18"/>
              </w:rPr>
            </w:pPr>
            <w:r>
              <w:rPr>
                <w:rFonts w:ascii="宋体" w:hAnsi="宋体" w:eastAsia="宋体" w:cs="宋体"/>
                <w:sz w:val="18"/>
                <w:szCs w:val="18"/>
              </w:rPr>
              <w:t>节能设备补贴</w:t>
            </w:r>
          </w:p>
        </w:tc>
        <w:tc>
          <w:tcPr>
            <w:tcW w:w="1205" w:type="dxa"/>
            <w:tcBorders>
              <w:top w:val="single" w:color="auto" w:sz="2" w:space="0"/>
              <w:left w:val="single" w:color="auto" w:sz="2" w:space="0"/>
              <w:bottom w:val="single" w:color="auto" w:sz="2" w:space="0"/>
              <w:right w:val="single" w:color="auto" w:sz="2" w:space="0"/>
            </w:tcBorders>
            <w:vAlign w:val="center"/>
          </w:tcPr>
          <w:p w14:paraId="74423636">
            <w:pPr>
              <w:spacing w:line="240" w:lineRule="exact"/>
              <w:jc w:val="right"/>
              <w:rPr>
                <w:rFonts w:ascii="宋体" w:hAnsi="宋体" w:eastAsia="宋体" w:cs="宋体"/>
                <w:sz w:val="18"/>
                <w:szCs w:val="18"/>
              </w:rPr>
            </w:pPr>
            <w:r>
              <w:rPr>
                <w:rFonts w:ascii="宋体" w:hAnsi="宋体" w:eastAsia="宋体" w:cs="宋体"/>
                <w:sz w:val="18"/>
                <w:szCs w:val="18"/>
              </w:rPr>
              <w:t>8,600,994.67</w:t>
            </w:r>
          </w:p>
        </w:tc>
        <w:tc>
          <w:tcPr>
            <w:tcW w:w="1205" w:type="dxa"/>
            <w:tcBorders>
              <w:top w:val="single" w:color="auto" w:sz="2" w:space="0"/>
              <w:left w:val="single" w:color="auto" w:sz="2" w:space="0"/>
              <w:bottom w:val="single" w:color="auto" w:sz="2" w:space="0"/>
              <w:right w:val="single" w:color="auto" w:sz="2" w:space="0"/>
            </w:tcBorders>
            <w:vAlign w:val="center"/>
          </w:tcPr>
          <w:p w14:paraId="34882C64">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9CA500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F855166">
            <w:pPr>
              <w:spacing w:line="240" w:lineRule="exact"/>
              <w:jc w:val="right"/>
              <w:rPr>
                <w:rFonts w:ascii="宋体" w:hAnsi="宋体" w:eastAsia="宋体" w:cs="宋体"/>
                <w:sz w:val="18"/>
                <w:szCs w:val="18"/>
              </w:rPr>
            </w:pPr>
            <w:r>
              <w:rPr>
                <w:rFonts w:ascii="宋体" w:hAnsi="宋体" w:eastAsia="宋体" w:cs="宋体"/>
                <w:sz w:val="18"/>
                <w:szCs w:val="18"/>
              </w:rPr>
              <w:t>494,952.00</w:t>
            </w:r>
          </w:p>
        </w:tc>
        <w:tc>
          <w:tcPr>
            <w:tcW w:w="1205" w:type="dxa"/>
            <w:tcBorders>
              <w:top w:val="single" w:color="auto" w:sz="2" w:space="0"/>
              <w:left w:val="single" w:color="auto" w:sz="2" w:space="0"/>
              <w:bottom w:val="single" w:color="auto" w:sz="2" w:space="0"/>
              <w:right w:val="single" w:color="auto" w:sz="2" w:space="0"/>
            </w:tcBorders>
            <w:vAlign w:val="center"/>
          </w:tcPr>
          <w:p w14:paraId="15F810C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729730D">
            <w:pPr>
              <w:spacing w:line="240" w:lineRule="exact"/>
              <w:jc w:val="right"/>
              <w:rPr>
                <w:rFonts w:ascii="宋体" w:hAnsi="宋体" w:eastAsia="宋体" w:cs="宋体"/>
                <w:sz w:val="18"/>
                <w:szCs w:val="18"/>
              </w:rPr>
            </w:pPr>
            <w:r>
              <w:rPr>
                <w:rFonts w:ascii="宋体" w:hAnsi="宋体" w:eastAsia="宋体" w:cs="宋体"/>
                <w:sz w:val="18"/>
                <w:szCs w:val="18"/>
              </w:rPr>
              <w:t>8,106,042.67</w:t>
            </w:r>
          </w:p>
        </w:tc>
        <w:tc>
          <w:tcPr>
            <w:tcW w:w="1205" w:type="dxa"/>
            <w:tcBorders>
              <w:top w:val="single" w:color="auto" w:sz="2" w:space="0"/>
              <w:left w:val="single" w:color="auto" w:sz="2" w:space="0"/>
              <w:bottom w:val="single" w:color="auto" w:sz="2" w:space="0"/>
              <w:right w:val="single" w:color="auto" w:sz="2" w:space="0"/>
            </w:tcBorders>
            <w:vAlign w:val="center"/>
          </w:tcPr>
          <w:p w14:paraId="13DD529F">
            <w:pPr>
              <w:spacing w:line="240" w:lineRule="exact"/>
              <w:rPr>
                <w:rFonts w:ascii="宋体" w:hAnsi="宋体" w:eastAsia="宋体" w:cs="宋体"/>
                <w:sz w:val="18"/>
                <w:szCs w:val="18"/>
              </w:rPr>
            </w:pPr>
            <w:r>
              <w:rPr>
                <w:rFonts w:ascii="宋体" w:hAnsi="宋体" w:eastAsia="宋体" w:cs="宋体"/>
                <w:sz w:val="18"/>
                <w:szCs w:val="18"/>
              </w:rPr>
              <w:t>与资产相关</w:t>
            </w:r>
          </w:p>
        </w:tc>
      </w:tr>
      <w:tr w14:paraId="317A2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62284013">
            <w:pPr>
              <w:spacing w:line="240" w:lineRule="exact"/>
              <w:rPr>
                <w:rFonts w:ascii="宋体" w:hAnsi="宋体" w:eastAsia="宋体" w:cs="宋体"/>
                <w:sz w:val="18"/>
                <w:szCs w:val="18"/>
              </w:rPr>
            </w:pPr>
            <w:r>
              <w:rPr>
                <w:rFonts w:ascii="宋体" w:hAnsi="宋体" w:eastAsia="宋体" w:cs="宋体"/>
                <w:sz w:val="18"/>
                <w:szCs w:val="18"/>
              </w:rPr>
              <w:t>新疆六孚基础设施配套款</w:t>
            </w:r>
          </w:p>
        </w:tc>
        <w:tc>
          <w:tcPr>
            <w:tcW w:w="1205" w:type="dxa"/>
            <w:tcBorders>
              <w:top w:val="single" w:color="auto" w:sz="2" w:space="0"/>
              <w:left w:val="single" w:color="auto" w:sz="2" w:space="0"/>
              <w:bottom w:val="single" w:color="auto" w:sz="2" w:space="0"/>
              <w:right w:val="single" w:color="auto" w:sz="2" w:space="0"/>
            </w:tcBorders>
            <w:vAlign w:val="center"/>
          </w:tcPr>
          <w:p w14:paraId="3D1FCCF4">
            <w:pPr>
              <w:spacing w:line="240" w:lineRule="exact"/>
              <w:jc w:val="right"/>
              <w:rPr>
                <w:rFonts w:ascii="宋体" w:hAnsi="宋体" w:eastAsia="宋体" w:cs="宋体"/>
                <w:sz w:val="18"/>
                <w:szCs w:val="18"/>
              </w:rPr>
            </w:pPr>
            <w:r>
              <w:rPr>
                <w:rFonts w:ascii="宋体" w:hAnsi="宋体" w:eastAsia="宋体" w:cs="宋体"/>
                <w:sz w:val="18"/>
                <w:szCs w:val="18"/>
              </w:rPr>
              <w:t>4,655,685.83</w:t>
            </w:r>
          </w:p>
        </w:tc>
        <w:tc>
          <w:tcPr>
            <w:tcW w:w="1205" w:type="dxa"/>
            <w:tcBorders>
              <w:top w:val="single" w:color="auto" w:sz="2" w:space="0"/>
              <w:left w:val="single" w:color="auto" w:sz="2" w:space="0"/>
              <w:bottom w:val="single" w:color="auto" w:sz="2" w:space="0"/>
              <w:right w:val="single" w:color="auto" w:sz="2" w:space="0"/>
            </w:tcBorders>
            <w:vAlign w:val="center"/>
          </w:tcPr>
          <w:p w14:paraId="2E06843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23E6E9B">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01727F4">
            <w:pPr>
              <w:spacing w:line="240" w:lineRule="exact"/>
              <w:jc w:val="right"/>
              <w:rPr>
                <w:rFonts w:ascii="宋体" w:hAnsi="宋体" w:eastAsia="宋体" w:cs="宋体"/>
                <w:sz w:val="18"/>
                <w:szCs w:val="18"/>
              </w:rPr>
            </w:pPr>
            <w:r>
              <w:rPr>
                <w:rFonts w:ascii="宋体" w:hAnsi="宋体" w:eastAsia="宋体" w:cs="宋体"/>
                <w:sz w:val="18"/>
                <w:szCs w:val="18"/>
              </w:rPr>
              <w:t>132,076.20</w:t>
            </w:r>
          </w:p>
        </w:tc>
        <w:tc>
          <w:tcPr>
            <w:tcW w:w="1205" w:type="dxa"/>
            <w:tcBorders>
              <w:top w:val="single" w:color="auto" w:sz="2" w:space="0"/>
              <w:left w:val="single" w:color="auto" w:sz="2" w:space="0"/>
              <w:bottom w:val="single" w:color="auto" w:sz="2" w:space="0"/>
              <w:right w:val="single" w:color="auto" w:sz="2" w:space="0"/>
            </w:tcBorders>
            <w:vAlign w:val="center"/>
          </w:tcPr>
          <w:p w14:paraId="1267A4FD">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2994545">
            <w:pPr>
              <w:spacing w:line="240" w:lineRule="exact"/>
              <w:jc w:val="right"/>
              <w:rPr>
                <w:rFonts w:ascii="宋体" w:hAnsi="宋体" w:eastAsia="宋体" w:cs="宋体"/>
                <w:sz w:val="18"/>
                <w:szCs w:val="18"/>
              </w:rPr>
            </w:pPr>
            <w:r>
              <w:rPr>
                <w:rFonts w:ascii="宋体" w:hAnsi="宋体" w:eastAsia="宋体" w:cs="宋体"/>
                <w:sz w:val="18"/>
                <w:szCs w:val="18"/>
              </w:rPr>
              <w:t>4,523,609.63</w:t>
            </w:r>
          </w:p>
        </w:tc>
        <w:tc>
          <w:tcPr>
            <w:tcW w:w="1205" w:type="dxa"/>
            <w:tcBorders>
              <w:top w:val="single" w:color="auto" w:sz="2" w:space="0"/>
              <w:left w:val="single" w:color="auto" w:sz="2" w:space="0"/>
              <w:bottom w:val="single" w:color="auto" w:sz="2" w:space="0"/>
              <w:right w:val="single" w:color="auto" w:sz="2" w:space="0"/>
            </w:tcBorders>
            <w:vAlign w:val="center"/>
          </w:tcPr>
          <w:p w14:paraId="1E78FD48">
            <w:pPr>
              <w:spacing w:line="240" w:lineRule="exact"/>
              <w:rPr>
                <w:rFonts w:ascii="宋体" w:hAnsi="宋体" w:eastAsia="宋体" w:cs="宋体"/>
                <w:sz w:val="18"/>
                <w:szCs w:val="18"/>
              </w:rPr>
            </w:pPr>
            <w:r>
              <w:rPr>
                <w:rFonts w:ascii="宋体" w:hAnsi="宋体" w:eastAsia="宋体" w:cs="宋体"/>
                <w:sz w:val="18"/>
                <w:szCs w:val="18"/>
              </w:rPr>
              <w:t>与资产相关</w:t>
            </w:r>
          </w:p>
        </w:tc>
      </w:tr>
      <w:tr w14:paraId="0A7AF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489E265">
            <w:pPr>
              <w:spacing w:line="240" w:lineRule="exact"/>
              <w:rPr>
                <w:rFonts w:ascii="宋体" w:hAnsi="宋体" w:eastAsia="宋体" w:cs="宋体"/>
                <w:sz w:val="18"/>
                <w:szCs w:val="18"/>
              </w:rPr>
            </w:pPr>
            <w:r>
              <w:rPr>
                <w:rFonts w:ascii="宋体" w:hAnsi="宋体" w:eastAsia="宋体" w:cs="宋体"/>
                <w:sz w:val="18"/>
                <w:szCs w:val="18"/>
              </w:rPr>
              <w:t>阿克苏华孚土地补贴款</w:t>
            </w:r>
          </w:p>
        </w:tc>
        <w:tc>
          <w:tcPr>
            <w:tcW w:w="1205" w:type="dxa"/>
            <w:tcBorders>
              <w:top w:val="single" w:color="auto" w:sz="2" w:space="0"/>
              <w:left w:val="single" w:color="auto" w:sz="2" w:space="0"/>
              <w:bottom w:val="single" w:color="auto" w:sz="2" w:space="0"/>
              <w:right w:val="single" w:color="auto" w:sz="2" w:space="0"/>
            </w:tcBorders>
            <w:vAlign w:val="center"/>
          </w:tcPr>
          <w:p w14:paraId="35C65B9A">
            <w:pPr>
              <w:spacing w:line="240" w:lineRule="exact"/>
              <w:jc w:val="right"/>
              <w:rPr>
                <w:rFonts w:ascii="宋体" w:hAnsi="宋体" w:eastAsia="宋体" w:cs="宋体"/>
                <w:sz w:val="18"/>
                <w:szCs w:val="18"/>
              </w:rPr>
            </w:pPr>
            <w:r>
              <w:rPr>
                <w:rFonts w:ascii="宋体" w:hAnsi="宋体" w:eastAsia="宋体" w:cs="宋体"/>
                <w:sz w:val="18"/>
                <w:szCs w:val="18"/>
              </w:rPr>
              <w:t>4,881,236.59</w:t>
            </w:r>
          </w:p>
        </w:tc>
        <w:tc>
          <w:tcPr>
            <w:tcW w:w="1205" w:type="dxa"/>
            <w:tcBorders>
              <w:top w:val="single" w:color="auto" w:sz="2" w:space="0"/>
              <w:left w:val="single" w:color="auto" w:sz="2" w:space="0"/>
              <w:bottom w:val="single" w:color="auto" w:sz="2" w:space="0"/>
              <w:right w:val="single" w:color="auto" w:sz="2" w:space="0"/>
            </w:tcBorders>
            <w:vAlign w:val="center"/>
          </w:tcPr>
          <w:p w14:paraId="6103404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7BC69D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C7B5A85">
            <w:pPr>
              <w:spacing w:line="240" w:lineRule="exact"/>
              <w:jc w:val="right"/>
              <w:rPr>
                <w:rFonts w:ascii="宋体" w:hAnsi="宋体" w:eastAsia="宋体" w:cs="宋体"/>
                <w:sz w:val="18"/>
                <w:szCs w:val="18"/>
              </w:rPr>
            </w:pPr>
            <w:r>
              <w:rPr>
                <w:rFonts w:ascii="宋体" w:hAnsi="宋体" w:eastAsia="宋体" w:cs="宋体"/>
                <w:sz w:val="18"/>
                <w:szCs w:val="18"/>
              </w:rPr>
              <w:t>133,427.89</w:t>
            </w:r>
          </w:p>
        </w:tc>
        <w:tc>
          <w:tcPr>
            <w:tcW w:w="1205" w:type="dxa"/>
            <w:tcBorders>
              <w:top w:val="single" w:color="auto" w:sz="2" w:space="0"/>
              <w:left w:val="single" w:color="auto" w:sz="2" w:space="0"/>
              <w:bottom w:val="single" w:color="auto" w:sz="2" w:space="0"/>
              <w:right w:val="single" w:color="auto" w:sz="2" w:space="0"/>
            </w:tcBorders>
            <w:vAlign w:val="center"/>
          </w:tcPr>
          <w:p w14:paraId="6BB67B0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AFE9B1B">
            <w:pPr>
              <w:spacing w:line="240" w:lineRule="exact"/>
              <w:jc w:val="right"/>
              <w:rPr>
                <w:rFonts w:ascii="宋体" w:hAnsi="宋体" w:eastAsia="宋体" w:cs="宋体"/>
                <w:sz w:val="18"/>
                <w:szCs w:val="18"/>
              </w:rPr>
            </w:pPr>
            <w:r>
              <w:rPr>
                <w:rFonts w:ascii="宋体" w:hAnsi="宋体" w:eastAsia="宋体" w:cs="宋体"/>
                <w:sz w:val="18"/>
                <w:szCs w:val="18"/>
              </w:rPr>
              <w:t>4,747,808.70</w:t>
            </w:r>
          </w:p>
        </w:tc>
        <w:tc>
          <w:tcPr>
            <w:tcW w:w="1205" w:type="dxa"/>
            <w:tcBorders>
              <w:top w:val="single" w:color="auto" w:sz="2" w:space="0"/>
              <w:left w:val="single" w:color="auto" w:sz="2" w:space="0"/>
              <w:bottom w:val="single" w:color="auto" w:sz="2" w:space="0"/>
              <w:right w:val="single" w:color="auto" w:sz="2" w:space="0"/>
            </w:tcBorders>
            <w:vAlign w:val="center"/>
          </w:tcPr>
          <w:p w14:paraId="165051EF">
            <w:pPr>
              <w:spacing w:line="240" w:lineRule="exact"/>
              <w:rPr>
                <w:rFonts w:ascii="宋体" w:hAnsi="宋体" w:eastAsia="宋体" w:cs="宋体"/>
                <w:sz w:val="18"/>
                <w:szCs w:val="18"/>
              </w:rPr>
            </w:pPr>
            <w:r>
              <w:rPr>
                <w:rFonts w:ascii="宋体" w:hAnsi="宋体" w:eastAsia="宋体" w:cs="宋体"/>
                <w:sz w:val="18"/>
                <w:szCs w:val="18"/>
              </w:rPr>
              <w:t>与资产相关</w:t>
            </w:r>
          </w:p>
        </w:tc>
      </w:tr>
      <w:tr w14:paraId="792DB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35535013">
            <w:pPr>
              <w:spacing w:line="240" w:lineRule="exact"/>
              <w:rPr>
                <w:rFonts w:ascii="宋体" w:hAnsi="宋体" w:eastAsia="宋体" w:cs="宋体"/>
                <w:sz w:val="18"/>
                <w:szCs w:val="18"/>
              </w:rPr>
            </w:pPr>
            <w:r>
              <w:rPr>
                <w:rFonts w:ascii="宋体" w:hAnsi="宋体" w:eastAsia="宋体" w:cs="宋体"/>
                <w:sz w:val="18"/>
                <w:szCs w:val="18"/>
              </w:rPr>
              <w:t>阿克苏华孚产业技术改造资金</w:t>
            </w:r>
          </w:p>
        </w:tc>
        <w:tc>
          <w:tcPr>
            <w:tcW w:w="1205" w:type="dxa"/>
            <w:tcBorders>
              <w:top w:val="single" w:color="auto" w:sz="2" w:space="0"/>
              <w:left w:val="single" w:color="auto" w:sz="2" w:space="0"/>
              <w:bottom w:val="single" w:color="auto" w:sz="2" w:space="0"/>
              <w:right w:val="single" w:color="auto" w:sz="2" w:space="0"/>
            </w:tcBorders>
            <w:vAlign w:val="center"/>
          </w:tcPr>
          <w:p w14:paraId="5F330C87">
            <w:pPr>
              <w:spacing w:line="240" w:lineRule="exact"/>
              <w:jc w:val="right"/>
              <w:rPr>
                <w:rFonts w:ascii="宋体" w:hAnsi="宋体" w:eastAsia="宋体" w:cs="宋体"/>
                <w:sz w:val="18"/>
                <w:szCs w:val="18"/>
              </w:rPr>
            </w:pPr>
            <w:r>
              <w:rPr>
                <w:rFonts w:ascii="宋体" w:hAnsi="宋体" w:eastAsia="宋体" w:cs="宋体"/>
                <w:sz w:val="18"/>
                <w:szCs w:val="18"/>
              </w:rPr>
              <w:t>7,183,388.67</w:t>
            </w:r>
          </w:p>
        </w:tc>
        <w:tc>
          <w:tcPr>
            <w:tcW w:w="1205" w:type="dxa"/>
            <w:tcBorders>
              <w:top w:val="single" w:color="auto" w:sz="2" w:space="0"/>
              <w:left w:val="single" w:color="auto" w:sz="2" w:space="0"/>
              <w:bottom w:val="single" w:color="auto" w:sz="2" w:space="0"/>
              <w:right w:val="single" w:color="auto" w:sz="2" w:space="0"/>
            </w:tcBorders>
            <w:vAlign w:val="center"/>
          </w:tcPr>
          <w:p w14:paraId="0327AF24">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984CC5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190759E">
            <w:pPr>
              <w:spacing w:line="240" w:lineRule="exact"/>
              <w:jc w:val="right"/>
              <w:rPr>
                <w:rFonts w:ascii="宋体" w:hAnsi="宋体" w:eastAsia="宋体" w:cs="宋体"/>
                <w:sz w:val="18"/>
                <w:szCs w:val="18"/>
              </w:rPr>
            </w:pPr>
            <w:r>
              <w:rPr>
                <w:rFonts w:ascii="宋体" w:hAnsi="宋体" w:eastAsia="宋体" w:cs="宋体"/>
                <w:sz w:val="18"/>
                <w:szCs w:val="18"/>
              </w:rPr>
              <w:t>560,000.03</w:t>
            </w:r>
          </w:p>
        </w:tc>
        <w:tc>
          <w:tcPr>
            <w:tcW w:w="1205" w:type="dxa"/>
            <w:tcBorders>
              <w:top w:val="single" w:color="auto" w:sz="2" w:space="0"/>
              <w:left w:val="single" w:color="auto" w:sz="2" w:space="0"/>
              <w:bottom w:val="single" w:color="auto" w:sz="2" w:space="0"/>
              <w:right w:val="single" w:color="auto" w:sz="2" w:space="0"/>
            </w:tcBorders>
            <w:vAlign w:val="center"/>
          </w:tcPr>
          <w:p w14:paraId="6FDD2998">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18CD357">
            <w:pPr>
              <w:spacing w:line="240" w:lineRule="exact"/>
              <w:jc w:val="right"/>
              <w:rPr>
                <w:rFonts w:ascii="宋体" w:hAnsi="宋体" w:eastAsia="宋体" w:cs="宋体"/>
                <w:sz w:val="18"/>
                <w:szCs w:val="18"/>
              </w:rPr>
            </w:pPr>
            <w:r>
              <w:rPr>
                <w:rFonts w:ascii="宋体" w:hAnsi="宋体" w:eastAsia="宋体" w:cs="宋体"/>
                <w:sz w:val="18"/>
                <w:szCs w:val="18"/>
              </w:rPr>
              <w:t>6,623,388.64</w:t>
            </w:r>
          </w:p>
        </w:tc>
        <w:tc>
          <w:tcPr>
            <w:tcW w:w="1205" w:type="dxa"/>
            <w:tcBorders>
              <w:top w:val="single" w:color="auto" w:sz="2" w:space="0"/>
              <w:left w:val="single" w:color="auto" w:sz="2" w:space="0"/>
              <w:bottom w:val="single" w:color="auto" w:sz="2" w:space="0"/>
              <w:right w:val="single" w:color="auto" w:sz="2" w:space="0"/>
            </w:tcBorders>
            <w:vAlign w:val="center"/>
          </w:tcPr>
          <w:p w14:paraId="146E6F8D">
            <w:pPr>
              <w:spacing w:line="240" w:lineRule="exact"/>
              <w:rPr>
                <w:rFonts w:ascii="宋体" w:hAnsi="宋体" w:eastAsia="宋体" w:cs="宋体"/>
                <w:sz w:val="18"/>
                <w:szCs w:val="18"/>
              </w:rPr>
            </w:pPr>
            <w:r>
              <w:rPr>
                <w:rFonts w:ascii="宋体" w:hAnsi="宋体" w:eastAsia="宋体" w:cs="宋体"/>
                <w:sz w:val="18"/>
                <w:szCs w:val="18"/>
              </w:rPr>
              <w:t>与资产相关</w:t>
            </w:r>
          </w:p>
        </w:tc>
      </w:tr>
      <w:tr w14:paraId="403C8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08351284">
            <w:pPr>
              <w:spacing w:line="240" w:lineRule="exact"/>
              <w:rPr>
                <w:rFonts w:ascii="宋体" w:hAnsi="宋体" w:eastAsia="宋体" w:cs="宋体"/>
                <w:sz w:val="18"/>
                <w:szCs w:val="18"/>
              </w:rPr>
            </w:pPr>
            <w:r>
              <w:rPr>
                <w:rFonts w:ascii="宋体" w:hAnsi="宋体" w:eastAsia="宋体" w:cs="宋体"/>
                <w:sz w:val="18"/>
                <w:szCs w:val="18"/>
              </w:rPr>
              <w:t>五家渠华孚色纱项目建设补助</w:t>
            </w:r>
          </w:p>
        </w:tc>
        <w:tc>
          <w:tcPr>
            <w:tcW w:w="1205" w:type="dxa"/>
            <w:tcBorders>
              <w:top w:val="single" w:color="auto" w:sz="2" w:space="0"/>
              <w:left w:val="single" w:color="auto" w:sz="2" w:space="0"/>
              <w:bottom w:val="single" w:color="auto" w:sz="2" w:space="0"/>
              <w:right w:val="single" w:color="auto" w:sz="2" w:space="0"/>
            </w:tcBorders>
            <w:vAlign w:val="center"/>
          </w:tcPr>
          <w:p w14:paraId="1D20C424">
            <w:pPr>
              <w:spacing w:line="240" w:lineRule="exact"/>
              <w:jc w:val="right"/>
              <w:rPr>
                <w:rFonts w:ascii="宋体" w:hAnsi="宋体" w:eastAsia="宋体" w:cs="宋体"/>
                <w:sz w:val="18"/>
                <w:szCs w:val="18"/>
              </w:rPr>
            </w:pPr>
            <w:r>
              <w:rPr>
                <w:rFonts w:ascii="宋体" w:hAnsi="宋体" w:eastAsia="宋体" w:cs="宋体"/>
                <w:sz w:val="18"/>
                <w:szCs w:val="18"/>
              </w:rPr>
              <w:t>387,782.64</w:t>
            </w:r>
          </w:p>
        </w:tc>
        <w:tc>
          <w:tcPr>
            <w:tcW w:w="1205" w:type="dxa"/>
            <w:tcBorders>
              <w:top w:val="single" w:color="auto" w:sz="2" w:space="0"/>
              <w:left w:val="single" w:color="auto" w:sz="2" w:space="0"/>
              <w:bottom w:val="single" w:color="auto" w:sz="2" w:space="0"/>
              <w:right w:val="single" w:color="auto" w:sz="2" w:space="0"/>
            </w:tcBorders>
            <w:vAlign w:val="center"/>
          </w:tcPr>
          <w:p w14:paraId="1B0F8CB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2F2E8F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4EF0C27">
            <w:pPr>
              <w:spacing w:line="240" w:lineRule="exact"/>
              <w:jc w:val="right"/>
              <w:rPr>
                <w:rFonts w:ascii="宋体" w:hAnsi="宋体" w:eastAsia="宋体" w:cs="宋体"/>
                <w:sz w:val="18"/>
                <w:szCs w:val="18"/>
              </w:rPr>
            </w:pPr>
            <w:r>
              <w:rPr>
                <w:rFonts w:ascii="宋体" w:hAnsi="宋体" w:eastAsia="宋体" w:cs="宋体"/>
                <w:sz w:val="18"/>
                <w:szCs w:val="18"/>
              </w:rPr>
              <w:t>228,102.24</w:t>
            </w:r>
          </w:p>
        </w:tc>
        <w:tc>
          <w:tcPr>
            <w:tcW w:w="1205" w:type="dxa"/>
            <w:tcBorders>
              <w:top w:val="single" w:color="auto" w:sz="2" w:space="0"/>
              <w:left w:val="single" w:color="auto" w:sz="2" w:space="0"/>
              <w:bottom w:val="single" w:color="auto" w:sz="2" w:space="0"/>
              <w:right w:val="single" w:color="auto" w:sz="2" w:space="0"/>
            </w:tcBorders>
            <w:vAlign w:val="center"/>
          </w:tcPr>
          <w:p w14:paraId="51914798">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91AC501">
            <w:pPr>
              <w:spacing w:line="240" w:lineRule="exact"/>
              <w:jc w:val="right"/>
              <w:rPr>
                <w:rFonts w:ascii="宋体" w:hAnsi="宋体" w:eastAsia="宋体" w:cs="宋体"/>
                <w:sz w:val="18"/>
                <w:szCs w:val="18"/>
              </w:rPr>
            </w:pPr>
            <w:r>
              <w:rPr>
                <w:rFonts w:ascii="宋体" w:hAnsi="宋体" w:eastAsia="宋体" w:cs="宋体"/>
                <w:sz w:val="18"/>
                <w:szCs w:val="18"/>
              </w:rPr>
              <w:t>159,680.40</w:t>
            </w:r>
          </w:p>
        </w:tc>
        <w:tc>
          <w:tcPr>
            <w:tcW w:w="1205" w:type="dxa"/>
            <w:tcBorders>
              <w:top w:val="single" w:color="auto" w:sz="2" w:space="0"/>
              <w:left w:val="single" w:color="auto" w:sz="2" w:space="0"/>
              <w:bottom w:val="single" w:color="auto" w:sz="2" w:space="0"/>
              <w:right w:val="single" w:color="auto" w:sz="2" w:space="0"/>
            </w:tcBorders>
            <w:vAlign w:val="center"/>
          </w:tcPr>
          <w:p w14:paraId="11E80E86">
            <w:pPr>
              <w:spacing w:line="240" w:lineRule="exact"/>
              <w:rPr>
                <w:rFonts w:ascii="宋体" w:hAnsi="宋体" w:eastAsia="宋体" w:cs="宋体"/>
                <w:sz w:val="18"/>
                <w:szCs w:val="18"/>
              </w:rPr>
            </w:pPr>
            <w:r>
              <w:rPr>
                <w:rFonts w:ascii="宋体" w:hAnsi="宋体" w:eastAsia="宋体" w:cs="宋体"/>
                <w:sz w:val="18"/>
                <w:szCs w:val="18"/>
              </w:rPr>
              <w:t>与资产相关</w:t>
            </w:r>
          </w:p>
        </w:tc>
      </w:tr>
      <w:tr w14:paraId="01A9F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2FF4FE1D">
            <w:pPr>
              <w:spacing w:line="240" w:lineRule="exact"/>
              <w:rPr>
                <w:rFonts w:ascii="宋体" w:hAnsi="宋体" w:eastAsia="宋体" w:cs="宋体"/>
                <w:sz w:val="18"/>
                <w:szCs w:val="18"/>
              </w:rPr>
            </w:pPr>
            <w:r>
              <w:rPr>
                <w:rFonts w:ascii="宋体" w:hAnsi="宋体" w:eastAsia="宋体" w:cs="宋体"/>
                <w:sz w:val="18"/>
                <w:szCs w:val="18"/>
              </w:rPr>
              <w:t>新疆六孚土地补贴款</w:t>
            </w:r>
          </w:p>
        </w:tc>
        <w:tc>
          <w:tcPr>
            <w:tcW w:w="1205" w:type="dxa"/>
            <w:tcBorders>
              <w:top w:val="single" w:color="auto" w:sz="2" w:space="0"/>
              <w:left w:val="single" w:color="auto" w:sz="2" w:space="0"/>
              <w:bottom w:val="single" w:color="auto" w:sz="2" w:space="0"/>
              <w:right w:val="single" w:color="auto" w:sz="2" w:space="0"/>
            </w:tcBorders>
            <w:vAlign w:val="center"/>
          </w:tcPr>
          <w:p w14:paraId="1DD8F052">
            <w:pPr>
              <w:spacing w:line="240" w:lineRule="exact"/>
              <w:jc w:val="right"/>
              <w:rPr>
                <w:rFonts w:ascii="宋体" w:hAnsi="宋体" w:eastAsia="宋体" w:cs="宋体"/>
                <w:sz w:val="18"/>
                <w:szCs w:val="18"/>
              </w:rPr>
            </w:pPr>
            <w:r>
              <w:rPr>
                <w:rFonts w:ascii="宋体" w:hAnsi="宋体" w:eastAsia="宋体" w:cs="宋体"/>
                <w:sz w:val="18"/>
                <w:szCs w:val="18"/>
              </w:rPr>
              <w:t>855,649.64</w:t>
            </w:r>
          </w:p>
        </w:tc>
        <w:tc>
          <w:tcPr>
            <w:tcW w:w="1205" w:type="dxa"/>
            <w:tcBorders>
              <w:top w:val="single" w:color="auto" w:sz="2" w:space="0"/>
              <w:left w:val="single" w:color="auto" w:sz="2" w:space="0"/>
              <w:bottom w:val="single" w:color="auto" w:sz="2" w:space="0"/>
              <w:right w:val="single" w:color="auto" w:sz="2" w:space="0"/>
            </w:tcBorders>
            <w:vAlign w:val="center"/>
          </w:tcPr>
          <w:p w14:paraId="0ECB94E2">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D9A8D51">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3E7F74E">
            <w:pPr>
              <w:spacing w:line="240" w:lineRule="exact"/>
              <w:jc w:val="right"/>
              <w:rPr>
                <w:rFonts w:ascii="宋体" w:hAnsi="宋体" w:eastAsia="宋体" w:cs="宋体"/>
                <w:sz w:val="18"/>
                <w:szCs w:val="18"/>
              </w:rPr>
            </w:pPr>
            <w:r>
              <w:rPr>
                <w:rFonts w:ascii="宋体" w:hAnsi="宋体" w:eastAsia="宋体" w:cs="宋体"/>
                <w:sz w:val="18"/>
                <w:szCs w:val="18"/>
              </w:rPr>
              <w:t>21,800.04</w:t>
            </w:r>
          </w:p>
        </w:tc>
        <w:tc>
          <w:tcPr>
            <w:tcW w:w="1205" w:type="dxa"/>
            <w:tcBorders>
              <w:top w:val="single" w:color="auto" w:sz="2" w:space="0"/>
              <w:left w:val="single" w:color="auto" w:sz="2" w:space="0"/>
              <w:bottom w:val="single" w:color="auto" w:sz="2" w:space="0"/>
              <w:right w:val="single" w:color="auto" w:sz="2" w:space="0"/>
            </w:tcBorders>
            <w:vAlign w:val="center"/>
          </w:tcPr>
          <w:p w14:paraId="11B40C6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43DC586">
            <w:pPr>
              <w:spacing w:line="240" w:lineRule="exact"/>
              <w:jc w:val="right"/>
              <w:rPr>
                <w:rFonts w:ascii="宋体" w:hAnsi="宋体" w:eastAsia="宋体" w:cs="宋体"/>
                <w:sz w:val="18"/>
                <w:szCs w:val="18"/>
              </w:rPr>
            </w:pPr>
            <w:r>
              <w:rPr>
                <w:rFonts w:ascii="宋体" w:hAnsi="宋体" w:eastAsia="宋体" w:cs="宋体"/>
                <w:sz w:val="18"/>
                <w:szCs w:val="18"/>
              </w:rPr>
              <w:t>833,849.60</w:t>
            </w:r>
          </w:p>
        </w:tc>
        <w:tc>
          <w:tcPr>
            <w:tcW w:w="1205" w:type="dxa"/>
            <w:tcBorders>
              <w:top w:val="single" w:color="auto" w:sz="2" w:space="0"/>
              <w:left w:val="single" w:color="auto" w:sz="2" w:space="0"/>
              <w:bottom w:val="single" w:color="auto" w:sz="2" w:space="0"/>
              <w:right w:val="single" w:color="auto" w:sz="2" w:space="0"/>
            </w:tcBorders>
            <w:vAlign w:val="center"/>
          </w:tcPr>
          <w:p w14:paraId="00272450">
            <w:pPr>
              <w:spacing w:line="240" w:lineRule="exact"/>
              <w:rPr>
                <w:rFonts w:ascii="宋体" w:hAnsi="宋体" w:eastAsia="宋体" w:cs="宋体"/>
                <w:sz w:val="18"/>
                <w:szCs w:val="18"/>
              </w:rPr>
            </w:pPr>
            <w:r>
              <w:rPr>
                <w:rFonts w:ascii="宋体" w:hAnsi="宋体" w:eastAsia="宋体" w:cs="宋体"/>
                <w:sz w:val="18"/>
                <w:szCs w:val="18"/>
              </w:rPr>
              <w:t>与资产相关</w:t>
            </w:r>
          </w:p>
        </w:tc>
      </w:tr>
      <w:tr w14:paraId="6DC7E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D21855D">
            <w:pPr>
              <w:spacing w:line="240" w:lineRule="exact"/>
              <w:rPr>
                <w:rFonts w:ascii="宋体" w:hAnsi="宋体" w:eastAsia="宋体" w:cs="宋体"/>
                <w:sz w:val="18"/>
                <w:szCs w:val="18"/>
              </w:rPr>
            </w:pPr>
            <w:r>
              <w:rPr>
                <w:rFonts w:ascii="宋体" w:hAnsi="宋体" w:eastAsia="宋体" w:cs="宋体"/>
                <w:sz w:val="18"/>
                <w:szCs w:val="18"/>
              </w:rPr>
              <w:t>九江中浩支持重点承接地厂房建设款</w:t>
            </w:r>
          </w:p>
        </w:tc>
        <w:tc>
          <w:tcPr>
            <w:tcW w:w="1205" w:type="dxa"/>
            <w:tcBorders>
              <w:top w:val="single" w:color="auto" w:sz="2" w:space="0"/>
              <w:left w:val="single" w:color="auto" w:sz="2" w:space="0"/>
              <w:bottom w:val="single" w:color="auto" w:sz="2" w:space="0"/>
              <w:right w:val="single" w:color="auto" w:sz="2" w:space="0"/>
            </w:tcBorders>
            <w:vAlign w:val="center"/>
          </w:tcPr>
          <w:p w14:paraId="21D1B219">
            <w:pPr>
              <w:spacing w:line="240" w:lineRule="exact"/>
              <w:jc w:val="right"/>
              <w:rPr>
                <w:rFonts w:ascii="宋体" w:hAnsi="宋体" w:eastAsia="宋体" w:cs="宋体"/>
                <w:sz w:val="18"/>
                <w:szCs w:val="18"/>
              </w:rPr>
            </w:pPr>
            <w:r>
              <w:rPr>
                <w:rFonts w:ascii="宋体" w:hAnsi="宋体" w:eastAsia="宋体" w:cs="宋体"/>
                <w:sz w:val="18"/>
                <w:szCs w:val="18"/>
              </w:rPr>
              <w:t>504,000.00</w:t>
            </w:r>
          </w:p>
        </w:tc>
        <w:tc>
          <w:tcPr>
            <w:tcW w:w="1205" w:type="dxa"/>
            <w:tcBorders>
              <w:top w:val="single" w:color="auto" w:sz="2" w:space="0"/>
              <w:left w:val="single" w:color="auto" w:sz="2" w:space="0"/>
              <w:bottom w:val="single" w:color="auto" w:sz="2" w:space="0"/>
              <w:right w:val="single" w:color="auto" w:sz="2" w:space="0"/>
            </w:tcBorders>
            <w:vAlign w:val="center"/>
          </w:tcPr>
          <w:p w14:paraId="05F264A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29676AF">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C680D02">
            <w:pPr>
              <w:spacing w:line="240" w:lineRule="exact"/>
              <w:jc w:val="right"/>
              <w:rPr>
                <w:rFonts w:ascii="宋体" w:hAnsi="宋体" w:eastAsia="宋体" w:cs="宋体"/>
                <w:sz w:val="18"/>
                <w:szCs w:val="18"/>
              </w:rPr>
            </w:pPr>
            <w:r>
              <w:rPr>
                <w:rFonts w:ascii="宋体" w:hAnsi="宋体" w:eastAsia="宋体" w:cs="宋体"/>
                <w:sz w:val="18"/>
                <w:szCs w:val="18"/>
              </w:rPr>
              <w:t>36,000.00</w:t>
            </w:r>
          </w:p>
        </w:tc>
        <w:tc>
          <w:tcPr>
            <w:tcW w:w="1205" w:type="dxa"/>
            <w:tcBorders>
              <w:top w:val="single" w:color="auto" w:sz="2" w:space="0"/>
              <w:left w:val="single" w:color="auto" w:sz="2" w:space="0"/>
              <w:bottom w:val="single" w:color="auto" w:sz="2" w:space="0"/>
              <w:right w:val="single" w:color="auto" w:sz="2" w:space="0"/>
            </w:tcBorders>
            <w:vAlign w:val="center"/>
          </w:tcPr>
          <w:p w14:paraId="3A5D8ACF">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7B22073">
            <w:pPr>
              <w:spacing w:line="240" w:lineRule="exact"/>
              <w:jc w:val="right"/>
              <w:rPr>
                <w:rFonts w:ascii="宋体" w:hAnsi="宋体" w:eastAsia="宋体" w:cs="宋体"/>
                <w:sz w:val="18"/>
                <w:szCs w:val="18"/>
              </w:rPr>
            </w:pPr>
            <w:r>
              <w:rPr>
                <w:rFonts w:ascii="宋体" w:hAnsi="宋体" w:eastAsia="宋体" w:cs="宋体"/>
                <w:sz w:val="18"/>
                <w:szCs w:val="18"/>
              </w:rPr>
              <w:t>468,000.00</w:t>
            </w:r>
          </w:p>
        </w:tc>
        <w:tc>
          <w:tcPr>
            <w:tcW w:w="1205" w:type="dxa"/>
            <w:tcBorders>
              <w:top w:val="single" w:color="auto" w:sz="2" w:space="0"/>
              <w:left w:val="single" w:color="auto" w:sz="2" w:space="0"/>
              <w:bottom w:val="single" w:color="auto" w:sz="2" w:space="0"/>
              <w:right w:val="single" w:color="auto" w:sz="2" w:space="0"/>
            </w:tcBorders>
            <w:vAlign w:val="center"/>
          </w:tcPr>
          <w:p w14:paraId="3BED103A">
            <w:pPr>
              <w:spacing w:line="240" w:lineRule="exact"/>
              <w:rPr>
                <w:rFonts w:ascii="宋体" w:hAnsi="宋体" w:eastAsia="宋体" w:cs="宋体"/>
                <w:sz w:val="18"/>
                <w:szCs w:val="18"/>
              </w:rPr>
            </w:pPr>
            <w:r>
              <w:rPr>
                <w:rFonts w:ascii="宋体" w:hAnsi="宋体" w:eastAsia="宋体" w:cs="宋体"/>
                <w:sz w:val="18"/>
                <w:szCs w:val="18"/>
              </w:rPr>
              <w:t>与资产相关</w:t>
            </w:r>
          </w:p>
        </w:tc>
      </w:tr>
      <w:tr w14:paraId="699C7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FC0253A">
            <w:pPr>
              <w:spacing w:line="240" w:lineRule="exact"/>
              <w:rPr>
                <w:rFonts w:ascii="宋体" w:hAnsi="宋体" w:eastAsia="宋体" w:cs="宋体"/>
                <w:sz w:val="18"/>
                <w:szCs w:val="18"/>
              </w:rPr>
            </w:pPr>
            <w:r>
              <w:rPr>
                <w:rFonts w:ascii="宋体" w:hAnsi="宋体" w:eastAsia="宋体" w:cs="宋体"/>
                <w:sz w:val="18"/>
                <w:szCs w:val="18"/>
              </w:rPr>
              <w:t>阿克苏小商品城设备补贴</w:t>
            </w:r>
          </w:p>
        </w:tc>
        <w:tc>
          <w:tcPr>
            <w:tcW w:w="1205" w:type="dxa"/>
            <w:tcBorders>
              <w:top w:val="single" w:color="auto" w:sz="2" w:space="0"/>
              <w:left w:val="single" w:color="auto" w:sz="2" w:space="0"/>
              <w:bottom w:val="single" w:color="auto" w:sz="2" w:space="0"/>
              <w:right w:val="single" w:color="auto" w:sz="2" w:space="0"/>
            </w:tcBorders>
            <w:vAlign w:val="center"/>
          </w:tcPr>
          <w:p w14:paraId="4292250F">
            <w:pPr>
              <w:spacing w:line="240" w:lineRule="exact"/>
              <w:jc w:val="right"/>
              <w:rPr>
                <w:rFonts w:ascii="宋体" w:hAnsi="宋体" w:eastAsia="宋体" w:cs="宋体"/>
                <w:sz w:val="18"/>
                <w:szCs w:val="18"/>
              </w:rPr>
            </w:pPr>
            <w:r>
              <w:rPr>
                <w:rFonts w:ascii="宋体" w:hAnsi="宋体" w:eastAsia="宋体" w:cs="宋体"/>
                <w:sz w:val="18"/>
                <w:szCs w:val="18"/>
              </w:rPr>
              <w:t>5,171,379.96</w:t>
            </w:r>
          </w:p>
        </w:tc>
        <w:tc>
          <w:tcPr>
            <w:tcW w:w="1205" w:type="dxa"/>
            <w:tcBorders>
              <w:top w:val="single" w:color="auto" w:sz="2" w:space="0"/>
              <w:left w:val="single" w:color="auto" w:sz="2" w:space="0"/>
              <w:bottom w:val="single" w:color="auto" w:sz="2" w:space="0"/>
              <w:right w:val="single" w:color="auto" w:sz="2" w:space="0"/>
            </w:tcBorders>
            <w:vAlign w:val="center"/>
          </w:tcPr>
          <w:p w14:paraId="46BFF455">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86DEBB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973DA63">
            <w:pPr>
              <w:spacing w:line="240" w:lineRule="exact"/>
              <w:jc w:val="right"/>
              <w:rPr>
                <w:rFonts w:ascii="宋体" w:hAnsi="宋体" w:eastAsia="宋体" w:cs="宋体"/>
                <w:sz w:val="18"/>
                <w:szCs w:val="18"/>
              </w:rPr>
            </w:pPr>
            <w:r>
              <w:rPr>
                <w:rFonts w:ascii="宋体" w:hAnsi="宋体" w:eastAsia="宋体" w:cs="宋体"/>
                <w:sz w:val="18"/>
                <w:szCs w:val="18"/>
              </w:rPr>
              <w:t>677,340.00</w:t>
            </w:r>
          </w:p>
        </w:tc>
        <w:tc>
          <w:tcPr>
            <w:tcW w:w="1205" w:type="dxa"/>
            <w:tcBorders>
              <w:top w:val="single" w:color="auto" w:sz="2" w:space="0"/>
              <w:left w:val="single" w:color="auto" w:sz="2" w:space="0"/>
              <w:bottom w:val="single" w:color="auto" w:sz="2" w:space="0"/>
              <w:right w:val="single" w:color="auto" w:sz="2" w:space="0"/>
            </w:tcBorders>
            <w:vAlign w:val="center"/>
          </w:tcPr>
          <w:p w14:paraId="30C47C27">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29A34073">
            <w:pPr>
              <w:spacing w:line="240" w:lineRule="exact"/>
              <w:jc w:val="right"/>
              <w:rPr>
                <w:rFonts w:ascii="宋体" w:hAnsi="宋体" w:eastAsia="宋体" w:cs="宋体"/>
                <w:sz w:val="18"/>
                <w:szCs w:val="18"/>
              </w:rPr>
            </w:pPr>
            <w:r>
              <w:rPr>
                <w:rFonts w:ascii="宋体" w:hAnsi="宋体" w:eastAsia="宋体" w:cs="宋体"/>
                <w:sz w:val="18"/>
                <w:szCs w:val="18"/>
              </w:rPr>
              <w:t>4,494,039.96</w:t>
            </w:r>
          </w:p>
        </w:tc>
        <w:tc>
          <w:tcPr>
            <w:tcW w:w="1205" w:type="dxa"/>
            <w:tcBorders>
              <w:top w:val="single" w:color="auto" w:sz="2" w:space="0"/>
              <w:left w:val="single" w:color="auto" w:sz="2" w:space="0"/>
              <w:bottom w:val="single" w:color="auto" w:sz="2" w:space="0"/>
              <w:right w:val="single" w:color="auto" w:sz="2" w:space="0"/>
            </w:tcBorders>
            <w:vAlign w:val="center"/>
          </w:tcPr>
          <w:p w14:paraId="7902B0B6">
            <w:pPr>
              <w:spacing w:line="240" w:lineRule="exact"/>
              <w:rPr>
                <w:rFonts w:ascii="宋体" w:hAnsi="宋体" w:eastAsia="宋体" w:cs="宋体"/>
                <w:sz w:val="18"/>
                <w:szCs w:val="18"/>
              </w:rPr>
            </w:pPr>
            <w:r>
              <w:rPr>
                <w:rFonts w:ascii="宋体" w:hAnsi="宋体" w:eastAsia="宋体" w:cs="宋体"/>
                <w:sz w:val="18"/>
                <w:szCs w:val="18"/>
              </w:rPr>
              <w:t>与资产相关</w:t>
            </w:r>
          </w:p>
        </w:tc>
      </w:tr>
      <w:tr w14:paraId="7267F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74067768">
            <w:pPr>
              <w:spacing w:line="240" w:lineRule="exact"/>
              <w:rPr>
                <w:rFonts w:ascii="宋体" w:hAnsi="宋体" w:eastAsia="宋体" w:cs="宋体"/>
                <w:sz w:val="18"/>
                <w:szCs w:val="18"/>
              </w:rPr>
            </w:pPr>
            <w:r>
              <w:rPr>
                <w:rFonts w:ascii="宋体" w:hAnsi="宋体" w:eastAsia="宋体" w:cs="宋体"/>
                <w:sz w:val="18"/>
                <w:szCs w:val="18"/>
              </w:rPr>
              <w:t>阿克苏华孚16万锭与设备补贴</w:t>
            </w:r>
          </w:p>
        </w:tc>
        <w:tc>
          <w:tcPr>
            <w:tcW w:w="1205" w:type="dxa"/>
            <w:tcBorders>
              <w:top w:val="single" w:color="auto" w:sz="2" w:space="0"/>
              <w:left w:val="single" w:color="auto" w:sz="2" w:space="0"/>
              <w:bottom w:val="single" w:color="auto" w:sz="2" w:space="0"/>
              <w:right w:val="single" w:color="auto" w:sz="2" w:space="0"/>
            </w:tcBorders>
            <w:vAlign w:val="center"/>
          </w:tcPr>
          <w:p w14:paraId="55653ECB">
            <w:pPr>
              <w:spacing w:line="240" w:lineRule="exact"/>
              <w:jc w:val="right"/>
              <w:rPr>
                <w:rFonts w:ascii="宋体" w:hAnsi="宋体" w:eastAsia="宋体" w:cs="宋体"/>
                <w:sz w:val="18"/>
                <w:szCs w:val="18"/>
              </w:rPr>
            </w:pPr>
            <w:r>
              <w:rPr>
                <w:rFonts w:ascii="宋体" w:hAnsi="宋体" w:eastAsia="宋体" w:cs="宋体"/>
                <w:sz w:val="18"/>
                <w:szCs w:val="18"/>
              </w:rPr>
              <w:t>957,115.50</w:t>
            </w:r>
          </w:p>
        </w:tc>
        <w:tc>
          <w:tcPr>
            <w:tcW w:w="1205" w:type="dxa"/>
            <w:tcBorders>
              <w:top w:val="single" w:color="auto" w:sz="2" w:space="0"/>
              <w:left w:val="single" w:color="auto" w:sz="2" w:space="0"/>
              <w:bottom w:val="single" w:color="auto" w:sz="2" w:space="0"/>
              <w:right w:val="single" w:color="auto" w:sz="2" w:space="0"/>
            </w:tcBorders>
            <w:vAlign w:val="center"/>
          </w:tcPr>
          <w:p w14:paraId="378A9AF8">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A0B8003">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040AA02F">
            <w:pPr>
              <w:spacing w:line="240" w:lineRule="exact"/>
              <w:jc w:val="right"/>
              <w:rPr>
                <w:rFonts w:ascii="宋体" w:hAnsi="宋体" w:eastAsia="宋体" w:cs="宋体"/>
                <w:sz w:val="18"/>
                <w:szCs w:val="18"/>
              </w:rPr>
            </w:pPr>
            <w:r>
              <w:rPr>
                <w:rFonts w:ascii="宋体" w:hAnsi="宋体" w:eastAsia="宋体" w:cs="宋体"/>
                <w:sz w:val="18"/>
                <w:szCs w:val="18"/>
              </w:rPr>
              <w:t>145,384.56</w:t>
            </w:r>
          </w:p>
        </w:tc>
        <w:tc>
          <w:tcPr>
            <w:tcW w:w="1205" w:type="dxa"/>
            <w:tcBorders>
              <w:top w:val="single" w:color="auto" w:sz="2" w:space="0"/>
              <w:left w:val="single" w:color="auto" w:sz="2" w:space="0"/>
              <w:bottom w:val="single" w:color="auto" w:sz="2" w:space="0"/>
              <w:right w:val="single" w:color="auto" w:sz="2" w:space="0"/>
            </w:tcBorders>
            <w:vAlign w:val="center"/>
          </w:tcPr>
          <w:p w14:paraId="66C69A29">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4FD2350C">
            <w:pPr>
              <w:spacing w:line="240" w:lineRule="exact"/>
              <w:jc w:val="right"/>
              <w:rPr>
                <w:rFonts w:ascii="宋体" w:hAnsi="宋体" w:eastAsia="宋体" w:cs="宋体"/>
                <w:sz w:val="18"/>
                <w:szCs w:val="18"/>
              </w:rPr>
            </w:pPr>
            <w:r>
              <w:rPr>
                <w:rFonts w:ascii="宋体" w:hAnsi="宋体" w:eastAsia="宋体" w:cs="宋体"/>
                <w:sz w:val="18"/>
                <w:szCs w:val="18"/>
              </w:rPr>
              <w:t>811,730.94</w:t>
            </w:r>
          </w:p>
        </w:tc>
        <w:tc>
          <w:tcPr>
            <w:tcW w:w="1205" w:type="dxa"/>
            <w:tcBorders>
              <w:top w:val="single" w:color="auto" w:sz="2" w:space="0"/>
              <w:left w:val="single" w:color="auto" w:sz="2" w:space="0"/>
              <w:bottom w:val="single" w:color="auto" w:sz="2" w:space="0"/>
              <w:right w:val="single" w:color="auto" w:sz="2" w:space="0"/>
            </w:tcBorders>
            <w:vAlign w:val="center"/>
          </w:tcPr>
          <w:p w14:paraId="0B4088BB">
            <w:pPr>
              <w:spacing w:line="240" w:lineRule="exact"/>
              <w:rPr>
                <w:rFonts w:ascii="宋体" w:hAnsi="宋体" w:eastAsia="宋体" w:cs="宋体"/>
                <w:sz w:val="18"/>
                <w:szCs w:val="18"/>
              </w:rPr>
            </w:pPr>
            <w:r>
              <w:rPr>
                <w:rFonts w:ascii="宋体" w:hAnsi="宋体" w:eastAsia="宋体" w:cs="宋体"/>
                <w:sz w:val="18"/>
                <w:szCs w:val="18"/>
              </w:rPr>
              <w:t>与资产相关</w:t>
            </w:r>
          </w:p>
        </w:tc>
      </w:tr>
      <w:tr w14:paraId="67C82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9B5939A">
            <w:pPr>
              <w:spacing w:line="240" w:lineRule="exact"/>
              <w:rPr>
                <w:rFonts w:ascii="宋体" w:hAnsi="宋体" w:eastAsia="宋体" w:cs="宋体"/>
                <w:sz w:val="18"/>
                <w:szCs w:val="18"/>
              </w:rPr>
            </w:pPr>
            <w:r>
              <w:rPr>
                <w:rFonts w:ascii="宋体" w:hAnsi="宋体" w:eastAsia="宋体" w:cs="宋体"/>
                <w:sz w:val="18"/>
                <w:szCs w:val="18"/>
              </w:rPr>
              <w:t>阿克苏色纺延链项目补贴</w:t>
            </w:r>
          </w:p>
        </w:tc>
        <w:tc>
          <w:tcPr>
            <w:tcW w:w="1205" w:type="dxa"/>
            <w:tcBorders>
              <w:top w:val="single" w:color="auto" w:sz="2" w:space="0"/>
              <w:left w:val="single" w:color="auto" w:sz="2" w:space="0"/>
              <w:bottom w:val="single" w:color="auto" w:sz="2" w:space="0"/>
              <w:right w:val="single" w:color="auto" w:sz="2" w:space="0"/>
            </w:tcBorders>
            <w:vAlign w:val="center"/>
          </w:tcPr>
          <w:p w14:paraId="416003F6">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1CAE9982">
            <w:pPr>
              <w:spacing w:line="240" w:lineRule="exact"/>
              <w:jc w:val="right"/>
              <w:rPr>
                <w:rFonts w:ascii="宋体" w:hAnsi="宋体" w:eastAsia="宋体" w:cs="宋体"/>
                <w:sz w:val="18"/>
                <w:szCs w:val="18"/>
              </w:rPr>
            </w:pPr>
            <w:r>
              <w:rPr>
                <w:rFonts w:ascii="宋体" w:hAnsi="宋体" w:eastAsia="宋体" w:cs="宋体"/>
                <w:sz w:val="18"/>
                <w:szCs w:val="18"/>
              </w:rPr>
              <w:t>171,500,000.00</w:t>
            </w:r>
          </w:p>
        </w:tc>
        <w:tc>
          <w:tcPr>
            <w:tcW w:w="1205" w:type="dxa"/>
            <w:tcBorders>
              <w:top w:val="single" w:color="auto" w:sz="2" w:space="0"/>
              <w:left w:val="single" w:color="auto" w:sz="2" w:space="0"/>
              <w:bottom w:val="single" w:color="auto" w:sz="2" w:space="0"/>
              <w:right w:val="single" w:color="auto" w:sz="2" w:space="0"/>
            </w:tcBorders>
            <w:vAlign w:val="center"/>
          </w:tcPr>
          <w:p w14:paraId="22574BF1">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46CC7C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5EC35270">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7DFF54D6">
            <w:pPr>
              <w:spacing w:line="240" w:lineRule="exact"/>
              <w:jc w:val="right"/>
              <w:rPr>
                <w:rFonts w:ascii="宋体" w:hAnsi="宋体" w:eastAsia="宋体" w:cs="宋体"/>
                <w:sz w:val="18"/>
                <w:szCs w:val="18"/>
              </w:rPr>
            </w:pPr>
            <w:r>
              <w:rPr>
                <w:rFonts w:ascii="宋体" w:hAnsi="宋体" w:eastAsia="宋体" w:cs="宋体"/>
                <w:sz w:val="18"/>
                <w:szCs w:val="18"/>
              </w:rPr>
              <w:t>171,500,000.00</w:t>
            </w:r>
          </w:p>
        </w:tc>
        <w:tc>
          <w:tcPr>
            <w:tcW w:w="1205" w:type="dxa"/>
            <w:tcBorders>
              <w:top w:val="single" w:color="auto" w:sz="2" w:space="0"/>
              <w:left w:val="single" w:color="auto" w:sz="2" w:space="0"/>
              <w:bottom w:val="single" w:color="auto" w:sz="2" w:space="0"/>
              <w:right w:val="single" w:color="auto" w:sz="2" w:space="0"/>
            </w:tcBorders>
            <w:vAlign w:val="center"/>
          </w:tcPr>
          <w:p w14:paraId="6D18F36C">
            <w:pPr>
              <w:spacing w:line="240" w:lineRule="exact"/>
              <w:rPr>
                <w:rFonts w:ascii="宋体" w:hAnsi="宋体" w:eastAsia="宋体" w:cs="宋体"/>
                <w:sz w:val="18"/>
                <w:szCs w:val="18"/>
              </w:rPr>
            </w:pPr>
            <w:r>
              <w:rPr>
                <w:rFonts w:ascii="宋体" w:hAnsi="宋体" w:eastAsia="宋体" w:cs="宋体"/>
                <w:sz w:val="18"/>
                <w:szCs w:val="18"/>
              </w:rPr>
              <w:t>与资产相关</w:t>
            </w:r>
          </w:p>
        </w:tc>
      </w:tr>
      <w:tr w14:paraId="163B3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14:paraId="4BA3E8A8">
            <w:pPr>
              <w:spacing w:line="240" w:lineRule="exact"/>
              <w:rPr>
                <w:rFonts w:ascii="宋体" w:hAnsi="宋体" w:eastAsia="宋体" w:cs="宋体"/>
                <w:sz w:val="18"/>
                <w:szCs w:val="18"/>
              </w:rPr>
            </w:pPr>
            <w:r>
              <w:rPr>
                <w:rFonts w:ascii="宋体" w:hAnsi="宋体" w:eastAsia="宋体" w:cs="宋体"/>
                <w:sz w:val="18"/>
                <w:szCs w:val="18"/>
              </w:rPr>
              <w:t>合计</w:t>
            </w:r>
          </w:p>
        </w:tc>
        <w:tc>
          <w:tcPr>
            <w:tcW w:w="1205" w:type="dxa"/>
            <w:tcBorders>
              <w:top w:val="single" w:color="auto" w:sz="2" w:space="0"/>
              <w:left w:val="single" w:color="auto" w:sz="2" w:space="0"/>
              <w:bottom w:val="single" w:color="auto" w:sz="2" w:space="0"/>
              <w:right w:val="single" w:color="auto" w:sz="2" w:space="0"/>
            </w:tcBorders>
            <w:vAlign w:val="center"/>
          </w:tcPr>
          <w:p w14:paraId="64F4A699">
            <w:pPr>
              <w:spacing w:line="240" w:lineRule="exact"/>
              <w:jc w:val="right"/>
              <w:rPr>
                <w:rFonts w:ascii="宋体" w:hAnsi="宋体" w:eastAsia="宋体" w:cs="宋体"/>
                <w:sz w:val="18"/>
                <w:szCs w:val="18"/>
              </w:rPr>
            </w:pPr>
            <w:r>
              <w:rPr>
                <w:rFonts w:ascii="宋体" w:hAnsi="宋体" w:eastAsia="宋体" w:cs="宋体"/>
                <w:sz w:val="18"/>
                <w:szCs w:val="18"/>
              </w:rPr>
              <w:t>73,373,233.50</w:t>
            </w:r>
          </w:p>
        </w:tc>
        <w:tc>
          <w:tcPr>
            <w:tcW w:w="1205" w:type="dxa"/>
            <w:tcBorders>
              <w:top w:val="single" w:color="auto" w:sz="2" w:space="0"/>
              <w:left w:val="single" w:color="auto" w:sz="2" w:space="0"/>
              <w:bottom w:val="single" w:color="auto" w:sz="2" w:space="0"/>
              <w:right w:val="single" w:color="auto" w:sz="2" w:space="0"/>
            </w:tcBorders>
            <w:vAlign w:val="center"/>
          </w:tcPr>
          <w:p w14:paraId="57BDEB2E">
            <w:pPr>
              <w:spacing w:line="240" w:lineRule="exact"/>
              <w:jc w:val="right"/>
              <w:rPr>
                <w:rFonts w:ascii="宋体" w:hAnsi="宋体" w:eastAsia="宋体" w:cs="宋体"/>
                <w:sz w:val="18"/>
                <w:szCs w:val="18"/>
              </w:rPr>
            </w:pPr>
            <w:r>
              <w:rPr>
                <w:rFonts w:ascii="宋体" w:hAnsi="宋体" w:eastAsia="宋体" w:cs="宋体"/>
                <w:sz w:val="18"/>
                <w:szCs w:val="18"/>
              </w:rPr>
              <w:t>171,500,000.00</w:t>
            </w:r>
          </w:p>
        </w:tc>
        <w:tc>
          <w:tcPr>
            <w:tcW w:w="1205" w:type="dxa"/>
            <w:tcBorders>
              <w:top w:val="single" w:color="auto" w:sz="2" w:space="0"/>
              <w:left w:val="single" w:color="auto" w:sz="2" w:space="0"/>
              <w:bottom w:val="single" w:color="auto" w:sz="2" w:space="0"/>
              <w:right w:val="single" w:color="auto" w:sz="2" w:space="0"/>
            </w:tcBorders>
            <w:vAlign w:val="center"/>
          </w:tcPr>
          <w:p w14:paraId="065102AC">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6A8878A4">
            <w:pPr>
              <w:spacing w:line="240" w:lineRule="exact"/>
              <w:jc w:val="right"/>
              <w:rPr>
                <w:rFonts w:ascii="宋体" w:hAnsi="宋体" w:eastAsia="宋体" w:cs="宋体"/>
                <w:sz w:val="18"/>
                <w:szCs w:val="18"/>
              </w:rPr>
            </w:pPr>
            <w:r>
              <w:rPr>
                <w:rFonts w:ascii="宋体" w:hAnsi="宋体" w:eastAsia="宋体" w:cs="宋体"/>
                <w:sz w:val="18"/>
                <w:szCs w:val="18"/>
              </w:rPr>
              <w:t>6,893,082.96</w:t>
            </w:r>
          </w:p>
        </w:tc>
        <w:tc>
          <w:tcPr>
            <w:tcW w:w="1205" w:type="dxa"/>
            <w:tcBorders>
              <w:top w:val="single" w:color="auto" w:sz="2" w:space="0"/>
              <w:left w:val="single" w:color="auto" w:sz="2" w:space="0"/>
              <w:bottom w:val="single" w:color="auto" w:sz="2" w:space="0"/>
              <w:right w:val="single" w:color="auto" w:sz="2" w:space="0"/>
            </w:tcBorders>
            <w:vAlign w:val="center"/>
          </w:tcPr>
          <w:p w14:paraId="018FAC3F">
            <w:pPr>
              <w:spacing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14:paraId="3544DBF6">
            <w:pPr>
              <w:spacing w:line="240" w:lineRule="exact"/>
              <w:jc w:val="right"/>
              <w:rPr>
                <w:rFonts w:ascii="宋体" w:hAnsi="宋体" w:eastAsia="宋体" w:cs="宋体"/>
                <w:sz w:val="18"/>
                <w:szCs w:val="18"/>
              </w:rPr>
            </w:pPr>
            <w:r>
              <w:rPr>
                <w:rFonts w:ascii="宋体" w:hAnsi="宋体" w:eastAsia="宋体" w:cs="宋体"/>
                <w:sz w:val="18"/>
                <w:szCs w:val="18"/>
              </w:rPr>
              <w:t>237,980,150.54</w:t>
            </w:r>
          </w:p>
        </w:tc>
        <w:tc>
          <w:tcPr>
            <w:tcW w:w="1205" w:type="dxa"/>
            <w:tcBorders>
              <w:top w:val="single" w:color="auto" w:sz="2" w:space="0"/>
              <w:left w:val="single" w:color="auto" w:sz="2" w:space="0"/>
              <w:bottom w:val="single" w:color="auto" w:sz="2" w:space="0"/>
              <w:right w:val="single" w:color="auto" w:sz="2" w:space="0"/>
            </w:tcBorders>
            <w:vAlign w:val="center"/>
          </w:tcPr>
          <w:p w14:paraId="47A149CF">
            <w:pPr>
              <w:spacing w:line="240" w:lineRule="exact"/>
              <w:rPr>
                <w:rFonts w:ascii="宋体" w:hAnsi="宋体" w:eastAsia="宋体" w:cs="宋体"/>
                <w:sz w:val="18"/>
                <w:szCs w:val="18"/>
              </w:rPr>
            </w:pPr>
          </w:p>
        </w:tc>
      </w:tr>
    </w:tbl>
    <w:p w14:paraId="18F42F97">
      <w:pPr>
        <w:pStyle w:val="3"/>
        <w:spacing w:line="280" w:lineRule="exact"/>
        <w:jc w:val="left"/>
        <w:rPr>
          <w:rFonts w:ascii="宋体" w:hAnsi="宋体" w:cs="宋体"/>
          <w:b/>
          <w:bCs/>
        </w:rPr>
      </w:pPr>
      <w:bookmarkStart w:id="539" w:name="_Toc989394"/>
      <w:r>
        <w:rPr>
          <w:rFonts w:ascii="宋体" w:hAnsi="宋体" w:cs="宋体"/>
          <w:b/>
          <w:bCs/>
        </w:rPr>
        <w:t>3、计入当期损益的政府补助</w:t>
      </w:r>
      <w:bookmarkEnd w:id="539"/>
    </w:p>
    <w:p w14:paraId="269A9659">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60E61ED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F292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EAF82C">
            <w:pPr>
              <w:spacing w:before="40" w:after="40" w:line="240" w:lineRule="exact"/>
              <w:jc w:val="center"/>
              <w:rPr>
                <w:rFonts w:ascii="宋体" w:hAnsi="宋体" w:eastAsia="宋体" w:cs="宋体"/>
                <w:sz w:val="18"/>
                <w:szCs w:val="18"/>
              </w:rPr>
            </w:pPr>
            <w:r>
              <w:rPr>
                <w:rFonts w:ascii="宋体" w:hAnsi="宋体" w:eastAsia="宋体" w:cs="宋体"/>
                <w:sz w:val="18"/>
                <w:szCs w:val="18"/>
              </w:rPr>
              <w:t>会计科目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1955A29">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88BEAE">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3F27C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243D998">
            <w:pPr>
              <w:spacing w:line="240" w:lineRule="exact"/>
              <w:rPr>
                <w:rFonts w:ascii="宋体" w:hAnsi="宋体" w:eastAsia="宋体" w:cs="宋体"/>
                <w:sz w:val="18"/>
                <w:szCs w:val="18"/>
              </w:rPr>
            </w:pPr>
            <w:r>
              <w:rPr>
                <w:rFonts w:ascii="宋体" w:hAnsi="宋体" w:eastAsia="宋体" w:cs="宋体"/>
                <w:sz w:val="18"/>
                <w:szCs w:val="18"/>
              </w:rPr>
              <w:t>其他收益（与资产相关）</w:t>
            </w:r>
          </w:p>
        </w:tc>
        <w:tc>
          <w:tcPr>
            <w:tcW w:w="3213" w:type="dxa"/>
            <w:tcBorders>
              <w:top w:val="single" w:color="auto" w:sz="2" w:space="0"/>
              <w:left w:val="single" w:color="auto" w:sz="2" w:space="0"/>
              <w:bottom w:val="single" w:color="auto" w:sz="2" w:space="0"/>
              <w:right w:val="single" w:color="auto" w:sz="2" w:space="0"/>
            </w:tcBorders>
            <w:vAlign w:val="center"/>
          </w:tcPr>
          <w:p w14:paraId="0BD45CFB">
            <w:pPr>
              <w:spacing w:line="240" w:lineRule="exact"/>
              <w:jc w:val="right"/>
              <w:rPr>
                <w:rFonts w:ascii="宋体" w:hAnsi="宋体" w:eastAsia="宋体" w:cs="宋体"/>
                <w:sz w:val="18"/>
                <w:szCs w:val="18"/>
              </w:rPr>
            </w:pPr>
            <w:r>
              <w:rPr>
                <w:rFonts w:ascii="宋体" w:hAnsi="宋体" w:eastAsia="宋体" w:cs="宋体"/>
                <w:sz w:val="18"/>
                <w:szCs w:val="18"/>
              </w:rPr>
              <w:t>6,893,082.96</w:t>
            </w:r>
          </w:p>
        </w:tc>
        <w:tc>
          <w:tcPr>
            <w:tcW w:w="3213" w:type="dxa"/>
            <w:tcBorders>
              <w:top w:val="single" w:color="auto" w:sz="2" w:space="0"/>
              <w:left w:val="single" w:color="auto" w:sz="2" w:space="0"/>
              <w:bottom w:val="single" w:color="auto" w:sz="2" w:space="0"/>
              <w:right w:val="single" w:color="auto" w:sz="2" w:space="0"/>
            </w:tcBorders>
            <w:vAlign w:val="center"/>
          </w:tcPr>
          <w:p w14:paraId="4BFD6466">
            <w:pPr>
              <w:spacing w:line="240" w:lineRule="exact"/>
              <w:jc w:val="right"/>
              <w:rPr>
                <w:rFonts w:ascii="宋体" w:hAnsi="宋体" w:eastAsia="宋体" w:cs="宋体"/>
                <w:sz w:val="18"/>
                <w:szCs w:val="18"/>
              </w:rPr>
            </w:pPr>
            <w:r>
              <w:rPr>
                <w:rFonts w:ascii="宋体" w:hAnsi="宋体" w:eastAsia="宋体" w:cs="宋体"/>
                <w:sz w:val="18"/>
                <w:szCs w:val="18"/>
              </w:rPr>
              <w:t>6,893,082.96</w:t>
            </w:r>
          </w:p>
        </w:tc>
      </w:tr>
      <w:tr w14:paraId="22317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00F93E57">
            <w:pPr>
              <w:spacing w:line="240" w:lineRule="exact"/>
              <w:rPr>
                <w:rFonts w:ascii="宋体" w:hAnsi="宋体" w:eastAsia="宋体" w:cs="宋体"/>
                <w:sz w:val="18"/>
                <w:szCs w:val="18"/>
              </w:rPr>
            </w:pPr>
            <w:r>
              <w:rPr>
                <w:rFonts w:ascii="宋体" w:hAnsi="宋体" w:eastAsia="宋体" w:cs="宋体"/>
                <w:sz w:val="18"/>
                <w:szCs w:val="18"/>
              </w:rPr>
              <w:t>其他收益(与收益相关)</w:t>
            </w:r>
          </w:p>
        </w:tc>
        <w:tc>
          <w:tcPr>
            <w:tcW w:w="3213" w:type="dxa"/>
            <w:tcBorders>
              <w:top w:val="single" w:color="auto" w:sz="2" w:space="0"/>
              <w:left w:val="single" w:color="auto" w:sz="2" w:space="0"/>
              <w:bottom w:val="single" w:color="auto" w:sz="2" w:space="0"/>
              <w:right w:val="single" w:color="auto" w:sz="2" w:space="0"/>
            </w:tcBorders>
            <w:vAlign w:val="center"/>
          </w:tcPr>
          <w:p w14:paraId="605DF296">
            <w:pPr>
              <w:spacing w:line="240" w:lineRule="exact"/>
              <w:jc w:val="right"/>
              <w:rPr>
                <w:rFonts w:ascii="宋体" w:hAnsi="宋体" w:eastAsia="宋体" w:cs="宋体"/>
                <w:sz w:val="18"/>
                <w:szCs w:val="18"/>
              </w:rPr>
            </w:pPr>
            <w:r>
              <w:rPr>
                <w:rFonts w:ascii="宋体" w:hAnsi="宋体" w:eastAsia="宋体" w:cs="宋体"/>
                <w:sz w:val="18"/>
                <w:szCs w:val="18"/>
              </w:rPr>
              <w:t>84,286,993.93</w:t>
            </w:r>
          </w:p>
        </w:tc>
        <w:tc>
          <w:tcPr>
            <w:tcW w:w="3213" w:type="dxa"/>
            <w:tcBorders>
              <w:top w:val="single" w:color="auto" w:sz="2" w:space="0"/>
              <w:left w:val="single" w:color="auto" w:sz="2" w:space="0"/>
              <w:bottom w:val="single" w:color="auto" w:sz="2" w:space="0"/>
              <w:right w:val="single" w:color="auto" w:sz="2" w:space="0"/>
            </w:tcBorders>
            <w:vAlign w:val="center"/>
          </w:tcPr>
          <w:p w14:paraId="1E7902F1">
            <w:pPr>
              <w:spacing w:line="240" w:lineRule="exact"/>
              <w:jc w:val="right"/>
              <w:rPr>
                <w:rFonts w:ascii="宋体" w:hAnsi="宋体" w:eastAsia="宋体" w:cs="宋体"/>
                <w:sz w:val="18"/>
                <w:szCs w:val="18"/>
              </w:rPr>
            </w:pPr>
            <w:r>
              <w:rPr>
                <w:rFonts w:ascii="宋体" w:hAnsi="宋体" w:eastAsia="宋体" w:cs="宋体"/>
                <w:sz w:val="18"/>
                <w:szCs w:val="18"/>
              </w:rPr>
              <w:t>105,616,024.32</w:t>
            </w:r>
          </w:p>
        </w:tc>
      </w:tr>
    </w:tbl>
    <w:p w14:paraId="4FA622D9">
      <w:pPr>
        <w:spacing w:before="100" w:after="100" w:line="240" w:lineRule="exact"/>
        <w:rPr>
          <w:rFonts w:ascii="宋体" w:hAnsi="宋体" w:eastAsia="宋体" w:cs="宋体"/>
          <w:sz w:val="18"/>
          <w:szCs w:val="18"/>
        </w:rPr>
      </w:pPr>
      <w:r>
        <w:rPr>
          <w:rFonts w:ascii="宋体" w:hAnsi="宋体" w:eastAsia="宋体" w:cs="宋体"/>
          <w:sz w:val="18"/>
          <w:szCs w:val="18"/>
        </w:rPr>
        <w:t>其他说明：</w:t>
      </w:r>
    </w:p>
    <w:tbl>
      <w:tblPr>
        <w:tblStyle w:val="10"/>
        <w:tblW w:w="9654" w:type="dxa"/>
        <w:tblCaption w:val="D:\大华\华孚\2025年度\TB及报告|0-合并TB-华孚时尚股份有限公司-2025年度.xlsx|W附注模板|_jds329|0|desc|||0|1"/>
        <w:tblInd w:w="0" w:type="dxa"/>
        <w:tblLayout w:type="autofit"/>
        <w:tblCellMar>
          <w:top w:w="0" w:type="dxa"/>
          <w:left w:w="0" w:type="dxa"/>
          <w:bottom w:w="0" w:type="dxa"/>
          <w:right w:w="0" w:type="dxa"/>
        </w:tblCellMar>
      </w:tblPr>
      <w:tblGrid>
        <w:gridCol w:w="2580"/>
        <w:gridCol w:w="1290"/>
        <w:gridCol w:w="1492"/>
        <w:gridCol w:w="1493"/>
        <w:gridCol w:w="2799"/>
      </w:tblGrid>
      <w:tr w14:paraId="374D8BF5">
        <w:tblPrEx>
          <w:tblCellMar>
            <w:top w:w="0" w:type="dxa"/>
            <w:left w:w="0" w:type="dxa"/>
            <w:bottom w:w="0" w:type="dxa"/>
            <w:right w:w="0" w:type="dxa"/>
          </w:tblCellMar>
        </w:tblPrEx>
        <w:trPr>
          <w:trHeight w:val="340" w:hRule="atLeast"/>
          <w:tblHeader/>
        </w:trPr>
        <w:tc>
          <w:tcPr>
            <w:tcW w:w="2580"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14:paraId="244BC0DB">
            <w:pPr>
              <w:pStyle w:val="9"/>
              <w:spacing w:before="0" w:beforeAutospacing="0" w:after="0" w:afterAutospacing="0"/>
              <w:jc w:val="center"/>
              <w:textAlignment w:val="center"/>
              <w:rPr>
                <w:rFonts w:ascii="Times New Roman" w:hAnsi="Times New Roman" w:cs="Times New Roman"/>
                <w:sz w:val="21"/>
                <w:szCs w:val="21"/>
              </w:rPr>
            </w:pPr>
            <w:r>
              <w:rPr>
                <w:rFonts w:hint="eastAsia" w:cs="Times New Roman"/>
                <w:sz w:val="18"/>
                <w:szCs w:val="18"/>
              </w:rPr>
              <w:t>补助项目</w:t>
            </w:r>
          </w:p>
        </w:tc>
        <w:tc>
          <w:tcPr>
            <w:tcW w:w="1290"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14:paraId="7A0B703B">
            <w:pPr>
              <w:pStyle w:val="9"/>
              <w:spacing w:before="0" w:beforeAutospacing="0" w:after="0" w:afterAutospacing="0"/>
              <w:jc w:val="center"/>
              <w:textAlignment w:val="center"/>
              <w:rPr>
                <w:rFonts w:ascii="Times New Roman" w:hAnsi="Times New Roman" w:cs="Times New Roman"/>
                <w:sz w:val="21"/>
                <w:szCs w:val="21"/>
              </w:rPr>
            </w:pPr>
            <w:r>
              <w:rPr>
                <w:rFonts w:hint="eastAsia" w:cs="Times New Roman"/>
                <w:sz w:val="18"/>
                <w:szCs w:val="18"/>
              </w:rPr>
              <w:t>种类</w:t>
            </w:r>
          </w:p>
        </w:tc>
        <w:tc>
          <w:tcPr>
            <w:tcW w:w="1492"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14:paraId="5A10E6BE">
            <w:pPr>
              <w:pStyle w:val="9"/>
              <w:spacing w:before="0" w:beforeAutospacing="0" w:after="0" w:afterAutospacing="0"/>
              <w:jc w:val="center"/>
              <w:textAlignment w:val="center"/>
              <w:rPr>
                <w:rFonts w:ascii="Times New Roman" w:hAnsi="Times New Roman" w:cs="Times New Roman"/>
                <w:sz w:val="21"/>
                <w:szCs w:val="21"/>
              </w:rPr>
            </w:pPr>
            <w:r>
              <w:rPr>
                <w:rFonts w:hint="eastAsia" w:cs="Times New Roman"/>
                <w:sz w:val="18"/>
                <w:szCs w:val="18"/>
              </w:rPr>
              <w:t>本期发生额</w:t>
            </w:r>
          </w:p>
        </w:tc>
        <w:tc>
          <w:tcPr>
            <w:tcW w:w="1493"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14:paraId="21E891F3">
            <w:pPr>
              <w:pStyle w:val="9"/>
              <w:spacing w:before="0" w:beforeAutospacing="0" w:after="0" w:afterAutospacing="0"/>
              <w:jc w:val="center"/>
              <w:textAlignment w:val="center"/>
              <w:rPr>
                <w:rFonts w:ascii="Times New Roman" w:hAnsi="Times New Roman" w:cs="Times New Roman"/>
                <w:sz w:val="21"/>
                <w:szCs w:val="21"/>
              </w:rPr>
            </w:pPr>
            <w:r>
              <w:rPr>
                <w:rFonts w:hint="eastAsia" w:cs="Times New Roman"/>
                <w:sz w:val="18"/>
                <w:szCs w:val="18"/>
              </w:rPr>
              <w:t>上期发生额</w:t>
            </w:r>
          </w:p>
        </w:tc>
        <w:tc>
          <w:tcPr>
            <w:tcW w:w="2799" w:type="dxa"/>
            <w:tcBorders>
              <w:top w:val="single" w:color="auto" w:sz="8" w:space="0"/>
              <w:left w:val="nil"/>
              <w:bottom w:val="single" w:color="auto" w:sz="8" w:space="0"/>
              <w:right w:val="single" w:color="auto" w:sz="8" w:space="0"/>
            </w:tcBorders>
            <w:tcMar>
              <w:top w:w="15" w:type="dxa"/>
              <w:left w:w="15" w:type="dxa"/>
              <w:bottom w:w="15" w:type="dxa"/>
              <w:right w:w="15" w:type="dxa"/>
            </w:tcMar>
            <w:vAlign w:val="center"/>
          </w:tcPr>
          <w:p w14:paraId="5F4A4A35">
            <w:pPr>
              <w:pStyle w:val="9"/>
              <w:spacing w:before="0" w:beforeAutospacing="0" w:after="0" w:afterAutospacing="0"/>
              <w:jc w:val="center"/>
              <w:textAlignment w:val="center"/>
              <w:rPr>
                <w:rFonts w:ascii="Times New Roman" w:hAnsi="Times New Roman" w:cs="Times New Roman"/>
                <w:sz w:val="21"/>
                <w:szCs w:val="21"/>
              </w:rPr>
            </w:pPr>
            <w:r>
              <w:rPr>
                <w:rFonts w:hint="eastAsia" w:cs="Times New Roman"/>
                <w:sz w:val="18"/>
                <w:szCs w:val="18"/>
              </w:rPr>
              <w:t>冲减的成本</w:t>
            </w:r>
          </w:p>
          <w:p w14:paraId="246E82C0">
            <w:pPr>
              <w:pStyle w:val="9"/>
              <w:spacing w:before="0" w:beforeAutospacing="0" w:after="0" w:afterAutospacing="0"/>
              <w:jc w:val="center"/>
              <w:textAlignment w:val="center"/>
              <w:rPr>
                <w:rFonts w:ascii="Times New Roman" w:hAnsi="Times New Roman" w:cs="Times New Roman"/>
                <w:sz w:val="21"/>
                <w:szCs w:val="21"/>
              </w:rPr>
            </w:pPr>
            <w:r>
              <w:rPr>
                <w:rFonts w:hint="eastAsia" w:cs="Times New Roman"/>
                <w:sz w:val="18"/>
                <w:szCs w:val="18"/>
              </w:rPr>
              <w:t>费用项目</w:t>
            </w:r>
          </w:p>
        </w:tc>
      </w:tr>
      <w:tr w14:paraId="455816E5">
        <w:tblPrEx>
          <w:tblCellMar>
            <w:top w:w="0" w:type="dxa"/>
            <w:left w:w="0" w:type="dxa"/>
            <w:bottom w:w="0" w:type="dxa"/>
            <w:right w:w="0" w:type="dxa"/>
          </w:tblCellMar>
        </w:tblPrEx>
        <w:trPr>
          <w:trHeight w:val="340" w:hRule="atLeast"/>
        </w:trPr>
        <w:tc>
          <w:tcPr>
            <w:tcW w:w="258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14:paraId="0FA606AF">
            <w:pPr>
              <w:pStyle w:val="9"/>
              <w:spacing w:before="0" w:beforeAutospacing="0" w:after="0" w:afterAutospacing="0"/>
              <w:rPr>
                <w:rFonts w:ascii="Times New Roman" w:hAnsi="Times New Roman" w:cs="Times New Roman"/>
                <w:sz w:val="21"/>
                <w:szCs w:val="21"/>
              </w:rPr>
            </w:pPr>
            <w:r>
              <w:rPr>
                <w:rFonts w:hint="eastAsia" w:cs="Times New Roman"/>
                <w:sz w:val="18"/>
                <w:szCs w:val="18"/>
              </w:rPr>
              <w:t>出疆棉运费补贴</w:t>
            </w:r>
          </w:p>
        </w:tc>
        <w:tc>
          <w:tcPr>
            <w:tcW w:w="1290" w:type="dxa"/>
            <w:tcBorders>
              <w:top w:val="nil"/>
              <w:left w:val="nil"/>
              <w:bottom w:val="single" w:color="auto" w:sz="8" w:space="0"/>
              <w:right w:val="single" w:color="auto" w:sz="8" w:space="0"/>
            </w:tcBorders>
            <w:tcMar>
              <w:top w:w="15" w:type="dxa"/>
              <w:left w:w="15" w:type="dxa"/>
              <w:bottom w:w="15" w:type="dxa"/>
              <w:right w:w="15" w:type="dxa"/>
            </w:tcMar>
            <w:vAlign w:val="center"/>
          </w:tcPr>
          <w:p w14:paraId="349081B0">
            <w:pPr>
              <w:pStyle w:val="9"/>
              <w:spacing w:before="0" w:beforeAutospacing="0" w:after="0" w:afterAutospacing="0"/>
              <w:rPr>
                <w:rFonts w:ascii="Times New Roman" w:hAnsi="Times New Roman" w:cs="Times New Roman"/>
                <w:sz w:val="21"/>
                <w:szCs w:val="21"/>
              </w:rPr>
            </w:pPr>
            <w:r>
              <w:rPr>
                <w:rFonts w:hint="eastAsia" w:cs="Times New Roman"/>
                <w:sz w:val="18"/>
                <w:szCs w:val="18"/>
              </w:rPr>
              <w:t>与收益相关</w:t>
            </w:r>
          </w:p>
        </w:tc>
        <w:tc>
          <w:tcPr>
            <w:tcW w:w="1492" w:type="dxa"/>
            <w:tcBorders>
              <w:top w:val="nil"/>
              <w:left w:val="nil"/>
              <w:bottom w:val="single" w:color="auto" w:sz="8" w:space="0"/>
              <w:right w:val="single" w:color="auto" w:sz="8" w:space="0"/>
            </w:tcBorders>
            <w:tcMar>
              <w:top w:w="15" w:type="dxa"/>
              <w:left w:w="15" w:type="dxa"/>
              <w:bottom w:w="15" w:type="dxa"/>
              <w:right w:w="15" w:type="dxa"/>
            </w:tcMar>
            <w:vAlign w:val="center"/>
          </w:tcPr>
          <w:p w14:paraId="29084AD8">
            <w:pPr>
              <w:spacing w:line="240" w:lineRule="exact"/>
              <w:jc w:val="right"/>
              <w:rPr>
                <w:rFonts w:ascii="宋体" w:hAnsi="宋体" w:eastAsia="宋体" w:cs="宋体"/>
                <w:sz w:val="18"/>
                <w:szCs w:val="18"/>
              </w:rPr>
            </w:pPr>
            <w:r>
              <w:rPr>
                <w:rFonts w:ascii="宋体" w:hAnsi="宋体" w:eastAsia="宋体" w:cs="宋体"/>
                <w:sz w:val="18"/>
                <w:szCs w:val="18"/>
              </w:rPr>
              <w:t>84,946,252.23</w:t>
            </w:r>
          </w:p>
        </w:tc>
        <w:tc>
          <w:tcPr>
            <w:tcW w:w="1493" w:type="dxa"/>
            <w:tcBorders>
              <w:top w:val="nil"/>
              <w:left w:val="nil"/>
              <w:bottom w:val="single" w:color="auto" w:sz="8" w:space="0"/>
              <w:right w:val="single" w:color="auto" w:sz="8" w:space="0"/>
            </w:tcBorders>
            <w:tcMar>
              <w:top w:w="15" w:type="dxa"/>
              <w:left w:w="15" w:type="dxa"/>
              <w:bottom w:w="15" w:type="dxa"/>
              <w:right w:w="15" w:type="dxa"/>
            </w:tcMar>
            <w:vAlign w:val="center"/>
          </w:tcPr>
          <w:p w14:paraId="4C3F65E8">
            <w:pPr>
              <w:spacing w:line="240" w:lineRule="exact"/>
              <w:jc w:val="right"/>
              <w:rPr>
                <w:rFonts w:ascii="宋体" w:hAnsi="宋体" w:eastAsia="宋体" w:cs="宋体"/>
                <w:sz w:val="18"/>
                <w:szCs w:val="18"/>
              </w:rPr>
            </w:pPr>
            <w:r>
              <w:rPr>
                <w:rFonts w:ascii="宋体" w:hAnsi="宋体" w:eastAsia="宋体" w:cs="宋体"/>
                <w:sz w:val="18"/>
                <w:szCs w:val="18"/>
              </w:rPr>
              <w:t>91,327,892.95</w:t>
            </w:r>
          </w:p>
        </w:tc>
        <w:tc>
          <w:tcPr>
            <w:tcW w:w="2799" w:type="dxa"/>
            <w:tcBorders>
              <w:top w:val="nil"/>
              <w:left w:val="nil"/>
              <w:bottom w:val="single" w:color="auto" w:sz="8" w:space="0"/>
              <w:right w:val="single" w:color="auto" w:sz="8" w:space="0"/>
            </w:tcBorders>
            <w:tcMar>
              <w:top w:w="15" w:type="dxa"/>
              <w:left w:w="15" w:type="dxa"/>
              <w:bottom w:w="15" w:type="dxa"/>
              <w:right w:w="15" w:type="dxa"/>
            </w:tcMar>
            <w:vAlign w:val="center"/>
          </w:tcPr>
          <w:p w14:paraId="26A647B8">
            <w:pPr>
              <w:pStyle w:val="9"/>
              <w:spacing w:before="0" w:beforeAutospacing="0" w:after="0" w:afterAutospacing="0"/>
              <w:rPr>
                <w:rFonts w:ascii="Times New Roman" w:hAnsi="Times New Roman" w:cs="Times New Roman"/>
                <w:sz w:val="21"/>
                <w:szCs w:val="21"/>
              </w:rPr>
            </w:pPr>
            <w:r>
              <w:rPr>
                <w:rFonts w:hint="eastAsia" w:cs="Times New Roman"/>
                <w:sz w:val="18"/>
                <w:szCs w:val="18"/>
              </w:rPr>
              <w:t>营业成本</w:t>
            </w:r>
          </w:p>
        </w:tc>
      </w:tr>
      <w:tr w14:paraId="6E95843D">
        <w:tblPrEx>
          <w:tblCellMar>
            <w:top w:w="0" w:type="dxa"/>
            <w:left w:w="0" w:type="dxa"/>
            <w:bottom w:w="0" w:type="dxa"/>
            <w:right w:w="0" w:type="dxa"/>
          </w:tblCellMar>
        </w:tblPrEx>
        <w:trPr>
          <w:trHeight w:val="340" w:hRule="atLeast"/>
        </w:trPr>
        <w:tc>
          <w:tcPr>
            <w:tcW w:w="258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14:paraId="41E3B4B5">
            <w:pPr>
              <w:pStyle w:val="9"/>
              <w:spacing w:before="0" w:beforeAutospacing="0" w:after="0" w:afterAutospacing="0"/>
              <w:rPr>
                <w:rFonts w:ascii="Times New Roman" w:hAnsi="Times New Roman" w:cs="Times New Roman"/>
                <w:sz w:val="21"/>
                <w:szCs w:val="21"/>
              </w:rPr>
            </w:pPr>
            <w:r>
              <w:rPr>
                <w:rFonts w:hint="eastAsia" w:cs="Times New Roman"/>
                <w:sz w:val="18"/>
                <w:szCs w:val="18"/>
              </w:rPr>
              <w:t>贷款贴息</w:t>
            </w:r>
          </w:p>
        </w:tc>
        <w:tc>
          <w:tcPr>
            <w:tcW w:w="1290" w:type="dxa"/>
            <w:tcBorders>
              <w:top w:val="nil"/>
              <w:left w:val="nil"/>
              <w:bottom w:val="single" w:color="auto" w:sz="8" w:space="0"/>
              <w:right w:val="single" w:color="auto" w:sz="8" w:space="0"/>
            </w:tcBorders>
            <w:tcMar>
              <w:top w:w="15" w:type="dxa"/>
              <w:left w:w="15" w:type="dxa"/>
              <w:bottom w:w="15" w:type="dxa"/>
              <w:right w:w="15" w:type="dxa"/>
            </w:tcMar>
            <w:vAlign w:val="center"/>
          </w:tcPr>
          <w:p w14:paraId="2D6CF071">
            <w:pPr>
              <w:pStyle w:val="9"/>
              <w:spacing w:before="0" w:beforeAutospacing="0" w:after="0" w:afterAutospacing="0"/>
              <w:rPr>
                <w:rFonts w:ascii="Times New Roman" w:hAnsi="Times New Roman" w:cs="Times New Roman"/>
                <w:sz w:val="21"/>
                <w:szCs w:val="21"/>
              </w:rPr>
            </w:pPr>
            <w:r>
              <w:rPr>
                <w:rFonts w:hint="eastAsia" w:cs="Times New Roman"/>
                <w:sz w:val="18"/>
                <w:szCs w:val="18"/>
              </w:rPr>
              <w:t>与收益相关</w:t>
            </w:r>
          </w:p>
        </w:tc>
        <w:tc>
          <w:tcPr>
            <w:tcW w:w="1492" w:type="dxa"/>
            <w:tcBorders>
              <w:top w:val="nil"/>
              <w:left w:val="nil"/>
              <w:bottom w:val="single" w:color="auto" w:sz="8" w:space="0"/>
              <w:right w:val="single" w:color="auto" w:sz="8" w:space="0"/>
            </w:tcBorders>
            <w:tcMar>
              <w:top w:w="15" w:type="dxa"/>
              <w:left w:w="15" w:type="dxa"/>
              <w:bottom w:w="15" w:type="dxa"/>
              <w:right w:w="15" w:type="dxa"/>
            </w:tcMar>
            <w:vAlign w:val="center"/>
          </w:tcPr>
          <w:p w14:paraId="7871F730">
            <w:pPr>
              <w:spacing w:line="240" w:lineRule="exact"/>
              <w:jc w:val="right"/>
              <w:rPr>
                <w:rFonts w:ascii="宋体" w:hAnsi="宋体" w:eastAsia="宋体" w:cs="宋体"/>
                <w:sz w:val="18"/>
                <w:szCs w:val="18"/>
              </w:rPr>
            </w:pPr>
            <w:r>
              <w:rPr>
                <w:rFonts w:ascii="宋体" w:hAnsi="宋体" w:eastAsia="宋体" w:cs="宋体"/>
                <w:sz w:val="18"/>
                <w:szCs w:val="18"/>
              </w:rPr>
              <w:t>58,918,101.46</w:t>
            </w:r>
          </w:p>
        </w:tc>
        <w:tc>
          <w:tcPr>
            <w:tcW w:w="1493" w:type="dxa"/>
            <w:tcBorders>
              <w:top w:val="nil"/>
              <w:left w:val="nil"/>
              <w:bottom w:val="single" w:color="auto" w:sz="8" w:space="0"/>
              <w:right w:val="single" w:color="auto" w:sz="8" w:space="0"/>
            </w:tcBorders>
            <w:tcMar>
              <w:top w:w="15" w:type="dxa"/>
              <w:left w:w="15" w:type="dxa"/>
              <w:bottom w:w="15" w:type="dxa"/>
              <w:right w:w="15" w:type="dxa"/>
            </w:tcMar>
            <w:vAlign w:val="center"/>
          </w:tcPr>
          <w:p w14:paraId="250F5187">
            <w:pPr>
              <w:spacing w:line="240" w:lineRule="exact"/>
              <w:jc w:val="right"/>
              <w:rPr>
                <w:rFonts w:ascii="宋体" w:hAnsi="宋体" w:eastAsia="宋体" w:cs="宋体"/>
                <w:sz w:val="18"/>
                <w:szCs w:val="18"/>
              </w:rPr>
            </w:pPr>
            <w:r>
              <w:rPr>
                <w:rFonts w:ascii="宋体" w:hAnsi="宋体" w:eastAsia="宋体" w:cs="宋体"/>
                <w:sz w:val="18"/>
                <w:szCs w:val="18"/>
              </w:rPr>
              <w:t>40,109,474.78</w:t>
            </w:r>
          </w:p>
        </w:tc>
        <w:tc>
          <w:tcPr>
            <w:tcW w:w="2799" w:type="dxa"/>
            <w:tcBorders>
              <w:top w:val="nil"/>
              <w:left w:val="nil"/>
              <w:bottom w:val="single" w:color="auto" w:sz="8" w:space="0"/>
              <w:right w:val="single" w:color="auto" w:sz="8" w:space="0"/>
            </w:tcBorders>
            <w:tcMar>
              <w:top w:w="15" w:type="dxa"/>
              <w:left w:w="15" w:type="dxa"/>
              <w:bottom w:w="15" w:type="dxa"/>
              <w:right w:w="15" w:type="dxa"/>
            </w:tcMar>
            <w:vAlign w:val="center"/>
          </w:tcPr>
          <w:p w14:paraId="78A6FFDD">
            <w:pPr>
              <w:pStyle w:val="9"/>
              <w:spacing w:before="0" w:beforeAutospacing="0" w:after="0" w:afterAutospacing="0"/>
              <w:rPr>
                <w:rFonts w:ascii="Times New Roman" w:hAnsi="Times New Roman" w:cs="Times New Roman"/>
                <w:sz w:val="21"/>
                <w:szCs w:val="21"/>
              </w:rPr>
            </w:pPr>
            <w:r>
              <w:rPr>
                <w:rFonts w:hint="eastAsia" w:cs="Times New Roman"/>
                <w:sz w:val="18"/>
                <w:szCs w:val="18"/>
              </w:rPr>
              <w:t>财务费用</w:t>
            </w:r>
          </w:p>
        </w:tc>
      </w:tr>
      <w:tr w14:paraId="6242B125">
        <w:tblPrEx>
          <w:tblCellMar>
            <w:top w:w="0" w:type="dxa"/>
            <w:left w:w="0" w:type="dxa"/>
            <w:bottom w:w="0" w:type="dxa"/>
            <w:right w:w="0" w:type="dxa"/>
          </w:tblCellMar>
        </w:tblPrEx>
        <w:trPr>
          <w:trHeight w:val="340" w:hRule="atLeast"/>
        </w:trPr>
        <w:tc>
          <w:tcPr>
            <w:tcW w:w="258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14:paraId="02E1646A">
            <w:pPr>
              <w:pStyle w:val="9"/>
              <w:spacing w:before="0" w:beforeAutospacing="0" w:after="0" w:afterAutospacing="0"/>
              <w:rPr>
                <w:rFonts w:ascii="Times New Roman" w:hAnsi="Times New Roman" w:cs="Times New Roman"/>
                <w:sz w:val="21"/>
                <w:szCs w:val="21"/>
              </w:rPr>
            </w:pPr>
            <w:r>
              <w:rPr>
                <w:rFonts w:hint="eastAsia" w:cs="Times New Roman"/>
                <w:sz w:val="18"/>
                <w:szCs w:val="18"/>
              </w:rPr>
              <w:t>电费补贴</w:t>
            </w:r>
          </w:p>
        </w:tc>
        <w:tc>
          <w:tcPr>
            <w:tcW w:w="1290" w:type="dxa"/>
            <w:tcBorders>
              <w:top w:val="nil"/>
              <w:left w:val="nil"/>
              <w:bottom w:val="single" w:color="auto" w:sz="8" w:space="0"/>
              <w:right w:val="single" w:color="auto" w:sz="8" w:space="0"/>
            </w:tcBorders>
            <w:tcMar>
              <w:top w:w="15" w:type="dxa"/>
              <w:left w:w="15" w:type="dxa"/>
              <w:bottom w:w="15" w:type="dxa"/>
              <w:right w:w="15" w:type="dxa"/>
            </w:tcMar>
            <w:vAlign w:val="center"/>
          </w:tcPr>
          <w:p w14:paraId="1EBACC73">
            <w:pPr>
              <w:pStyle w:val="9"/>
              <w:spacing w:before="0" w:beforeAutospacing="0" w:after="0" w:afterAutospacing="0"/>
              <w:rPr>
                <w:rFonts w:ascii="Times New Roman" w:hAnsi="Times New Roman" w:cs="Times New Roman"/>
                <w:sz w:val="21"/>
                <w:szCs w:val="21"/>
              </w:rPr>
            </w:pPr>
            <w:r>
              <w:rPr>
                <w:rFonts w:hint="eastAsia" w:cs="Times New Roman"/>
                <w:sz w:val="18"/>
                <w:szCs w:val="18"/>
              </w:rPr>
              <w:t>与收益相关</w:t>
            </w:r>
          </w:p>
        </w:tc>
        <w:tc>
          <w:tcPr>
            <w:tcW w:w="1492" w:type="dxa"/>
            <w:tcBorders>
              <w:top w:val="nil"/>
              <w:left w:val="nil"/>
              <w:bottom w:val="single" w:color="auto" w:sz="8" w:space="0"/>
              <w:right w:val="single" w:color="auto" w:sz="8" w:space="0"/>
            </w:tcBorders>
            <w:tcMar>
              <w:top w:w="15" w:type="dxa"/>
              <w:left w:w="15" w:type="dxa"/>
              <w:bottom w:w="15" w:type="dxa"/>
              <w:right w:w="15" w:type="dxa"/>
            </w:tcMar>
            <w:vAlign w:val="center"/>
          </w:tcPr>
          <w:p w14:paraId="0965E70B">
            <w:pPr>
              <w:spacing w:line="240" w:lineRule="exact"/>
              <w:jc w:val="right"/>
              <w:rPr>
                <w:rFonts w:ascii="宋体" w:hAnsi="宋体" w:eastAsia="宋体" w:cs="宋体"/>
                <w:sz w:val="18"/>
                <w:szCs w:val="18"/>
              </w:rPr>
            </w:pPr>
            <w:r>
              <w:rPr>
                <w:rFonts w:ascii="宋体" w:hAnsi="宋体" w:eastAsia="宋体" w:cs="宋体"/>
                <w:sz w:val="18"/>
                <w:szCs w:val="18"/>
              </w:rPr>
              <w:t>30,705,241.58</w:t>
            </w:r>
          </w:p>
        </w:tc>
        <w:tc>
          <w:tcPr>
            <w:tcW w:w="1493" w:type="dxa"/>
            <w:tcBorders>
              <w:top w:val="nil"/>
              <w:left w:val="nil"/>
              <w:bottom w:val="single" w:color="auto" w:sz="8" w:space="0"/>
              <w:right w:val="single" w:color="auto" w:sz="8" w:space="0"/>
            </w:tcBorders>
            <w:tcMar>
              <w:top w:w="15" w:type="dxa"/>
              <w:left w:w="15" w:type="dxa"/>
              <w:bottom w:w="15" w:type="dxa"/>
              <w:right w:w="15" w:type="dxa"/>
            </w:tcMar>
            <w:vAlign w:val="center"/>
          </w:tcPr>
          <w:p w14:paraId="53CAFF05">
            <w:pPr>
              <w:spacing w:line="240" w:lineRule="exact"/>
              <w:jc w:val="right"/>
              <w:rPr>
                <w:rFonts w:ascii="宋体" w:hAnsi="宋体" w:eastAsia="宋体" w:cs="宋体"/>
                <w:sz w:val="18"/>
                <w:szCs w:val="18"/>
              </w:rPr>
            </w:pPr>
            <w:r>
              <w:rPr>
                <w:rFonts w:ascii="宋体" w:hAnsi="宋体" w:eastAsia="宋体" w:cs="宋体"/>
                <w:sz w:val="18"/>
                <w:szCs w:val="18"/>
              </w:rPr>
              <w:t>28,066,116.86</w:t>
            </w:r>
          </w:p>
        </w:tc>
        <w:tc>
          <w:tcPr>
            <w:tcW w:w="2799" w:type="dxa"/>
            <w:tcBorders>
              <w:top w:val="nil"/>
              <w:left w:val="nil"/>
              <w:bottom w:val="single" w:color="auto" w:sz="8" w:space="0"/>
              <w:right w:val="single" w:color="auto" w:sz="8" w:space="0"/>
            </w:tcBorders>
            <w:tcMar>
              <w:top w:w="15" w:type="dxa"/>
              <w:left w:w="15" w:type="dxa"/>
              <w:bottom w:w="15" w:type="dxa"/>
              <w:right w:w="15" w:type="dxa"/>
            </w:tcMar>
            <w:vAlign w:val="center"/>
          </w:tcPr>
          <w:p w14:paraId="7FAF8AEB">
            <w:pPr>
              <w:pStyle w:val="9"/>
              <w:spacing w:before="0" w:beforeAutospacing="0" w:after="0" w:afterAutospacing="0"/>
              <w:rPr>
                <w:rFonts w:ascii="Times New Roman" w:hAnsi="Times New Roman" w:cs="Times New Roman"/>
                <w:sz w:val="21"/>
                <w:szCs w:val="21"/>
              </w:rPr>
            </w:pPr>
            <w:r>
              <w:rPr>
                <w:rFonts w:hint="eastAsia" w:cs="Times New Roman"/>
                <w:sz w:val="18"/>
                <w:szCs w:val="18"/>
              </w:rPr>
              <w:t>营业成本</w:t>
            </w:r>
          </w:p>
        </w:tc>
      </w:tr>
      <w:tr w14:paraId="170EF730">
        <w:tblPrEx>
          <w:tblCellMar>
            <w:top w:w="0" w:type="dxa"/>
            <w:left w:w="0" w:type="dxa"/>
            <w:bottom w:w="0" w:type="dxa"/>
            <w:right w:w="0" w:type="dxa"/>
          </w:tblCellMar>
        </w:tblPrEx>
        <w:trPr>
          <w:trHeight w:val="340" w:hRule="atLeast"/>
        </w:trPr>
        <w:tc>
          <w:tcPr>
            <w:tcW w:w="2580" w:type="dxa"/>
            <w:tcBorders>
              <w:top w:val="nil"/>
              <w:left w:val="single" w:color="auto" w:sz="8" w:space="0"/>
              <w:bottom w:val="single" w:color="auto" w:sz="8" w:space="0"/>
              <w:right w:val="single" w:color="auto" w:sz="8" w:space="0"/>
            </w:tcBorders>
            <w:tcMar>
              <w:top w:w="15" w:type="dxa"/>
              <w:left w:w="15" w:type="dxa"/>
              <w:bottom w:w="15" w:type="dxa"/>
              <w:right w:w="15" w:type="dxa"/>
            </w:tcMar>
            <w:vAlign w:val="center"/>
          </w:tcPr>
          <w:p w14:paraId="166DD2F6">
            <w:pPr>
              <w:pStyle w:val="9"/>
              <w:spacing w:before="0" w:beforeAutospacing="0" w:after="0" w:afterAutospacing="0"/>
              <w:jc w:val="center"/>
              <w:textAlignment w:val="center"/>
              <w:rPr>
                <w:rFonts w:ascii="Times New Roman" w:hAnsi="Times New Roman" w:cs="Times New Roman"/>
                <w:sz w:val="21"/>
                <w:szCs w:val="21"/>
              </w:rPr>
            </w:pPr>
            <w:r>
              <w:rPr>
                <w:rFonts w:hint="eastAsia" w:cs="Times New Roman"/>
                <w:sz w:val="18"/>
                <w:szCs w:val="18"/>
              </w:rPr>
              <w:t>合计</w:t>
            </w:r>
          </w:p>
        </w:tc>
        <w:tc>
          <w:tcPr>
            <w:tcW w:w="1290" w:type="dxa"/>
            <w:tcBorders>
              <w:top w:val="nil"/>
              <w:left w:val="nil"/>
              <w:bottom w:val="single" w:color="auto" w:sz="8" w:space="0"/>
              <w:right w:val="single" w:color="auto" w:sz="8" w:space="0"/>
            </w:tcBorders>
            <w:tcMar>
              <w:top w:w="15" w:type="dxa"/>
              <w:left w:w="15" w:type="dxa"/>
              <w:bottom w:w="15" w:type="dxa"/>
              <w:right w:w="15" w:type="dxa"/>
            </w:tcMar>
            <w:vAlign w:val="center"/>
          </w:tcPr>
          <w:p w14:paraId="3A6F6262">
            <w:pPr>
              <w:pStyle w:val="9"/>
              <w:spacing w:before="0" w:beforeAutospacing="0" w:after="0" w:afterAutospacing="0"/>
              <w:rPr>
                <w:rFonts w:ascii="Times New Roman" w:hAnsi="Times New Roman" w:cs="Times New Roman"/>
                <w:sz w:val="21"/>
                <w:szCs w:val="21"/>
              </w:rPr>
            </w:pPr>
            <w:r>
              <w:rPr>
                <w:rFonts w:ascii="Arial Narrow" w:hAnsi="Arial Narrow" w:cs="Times New Roman"/>
                <w:sz w:val="18"/>
                <w:szCs w:val="18"/>
              </w:rPr>
              <w:t> </w:t>
            </w:r>
          </w:p>
        </w:tc>
        <w:tc>
          <w:tcPr>
            <w:tcW w:w="1492" w:type="dxa"/>
            <w:tcBorders>
              <w:top w:val="nil"/>
              <w:left w:val="nil"/>
              <w:bottom w:val="single" w:color="auto" w:sz="8" w:space="0"/>
              <w:right w:val="single" w:color="auto" w:sz="8" w:space="0"/>
            </w:tcBorders>
            <w:tcMar>
              <w:top w:w="15" w:type="dxa"/>
              <w:left w:w="15" w:type="dxa"/>
              <w:bottom w:w="15" w:type="dxa"/>
              <w:right w:w="15" w:type="dxa"/>
            </w:tcMar>
            <w:vAlign w:val="center"/>
          </w:tcPr>
          <w:p w14:paraId="2BE6DFAC">
            <w:pPr>
              <w:spacing w:line="240" w:lineRule="exact"/>
              <w:jc w:val="right"/>
              <w:rPr>
                <w:rFonts w:ascii="宋体" w:hAnsi="宋体" w:eastAsia="宋体" w:cs="宋体"/>
                <w:sz w:val="18"/>
                <w:szCs w:val="18"/>
              </w:rPr>
            </w:pPr>
            <w:r>
              <w:rPr>
                <w:rFonts w:ascii="宋体" w:hAnsi="宋体" w:eastAsia="宋体" w:cs="宋体"/>
                <w:sz w:val="18"/>
                <w:szCs w:val="18"/>
              </w:rPr>
              <w:t>174,569,595.27</w:t>
            </w:r>
          </w:p>
        </w:tc>
        <w:tc>
          <w:tcPr>
            <w:tcW w:w="1493" w:type="dxa"/>
            <w:tcBorders>
              <w:top w:val="nil"/>
              <w:left w:val="nil"/>
              <w:bottom w:val="single" w:color="auto" w:sz="8" w:space="0"/>
              <w:right w:val="single" w:color="auto" w:sz="8" w:space="0"/>
            </w:tcBorders>
            <w:tcMar>
              <w:top w:w="15" w:type="dxa"/>
              <w:left w:w="15" w:type="dxa"/>
              <w:bottom w:w="15" w:type="dxa"/>
              <w:right w:w="15" w:type="dxa"/>
            </w:tcMar>
            <w:vAlign w:val="center"/>
          </w:tcPr>
          <w:p w14:paraId="68A50308">
            <w:pPr>
              <w:spacing w:line="240" w:lineRule="exact"/>
              <w:jc w:val="right"/>
              <w:rPr>
                <w:rFonts w:ascii="宋体" w:hAnsi="宋体" w:eastAsia="宋体" w:cs="宋体"/>
                <w:sz w:val="18"/>
                <w:szCs w:val="18"/>
              </w:rPr>
            </w:pPr>
            <w:r>
              <w:rPr>
                <w:rFonts w:ascii="宋体" w:hAnsi="宋体" w:eastAsia="宋体" w:cs="宋体"/>
                <w:sz w:val="18"/>
                <w:szCs w:val="18"/>
              </w:rPr>
              <w:t>159,503,484.59</w:t>
            </w:r>
          </w:p>
        </w:tc>
        <w:tc>
          <w:tcPr>
            <w:tcW w:w="2799" w:type="dxa"/>
            <w:tcBorders>
              <w:top w:val="nil"/>
              <w:left w:val="nil"/>
              <w:bottom w:val="single" w:color="auto" w:sz="8" w:space="0"/>
              <w:right w:val="single" w:color="auto" w:sz="8" w:space="0"/>
            </w:tcBorders>
            <w:tcMar>
              <w:top w:w="15" w:type="dxa"/>
              <w:left w:w="15" w:type="dxa"/>
              <w:bottom w:w="15" w:type="dxa"/>
              <w:right w:w="15" w:type="dxa"/>
            </w:tcMar>
            <w:vAlign w:val="center"/>
          </w:tcPr>
          <w:p w14:paraId="3682A7F9">
            <w:pPr>
              <w:pStyle w:val="9"/>
              <w:spacing w:before="0" w:beforeAutospacing="0" w:after="0" w:afterAutospacing="0"/>
              <w:rPr>
                <w:rFonts w:ascii="Times New Roman" w:hAnsi="Times New Roman" w:cs="Times New Roman"/>
                <w:sz w:val="21"/>
                <w:szCs w:val="21"/>
              </w:rPr>
            </w:pPr>
            <w:r>
              <w:rPr>
                <w:rFonts w:ascii="Arial Narrow" w:hAnsi="Arial Narrow" w:cs="Times New Roman"/>
                <w:sz w:val="18"/>
                <w:szCs w:val="18"/>
              </w:rPr>
              <w:t> </w:t>
            </w:r>
          </w:p>
        </w:tc>
      </w:tr>
    </w:tbl>
    <w:p w14:paraId="5F99B6A2">
      <w:pPr>
        <w:pStyle w:val="2"/>
        <w:spacing w:before="300" w:after="300" w:line="320" w:lineRule="exact"/>
        <w:rPr>
          <w:rFonts w:ascii="宋体" w:hAnsi="宋体" w:eastAsia="宋体" w:cs="宋体"/>
          <w:b/>
          <w:bCs/>
          <w:sz w:val="24"/>
          <w:szCs w:val="24"/>
        </w:rPr>
      </w:pPr>
      <w:bookmarkStart w:id="540" w:name="_Toc989395"/>
      <w:r>
        <w:rPr>
          <w:rFonts w:ascii="宋体" w:hAnsi="宋体" w:eastAsia="宋体" w:cs="宋体"/>
          <w:b/>
          <w:bCs/>
          <w:sz w:val="24"/>
          <w:szCs w:val="24"/>
        </w:rPr>
        <w:t>十二、与金融工具相关的风险</w:t>
      </w:r>
      <w:bookmarkEnd w:id="540"/>
    </w:p>
    <w:p w14:paraId="403C6187">
      <w:pPr>
        <w:pStyle w:val="3"/>
        <w:spacing w:line="280" w:lineRule="exact"/>
        <w:jc w:val="left"/>
        <w:rPr>
          <w:rFonts w:ascii="宋体" w:hAnsi="宋体" w:cs="宋体"/>
          <w:b/>
          <w:bCs/>
        </w:rPr>
      </w:pPr>
      <w:bookmarkStart w:id="541" w:name="_Toc989396"/>
      <w:r>
        <w:rPr>
          <w:rFonts w:ascii="宋体" w:hAnsi="宋体" w:cs="宋体"/>
          <w:b/>
          <w:bCs/>
        </w:rPr>
        <w:t>1、金融工具产生的各类风险</w:t>
      </w:r>
      <w:bookmarkEnd w:id="541"/>
    </w:p>
    <w:p w14:paraId="69FCCF75">
      <w:pPr>
        <w:widowControl/>
        <w:numPr>
          <w:ilvl w:val="1"/>
          <w:numId w:val="113"/>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Style w:val="12"/>
          <w:rFonts w:hint="eastAsia"/>
          <w:sz w:val="18"/>
          <w:szCs w:val="18"/>
        </w:rPr>
        <w:t>信用风险</w:t>
      </w:r>
    </w:p>
    <w:p w14:paraId="615F4C56">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信用风险是指交易对手未能履行合同义务而导致本公司产生财务损失的风险，管理层已制定适当的信用政策，并且不断监察信用风险的敞口。</w:t>
      </w:r>
    </w:p>
    <w:p w14:paraId="2AC2D949">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本公司已采取政策只与信用良好的交易对手进行交易。另外，本公司基于对客户的财务状况、从第三方获取担保的可能性、信用记录及其它因素诸如目前市场状况等评估客户的信用资质并设置相应信用期。本公司对应收票据、应收账款余额及收回情况进行持续监控，对于信用记录不良的客户，本公司会采用书面催款、缩短信用期或取消信用期等方式，以确保本公司不致面临重大信用损失。此外，本公司于每个资产负债表日审核金融资产的回收情况，以确保相关金融资产计提了充分的预期信用损失准备。</w:t>
      </w:r>
    </w:p>
    <w:p w14:paraId="5AB02385">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本公司其他金融资产包括货币资金、其他应收款、债权投资等，这些金融资产的信用风险源自于交易对手违约，最大信用风险敞口为资产负债表中每项金融资产的账面金额。除附注十一、关联方及关联交易所载本公司作出的财务担保外，本公司没有提供任何其他可能令本公司承受信用风险的担保。</w:t>
      </w:r>
    </w:p>
    <w:p w14:paraId="2A6B5883">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本公司持有的货币资金主要存放于国有控股银行和其他大中型商业银行等金融机构，管理层认为这些商业银行具备较高信誉和资产状况，不存在重大的信用风险，不会产生因对方单位违约而导致的任何重大损失。本公司的政策是根据各知名金融机构的市场信誉、经营规模及财务背景来控制存放当中的存款金额，以限制对任何单个金融机构的信用风险金额。</w:t>
      </w:r>
    </w:p>
    <w:p w14:paraId="399DFBA4">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作为本公司信用风险资产管理的一部分，本公司利用账龄来评估应收账款和其他应收款的减值损失。本公司的应收账款和其他应收款涉及大量客户，账龄信息可以反映这些客户对于应收账款和其他应收款的偿付能力和坏账风险。本公司根据历史数据计算不同账龄期间的历史实际坏账率，并考虑了当前及未来经济状况的预测，如国家</w:t>
      </w:r>
      <w:r>
        <w:rPr>
          <w:rFonts w:ascii="Times New Roman" w:hAnsi="Times New Roman" w:cs="Times New Roman"/>
          <w:sz w:val="21"/>
          <w:szCs w:val="21"/>
        </w:rPr>
        <w:t>GDP</w:t>
      </w:r>
      <w:r>
        <w:rPr>
          <w:rFonts w:hint="eastAsia" w:cs="Times New Roman"/>
          <w:sz w:val="21"/>
          <w:szCs w:val="21"/>
        </w:rPr>
        <w:t>增速、基建投资总额、国家货币政策等前瞻性信息进行调整得出预期损失率。对于长期应收款，本公司综合考虑结算期、合同约定付款期、债务人的财务状况和债务人所处行业的经济形势，并考虑上述前瞻性信息进行调整后对于预期信用损失进行合理评估。</w:t>
      </w:r>
    </w:p>
    <w:p w14:paraId="58723609">
      <w:pPr>
        <w:widowControl/>
        <w:numPr>
          <w:ilvl w:val="1"/>
          <w:numId w:val="114"/>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Style w:val="12"/>
          <w:rFonts w:hint="eastAsia"/>
          <w:sz w:val="18"/>
          <w:szCs w:val="18"/>
        </w:rPr>
        <w:t>流动性风险</w:t>
      </w:r>
    </w:p>
    <w:p w14:paraId="30B6AA67">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流动性风险是指本公司在履行以交付现金或其他金融资产的方式结算的义务时发生资金短缺的风险。本公司下属成员企业各自负责其现金流量预测。公司下属资金管理部门基于各成员企业的现金流量预测结果，在公司层面持续监控公司短期和长期的资金需求，以确保维持充裕的现金储备；同时持续监控是否符合借款协议的规定，从主要金融机构获得提供足够备用资金的承诺，以满足短期和长期的资金需求。此外，本公司与主要业务往来银行订立融资额度授信协议，为本公司履行与商业票据相关的义务提供支持。</w:t>
      </w:r>
    </w:p>
    <w:p w14:paraId="58AA4B6C">
      <w:pPr>
        <w:widowControl/>
        <w:numPr>
          <w:ilvl w:val="1"/>
          <w:numId w:val="115"/>
        </w:numPr>
        <w:spacing w:before="100" w:beforeAutospacing="1" w:after="100" w:afterAutospacing="1"/>
        <w:rPr>
          <w:sz w:val="18"/>
          <w:szCs w:val="18"/>
        </w:rPr>
      </w:pPr>
      <w:r>
        <w:rPr>
          <w:rFonts w:hint="eastAsia"/>
          <w:sz w:val="18"/>
          <w:szCs w:val="18"/>
        </w:rPr>
        <w:t>．</w:t>
      </w:r>
      <w:r>
        <w:rPr>
          <w:rFonts w:ascii="Times New Roman" w:hAnsi="Times New Roman" w:cs="Times New Roman"/>
          <w:sz w:val="14"/>
          <w:szCs w:val="14"/>
        </w:rPr>
        <w:t xml:space="preserve">   </w:t>
      </w:r>
      <w:r>
        <w:rPr>
          <w:rStyle w:val="12"/>
          <w:rFonts w:hint="eastAsia"/>
          <w:sz w:val="18"/>
          <w:szCs w:val="18"/>
        </w:rPr>
        <w:t>市场风险</w:t>
      </w:r>
    </w:p>
    <w:p w14:paraId="397EBC73">
      <w:pPr>
        <w:widowControl/>
        <w:numPr>
          <w:ilvl w:val="0"/>
          <w:numId w:val="116"/>
        </w:numPr>
        <w:spacing w:before="100" w:beforeAutospacing="1" w:after="100" w:afterAutospacing="1"/>
        <w:rPr>
          <w:sz w:val="18"/>
          <w:szCs w:val="18"/>
        </w:rPr>
      </w:pPr>
      <w:r>
        <w:rPr>
          <w:rFonts w:hint="eastAsia"/>
          <w:sz w:val="18"/>
          <w:szCs w:val="18"/>
        </w:rPr>
        <w:t>汇率风险</w:t>
      </w:r>
    </w:p>
    <w:p w14:paraId="15D43F25">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本公司的主要经营位于中国境内，主要业务以人民币结算。但本公司已确认的外币资产和负债及未来的外币交易（外币资产和负债及外币交易的计价货币主要为美元、港币和越南盾）依然存在汇率风险。本公司资金管理部门负责监控公司外币交易和外币资产及负债的规模，以最大程度降低面临的汇率风险；为此，本公司可能会以签署远期外汇合约或货币互换合约来达到规避汇率风险的目的。</w:t>
      </w:r>
    </w:p>
    <w:p w14:paraId="423576B1">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截止</w:t>
      </w:r>
      <w:r>
        <w:rPr>
          <w:rFonts w:ascii="Times New Roman" w:hAnsi="Times New Roman" w:cs="Times New Roman"/>
          <w:sz w:val="21"/>
          <w:szCs w:val="21"/>
        </w:rPr>
        <w:t>2025</w:t>
      </w:r>
      <w:r>
        <w:rPr>
          <w:rFonts w:hint="eastAsia" w:cs="Times New Roman"/>
          <w:sz w:val="21"/>
          <w:szCs w:val="21"/>
        </w:rPr>
        <w:t>年</w:t>
      </w:r>
      <w:r>
        <w:rPr>
          <w:rFonts w:ascii="Times New Roman" w:hAnsi="Times New Roman" w:cs="Times New Roman"/>
          <w:sz w:val="21"/>
          <w:szCs w:val="21"/>
        </w:rPr>
        <w:t>12</w:t>
      </w:r>
      <w:r>
        <w:rPr>
          <w:rFonts w:hint="eastAsia" w:cs="Times New Roman"/>
          <w:sz w:val="21"/>
          <w:szCs w:val="21"/>
        </w:rPr>
        <w:t>月</w:t>
      </w:r>
      <w:r>
        <w:rPr>
          <w:rFonts w:ascii="Times New Roman" w:hAnsi="Times New Roman" w:cs="Times New Roman"/>
          <w:sz w:val="21"/>
          <w:szCs w:val="21"/>
        </w:rPr>
        <w:t>31</w:t>
      </w:r>
      <w:r>
        <w:rPr>
          <w:rFonts w:hint="eastAsia" w:cs="Times New Roman"/>
          <w:sz w:val="21"/>
          <w:szCs w:val="21"/>
        </w:rPr>
        <w:t>日，本公司持有的外币金融资产和外币金融负债折算成人民币的金额详见附注五、注释</w:t>
      </w:r>
      <w:r>
        <w:rPr>
          <w:rFonts w:ascii="Times New Roman" w:hAnsi="Times New Roman" w:cs="Times New Roman"/>
          <w:sz w:val="21"/>
          <w:szCs w:val="21"/>
        </w:rPr>
        <w:t>.61</w:t>
      </w:r>
      <w:r>
        <w:rPr>
          <w:rFonts w:hint="eastAsia" w:cs="Times New Roman"/>
          <w:sz w:val="21"/>
          <w:szCs w:val="21"/>
        </w:rPr>
        <w:t>。</w:t>
      </w:r>
    </w:p>
    <w:p w14:paraId="7929A0E9">
      <w:pPr>
        <w:widowControl/>
        <w:numPr>
          <w:ilvl w:val="0"/>
          <w:numId w:val="117"/>
        </w:numPr>
        <w:spacing w:before="100" w:beforeAutospacing="1" w:after="100" w:afterAutospacing="1"/>
        <w:rPr>
          <w:rFonts w:ascii="宋体" w:hAnsi="宋体" w:cs="宋体"/>
          <w:sz w:val="18"/>
          <w:szCs w:val="18"/>
        </w:rPr>
      </w:pPr>
      <w:r>
        <w:rPr>
          <w:rFonts w:hint="eastAsia"/>
          <w:sz w:val="18"/>
          <w:szCs w:val="18"/>
        </w:rPr>
        <w:t>利率风险</w:t>
      </w:r>
    </w:p>
    <w:p w14:paraId="3677825F">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本公司的利率风险主要产生于银行借款等。浮动利率的金融负债使本公司面临现金流量利率风险，固定利率的金融负债使本公司面临公允价值利率风险。本公司根据当时的市场环境来决定固定利率及浮动利率合同的相对比例。</w:t>
      </w:r>
    </w:p>
    <w:p w14:paraId="4E06A1C5">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本公司财务部门持续监控公司利率水平。利率上升会增加新增带息债务的成本以及本公司尚未付清的以浮动利率计息的带息债务的利息支出，并对本公司的财务业绩产生重大的不利影响，管理层会依据最新的市场状况及时做出调整，这些调整可能是融资结构和融资渠道的安排来降低利率风险。</w:t>
      </w:r>
    </w:p>
    <w:p w14:paraId="0AC1B50E">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截至</w:t>
      </w:r>
      <w:r>
        <w:rPr>
          <w:rFonts w:ascii="Times New Roman" w:hAnsi="Times New Roman" w:cs="Times New Roman"/>
          <w:sz w:val="21"/>
          <w:szCs w:val="21"/>
        </w:rPr>
        <w:t>2025</w:t>
      </w:r>
      <w:r>
        <w:rPr>
          <w:rFonts w:hint="eastAsia" w:cs="Times New Roman"/>
          <w:sz w:val="21"/>
          <w:szCs w:val="21"/>
        </w:rPr>
        <w:t>年</w:t>
      </w:r>
      <w:r>
        <w:rPr>
          <w:rFonts w:ascii="Times New Roman" w:hAnsi="Times New Roman" w:cs="Times New Roman"/>
          <w:sz w:val="21"/>
          <w:szCs w:val="21"/>
        </w:rPr>
        <w:t>12</w:t>
      </w:r>
      <w:r>
        <w:rPr>
          <w:rFonts w:hint="eastAsia" w:cs="Times New Roman"/>
          <w:sz w:val="21"/>
          <w:szCs w:val="21"/>
        </w:rPr>
        <w:t>月</w:t>
      </w:r>
      <w:r>
        <w:rPr>
          <w:rFonts w:ascii="Times New Roman" w:hAnsi="Times New Roman" w:cs="Times New Roman"/>
          <w:sz w:val="21"/>
          <w:szCs w:val="21"/>
        </w:rPr>
        <w:t>31</w:t>
      </w:r>
      <w:r>
        <w:rPr>
          <w:rFonts w:hint="eastAsia" w:cs="Times New Roman"/>
          <w:sz w:val="21"/>
          <w:szCs w:val="21"/>
        </w:rPr>
        <w:t>日，本公司的带息债务主要为人民币、港币和美元计价的固定利率长短借款，金额合计为人民币</w:t>
      </w:r>
      <w:r>
        <w:rPr>
          <w:rFonts w:ascii="Times New Roman" w:hAnsi="Times New Roman" w:cs="Times New Roman"/>
          <w:sz w:val="21"/>
          <w:szCs w:val="21"/>
        </w:rPr>
        <w:t>73.05</w:t>
      </w:r>
      <w:r>
        <w:rPr>
          <w:rFonts w:hint="eastAsia" w:cs="Times New Roman"/>
          <w:sz w:val="21"/>
          <w:szCs w:val="21"/>
        </w:rPr>
        <w:t>亿元（</w:t>
      </w:r>
      <w:r>
        <w:rPr>
          <w:rFonts w:ascii="Times New Roman" w:hAnsi="Times New Roman" w:cs="Times New Roman"/>
          <w:sz w:val="21"/>
          <w:szCs w:val="21"/>
        </w:rPr>
        <w:t>2024</w:t>
      </w:r>
      <w:r>
        <w:rPr>
          <w:rFonts w:hint="eastAsia" w:cs="Times New Roman"/>
          <w:sz w:val="21"/>
          <w:szCs w:val="21"/>
        </w:rPr>
        <w:t>年</w:t>
      </w:r>
      <w:r>
        <w:rPr>
          <w:rFonts w:ascii="Times New Roman" w:hAnsi="Times New Roman" w:cs="Times New Roman"/>
          <w:sz w:val="21"/>
          <w:szCs w:val="21"/>
        </w:rPr>
        <w:t>12</w:t>
      </w:r>
      <w:r>
        <w:rPr>
          <w:rFonts w:hint="eastAsia" w:cs="Times New Roman"/>
          <w:sz w:val="21"/>
          <w:szCs w:val="21"/>
        </w:rPr>
        <w:t>月</w:t>
      </w:r>
      <w:r>
        <w:rPr>
          <w:rFonts w:ascii="Times New Roman" w:hAnsi="Times New Roman" w:cs="Times New Roman"/>
          <w:sz w:val="21"/>
          <w:szCs w:val="21"/>
        </w:rPr>
        <w:t>31</w:t>
      </w:r>
      <w:r>
        <w:rPr>
          <w:rFonts w:hint="eastAsia" w:cs="Times New Roman"/>
          <w:sz w:val="21"/>
          <w:szCs w:val="21"/>
        </w:rPr>
        <w:t>日：人民币</w:t>
      </w:r>
      <w:r>
        <w:rPr>
          <w:rFonts w:ascii="Times New Roman" w:hAnsi="Times New Roman" w:cs="Times New Roman"/>
          <w:sz w:val="21"/>
          <w:szCs w:val="21"/>
        </w:rPr>
        <w:t>89.03</w:t>
      </w:r>
      <w:r>
        <w:rPr>
          <w:rFonts w:hint="eastAsia" w:cs="Times New Roman"/>
          <w:sz w:val="21"/>
          <w:szCs w:val="21"/>
        </w:rPr>
        <w:t>亿元）。</w:t>
      </w:r>
    </w:p>
    <w:p w14:paraId="3FE54064">
      <w:pPr>
        <w:widowControl/>
        <w:numPr>
          <w:ilvl w:val="0"/>
          <w:numId w:val="118"/>
        </w:numPr>
        <w:spacing w:before="100" w:beforeAutospacing="1" w:after="100" w:afterAutospacing="1"/>
        <w:rPr>
          <w:rFonts w:ascii="宋体" w:hAnsi="宋体" w:cs="宋体"/>
          <w:sz w:val="18"/>
          <w:szCs w:val="18"/>
        </w:rPr>
      </w:pPr>
      <w:r>
        <w:rPr>
          <w:rFonts w:hint="eastAsia"/>
          <w:sz w:val="18"/>
          <w:szCs w:val="18"/>
        </w:rPr>
        <w:t>价格风险</w:t>
      </w:r>
    </w:p>
    <w:p w14:paraId="09C8642C">
      <w:pPr>
        <w:pStyle w:val="9"/>
        <w:spacing w:before="0" w:beforeAutospacing="0" w:after="0" w:afterAutospacing="0" w:line="360" w:lineRule="auto"/>
        <w:ind w:firstLine="424"/>
        <w:jc w:val="both"/>
        <w:rPr>
          <w:rFonts w:ascii="Times New Roman" w:hAnsi="Times New Roman" w:cs="Times New Roman"/>
          <w:sz w:val="21"/>
          <w:szCs w:val="21"/>
        </w:rPr>
      </w:pPr>
      <w:r>
        <w:rPr>
          <w:rFonts w:hint="eastAsia" w:cs="Times New Roman"/>
          <w:sz w:val="21"/>
          <w:szCs w:val="21"/>
        </w:rPr>
        <w:t>价格风险指汇率风险和利率风险以外的市场价格变动而发生波动的风险，主要源于商品价格、股票市场指数、权益工具价格以及其他风险变量的变化。</w:t>
      </w:r>
    </w:p>
    <w:p w14:paraId="7BB22B93">
      <w:pPr>
        <w:pStyle w:val="3"/>
        <w:spacing w:line="280" w:lineRule="exact"/>
        <w:jc w:val="left"/>
        <w:rPr>
          <w:rFonts w:ascii="宋体" w:hAnsi="宋体" w:cs="宋体"/>
          <w:b/>
          <w:bCs/>
        </w:rPr>
      </w:pPr>
      <w:bookmarkStart w:id="542" w:name="_Toc989397"/>
      <w:r>
        <w:rPr>
          <w:rFonts w:ascii="宋体" w:hAnsi="宋体" w:cs="宋体"/>
          <w:b/>
          <w:bCs/>
        </w:rPr>
        <w:t>2、套期</w:t>
      </w:r>
      <w:bookmarkEnd w:id="542"/>
    </w:p>
    <w:p w14:paraId="6238E41E">
      <w:pPr>
        <w:keepNext/>
        <w:keepLines/>
        <w:spacing w:before="300" w:after="300" w:line="280" w:lineRule="exact"/>
        <w:outlineLvl w:val="3"/>
        <w:rPr>
          <w:rFonts w:ascii="宋体" w:hAnsi="宋体" w:eastAsia="宋体" w:cs="宋体"/>
          <w:b/>
          <w:bCs/>
          <w:sz w:val="18"/>
          <w:szCs w:val="18"/>
        </w:rPr>
      </w:pPr>
      <w:bookmarkStart w:id="543" w:name="_Toc989398"/>
      <w:r>
        <w:rPr>
          <w:rFonts w:ascii="宋体" w:hAnsi="宋体" w:eastAsia="宋体" w:cs="宋体"/>
          <w:b/>
          <w:bCs/>
          <w:sz w:val="18"/>
          <w:szCs w:val="18"/>
        </w:rPr>
        <w:t>（1） 公司开展套期业务进行风险管理</w:t>
      </w:r>
      <w:bookmarkEnd w:id="543"/>
    </w:p>
    <w:p w14:paraId="2C91A812">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7F1817E">
      <w:pPr>
        <w:keepNext/>
        <w:keepLines/>
        <w:spacing w:before="300" w:after="300" w:line="280" w:lineRule="exact"/>
        <w:outlineLvl w:val="3"/>
        <w:rPr>
          <w:rFonts w:ascii="宋体" w:hAnsi="宋体" w:eastAsia="宋体" w:cs="宋体"/>
          <w:b/>
          <w:bCs/>
          <w:sz w:val="18"/>
          <w:szCs w:val="18"/>
        </w:rPr>
      </w:pPr>
      <w:bookmarkStart w:id="544" w:name="_Toc989399"/>
      <w:r>
        <w:rPr>
          <w:rFonts w:ascii="宋体" w:hAnsi="宋体" w:eastAsia="宋体" w:cs="宋体"/>
          <w:b/>
          <w:bCs/>
          <w:sz w:val="18"/>
          <w:szCs w:val="18"/>
        </w:rPr>
        <w:t>（2） 公司开展符合条件套期业务并应用套期会计</w:t>
      </w:r>
      <w:bookmarkEnd w:id="544"/>
    </w:p>
    <w:p w14:paraId="162CCDCF">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496C34E1">
      <w:pPr>
        <w:keepNext/>
        <w:keepLines/>
        <w:spacing w:before="300" w:after="300" w:line="280" w:lineRule="exact"/>
        <w:outlineLvl w:val="3"/>
        <w:rPr>
          <w:rFonts w:ascii="宋体" w:hAnsi="宋体" w:eastAsia="宋体" w:cs="宋体"/>
          <w:b/>
          <w:bCs/>
          <w:sz w:val="18"/>
          <w:szCs w:val="18"/>
        </w:rPr>
      </w:pPr>
      <w:bookmarkStart w:id="545" w:name="_Toc989400"/>
      <w:r>
        <w:rPr>
          <w:rFonts w:ascii="宋体" w:hAnsi="宋体" w:eastAsia="宋体" w:cs="宋体"/>
          <w:b/>
          <w:bCs/>
          <w:sz w:val="18"/>
          <w:szCs w:val="18"/>
        </w:rPr>
        <w:t>（3） 公司开展套期业务进行风险管理、预期能实现风险管理目标但未应用套期会计</w:t>
      </w:r>
      <w:bookmarkEnd w:id="545"/>
    </w:p>
    <w:p w14:paraId="3AF77184">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72E53D9">
      <w:pPr>
        <w:pStyle w:val="3"/>
        <w:spacing w:line="280" w:lineRule="exact"/>
        <w:jc w:val="left"/>
        <w:rPr>
          <w:rFonts w:ascii="宋体" w:hAnsi="宋体" w:cs="宋体"/>
          <w:b/>
          <w:bCs/>
        </w:rPr>
      </w:pPr>
      <w:bookmarkStart w:id="546" w:name="_Toc989401"/>
      <w:r>
        <w:rPr>
          <w:rFonts w:ascii="宋体" w:hAnsi="宋体" w:cs="宋体"/>
          <w:b/>
          <w:bCs/>
        </w:rPr>
        <w:t>3、金融资产</w:t>
      </w:r>
      <w:bookmarkEnd w:id="546"/>
    </w:p>
    <w:p w14:paraId="00AC6316">
      <w:pPr>
        <w:keepNext/>
        <w:keepLines/>
        <w:spacing w:before="300" w:after="300" w:line="280" w:lineRule="exact"/>
        <w:outlineLvl w:val="3"/>
        <w:rPr>
          <w:rFonts w:ascii="宋体" w:hAnsi="宋体" w:eastAsia="宋体" w:cs="宋体"/>
          <w:b/>
          <w:bCs/>
          <w:sz w:val="18"/>
          <w:szCs w:val="18"/>
        </w:rPr>
      </w:pPr>
      <w:bookmarkStart w:id="547" w:name="_Toc989402"/>
      <w:r>
        <w:rPr>
          <w:rFonts w:ascii="宋体" w:hAnsi="宋体" w:eastAsia="宋体" w:cs="宋体"/>
          <w:b/>
          <w:bCs/>
          <w:sz w:val="18"/>
          <w:szCs w:val="18"/>
        </w:rPr>
        <w:t>（1） 转移方式分类</w:t>
      </w:r>
      <w:bookmarkEnd w:id="547"/>
    </w:p>
    <w:p w14:paraId="79DBBED7">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42487B8">
      <w:pPr>
        <w:keepNext/>
        <w:keepLines/>
        <w:spacing w:before="300" w:after="300" w:line="280" w:lineRule="exact"/>
        <w:outlineLvl w:val="3"/>
        <w:rPr>
          <w:rFonts w:ascii="宋体" w:hAnsi="宋体" w:eastAsia="宋体" w:cs="宋体"/>
          <w:b/>
          <w:bCs/>
          <w:sz w:val="18"/>
          <w:szCs w:val="18"/>
        </w:rPr>
      </w:pPr>
      <w:bookmarkStart w:id="548" w:name="_Toc989403"/>
      <w:r>
        <w:rPr>
          <w:rFonts w:ascii="宋体" w:hAnsi="宋体" w:eastAsia="宋体" w:cs="宋体"/>
          <w:b/>
          <w:bCs/>
          <w:sz w:val="18"/>
          <w:szCs w:val="18"/>
        </w:rPr>
        <w:t>（2） 因转移而终止确认的金融资产</w:t>
      </w:r>
      <w:bookmarkEnd w:id="548"/>
    </w:p>
    <w:p w14:paraId="3CF54F2A">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66EA7A2">
      <w:pPr>
        <w:keepNext/>
        <w:keepLines/>
        <w:spacing w:before="300" w:after="300" w:line="280" w:lineRule="exact"/>
        <w:outlineLvl w:val="3"/>
        <w:rPr>
          <w:rFonts w:ascii="宋体" w:hAnsi="宋体" w:eastAsia="宋体" w:cs="宋体"/>
          <w:b/>
          <w:bCs/>
          <w:sz w:val="18"/>
          <w:szCs w:val="18"/>
        </w:rPr>
      </w:pPr>
      <w:bookmarkStart w:id="549" w:name="_Toc989404"/>
      <w:r>
        <w:rPr>
          <w:rFonts w:ascii="宋体" w:hAnsi="宋体" w:eastAsia="宋体" w:cs="宋体"/>
          <w:b/>
          <w:bCs/>
          <w:sz w:val="18"/>
          <w:szCs w:val="18"/>
        </w:rPr>
        <w:t>（3） 继续涉入的资产转移金融资产</w:t>
      </w:r>
      <w:bookmarkEnd w:id="549"/>
    </w:p>
    <w:p w14:paraId="16EAC0E9">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8199892">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7BB4F3E3">
      <w:pPr>
        <w:pStyle w:val="2"/>
        <w:spacing w:before="300" w:after="300" w:line="320" w:lineRule="exact"/>
        <w:rPr>
          <w:rFonts w:ascii="宋体" w:hAnsi="宋体" w:eastAsia="宋体" w:cs="宋体"/>
          <w:b/>
          <w:bCs/>
          <w:sz w:val="24"/>
          <w:szCs w:val="24"/>
        </w:rPr>
      </w:pPr>
      <w:bookmarkStart w:id="550" w:name="_Toc989405"/>
      <w:r>
        <w:rPr>
          <w:rFonts w:ascii="宋体" w:hAnsi="宋体" w:eastAsia="宋体" w:cs="宋体"/>
          <w:b/>
          <w:bCs/>
          <w:sz w:val="24"/>
          <w:szCs w:val="24"/>
        </w:rPr>
        <w:t>十三、公允价值的披露</w:t>
      </w:r>
      <w:bookmarkEnd w:id="550"/>
    </w:p>
    <w:p w14:paraId="4CB17A63">
      <w:pPr>
        <w:pStyle w:val="3"/>
        <w:spacing w:line="280" w:lineRule="exact"/>
        <w:jc w:val="left"/>
        <w:rPr>
          <w:rFonts w:ascii="宋体" w:hAnsi="宋体" w:cs="宋体"/>
          <w:b/>
          <w:bCs/>
        </w:rPr>
      </w:pPr>
      <w:bookmarkStart w:id="551" w:name="_Toc989406"/>
      <w:r>
        <w:rPr>
          <w:rFonts w:ascii="宋体" w:hAnsi="宋体" w:cs="宋体"/>
          <w:b/>
          <w:bCs/>
        </w:rPr>
        <w:t>1、以公允价值计量的资产和负债的期末公允价值</w:t>
      </w:r>
      <w:bookmarkEnd w:id="551"/>
    </w:p>
    <w:p w14:paraId="70B67E11">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32171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1AAE595">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3616B2BB">
            <w:pPr>
              <w:spacing w:before="40" w:after="40" w:line="240" w:lineRule="exact"/>
              <w:jc w:val="center"/>
              <w:rPr>
                <w:rFonts w:ascii="宋体" w:hAnsi="宋体" w:eastAsia="宋体" w:cs="宋体"/>
                <w:sz w:val="18"/>
                <w:szCs w:val="18"/>
              </w:rPr>
            </w:pPr>
            <w:r>
              <w:rPr>
                <w:rFonts w:ascii="宋体" w:hAnsi="宋体" w:eastAsia="宋体" w:cs="宋体"/>
                <w:sz w:val="18"/>
                <w:szCs w:val="18"/>
              </w:rPr>
              <w:t>期末公允价值</w:t>
            </w:r>
          </w:p>
        </w:tc>
      </w:tr>
      <w:tr w14:paraId="480F8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729E02A"/>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F988B5C">
            <w:pPr>
              <w:spacing w:before="40" w:after="40" w:line="240" w:lineRule="exact"/>
              <w:jc w:val="center"/>
              <w:rPr>
                <w:rFonts w:ascii="宋体" w:hAnsi="宋体" w:eastAsia="宋体" w:cs="宋体"/>
                <w:sz w:val="18"/>
                <w:szCs w:val="18"/>
              </w:rPr>
            </w:pPr>
            <w:r>
              <w:rPr>
                <w:rFonts w:ascii="宋体" w:hAnsi="宋体" w:eastAsia="宋体" w:cs="宋体"/>
                <w:sz w:val="18"/>
                <w:szCs w:val="18"/>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6B20A50">
            <w:pPr>
              <w:spacing w:before="40" w:after="40" w:line="240" w:lineRule="exact"/>
              <w:jc w:val="center"/>
              <w:rPr>
                <w:rFonts w:ascii="宋体" w:hAnsi="宋体" w:eastAsia="宋体" w:cs="宋体"/>
                <w:sz w:val="18"/>
                <w:szCs w:val="18"/>
              </w:rPr>
            </w:pPr>
            <w:r>
              <w:rPr>
                <w:rFonts w:ascii="宋体" w:hAnsi="宋体" w:eastAsia="宋体" w:cs="宋体"/>
                <w:sz w:val="18"/>
                <w:szCs w:val="18"/>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0B8B0C0">
            <w:pPr>
              <w:spacing w:before="40" w:after="40" w:line="240" w:lineRule="exact"/>
              <w:jc w:val="center"/>
              <w:rPr>
                <w:rFonts w:ascii="宋体" w:hAnsi="宋体" w:eastAsia="宋体" w:cs="宋体"/>
                <w:sz w:val="18"/>
                <w:szCs w:val="18"/>
              </w:rPr>
            </w:pPr>
            <w:r>
              <w:rPr>
                <w:rFonts w:ascii="宋体" w:hAnsi="宋体" w:eastAsia="宋体" w:cs="宋体"/>
                <w:sz w:val="18"/>
                <w:szCs w:val="18"/>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10D262B">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79032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EC70307">
            <w:pPr>
              <w:spacing w:before="40" w:after="40" w:line="240" w:lineRule="exact"/>
              <w:rPr>
                <w:rFonts w:ascii="宋体" w:hAnsi="宋体" w:eastAsia="宋体" w:cs="宋体"/>
                <w:sz w:val="18"/>
                <w:szCs w:val="18"/>
              </w:rPr>
            </w:pPr>
            <w:r>
              <w:rPr>
                <w:rFonts w:ascii="宋体" w:hAnsi="宋体" w:eastAsia="宋体" w:cs="宋体"/>
                <w:sz w:val="18"/>
                <w:szCs w:val="18"/>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E7FD10E">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F28C4A0">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9C28B0C">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819A05E">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14:paraId="2A5C6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A22FCD6">
            <w:pPr>
              <w:spacing w:before="40" w:after="40" w:line="240" w:lineRule="exact"/>
              <w:rPr>
                <w:rFonts w:ascii="宋体" w:hAnsi="宋体" w:eastAsia="宋体" w:cs="宋体"/>
                <w:sz w:val="18"/>
                <w:szCs w:val="18"/>
              </w:rPr>
            </w:pPr>
            <w:r>
              <w:rPr>
                <w:rFonts w:ascii="宋体" w:hAnsi="宋体" w:eastAsia="宋体" w:cs="宋体"/>
                <w:sz w:val="18"/>
                <w:szCs w:val="18"/>
              </w:rPr>
              <w:t>（3）衍生金融资产</w:t>
            </w:r>
          </w:p>
        </w:tc>
        <w:tc>
          <w:tcPr>
            <w:tcW w:w="1928" w:type="dxa"/>
            <w:tcBorders>
              <w:top w:val="single" w:color="auto" w:sz="2" w:space="0"/>
              <w:left w:val="single" w:color="auto" w:sz="2" w:space="0"/>
              <w:bottom w:val="single" w:color="auto" w:sz="2" w:space="0"/>
              <w:right w:val="single" w:color="auto" w:sz="2" w:space="0"/>
            </w:tcBorders>
            <w:vAlign w:val="center"/>
          </w:tcPr>
          <w:p w14:paraId="36F742E3">
            <w:pPr>
              <w:spacing w:line="240" w:lineRule="exact"/>
              <w:jc w:val="right"/>
              <w:rPr>
                <w:rFonts w:ascii="宋体" w:hAnsi="宋体" w:eastAsia="宋体" w:cs="宋体"/>
                <w:sz w:val="18"/>
                <w:szCs w:val="18"/>
              </w:rPr>
            </w:pPr>
            <w:r>
              <w:rPr>
                <w:rFonts w:ascii="宋体" w:hAnsi="宋体" w:eastAsia="宋体" w:cs="宋体"/>
                <w:sz w:val="18"/>
                <w:szCs w:val="18"/>
              </w:rPr>
              <w:t>52,298,892.10</w:t>
            </w:r>
          </w:p>
        </w:tc>
        <w:tc>
          <w:tcPr>
            <w:tcW w:w="1928" w:type="dxa"/>
            <w:tcBorders>
              <w:top w:val="single" w:color="auto" w:sz="2" w:space="0"/>
              <w:left w:val="single" w:color="auto" w:sz="2" w:space="0"/>
              <w:bottom w:val="single" w:color="auto" w:sz="2" w:space="0"/>
              <w:right w:val="single" w:color="auto" w:sz="2" w:space="0"/>
            </w:tcBorders>
            <w:vAlign w:val="center"/>
          </w:tcPr>
          <w:p w14:paraId="4829960F">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881E776">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0AEFAA7">
            <w:pPr>
              <w:spacing w:line="240" w:lineRule="exact"/>
              <w:jc w:val="right"/>
              <w:rPr>
                <w:rFonts w:ascii="宋体" w:hAnsi="宋体" w:eastAsia="宋体" w:cs="宋体"/>
                <w:sz w:val="18"/>
                <w:szCs w:val="18"/>
              </w:rPr>
            </w:pPr>
            <w:r>
              <w:rPr>
                <w:rFonts w:ascii="宋体" w:hAnsi="宋体" w:eastAsia="宋体" w:cs="宋体"/>
                <w:sz w:val="18"/>
                <w:szCs w:val="18"/>
              </w:rPr>
              <w:t>52,298,892.10</w:t>
            </w:r>
          </w:p>
        </w:tc>
      </w:tr>
      <w:tr w14:paraId="11B82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F0DBE62">
            <w:pPr>
              <w:spacing w:line="240" w:lineRule="exact"/>
              <w:rPr>
                <w:rFonts w:ascii="宋体" w:hAnsi="宋体" w:eastAsia="宋体" w:cs="宋体"/>
                <w:sz w:val="18"/>
                <w:szCs w:val="18"/>
              </w:rPr>
            </w:pPr>
            <w:r>
              <w:rPr>
                <w:rFonts w:ascii="宋体" w:hAnsi="宋体" w:eastAsia="宋体" w:cs="宋体"/>
                <w:sz w:val="18"/>
                <w:szCs w:val="18"/>
              </w:rPr>
              <w:t>货币型基金</w:t>
            </w:r>
          </w:p>
        </w:tc>
        <w:tc>
          <w:tcPr>
            <w:tcW w:w="1928" w:type="dxa"/>
            <w:tcBorders>
              <w:top w:val="single" w:color="auto" w:sz="2" w:space="0"/>
              <w:left w:val="single" w:color="auto" w:sz="2" w:space="0"/>
              <w:bottom w:val="single" w:color="auto" w:sz="2" w:space="0"/>
              <w:right w:val="single" w:color="auto" w:sz="2" w:space="0"/>
            </w:tcBorders>
            <w:vAlign w:val="center"/>
          </w:tcPr>
          <w:p w14:paraId="46332470">
            <w:pPr>
              <w:spacing w:line="240" w:lineRule="exact"/>
              <w:jc w:val="right"/>
              <w:rPr>
                <w:rFonts w:ascii="宋体" w:hAnsi="宋体" w:eastAsia="宋体" w:cs="宋体"/>
                <w:sz w:val="18"/>
                <w:szCs w:val="18"/>
              </w:rPr>
            </w:pPr>
            <w:r>
              <w:rPr>
                <w:rFonts w:ascii="宋体" w:hAnsi="宋体" w:eastAsia="宋体" w:cs="宋体"/>
                <w:sz w:val="18"/>
                <w:szCs w:val="18"/>
              </w:rPr>
              <w:t>36,458,061.32</w:t>
            </w:r>
          </w:p>
        </w:tc>
        <w:tc>
          <w:tcPr>
            <w:tcW w:w="1928" w:type="dxa"/>
            <w:tcBorders>
              <w:top w:val="single" w:color="auto" w:sz="2" w:space="0"/>
              <w:left w:val="single" w:color="auto" w:sz="2" w:space="0"/>
              <w:bottom w:val="single" w:color="auto" w:sz="2" w:space="0"/>
              <w:right w:val="single" w:color="auto" w:sz="2" w:space="0"/>
            </w:tcBorders>
            <w:vAlign w:val="center"/>
          </w:tcPr>
          <w:p w14:paraId="03B37BDF">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0748DB1">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0B91B40">
            <w:pPr>
              <w:spacing w:line="240" w:lineRule="exact"/>
              <w:jc w:val="right"/>
              <w:rPr>
                <w:rFonts w:ascii="宋体" w:hAnsi="宋体" w:eastAsia="宋体" w:cs="宋体"/>
                <w:sz w:val="18"/>
                <w:szCs w:val="18"/>
              </w:rPr>
            </w:pPr>
            <w:r>
              <w:rPr>
                <w:rFonts w:ascii="宋体" w:hAnsi="宋体" w:eastAsia="宋体" w:cs="宋体"/>
                <w:sz w:val="18"/>
                <w:szCs w:val="18"/>
              </w:rPr>
              <w:t>36,458,061.32</w:t>
            </w:r>
          </w:p>
        </w:tc>
      </w:tr>
      <w:tr w14:paraId="57C79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7FD29A2E">
            <w:pPr>
              <w:spacing w:line="240" w:lineRule="exact"/>
              <w:rPr>
                <w:rFonts w:ascii="宋体" w:hAnsi="宋体" w:eastAsia="宋体" w:cs="宋体"/>
                <w:sz w:val="18"/>
                <w:szCs w:val="18"/>
              </w:rPr>
            </w:pPr>
            <w:r>
              <w:rPr>
                <w:rFonts w:ascii="宋体" w:hAnsi="宋体" w:eastAsia="宋体" w:cs="宋体"/>
                <w:sz w:val="18"/>
                <w:szCs w:val="18"/>
              </w:rPr>
              <w:t>权益工具投资</w:t>
            </w:r>
          </w:p>
        </w:tc>
        <w:tc>
          <w:tcPr>
            <w:tcW w:w="1928" w:type="dxa"/>
            <w:tcBorders>
              <w:top w:val="single" w:color="auto" w:sz="2" w:space="0"/>
              <w:left w:val="single" w:color="auto" w:sz="2" w:space="0"/>
              <w:bottom w:val="single" w:color="auto" w:sz="2" w:space="0"/>
              <w:right w:val="single" w:color="auto" w:sz="2" w:space="0"/>
            </w:tcBorders>
            <w:vAlign w:val="center"/>
          </w:tcPr>
          <w:p w14:paraId="63160026">
            <w:pPr>
              <w:spacing w:line="240" w:lineRule="exact"/>
              <w:jc w:val="right"/>
              <w:rPr>
                <w:rFonts w:ascii="宋体" w:hAnsi="宋体" w:eastAsia="宋体" w:cs="宋体"/>
                <w:sz w:val="18"/>
                <w:szCs w:val="18"/>
              </w:rPr>
            </w:pPr>
            <w:r>
              <w:rPr>
                <w:rFonts w:ascii="宋体" w:hAnsi="宋体" w:eastAsia="宋体" w:cs="宋体"/>
                <w:sz w:val="18"/>
                <w:szCs w:val="18"/>
              </w:rPr>
              <w:t>2,261,736.20</w:t>
            </w:r>
          </w:p>
        </w:tc>
        <w:tc>
          <w:tcPr>
            <w:tcW w:w="1928" w:type="dxa"/>
            <w:tcBorders>
              <w:top w:val="single" w:color="auto" w:sz="2" w:space="0"/>
              <w:left w:val="single" w:color="auto" w:sz="2" w:space="0"/>
              <w:bottom w:val="single" w:color="auto" w:sz="2" w:space="0"/>
              <w:right w:val="single" w:color="auto" w:sz="2" w:space="0"/>
            </w:tcBorders>
            <w:vAlign w:val="center"/>
          </w:tcPr>
          <w:p w14:paraId="71C1F951">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C2E7C45">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C0F6B85">
            <w:pPr>
              <w:spacing w:line="240" w:lineRule="exact"/>
              <w:jc w:val="right"/>
              <w:rPr>
                <w:rFonts w:ascii="宋体" w:hAnsi="宋体" w:eastAsia="宋体" w:cs="宋体"/>
                <w:sz w:val="18"/>
                <w:szCs w:val="18"/>
              </w:rPr>
            </w:pPr>
            <w:r>
              <w:rPr>
                <w:rFonts w:ascii="宋体" w:hAnsi="宋体" w:eastAsia="宋体" w:cs="宋体"/>
                <w:sz w:val="18"/>
                <w:szCs w:val="18"/>
              </w:rPr>
              <w:t>2,261,736.20</w:t>
            </w:r>
          </w:p>
        </w:tc>
      </w:tr>
      <w:tr w14:paraId="107FB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281B4E9">
            <w:pPr>
              <w:spacing w:line="240" w:lineRule="exact"/>
              <w:rPr>
                <w:rFonts w:ascii="宋体" w:hAnsi="宋体" w:eastAsia="宋体" w:cs="宋体"/>
                <w:sz w:val="18"/>
                <w:szCs w:val="18"/>
              </w:rPr>
            </w:pPr>
            <w:r>
              <w:rPr>
                <w:rFonts w:ascii="宋体" w:hAnsi="宋体" w:eastAsia="宋体" w:cs="宋体"/>
                <w:sz w:val="18"/>
                <w:szCs w:val="18"/>
              </w:rPr>
              <w:t>银行理财产品</w:t>
            </w:r>
          </w:p>
        </w:tc>
        <w:tc>
          <w:tcPr>
            <w:tcW w:w="1928" w:type="dxa"/>
            <w:tcBorders>
              <w:top w:val="single" w:color="auto" w:sz="2" w:space="0"/>
              <w:left w:val="single" w:color="auto" w:sz="2" w:space="0"/>
              <w:bottom w:val="single" w:color="auto" w:sz="2" w:space="0"/>
              <w:right w:val="single" w:color="auto" w:sz="2" w:space="0"/>
            </w:tcBorders>
            <w:vAlign w:val="center"/>
          </w:tcPr>
          <w:p w14:paraId="72CEE46D">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64EFA59">
            <w:pPr>
              <w:spacing w:line="240" w:lineRule="exact"/>
              <w:jc w:val="right"/>
              <w:rPr>
                <w:rFonts w:ascii="宋体" w:hAnsi="宋体" w:eastAsia="宋体" w:cs="宋体"/>
                <w:sz w:val="18"/>
                <w:szCs w:val="18"/>
              </w:rPr>
            </w:pPr>
            <w:r>
              <w:rPr>
                <w:rFonts w:ascii="宋体" w:hAnsi="宋体" w:eastAsia="宋体" w:cs="宋体"/>
                <w:sz w:val="18"/>
                <w:szCs w:val="18"/>
              </w:rPr>
              <w:t>168,547,029.62</w:t>
            </w:r>
          </w:p>
        </w:tc>
        <w:tc>
          <w:tcPr>
            <w:tcW w:w="1928" w:type="dxa"/>
            <w:tcBorders>
              <w:top w:val="single" w:color="auto" w:sz="2" w:space="0"/>
              <w:left w:val="single" w:color="auto" w:sz="2" w:space="0"/>
              <w:bottom w:val="single" w:color="auto" w:sz="2" w:space="0"/>
              <w:right w:val="single" w:color="auto" w:sz="2" w:space="0"/>
            </w:tcBorders>
            <w:vAlign w:val="center"/>
          </w:tcPr>
          <w:p w14:paraId="118EF969">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39A2E4A2">
            <w:pPr>
              <w:spacing w:line="240" w:lineRule="exact"/>
              <w:jc w:val="right"/>
              <w:rPr>
                <w:rFonts w:ascii="宋体" w:hAnsi="宋体" w:eastAsia="宋体" w:cs="宋体"/>
                <w:sz w:val="18"/>
                <w:szCs w:val="18"/>
              </w:rPr>
            </w:pPr>
            <w:r>
              <w:rPr>
                <w:rFonts w:ascii="宋体" w:hAnsi="宋体" w:eastAsia="宋体" w:cs="宋体"/>
                <w:sz w:val="18"/>
                <w:szCs w:val="18"/>
              </w:rPr>
              <w:t>168,547,029.62</w:t>
            </w:r>
          </w:p>
        </w:tc>
      </w:tr>
      <w:tr w14:paraId="2DB66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3B7D5B24">
            <w:pPr>
              <w:spacing w:line="240" w:lineRule="exact"/>
              <w:rPr>
                <w:rFonts w:ascii="宋体" w:hAnsi="宋体" w:eastAsia="宋体" w:cs="宋体"/>
                <w:sz w:val="18"/>
                <w:szCs w:val="18"/>
              </w:rPr>
            </w:pPr>
            <w:r>
              <w:rPr>
                <w:rFonts w:ascii="宋体" w:hAnsi="宋体" w:eastAsia="宋体" w:cs="宋体"/>
                <w:sz w:val="18"/>
                <w:szCs w:val="18"/>
              </w:rPr>
              <w:t>信托基金</w:t>
            </w:r>
          </w:p>
        </w:tc>
        <w:tc>
          <w:tcPr>
            <w:tcW w:w="1928" w:type="dxa"/>
            <w:tcBorders>
              <w:top w:val="single" w:color="auto" w:sz="2" w:space="0"/>
              <w:left w:val="single" w:color="auto" w:sz="2" w:space="0"/>
              <w:bottom w:val="single" w:color="auto" w:sz="2" w:space="0"/>
              <w:right w:val="single" w:color="auto" w:sz="2" w:space="0"/>
            </w:tcBorders>
            <w:vAlign w:val="center"/>
          </w:tcPr>
          <w:p w14:paraId="3682041E">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282483B">
            <w:pPr>
              <w:spacing w:line="240" w:lineRule="exact"/>
              <w:jc w:val="right"/>
              <w:rPr>
                <w:rFonts w:ascii="宋体" w:hAnsi="宋体" w:eastAsia="宋体" w:cs="宋体"/>
                <w:sz w:val="18"/>
                <w:szCs w:val="18"/>
              </w:rPr>
            </w:pPr>
            <w:r>
              <w:rPr>
                <w:rFonts w:ascii="宋体" w:hAnsi="宋体" w:eastAsia="宋体" w:cs="宋体"/>
                <w:sz w:val="18"/>
                <w:szCs w:val="18"/>
              </w:rPr>
              <w:t>1,189,331.18</w:t>
            </w:r>
          </w:p>
        </w:tc>
        <w:tc>
          <w:tcPr>
            <w:tcW w:w="1928" w:type="dxa"/>
            <w:tcBorders>
              <w:top w:val="single" w:color="auto" w:sz="2" w:space="0"/>
              <w:left w:val="single" w:color="auto" w:sz="2" w:space="0"/>
              <w:bottom w:val="single" w:color="auto" w:sz="2" w:space="0"/>
              <w:right w:val="single" w:color="auto" w:sz="2" w:space="0"/>
            </w:tcBorders>
            <w:vAlign w:val="center"/>
          </w:tcPr>
          <w:p w14:paraId="4AD3DAEA">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F7BB415">
            <w:pPr>
              <w:spacing w:line="240" w:lineRule="exact"/>
              <w:jc w:val="right"/>
              <w:rPr>
                <w:rFonts w:ascii="宋体" w:hAnsi="宋体" w:eastAsia="宋体" w:cs="宋体"/>
                <w:sz w:val="18"/>
                <w:szCs w:val="18"/>
              </w:rPr>
            </w:pPr>
            <w:r>
              <w:rPr>
                <w:rFonts w:ascii="宋体" w:hAnsi="宋体" w:eastAsia="宋体" w:cs="宋体"/>
                <w:sz w:val="18"/>
                <w:szCs w:val="18"/>
              </w:rPr>
              <w:t>1,189,331.18</w:t>
            </w:r>
          </w:p>
        </w:tc>
      </w:tr>
      <w:tr w14:paraId="4C281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37C8B2B3">
            <w:pPr>
              <w:spacing w:line="240" w:lineRule="exact"/>
              <w:rPr>
                <w:rFonts w:ascii="宋体" w:hAnsi="宋体" w:eastAsia="宋体" w:cs="宋体"/>
                <w:sz w:val="18"/>
                <w:szCs w:val="18"/>
              </w:rPr>
            </w:pPr>
            <w:r>
              <w:rPr>
                <w:rFonts w:ascii="宋体" w:hAnsi="宋体" w:eastAsia="宋体" w:cs="宋体"/>
                <w:sz w:val="18"/>
                <w:szCs w:val="18"/>
              </w:rPr>
              <w:t>其他非流动金融资产</w:t>
            </w:r>
          </w:p>
        </w:tc>
        <w:tc>
          <w:tcPr>
            <w:tcW w:w="1928" w:type="dxa"/>
            <w:tcBorders>
              <w:top w:val="single" w:color="auto" w:sz="2" w:space="0"/>
              <w:left w:val="single" w:color="auto" w:sz="2" w:space="0"/>
              <w:bottom w:val="single" w:color="auto" w:sz="2" w:space="0"/>
              <w:right w:val="single" w:color="auto" w:sz="2" w:space="0"/>
            </w:tcBorders>
            <w:vAlign w:val="center"/>
          </w:tcPr>
          <w:p w14:paraId="022BB7C9">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F6F0E59">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3CAB186">
            <w:pPr>
              <w:spacing w:line="240" w:lineRule="exact"/>
              <w:jc w:val="right"/>
              <w:rPr>
                <w:rFonts w:ascii="宋体" w:hAnsi="宋体" w:eastAsia="宋体" w:cs="宋体"/>
                <w:sz w:val="18"/>
                <w:szCs w:val="18"/>
              </w:rPr>
            </w:pPr>
            <w:r>
              <w:rPr>
                <w:rFonts w:ascii="宋体" w:hAnsi="宋体" w:eastAsia="宋体" w:cs="宋体"/>
                <w:sz w:val="18"/>
                <w:szCs w:val="18"/>
              </w:rPr>
              <w:t>12,713,514.33</w:t>
            </w:r>
          </w:p>
        </w:tc>
        <w:tc>
          <w:tcPr>
            <w:tcW w:w="1928" w:type="dxa"/>
            <w:tcBorders>
              <w:top w:val="single" w:color="auto" w:sz="2" w:space="0"/>
              <w:left w:val="single" w:color="auto" w:sz="2" w:space="0"/>
              <w:bottom w:val="single" w:color="auto" w:sz="2" w:space="0"/>
              <w:right w:val="single" w:color="auto" w:sz="2" w:space="0"/>
            </w:tcBorders>
            <w:vAlign w:val="center"/>
          </w:tcPr>
          <w:p w14:paraId="47F9FD61">
            <w:pPr>
              <w:spacing w:line="240" w:lineRule="exact"/>
              <w:jc w:val="right"/>
              <w:rPr>
                <w:rFonts w:ascii="宋体" w:hAnsi="宋体" w:eastAsia="宋体" w:cs="宋体"/>
                <w:sz w:val="18"/>
                <w:szCs w:val="18"/>
              </w:rPr>
            </w:pPr>
            <w:r>
              <w:rPr>
                <w:rFonts w:ascii="宋体" w:hAnsi="宋体" w:eastAsia="宋体" w:cs="宋体"/>
                <w:sz w:val="18"/>
                <w:szCs w:val="18"/>
              </w:rPr>
              <w:t>12,713,514.33</w:t>
            </w:r>
          </w:p>
        </w:tc>
      </w:tr>
      <w:tr w14:paraId="05164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E0A3437">
            <w:pPr>
              <w:spacing w:before="40" w:after="40" w:line="240" w:lineRule="exact"/>
              <w:rPr>
                <w:rFonts w:ascii="宋体" w:hAnsi="宋体" w:eastAsia="宋体" w:cs="宋体"/>
                <w:sz w:val="18"/>
                <w:szCs w:val="18"/>
              </w:rPr>
            </w:pPr>
            <w:r>
              <w:rPr>
                <w:rFonts w:ascii="宋体" w:hAnsi="宋体" w:eastAsia="宋体" w:cs="宋体"/>
                <w:sz w:val="18"/>
                <w:szCs w:val="18"/>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A78B490">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5585987">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BEE3D8C">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7C374A9">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14:paraId="250C1ACC">
      <w:pPr>
        <w:pStyle w:val="3"/>
        <w:spacing w:line="280" w:lineRule="exact"/>
        <w:jc w:val="left"/>
        <w:rPr>
          <w:rFonts w:ascii="宋体" w:hAnsi="宋体" w:cs="宋体"/>
          <w:b/>
          <w:bCs/>
        </w:rPr>
      </w:pPr>
      <w:bookmarkStart w:id="552" w:name="_Toc989407"/>
      <w:r>
        <w:rPr>
          <w:rFonts w:ascii="宋体" w:hAnsi="宋体" w:cs="宋体"/>
          <w:b/>
          <w:bCs/>
        </w:rPr>
        <w:t>2、持续和非持续第一层次公允价值计量项目市价的确定依据</w:t>
      </w:r>
      <w:bookmarkEnd w:id="552"/>
    </w:p>
    <w:p w14:paraId="33E94FFB">
      <w:pPr>
        <w:pStyle w:val="19"/>
        <w:snapToGrid w:val="0"/>
        <w:ind w:firstLine="420"/>
        <w:jc w:val="both"/>
        <w:rPr>
          <w:sz w:val="18"/>
          <w:szCs w:val="18"/>
        </w:rPr>
      </w:pPr>
      <w:r>
        <w:rPr>
          <w:rFonts w:hint="eastAsia"/>
          <w:sz w:val="18"/>
          <w:szCs w:val="18"/>
        </w:rPr>
        <w:t>本公司在资产负债表日能够获得期货及股票、货币型基金在活跃市场上报价。</w:t>
      </w:r>
    </w:p>
    <w:p w14:paraId="3EA8030E">
      <w:pPr>
        <w:pStyle w:val="3"/>
        <w:spacing w:line="280" w:lineRule="exact"/>
        <w:jc w:val="left"/>
        <w:rPr>
          <w:rFonts w:ascii="宋体" w:hAnsi="宋体" w:cs="宋体"/>
          <w:b/>
          <w:bCs/>
        </w:rPr>
      </w:pPr>
      <w:bookmarkStart w:id="553" w:name="_Toc989408"/>
      <w:r>
        <w:rPr>
          <w:rFonts w:ascii="宋体" w:hAnsi="宋体" w:cs="宋体"/>
          <w:b/>
          <w:bCs/>
        </w:rPr>
        <w:t>3、持续和非持续第二层次公允价值计量项目，采用的估值技术和重要参数的定性及定量信息</w:t>
      </w:r>
      <w:bookmarkEnd w:id="553"/>
    </w:p>
    <w:p w14:paraId="4A8D42CA">
      <w:pPr>
        <w:pStyle w:val="3"/>
        <w:spacing w:line="280" w:lineRule="exact"/>
        <w:jc w:val="left"/>
        <w:rPr>
          <w:rFonts w:ascii="宋体" w:hAnsi="宋体" w:cs="宋体"/>
          <w:b/>
          <w:bCs/>
        </w:rPr>
      </w:pPr>
      <w:bookmarkStart w:id="554" w:name="_Toc989409"/>
      <w:r>
        <w:rPr>
          <w:rFonts w:ascii="宋体" w:hAnsi="宋体" w:cs="宋体"/>
          <w:b/>
          <w:bCs/>
        </w:rPr>
        <w:t>4、持续和非持续第三层次公允价值计量项目，采用的估值技术和重要参数的定性及定量信息</w:t>
      </w:r>
      <w:bookmarkEnd w:id="554"/>
    </w:p>
    <w:p w14:paraId="3DA3AEA8">
      <w:pPr>
        <w:pStyle w:val="3"/>
        <w:spacing w:line="280" w:lineRule="exact"/>
        <w:jc w:val="left"/>
        <w:rPr>
          <w:rFonts w:ascii="宋体" w:hAnsi="宋体" w:cs="宋体"/>
          <w:b/>
          <w:bCs/>
        </w:rPr>
      </w:pPr>
      <w:bookmarkStart w:id="555" w:name="_Toc989410"/>
      <w:r>
        <w:rPr>
          <w:rFonts w:ascii="宋体" w:hAnsi="宋体" w:cs="宋体"/>
          <w:b/>
          <w:bCs/>
        </w:rPr>
        <w:t>5、持续的第三层次公允价值计量项目，期初与期末账面价值间的调节信息及不可观察参数敏感性分析</w:t>
      </w:r>
      <w:bookmarkEnd w:id="555"/>
    </w:p>
    <w:p w14:paraId="1056C785">
      <w:pPr>
        <w:pStyle w:val="3"/>
        <w:spacing w:line="280" w:lineRule="exact"/>
        <w:jc w:val="left"/>
        <w:rPr>
          <w:rFonts w:ascii="宋体" w:hAnsi="宋体" w:cs="宋体"/>
          <w:b/>
          <w:bCs/>
        </w:rPr>
      </w:pPr>
      <w:bookmarkStart w:id="556" w:name="_Toc989411"/>
      <w:r>
        <w:rPr>
          <w:rFonts w:ascii="宋体" w:hAnsi="宋体" w:cs="宋体"/>
          <w:b/>
          <w:bCs/>
        </w:rPr>
        <w:t>6、持续的公允价值计量项目，本期内发生各层级之间转换的，转换的原因及确定转换时点的政策</w:t>
      </w:r>
      <w:bookmarkEnd w:id="556"/>
    </w:p>
    <w:p w14:paraId="6AFBE4E5">
      <w:pPr>
        <w:pStyle w:val="3"/>
        <w:spacing w:line="280" w:lineRule="exact"/>
        <w:jc w:val="left"/>
        <w:rPr>
          <w:rFonts w:ascii="宋体" w:hAnsi="宋体" w:cs="宋体"/>
          <w:b/>
          <w:bCs/>
        </w:rPr>
      </w:pPr>
      <w:bookmarkStart w:id="557" w:name="_Toc989412"/>
      <w:r>
        <w:rPr>
          <w:rFonts w:ascii="宋体" w:hAnsi="宋体" w:cs="宋体"/>
          <w:b/>
          <w:bCs/>
        </w:rPr>
        <w:t>7、本期内发生的估值技术变更及变更原因</w:t>
      </w:r>
      <w:bookmarkEnd w:id="557"/>
    </w:p>
    <w:p w14:paraId="2D29E7DF">
      <w:pPr>
        <w:pStyle w:val="3"/>
        <w:spacing w:line="280" w:lineRule="exact"/>
        <w:jc w:val="left"/>
        <w:rPr>
          <w:rFonts w:ascii="宋体" w:hAnsi="宋体" w:cs="宋体"/>
          <w:b/>
          <w:bCs/>
        </w:rPr>
      </w:pPr>
      <w:bookmarkStart w:id="558" w:name="_Toc989413"/>
      <w:r>
        <w:rPr>
          <w:rFonts w:ascii="宋体" w:hAnsi="宋体" w:cs="宋体"/>
          <w:b/>
          <w:bCs/>
        </w:rPr>
        <w:t>8、不以公允价值计量的金融资产和金融负债的公允价值情况</w:t>
      </w:r>
      <w:bookmarkEnd w:id="558"/>
    </w:p>
    <w:p w14:paraId="0687691F">
      <w:pPr>
        <w:pStyle w:val="3"/>
        <w:spacing w:line="280" w:lineRule="exact"/>
        <w:jc w:val="left"/>
        <w:rPr>
          <w:rFonts w:ascii="宋体" w:hAnsi="宋体" w:cs="宋体"/>
          <w:b/>
          <w:bCs/>
        </w:rPr>
      </w:pPr>
      <w:bookmarkStart w:id="559" w:name="_Toc989414"/>
      <w:r>
        <w:rPr>
          <w:rFonts w:ascii="宋体" w:hAnsi="宋体" w:cs="宋体"/>
          <w:b/>
          <w:bCs/>
        </w:rPr>
        <w:t>9、其他</w:t>
      </w:r>
      <w:bookmarkEnd w:id="559"/>
    </w:p>
    <w:p w14:paraId="4B76E7B5">
      <w:pPr>
        <w:pStyle w:val="2"/>
        <w:spacing w:before="300" w:after="300" w:line="320" w:lineRule="exact"/>
        <w:rPr>
          <w:rFonts w:ascii="宋体" w:hAnsi="宋体" w:eastAsia="宋体" w:cs="宋体"/>
          <w:b/>
          <w:bCs/>
          <w:sz w:val="24"/>
          <w:szCs w:val="24"/>
        </w:rPr>
      </w:pPr>
      <w:bookmarkStart w:id="560" w:name="_Toc989415"/>
      <w:r>
        <w:rPr>
          <w:rFonts w:ascii="宋体" w:hAnsi="宋体" w:eastAsia="宋体" w:cs="宋体"/>
          <w:b/>
          <w:bCs/>
          <w:sz w:val="24"/>
          <w:szCs w:val="24"/>
        </w:rPr>
        <w:t>十四、关联方及关联交易</w:t>
      </w:r>
      <w:bookmarkEnd w:id="560"/>
    </w:p>
    <w:p w14:paraId="2BAF9DBF">
      <w:pPr>
        <w:pStyle w:val="3"/>
        <w:spacing w:line="280" w:lineRule="exact"/>
        <w:jc w:val="left"/>
        <w:rPr>
          <w:rFonts w:ascii="宋体" w:hAnsi="宋体" w:cs="宋体"/>
          <w:b/>
          <w:bCs/>
        </w:rPr>
      </w:pPr>
      <w:bookmarkStart w:id="561" w:name="_Toc989416"/>
      <w:r>
        <w:rPr>
          <w:rFonts w:ascii="宋体" w:hAnsi="宋体" w:cs="宋体"/>
          <w:b/>
          <w:bCs/>
        </w:rPr>
        <w:t>1、本企业的母公司情况</w:t>
      </w:r>
      <w:bookmarkEnd w:id="561"/>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14:paraId="214D3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A687BE5">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5ACFC8B">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0752672">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5609837">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CB3AA9F">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AAC1882">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母公司对本企业的表决权比例</w:t>
            </w:r>
          </w:p>
        </w:tc>
      </w:tr>
      <w:tr w14:paraId="72D1B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C0FDA3D">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4422498E">
            <w:pPr>
              <w:spacing w:line="240" w:lineRule="exact"/>
              <w:rPr>
                <w:rFonts w:ascii="宋体" w:hAnsi="宋体" w:eastAsia="宋体" w:cs="宋体"/>
                <w:sz w:val="18"/>
                <w:szCs w:val="18"/>
              </w:rPr>
            </w:pPr>
            <w:r>
              <w:rPr>
                <w:rFonts w:ascii="宋体" w:hAnsi="宋体" w:eastAsia="宋体" w:cs="宋体"/>
                <w:sz w:val="18"/>
                <w:szCs w:val="18"/>
              </w:rPr>
              <w:t>广东省深圳市</w:t>
            </w:r>
          </w:p>
        </w:tc>
        <w:tc>
          <w:tcPr>
            <w:tcW w:w="1606" w:type="dxa"/>
            <w:tcBorders>
              <w:top w:val="single" w:color="auto" w:sz="2" w:space="0"/>
              <w:left w:val="single" w:color="auto" w:sz="2" w:space="0"/>
              <w:bottom w:val="single" w:color="auto" w:sz="2" w:space="0"/>
              <w:right w:val="single" w:color="auto" w:sz="2" w:space="0"/>
            </w:tcBorders>
            <w:vAlign w:val="center"/>
          </w:tcPr>
          <w:p w14:paraId="1133E76C">
            <w:pPr>
              <w:spacing w:line="240" w:lineRule="exact"/>
              <w:rPr>
                <w:rFonts w:ascii="宋体" w:hAnsi="宋体" w:eastAsia="宋体" w:cs="宋体"/>
                <w:sz w:val="18"/>
                <w:szCs w:val="18"/>
              </w:rPr>
            </w:pPr>
            <w:r>
              <w:rPr>
                <w:rFonts w:ascii="宋体" w:hAnsi="宋体" w:eastAsia="宋体" w:cs="宋体"/>
                <w:sz w:val="18"/>
                <w:szCs w:val="18"/>
              </w:rPr>
              <w:t>投资兴办实业(具体项目另行申报)；色纺纱、服装经营；纺织设备进出口业务；在合法取得的土地使用权范围内从事房地产开发、经营；计算机应用、软件开发。</w:t>
            </w:r>
          </w:p>
        </w:tc>
        <w:tc>
          <w:tcPr>
            <w:tcW w:w="1606" w:type="dxa"/>
            <w:tcBorders>
              <w:top w:val="single" w:color="auto" w:sz="2" w:space="0"/>
              <w:left w:val="single" w:color="auto" w:sz="2" w:space="0"/>
              <w:bottom w:val="single" w:color="auto" w:sz="2" w:space="0"/>
              <w:right w:val="single" w:color="auto" w:sz="2" w:space="0"/>
            </w:tcBorders>
            <w:vAlign w:val="center"/>
          </w:tcPr>
          <w:p w14:paraId="27557797">
            <w:pPr>
              <w:spacing w:line="240" w:lineRule="exact"/>
              <w:rPr>
                <w:rFonts w:ascii="宋体" w:hAnsi="宋体" w:eastAsia="宋体" w:cs="宋体"/>
                <w:sz w:val="18"/>
                <w:szCs w:val="18"/>
              </w:rPr>
            </w:pPr>
            <w:r>
              <w:rPr>
                <w:rFonts w:ascii="宋体" w:hAnsi="宋体" w:eastAsia="宋体" w:cs="宋体"/>
                <w:sz w:val="18"/>
                <w:szCs w:val="18"/>
              </w:rPr>
              <w:t>41,300.00</w:t>
            </w:r>
          </w:p>
        </w:tc>
        <w:tc>
          <w:tcPr>
            <w:tcW w:w="1606" w:type="dxa"/>
            <w:tcBorders>
              <w:top w:val="single" w:color="auto" w:sz="2" w:space="0"/>
              <w:left w:val="single" w:color="auto" w:sz="2" w:space="0"/>
              <w:bottom w:val="single" w:color="auto" w:sz="2" w:space="0"/>
              <w:right w:val="single" w:color="auto" w:sz="2" w:space="0"/>
            </w:tcBorders>
            <w:vAlign w:val="center"/>
          </w:tcPr>
          <w:p w14:paraId="6163E729">
            <w:pPr>
              <w:spacing w:line="240" w:lineRule="exact"/>
              <w:jc w:val="right"/>
              <w:rPr>
                <w:rFonts w:ascii="宋体" w:hAnsi="宋体" w:eastAsia="宋体" w:cs="宋体"/>
                <w:sz w:val="18"/>
                <w:szCs w:val="18"/>
              </w:rPr>
            </w:pPr>
            <w:r>
              <w:rPr>
                <w:rFonts w:ascii="宋体" w:hAnsi="宋体" w:eastAsia="宋体" w:cs="宋体"/>
                <w:sz w:val="18"/>
                <w:szCs w:val="18"/>
              </w:rPr>
              <w:t>23.60%</w:t>
            </w:r>
          </w:p>
        </w:tc>
        <w:tc>
          <w:tcPr>
            <w:tcW w:w="1606" w:type="dxa"/>
            <w:tcBorders>
              <w:top w:val="single" w:color="auto" w:sz="2" w:space="0"/>
              <w:left w:val="single" w:color="auto" w:sz="2" w:space="0"/>
              <w:bottom w:val="single" w:color="auto" w:sz="2" w:space="0"/>
              <w:right w:val="single" w:color="auto" w:sz="2" w:space="0"/>
            </w:tcBorders>
            <w:vAlign w:val="center"/>
          </w:tcPr>
          <w:p w14:paraId="7CB0EEA4">
            <w:pPr>
              <w:spacing w:line="240" w:lineRule="exact"/>
              <w:jc w:val="right"/>
              <w:rPr>
                <w:rFonts w:ascii="宋体" w:hAnsi="宋体" w:eastAsia="宋体" w:cs="宋体"/>
                <w:sz w:val="18"/>
                <w:szCs w:val="18"/>
              </w:rPr>
            </w:pPr>
            <w:r>
              <w:rPr>
                <w:rFonts w:ascii="宋体" w:hAnsi="宋体" w:eastAsia="宋体" w:cs="宋体"/>
                <w:sz w:val="18"/>
                <w:szCs w:val="18"/>
              </w:rPr>
              <w:t>23.60%</w:t>
            </w:r>
          </w:p>
        </w:tc>
      </w:tr>
    </w:tbl>
    <w:p w14:paraId="6C28F713">
      <w:pPr>
        <w:spacing w:before="100" w:after="100" w:line="240" w:lineRule="exact"/>
        <w:rPr>
          <w:rFonts w:ascii="宋体" w:hAnsi="宋体" w:eastAsia="宋体" w:cs="宋体"/>
          <w:sz w:val="18"/>
          <w:szCs w:val="18"/>
        </w:rPr>
      </w:pPr>
      <w:r>
        <w:rPr>
          <w:rFonts w:ascii="宋体" w:hAnsi="宋体" w:eastAsia="宋体" w:cs="宋体"/>
          <w:sz w:val="18"/>
          <w:szCs w:val="18"/>
        </w:rPr>
        <w:t>本企业的母公司情况的说明</w:t>
      </w:r>
    </w:p>
    <w:p w14:paraId="62562E2C">
      <w:pPr>
        <w:spacing w:before="100" w:after="100" w:line="240" w:lineRule="exact"/>
        <w:rPr>
          <w:rFonts w:ascii="宋体" w:hAnsi="宋体" w:eastAsia="宋体" w:cs="宋体"/>
          <w:sz w:val="18"/>
          <w:szCs w:val="18"/>
        </w:rPr>
      </w:pPr>
      <w:r>
        <w:rPr>
          <w:rFonts w:ascii="宋体" w:hAnsi="宋体" w:eastAsia="宋体" w:cs="宋体"/>
          <w:sz w:val="18"/>
          <w:szCs w:val="18"/>
        </w:rPr>
        <w:t>本企业最终控制方是孙伟挺和陈玲芬。</w:t>
      </w:r>
    </w:p>
    <w:p w14:paraId="07072326">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6858BB59">
      <w:pPr>
        <w:pStyle w:val="3"/>
        <w:spacing w:line="280" w:lineRule="exact"/>
        <w:jc w:val="left"/>
        <w:rPr>
          <w:rFonts w:ascii="宋体" w:hAnsi="宋体" w:cs="宋体"/>
          <w:b/>
          <w:bCs/>
        </w:rPr>
      </w:pPr>
      <w:bookmarkStart w:id="562" w:name="_Toc989417"/>
      <w:r>
        <w:rPr>
          <w:rFonts w:ascii="宋体" w:hAnsi="宋体" w:cs="宋体"/>
          <w:b/>
          <w:bCs/>
        </w:rPr>
        <w:t>2、本企业的子公司情况</w:t>
      </w:r>
      <w:bookmarkEnd w:id="562"/>
    </w:p>
    <w:p w14:paraId="3EB5F765">
      <w:pPr>
        <w:spacing w:before="100" w:after="100" w:line="240" w:lineRule="exact"/>
        <w:rPr>
          <w:rFonts w:ascii="宋体" w:hAnsi="宋体" w:eastAsia="宋体" w:cs="宋体"/>
          <w:sz w:val="18"/>
          <w:szCs w:val="18"/>
        </w:rPr>
      </w:pPr>
      <w:r>
        <w:rPr>
          <w:rFonts w:ascii="宋体" w:hAnsi="宋体" w:eastAsia="宋体" w:cs="宋体"/>
          <w:sz w:val="18"/>
          <w:szCs w:val="18"/>
        </w:rPr>
        <w:t>本企业子公司的情况详见附注十、1、在子公司中的权益。</w:t>
      </w:r>
    </w:p>
    <w:p w14:paraId="33055635">
      <w:pPr>
        <w:pStyle w:val="3"/>
        <w:spacing w:line="280" w:lineRule="exact"/>
        <w:jc w:val="left"/>
        <w:rPr>
          <w:rFonts w:ascii="宋体" w:hAnsi="宋体" w:cs="宋体"/>
          <w:b/>
          <w:bCs/>
        </w:rPr>
      </w:pPr>
      <w:bookmarkStart w:id="563" w:name="_Toc989418"/>
      <w:r>
        <w:rPr>
          <w:rFonts w:ascii="宋体" w:hAnsi="宋体" w:cs="宋体"/>
          <w:b/>
          <w:bCs/>
        </w:rPr>
        <w:t>3、本企业合营和联营企业情况</w:t>
      </w:r>
      <w:bookmarkEnd w:id="563"/>
    </w:p>
    <w:p w14:paraId="62292905">
      <w:pPr>
        <w:spacing w:before="100" w:after="100" w:line="240" w:lineRule="exact"/>
        <w:rPr>
          <w:rFonts w:ascii="宋体" w:hAnsi="宋体" w:eastAsia="宋体" w:cs="宋体"/>
          <w:sz w:val="18"/>
          <w:szCs w:val="18"/>
        </w:rPr>
      </w:pPr>
      <w:r>
        <w:rPr>
          <w:rFonts w:ascii="宋体" w:hAnsi="宋体" w:eastAsia="宋体" w:cs="宋体"/>
          <w:sz w:val="18"/>
          <w:szCs w:val="18"/>
        </w:rPr>
        <w:t>本企业重要的合营或联营企业详见附注十、3、合营企业或联营企业中的权益。</w:t>
      </w:r>
    </w:p>
    <w:p w14:paraId="4BFD2863">
      <w:pPr>
        <w:spacing w:before="100" w:after="100" w:line="240" w:lineRule="exact"/>
        <w:rPr>
          <w:rFonts w:ascii="宋体" w:hAnsi="宋体" w:eastAsia="宋体" w:cs="宋体"/>
          <w:sz w:val="18"/>
          <w:szCs w:val="18"/>
        </w:rPr>
      </w:pPr>
      <w:r>
        <w:rPr>
          <w:rFonts w:ascii="宋体" w:hAnsi="宋体" w:eastAsia="宋体" w:cs="宋体"/>
          <w:sz w:val="18"/>
          <w:szCs w:val="18"/>
        </w:rPr>
        <w:t>本期与本公司发生关联方交易，或前期与本公司发生关联方交易形成余额的其他合营或联营企业情况如下：</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14:paraId="41DFC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C3185C5">
            <w:pPr>
              <w:spacing w:before="40" w:after="40" w:line="240" w:lineRule="exact"/>
              <w:jc w:val="center"/>
              <w:rPr>
                <w:rFonts w:ascii="宋体" w:hAnsi="宋体" w:eastAsia="宋体" w:cs="宋体"/>
                <w:sz w:val="18"/>
                <w:szCs w:val="18"/>
              </w:rPr>
            </w:pPr>
            <w:r>
              <w:rPr>
                <w:rFonts w:ascii="宋体" w:hAnsi="宋体" w:eastAsia="宋体" w:cs="宋体"/>
                <w:sz w:val="18"/>
                <w:szCs w:val="18"/>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6835F78B">
            <w:pPr>
              <w:spacing w:before="40" w:after="40" w:line="240" w:lineRule="exact"/>
              <w:jc w:val="center"/>
              <w:rPr>
                <w:rFonts w:ascii="宋体" w:hAnsi="宋体" w:eastAsia="宋体" w:cs="宋体"/>
                <w:sz w:val="18"/>
                <w:szCs w:val="18"/>
              </w:rPr>
            </w:pPr>
            <w:r>
              <w:rPr>
                <w:rFonts w:ascii="宋体" w:hAnsi="宋体" w:eastAsia="宋体" w:cs="宋体"/>
                <w:sz w:val="18"/>
                <w:szCs w:val="18"/>
              </w:rPr>
              <w:t>与本企业关系</w:t>
            </w:r>
          </w:p>
        </w:tc>
      </w:tr>
      <w:tr w14:paraId="759C1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8B0E0F0">
            <w:pPr>
              <w:spacing w:line="240" w:lineRule="exact"/>
              <w:rPr>
                <w:rFonts w:ascii="宋体" w:hAnsi="宋体" w:eastAsia="宋体" w:cs="宋体"/>
                <w:sz w:val="18"/>
                <w:szCs w:val="18"/>
              </w:rPr>
            </w:pPr>
            <w:r>
              <w:rPr>
                <w:rFonts w:ascii="宋体" w:hAnsi="宋体" w:eastAsia="宋体" w:cs="宋体"/>
                <w:sz w:val="18"/>
                <w:szCs w:val="18"/>
              </w:rPr>
              <w:t>福田实业（集团）有限公司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8BAF139">
            <w:pPr>
              <w:spacing w:line="240" w:lineRule="exact"/>
              <w:rPr>
                <w:rFonts w:ascii="宋体" w:hAnsi="宋体" w:eastAsia="宋体" w:cs="宋体"/>
                <w:sz w:val="18"/>
                <w:szCs w:val="18"/>
              </w:rPr>
            </w:pPr>
            <w:r>
              <w:rPr>
                <w:rFonts w:ascii="宋体" w:hAnsi="宋体" w:eastAsia="宋体" w:cs="宋体"/>
                <w:sz w:val="18"/>
                <w:szCs w:val="18"/>
              </w:rPr>
              <w:t>本公司子公司联营企业</w:t>
            </w:r>
          </w:p>
        </w:tc>
      </w:tr>
      <w:tr w14:paraId="6847D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4380BDE">
            <w:pPr>
              <w:spacing w:line="240" w:lineRule="exact"/>
              <w:rPr>
                <w:rFonts w:ascii="宋体" w:hAnsi="宋体" w:eastAsia="宋体" w:cs="宋体"/>
                <w:sz w:val="18"/>
                <w:szCs w:val="18"/>
              </w:rPr>
            </w:pPr>
            <w:r>
              <w:rPr>
                <w:rFonts w:ascii="宋体" w:hAnsi="宋体" w:eastAsia="宋体" w:cs="宋体"/>
                <w:sz w:val="18"/>
                <w:szCs w:val="18"/>
              </w:rPr>
              <w:t>东莞沙田丽海纺织印染有限公司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0612AA00">
            <w:pPr>
              <w:spacing w:line="240" w:lineRule="exact"/>
              <w:rPr>
                <w:rFonts w:ascii="宋体" w:hAnsi="宋体" w:eastAsia="宋体" w:cs="宋体"/>
                <w:sz w:val="18"/>
                <w:szCs w:val="18"/>
              </w:rPr>
            </w:pPr>
            <w:r>
              <w:rPr>
                <w:rFonts w:ascii="宋体" w:hAnsi="宋体" w:eastAsia="宋体" w:cs="宋体"/>
                <w:sz w:val="18"/>
                <w:szCs w:val="18"/>
              </w:rPr>
              <w:t>本公司联营企业福田实业（集团）有限公司的子公司</w:t>
            </w:r>
          </w:p>
        </w:tc>
      </w:tr>
      <w:tr w14:paraId="24089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71AC7AD">
            <w:pPr>
              <w:spacing w:line="240" w:lineRule="exact"/>
              <w:rPr>
                <w:rFonts w:ascii="宋体" w:hAnsi="宋体" w:eastAsia="宋体" w:cs="宋体"/>
                <w:sz w:val="18"/>
                <w:szCs w:val="18"/>
              </w:rPr>
            </w:pPr>
            <w:r>
              <w:rPr>
                <w:rFonts w:ascii="宋体" w:hAnsi="宋体" w:eastAsia="宋体" w:cs="宋体"/>
                <w:sz w:val="18"/>
                <w:szCs w:val="18"/>
              </w:rPr>
              <w:t>江阴福汇纺织有限公司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5150E9D0">
            <w:pPr>
              <w:spacing w:line="240" w:lineRule="exact"/>
              <w:rPr>
                <w:rFonts w:ascii="宋体" w:hAnsi="宋体" w:eastAsia="宋体" w:cs="宋体"/>
                <w:sz w:val="18"/>
                <w:szCs w:val="18"/>
              </w:rPr>
            </w:pPr>
            <w:r>
              <w:rPr>
                <w:rFonts w:ascii="宋体" w:hAnsi="宋体" w:eastAsia="宋体" w:cs="宋体"/>
                <w:sz w:val="18"/>
                <w:szCs w:val="18"/>
              </w:rPr>
              <w:t>本公司联营企业福田实业（集团）有限公司的子公司</w:t>
            </w:r>
          </w:p>
        </w:tc>
      </w:tr>
      <w:tr w14:paraId="34C00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6C82A41">
            <w:pPr>
              <w:spacing w:line="240" w:lineRule="exact"/>
              <w:rPr>
                <w:rFonts w:ascii="宋体" w:hAnsi="宋体" w:eastAsia="宋体" w:cs="宋体"/>
                <w:sz w:val="18"/>
                <w:szCs w:val="18"/>
              </w:rPr>
            </w:pPr>
            <w:r>
              <w:rPr>
                <w:rFonts w:ascii="宋体" w:hAnsi="宋体" w:eastAsia="宋体" w:cs="宋体"/>
                <w:sz w:val="18"/>
                <w:szCs w:val="18"/>
              </w:rPr>
              <w:t>盐城福汇纺织有限公司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00134D4A">
            <w:pPr>
              <w:spacing w:line="240" w:lineRule="exact"/>
              <w:rPr>
                <w:rFonts w:ascii="宋体" w:hAnsi="宋体" w:eastAsia="宋体" w:cs="宋体"/>
                <w:sz w:val="18"/>
                <w:szCs w:val="18"/>
              </w:rPr>
            </w:pPr>
            <w:r>
              <w:rPr>
                <w:rFonts w:ascii="宋体" w:hAnsi="宋体" w:eastAsia="宋体" w:cs="宋体"/>
                <w:sz w:val="18"/>
                <w:szCs w:val="18"/>
              </w:rPr>
              <w:t>本公司联营企业福田实业（集团）有限公司的子公司</w:t>
            </w:r>
          </w:p>
        </w:tc>
      </w:tr>
      <w:tr w14:paraId="4A07E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390C063">
            <w:pPr>
              <w:spacing w:line="240" w:lineRule="exact"/>
              <w:rPr>
                <w:rFonts w:ascii="宋体" w:hAnsi="宋体" w:eastAsia="宋体" w:cs="宋体"/>
                <w:sz w:val="18"/>
                <w:szCs w:val="18"/>
              </w:rPr>
            </w:pPr>
            <w:r>
              <w:rPr>
                <w:rFonts w:ascii="宋体" w:hAnsi="宋体" w:eastAsia="宋体" w:cs="宋体"/>
                <w:sz w:val="18"/>
                <w:szCs w:val="18"/>
              </w:rPr>
              <w:t>汉盛有限公司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5F459B19">
            <w:pPr>
              <w:spacing w:line="240" w:lineRule="exact"/>
              <w:rPr>
                <w:rFonts w:ascii="宋体" w:hAnsi="宋体" w:eastAsia="宋体" w:cs="宋体"/>
                <w:sz w:val="18"/>
                <w:szCs w:val="18"/>
              </w:rPr>
            </w:pPr>
            <w:r>
              <w:rPr>
                <w:rFonts w:ascii="宋体" w:hAnsi="宋体" w:eastAsia="宋体" w:cs="宋体"/>
                <w:sz w:val="18"/>
                <w:szCs w:val="18"/>
              </w:rPr>
              <w:t>本公司联营企业福田实业（集团）有限公司的子公司</w:t>
            </w:r>
          </w:p>
        </w:tc>
      </w:tr>
      <w:tr w14:paraId="556142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A78D087">
            <w:pPr>
              <w:spacing w:line="240" w:lineRule="exact"/>
              <w:rPr>
                <w:rFonts w:ascii="宋体" w:hAnsi="宋体" w:eastAsia="宋体" w:cs="宋体"/>
                <w:sz w:val="18"/>
                <w:szCs w:val="18"/>
              </w:rPr>
            </w:pPr>
            <w:r>
              <w:rPr>
                <w:rFonts w:ascii="宋体" w:hAnsi="宋体" w:eastAsia="宋体" w:cs="宋体"/>
                <w:sz w:val="18"/>
                <w:szCs w:val="18"/>
              </w:rPr>
              <w:t>江苏科孚纺织品贸易有限公司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00B5B683">
            <w:pPr>
              <w:spacing w:line="240" w:lineRule="exact"/>
              <w:rPr>
                <w:rFonts w:ascii="宋体" w:hAnsi="宋体" w:eastAsia="宋体" w:cs="宋体"/>
                <w:sz w:val="18"/>
                <w:szCs w:val="18"/>
              </w:rPr>
            </w:pPr>
            <w:r>
              <w:rPr>
                <w:rFonts w:ascii="宋体" w:hAnsi="宋体" w:eastAsia="宋体" w:cs="宋体"/>
                <w:sz w:val="18"/>
                <w:szCs w:val="18"/>
              </w:rPr>
              <w:t>本公司子公司联营企业</w:t>
            </w:r>
          </w:p>
        </w:tc>
      </w:tr>
      <w:tr w14:paraId="089F1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C198E70">
            <w:pPr>
              <w:spacing w:line="240" w:lineRule="exact"/>
              <w:rPr>
                <w:rFonts w:ascii="宋体" w:hAnsi="宋体" w:eastAsia="宋体" w:cs="宋体"/>
                <w:sz w:val="18"/>
                <w:szCs w:val="18"/>
              </w:rPr>
            </w:pPr>
            <w:r>
              <w:rPr>
                <w:rFonts w:ascii="宋体" w:hAnsi="宋体" w:eastAsia="宋体" w:cs="宋体"/>
                <w:sz w:val="18"/>
                <w:szCs w:val="18"/>
              </w:rPr>
              <w:t>浙江华尚产业运营有限公司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B530BB4">
            <w:pPr>
              <w:spacing w:line="240" w:lineRule="exact"/>
              <w:rPr>
                <w:rFonts w:ascii="宋体" w:hAnsi="宋体" w:eastAsia="宋体" w:cs="宋体"/>
                <w:sz w:val="18"/>
                <w:szCs w:val="18"/>
              </w:rPr>
            </w:pPr>
            <w:r>
              <w:rPr>
                <w:rFonts w:ascii="宋体" w:hAnsi="宋体" w:eastAsia="宋体" w:cs="宋体"/>
                <w:sz w:val="18"/>
                <w:szCs w:val="18"/>
              </w:rPr>
              <w:t>本公司子公司联营企业</w:t>
            </w:r>
          </w:p>
        </w:tc>
      </w:tr>
    </w:tbl>
    <w:p w14:paraId="77C45A7E">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67F7C137">
      <w:pPr>
        <w:pStyle w:val="3"/>
        <w:spacing w:line="280" w:lineRule="exact"/>
        <w:jc w:val="left"/>
        <w:rPr>
          <w:rFonts w:ascii="宋体" w:hAnsi="宋体" w:cs="宋体"/>
          <w:b/>
          <w:bCs/>
        </w:rPr>
      </w:pPr>
      <w:bookmarkStart w:id="564" w:name="_Toc989419"/>
      <w:r>
        <w:rPr>
          <w:rFonts w:ascii="宋体" w:hAnsi="宋体" w:cs="宋体"/>
          <w:b/>
          <w:bCs/>
        </w:rPr>
        <w:t>4、其他关联方情况</w:t>
      </w:r>
      <w:bookmarkEnd w:id="564"/>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14:paraId="18E23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055FBD7B">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15D07D7A">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其他关联方与本企业关系</w:t>
            </w:r>
          </w:p>
        </w:tc>
      </w:tr>
      <w:tr w14:paraId="0DF85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1F97216">
            <w:pPr>
              <w:spacing w:line="240" w:lineRule="exact"/>
              <w:rPr>
                <w:rFonts w:ascii="宋体" w:hAnsi="宋体" w:eastAsia="宋体" w:cs="宋体"/>
                <w:sz w:val="18"/>
                <w:szCs w:val="18"/>
              </w:rPr>
            </w:pPr>
            <w:r>
              <w:rPr>
                <w:rFonts w:ascii="宋体" w:hAnsi="宋体" w:eastAsia="宋体" w:cs="宋体"/>
                <w:sz w:val="18"/>
                <w:szCs w:val="18"/>
              </w:rPr>
              <w:t>宁海华联纺织有限公司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77F70152">
            <w:pPr>
              <w:spacing w:line="240" w:lineRule="exact"/>
              <w:rPr>
                <w:rFonts w:ascii="宋体" w:hAnsi="宋体" w:eastAsia="宋体" w:cs="宋体"/>
                <w:sz w:val="18"/>
                <w:szCs w:val="18"/>
              </w:rPr>
            </w:pPr>
            <w:r>
              <w:rPr>
                <w:rFonts w:ascii="宋体" w:hAnsi="宋体" w:eastAsia="宋体" w:cs="宋体"/>
                <w:sz w:val="18"/>
                <w:szCs w:val="18"/>
              </w:rPr>
              <w:t>与本公司为同一控股股东</w:t>
            </w:r>
          </w:p>
        </w:tc>
      </w:tr>
      <w:tr w14:paraId="55865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DA1FCB5">
            <w:pPr>
              <w:spacing w:line="240" w:lineRule="exact"/>
              <w:rPr>
                <w:rFonts w:ascii="宋体" w:hAnsi="宋体" w:eastAsia="宋体" w:cs="宋体"/>
                <w:sz w:val="18"/>
                <w:szCs w:val="18"/>
              </w:rPr>
            </w:pPr>
            <w:r>
              <w:rPr>
                <w:rFonts w:ascii="宋体" w:hAnsi="宋体" w:eastAsia="宋体" w:cs="宋体"/>
                <w:sz w:val="18"/>
                <w:szCs w:val="18"/>
              </w:rPr>
              <w:t>宁海县华兴纺织原料有限公司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98FECFC">
            <w:pPr>
              <w:spacing w:line="240" w:lineRule="exact"/>
              <w:rPr>
                <w:rFonts w:ascii="宋体" w:hAnsi="宋体" w:eastAsia="宋体" w:cs="宋体"/>
                <w:sz w:val="18"/>
                <w:szCs w:val="18"/>
              </w:rPr>
            </w:pPr>
            <w:r>
              <w:rPr>
                <w:rFonts w:ascii="宋体" w:hAnsi="宋体" w:eastAsia="宋体" w:cs="宋体"/>
                <w:sz w:val="18"/>
                <w:szCs w:val="18"/>
              </w:rPr>
              <w:t>与本公司为同一控股股东</w:t>
            </w:r>
          </w:p>
        </w:tc>
      </w:tr>
      <w:tr w14:paraId="3639B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4616CE9">
            <w:pPr>
              <w:spacing w:line="240" w:lineRule="exact"/>
              <w:rPr>
                <w:rFonts w:ascii="宋体" w:hAnsi="宋体" w:eastAsia="宋体" w:cs="宋体"/>
                <w:sz w:val="18"/>
                <w:szCs w:val="18"/>
              </w:rPr>
            </w:pPr>
            <w:r>
              <w:rPr>
                <w:rFonts w:ascii="宋体" w:hAnsi="宋体" w:eastAsia="宋体" w:cs="宋体"/>
                <w:sz w:val="18"/>
                <w:szCs w:val="18"/>
              </w:rPr>
              <w:t>华孚集团有限公司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7A82DE7B">
            <w:pPr>
              <w:spacing w:line="240" w:lineRule="exact"/>
              <w:rPr>
                <w:rFonts w:ascii="宋体" w:hAnsi="宋体" w:eastAsia="宋体" w:cs="宋体"/>
                <w:sz w:val="18"/>
                <w:szCs w:val="18"/>
              </w:rPr>
            </w:pPr>
            <w:r>
              <w:rPr>
                <w:rFonts w:ascii="宋体" w:hAnsi="宋体" w:eastAsia="宋体" w:cs="宋体"/>
                <w:sz w:val="18"/>
                <w:szCs w:val="18"/>
              </w:rPr>
              <w:t>实际控制人控制的公司</w:t>
            </w:r>
          </w:p>
        </w:tc>
      </w:tr>
      <w:tr w14:paraId="64D55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8C90BC2">
            <w:pPr>
              <w:spacing w:line="240" w:lineRule="exact"/>
              <w:rPr>
                <w:rFonts w:ascii="宋体" w:hAnsi="宋体" w:eastAsia="宋体" w:cs="宋体"/>
                <w:sz w:val="18"/>
                <w:szCs w:val="18"/>
              </w:rPr>
            </w:pPr>
            <w:r>
              <w:rPr>
                <w:rFonts w:ascii="宋体" w:hAnsi="宋体" w:eastAsia="宋体" w:cs="宋体"/>
                <w:sz w:val="18"/>
                <w:szCs w:val="18"/>
              </w:rPr>
              <w:t>浙江华孚纺织有限公司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20C1A12">
            <w:pPr>
              <w:spacing w:line="240" w:lineRule="exact"/>
              <w:rPr>
                <w:rFonts w:ascii="宋体" w:hAnsi="宋体" w:eastAsia="宋体" w:cs="宋体"/>
                <w:sz w:val="18"/>
                <w:szCs w:val="18"/>
              </w:rPr>
            </w:pPr>
            <w:r>
              <w:rPr>
                <w:rFonts w:ascii="宋体" w:hAnsi="宋体" w:eastAsia="宋体" w:cs="宋体"/>
                <w:sz w:val="18"/>
                <w:szCs w:val="18"/>
              </w:rPr>
              <w:t>与本公司为同一控股股东</w:t>
            </w:r>
          </w:p>
        </w:tc>
      </w:tr>
      <w:tr w14:paraId="05A44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82CA58C">
            <w:pPr>
              <w:spacing w:line="240" w:lineRule="exact"/>
              <w:rPr>
                <w:rFonts w:ascii="宋体" w:hAnsi="宋体" w:eastAsia="宋体" w:cs="宋体"/>
                <w:sz w:val="18"/>
                <w:szCs w:val="18"/>
              </w:rPr>
            </w:pPr>
            <w:r>
              <w:rPr>
                <w:rFonts w:ascii="宋体" w:hAnsi="宋体" w:eastAsia="宋体" w:cs="宋体"/>
                <w:sz w:val="18"/>
                <w:szCs w:val="18"/>
              </w:rPr>
              <w:t>余姚华联纺织有限公司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9E06BE2">
            <w:pPr>
              <w:spacing w:line="240" w:lineRule="exact"/>
              <w:rPr>
                <w:rFonts w:ascii="宋体" w:hAnsi="宋体" w:eastAsia="宋体" w:cs="宋体"/>
                <w:sz w:val="18"/>
                <w:szCs w:val="18"/>
              </w:rPr>
            </w:pPr>
            <w:r>
              <w:rPr>
                <w:rFonts w:ascii="宋体" w:hAnsi="宋体" w:eastAsia="宋体" w:cs="宋体"/>
                <w:sz w:val="18"/>
                <w:szCs w:val="18"/>
              </w:rPr>
              <w:t>与本公司为同一控股股东</w:t>
            </w:r>
          </w:p>
        </w:tc>
      </w:tr>
      <w:tr w14:paraId="3A3A7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05D13F5">
            <w:pPr>
              <w:spacing w:line="240" w:lineRule="exact"/>
              <w:rPr>
                <w:rFonts w:ascii="宋体" w:hAnsi="宋体" w:eastAsia="宋体" w:cs="宋体"/>
                <w:sz w:val="18"/>
                <w:szCs w:val="18"/>
              </w:rPr>
            </w:pPr>
            <w:r>
              <w:rPr>
                <w:rFonts w:ascii="宋体" w:hAnsi="宋体" w:eastAsia="宋体" w:cs="宋体"/>
                <w:sz w:val="18"/>
                <w:szCs w:val="18"/>
              </w:rPr>
              <w:t>浙江万孚投资集团有限公司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5892411C">
            <w:pPr>
              <w:spacing w:line="240" w:lineRule="exact"/>
              <w:rPr>
                <w:rFonts w:ascii="宋体" w:hAnsi="宋体" w:eastAsia="宋体" w:cs="宋体"/>
                <w:sz w:val="18"/>
                <w:szCs w:val="18"/>
              </w:rPr>
            </w:pPr>
            <w:r>
              <w:rPr>
                <w:rFonts w:ascii="宋体" w:hAnsi="宋体" w:eastAsia="宋体" w:cs="宋体"/>
                <w:sz w:val="18"/>
                <w:szCs w:val="18"/>
              </w:rPr>
              <w:t>与本公司为同一控股股东</w:t>
            </w:r>
          </w:p>
        </w:tc>
      </w:tr>
      <w:tr w14:paraId="522A6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6A63B60">
            <w:pPr>
              <w:spacing w:line="240" w:lineRule="exact"/>
              <w:rPr>
                <w:rFonts w:ascii="宋体" w:hAnsi="宋体" w:eastAsia="宋体" w:cs="宋体"/>
                <w:sz w:val="18"/>
                <w:szCs w:val="18"/>
              </w:rPr>
            </w:pPr>
            <w:r>
              <w:rPr>
                <w:rFonts w:ascii="宋体" w:hAnsi="宋体" w:eastAsia="宋体" w:cs="宋体"/>
                <w:sz w:val="18"/>
                <w:szCs w:val="18"/>
              </w:rPr>
              <w:t>安徽新一棉纺织有限公司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ED5B2A0">
            <w:pPr>
              <w:spacing w:line="240" w:lineRule="exact"/>
              <w:rPr>
                <w:rFonts w:ascii="宋体" w:hAnsi="宋体" w:eastAsia="宋体" w:cs="宋体"/>
                <w:sz w:val="18"/>
                <w:szCs w:val="18"/>
              </w:rPr>
            </w:pPr>
            <w:r>
              <w:rPr>
                <w:rFonts w:ascii="宋体" w:hAnsi="宋体" w:eastAsia="宋体" w:cs="宋体"/>
                <w:sz w:val="18"/>
                <w:szCs w:val="18"/>
              </w:rPr>
              <w:t>与本公司为同一控股股东</w:t>
            </w:r>
          </w:p>
        </w:tc>
      </w:tr>
      <w:tr w14:paraId="6C840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791C805">
            <w:pPr>
              <w:spacing w:line="240" w:lineRule="exact"/>
              <w:rPr>
                <w:rFonts w:ascii="宋体" w:hAnsi="宋体" w:eastAsia="宋体" w:cs="宋体"/>
                <w:sz w:val="18"/>
                <w:szCs w:val="18"/>
              </w:rPr>
            </w:pPr>
            <w:r>
              <w:rPr>
                <w:rFonts w:ascii="宋体" w:hAnsi="宋体" w:eastAsia="宋体" w:cs="宋体"/>
                <w:sz w:val="18"/>
                <w:szCs w:val="18"/>
              </w:rPr>
              <w:t>深圳市华人投资有限公司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575F18DB">
            <w:pPr>
              <w:spacing w:line="240" w:lineRule="exact"/>
              <w:rPr>
                <w:rFonts w:ascii="宋体" w:hAnsi="宋体" w:eastAsia="宋体" w:cs="宋体"/>
                <w:sz w:val="18"/>
                <w:szCs w:val="18"/>
              </w:rPr>
            </w:pPr>
            <w:r>
              <w:rPr>
                <w:rFonts w:ascii="宋体" w:hAnsi="宋体" w:eastAsia="宋体" w:cs="宋体"/>
                <w:sz w:val="18"/>
                <w:szCs w:val="18"/>
              </w:rPr>
              <w:t>本公司股东、实际控制人控制的公司</w:t>
            </w:r>
          </w:p>
        </w:tc>
      </w:tr>
      <w:tr w14:paraId="45728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B75056E">
            <w:pPr>
              <w:spacing w:line="240" w:lineRule="exact"/>
              <w:rPr>
                <w:rFonts w:ascii="宋体" w:hAnsi="宋体" w:eastAsia="宋体" w:cs="宋体"/>
                <w:sz w:val="18"/>
                <w:szCs w:val="18"/>
              </w:rPr>
            </w:pPr>
            <w:r>
              <w:rPr>
                <w:rFonts w:ascii="宋体" w:hAnsi="宋体" w:eastAsia="宋体" w:cs="宋体"/>
                <w:sz w:val="18"/>
                <w:szCs w:val="18"/>
              </w:rPr>
              <w:t>浙江万孚物业管理有限公司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99AD0F8">
            <w:pPr>
              <w:spacing w:line="240" w:lineRule="exact"/>
              <w:rPr>
                <w:rFonts w:ascii="宋体" w:hAnsi="宋体" w:eastAsia="宋体" w:cs="宋体"/>
                <w:sz w:val="18"/>
                <w:szCs w:val="18"/>
              </w:rPr>
            </w:pPr>
            <w:r>
              <w:rPr>
                <w:rFonts w:ascii="宋体" w:hAnsi="宋体" w:eastAsia="宋体" w:cs="宋体"/>
                <w:sz w:val="18"/>
                <w:szCs w:val="18"/>
              </w:rPr>
              <w:t>与本公司为同一控股股东</w:t>
            </w:r>
          </w:p>
        </w:tc>
      </w:tr>
      <w:tr w14:paraId="0026F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C76A8E1">
            <w:pPr>
              <w:spacing w:line="240" w:lineRule="exact"/>
              <w:rPr>
                <w:rFonts w:ascii="宋体" w:hAnsi="宋体" w:eastAsia="宋体" w:cs="宋体"/>
                <w:sz w:val="18"/>
                <w:szCs w:val="18"/>
              </w:rPr>
            </w:pPr>
            <w:r>
              <w:rPr>
                <w:rFonts w:ascii="宋体" w:hAnsi="宋体" w:eastAsia="宋体" w:cs="宋体"/>
                <w:sz w:val="18"/>
                <w:szCs w:val="18"/>
              </w:rPr>
              <w:t>安徽飞亚纺织集团有限公司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34215192">
            <w:pPr>
              <w:spacing w:line="240" w:lineRule="exact"/>
              <w:rPr>
                <w:rFonts w:ascii="宋体" w:hAnsi="宋体" w:eastAsia="宋体" w:cs="宋体"/>
                <w:sz w:val="18"/>
                <w:szCs w:val="18"/>
              </w:rPr>
            </w:pPr>
            <w:r>
              <w:rPr>
                <w:rFonts w:ascii="宋体" w:hAnsi="宋体" w:eastAsia="宋体" w:cs="宋体"/>
                <w:sz w:val="18"/>
                <w:szCs w:val="18"/>
              </w:rPr>
              <w:t>本公司股东、与本公司为同一控股股东</w:t>
            </w:r>
          </w:p>
        </w:tc>
      </w:tr>
      <w:tr w14:paraId="618C3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2C9FDE7">
            <w:pPr>
              <w:spacing w:line="240" w:lineRule="exact"/>
              <w:rPr>
                <w:rFonts w:ascii="宋体" w:hAnsi="宋体" w:eastAsia="宋体" w:cs="宋体"/>
                <w:sz w:val="18"/>
                <w:szCs w:val="18"/>
              </w:rPr>
            </w:pPr>
            <w:r>
              <w:rPr>
                <w:rFonts w:ascii="宋体" w:hAnsi="宋体" w:eastAsia="宋体" w:cs="宋体"/>
                <w:sz w:val="18"/>
                <w:szCs w:val="18"/>
              </w:rPr>
              <w:t>石河子国民村镇银行有限责任公司</w:t>
            </w:r>
          </w:p>
        </w:tc>
        <w:tc>
          <w:tcPr>
            <w:tcW w:w="4820" w:type="dxa"/>
            <w:tcBorders>
              <w:top w:val="single" w:color="auto" w:sz="2" w:space="0"/>
              <w:left w:val="single" w:color="auto" w:sz="2" w:space="0"/>
              <w:bottom w:val="single" w:color="auto" w:sz="2" w:space="0"/>
              <w:right w:val="single" w:color="auto" w:sz="2" w:space="0"/>
            </w:tcBorders>
            <w:vAlign w:val="center"/>
          </w:tcPr>
          <w:p w14:paraId="0BFF7844">
            <w:pPr>
              <w:spacing w:line="240" w:lineRule="exact"/>
              <w:rPr>
                <w:rFonts w:ascii="宋体" w:hAnsi="宋体" w:eastAsia="宋体" w:cs="宋体"/>
                <w:sz w:val="18"/>
                <w:szCs w:val="18"/>
              </w:rPr>
            </w:pPr>
            <w:r>
              <w:rPr>
                <w:rFonts w:ascii="宋体" w:hAnsi="宋体" w:eastAsia="宋体" w:cs="宋体"/>
                <w:sz w:val="18"/>
                <w:szCs w:val="18"/>
              </w:rPr>
              <w:t>本公司持有5%的股权</w:t>
            </w:r>
          </w:p>
        </w:tc>
      </w:tr>
      <w:tr w14:paraId="1131B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C7D7FB0">
            <w:pPr>
              <w:spacing w:line="240" w:lineRule="exact"/>
              <w:rPr>
                <w:rFonts w:ascii="宋体" w:hAnsi="宋体" w:eastAsia="宋体" w:cs="宋体"/>
                <w:sz w:val="18"/>
                <w:szCs w:val="18"/>
              </w:rPr>
            </w:pPr>
            <w:r>
              <w:rPr>
                <w:rFonts w:ascii="宋体" w:hAnsi="宋体" w:eastAsia="宋体" w:cs="宋体"/>
                <w:sz w:val="18"/>
                <w:szCs w:val="18"/>
              </w:rPr>
              <w:t>上虞市华孚房地产开发有限公司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71FC38C">
            <w:pPr>
              <w:spacing w:line="240" w:lineRule="exact"/>
              <w:rPr>
                <w:rFonts w:ascii="宋体" w:hAnsi="宋体" w:eastAsia="宋体" w:cs="宋体"/>
                <w:sz w:val="18"/>
                <w:szCs w:val="18"/>
              </w:rPr>
            </w:pPr>
            <w:r>
              <w:rPr>
                <w:rFonts w:ascii="宋体" w:hAnsi="宋体" w:eastAsia="宋体" w:cs="宋体"/>
                <w:sz w:val="18"/>
                <w:szCs w:val="18"/>
              </w:rPr>
              <w:t>与本公司为同一控股股东</w:t>
            </w:r>
          </w:p>
        </w:tc>
      </w:tr>
      <w:tr w14:paraId="3F3F4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A2157E8">
            <w:pPr>
              <w:spacing w:line="240" w:lineRule="exact"/>
              <w:rPr>
                <w:rFonts w:ascii="宋体" w:hAnsi="宋体" w:eastAsia="宋体" w:cs="宋体"/>
                <w:sz w:val="18"/>
                <w:szCs w:val="18"/>
              </w:rPr>
            </w:pPr>
            <w:r>
              <w:rPr>
                <w:rFonts w:ascii="宋体" w:hAnsi="宋体" w:eastAsia="宋体" w:cs="宋体"/>
                <w:sz w:val="18"/>
                <w:szCs w:val="18"/>
              </w:rPr>
              <w:t>新疆恒孚棉产业集团有限公司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F88583E">
            <w:pPr>
              <w:spacing w:line="240" w:lineRule="exact"/>
              <w:rPr>
                <w:rFonts w:ascii="宋体" w:hAnsi="宋体" w:eastAsia="宋体" w:cs="宋体"/>
                <w:sz w:val="18"/>
                <w:szCs w:val="18"/>
              </w:rPr>
            </w:pPr>
            <w:r>
              <w:rPr>
                <w:rFonts w:ascii="宋体" w:hAnsi="宋体" w:eastAsia="宋体" w:cs="宋体"/>
                <w:sz w:val="18"/>
                <w:szCs w:val="18"/>
              </w:rPr>
              <w:t>与本公司为同一控股股东</w:t>
            </w:r>
          </w:p>
        </w:tc>
      </w:tr>
      <w:tr w14:paraId="66681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07B6631">
            <w:pPr>
              <w:spacing w:line="240" w:lineRule="exact"/>
              <w:rPr>
                <w:rFonts w:ascii="宋体" w:hAnsi="宋体" w:eastAsia="宋体" w:cs="宋体"/>
                <w:sz w:val="18"/>
                <w:szCs w:val="18"/>
              </w:rPr>
            </w:pPr>
            <w:r>
              <w:rPr>
                <w:rFonts w:ascii="宋体" w:hAnsi="宋体" w:eastAsia="宋体" w:cs="宋体"/>
                <w:sz w:val="18"/>
                <w:szCs w:val="18"/>
              </w:rPr>
              <w:t>新疆棉花产业集团有限公司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26E996A2">
            <w:pPr>
              <w:spacing w:line="240" w:lineRule="exact"/>
              <w:rPr>
                <w:rFonts w:ascii="宋体" w:hAnsi="宋体" w:eastAsia="宋体" w:cs="宋体"/>
                <w:sz w:val="18"/>
                <w:szCs w:val="18"/>
              </w:rPr>
            </w:pPr>
            <w:r>
              <w:rPr>
                <w:rFonts w:ascii="宋体" w:hAnsi="宋体" w:eastAsia="宋体" w:cs="宋体"/>
                <w:sz w:val="18"/>
                <w:szCs w:val="18"/>
              </w:rPr>
              <w:t>控股子公司少数股东</w:t>
            </w:r>
          </w:p>
        </w:tc>
      </w:tr>
      <w:tr w14:paraId="0A515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CCC8CF4">
            <w:pPr>
              <w:spacing w:line="240" w:lineRule="exact"/>
              <w:rPr>
                <w:rFonts w:ascii="宋体" w:hAnsi="宋体" w:eastAsia="宋体" w:cs="宋体"/>
                <w:sz w:val="18"/>
                <w:szCs w:val="18"/>
              </w:rPr>
            </w:pPr>
            <w:r>
              <w:rPr>
                <w:rFonts w:ascii="宋体" w:hAnsi="宋体" w:eastAsia="宋体" w:cs="宋体"/>
                <w:sz w:val="18"/>
                <w:szCs w:val="18"/>
              </w:rPr>
              <w:t>孙伟挺，陈玲芬，陈翰，刁英峰，高卫东，黄亚英，程桂松，王国友，张正，盛永月，熊旭锋，宣刚江</w:t>
            </w:r>
          </w:p>
        </w:tc>
        <w:tc>
          <w:tcPr>
            <w:tcW w:w="4820" w:type="dxa"/>
            <w:tcBorders>
              <w:top w:val="single" w:color="auto" w:sz="2" w:space="0"/>
              <w:left w:val="single" w:color="auto" w:sz="2" w:space="0"/>
              <w:bottom w:val="single" w:color="auto" w:sz="2" w:space="0"/>
              <w:right w:val="single" w:color="auto" w:sz="2" w:space="0"/>
            </w:tcBorders>
            <w:vAlign w:val="center"/>
          </w:tcPr>
          <w:p w14:paraId="3AD67F09">
            <w:pPr>
              <w:spacing w:line="240" w:lineRule="exact"/>
              <w:rPr>
                <w:rFonts w:ascii="宋体" w:hAnsi="宋体" w:eastAsia="宋体" w:cs="宋体"/>
                <w:sz w:val="18"/>
                <w:szCs w:val="18"/>
              </w:rPr>
            </w:pPr>
            <w:r>
              <w:rPr>
                <w:rFonts w:ascii="宋体" w:hAnsi="宋体" w:eastAsia="宋体" w:cs="宋体"/>
                <w:sz w:val="18"/>
                <w:szCs w:val="18"/>
              </w:rPr>
              <w:t>本公司董事、监事及其他高级管理人员</w:t>
            </w:r>
          </w:p>
        </w:tc>
      </w:tr>
      <w:tr w14:paraId="759A0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30CBD6F">
            <w:pPr>
              <w:spacing w:line="240" w:lineRule="exact"/>
              <w:rPr>
                <w:rFonts w:ascii="宋体" w:hAnsi="宋体" w:eastAsia="宋体" w:cs="宋体"/>
                <w:sz w:val="18"/>
                <w:szCs w:val="18"/>
              </w:rPr>
            </w:pPr>
            <w:r>
              <w:rPr>
                <w:rFonts w:ascii="宋体" w:hAnsi="宋体" w:eastAsia="宋体" w:cs="宋体"/>
                <w:sz w:val="18"/>
                <w:szCs w:val="18"/>
              </w:rPr>
              <w:t>新疆纺织工业城有限公司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6DA9D50">
            <w:pPr>
              <w:spacing w:line="240" w:lineRule="exact"/>
              <w:rPr>
                <w:rFonts w:ascii="宋体" w:hAnsi="宋体" w:eastAsia="宋体" w:cs="宋体"/>
                <w:sz w:val="18"/>
                <w:szCs w:val="18"/>
              </w:rPr>
            </w:pPr>
            <w:r>
              <w:rPr>
                <w:rFonts w:ascii="宋体" w:hAnsi="宋体" w:eastAsia="宋体" w:cs="宋体"/>
                <w:sz w:val="18"/>
                <w:szCs w:val="18"/>
              </w:rPr>
              <w:t>与本公司为同一控股股东</w:t>
            </w:r>
          </w:p>
        </w:tc>
      </w:tr>
      <w:tr w14:paraId="78BA2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FC628D0">
            <w:pPr>
              <w:spacing w:line="240" w:lineRule="exact"/>
              <w:rPr>
                <w:rFonts w:ascii="宋体" w:hAnsi="宋体" w:eastAsia="宋体" w:cs="宋体"/>
                <w:sz w:val="18"/>
                <w:szCs w:val="18"/>
              </w:rPr>
            </w:pPr>
            <w:r>
              <w:rPr>
                <w:rFonts w:ascii="宋体" w:hAnsi="宋体" w:eastAsia="宋体" w:cs="宋体"/>
                <w:sz w:val="18"/>
                <w:szCs w:val="18"/>
              </w:rPr>
              <w:t>库车银花棉业有限责任公司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14:paraId="56CE5E05">
            <w:pPr>
              <w:spacing w:line="240" w:lineRule="exact"/>
              <w:rPr>
                <w:rFonts w:ascii="宋体" w:hAnsi="宋体" w:eastAsia="宋体" w:cs="宋体"/>
                <w:sz w:val="18"/>
                <w:szCs w:val="18"/>
              </w:rPr>
            </w:pPr>
            <w:r>
              <w:rPr>
                <w:rFonts w:ascii="宋体" w:hAnsi="宋体" w:eastAsia="宋体" w:cs="宋体"/>
                <w:sz w:val="18"/>
                <w:szCs w:val="18"/>
              </w:rPr>
              <w:t>2024年9月前系合并范围内子公司</w:t>
            </w:r>
          </w:p>
        </w:tc>
      </w:tr>
      <w:tr w14:paraId="31F5A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08D52F8">
            <w:pPr>
              <w:spacing w:line="240" w:lineRule="exact"/>
              <w:rPr>
                <w:rFonts w:ascii="宋体" w:hAnsi="宋体" w:eastAsia="宋体" w:cs="宋体"/>
                <w:sz w:val="18"/>
                <w:szCs w:val="18"/>
              </w:rPr>
            </w:pPr>
            <w:r>
              <w:rPr>
                <w:rFonts w:ascii="宋体" w:hAnsi="宋体" w:eastAsia="宋体" w:cs="宋体"/>
                <w:sz w:val="18"/>
                <w:szCs w:val="18"/>
              </w:rPr>
              <w:t>江阴市传澄电子商务有限公司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5EA66627">
            <w:pPr>
              <w:spacing w:line="240" w:lineRule="exact"/>
              <w:rPr>
                <w:rFonts w:ascii="宋体" w:hAnsi="宋体" w:eastAsia="宋体" w:cs="宋体"/>
                <w:sz w:val="18"/>
                <w:szCs w:val="18"/>
              </w:rPr>
            </w:pPr>
            <w:r>
              <w:rPr>
                <w:rFonts w:ascii="宋体" w:hAnsi="宋体" w:eastAsia="宋体" w:cs="宋体"/>
                <w:sz w:val="18"/>
                <w:szCs w:val="18"/>
              </w:rPr>
              <w:t>其他关联方</w:t>
            </w:r>
          </w:p>
        </w:tc>
      </w:tr>
      <w:tr w14:paraId="6A9F7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6BC6FA3">
            <w:pPr>
              <w:spacing w:line="240" w:lineRule="exact"/>
              <w:rPr>
                <w:rFonts w:ascii="宋体" w:hAnsi="宋体" w:eastAsia="宋体" w:cs="宋体"/>
                <w:sz w:val="18"/>
                <w:szCs w:val="18"/>
              </w:rPr>
            </w:pPr>
            <w:r>
              <w:rPr>
                <w:rFonts w:ascii="宋体" w:hAnsi="宋体" w:eastAsia="宋体" w:cs="宋体"/>
                <w:sz w:val="18"/>
                <w:szCs w:val="18"/>
              </w:rPr>
              <w:t>淡安（江苏）健康产业有限公司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4601295">
            <w:pPr>
              <w:spacing w:line="240" w:lineRule="exact"/>
              <w:rPr>
                <w:rFonts w:ascii="宋体" w:hAnsi="宋体" w:eastAsia="宋体" w:cs="宋体"/>
                <w:sz w:val="18"/>
                <w:szCs w:val="18"/>
              </w:rPr>
            </w:pPr>
            <w:r>
              <w:rPr>
                <w:rFonts w:ascii="宋体" w:hAnsi="宋体" w:eastAsia="宋体" w:cs="宋体"/>
                <w:sz w:val="18"/>
                <w:szCs w:val="18"/>
              </w:rPr>
              <w:t>江阴市传澄子公司</w:t>
            </w:r>
          </w:p>
        </w:tc>
      </w:tr>
      <w:tr w14:paraId="094AB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2B1173C">
            <w:pPr>
              <w:spacing w:line="240" w:lineRule="exact"/>
              <w:rPr>
                <w:rFonts w:ascii="宋体" w:hAnsi="宋体" w:eastAsia="宋体" w:cs="宋体"/>
                <w:sz w:val="18"/>
                <w:szCs w:val="18"/>
              </w:rPr>
            </w:pPr>
            <w:r>
              <w:rPr>
                <w:rFonts w:ascii="宋体" w:hAnsi="宋体" w:eastAsia="宋体" w:cs="宋体"/>
                <w:sz w:val="18"/>
                <w:szCs w:val="18"/>
              </w:rPr>
              <w:t>江苏传澄文化传播有限公司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5F21B00">
            <w:pPr>
              <w:spacing w:line="240" w:lineRule="exact"/>
              <w:rPr>
                <w:rFonts w:ascii="宋体" w:hAnsi="宋体" w:eastAsia="宋体" w:cs="宋体"/>
                <w:sz w:val="18"/>
                <w:szCs w:val="18"/>
              </w:rPr>
            </w:pPr>
            <w:r>
              <w:rPr>
                <w:rFonts w:ascii="宋体" w:hAnsi="宋体" w:eastAsia="宋体" w:cs="宋体"/>
                <w:sz w:val="18"/>
                <w:szCs w:val="18"/>
              </w:rPr>
              <w:t>江阴市传澄子公司</w:t>
            </w:r>
          </w:p>
        </w:tc>
      </w:tr>
      <w:tr w14:paraId="74DE4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EEEF774">
            <w:pPr>
              <w:spacing w:line="240" w:lineRule="exact"/>
              <w:rPr>
                <w:rFonts w:ascii="宋体" w:hAnsi="宋体" w:eastAsia="宋体" w:cs="宋体"/>
                <w:sz w:val="18"/>
                <w:szCs w:val="18"/>
              </w:rPr>
            </w:pPr>
            <w:r>
              <w:rPr>
                <w:rFonts w:ascii="宋体" w:hAnsi="宋体" w:eastAsia="宋体" w:cs="宋体"/>
                <w:sz w:val="18"/>
                <w:szCs w:val="18"/>
              </w:rPr>
              <w:t>上海传澄供应链管理有限公司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0505A57E">
            <w:pPr>
              <w:spacing w:line="240" w:lineRule="exact"/>
              <w:rPr>
                <w:rFonts w:ascii="宋体" w:hAnsi="宋体" w:eastAsia="宋体" w:cs="宋体"/>
                <w:sz w:val="18"/>
                <w:szCs w:val="18"/>
              </w:rPr>
            </w:pPr>
            <w:r>
              <w:rPr>
                <w:rFonts w:ascii="宋体" w:hAnsi="宋体" w:eastAsia="宋体" w:cs="宋体"/>
                <w:sz w:val="18"/>
                <w:szCs w:val="18"/>
              </w:rPr>
              <w:t>江阴市传澄子公司</w:t>
            </w:r>
          </w:p>
        </w:tc>
      </w:tr>
      <w:tr w14:paraId="79ABEB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5B1C4514">
            <w:pPr>
              <w:spacing w:line="240" w:lineRule="exact"/>
              <w:rPr>
                <w:rFonts w:ascii="宋体" w:hAnsi="宋体" w:eastAsia="宋体" w:cs="宋体"/>
                <w:sz w:val="18"/>
                <w:szCs w:val="18"/>
              </w:rPr>
            </w:pPr>
            <w:r>
              <w:rPr>
                <w:rFonts w:ascii="宋体" w:hAnsi="宋体" w:eastAsia="宋体" w:cs="宋体"/>
                <w:sz w:val="18"/>
                <w:szCs w:val="18"/>
              </w:rPr>
              <w:t>江阴市大澄企业管理合伙企业（有限合伙）</w:t>
            </w:r>
          </w:p>
        </w:tc>
        <w:tc>
          <w:tcPr>
            <w:tcW w:w="4820" w:type="dxa"/>
            <w:tcBorders>
              <w:top w:val="single" w:color="auto" w:sz="2" w:space="0"/>
              <w:left w:val="single" w:color="auto" w:sz="2" w:space="0"/>
              <w:bottom w:val="single" w:color="auto" w:sz="2" w:space="0"/>
              <w:right w:val="single" w:color="auto" w:sz="2" w:space="0"/>
            </w:tcBorders>
            <w:vAlign w:val="center"/>
          </w:tcPr>
          <w:p w14:paraId="3C13518B">
            <w:pPr>
              <w:spacing w:line="240" w:lineRule="exact"/>
              <w:rPr>
                <w:rFonts w:ascii="宋体" w:hAnsi="宋体" w:eastAsia="宋体" w:cs="宋体"/>
                <w:sz w:val="18"/>
                <w:szCs w:val="18"/>
              </w:rPr>
            </w:pPr>
            <w:r>
              <w:rPr>
                <w:rFonts w:ascii="宋体" w:hAnsi="宋体" w:eastAsia="宋体" w:cs="宋体"/>
                <w:sz w:val="18"/>
                <w:szCs w:val="18"/>
              </w:rPr>
              <w:t>江阴市传澄子公司</w:t>
            </w:r>
          </w:p>
        </w:tc>
      </w:tr>
      <w:tr w14:paraId="2F528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0CAAE90">
            <w:pPr>
              <w:spacing w:line="240" w:lineRule="exact"/>
              <w:rPr>
                <w:rFonts w:ascii="宋体" w:hAnsi="宋体" w:eastAsia="宋体" w:cs="宋体"/>
                <w:sz w:val="18"/>
                <w:szCs w:val="18"/>
              </w:rPr>
            </w:pPr>
            <w:r>
              <w:rPr>
                <w:rFonts w:ascii="宋体" w:hAnsi="宋体" w:eastAsia="宋体" w:cs="宋体"/>
                <w:sz w:val="18"/>
                <w:szCs w:val="18"/>
              </w:rPr>
              <w:t>吉安供应链管理淮安有限公司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539AEBBF">
            <w:pPr>
              <w:spacing w:line="240" w:lineRule="exact"/>
              <w:rPr>
                <w:rFonts w:ascii="宋体" w:hAnsi="宋体" w:eastAsia="宋体" w:cs="宋体"/>
                <w:sz w:val="18"/>
                <w:szCs w:val="18"/>
              </w:rPr>
            </w:pPr>
            <w:r>
              <w:rPr>
                <w:rFonts w:ascii="宋体" w:hAnsi="宋体" w:eastAsia="宋体" w:cs="宋体"/>
                <w:sz w:val="18"/>
                <w:szCs w:val="18"/>
              </w:rPr>
              <w:t>2025年9月30日前持有子公司阿克苏银星物流有限公司20%股份</w:t>
            </w:r>
          </w:p>
        </w:tc>
      </w:tr>
      <w:tr w14:paraId="6C572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8F54094">
            <w:pPr>
              <w:spacing w:line="240" w:lineRule="exact"/>
              <w:rPr>
                <w:rFonts w:ascii="宋体" w:hAnsi="宋体" w:eastAsia="宋体" w:cs="宋体"/>
                <w:sz w:val="18"/>
                <w:szCs w:val="18"/>
              </w:rPr>
            </w:pPr>
            <w:r>
              <w:rPr>
                <w:rFonts w:ascii="宋体" w:hAnsi="宋体" w:eastAsia="宋体" w:cs="宋体"/>
                <w:sz w:val="18"/>
                <w:szCs w:val="18"/>
              </w:rPr>
              <w:t>绍兴领尚纺织科技有限公司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0BA939BD">
            <w:pPr>
              <w:spacing w:line="240" w:lineRule="exact"/>
              <w:rPr>
                <w:rFonts w:ascii="宋体" w:hAnsi="宋体" w:eastAsia="宋体" w:cs="宋体"/>
                <w:sz w:val="18"/>
                <w:szCs w:val="18"/>
              </w:rPr>
            </w:pPr>
            <w:r>
              <w:rPr>
                <w:rFonts w:ascii="宋体" w:hAnsi="宋体" w:eastAsia="宋体" w:cs="宋体"/>
                <w:sz w:val="18"/>
                <w:szCs w:val="18"/>
              </w:rPr>
              <w:t>浙江华尚产业运营有限公司子公司</w:t>
            </w:r>
          </w:p>
        </w:tc>
      </w:tr>
      <w:tr w14:paraId="2EAEB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E080E4C">
            <w:pPr>
              <w:spacing w:line="240" w:lineRule="exact"/>
              <w:rPr>
                <w:rFonts w:ascii="宋体" w:hAnsi="宋体" w:eastAsia="宋体" w:cs="宋体"/>
                <w:sz w:val="18"/>
                <w:szCs w:val="18"/>
              </w:rPr>
            </w:pPr>
            <w:r>
              <w:rPr>
                <w:rFonts w:ascii="宋体" w:hAnsi="宋体" w:eastAsia="宋体" w:cs="宋体"/>
                <w:sz w:val="18"/>
                <w:szCs w:val="18"/>
              </w:rPr>
              <w:t>阿克苏地区华孚纺织职业培训学校</w:t>
            </w:r>
          </w:p>
        </w:tc>
        <w:tc>
          <w:tcPr>
            <w:tcW w:w="4820" w:type="dxa"/>
            <w:tcBorders>
              <w:top w:val="single" w:color="auto" w:sz="2" w:space="0"/>
              <w:left w:val="single" w:color="auto" w:sz="2" w:space="0"/>
              <w:bottom w:val="single" w:color="auto" w:sz="2" w:space="0"/>
              <w:right w:val="single" w:color="auto" w:sz="2" w:space="0"/>
            </w:tcBorders>
            <w:vAlign w:val="center"/>
          </w:tcPr>
          <w:p w14:paraId="2F43DD59">
            <w:pPr>
              <w:spacing w:line="240" w:lineRule="exact"/>
              <w:rPr>
                <w:rFonts w:ascii="宋体" w:hAnsi="宋体" w:eastAsia="宋体" w:cs="宋体"/>
                <w:sz w:val="18"/>
                <w:szCs w:val="18"/>
              </w:rPr>
            </w:pPr>
            <w:r>
              <w:rPr>
                <w:rFonts w:ascii="宋体" w:hAnsi="宋体" w:eastAsia="宋体" w:cs="宋体"/>
                <w:sz w:val="18"/>
                <w:szCs w:val="18"/>
              </w:rPr>
              <w:t>与本公司为同一控股股东</w:t>
            </w:r>
          </w:p>
        </w:tc>
      </w:tr>
      <w:tr w14:paraId="6BC98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31C40FA">
            <w:pPr>
              <w:spacing w:line="240" w:lineRule="exact"/>
              <w:rPr>
                <w:rFonts w:ascii="宋体" w:hAnsi="宋体" w:eastAsia="宋体" w:cs="宋体"/>
                <w:sz w:val="18"/>
                <w:szCs w:val="18"/>
              </w:rPr>
            </w:pPr>
            <w:r>
              <w:rPr>
                <w:rFonts w:ascii="宋体" w:hAnsi="宋体" w:eastAsia="宋体" w:cs="宋体"/>
                <w:sz w:val="18"/>
                <w:szCs w:val="18"/>
              </w:rPr>
              <w:t>安徽昊泰纺织有限公司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27CAB1E">
            <w:pPr>
              <w:spacing w:line="240" w:lineRule="exact"/>
              <w:rPr>
                <w:rFonts w:ascii="宋体" w:hAnsi="宋体" w:eastAsia="宋体" w:cs="宋体"/>
                <w:sz w:val="18"/>
                <w:szCs w:val="18"/>
              </w:rPr>
            </w:pPr>
            <w:r>
              <w:rPr>
                <w:rFonts w:ascii="宋体" w:hAnsi="宋体" w:eastAsia="宋体" w:cs="宋体"/>
                <w:sz w:val="18"/>
                <w:szCs w:val="18"/>
              </w:rPr>
              <w:t>浙江万孚投资集团有限公司控股子公司，孙伟挺担任法定代表人</w:t>
            </w:r>
          </w:p>
        </w:tc>
      </w:tr>
      <w:tr w14:paraId="7B395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C2CDF99">
            <w:pPr>
              <w:spacing w:line="240" w:lineRule="exact"/>
              <w:rPr>
                <w:rFonts w:ascii="宋体" w:hAnsi="宋体" w:eastAsia="宋体" w:cs="宋体"/>
                <w:sz w:val="18"/>
                <w:szCs w:val="18"/>
              </w:rPr>
            </w:pPr>
            <w:r>
              <w:rPr>
                <w:rFonts w:ascii="宋体" w:hAnsi="宋体" w:eastAsia="宋体" w:cs="宋体"/>
                <w:sz w:val="18"/>
                <w:szCs w:val="18"/>
              </w:rPr>
              <w:t>喀什喧纺棉花有限公司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731AB6E2">
            <w:pPr>
              <w:spacing w:line="240" w:lineRule="exact"/>
              <w:rPr>
                <w:rFonts w:ascii="宋体" w:hAnsi="宋体" w:eastAsia="宋体" w:cs="宋体"/>
                <w:sz w:val="18"/>
                <w:szCs w:val="18"/>
              </w:rPr>
            </w:pPr>
            <w:r>
              <w:rPr>
                <w:rFonts w:ascii="宋体" w:hAnsi="宋体" w:eastAsia="宋体" w:cs="宋体"/>
                <w:sz w:val="18"/>
                <w:szCs w:val="18"/>
              </w:rPr>
              <w:t>2024年6月前系合并范围内子公司</w:t>
            </w:r>
          </w:p>
        </w:tc>
      </w:tr>
      <w:tr w14:paraId="47495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DE00DDD">
            <w:pPr>
              <w:spacing w:line="240" w:lineRule="exact"/>
              <w:rPr>
                <w:rFonts w:ascii="宋体" w:hAnsi="宋体" w:eastAsia="宋体" w:cs="宋体"/>
                <w:sz w:val="18"/>
                <w:szCs w:val="18"/>
              </w:rPr>
            </w:pPr>
            <w:r>
              <w:rPr>
                <w:rFonts w:ascii="宋体" w:hAnsi="宋体" w:eastAsia="宋体" w:cs="宋体"/>
                <w:sz w:val="18"/>
                <w:szCs w:val="18"/>
              </w:rPr>
              <w:t>钟耀栋、蔡姗妮</w:t>
            </w:r>
          </w:p>
        </w:tc>
        <w:tc>
          <w:tcPr>
            <w:tcW w:w="4820" w:type="dxa"/>
            <w:tcBorders>
              <w:top w:val="single" w:color="auto" w:sz="2" w:space="0"/>
              <w:left w:val="single" w:color="auto" w:sz="2" w:space="0"/>
              <w:bottom w:val="single" w:color="auto" w:sz="2" w:space="0"/>
              <w:right w:val="single" w:color="auto" w:sz="2" w:space="0"/>
            </w:tcBorders>
            <w:vAlign w:val="center"/>
          </w:tcPr>
          <w:p w14:paraId="6E98DC57">
            <w:pPr>
              <w:spacing w:line="240" w:lineRule="exact"/>
              <w:rPr>
                <w:rFonts w:ascii="宋体" w:hAnsi="宋体" w:eastAsia="宋体" w:cs="宋体"/>
                <w:sz w:val="18"/>
                <w:szCs w:val="18"/>
              </w:rPr>
            </w:pPr>
            <w:r>
              <w:rPr>
                <w:rFonts w:ascii="宋体" w:hAnsi="宋体" w:eastAsia="宋体" w:cs="宋体"/>
                <w:sz w:val="18"/>
                <w:szCs w:val="18"/>
              </w:rPr>
              <w:t>控股子公司浙江阿大小股东</w:t>
            </w:r>
          </w:p>
        </w:tc>
      </w:tr>
      <w:tr w14:paraId="18C10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64F2045E">
            <w:pPr>
              <w:spacing w:line="240" w:lineRule="exact"/>
              <w:rPr>
                <w:rFonts w:ascii="宋体" w:hAnsi="宋体" w:eastAsia="宋体" w:cs="宋体"/>
                <w:sz w:val="18"/>
                <w:szCs w:val="18"/>
              </w:rPr>
            </w:pPr>
            <w:r>
              <w:rPr>
                <w:rFonts w:ascii="宋体" w:hAnsi="宋体" w:eastAsia="宋体" w:cs="宋体"/>
                <w:sz w:val="18"/>
                <w:szCs w:val="18"/>
              </w:rPr>
              <w:t>浙江华孚网链投资管理有限公司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19F1A0C3">
            <w:pPr>
              <w:spacing w:line="240" w:lineRule="exact"/>
              <w:rPr>
                <w:rFonts w:ascii="宋体" w:hAnsi="宋体" w:eastAsia="宋体" w:cs="宋体"/>
                <w:sz w:val="18"/>
                <w:szCs w:val="18"/>
              </w:rPr>
            </w:pPr>
            <w:r>
              <w:rPr>
                <w:rFonts w:ascii="宋体" w:hAnsi="宋体" w:eastAsia="宋体" w:cs="宋体"/>
                <w:sz w:val="18"/>
                <w:szCs w:val="18"/>
              </w:rPr>
              <w:t>与本公司为同一控股股东，孙伟挺担任法定代表人</w:t>
            </w:r>
          </w:p>
        </w:tc>
      </w:tr>
      <w:tr w14:paraId="7FF2D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36985FDC">
            <w:pPr>
              <w:spacing w:line="240" w:lineRule="exact"/>
              <w:rPr>
                <w:rFonts w:ascii="宋体" w:hAnsi="宋体" w:eastAsia="宋体" w:cs="宋体"/>
                <w:sz w:val="18"/>
                <w:szCs w:val="18"/>
              </w:rPr>
            </w:pPr>
            <w:r>
              <w:rPr>
                <w:rFonts w:ascii="宋体" w:hAnsi="宋体" w:eastAsia="宋体" w:cs="宋体"/>
                <w:sz w:val="18"/>
                <w:szCs w:val="18"/>
              </w:rPr>
              <w:t>新疆泽孚棉花有限公司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AF3E103">
            <w:pPr>
              <w:spacing w:line="240" w:lineRule="exact"/>
              <w:rPr>
                <w:rFonts w:ascii="宋体" w:hAnsi="宋体" w:eastAsia="宋体" w:cs="宋体"/>
                <w:sz w:val="18"/>
                <w:szCs w:val="18"/>
              </w:rPr>
            </w:pPr>
            <w:r>
              <w:rPr>
                <w:rFonts w:ascii="宋体" w:hAnsi="宋体" w:eastAsia="宋体" w:cs="宋体"/>
                <w:sz w:val="18"/>
                <w:szCs w:val="18"/>
              </w:rPr>
              <w:t>2024年9月前系合并范围内子公司</w:t>
            </w:r>
          </w:p>
        </w:tc>
      </w:tr>
      <w:tr w14:paraId="65914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16405276">
            <w:pPr>
              <w:spacing w:line="240" w:lineRule="exact"/>
              <w:rPr>
                <w:rFonts w:ascii="宋体" w:hAnsi="宋体" w:eastAsia="宋体" w:cs="宋体"/>
                <w:sz w:val="18"/>
                <w:szCs w:val="18"/>
              </w:rPr>
            </w:pPr>
            <w:r>
              <w:rPr>
                <w:rFonts w:ascii="宋体" w:hAnsi="宋体" w:eastAsia="宋体" w:cs="宋体"/>
                <w:sz w:val="18"/>
                <w:szCs w:val="18"/>
              </w:rPr>
              <w:t>深圳市天计数智科技有限公司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413FA35D">
            <w:pPr>
              <w:spacing w:line="240" w:lineRule="exact"/>
              <w:rPr>
                <w:rFonts w:ascii="宋体" w:hAnsi="宋体" w:eastAsia="宋体" w:cs="宋体"/>
                <w:sz w:val="18"/>
                <w:szCs w:val="18"/>
              </w:rPr>
            </w:pPr>
            <w:r>
              <w:rPr>
                <w:rFonts w:ascii="宋体" w:hAnsi="宋体" w:eastAsia="宋体" w:cs="宋体"/>
                <w:sz w:val="18"/>
                <w:szCs w:val="18"/>
              </w:rPr>
              <w:t>2024年4月前系合并范围内子公司</w:t>
            </w:r>
          </w:p>
        </w:tc>
      </w:tr>
      <w:tr w14:paraId="3956D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B27C0C3">
            <w:pPr>
              <w:spacing w:line="240" w:lineRule="exact"/>
              <w:rPr>
                <w:rFonts w:ascii="宋体" w:hAnsi="宋体" w:eastAsia="宋体" w:cs="宋体"/>
                <w:sz w:val="18"/>
                <w:szCs w:val="18"/>
              </w:rPr>
            </w:pPr>
            <w:r>
              <w:rPr>
                <w:rFonts w:ascii="宋体" w:hAnsi="宋体" w:eastAsia="宋体" w:cs="宋体"/>
                <w:sz w:val="18"/>
                <w:szCs w:val="18"/>
              </w:rPr>
              <w:t>张俊明</w:t>
            </w:r>
          </w:p>
        </w:tc>
        <w:tc>
          <w:tcPr>
            <w:tcW w:w="4820" w:type="dxa"/>
            <w:tcBorders>
              <w:top w:val="single" w:color="auto" w:sz="2" w:space="0"/>
              <w:left w:val="single" w:color="auto" w:sz="2" w:space="0"/>
              <w:bottom w:val="single" w:color="auto" w:sz="2" w:space="0"/>
              <w:right w:val="single" w:color="auto" w:sz="2" w:space="0"/>
            </w:tcBorders>
            <w:vAlign w:val="center"/>
          </w:tcPr>
          <w:p w14:paraId="26AD518C">
            <w:pPr>
              <w:spacing w:line="240" w:lineRule="exact"/>
              <w:rPr>
                <w:rFonts w:ascii="宋体" w:hAnsi="宋体" w:eastAsia="宋体" w:cs="宋体"/>
                <w:sz w:val="18"/>
                <w:szCs w:val="18"/>
              </w:rPr>
            </w:pPr>
            <w:r>
              <w:rPr>
                <w:rFonts w:ascii="宋体" w:hAnsi="宋体" w:eastAsia="宋体" w:cs="宋体"/>
                <w:sz w:val="18"/>
                <w:szCs w:val="18"/>
              </w:rPr>
              <w:t>持有子公司新疆华孚种业科技股份有限公司40%的股份</w:t>
            </w:r>
          </w:p>
        </w:tc>
      </w:tr>
      <w:tr w14:paraId="2EFEA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734DB919">
            <w:pPr>
              <w:spacing w:line="240" w:lineRule="exact"/>
              <w:rPr>
                <w:rFonts w:ascii="宋体" w:hAnsi="宋体" w:eastAsia="宋体" w:cs="宋体"/>
                <w:sz w:val="18"/>
                <w:szCs w:val="18"/>
              </w:rPr>
            </w:pPr>
            <w:r>
              <w:rPr>
                <w:rFonts w:ascii="宋体" w:hAnsi="宋体" w:eastAsia="宋体" w:cs="宋体"/>
                <w:sz w:val="18"/>
                <w:szCs w:val="18"/>
              </w:rPr>
              <w:t>新疆西峪正禾农业有限公司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254225A9">
            <w:pPr>
              <w:spacing w:line="240" w:lineRule="exact"/>
              <w:rPr>
                <w:rFonts w:ascii="宋体" w:hAnsi="宋体" w:eastAsia="宋体" w:cs="宋体"/>
                <w:sz w:val="18"/>
                <w:szCs w:val="18"/>
              </w:rPr>
            </w:pPr>
            <w:r>
              <w:rPr>
                <w:rFonts w:ascii="宋体" w:hAnsi="宋体" w:eastAsia="宋体" w:cs="宋体"/>
                <w:sz w:val="18"/>
                <w:szCs w:val="18"/>
              </w:rPr>
              <w:t>2026年2月前张俊明持股80%的公司</w:t>
            </w:r>
          </w:p>
        </w:tc>
      </w:tr>
      <w:tr w14:paraId="2E687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4E90FC29">
            <w:pPr>
              <w:spacing w:line="240" w:lineRule="exact"/>
              <w:rPr>
                <w:rFonts w:ascii="宋体" w:hAnsi="宋体" w:eastAsia="宋体" w:cs="宋体"/>
                <w:sz w:val="18"/>
                <w:szCs w:val="18"/>
              </w:rPr>
            </w:pPr>
            <w:r>
              <w:rPr>
                <w:rFonts w:ascii="宋体" w:hAnsi="宋体" w:eastAsia="宋体" w:cs="宋体"/>
                <w:sz w:val="18"/>
                <w:szCs w:val="18"/>
              </w:rPr>
              <w:t>呼图壁县万之源农作物农民专业合作社</w:t>
            </w:r>
          </w:p>
        </w:tc>
        <w:tc>
          <w:tcPr>
            <w:tcW w:w="4820" w:type="dxa"/>
            <w:tcBorders>
              <w:top w:val="single" w:color="auto" w:sz="2" w:space="0"/>
              <w:left w:val="single" w:color="auto" w:sz="2" w:space="0"/>
              <w:bottom w:val="single" w:color="auto" w:sz="2" w:space="0"/>
              <w:right w:val="single" w:color="auto" w:sz="2" w:space="0"/>
            </w:tcBorders>
            <w:vAlign w:val="center"/>
          </w:tcPr>
          <w:p w14:paraId="18DEBAB6">
            <w:pPr>
              <w:spacing w:line="240" w:lineRule="exact"/>
              <w:rPr>
                <w:rFonts w:ascii="宋体" w:hAnsi="宋体" w:eastAsia="宋体" w:cs="宋体"/>
                <w:sz w:val="18"/>
                <w:szCs w:val="18"/>
              </w:rPr>
            </w:pPr>
            <w:r>
              <w:rPr>
                <w:rFonts w:ascii="宋体" w:hAnsi="宋体" w:eastAsia="宋体" w:cs="宋体"/>
                <w:sz w:val="18"/>
                <w:szCs w:val="18"/>
              </w:rPr>
              <w:t>张俊明持股67.5%的公司</w:t>
            </w:r>
          </w:p>
        </w:tc>
      </w:tr>
      <w:tr w14:paraId="60C95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0244696F">
            <w:pPr>
              <w:spacing w:line="240" w:lineRule="exact"/>
              <w:rPr>
                <w:rFonts w:ascii="宋体" w:hAnsi="宋体" w:eastAsia="宋体" w:cs="宋体"/>
                <w:sz w:val="18"/>
                <w:szCs w:val="18"/>
              </w:rPr>
            </w:pPr>
            <w:r>
              <w:rPr>
                <w:rFonts w:ascii="宋体" w:hAnsi="宋体" w:eastAsia="宋体" w:cs="宋体"/>
                <w:sz w:val="18"/>
                <w:szCs w:val="18"/>
              </w:rPr>
              <w:t>新疆银花高新科技有限公司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090E3250">
            <w:pPr>
              <w:spacing w:line="240" w:lineRule="exact"/>
              <w:rPr>
                <w:rFonts w:ascii="宋体" w:hAnsi="宋体" w:eastAsia="宋体" w:cs="宋体"/>
                <w:sz w:val="18"/>
                <w:szCs w:val="18"/>
              </w:rPr>
            </w:pPr>
            <w:r>
              <w:rPr>
                <w:rFonts w:ascii="宋体" w:hAnsi="宋体" w:eastAsia="宋体" w:cs="宋体"/>
                <w:sz w:val="18"/>
                <w:szCs w:val="18"/>
              </w:rPr>
              <w:t>系分别持有新疆天孚棉花供应链股份有限公司49%股权、新疆棉花交易市场有限责任公司10%股权、阿克苏银星物流有限公司20%股权的小股东</w:t>
            </w:r>
          </w:p>
        </w:tc>
      </w:tr>
      <w:tr w14:paraId="10602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14:paraId="29EF00D2">
            <w:pPr>
              <w:spacing w:line="240" w:lineRule="exact"/>
              <w:rPr>
                <w:rFonts w:ascii="宋体" w:hAnsi="宋体" w:eastAsia="宋体" w:cs="宋体"/>
                <w:sz w:val="18"/>
                <w:szCs w:val="18"/>
              </w:rPr>
            </w:pPr>
            <w:r>
              <w:rPr>
                <w:rFonts w:ascii="宋体" w:hAnsi="宋体" w:eastAsia="宋体" w:cs="宋体"/>
                <w:sz w:val="18"/>
                <w:szCs w:val="18"/>
              </w:rPr>
              <w:t>新疆生产建设兵团第七师国有资本投资运营集团有限公司</w:t>
            </w:r>
          </w:p>
        </w:tc>
        <w:tc>
          <w:tcPr>
            <w:tcW w:w="4820" w:type="dxa"/>
            <w:tcBorders>
              <w:top w:val="single" w:color="auto" w:sz="2" w:space="0"/>
              <w:left w:val="single" w:color="auto" w:sz="2" w:space="0"/>
              <w:bottom w:val="single" w:color="auto" w:sz="2" w:space="0"/>
              <w:right w:val="single" w:color="auto" w:sz="2" w:space="0"/>
            </w:tcBorders>
            <w:vAlign w:val="center"/>
          </w:tcPr>
          <w:p w14:paraId="6EFE3C63">
            <w:pPr>
              <w:spacing w:line="240" w:lineRule="exact"/>
              <w:rPr>
                <w:rFonts w:ascii="宋体" w:hAnsi="宋体" w:eastAsia="宋体" w:cs="宋体"/>
                <w:sz w:val="18"/>
                <w:szCs w:val="18"/>
              </w:rPr>
            </w:pPr>
            <w:r>
              <w:rPr>
                <w:rFonts w:ascii="宋体" w:hAnsi="宋体" w:eastAsia="宋体" w:cs="宋体"/>
                <w:sz w:val="18"/>
                <w:szCs w:val="18"/>
              </w:rPr>
              <w:t>2021年2月前系持有奎屯锦孚33%的小股东</w:t>
            </w:r>
          </w:p>
        </w:tc>
      </w:tr>
    </w:tbl>
    <w:p w14:paraId="456DA3FD">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53C2D2F6">
      <w:pPr>
        <w:pStyle w:val="3"/>
        <w:spacing w:line="280" w:lineRule="exact"/>
        <w:jc w:val="left"/>
        <w:rPr>
          <w:rFonts w:ascii="宋体" w:hAnsi="宋体" w:cs="宋体"/>
          <w:b/>
          <w:bCs/>
        </w:rPr>
      </w:pPr>
      <w:bookmarkStart w:id="565" w:name="_Toc989420"/>
      <w:r>
        <w:rPr>
          <w:rFonts w:ascii="宋体" w:hAnsi="宋体" w:cs="宋体"/>
          <w:b/>
          <w:bCs/>
        </w:rPr>
        <w:t>5、关联交易情况</w:t>
      </w:r>
      <w:bookmarkEnd w:id="565"/>
    </w:p>
    <w:p w14:paraId="62F4A7E4">
      <w:pPr>
        <w:keepNext/>
        <w:keepLines/>
        <w:spacing w:before="300" w:after="300" w:line="280" w:lineRule="exact"/>
        <w:outlineLvl w:val="3"/>
        <w:rPr>
          <w:rFonts w:ascii="宋体" w:hAnsi="宋体" w:eastAsia="宋体" w:cs="宋体"/>
          <w:b/>
          <w:bCs/>
          <w:szCs w:val="21"/>
        </w:rPr>
      </w:pPr>
      <w:bookmarkStart w:id="566" w:name="_Toc989421"/>
      <w:r>
        <w:rPr>
          <w:rFonts w:ascii="宋体" w:hAnsi="宋体" w:eastAsia="宋体" w:cs="宋体"/>
          <w:b/>
          <w:bCs/>
          <w:szCs w:val="21"/>
        </w:rPr>
        <w:t>（1） 购销商品、提供和接受劳务的关联交易</w:t>
      </w:r>
      <w:bookmarkEnd w:id="566"/>
    </w:p>
    <w:p w14:paraId="70E3501A">
      <w:pPr>
        <w:spacing w:before="100" w:after="100" w:line="240" w:lineRule="exact"/>
        <w:rPr>
          <w:rFonts w:ascii="宋体" w:hAnsi="宋体" w:eastAsia="宋体" w:cs="宋体"/>
          <w:sz w:val="18"/>
          <w:szCs w:val="18"/>
        </w:rPr>
      </w:pPr>
      <w:r>
        <w:rPr>
          <w:rFonts w:ascii="宋体" w:hAnsi="宋体" w:eastAsia="宋体" w:cs="宋体"/>
          <w:sz w:val="18"/>
          <w:szCs w:val="18"/>
        </w:rPr>
        <w:t>采购商品/接受劳务情况表</w:t>
      </w:r>
    </w:p>
    <w:p w14:paraId="0E2D21FE">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14:paraId="58F98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A0E6C1E">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C5F6DD5">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4C5FE23">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EBE2308">
            <w:pPr>
              <w:spacing w:before="40" w:after="40" w:line="240" w:lineRule="exact"/>
              <w:jc w:val="center"/>
              <w:rPr>
                <w:rFonts w:ascii="宋体" w:hAnsi="宋体" w:eastAsia="宋体" w:cs="宋体"/>
                <w:sz w:val="18"/>
                <w:szCs w:val="18"/>
              </w:rPr>
            </w:pPr>
            <w:r>
              <w:rPr>
                <w:rFonts w:ascii="宋体" w:hAnsi="宋体" w:eastAsia="宋体" w:cs="宋体"/>
                <w:sz w:val="18"/>
                <w:szCs w:val="18"/>
              </w:rPr>
              <w:t>获批的交易额度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1E1FBBC">
            <w:pPr>
              <w:spacing w:before="40" w:after="40" w:line="240" w:lineRule="exact"/>
              <w:jc w:val="center"/>
              <w:rPr>
                <w:rFonts w:ascii="宋体" w:hAnsi="宋体" w:eastAsia="宋体" w:cs="宋体"/>
                <w:sz w:val="18"/>
                <w:szCs w:val="18"/>
              </w:rPr>
            </w:pPr>
            <w:r>
              <w:rPr>
                <w:rFonts w:ascii="宋体" w:hAnsi="宋体" w:eastAsia="宋体" w:cs="宋体"/>
                <w:sz w:val="18"/>
                <w:szCs w:val="18"/>
              </w:rPr>
              <w:t>是否超过交易额度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CEECB1A">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79F48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C3B56AA">
            <w:pPr>
              <w:spacing w:line="240" w:lineRule="exact"/>
              <w:rPr>
                <w:rFonts w:ascii="宋体" w:hAnsi="宋体" w:eastAsia="宋体" w:cs="宋体"/>
                <w:sz w:val="18"/>
                <w:szCs w:val="18"/>
              </w:rPr>
            </w:pPr>
            <w:r>
              <w:rPr>
                <w:rFonts w:ascii="宋体" w:hAnsi="宋体" w:eastAsia="宋体" w:cs="宋体"/>
                <w:sz w:val="18"/>
                <w:szCs w:val="18"/>
              </w:rPr>
              <w:t>江苏科孚纺织品贸易有限公司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1E3082A0">
            <w:pPr>
              <w:spacing w:line="240" w:lineRule="exact"/>
              <w:rPr>
                <w:rFonts w:ascii="宋体" w:hAnsi="宋体" w:eastAsia="宋体" w:cs="宋体"/>
                <w:sz w:val="18"/>
                <w:szCs w:val="18"/>
              </w:rPr>
            </w:pPr>
            <w:r>
              <w:rPr>
                <w:rFonts w:ascii="宋体" w:hAnsi="宋体" w:eastAsia="宋体" w:cs="宋体"/>
                <w:sz w:val="18"/>
                <w:szCs w:val="18"/>
              </w:rPr>
              <w:t>采购棉花</w:t>
            </w:r>
          </w:p>
        </w:tc>
        <w:tc>
          <w:tcPr>
            <w:tcW w:w="1606" w:type="dxa"/>
            <w:tcBorders>
              <w:top w:val="single" w:color="auto" w:sz="2" w:space="0"/>
              <w:left w:val="single" w:color="auto" w:sz="2" w:space="0"/>
              <w:bottom w:val="single" w:color="auto" w:sz="2" w:space="0"/>
              <w:right w:val="single" w:color="auto" w:sz="2" w:space="0"/>
            </w:tcBorders>
            <w:vAlign w:val="center"/>
          </w:tcPr>
          <w:p w14:paraId="2F5D769A">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DFC0272">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F19101B">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7A98AE9">
            <w:pPr>
              <w:spacing w:line="240" w:lineRule="exact"/>
              <w:jc w:val="right"/>
              <w:rPr>
                <w:rFonts w:ascii="宋体" w:hAnsi="宋体" w:eastAsia="宋体" w:cs="宋体"/>
                <w:sz w:val="18"/>
                <w:szCs w:val="18"/>
              </w:rPr>
            </w:pPr>
            <w:r>
              <w:rPr>
                <w:rFonts w:ascii="宋体" w:hAnsi="宋体" w:eastAsia="宋体" w:cs="宋体"/>
                <w:sz w:val="18"/>
                <w:szCs w:val="18"/>
              </w:rPr>
              <w:t>29,466,727.53</w:t>
            </w:r>
          </w:p>
        </w:tc>
      </w:tr>
      <w:tr w14:paraId="0D8E6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2346403">
            <w:pPr>
              <w:spacing w:line="240" w:lineRule="exact"/>
              <w:rPr>
                <w:rFonts w:ascii="宋体" w:hAnsi="宋体" w:eastAsia="宋体" w:cs="宋体"/>
                <w:sz w:val="18"/>
                <w:szCs w:val="18"/>
              </w:rPr>
            </w:pPr>
            <w:r>
              <w:rPr>
                <w:rFonts w:ascii="宋体" w:hAnsi="宋体" w:eastAsia="宋体" w:cs="宋体"/>
                <w:sz w:val="18"/>
                <w:szCs w:val="18"/>
              </w:rPr>
              <w:t>安徽环捷供应链管理有限公司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0A5BD003">
            <w:pPr>
              <w:spacing w:line="240" w:lineRule="exact"/>
              <w:rPr>
                <w:rFonts w:ascii="宋体" w:hAnsi="宋体" w:eastAsia="宋体" w:cs="宋体"/>
                <w:sz w:val="18"/>
                <w:szCs w:val="18"/>
              </w:rPr>
            </w:pPr>
            <w:r>
              <w:rPr>
                <w:rFonts w:ascii="宋体" w:hAnsi="宋体" w:eastAsia="宋体" w:cs="宋体"/>
                <w:sz w:val="18"/>
                <w:szCs w:val="18"/>
              </w:rPr>
              <w:t>仓储物流服务</w:t>
            </w:r>
          </w:p>
        </w:tc>
        <w:tc>
          <w:tcPr>
            <w:tcW w:w="1606" w:type="dxa"/>
            <w:tcBorders>
              <w:top w:val="single" w:color="auto" w:sz="2" w:space="0"/>
              <w:left w:val="single" w:color="auto" w:sz="2" w:space="0"/>
              <w:bottom w:val="single" w:color="auto" w:sz="2" w:space="0"/>
              <w:right w:val="single" w:color="auto" w:sz="2" w:space="0"/>
            </w:tcBorders>
            <w:vAlign w:val="center"/>
          </w:tcPr>
          <w:p w14:paraId="7FA7911D">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B6DCE2B">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08999B0">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4829616">
            <w:pPr>
              <w:spacing w:line="240" w:lineRule="exact"/>
              <w:jc w:val="right"/>
              <w:rPr>
                <w:rFonts w:ascii="宋体" w:hAnsi="宋体" w:eastAsia="宋体" w:cs="宋体"/>
                <w:sz w:val="18"/>
                <w:szCs w:val="18"/>
              </w:rPr>
            </w:pPr>
            <w:r>
              <w:rPr>
                <w:rFonts w:ascii="宋体" w:hAnsi="宋体" w:eastAsia="宋体" w:cs="宋体"/>
                <w:sz w:val="18"/>
                <w:szCs w:val="18"/>
              </w:rPr>
              <w:t>132,769,167.31</w:t>
            </w:r>
          </w:p>
        </w:tc>
      </w:tr>
      <w:tr w14:paraId="47DAC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EF5D3E0">
            <w:pPr>
              <w:spacing w:line="240" w:lineRule="exact"/>
              <w:rPr>
                <w:rFonts w:ascii="宋体" w:hAnsi="宋体" w:eastAsia="宋体" w:cs="宋体"/>
                <w:sz w:val="18"/>
                <w:szCs w:val="18"/>
              </w:rPr>
            </w:pPr>
            <w:r>
              <w:rPr>
                <w:rFonts w:ascii="宋体" w:hAnsi="宋体" w:eastAsia="宋体" w:cs="宋体"/>
                <w:sz w:val="18"/>
                <w:szCs w:val="18"/>
              </w:rPr>
              <w:t>呼图壁县宏盛棉业有限公司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026A65F0">
            <w:pPr>
              <w:spacing w:line="240" w:lineRule="exact"/>
              <w:rPr>
                <w:rFonts w:ascii="宋体" w:hAnsi="宋体" w:eastAsia="宋体" w:cs="宋体"/>
                <w:sz w:val="18"/>
                <w:szCs w:val="18"/>
              </w:rPr>
            </w:pPr>
            <w:r>
              <w:rPr>
                <w:rFonts w:ascii="宋体" w:hAnsi="宋体" w:eastAsia="宋体" w:cs="宋体"/>
                <w:sz w:val="18"/>
                <w:szCs w:val="18"/>
              </w:rPr>
              <w:t>采购棉花</w:t>
            </w:r>
          </w:p>
        </w:tc>
        <w:tc>
          <w:tcPr>
            <w:tcW w:w="1606" w:type="dxa"/>
            <w:tcBorders>
              <w:top w:val="single" w:color="auto" w:sz="2" w:space="0"/>
              <w:left w:val="single" w:color="auto" w:sz="2" w:space="0"/>
              <w:bottom w:val="single" w:color="auto" w:sz="2" w:space="0"/>
              <w:right w:val="single" w:color="auto" w:sz="2" w:space="0"/>
            </w:tcBorders>
            <w:vAlign w:val="center"/>
          </w:tcPr>
          <w:p w14:paraId="33110E5B">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C617D40">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2EF9C47">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D17B51B">
            <w:pPr>
              <w:spacing w:line="240" w:lineRule="exact"/>
              <w:jc w:val="right"/>
              <w:rPr>
                <w:rFonts w:ascii="宋体" w:hAnsi="宋体" w:eastAsia="宋体" w:cs="宋体"/>
                <w:sz w:val="18"/>
                <w:szCs w:val="18"/>
              </w:rPr>
            </w:pPr>
            <w:r>
              <w:rPr>
                <w:rFonts w:ascii="宋体" w:hAnsi="宋体" w:eastAsia="宋体" w:cs="宋体"/>
                <w:sz w:val="18"/>
                <w:szCs w:val="18"/>
              </w:rPr>
              <w:t>82,416,180.80</w:t>
            </w:r>
          </w:p>
        </w:tc>
      </w:tr>
      <w:tr w14:paraId="31EF0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491DB8D">
            <w:pPr>
              <w:spacing w:line="240" w:lineRule="exact"/>
              <w:rPr>
                <w:rFonts w:ascii="宋体" w:hAnsi="宋体" w:eastAsia="宋体" w:cs="宋体"/>
                <w:sz w:val="18"/>
                <w:szCs w:val="18"/>
              </w:rPr>
            </w:pPr>
            <w:r>
              <w:rPr>
                <w:rFonts w:ascii="宋体" w:hAnsi="宋体" w:eastAsia="宋体" w:cs="宋体"/>
                <w:sz w:val="18"/>
                <w:szCs w:val="18"/>
              </w:rPr>
              <w:t>浙江华孚网链投资管理有限公司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0224B3B1">
            <w:pPr>
              <w:spacing w:line="240" w:lineRule="exact"/>
              <w:rPr>
                <w:rFonts w:ascii="宋体" w:hAnsi="宋体" w:eastAsia="宋体" w:cs="宋体"/>
                <w:sz w:val="18"/>
                <w:szCs w:val="18"/>
              </w:rPr>
            </w:pPr>
            <w:r>
              <w:rPr>
                <w:rFonts w:ascii="宋体" w:hAnsi="宋体" w:eastAsia="宋体" w:cs="宋体"/>
                <w:sz w:val="18"/>
                <w:szCs w:val="18"/>
              </w:rPr>
              <w:t>购买办公楼</w:t>
            </w:r>
          </w:p>
        </w:tc>
        <w:tc>
          <w:tcPr>
            <w:tcW w:w="1606" w:type="dxa"/>
            <w:tcBorders>
              <w:top w:val="single" w:color="auto" w:sz="2" w:space="0"/>
              <w:left w:val="single" w:color="auto" w:sz="2" w:space="0"/>
              <w:bottom w:val="single" w:color="auto" w:sz="2" w:space="0"/>
              <w:right w:val="single" w:color="auto" w:sz="2" w:space="0"/>
            </w:tcBorders>
            <w:vAlign w:val="center"/>
          </w:tcPr>
          <w:p w14:paraId="21EF6649">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34F0A29">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3E4D26B">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D2CEE60">
            <w:pPr>
              <w:spacing w:line="240" w:lineRule="exact"/>
              <w:jc w:val="right"/>
              <w:rPr>
                <w:rFonts w:ascii="宋体" w:hAnsi="宋体" w:eastAsia="宋体" w:cs="宋体"/>
                <w:sz w:val="18"/>
                <w:szCs w:val="18"/>
              </w:rPr>
            </w:pPr>
            <w:r>
              <w:rPr>
                <w:rFonts w:ascii="宋体" w:hAnsi="宋体" w:eastAsia="宋体" w:cs="宋体"/>
                <w:sz w:val="18"/>
                <w:szCs w:val="18"/>
              </w:rPr>
              <w:t>277,064,220.18</w:t>
            </w:r>
          </w:p>
        </w:tc>
      </w:tr>
      <w:tr w14:paraId="097AA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4E96440">
            <w:pPr>
              <w:spacing w:line="240" w:lineRule="exact"/>
              <w:rPr>
                <w:rFonts w:ascii="宋体" w:hAnsi="宋体" w:eastAsia="宋体" w:cs="宋体"/>
                <w:sz w:val="18"/>
                <w:szCs w:val="18"/>
              </w:rPr>
            </w:pPr>
            <w:r>
              <w:rPr>
                <w:rFonts w:ascii="宋体" w:hAnsi="宋体" w:eastAsia="宋体" w:cs="宋体"/>
                <w:sz w:val="18"/>
                <w:szCs w:val="18"/>
              </w:rPr>
              <w:t>深圳市天计数智科技有限公司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72625DB7">
            <w:pPr>
              <w:spacing w:line="240" w:lineRule="exact"/>
              <w:rPr>
                <w:rFonts w:ascii="宋体" w:hAnsi="宋体" w:eastAsia="宋体" w:cs="宋体"/>
                <w:sz w:val="18"/>
                <w:szCs w:val="18"/>
              </w:rPr>
            </w:pPr>
            <w:r>
              <w:rPr>
                <w:rFonts w:ascii="宋体" w:hAnsi="宋体" w:eastAsia="宋体" w:cs="宋体"/>
                <w:sz w:val="18"/>
                <w:szCs w:val="18"/>
              </w:rPr>
              <w:t>采购技术服务</w:t>
            </w:r>
          </w:p>
        </w:tc>
        <w:tc>
          <w:tcPr>
            <w:tcW w:w="1606" w:type="dxa"/>
            <w:tcBorders>
              <w:top w:val="single" w:color="auto" w:sz="2" w:space="0"/>
              <w:left w:val="single" w:color="auto" w:sz="2" w:space="0"/>
              <w:bottom w:val="single" w:color="auto" w:sz="2" w:space="0"/>
              <w:right w:val="single" w:color="auto" w:sz="2" w:space="0"/>
            </w:tcBorders>
            <w:vAlign w:val="center"/>
          </w:tcPr>
          <w:p w14:paraId="236EF5A8">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8662EA4">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FC88D41">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C09ACDC">
            <w:pPr>
              <w:spacing w:line="240" w:lineRule="exact"/>
              <w:jc w:val="right"/>
              <w:rPr>
                <w:rFonts w:ascii="宋体" w:hAnsi="宋体" w:eastAsia="宋体" w:cs="宋体"/>
                <w:sz w:val="18"/>
                <w:szCs w:val="18"/>
              </w:rPr>
            </w:pPr>
            <w:r>
              <w:rPr>
                <w:rFonts w:ascii="宋体" w:hAnsi="宋体" w:eastAsia="宋体" w:cs="宋体"/>
                <w:sz w:val="18"/>
                <w:szCs w:val="18"/>
              </w:rPr>
              <w:t>448,550.30</w:t>
            </w:r>
          </w:p>
        </w:tc>
      </w:tr>
      <w:tr w14:paraId="0AF67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2B35123">
            <w:pPr>
              <w:spacing w:line="240" w:lineRule="exact"/>
              <w:rPr>
                <w:rFonts w:ascii="宋体" w:hAnsi="宋体" w:eastAsia="宋体" w:cs="宋体"/>
                <w:sz w:val="18"/>
                <w:szCs w:val="18"/>
              </w:rPr>
            </w:pPr>
            <w:r>
              <w:rPr>
                <w:rFonts w:ascii="宋体" w:hAnsi="宋体" w:eastAsia="宋体" w:cs="宋体"/>
                <w:sz w:val="18"/>
                <w:szCs w:val="18"/>
              </w:rPr>
              <w:t>张俊明</w:t>
            </w:r>
          </w:p>
        </w:tc>
        <w:tc>
          <w:tcPr>
            <w:tcW w:w="1606" w:type="dxa"/>
            <w:tcBorders>
              <w:top w:val="single" w:color="auto" w:sz="2" w:space="0"/>
              <w:left w:val="single" w:color="auto" w:sz="2" w:space="0"/>
              <w:bottom w:val="single" w:color="auto" w:sz="2" w:space="0"/>
              <w:right w:val="single" w:color="auto" w:sz="2" w:space="0"/>
            </w:tcBorders>
            <w:vAlign w:val="center"/>
          </w:tcPr>
          <w:p w14:paraId="65B1CCB0">
            <w:pPr>
              <w:spacing w:line="240" w:lineRule="exact"/>
              <w:rPr>
                <w:rFonts w:ascii="宋体" w:hAnsi="宋体" w:eastAsia="宋体" w:cs="宋体"/>
                <w:sz w:val="18"/>
                <w:szCs w:val="18"/>
              </w:rPr>
            </w:pPr>
            <w:r>
              <w:rPr>
                <w:rFonts w:ascii="宋体" w:hAnsi="宋体" w:eastAsia="宋体" w:cs="宋体"/>
                <w:sz w:val="18"/>
                <w:szCs w:val="18"/>
              </w:rPr>
              <w:t>购买无形资产</w:t>
            </w:r>
          </w:p>
        </w:tc>
        <w:tc>
          <w:tcPr>
            <w:tcW w:w="1606" w:type="dxa"/>
            <w:tcBorders>
              <w:top w:val="single" w:color="auto" w:sz="2" w:space="0"/>
              <w:left w:val="single" w:color="auto" w:sz="2" w:space="0"/>
              <w:bottom w:val="single" w:color="auto" w:sz="2" w:space="0"/>
              <w:right w:val="single" w:color="auto" w:sz="2" w:space="0"/>
            </w:tcBorders>
            <w:vAlign w:val="center"/>
          </w:tcPr>
          <w:p w14:paraId="36585339">
            <w:pPr>
              <w:spacing w:line="240" w:lineRule="exact"/>
              <w:jc w:val="right"/>
              <w:rPr>
                <w:rFonts w:ascii="宋体" w:hAnsi="宋体" w:eastAsia="宋体" w:cs="宋体"/>
                <w:sz w:val="18"/>
                <w:szCs w:val="18"/>
              </w:rPr>
            </w:pPr>
            <w:r>
              <w:rPr>
                <w:rFonts w:ascii="宋体" w:hAnsi="宋体" w:eastAsia="宋体" w:cs="宋体"/>
                <w:sz w:val="18"/>
                <w:szCs w:val="18"/>
              </w:rPr>
              <w:t>19,000,000.00</w:t>
            </w:r>
          </w:p>
        </w:tc>
        <w:tc>
          <w:tcPr>
            <w:tcW w:w="1606" w:type="dxa"/>
            <w:tcBorders>
              <w:top w:val="single" w:color="auto" w:sz="2" w:space="0"/>
              <w:left w:val="single" w:color="auto" w:sz="2" w:space="0"/>
              <w:bottom w:val="single" w:color="auto" w:sz="2" w:space="0"/>
              <w:right w:val="single" w:color="auto" w:sz="2" w:space="0"/>
            </w:tcBorders>
            <w:vAlign w:val="center"/>
          </w:tcPr>
          <w:p w14:paraId="5012A753">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B3D8805">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94D57A4">
            <w:pPr>
              <w:spacing w:line="240" w:lineRule="exact"/>
              <w:jc w:val="right"/>
              <w:rPr>
                <w:rFonts w:ascii="宋体" w:hAnsi="宋体" w:eastAsia="宋体" w:cs="宋体"/>
                <w:sz w:val="18"/>
                <w:szCs w:val="18"/>
              </w:rPr>
            </w:pPr>
          </w:p>
        </w:tc>
      </w:tr>
      <w:tr w14:paraId="2515F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2B3CDE3">
            <w:pPr>
              <w:spacing w:line="240" w:lineRule="exact"/>
              <w:rPr>
                <w:rFonts w:ascii="宋体" w:hAnsi="宋体" w:eastAsia="宋体" w:cs="宋体"/>
                <w:sz w:val="18"/>
                <w:szCs w:val="18"/>
              </w:rPr>
            </w:pPr>
            <w:r>
              <w:rPr>
                <w:rFonts w:ascii="宋体" w:hAnsi="宋体" w:eastAsia="宋体" w:cs="宋体"/>
                <w:sz w:val="18"/>
                <w:szCs w:val="18"/>
              </w:rPr>
              <w:t>新疆西峪正禾种业有限公司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5246C702">
            <w:pPr>
              <w:spacing w:line="240" w:lineRule="exact"/>
              <w:rPr>
                <w:rFonts w:ascii="宋体" w:hAnsi="宋体" w:eastAsia="宋体" w:cs="宋体"/>
                <w:sz w:val="18"/>
                <w:szCs w:val="18"/>
              </w:rPr>
            </w:pPr>
            <w:r>
              <w:rPr>
                <w:rFonts w:ascii="宋体" w:hAnsi="宋体" w:eastAsia="宋体" w:cs="宋体"/>
                <w:sz w:val="18"/>
                <w:szCs w:val="18"/>
              </w:rPr>
              <w:t>采购棉种</w:t>
            </w:r>
          </w:p>
        </w:tc>
        <w:tc>
          <w:tcPr>
            <w:tcW w:w="1606" w:type="dxa"/>
            <w:tcBorders>
              <w:top w:val="single" w:color="auto" w:sz="2" w:space="0"/>
              <w:left w:val="single" w:color="auto" w:sz="2" w:space="0"/>
              <w:bottom w:val="single" w:color="auto" w:sz="2" w:space="0"/>
              <w:right w:val="single" w:color="auto" w:sz="2" w:space="0"/>
            </w:tcBorders>
            <w:vAlign w:val="center"/>
          </w:tcPr>
          <w:p w14:paraId="187048AE">
            <w:pPr>
              <w:spacing w:line="240" w:lineRule="exact"/>
              <w:jc w:val="right"/>
              <w:rPr>
                <w:rFonts w:ascii="宋体" w:hAnsi="宋体" w:eastAsia="宋体" w:cs="宋体"/>
                <w:sz w:val="18"/>
                <w:szCs w:val="18"/>
              </w:rPr>
            </w:pPr>
            <w:r>
              <w:rPr>
                <w:rFonts w:ascii="宋体" w:hAnsi="宋体" w:eastAsia="宋体" w:cs="宋体"/>
                <w:sz w:val="18"/>
                <w:szCs w:val="18"/>
              </w:rPr>
              <w:t>15,759,460.00</w:t>
            </w:r>
          </w:p>
        </w:tc>
        <w:tc>
          <w:tcPr>
            <w:tcW w:w="1606" w:type="dxa"/>
            <w:tcBorders>
              <w:top w:val="single" w:color="auto" w:sz="2" w:space="0"/>
              <w:left w:val="single" w:color="auto" w:sz="2" w:space="0"/>
              <w:bottom w:val="single" w:color="auto" w:sz="2" w:space="0"/>
              <w:right w:val="single" w:color="auto" w:sz="2" w:space="0"/>
            </w:tcBorders>
            <w:vAlign w:val="center"/>
          </w:tcPr>
          <w:p w14:paraId="4184D11E">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E243523">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125F808">
            <w:pPr>
              <w:spacing w:line="240" w:lineRule="exact"/>
              <w:jc w:val="right"/>
              <w:rPr>
                <w:rFonts w:ascii="宋体" w:hAnsi="宋体" w:eastAsia="宋体" w:cs="宋体"/>
                <w:sz w:val="18"/>
                <w:szCs w:val="18"/>
              </w:rPr>
            </w:pPr>
          </w:p>
        </w:tc>
      </w:tr>
      <w:tr w14:paraId="6B544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A45A07A">
            <w:pPr>
              <w:spacing w:line="240" w:lineRule="exact"/>
              <w:rPr>
                <w:rFonts w:ascii="宋体" w:hAnsi="宋体" w:eastAsia="宋体" w:cs="宋体"/>
                <w:sz w:val="18"/>
                <w:szCs w:val="18"/>
              </w:rPr>
            </w:pPr>
            <w:r>
              <w:rPr>
                <w:rFonts w:ascii="宋体" w:hAnsi="宋体" w:eastAsia="宋体" w:cs="宋体"/>
                <w:sz w:val="18"/>
                <w:szCs w:val="18"/>
              </w:rPr>
              <w:t>绍兴尚兰商业服务有限公司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38472547">
            <w:pPr>
              <w:spacing w:line="240" w:lineRule="exact"/>
              <w:rPr>
                <w:rFonts w:ascii="宋体" w:hAnsi="宋体" w:eastAsia="宋体" w:cs="宋体"/>
                <w:sz w:val="18"/>
                <w:szCs w:val="18"/>
              </w:rPr>
            </w:pPr>
            <w:r>
              <w:rPr>
                <w:rFonts w:ascii="宋体" w:hAnsi="宋体" w:eastAsia="宋体" w:cs="宋体"/>
                <w:sz w:val="18"/>
                <w:szCs w:val="18"/>
              </w:rPr>
              <w:t>采购物业服务</w:t>
            </w:r>
          </w:p>
        </w:tc>
        <w:tc>
          <w:tcPr>
            <w:tcW w:w="1606" w:type="dxa"/>
            <w:tcBorders>
              <w:top w:val="single" w:color="auto" w:sz="2" w:space="0"/>
              <w:left w:val="single" w:color="auto" w:sz="2" w:space="0"/>
              <w:bottom w:val="single" w:color="auto" w:sz="2" w:space="0"/>
              <w:right w:val="single" w:color="auto" w:sz="2" w:space="0"/>
            </w:tcBorders>
            <w:vAlign w:val="center"/>
          </w:tcPr>
          <w:p w14:paraId="7679B660">
            <w:pPr>
              <w:spacing w:line="240" w:lineRule="exact"/>
              <w:jc w:val="right"/>
              <w:rPr>
                <w:rFonts w:ascii="宋体" w:hAnsi="宋体" w:eastAsia="宋体" w:cs="宋体"/>
                <w:sz w:val="18"/>
                <w:szCs w:val="18"/>
              </w:rPr>
            </w:pPr>
            <w:r>
              <w:rPr>
                <w:rFonts w:ascii="宋体" w:hAnsi="宋体" w:eastAsia="宋体" w:cs="宋体"/>
                <w:sz w:val="18"/>
                <w:szCs w:val="18"/>
              </w:rPr>
              <w:t>3,287,185.63</w:t>
            </w:r>
          </w:p>
        </w:tc>
        <w:tc>
          <w:tcPr>
            <w:tcW w:w="1606" w:type="dxa"/>
            <w:tcBorders>
              <w:top w:val="single" w:color="auto" w:sz="2" w:space="0"/>
              <w:left w:val="single" w:color="auto" w:sz="2" w:space="0"/>
              <w:bottom w:val="single" w:color="auto" w:sz="2" w:space="0"/>
              <w:right w:val="single" w:color="auto" w:sz="2" w:space="0"/>
            </w:tcBorders>
            <w:vAlign w:val="center"/>
          </w:tcPr>
          <w:p w14:paraId="1158EA12">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DF2C9DC">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A24B512">
            <w:pPr>
              <w:spacing w:line="240" w:lineRule="exact"/>
              <w:jc w:val="right"/>
              <w:rPr>
                <w:rFonts w:ascii="宋体" w:hAnsi="宋体" w:eastAsia="宋体" w:cs="宋体"/>
                <w:sz w:val="18"/>
                <w:szCs w:val="18"/>
              </w:rPr>
            </w:pPr>
          </w:p>
        </w:tc>
      </w:tr>
      <w:tr w14:paraId="16880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503747F">
            <w:pPr>
              <w:spacing w:line="240" w:lineRule="exact"/>
              <w:rPr>
                <w:rFonts w:ascii="宋体" w:hAnsi="宋体" w:eastAsia="宋体" w:cs="宋体"/>
                <w:sz w:val="18"/>
                <w:szCs w:val="18"/>
              </w:rPr>
            </w:pPr>
            <w:r>
              <w:rPr>
                <w:rFonts w:ascii="宋体" w:hAnsi="宋体" w:eastAsia="宋体" w:cs="宋体"/>
                <w:sz w:val="18"/>
                <w:szCs w:val="18"/>
              </w:rPr>
              <w:t>浙江华尚产业运营有限公司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758219D4">
            <w:pPr>
              <w:spacing w:line="240" w:lineRule="exact"/>
              <w:rPr>
                <w:rFonts w:ascii="宋体" w:hAnsi="宋体" w:eastAsia="宋体" w:cs="宋体"/>
                <w:sz w:val="18"/>
                <w:szCs w:val="18"/>
              </w:rPr>
            </w:pPr>
            <w:r>
              <w:rPr>
                <w:rFonts w:ascii="宋体" w:hAnsi="宋体" w:eastAsia="宋体" w:cs="宋体"/>
                <w:sz w:val="18"/>
                <w:szCs w:val="18"/>
              </w:rPr>
              <w:t>采购物业服务</w:t>
            </w:r>
          </w:p>
        </w:tc>
        <w:tc>
          <w:tcPr>
            <w:tcW w:w="1606" w:type="dxa"/>
            <w:tcBorders>
              <w:top w:val="single" w:color="auto" w:sz="2" w:space="0"/>
              <w:left w:val="single" w:color="auto" w:sz="2" w:space="0"/>
              <w:bottom w:val="single" w:color="auto" w:sz="2" w:space="0"/>
              <w:right w:val="single" w:color="auto" w:sz="2" w:space="0"/>
            </w:tcBorders>
            <w:vAlign w:val="center"/>
          </w:tcPr>
          <w:p w14:paraId="52EED83A">
            <w:pPr>
              <w:spacing w:line="240" w:lineRule="exact"/>
              <w:jc w:val="right"/>
              <w:rPr>
                <w:rFonts w:ascii="宋体" w:hAnsi="宋体" w:eastAsia="宋体" w:cs="宋体"/>
                <w:sz w:val="18"/>
                <w:szCs w:val="18"/>
              </w:rPr>
            </w:pPr>
            <w:r>
              <w:rPr>
                <w:rFonts w:ascii="宋体" w:hAnsi="宋体" w:eastAsia="宋体" w:cs="宋体"/>
                <w:sz w:val="18"/>
                <w:szCs w:val="18"/>
              </w:rPr>
              <w:t>1,000,000.00</w:t>
            </w:r>
          </w:p>
        </w:tc>
        <w:tc>
          <w:tcPr>
            <w:tcW w:w="1606" w:type="dxa"/>
            <w:tcBorders>
              <w:top w:val="single" w:color="auto" w:sz="2" w:space="0"/>
              <w:left w:val="single" w:color="auto" w:sz="2" w:space="0"/>
              <w:bottom w:val="single" w:color="auto" w:sz="2" w:space="0"/>
              <w:right w:val="single" w:color="auto" w:sz="2" w:space="0"/>
            </w:tcBorders>
            <w:vAlign w:val="center"/>
          </w:tcPr>
          <w:p w14:paraId="76F0B188">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E30F703">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D8FF660">
            <w:pPr>
              <w:spacing w:line="240" w:lineRule="exact"/>
              <w:jc w:val="right"/>
              <w:rPr>
                <w:rFonts w:ascii="宋体" w:hAnsi="宋体" w:eastAsia="宋体" w:cs="宋体"/>
                <w:sz w:val="18"/>
                <w:szCs w:val="18"/>
              </w:rPr>
            </w:pPr>
            <w:r>
              <w:rPr>
                <w:rFonts w:ascii="宋体" w:hAnsi="宋体" w:eastAsia="宋体" w:cs="宋体"/>
                <w:sz w:val="18"/>
                <w:szCs w:val="18"/>
              </w:rPr>
              <w:t>2,000,000.00</w:t>
            </w:r>
          </w:p>
        </w:tc>
      </w:tr>
      <w:tr w14:paraId="6F2F3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1CFDCFD">
            <w:pPr>
              <w:spacing w:line="240" w:lineRule="exac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14:paraId="2B22908E">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4F09EEB">
            <w:pPr>
              <w:spacing w:line="240" w:lineRule="exact"/>
              <w:jc w:val="right"/>
              <w:rPr>
                <w:rFonts w:ascii="宋体" w:hAnsi="宋体" w:eastAsia="宋体" w:cs="宋体"/>
                <w:sz w:val="18"/>
                <w:szCs w:val="18"/>
              </w:rPr>
            </w:pPr>
            <w:r>
              <w:rPr>
                <w:rFonts w:ascii="宋体" w:hAnsi="宋体" w:eastAsia="宋体" w:cs="宋体"/>
                <w:sz w:val="18"/>
                <w:szCs w:val="18"/>
              </w:rPr>
              <w:t>39,046,645.63</w:t>
            </w:r>
          </w:p>
        </w:tc>
        <w:tc>
          <w:tcPr>
            <w:tcW w:w="1606" w:type="dxa"/>
            <w:tcBorders>
              <w:top w:val="single" w:color="auto" w:sz="2" w:space="0"/>
              <w:left w:val="single" w:color="auto" w:sz="2" w:space="0"/>
              <w:bottom w:val="single" w:color="auto" w:sz="2" w:space="0"/>
              <w:right w:val="single" w:color="auto" w:sz="2" w:space="0"/>
            </w:tcBorders>
            <w:vAlign w:val="center"/>
          </w:tcPr>
          <w:p w14:paraId="59F51F52">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DB7D66F">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978BB2F">
            <w:pPr>
              <w:spacing w:line="240" w:lineRule="exact"/>
              <w:jc w:val="right"/>
              <w:rPr>
                <w:rFonts w:ascii="宋体" w:hAnsi="宋体" w:eastAsia="宋体" w:cs="宋体"/>
                <w:sz w:val="18"/>
                <w:szCs w:val="18"/>
              </w:rPr>
            </w:pPr>
            <w:r>
              <w:rPr>
                <w:rFonts w:ascii="宋体" w:hAnsi="宋体" w:eastAsia="宋体" w:cs="宋体"/>
                <w:sz w:val="18"/>
                <w:szCs w:val="18"/>
              </w:rPr>
              <w:t>524,164,846.12</w:t>
            </w:r>
          </w:p>
        </w:tc>
      </w:tr>
    </w:tbl>
    <w:p w14:paraId="3D0CAA83">
      <w:pPr>
        <w:spacing w:before="100" w:after="100" w:line="240" w:lineRule="exact"/>
        <w:rPr>
          <w:rFonts w:ascii="宋体" w:hAnsi="宋体" w:eastAsia="宋体" w:cs="宋体"/>
          <w:sz w:val="18"/>
          <w:szCs w:val="18"/>
        </w:rPr>
      </w:pPr>
      <w:r>
        <w:rPr>
          <w:rFonts w:ascii="宋体" w:hAnsi="宋体" w:eastAsia="宋体" w:cs="宋体"/>
          <w:sz w:val="18"/>
          <w:szCs w:val="18"/>
        </w:rPr>
        <w:t>出售商品/提供劳务情况表</w:t>
      </w:r>
    </w:p>
    <w:p w14:paraId="68C02572">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1C02A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FF4D000">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6FFEC0B">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C48E3F1">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596B14B">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5791B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9EC7A68">
            <w:pPr>
              <w:spacing w:line="240" w:lineRule="exact"/>
              <w:rPr>
                <w:rFonts w:ascii="宋体" w:hAnsi="宋体" w:eastAsia="宋体" w:cs="宋体"/>
                <w:sz w:val="18"/>
                <w:szCs w:val="18"/>
              </w:rPr>
            </w:pPr>
            <w:r>
              <w:rPr>
                <w:rFonts w:ascii="宋体" w:hAnsi="宋体" w:eastAsia="宋体" w:cs="宋体"/>
                <w:sz w:val="18"/>
                <w:szCs w:val="18"/>
              </w:rPr>
              <w:t>绍兴领尚纺织科技有限公司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0DA699B2">
            <w:pPr>
              <w:spacing w:line="240" w:lineRule="exact"/>
              <w:rPr>
                <w:rFonts w:ascii="宋体" w:hAnsi="宋体" w:eastAsia="宋体" w:cs="宋体"/>
                <w:sz w:val="18"/>
                <w:szCs w:val="18"/>
              </w:rPr>
            </w:pPr>
            <w:r>
              <w:rPr>
                <w:rFonts w:ascii="宋体" w:hAnsi="宋体" w:eastAsia="宋体" w:cs="宋体"/>
                <w:sz w:val="18"/>
                <w:szCs w:val="18"/>
              </w:rPr>
              <w:t>销售皮棉</w:t>
            </w:r>
          </w:p>
        </w:tc>
        <w:tc>
          <w:tcPr>
            <w:tcW w:w="2410" w:type="dxa"/>
            <w:tcBorders>
              <w:top w:val="single" w:color="auto" w:sz="2" w:space="0"/>
              <w:left w:val="single" w:color="auto" w:sz="2" w:space="0"/>
              <w:bottom w:val="single" w:color="auto" w:sz="2" w:space="0"/>
              <w:right w:val="single" w:color="auto" w:sz="2" w:space="0"/>
            </w:tcBorders>
            <w:vAlign w:val="center"/>
          </w:tcPr>
          <w:p w14:paraId="0FB9D237">
            <w:pPr>
              <w:spacing w:line="240" w:lineRule="exact"/>
              <w:jc w:val="right"/>
              <w:rPr>
                <w:rFonts w:ascii="宋体" w:hAnsi="宋体" w:eastAsia="宋体" w:cs="宋体"/>
                <w:sz w:val="18"/>
                <w:szCs w:val="18"/>
              </w:rPr>
            </w:pPr>
            <w:r>
              <w:rPr>
                <w:rFonts w:ascii="宋体" w:hAnsi="宋体" w:eastAsia="宋体" w:cs="宋体"/>
                <w:sz w:val="18"/>
                <w:szCs w:val="18"/>
              </w:rPr>
              <w:t>837,796.17</w:t>
            </w:r>
          </w:p>
        </w:tc>
        <w:tc>
          <w:tcPr>
            <w:tcW w:w="2410" w:type="dxa"/>
            <w:tcBorders>
              <w:top w:val="single" w:color="auto" w:sz="2" w:space="0"/>
              <w:left w:val="single" w:color="auto" w:sz="2" w:space="0"/>
              <w:bottom w:val="single" w:color="auto" w:sz="2" w:space="0"/>
              <w:right w:val="single" w:color="auto" w:sz="2" w:space="0"/>
            </w:tcBorders>
            <w:vAlign w:val="center"/>
          </w:tcPr>
          <w:p w14:paraId="61E6ACC0">
            <w:pPr>
              <w:spacing w:line="240" w:lineRule="exact"/>
              <w:jc w:val="right"/>
              <w:rPr>
                <w:rFonts w:ascii="宋体" w:hAnsi="宋体" w:eastAsia="宋体" w:cs="宋体"/>
                <w:sz w:val="18"/>
                <w:szCs w:val="18"/>
              </w:rPr>
            </w:pPr>
            <w:r>
              <w:rPr>
                <w:rFonts w:ascii="宋体" w:hAnsi="宋体" w:eastAsia="宋体" w:cs="宋体"/>
                <w:sz w:val="18"/>
                <w:szCs w:val="18"/>
              </w:rPr>
              <w:t>1,197,099.71</w:t>
            </w:r>
          </w:p>
        </w:tc>
      </w:tr>
      <w:tr w14:paraId="23442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F914BE4">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07F50B6">
            <w:pPr>
              <w:spacing w:line="240" w:lineRule="exact"/>
              <w:rPr>
                <w:rFonts w:ascii="宋体" w:hAnsi="宋体" w:eastAsia="宋体" w:cs="宋体"/>
                <w:sz w:val="18"/>
                <w:szCs w:val="18"/>
              </w:rPr>
            </w:pPr>
            <w:r>
              <w:rPr>
                <w:rFonts w:ascii="宋体" w:hAnsi="宋体" w:eastAsia="宋体" w:cs="宋体"/>
                <w:sz w:val="18"/>
                <w:szCs w:val="18"/>
              </w:rPr>
              <w:t>咨询服务</w:t>
            </w:r>
          </w:p>
        </w:tc>
        <w:tc>
          <w:tcPr>
            <w:tcW w:w="2410" w:type="dxa"/>
            <w:tcBorders>
              <w:top w:val="single" w:color="auto" w:sz="2" w:space="0"/>
              <w:left w:val="single" w:color="auto" w:sz="2" w:space="0"/>
              <w:bottom w:val="single" w:color="auto" w:sz="2" w:space="0"/>
              <w:right w:val="single" w:color="auto" w:sz="2" w:space="0"/>
            </w:tcBorders>
            <w:vAlign w:val="center"/>
          </w:tcPr>
          <w:p w14:paraId="141A4A4E">
            <w:pPr>
              <w:spacing w:line="240" w:lineRule="exact"/>
              <w:jc w:val="right"/>
              <w:rPr>
                <w:rFonts w:ascii="宋体" w:hAnsi="宋体" w:eastAsia="宋体" w:cs="宋体"/>
                <w:sz w:val="18"/>
                <w:szCs w:val="18"/>
              </w:rPr>
            </w:pPr>
            <w:r>
              <w:rPr>
                <w:rFonts w:ascii="宋体" w:hAnsi="宋体" w:eastAsia="宋体" w:cs="宋体"/>
                <w:sz w:val="18"/>
                <w:szCs w:val="18"/>
              </w:rPr>
              <w:t>129,421.98</w:t>
            </w:r>
          </w:p>
        </w:tc>
        <w:tc>
          <w:tcPr>
            <w:tcW w:w="2410" w:type="dxa"/>
            <w:tcBorders>
              <w:top w:val="single" w:color="auto" w:sz="2" w:space="0"/>
              <w:left w:val="single" w:color="auto" w:sz="2" w:space="0"/>
              <w:bottom w:val="single" w:color="auto" w:sz="2" w:space="0"/>
              <w:right w:val="single" w:color="auto" w:sz="2" w:space="0"/>
            </w:tcBorders>
            <w:vAlign w:val="center"/>
          </w:tcPr>
          <w:p w14:paraId="410F2983">
            <w:pPr>
              <w:spacing w:line="240" w:lineRule="exact"/>
              <w:jc w:val="right"/>
              <w:rPr>
                <w:rFonts w:ascii="宋体" w:hAnsi="宋体" w:eastAsia="宋体" w:cs="宋体"/>
                <w:sz w:val="18"/>
                <w:szCs w:val="18"/>
              </w:rPr>
            </w:pPr>
            <w:r>
              <w:rPr>
                <w:rFonts w:ascii="宋体" w:hAnsi="宋体" w:eastAsia="宋体" w:cs="宋体"/>
                <w:sz w:val="18"/>
                <w:szCs w:val="18"/>
              </w:rPr>
              <w:t>68,495.13</w:t>
            </w:r>
          </w:p>
        </w:tc>
      </w:tr>
      <w:tr w14:paraId="2C2A0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4544106">
            <w:pPr>
              <w:spacing w:line="240" w:lineRule="exact"/>
              <w:rPr>
                <w:rFonts w:ascii="宋体" w:hAnsi="宋体" w:eastAsia="宋体" w:cs="宋体"/>
                <w:sz w:val="18"/>
                <w:szCs w:val="18"/>
              </w:rPr>
            </w:pPr>
            <w:r>
              <w:rPr>
                <w:rFonts w:ascii="宋体" w:hAnsi="宋体" w:eastAsia="宋体" w:cs="宋体"/>
                <w:sz w:val="18"/>
                <w:szCs w:val="18"/>
              </w:rPr>
              <w:t>浙江华尚产业运营有限公司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615401A5">
            <w:pPr>
              <w:spacing w:line="240" w:lineRule="exact"/>
              <w:rPr>
                <w:rFonts w:ascii="宋体" w:hAnsi="宋体" w:eastAsia="宋体" w:cs="宋体"/>
                <w:sz w:val="18"/>
                <w:szCs w:val="18"/>
              </w:rPr>
            </w:pPr>
            <w:r>
              <w:rPr>
                <w:rFonts w:ascii="宋体" w:hAnsi="宋体" w:eastAsia="宋体" w:cs="宋体"/>
                <w:sz w:val="18"/>
                <w:szCs w:val="18"/>
              </w:rPr>
              <w:t>销售纱线</w:t>
            </w:r>
          </w:p>
        </w:tc>
        <w:tc>
          <w:tcPr>
            <w:tcW w:w="2410" w:type="dxa"/>
            <w:tcBorders>
              <w:top w:val="single" w:color="auto" w:sz="2" w:space="0"/>
              <w:left w:val="single" w:color="auto" w:sz="2" w:space="0"/>
              <w:bottom w:val="single" w:color="auto" w:sz="2" w:space="0"/>
              <w:right w:val="single" w:color="auto" w:sz="2" w:space="0"/>
            </w:tcBorders>
            <w:vAlign w:val="center"/>
          </w:tcPr>
          <w:p w14:paraId="7E874C9E">
            <w:pPr>
              <w:spacing w:line="240" w:lineRule="exact"/>
              <w:jc w:val="right"/>
              <w:rPr>
                <w:rFonts w:ascii="宋体" w:hAnsi="宋体" w:eastAsia="宋体" w:cs="宋体"/>
                <w:sz w:val="18"/>
                <w:szCs w:val="18"/>
              </w:rPr>
            </w:pPr>
            <w:r>
              <w:rPr>
                <w:rFonts w:ascii="宋体" w:hAnsi="宋体" w:eastAsia="宋体" w:cs="宋体"/>
                <w:sz w:val="18"/>
                <w:szCs w:val="18"/>
              </w:rPr>
              <w:t>14,125,894.93</w:t>
            </w:r>
          </w:p>
        </w:tc>
        <w:tc>
          <w:tcPr>
            <w:tcW w:w="2410" w:type="dxa"/>
            <w:tcBorders>
              <w:top w:val="single" w:color="auto" w:sz="2" w:space="0"/>
              <w:left w:val="single" w:color="auto" w:sz="2" w:space="0"/>
              <w:bottom w:val="single" w:color="auto" w:sz="2" w:space="0"/>
              <w:right w:val="single" w:color="auto" w:sz="2" w:space="0"/>
            </w:tcBorders>
            <w:vAlign w:val="center"/>
          </w:tcPr>
          <w:p w14:paraId="5B2EAEF1">
            <w:pPr>
              <w:spacing w:line="240" w:lineRule="exact"/>
              <w:jc w:val="right"/>
              <w:rPr>
                <w:rFonts w:ascii="宋体" w:hAnsi="宋体" w:eastAsia="宋体" w:cs="宋体"/>
                <w:sz w:val="18"/>
                <w:szCs w:val="18"/>
              </w:rPr>
            </w:pPr>
            <w:r>
              <w:rPr>
                <w:rFonts w:ascii="宋体" w:hAnsi="宋体" w:eastAsia="宋体" w:cs="宋体"/>
                <w:sz w:val="18"/>
                <w:szCs w:val="18"/>
              </w:rPr>
              <w:t>5,980,899.67</w:t>
            </w:r>
          </w:p>
        </w:tc>
      </w:tr>
      <w:tr w14:paraId="1612A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7A3B98F8">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2ACA3DE">
            <w:pPr>
              <w:spacing w:line="240" w:lineRule="exact"/>
              <w:rPr>
                <w:rFonts w:ascii="宋体" w:hAnsi="宋体" w:eastAsia="宋体" w:cs="宋体"/>
                <w:sz w:val="18"/>
                <w:szCs w:val="18"/>
              </w:rPr>
            </w:pPr>
            <w:r>
              <w:rPr>
                <w:rFonts w:ascii="宋体" w:hAnsi="宋体" w:eastAsia="宋体" w:cs="宋体"/>
                <w:sz w:val="18"/>
                <w:szCs w:val="18"/>
              </w:rPr>
              <w:t>咨询服务</w:t>
            </w:r>
          </w:p>
        </w:tc>
        <w:tc>
          <w:tcPr>
            <w:tcW w:w="2410" w:type="dxa"/>
            <w:tcBorders>
              <w:top w:val="single" w:color="auto" w:sz="2" w:space="0"/>
              <w:left w:val="single" w:color="auto" w:sz="2" w:space="0"/>
              <w:bottom w:val="single" w:color="auto" w:sz="2" w:space="0"/>
              <w:right w:val="single" w:color="auto" w:sz="2" w:space="0"/>
            </w:tcBorders>
            <w:vAlign w:val="center"/>
          </w:tcPr>
          <w:p w14:paraId="5602D305">
            <w:pPr>
              <w:spacing w:line="240" w:lineRule="exact"/>
              <w:jc w:val="right"/>
              <w:rPr>
                <w:rFonts w:ascii="宋体" w:hAnsi="宋体" w:eastAsia="宋体" w:cs="宋体"/>
                <w:sz w:val="18"/>
                <w:szCs w:val="18"/>
              </w:rPr>
            </w:pPr>
            <w:r>
              <w:rPr>
                <w:rFonts w:ascii="宋体" w:hAnsi="宋体" w:eastAsia="宋体" w:cs="宋体"/>
                <w:sz w:val="18"/>
                <w:szCs w:val="18"/>
              </w:rPr>
              <w:t>1,906,909.61</w:t>
            </w:r>
          </w:p>
        </w:tc>
        <w:tc>
          <w:tcPr>
            <w:tcW w:w="2410" w:type="dxa"/>
            <w:tcBorders>
              <w:top w:val="single" w:color="auto" w:sz="2" w:space="0"/>
              <w:left w:val="single" w:color="auto" w:sz="2" w:space="0"/>
              <w:bottom w:val="single" w:color="auto" w:sz="2" w:space="0"/>
              <w:right w:val="single" w:color="auto" w:sz="2" w:space="0"/>
            </w:tcBorders>
            <w:vAlign w:val="center"/>
          </w:tcPr>
          <w:p w14:paraId="371E32F2">
            <w:pPr>
              <w:spacing w:line="240" w:lineRule="exact"/>
              <w:jc w:val="right"/>
              <w:rPr>
                <w:rFonts w:ascii="宋体" w:hAnsi="宋体" w:eastAsia="宋体" w:cs="宋体"/>
                <w:sz w:val="18"/>
                <w:szCs w:val="18"/>
              </w:rPr>
            </w:pPr>
            <w:r>
              <w:rPr>
                <w:rFonts w:ascii="宋体" w:hAnsi="宋体" w:eastAsia="宋体" w:cs="宋体"/>
                <w:sz w:val="18"/>
                <w:szCs w:val="18"/>
              </w:rPr>
              <w:t>917,431.19</w:t>
            </w:r>
          </w:p>
        </w:tc>
      </w:tr>
      <w:tr w14:paraId="16C90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0577BC8">
            <w:pPr>
              <w:spacing w:line="240" w:lineRule="exact"/>
              <w:rPr>
                <w:rFonts w:ascii="宋体" w:hAnsi="宋体" w:eastAsia="宋体" w:cs="宋体"/>
                <w:sz w:val="18"/>
                <w:szCs w:val="18"/>
              </w:rPr>
            </w:pPr>
            <w:r>
              <w:rPr>
                <w:rFonts w:ascii="宋体" w:hAnsi="宋体" w:eastAsia="宋体" w:cs="宋体"/>
                <w:sz w:val="18"/>
                <w:szCs w:val="18"/>
              </w:rPr>
              <w:t>吉安供应链管理淮安有限公司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4854D944">
            <w:pPr>
              <w:spacing w:line="240" w:lineRule="exact"/>
              <w:rPr>
                <w:rFonts w:ascii="宋体" w:hAnsi="宋体" w:eastAsia="宋体" w:cs="宋体"/>
                <w:sz w:val="18"/>
                <w:szCs w:val="18"/>
              </w:rPr>
            </w:pPr>
            <w:r>
              <w:rPr>
                <w:rFonts w:ascii="宋体" w:hAnsi="宋体" w:eastAsia="宋体" w:cs="宋体"/>
                <w:sz w:val="18"/>
                <w:szCs w:val="18"/>
              </w:rPr>
              <w:t>仓储物流服务</w:t>
            </w:r>
          </w:p>
        </w:tc>
        <w:tc>
          <w:tcPr>
            <w:tcW w:w="2410" w:type="dxa"/>
            <w:tcBorders>
              <w:top w:val="single" w:color="auto" w:sz="2" w:space="0"/>
              <w:left w:val="single" w:color="auto" w:sz="2" w:space="0"/>
              <w:bottom w:val="single" w:color="auto" w:sz="2" w:space="0"/>
              <w:right w:val="single" w:color="auto" w:sz="2" w:space="0"/>
            </w:tcBorders>
            <w:vAlign w:val="center"/>
          </w:tcPr>
          <w:p w14:paraId="52923C90">
            <w:pPr>
              <w:spacing w:line="240" w:lineRule="exact"/>
              <w:jc w:val="right"/>
              <w:rPr>
                <w:rFonts w:ascii="宋体" w:hAnsi="宋体" w:eastAsia="宋体" w:cs="宋体"/>
                <w:sz w:val="18"/>
                <w:szCs w:val="18"/>
              </w:rPr>
            </w:pPr>
            <w:r>
              <w:rPr>
                <w:rFonts w:ascii="宋体" w:hAnsi="宋体" w:eastAsia="宋体" w:cs="宋体"/>
                <w:sz w:val="18"/>
                <w:szCs w:val="18"/>
              </w:rPr>
              <w:t>894,705.70</w:t>
            </w:r>
          </w:p>
        </w:tc>
        <w:tc>
          <w:tcPr>
            <w:tcW w:w="2410" w:type="dxa"/>
            <w:tcBorders>
              <w:top w:val="single" w:color="auto" w:sz="2" w:space="0"/>
              <w:left w:val="single" w:color="auto" w:sz="2" w:space="0"/>
              <w:bottom w:val="single" w:color="auto" w:sz="2" w:space="0"/>
              <w:right w:val="single" w:color="auto" w:sz="2" w:space="0"/>
            </w:tcBorders>
            <w:vAlign w:val="center"/>
          </w:tcPr>
          <w:p w14:paraId="593A6E90">
            <w:pPr>
              <w:spacing w:line="240" w:lineRule="exact"/>
              <w:jc w:val="right"/>
              <w:rPr>
                <w:rFonts w:ascii="宋体" w:hAnsi="宋体" w:eastAsia="宋体" w:cs="宋体"/>
                <w:sz w:val="18"/>
                <w:szCs w:val="18"/>
              </w:rPr>
            </w:pPr>
            <w:r>
              <w:rPr>
                <w:rFonts w:ascii="宋体" w:hAnsi="宋体" w:eastAsia="宋体" w:cs="宋体"/>
                <w:sz w:val="18"/>
                <w:szCs w:val="18"/>
              </w:rPr>
              <w:t>1,124,571.93</w:t>
            </w:r>
          </w:p>
        </w:tc>
      </w:tr>
      <w:tr w14:paraId="4346E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0A31C02">
            <w:pPr>
              <w:spacing w:line="240" w:lineRule="exact"/>
              <w:rPr>
                <w:rFonts w:ascii="宋体" w:hAnsi="宋体" w:eastAsia="宋体" w:cs="宋体"/>
                <w:sz w:val="18"/>
                <w:szCs w:val="18"/>
              </w:rPr>
            </w:pPr>
            <w:r>
              <w:rPr>
                <w:rFonts w:ascii="宋体" w:hAnsi="宋体" w:eastAsia="宋体" w:cs="宋体"/>
                <w:sz w:val="18"/>
                <w:szCs w:val="18"/>
              </w:rPr>
              <w:t>绍兴市上虞区华孚房地产开发有限公司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286FECF1">
            <w:pPr>
              <w:spacing w:line="240" w:lineRule="exact"/>
              <w:rPr>
                <w:rFonts w:ascii="宋体" w:hAnsi="宋体" w:eastAsia="宋体" w:cs="宋体"/>
                <w:sz w:val="18"/>
                <w:szCs w:val="18"/>
              </w:rPr>
            </w:pPr>
            <w:r>
              <w:rPr>
                <w:rFonts w:ascii="宋体" w:hAnsi="宋体" w:eastAsia="宋体" w:cs="宋体"/>
                <w:sz w:val="18"/>
                <w:szCs w:val="18"/>
              </w:rPr>
              <w:t>销售房屋</w:t>
            </w:r>
          </w:p>
        </w:tc>
        <w:tc>
          <w:tcPr>
            <w:tcW w:w="2410" w:type="dxa"/>
            <w:tcBorders>
              <w:top w:val="single" w:color="auto" w:sz="2" w:space="0"/>
              <w:left w:val="single" w:color="auto" w:sz="2" w:space="0"/>
              <w:bottom w:val="single" w:color="auto" w:sz="2" w:space="0"/>
              <w:right w:val="single" w:color="auto" w:sz="2" w:space="0"/>
            </w:tcBorders>
            <w:vAlign w:val="center"/>
          </w:tcPr>
          <w:p w14:paraId="15422974">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C807169">
            <w:pPr>
              <w:spacing w:line="240" w:lineRule="exact"/>
              <w:jc w:val="right"/>
              <w:rPr>
                <w:rFonts w:ascii="宋体" w:hAnsi="宋体" w:eastAsia="宋体" w:cs="宋体"/>
                <w:sz w:val="18"/>
                <w:szCs w:val="18"/>
              </w:rPr>
            </w:pPr>
            <w:r>
              <w:rPr>
                <w:rFonts w:ascii="宋体" w:hAnsi="宋体" w:eastAsia="宋体" w:cs="宋体"/>
                <w:sz w:val="18"/>
                <w:szCs w:val="18"/>
              </w:rPr>
              <w:t>7,182,016.50</w:t>
            </w:r>
          </w:p>
        </w:tc>
      </w:tr>
      <w:tr w14:paraId="5735F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83BBEF0">
            <w:pPr>
              <w:spacing w:line="240" w:lineRule="exact"/>
              <w:rPr>
                <w:rFonts w:ascii="宋体" w:hAnsi="宋体" w:eastAsia="宋体" w:cs="宋体"/>
                <w:sz w:val="18"/>
                <w:szCs w:val="18"/>
              </w:rPr>
            </w:pPr>
            <w:r>
              <w:rPr>
                <w:rFonts w:ascii="宋体" w:hAnsi="宋体" w:eastAsia="宋体" w:cs="宋体"/>
                <w:sz w:val="18"/>
                <w:szCs w:val="18"/>
              </w:rPr>
              <w:t>绍兴尚兰商业服务有限公司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02FD47F9">
            <w:pPr>
              <w:spacing w:line="240" w:lineRule="exact"/>
              <w:rPr>
                <w:rFonts w:ascii="宋体" w:hAnsi="宋体" w:eastAsia="宋体" w:cs="宋体"/>
                <w:sz w:val="18"/>
                <w:szCs w:val="18"/>
              </w:rPr>
            </w:pPr>
            <w:r>
              <w:rPr>
                <w:rFonts w:ascii="宋体" w:hAnsi="宋体" w:eastAsia="宋体" w:cs="宋体"/>
                <w:sz w:val="18"/>
                <w:szCs w:val="18"/>
              </w:rPr>
              <w:t>提供服务</w:t>
            </w:r>
          </w:p>
        </w:tc>
        <w:tc>
          <w:tcPr>
            <w:tcW w:w="2410" w:type="dxa"/>
            <w:tcBorders>
              <w:top w:val="single" w:color="auto" w:sz="2" w:space="0"/>
              <w:left w:val="single" w:color="auto" w:sz="2" w:space="0"/>
              <w:bottom w:val="single" w:color="auto" w:sz="2" w:space="0"/>
              <w:right w:val="single" w:color="auto" w:sz="2" w:space="0"/>
            </w:tcBorders>
            <w:vAlign w:val="center"/>
          </w:tcPr>
          <w:p w14:paraId="5566AD22">
            <w:pPr>
              <w:spacing w:line="240" w:lineRule="exact"/>
              <w:jc w:val="right"/>
              <w:rPr>
                <w:rFonts w:ascii="宋体" w:hAnsi="宋体" w:eastAsia="宋体" w:cs="宋体"/>
                <w:sz w:val="18"/>
                <w:szCs w:val="18"/>
              </w:rPr>
            </w:pPr>
            <w:r>
              <w:rPr>
                <w:rFonts w:ascii="宋体" w:hAnsi="宋体" w:eastAsia="宋体" w:cs="宋体"/>
                <w:sz w:val="18"/>
                <w:szCs w:val="18"/>
              </w:rPr>
              <w:t>523.90</w:t>
            </w:r>
          </w:p>
        </w:tc>
        <w:tc>
          <w:tcPr>
            <w:tcW w:w="2410" w:type="dxa"/>
            <w:tcBorders>
              <w:top w:val="single" w:color="auto" w:sz="2" w:space="0"/>
              <w:left w:val="single" w:color="auto" w:sz="2" w:space="0"/>
              <w:bottom w:val="single" w:color="auto" w:sz="2" w:space="0"/>
              <w:right w:val="single" w:color="auto" w:sz="2" w:space="0"/>
            </w:tcBorders>
            <w:vAlign w:val="center"/>
          </w:tcPr>
          <w:p w14:paraId="62687ECF">
            <w:pPr>
              <w:spacing w:line="240" w:lineRule="exact"/>
              <w:jc w:val="right"/>
              <w:rPr>
                <w:rFonts w:ascii="宋体" w:hAnsi="宋体" w:eastAsia="宋体" w:cs="宋体"/>
                <w:sz w:val="18"/>
                <w:szCs w:val="18"/>
              </w:rPr>
            </w:pPr>
          </w:p>
        </w:tc>
      </w:tr>
      <w:tr w14:paraId="31041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6BD667D">
            <w:pPr>
              <w:spacing w:line="240" w:lineRule="exact"/>
              <w:rPr>
                <w:rFonts w:ascii="宋体" w:hAnsi="宋体" w:eastAsia="宋体" w:cs="宋体"/>
                <w:sz w:val="18"/>
                <w:szCs w:val="18"/>
              </w:rPr>
            </w:pPr>
            <w:r>
              <w:rPr>
                <w:rFonts w:ascii="宋体" w:hAnsi="宋体" w:eastAsia="宋体" w:cs="宋体"/>
                <w:sz w:val="18"/>
                <w:szCs w:val="18"/>
              </w:rPr>
              <w:t>阿克苏地区华孚纺织职业培训学校</w:t>
            </w:r>
          </w:p>
        </w:tc>
        <w:tc>
          <w:tcPr>
            <w:tcW w:w="2410" w:type="dxa"/>
            <w:tcBorders>
              <w:top w:val="single" w:color="auto" w:sz="2" w:space="0"/>
              <w:left w:val="single" w:color="auto" w:sz="2" w:space="0"/>
              <w:bottom w:val="single" w:color="auto" w:sz="2" w:space="0"/>
              <w:right w:val="single" w:color="auto" w:sz="2" w:space="0"/>
            </w:tcBorders>
            <w:vAlign w:val="center"/>
          </w:tcPr>
          <w:p w14:paraId="0AB9AB2E">
            <w:pPr>
              <w:spacing w:line="240" w:lineRule="exact"/>
              <w:rPr>
                <w:rFonts w:ascii="宋体" w:hAnsi="宋体" w:eastAsia="宋体" w:cs="宋体"/>
                <w:sz w:val="18"/>
                <w:szCs w:val="18"/>
              </w:rPr>
            </w:pPr>
            <w:r>
              <w:rPr>
                <w:rFonts w:ascii="宋体" w:hAnsi="宋体" w:eastAsia="宋体" w:cs="宋体"/>
                <w:sz w:val="18"/>
                <w:szCs w:val="18"/>
              </w:rPr>
              <w:t>服务费</w:t>
            </w:r>
          </w:p>
        </w:tc>
        <w:tc>
          <w:tcPr>
            <w:tcW w:w="2410" w:type="dxa"/>
            <w:tcBorders>
              <w:top w:val="single" w:color="auto" w:sz="2" w:space="0"/>
              <w:left w:val="single" w:color="auto" w:sz="2" w:space="0"/>
              <w:bottom w:val="single" w:color="auto" w:sz="2" w:space="0"/>
              <w:right w:val="single" w:color="auto" w:sz="2" w:space="0"/>
            </w:tcBorders>
            <w:vAlign w:val="center"/>
          </w:tcPr>
          <w:p w14:paraId="3EA87F3B">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168732C">
            <w:pPr>
              <w:spacing w:line="240" w:lineRule="exact"/>
              <w:jc w:val="right"/>
              <w:rPr>
                <w:rFonts w:ascii="宋体" w:hAnsi="宋体" w:eastAsia="宋体" w:cs="宋体"/>
                <w:sz w:val="18"/>
                <w:szCs w:val="18"/>
              </w:rPr>
            </w:pPr>
            <w:r>
              <w:rPr>
                <w:rFonts w:ascii="宋体" w:hAnsi="宋体" w:eastAsia="宋体" w:cs="宋体"/>
                <w:sz w:val="18"/>
                <w:szCs w:val="18"/>
              </w:rPr>
              <w:t>930,000.00</w:t>
            </w:r>
          </w:p>
        </w:tc>
      </w:tr>
      <w:tr w14:paraId="17E4E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AD248BC">
            <w:pPr>
              <w:spacing w:line="240" w:lineRule="exact"/>
              <w:rPr>
                <w:rFonts w:ascii="宋体" w:hAnsi="宋体" w:eastAsia="宋体" w:cs="宋体"/>
                <w:sz w:val="18"/>
                <w:szCs w:val="18"/>
              </w:rPr>
            </w:pPr>
            <w:r>
              <w:rPr>
                <w:rFonts w:ascii="宋体" w:hAnsi="宋体" w:eastAsia="宋体" w:cs="宋体"/>
                <w:sz w:val="18"/>
                <w:szCs w:val="18"/>
              </w:rPr>
              <w:t>呼图壁县万之源农作物农民合作社</w:t>
            </w:r>
          </w:p>
        </w:tc>
        <w:tc>
          <w:tcPr>
            <w:tcW w:w="2410" w:type="dxa"/>
            <w:tcBorders>
              <w:top w:val="single" w:color="auto" w:sz="2" w:space="0"/>
              <w:left w:val="single" w:color="auto" w:sz="2" w:space="0"/>
              <w:bottom w:val="single" w:color="auto" w:sz="2" w:space="0"/>
              <w:right w:val="single" w:color="auto" w:sz="2" w:space="0"/>
            </w:tcBorders>
            <w:vAlign w:val="center"/>
          </w:tcPr>
          <w:p w14:paraId="397F6B2D">
            <w:pPr>
              <w:spacing w:line="240" w:lineRule="exact"/>
              <w:rPr>
                <w:rFonts w:ascii="宋体" w:hAnsi="宋体" w:eastAsia="宋体" w:cs="宋体"/>
                <w:sz w:val="18"/>
                <w:szCs w:val="18"/>
              </w:rPr>
            </w:pPr>
            <w:r>
              <w:rPr>
                <w:rFonts w:ascii="宋体" w:hAnsi="宋体" w:eastAsia="宋体" w:cs="宋体"/>
                <w:sz w:val="18"/>
                <w:szCs w:val="18"/>
              </w:rPr>
              <w:t>销售棉花</w:t>
            </w:r>
          </w:p>
        </w:tc>
        <w:tc>
          <w:tcPr>
            <w:tcW w:w="2410" w:type="dxa"/>
            <w:tcBorders>
              <w:top w:val="single" w:color="auto" w:sz="2" w:space="0"/>
              <w:left w:val="single" w:color="auto" w:sz="2" w:space="0"/>
              <w:bottom w:val="single" w:color="auto" w:sz="2" w:space="0"/>
              <w:right w:val="single" w:color="auto" w:sz="2" w:space="0"/>
            </w:tcBorders>
            <w:vAlign w:val="center"/>
          </w:tcPr>
          <w:p w14:paraId="050305FA">
            <w:pPr>
              <w:spacing w:line="240" w:lineRule="exact"/>
              <w:jc w:val="right"/>
              <w:rPr>
                <w:rFonts w:ascii="宋体" w:hAnsi="宋体" w:eastAsia="宋体" w:cs="宋体"/>
                <w:sz w:val="18"/>
                <w:szCs w:val="18"/>
              </w:rPr>
            </w:pPr>
            <w:r>
              <w:rPr>
                <w:rFonts w:ascii="宋体" w:hAnsi="宋体" w:eastAsia="宋体" w:cs="宋体"/>
                <w:sz w:val="18"/>
                <w:szCs w:val="18"/>
              </w:rPr>
              <w:t>975,000.00</w:t>
            </w:r>
          </w:p>
        </w:tc>
        <w:tc>
          <w:tcPr>
            <w:tcW w:w="2410" w:type="dxa"/>
            <w:tcBorders>
              <w:top w:val="single" w:color="auto" w:sz="2" w:space="0"/>
              <w:left w:val="single" w:color="auto" w:sz="2" w:space="0"/>
              <w:bottom w:val="single" w:color="auto" w:sz="2" w:space="0"/>
              <w:right w:val="single" w:color="auto" w:sz="2" w:space="0"/>
            </w:tcBorders>
            <w:vAlign w:val="center"/>
          </w:tcPr>
          <w:p w14:paraId="7B6541F5">
            <w:pPr>
              <w:spacing w:line="240" w:lineRule="exact"/>
              <w:jc w:val="right"/>
              <w:rPr>
                <w:rFonts w:ascii="宋体" w:hAnsi="宋体" w:eastAsia="宋体" w:cs="宋体"/>
                <w:sz w:val="18"/>
                <w:szCs w:val="18"/>
              </w:rPr>
            </w:pPr>
          </w:p>
        </w:tc>
      </w:tr>
      <w:tr w14:paraId="39AA5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6ADD718">
            <w:pPr>
              <w:spacing w:line="240" w:lineRule="exac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7AE65CA2">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56F022B">
            <w:pPr>
              <w:spacing w:line="240" w:lineRule="exact"/>
              <w:jc w:val="right"/>
              <w:rPr>
                <w:rFonts w:ascii="宋体" w:hAnsi="宋体" w:eastAsia="宋体" w:cs="宋体"/>
                <w:sz w:val="18"/>
                <w:szCs w:val="18"/>
              </w:rPr>
            </w:pPr>
            <w:r>
              <w:rPr>
                <w:rFonts w:ascii="宋体" w:hAnsi="宋体" w:eastAsia="宋体" w:cs="宋体"/>
                <w:sz w:val="18"/>
                <w:szCs w:val="18"/>
              </w:rPr>
              <w:t>19,080,252.29</w:t>
            </w:r>
          </w:p>
        </w:tc>
        <w:tc>
          <w:tcPr>
            <w:tcW w:w="2410" w:type="dxa"/>
            <w:tcBorders>
              <w:top w:val="single" w:color="auto" w:sz="2" w:space="0"/>
              <w:left w:val="single" w:color="auto" w:sz="2" w:space="0"/>
              <w:bottom w:val="single" w:color="auto" w:sz="2" w:space="0"/>
              <w:right w:val="single" w:color="auto" w:sz="2" w:space="0"/>
            </w:tcBorders>
            <w:vAlign w:val="center"/>
          </w:tcPr>
          <w:p w14:paraId="5A3F0D5A">
            <w:pPr>
              <w:spacing w:line="240" w:lineRule="exact"/>
              <w:jc w:val="right"/>
              <w:rPr>
                <w:rFonts w:ascii="宋体" w:hAnsi="宋体" w:eastAsia="宋体" w:cs="宋体"/>
                <w:sz w:val="18"/>
                <w:szCs w:val="18"/>
              </w:rPr>
            </w:pPr>
            <w:r>
              <w:rPr>
                <w:rFonts w:ascii="宋体" w:hAnsi="宋体" w:eastAsia="宋体" w:cs="宋体"/>
                <w:sz w:val="18"/>
                <w:szCs w:val="18"/>
              </w:rPr>
              <w:t>17,400,514.13</w:t>
            </w:r>
          </w:p>
        </w:tc>
      </w:tr>
    </w:tbl>
    <w:p w14:paraId="1BEC3446">
      <w:pPr>
        <w:spacing w:before="100" w:after="100" w:line="240" w:lineRule="exact"/>
        <w:rPr>
          <w:rFonts w:ascii="宋体" w:hAnsi="宋体" w:eastAsia="宋体" w:cs="宋体"/>
          <w:sz w:val="18"/>
          <w:szCs w:val="18"/>
        </w:rPr>
      </w:pPr>
      <w:r>
        <w:rPr>
          <w:rFonts w:ascii="宋体" w:hAnsi="宋体" w:eastAsia="宋体" w:cs="宋体"/>
          <w:sz w:val="18"/>
          <w:szCs w:val="18"/>
        </w:rPr>
        <w:t>购销商品、提供和接受劳务的关联交易说明</w:t>
      </w:r>
    </w:p>
    <w:p w14:paraId="10148D26">
      <w:pPr>
        <w:spacing w:before="100" w:after="100" w:line="240" w:lineRule="exact"/>
        <w:rPr>
          <w:rFonts w:ascii="宋体" w:hAnsi="宋体" w:eastAsia="宋体" w:cs="宋体"/>
          <w:sz w:val="18"/>
          <w:szCs w:val="18"/>
        </w:rPr>
      </w:pPr>
      <w:r>
        <w:rPr>
          <w:rFonts w:hint="eastAsia" w:ascii="宋体" w:hAnsi="宋体" w:eastAsia="宋体" w:cs="宋体"/>
          <w:sz w:val="18"/>
          <w:szCs w:val="18"/>
        </w:rPr>
        <w:t>吉安供应链管理淮安有限公司发生额系与阿克苏银星物流有限公司的交易金额，2025年9月30日，吉安供应链管理淮安有限公司将持有的阿克苏银星物流有限公司20%股份转让给新疆银花高新科技有限公司。</w:t>
      </w:r>
    </w:p>
    <w:p w14:paraId="2EA51E3C">
      <w:pPr>
        <w:keepNext/>
        <w:keepLines/>
        <w:spacing w:before="300" w:after="300" w:line="280" w:lineRule="exact"/>
        <w:outlineLvl w:val="3"/>
        <w:rPr>
          <w:rFonts w:ascii="宋体" w:hAnsi="宋体" w:eastAsia="宋体" w:cs="宋体"/>
          <w:b/>
          <w:bCs/>
          <w:szCs w:val="21"/>
        </w:rPr>
      </w:pPr>
      <w:bookmarkStart w:id="567" w:name="_Toc989422"/>
      <w:r>
        <w:rPr>
          <w:rFonts w:ascii="宋体" w:hAnsi="宋体" w:eastAsia="宋体" w:cs="宋体"/>
          <w:b/>
          <w:bCs/>
          <w:szCs w:val="21"/>
        </w:rPr>
        <w:t>（2） 关联受托管理/承包及委托管理/出包情况</w:t>
      </w:r>
      <w:bookmarkEnd w:id="567"/>
    </w:p>
    <w:p w14:paraId="0E57CC76">
      <w:pPr>
        <w:spacing w:before="100" w:after="100" w:line="240" w:lineRule="exact"/>
        <w:rPr>
          <w:rFonts w:ascii="宋体" w:hAnsi="宋体" w:eastAsia="宋体" w:cs="宋体"/>
          <w:sz w:val="18"/>
          <w:szCs w:val="18"/>
        </w:rPr>
      </w:pPr>
      <w:r>
        <w:rPr>
          <w:rFonts w:ascii="宋体" w:hAnsi="宋体" w:eastAsia="宋体" w:cs="宋体"/>
          <w:sz w:val="18"/>
          <w:szCs w:val="18"/>
        </w:rPr>
        <w:t>关联管理/出包情况说明：无</w:t>
      </w:r>
    </w:p>
    <w:p w14:paraId="660E2CC8">
      <w:pPr>
        <w:keepNext/>
        <w:keepLines/>
        <w:spacing w:before="300" w:after="300" w:line="280" w:lineRule="exact"/>
        <w:outlineLvl w:val="3"/>
        <w:rPr>
          <w:rFonts w:hint="eastAsia" w:ascii="宋体" w:hAnsi="宋体" w:eastAsia="宋体" w:cs="宋体"/>
          <w:b/>
          <w:bCs/>
          <w:szCs w:val="21"/>
        </w:rPr>
      </w:pPr>
      <w:bookmarkStart w:id="568" w:name="_Toc989423"/>
      <w:r>
        <w:rPr>
          <w:rFonts w:ascii="宋体" w:hAnsi="宋体" w:eastAsia="宋体" w:cs="宋体"/>
          <w:b/>
          <w:bCs/>
          <w:szCs w:val="21"/>
        </w:rPr>
        <w:t>（3） 关联租赁情况</w:t>
      </w:r>
      <w:bookmarkEnd w:id="568"/>
    </w:p>
    <w:tbl>
      <w:tblPr>
        <w:tblStyle w:val="10"/>
        <w:tblW w:w="10120" w:type="dxa"/>
        <w:tblInd w:w="93" w:type="dxa"/>
        <w:tblLayout w:type="autofit"/>
        <w:tblCellMar>
          <w:top w:w="0" w:type="dxa"/>
          <w:left w:w="108" w:type="dxa"/>
          <w:bottom w:w="0" w:type="dxa"/>
          <w:right w:w="108" w:type="dxa"/>
        </w:tblCellMar>
      </w:tblPr>
      <w:tblGrid>
        <w:gridCol w:w="3340"/>
        <w:gridCol w:w="1780"/>
        <w:gridCol w:w="2500"/>
        <w:gridCol w:w="2500"/>
      </w:tblGrid>
      <w:tr w14:paraId="7692740E">
        <w:tblPrEx>
          <w:tblCellMar>
            <w:top w:w="0" w:type="dxa"/>
            <w:left w:w="108" w:type="dxa"/>
            <w:bottom w:w="0" w:type="dxa"/>
            <w:right w:w="108" w:type="dxa"/>
          </w:tblCellMar>
        </w:tblPrEx>
        <w:trPr>
          <w:trHeight w:val="270" w:hRule="atLeast"/>
        </w:trPr>
        <w:tc>
          <w:tcPr>
            <w:tcW w:w="3340" w:type="dxa"/>
            <w:tcBorders>
              <w:top w:val="single" w:color="auto" w:sz="4" w:space="0"/>
              <w:left w:val="single" w:color="auto" w:sz="4" w:space="0"/>
              <w:bottom w:val="single" w:color="auto" w:sz="4" w:space="0"/>
              <w:right w:val="single" w:color="auto" w:sz="4" w:space="0"/>
            </w:tcBorders>
            <w:shd w:val="clear" w:color="000000" w:fill="D3D3D3"/>
            <w:vAlign w:val="center"/>
          </w:tcPr>
          <w:p w14:paraId="616E7754">
            <w:pPr>
              <w:widowControl/>
              <w:jc w:val="center"/>
              <w:rPr>
                <w:rFonts w:ascii="宋体" w:hAnsi="宋体" w:eastAsia="宋体" w:cs="宋体"/>
                <w:kern w:val="0"/>
                <w:sz w:val="18"/>
                <w:szCs w:val="18"/>
              </w:rPr>
            </w:pPr>
            <w:r>
              <w:rPr>
                <w:rFonts w:hint="eastAsia" w:ascii="宋体" w:hAnsi="宋体" w:eastAsia="宋体" w:cs="宋体"/>
                <w:kern w:val="0"/>
                <w:sz w:val="18"/>
                <w:szCs w:val="18"/>
              </w:rPr>
              <w:t>承租方名称</w:t>
            </w:r>
          </w:p>
        </w:tc>
        <w:tc>
          <w:tcPr>
            <w:tcW w:w="1780" w:type="dxa"/>
            <w:tcBorders>
              <w:top w:val="single" w:color="auto" w:sz="4" w:space="0"/>
              <w:left w:val="nil"/>
              <w:bottom w:val="single" w:color="auto" w:sz="4" w:space="0"/>
              <w:right w:val="single" w:color="auto" w:sz="4" w:space="0"/>
            </w:tcBorders>
            <w:shd w:val="clear" w:color="000000" w:fill="D3D3D3"/>
            <w:vAlign w:val="center"/>
          </w:tcPr>
          <w:p w14:paraId="3717ED65">
            <w:pPr>
              <w:widowControl/>
              <w:jc w:val="center"/>
              <w:rPr>
                <w:rFonts w:ascii="宋体" w:hAnsi="宋体" w:eastAsia="宋体" w:cs="宋体"/>
                <w:kern w:val="0"/>
                <w:sz w:val="18"/>
                <w:szCs w:val="18"/>
              </w:rPr>
            </w:pPr>
            <w:r>
              <w:rPr>
                <w:rFonts w:hint="eastAsia" w:ascii="宋体" w:hAnsi="宋体" w:eastAsia="宋体" w:cs="宋体"/>
                <w:kern w:val="0"/>
                <w:sz w:val="18"/>
                <w:szCs w:val="18"/>
              </w:rPr>
              <w:t>租赁资产种类</w:t>
            </w:r>
          </w:p>
        </w:tc>
        <w:tc>
          <w:tcPr>
            <w:tcW w:w="2500" w:type="dxa"/>
            <w:tcBorders>
              <w:top w:val="single" w:color="auto" w:sz="4" w:space="0"/>
              <w:left w:val="nil"/>
              <w:bottom w:val="single" w:color="auto" w:sz="4" w:space="0"/>
              <w:right w:val="single" w:color="auto" w:sz="4" w:space="0"/>
            </w:tcBorders>
            <w:shd w:val="clear" w:color="000000" w:fill="D3D3D3"/>
            <w:vAlign w:val="center"/>
          </w:tcPr>
          <w:p w14:paraId="4329CF78">
            <w:pPr>
              <w:widowControl/>
              <w:jc w:val="center"/>
              <w:rPr>
                <w:rFonts w:ascii="宋体" w:hAnsi="宋体" w:eastAsia="宋体" w:cs="宋体"/>
                <w:kern w:val="0"/>
                <w:sz w:val="18"/>
                <w:szCs w:val="18"/>
              </w:rPr>
            </w:pPr>
            <w:r>
              <w:rPr>
                <w:rFonts w:hint="eastAsia" w:ascii="宋体" w:hAnsi="宋体" w:eastAsia="宋体" w:cs="宋体"/>
                <w:kern w:val="0"/>
                <w:sz w:val="18"/>
                <w:szCs w:val="18"/>
              </w:rPr>
              <w:t>本期确认的租赁收入</w:t>
            </w:r>
          </w:p>
        </w:tc>
        <w:tc>
          <w:tcPr>
            <w:tcW w:w="2500" w:type="dxa"/>
            <w:tcBorders>
              <w:top w:val="single" w:color="auto" w:sz="4" w:space="0"/>
              <w:left w:val="nil"/>
              <w:bottom w:val="single" w:color="auto" w:sz="4" w:space="0"/>
              <w:right w:val="single" w:color="auto" w:sz="4" w:space="0"/>
            </w:tcBorders>
            <w:shd w:val="clear" w:color="000000" w:fill="D3D3D3"/>
            <w:vAlign w:val="center"/>
          </w:tcPr>
          <w:p w14:paraId="0D43F06C">
            <w:pPr>
              <w:widowControl/>
              <w:jc w:val="center"/>
              <w:rPr>
                <w:rFonts w:ascii="宋体" w:hAnsi="宋体" w:eastAsia="宋体" w:cs="宋体"/>
                <w:kern w:val="0"/>
                <w:sz w:val="18"/>
                <w:szCs w:val="18"/>
              </w:rPr>
            </w:pPr>
            <w:r>
              <w:rPr>
                <w:rFonts w:hint="eastAsia" w:ascii="宋体" w:hAnsi="宋体" w:eastAsia="宋体" w:cs="宋体"/>
                <w:kern w:val="0"/>
                <w:sz w:val="18"/>
                <w:szCs w:val="18"/>
              </w:rPr>
              <w:t>上期确认的租赁收入</w:t>
            </w:r>
          </w:p>
        </w:tc>
      </w:tr>
      <w:tr w14:paraId="763BEA65">
        <w:tblPrEx>
          <w:tblCellMar>
            <w:top w:w="0" w:type="dxa"/>
            <w:left w:w="108" w:type="dxa"/>
            <w:bottom w:w="0" w:type="dxa"/>
            <w:right w:w="108" w:type="dxa"/>
          </w:tblCellMar>
        </w:tblPrEx>
        <w:trPr>
          <w:trHeight w:val="270" w:hRule="atLeast"/>
        </w:trPr>
        <w:tc>
          <w:tcPr>
            <w:tcW w:w="3340" w:type="dxa"/>
            <w:tcBorders>
              <w:top w:val="nil"/>
              <w:left w:val="single" w:color="auto" w:sz="4" w:space="0"/>
              <w:bottom w:val="single" w:color="auto" w:sz="4" w:space="0"/>
              <w:right w:val="single" w:color="auto" w:sz="4" w:space="0"/>
            </w:tcBorders>
            <w:shd w:val="clear" w:color="auto" w:fill="auto"/>
            <w:vAlign w:val="center"/>
          </w:tcPr>
          <w:p w14:paraId="69A49C38">
            <w:pPr>
              <w:widowControl/>
              <w:rPr>
                <w:rFonts w:ascii="宋体" w:hAnsi="宋体" w:eastAsia="宋体" w:cs="宋体"/>
                <w:kern w:val="0"/>
                <w:sz w:val="18"/>
                <w:szCs w:val="18"/>
              </w:rPr>
            </w:pPr>
            <w:r>
              <w:rPr>
                <w:rFonts w:hint="eastAsia" w:ascii="宋体" w:hAnsi="宋体" w:eastAsia="宋体" w:cs="宋体"/>
                <w:kern w:val="0"/>
                <w:sz w:val="18"/>
                <w:szCs w:val="18"/>
              </w:rPr>
              <w:t>浙江华尚产业运营有限公司</w:t>
            </w:r>
          </w:p>
        </w:tc>
        <w:tc>
          <w:tcPr>
            <w:tcW w:w="1780" w:type="dxa"/>
            <w:tcBorders>
              <w:top w:val="nil"/>
              <w:left w:val="nil"/>
              <w:bottom w:val="single" w:color="auto" w:sz="4" w:space="0"/>
              <w:right w:val="single" w:color="auto" w:sz="4" w:space="0"/>
            </w:tcBorders>
            <w:shd w:val="clear" w:color="auto" w:fill="auto"/>
            <w:vAlign w:val="center"/>
          </w:tcPr>
          <w:p w14:paraId="5D4D5846">
            <w:pPr>
              <w:widowControl/>
              <w:rPr>
                <w:rFonts w:ascii="宋体" w:hAnsi="宋体" w:eastAsia="宋体" w:cs="宋体"/>
                <w:kern w:val="0"/>
                <w:sz w:val="18"/>
                <w:szCs w:val="18"/>
              </w:rPr>
            </w:pPr>
            <w:r>
              <w:rPr>
                <w:rFonts w:hint="eastAsia" w:ascii="宋体" w:hAnsi="宋体" w:eastAsia="宋体" w:cs="宋体"/>
                <w:kern w:val="0"/>
                <w:sz w:val="18"/>
                <w:szCs w:val="18"/>
              </w:rPr>
              <w:t>房屋建筑物</w:t>
            </w:r>
          </w:p>
        </w:tc>
        <w:tc>
          <w:tcPr>
            <w:tcW w:w="2500" w:type="dxa"/>
            <w:tcBorders>
              <w:top w:val="nil"/>
              <w:left w:val="nil"/>
              <w:bottom w:val="single" w:color="auto" w:sz="4" w:space="0"/>
              <w:right w:val="single" w:color="auto" w:sz="4" w:space="0"/>
            </w:tcBorders>
            <w:shd w:val="clear" w:color="auto" w:fill="auto"/>
            <w:vAlign w:val="center"/>
          </w:tcPr>
          <w:p w14:paraId="784EE216">
            <w:pPr>
              <w:widowControl/>
              <w:jc w:val="right"/>
              <w:rPr>
                <w:rFonts w:ascii="宋体" w:hAnsi="宋体" w:eastAsia="宋体" w:cs="宋体"/>
                <w:kern w:val="0"/>
                <w:sz w:val="18"/>
                <w:szCs w:val="18"/>
              </w:rPr>
            </w:pPr>
            <w:r>
              <w:rPr>
                <w:rFonts w:hint="eastAsia" w:ascii="宋体" w:hAnsi="宋体" w:eastAsia="宋体" w:cs="宋体"/>
                <w:kern w:val="0"/>
                <w:sz w:val="18"/>
                <w:szCs w:val="18"/>
              </w:rPr>
              <w:t>1,296,636.07</w:t>
            </w:r>
          </w:p>
        </w:tc>
        <w:tc>
          <w:tcPr>
            <w:tcW w:w="2500" w:type="dxa"/>
            <w:tcBorders>
              <w:top w:val="nil"/>
              <w:left w:val="nil"/>
              <w:bottom w:val="single" w:color="auto" w:sz="4" w:space="0"/>
              <w:right w:val="single" w:color="auto" w:sz="4" w:space="0"/>
            </w:tcBorders>
            <w:shd w:val="clear" w:color="auto" w:fill="auto"/>
            <w:vAlign w:val="center"/>
          </w:tcPr>
          <w:p w14:paraId="37AF25A6">
            <w:pPr>
              <w:widowControl/>
              <w:jc w:val="right"/>
              <w:rPr>
                <w:rFonts w:ascii="宋体" w:hAnsi="宋体" w:eastAsia="宋体" w:cs="宋体"/>
                <w:kern w:val="0"/>
                <w:sz w:val="18"/>
                <w:szCs w:val="18"/>
              </w:rPr>
            </w:pPr>
            <w:r>
              <w:rPr>
                <w:rFonts w:hint="eastAsia" w:ascii="宋体" w:hAnsi="宋体" w:eastAsia="宋体" w:cs="宋体"/>
                <w:kern w:val="0"/>
                <w:sz w:val="18"/>
                <w:szCs w:val="18"/>
              </w:rPr>
              <w:t>0.00</w:t>
            </w:r>
          </w:p>
        </w:tc>
      </w:tr>
    </w:tbl>
    <w:p w14:paraId="5A33D3D3">
      <w:pPr>
        <w:keepNext/>
        <w:keepLines/>
        <w:spacing w:before="300" w:after="300" w:line="280" w:lineRule="exact"/>
        <w:outlineLvl w:val="3"/>
        <w:rPr>
          <w:rFonts w:ascii="宋体" w:hAnsi="宋体" w:eastAsia="宋体" w:cs="宋体"/>
          <w:b/>
          <w:bCs/>
          <w:szCs w:val="21"/>
        </w:rPr>
      </w:pPr>
      <w:bookmarkStart w:id="569" w:name="_Toc989424"/>
      <w:r>
        <w:rPr>
          <w:rFonts w:ascii="宋体" w:hAnsi="宋体" w:eastAsia="宋体" w:cs="宋体"/>
          <w:b/>
          <w:bCs/>
          <w:szCs w:val="21"/>
        </w:rPr>
        <w:t>（4） 关联担保情况</w:t>
      </w:r>
      <w:bookmarkEnd w:id="569"/>
    </w:p>
    <w:p w14:paraId="744570D9">
      <w:pPr>
        <w:spacing w:before="100" w:after="100" w:line="240" w:lineRule="exact"/>
        <w:rPr>
          <w:rFonts w:ascii="宋体" w:hAnsi="宋体" w:eastAsia="宋体" w:cs="宋体"/>
          <w:sz w:val="18"/>
          <w:szCs w:val="18"/>
        </w:rPr>
      </w:pPr>
      <w:r>
        <w:rPr>
          <w:rFonts w:ascii="宋体" w:hAnsi="宋体" w:eastAsia="宋体" w:cs="宋体"/>
          <w:sz w:val="18"/>
          <w:szCs w:val="18"/>
        </w:rPr>
        <w:t>本公司作为担保方：无</w:t>
      </w:r>
    </w:p>
    <w:p w14:paraId="0CD3F36F">
      <w:pPr>
        <w:spacing w:before="100" w:after="100" w:line="240" w:lineRule="exact"/>
        <w:rPr>
          <w:rFonts w:ascii="宋体" w:hAnsi="宋体" w:eastAsia="宋体" w:cs="宋体"/>
          <w:sz w:val="18"/>
          <w:szCs w:val="18"/>
        </w:rPr>
      </w:pPr>
      <w:r>
        <w:rPr>
          <w:rFonts w:ascii="宋体" w:hAnsi="宋体" w:eastAsia="宋体" w:cs="宋体"/>
          <w:sz w:val="18"/>
          <w:szCs w:val="18"/>
        </w:rPr>
        <w:t>本公司作为被担保方</w:t>
      </w:r>
    </w:p>
    <w:p w14:paraId="45151991">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42E7B8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43A6FAC">
            <w:pPr>
              <w:spacing w:before="40" w:after="40" w:line="240" w:lineRule="exact"/>
              <w:jc w:val="center"/>
              <w:rPr>
                <w:rFonts w:ascii="宋体" w:hAnsi="宋体" w:eastAsia="宋体" w:cs="宋体"/>
                <w:sz w:val="18"/>
                <w:szCs w:val="18"/>
              </w:rPr>
            </w:pPr>
            <w:r>
              <w:rPr>
                <w:rFonts w:ascii="宋体" w:hAnsi="宋体" w:eastAsia="宋体" w:cs="宋体"/>
                <w:sz w:val="18"/>
                <w:szCs w:val="18"/>
              </w:rPr>
              <w:t>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1C13488">
            <w:pPr>
              <w:spacing w:before="40" w:after="40" w:line="240" w:lineRule="exact"/>
              <w:jc w:val="center"/>
              <w:rPr>
                <w:rFonts w:ascii="宋体" w:hAnsi="宋体" w:eastAsia="宋体" w:cs="宋体"/>
                <w:sz w:val="18"/>
                <w:szCs w:val="18"/>
              </w:rPr>
            </w:pPr>
            <w:r>
              <w:rPr>
                <w:rFonts w:ascii="宋体" w:hAnsi="宋体" w:eastAsia="宋体" w:cs="宋体"/>
                <w:sz w:val="18"/>
                <w:szCs w:val="18"/>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E23DC8C">
            <w:pPr>
              <w:spacing w:before="40" w:after="40" w:line="240" w:lineRule="exact"/>
              <w:jc w:val="center"/>
              <w:rPr>
                <w:rFonts w:ascii="宋体" w:hAnsi="宋体" w:eastAsia="宋体" w:cs="宋体"/>
                <w:sz w:val="18"/>
                <w:szCs w:val="18"/>
              </w:rPr>
            </w:pPr>
            <w:r>
              <w:rPr>
                <w:rFonts w:ascii="宋体" w:hAnsi="宋体" w:eastAsia="宋体" w:cs="宋体"/>
                <w:sz w:val="18"/>
                <w:szCs w:val="18"/>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3DDCDC5">
            <w:pPr>
              <w:spacing w:before="40" w:after="40" w:line="240" w:lineRule="exact"/>
              <w:jc w:val="center"/>
              <w:rPr>
                <w:rFonts w:ascii="宋体" w:hAnsi="宋体" w:eastAsia="宋体" w:cs="宋体"/>
                <w:sz w:val="18"/>
                <w:szCs w:val="18"/>
              </w:rPr>
            </w:pPr>
            <w:r>
              <w:rPr>
                <w:rFonts w:ascii="宋体" w:hAnsi="宋体" w:eastAsia="宋体" w:cs="宋体"/>
                <w:sz w:val="18"/>
                <w:szCs w:val="18"/>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18BA73F">
            <w:pPr>
              <w:spacing w:before="40" w:after="40" w:line="240" w:lineRule="exact"/>
              <w:jc w:val="center"/>
              <w:rPr>
                <w:rFonts w:ascii="宋体" w:hAnsi="宋体" w:eastAsia="宋体" w:cs="宋体"/>
                <w:sz w:val="18"/>
                <w:szCs w:val="18"/>
              </w:rPr>
            </w:pPr>
            <w:r>
              <w:rPr>
                <w:rFonts w:ascii="宋体" w:hAnsi="宋体" w:eastAsia="宋体" w:cs="宋体"/>
                <w:sz w:val="18"/>
                <w:szCs w:val="18"/>
              </w:rPr>
              <w:t>担保是否已经履行完毕</w:t>
            </w:r>
          </w:p>
        </w:tc>
      </w:tr>
      <w:tr w14:paraId="4E8F5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D04C02F">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674C9901">
            <w:pPr>
              <w:spacing w:line="240" w:lineRule="exact"/>
              <w:jc w:val="right"/>
              <w:rPr>
                <w:rFonts w:ascii="宋体" w:hAnsi="宋体" w:eastAsia="宋体" w:cs="宋体"/>
                <w:sz w:val="18"/>
                <w:szCs w:val="18"/>
              </w:rPr>
            </w:pPr>
            <w:r>
              <w:rPr>
                <w:rFonts w:ascii="宋体" w:hAnsi="宋体" w:eastAsia="宋体" w:cs="宋体"/>
                <w:sz w:val="18"/>
                <w:szCs w:val="18"/>
              </w:rPr>
              <w:t>190,000,000.00</w:t>
            </w:r>
          </w:p>
        </w:tc>
        <w:tc>
          <w:tcPr>
            <w:tcW w:w="1928" w:type="dxa"/>
            <w:tcBorders>
              <w:top w:val="single" w:color="auto" w:sz="2" w:space="0"/>
              <w:left w:val="single" w:color="auto" w:sz="2" w:space="0"/>
              <w:bottom w:val="single" w:color="auto" w:sz="2" w:space="0"/>
              <w:right w:val="single" w:color="auto" w:sz="2" w:space="0"/>
            </w:tcBorders>
            <w:vAlign w:val="center"/>
          </w:tcPr>
          <w:p w14:paraId="32443870">
            <w:pPr>
              <w:spacing w:line="240" w:lineRule="exact"/>
              <w:rPr>
                <w:rFonts w:ascii="宋体" w:hAnsi="宋体" w:eastAsia="宋体" w:cs="宋体"/>
                <w:sz w:val="18"/>
                <w:szCs w:val="18"/>
              </w:rPr>
            </w:pPr>
            <w:r>
              <w:rPr>
                <w:rFonts w:ascii="宋体" w:hAnsi="宋体" w:eastAsia="宋体" w:cs="宋体"/>
                <w:sz w:val="18"/>
                <w:szCs w:val="18"/>
              </w:rPr>
              <w:t>2025年03月04日</w:t>
            </w:r>
          </w:p>
        </w:tc>
        <w:tc>
          <w:tcPr>
            <w:tcW w:w="1928" w:type="dxa"/>
            <w:tcBorders>
              <w:top w:val="single" w:color="auto" w:sz="2" w:space="0"/>
              <w:left w:val="single" w:color="auto" w:sz="2" w:space="0"/>
              <w:bottom w:val="single" w:color="auto" w:sz="2" w:space="0"/>
              <w:right w:val="single" w:color="auto" w:sz="2" w:space="0"/>
            </w:tcBorders>
            <w:vAlign w:val="center"/>
          </w:tcPr>
          <w:p w14:paraId="041247D2">
            <w:pPr>
              <w:spacing w:line="240" w:lineRule="exact"/>
              <w:rPr>
                <w:rFonts w:ascii="宋体" w:hAnsi="宋体" w:eastAsia="宋体" w:cs="宋体"/>
                <w:sz w:val="18"/>
                <w:szCs w:val="18"/>
              </w:rPr>
            </w:pPr>
            <w:r>
              <w:rPr>
                <w:rFonts w:ascii="宋体" w:hAnsi="宋体" w:eastAsia="宋体" w:cs="宋体"/>
                <w:sz w:val="18"/>
                <w:szCs w:val="18"/>
              </w:rPr>
              <w:t>2026年03月04日</w:t>
            </w:r>
          </w:p>
        </w:tc>
        <w:tc>
          <w:tcPr>
            <w:tcW w:w="1928" w:type="dxa"/>
            <w:tcBorders>
              <w:top w:val="single" w:color="auto" w:sz="2" w:space="0"/>
              <w:left w:val="single" w:color="auto" w:sz="2" w:space="0"/>
              <w:bottom w:val="single" w:color="auto" w:sz="2" w:space="0"/>
              <w:right w:val="single" w:color="auto" w:sz="2" w:space="0"/>
            </w:tcBorders>
            <w:vAlign w:val="center"/>
          </w:tcPr>
          <w:p w14:paraId="2E9A21D4">
            <w:pPr>
              <w:spacing w:line="240" w:lineRule="exact"/>
              <w:rPr>
                <w:rFonts w:ascii="宋体" w:hAnsi="宋体" w:eastAsia="宋体" w:cs="宋体"/>
                <w:sz w:val="18"/>
                <w:szCs w:val="18"/>
              </w:rPr>
            </w:pPr>
            <w:r>
              <w:rPr>
                <w:rFonts w:ascii="宋体" w:hAnsi="宋体" w:eastAsia="宋体" w:cs="宋体"/>
                <w:sz w:val="18"/>
                <w:szCs w:val="18"/>
              </w:rPr>
              <w:t>否</w:t>
            </w:r>
          </w:p>
        </w:tc>
      </w:tr>
      <w:tr w14:paraId="3CCBA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B34D7BE">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33009C7A">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14:paraId="0423820C">
            <w:pPr>
              <w:spacing w:line="240" w:lineRule="exact"/>
              <w:rPr>
                <w:rFonts w:ascii="宋体" w:hAnsi="宋体" w:eastAsia="宋体" w:cs="宋体"/>
                <w:sz w:val="18"/>
                <w:szCs w:val="18"/>
              </w:rPr>
            </w:pPr>
            <w:r>
              <w:rPr>
                <w:rFonts w:ascii="宋体" w:hAnsi="宋体" w:eastAsia="宋体" w:cs="宋体"/>
                <w:sz w:val="18"/>
                <w:szCs w:val="18"/>
              </w:rPr>
              <w:t>2025年03月04日</w:t>
            </w:r>
          </w:p>
        </w:tc>
        <w:tc>
          <w:tcPr>
            <w:tcW w:w="1928" w:type="dxa"/>
            <w:tcBorders>
              <w:top w:val="single" w:color="auto" w:sz="2" w:space="0"/>
              <w:left w:val="single" w:color="auto" w:sz="2" w:space="0"/>
              <w:bottom w:val="single" w:color="auto" w:sz="2" w:space="0"/>
              <w:right w:val="single" w:color="auto" w:sz="2" w:space="0"/>
            </w:tcBorders>
            <w:vAlign w:val="center"/>
          </w:tcPr>
          <w:p w14:paraId="35C57C3E">
            <w:pPr>
              <w:spacing w:line="240" w:lineRule="exact"/>
              <w:rPr>
                <w:rFonts w:ascii="宋体" w:hAnsi="宋体" w:eastAsia="宋体" w:cs="宋体"/>
                <w:sz w:val="18"/>
                <w:szCs w:val="18"/>
              </w:rPr>
            </w:pPr>
            <w:r>
              <w:rPr>
                <w:rFonts w:ascii="宋体" w:hAnsi="宋体" w:eastAsia="宋体" w:cs="宋体"/>
                <w:sz w:val="18"/>
                <w:szCs w:val="18"/>
              </w:rPr>
              <w:t>2026年03月04日</w:t>
            </w:r>
          </w:p>
        </w:tc>
        <w:tc>
          <w:tcPr>
            <w:tcW w:w="1928" w:type="dxa"/>
            <w:tcBorders>
              <w:top w:val="single" w:color="auto" w:sz="2" w:space="0"/>
              <w:left w:val="single" w:color="auto" w:sz="2" w:space="0"/>
              <w:bottom w:val="single" w:color="auto" w:sz="2" w:space="0"/>
              <w:right w:val="single" w:color="auto" w:sz="2" w:space="0"/>
            </w:tcBorders>
            <w:vAlign w:val="center"/>
          </w:tcPr>
          <w:p w14:paraId="50C867A7">
            <w:pPr>
              <w:spacing w:line="240" w:lineRule="exact"/>
              <w:rPr>
                <w:rFonts w:ascii="宋体" w:hAnsi="宋体" w:eastAsia="宋体" w:cs="宋体"/>
                <w:sz w:val="18"/>
                <w:szCs w:val="18"/>
              </w:rPr>
            </w:pPr>
            <w:r>
              <w:rPr>
                <w:rFonts w:ascii="宋体" w:hAnsi="宋体" w:eastAsia="宋体" w:cs="宋体"/>
                <w:sz w:val="18"/>
                <w:szCs w:val="18"/>
              </w:rPr>
              <w:t>否</w:t>
            </w:r>
          </w:p>
        </w:tc>
      </w:tr>
      <w:tr w14:paraId="2B045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A844003">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40FF9ACD">
            <w:pPr>
              <w:spacing w:line="240" w:lineRule="exact"/>
              <w:jc w:val="right"/>
              <w:rPr>
                <w:rFonts w:ascii="宋体" w:hAnsi="宋体" w:eastAsia="宋体" w:cs="宋体"/>
                <w:sz w:val="18"/>
                <w:szCs w:val="18"/>
              </w:rPr>
            </w:pPr>
            <w:r>
              <w:rPr>
                <w:rFonts w:ascii="宋体" w:hAnsi="宋体" w:eastAsia="宋体" w:cs="宋体"/>
                <w:sz w:val="18"/>
                <w:szCs w:val="18"/>
              </w:rPr>
              <w:t>99,990,000.00</w:t>
            </w:r>
          </w:p>
        </w:tc>
        <w:tc>
          <w:tcPr>
            <w:tcW w:w="1928" w:type="dxa"/>
            <w:tcBorders>
              <w:top w:val="single" w:color="auto" w:sz="2" w:space="0"/>
              <w:left w:val="single" w:color="auto" w:sz="2" w:space="0"/>
              <w:bottom w:val="single" w:color="auto" w:sz="2" w:space="0"/>
              <w:right w:val="single" w:color="auto" w:sz="2" w:space="0"/>
            </w:tcBorders>
            <w:vAlign w:val="center"/>
          </w:tcPr>
          <w:p w14:paraId="1386FC9A">
            <w:pPr>
              <w:spacing w:line="240" w:lineRule="exact"/>
              <w:rPr>
                <w:rFonts w:ascii="宋体" w:hAnsi="宋体" w:eastAsia="宋体" w:cs="宋体"/>
                <w:sz w:val="18"/>
                <w:szCs w:val="18"/>
              </w:rPr>
            </w:pPr>
            <w:r>
              <w:rPr>
                <w:rFonts w:ascii="宋体" w:hAnsi="宋体" w:eastAsia="宋体" w:cs="宋体"/>
                <w:sz w:val="18"/>
                <w:szCs w:val="18"/>
              </w:rPr>
              <w:t>2025年04月28日</w:t>
            </w:r>
          </w:p>
        </w:tc>
        <w:tc>
          <w:tcPr>
            <w:tcW w:w="1928" w:type="dxa"/>
            <w:tcBorders>
              <w:top w:val="single" w:color="auto" w:sz="2" w:space="0"/>
              <w:left w:val="single" w:color="auto" w:sz="2" w:space="0"/>
              <w:bottom w:val="single" w:color="auto" w:sz="2" w:space="0"/>
              <w:right w:val="single" w:color="auto" w:sz="2" w:space="0"/>
            </w:tcBorders>
            <w:vAlign w:val="center"/>
          </w:tcPr>
          <w:p w14:paraId="6D71C931">
            <w:pPr>
              <w:spacing w:line="240" w:lineRule="exact"/>
              <w:rPr>
                <w:rFonts w:ascii="宋体" w:hAnsi="宋体" w:eastAsia="宋体" w:cs="宋体"/>
                <w:sz w:val="18"/>
                <w:szCs w:val="18"/>
              </w:rPr>
            </w:pPr>
            <w:r>
              <w:rPr>
                <w:rFonts w:ascii="宋体" w:hAnsi="宋体" w:eastAsia="宋体" w:cs="宋体"/>
                <w:sz w:val="18"/>
                <w:szCs w:val="18"/>
              </w:rPr>
              <w:t>2026年02月06日</w:t>
            </w:r>
          </w:p>
        </w:tc>
        <w:tc>
          <w:tcPr>
            <w:tcW w:w="1928" w:type="dxa"/>
            <w:tcBorders>
              <w:top w:val="single" w:color="auto" w:sz="2" w:space="0"/>
              <w:left w:val="single" w:color="auto" w:sz="2" w:space="0"/>
              <w:bottom w:val="single" w:color="auto" w:sz="2" w:space="0"/>
              <w:right w:val="single" w:color="auto" w:sz="2" w:space="0"/>
            </w:tcBorders>
            <w:vAlign w:val="center"/>
          </w:tcPr>
          <w:p w14:paraId="61C9C0AA">
            <w:pPr>
              <w:spacing w:line="240" w:lineRule="exact"/>
              <w:rPr>
                <w:rFonts w:ascii="宋体" w:hAnsi="宋体" w:eastAsia="宋体" w:cs="宋体"/>
                <w:sz w:val="18"/>
                <w:szCs w:val="18"/>
              </w:rPr>
            </w:pPr>
            <w:r>
              <w:rPr>
                <w:rFonts w:ascii="宋体" w:hAnsi="宋体" w:eastAsia="宋体" w:cs="宋体"/>
                <w:sz w:val="18"/>
                <w:szCs w:val="18"/>
              </w:rPr>
              <w:t>否</w:t>
            </w:r>
          </w:p>
        </w:tc>
      </w:tr>
      <w:tr w14:paraId="64E17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BC69FA8">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022D00A6">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14:paraId="616D762B">
            <w:pPr>
              <w:spacing w:line="240" w:lineRule="exact"/>
              <w:rPr>
                <w:rFonts w:ascii="宋体" w:hAnsi="宋体" w:eastAsia="宋体" w:cs="宋体"/>
                <w:sz w:val="18"/>
                <w:szCs w:val="18"/>
              </w:rPr>
            </w:pPr>
            <w:r>
              <w:rPr>
                <w:rFonts w:ascii="宋体" w:hAnsi="宋体" w:eastAsia="宋体" w:cs="宋体"/>
                <w:sz w:val="18"/>
                <w:szCs w:val="18"/>
              </w:rPr>
              <w:t>2025年06月27日</w:t>
            </w:r>
          </w:p>
        </w:tc>
        <w:tc>
          <w:tcPr>
            <w:tcW w:w="1928" w:type="dxa"/>
            <w:tcBorders>
              <w:top w:val="single" w:color="auto" w:sz="2" w:space="0"/>
              <w:left w:val="single" w:color="auto" w:sz="2" w:space="0"/>
              <w:bottom w:val="single" w:color="auto" w:sz="2" w:space="0"/>
              <w:right w:val="single" w:color="auto" w:sz="2" w:space="0"/>
            </w:tcBorders>
            <w:vAlign w:val="center"/>
          </w:tcPr>
          <w:p w14:paraId="405824E1">
            <w:pPr>
              <w:spacing w:line="240" w:lineRule="exact"/>
              <w:rPr>
                <w:rFonts w:ascii="宋体" w:hAnsi="宋体" w:eastAsia="宋体" w:cs="宋体"/>
                <w:sz w:val="18"/>
                <w:szCs w:val="18"/>
              </w:rPr>
            </w:pPr>
            <w:r>
              <w:rPr>
                <w:rFonts w:ascii="宋体" w:hAnsi="宋体" w:eastAsia="宋体" w:cs="宋体"/>
                <w:sz w:val="18"/>
                <w:szCs w:val="18"/>
              </w:rPr>
              <w:t>2026年06月17日</w:t>
            </w:r>
          </w:p>
        </w:tc>
        <w:tc>
          <w:tcPr>
            <w:tcW w:w="1928" w:type="dxa"/>
            <w:tcBorders>
              <w:top w:val="single" w:color="auto" w:sz="2" w:space="0"/>
              <w:left w:val="single" w:color="auto" w:sz="2" w:space="0"/>
              <w:bottom w:val="single" w:color="auto" w:sz="2" w:space="0"/>
              <w:right w:val="single" w:color="auto" w:sz="2" w:space="0"/>
            </w:tcBorders>
            <w:vAlign w:val="center"/>
          </w:tcPr>
          <w:p w14:paraId="254A743C">
            <w:pPr>
              <w:spacing w:line="240" w:lineRule="exact"/>
              <w:rPr>
                <w:rFonts w:ascii="宋体" w:hAnsi="宋体" w:eastAsia="宋体" w:cs="宋体"/>
                <w:sz w:val="18"/>
                <w:szCs w:val="18"/>
              </w:rPr>
            </w:pPr>
            <w:r>
              <w:rPr>
                <w:rFonts w:ascii="宋体" w:hAnsi="宋体" w:eastAsia="宋体" w:cs="宋体"/>
                <w:sz w:val="18"/>
                <w:szCs w:val="18"/>
              </w:rPr>
              <w:t>否</w:t>
            </w:r>
          </w:p>
        </w:tc>
      </w:tr>
      <w:tr w14:paraId="4002B3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79DE6A12">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7140FD56">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14:paraId="4BAF3D0B">
            <w:pPr>
              <w:spacing w:line="240" w:lineRule="exact"/>
              <w:rPr>
                <w:rFonts w:ascii="宋体" w:hAnsi="宋体" w:eastAsia="宋体" w:cs="宋体"/>
                <w:sz w:val="18"/>
                <w:szCs w:val="18"/>
              </w:rPr>
            </w:pPr>
            <w:r>
              <w:rPr>
                <w:rFonts w:ascii="宋体" w:hAnsi="宋体" w:eastAsia="宋体" w:cs="宋体"/>
                <w:sz w:val="18"/>
                <w:szCs w:val="18"/>
              </w:rPr>
              <w:t>2025年06月27日</w:t>
            </w:r>
          </w:p>
        </w:tc>
        <w:tc>
          <w:tcPr>
            <w:tcW w:w="1928" w:type="dxa"/>
            <w:tcBorders>
              <w:top w:val="single" w:color="auto" w:sz="2" w:space="0"/>
              <w:left w:val="single" w:color="auto" w:sz="2" w:space="0"/>
              <w:bottom w:val="single" w:color="auto" w:sz="2" w:space="0"/>
              <w:right w:val="single" w:color="auto" w:sz="2" w:space="0"/>
            </w:tcBorders>
            <w:vAlign w:val="center"/>
          </w:tcPr>
          <w:p w14:paraId="78AC4EFD">
            <w:pPr>
              <w:spacing w:line="240" w:lineRule="exact"/>
              <w:rPr>
                <w:rFonts w:ascii="宋体" w:hAnsi="宋体" w:eastAsia="宋体" w:cs="宋体"/>
                <w:sz w:val="18"/>
                <w:szCs w:val="18"/>
              </w:rPr>
            </w:pPr>
            <w:r>
              <w:rPr>
                <w:rFonts w:ascii="宋体" w:hAnsi="宋体" w:eastAsia="宋体" w:cs="宋体"/>
                <w:sz w:val="18"/>
                <w:szCs w:val="18"/>
              </w:rPr>
              <w:t>2026年06月17日</w:t>
            </w:r>
          </w:p>
        </w:tc>
        <w:tc>
          <w:tcPr>
            <w:tcW w:w="1928" w:type="dxa"/>
            <w:tcBorders>
              <w:top w:val="single" w:color="auto" w:sz="2" w:space="0"/>
              <w:left w:val="single" w:color="auto" w:sz="2" w:space="0"/>
              <w:bottom w:val="single" w:color="auto" w:sz="2" w:space="0"/>
              <w:right w:val="single" w:color="auto" w:sz="2" w:space="0"/>
            </w:tcBorders>
            <w:vAlign w:val="center"/>
          </w:tcPr>
          <w:p w14:paraId="7901E1A1">
            <w:pPr>
              <w:spacing w:line="240" w:lineRule="exact"/>
              <w:rPr>
                <w:rFonts w:ascii="宋体" w:hAnsi="宋体" w:eastAsia="宋体" w:cs="宋体"/>
                <w:sz w:val="18"/>
                <w:szCs w:val="18"/>
              </w:rPr>
            </w:pPr>
            <w:r>
              <w:rPr>
                <w:rFonts w:ascii="宋体" w:hAnsi="宋体" w:eastAsia="宋体" w:cs="宋体"/>
                <w:sz w:val="18"/>
                <w:szCs w:val="18"/>
              </w:rPr>
              <w:t>否</w:t>
            </w:r>
          </w:p>
        </w:tc>
      </w:tr>
      <w:tr w14:paraId="74248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14FD3693">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78FEFA0C">
            <w:pPr>
              <w:spacing w:line="240" w:lineRule="exact"/>
              <w:jc w:val="right"/>
              <w:rPr>
                <w:rFonts w:ascii="宋体" w:hAnsi="宋体" w:eastAsia="宋体" w:cs="宋体"/>
                <w:sz w:val="18"/>
                <w:szCs w:val="18"/>
              </w:rPr>
            </w:pPr>
            <w:r>
              <w:rPr>
                <w:rFonts w:ascii="宋体" w:hAnsi="宋体" w:eastAsia="宋体" w:cs="宋体"/>
                <w:sz w:val="18"/>
                <w:szCs w:val="18"/>
              </w:rPr>
              <w:t>60,000,000.00</w:t>
            </w:r>
          </w:p>
        </w:tc>
        <w:tc>
          <w:tcPr>
            <w:tcW w:w="1928" w:type="dxa"/>
            <w:tcBorders>
              <w:top w:val="single" w:color="auto" w:sz="2" w:space="0"/>
              <w:left w:val="single" w:color="auto" w:sz="2" w:space="0"/>
              <w:bottom w:val="single" w:color="auto" w:sz="2" w:space="0"/>
              <w:right w:val="single" w:color="auto" w:sz="2" w:space="0"/>
            </w:tcBorders>
            <w:vAlign w:val="center"/>
          </w:tcPr>
          <w:p w14:paraId="02ABD5DE">
            <w:pPr>
              <w:spacing w:line="240" w:lineRule="exact"/>
              <w:rPr>
                <w:rFonts w:ascii="宋体" w:hAnsi="宋体" w:eastAsia="宋体" w:cs="宋体"/>
                <w:sz w:val="18"/>
                <w:szCs w:val="18"/>
              </w:rPr>
            </w:pPr>
            <w:r>
              <w:rPr>
                <w:rFonts w:ascii="宋体" w:hAnsi="宋体" w:eastAsia="宋体" w:cs="宋体"/>
                <w:sz w:val="18"/>
                <w:szCs w:val="18"/>
              </w:rPr>
              <w:t>2025年06月30日</w:t>
            </w:r>
          </w:p>
        </w:tc>
        <w:tc>
          <w:tcPr>
            <w:tcW w:w="1928" w:type="dxa"/>
            <w:tcBorders>
              <w:top w:val="single" w:color="auto" w:sz="2" w:space="0"/>
              <w:left w:val="single" w:color="auto" w:sz="2" w:space="0"/>
              <w:bottom w:val="single" w:color="auto" w:sz="2" w:space="0"/>
              <w:right w:val="single" w:color="auto" w:sz="2" w:space="0"/>
            </w:tcBorders>
            <w:vAlign w:val="center"/>
          </w:tcPr>
          <w:p w14:paraId="4E0E1FE0">
            <w:pPr>
              <w:spacing w:line="240" w:lineRule="exact"/>
              <w:rPr>
                <w:rFonts w:ascii="宋体" w:hAnsi="宋体" w:eastAsia="宋体" w:cs="宋体"/>
                <w:sz w:val="18"/>
                <w:szCs w:val="18"/>
              </w:rPr>
            </w:pPr>
            <w:r>
              <w:rPr>
                <w:rFonts w:ascii="宋体" w:hAnsi="宋体" w:eastAsia="宋体" w:cs="宋体"/>
                <w:sz w:val="18"/>
                <w:szCs w:val="18"/>
              </w:rPr>
              <w:t>2026年06月26日</w:t>
            </w:r>
          </w:p>
        </w:tc>
        <w:tc>
          <w:tcPr>
            <w:tcW w:w="1928" w:type="dxa"/>
            <w:tcBorders>
              <w:top w:val="single" w:color="auto" w:sz="2" w:space="0"/>
              <w:left w:val="single" w:color="auto" w:sz="2" w:space="0"/>
              <w:bottom w:val="single" w:color="auto" w:sz="2" w:space="0"/>
              <w:right w:val="single" w:color="auto" w:sz="2" w:space="0"/>
            </w:tcBorders>
            <w:vAlign w:val="center"/>
          </w:tcPr>
          <w:p w14:paraId="5F41DC2B">
            <w:pPr>
              <w:spacing w:line="240" w:lineRule="exact"/>
              <w:rPr>
                <w:rFonts w:ascii="宋体" w:hAnsi="宋体" w:eastAsia="宋体" w:cs="宋体"/>
                <w:sz w:val="18"/>
                <w:szCs w:val="18"/>
              </w:rPr>
            </w:pPr>
            <w:r>
              <w:rPr>
                <w:rFonts w:ascii="宋体" w:hAnsi="宋体" w:eastAsia="宋体" w:cs="宋体"/>
                <w:sz w:val="18"/>
                <w:szCs w:val="18"/>
              </w:rPr>
              <w:t>否</w:t>
            </w:r>
          </w:p>
        </w:tc>
      </w:tr>
      <w:tr w14:paraId="14625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2539A62">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43C490E2">
            <w:pPr>
              <w:spacing w:line="240" w:lineRule="exact"/>
              <w:jc w:val="right"/>
              <w:rPr>
                <w:rFonts w:ascii="宋体" w:hAnsi="宋体" w:eastAsia="宋体" w:cs="宋体"/>
                <w:sz w:val="18"/>
                <w:szCs w:val="18"/>
              </w:rPr>
            </w:pPr>
            <w:r>
              <w:rPr>
                <w:rFonts w:ascii="宋体" w:hAnsi="宋体"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14:paraId="5A193452">
            <w:pPr>
              <w:spacing w:line="240" w:lineRule="exact"/>
              <w:rPr>
                <w:rFonts w:ascii="宋体" w:hAnsi="宋体" w:eastAsia="宋体" w:cs="宋体"/>
                <w:sz w:val="18"/>
                <w:szCs w:val="18"/>
              </w:rPr>
            </w:pPr>
            <w:r>
              <w:rPr>
                <w:rFonts w:ascii="宋体" w:hAnsi="宋体" w:eastAsia="宋体" w:cs="宋体"/>
                <w:sz w:val="18"/>
                <w:szCs w:val="18"/>
              </w:rPr>
              <w:t>2025年06月30日</w:t>
            </w:r>
          </w:p>
        </w:tc>
        <w:tc>
          <w:tcPr>
            <w:tcW w:w="1928" w:type="dxa"/>
            <w:tcBorders>
              <w:top w:val="single" w:color="auto" w:sz="2" w:space="0"/>
              <w:left w:val="single" w:color="auto" w:sz="2" w:space="0"/>
              <w:bottom w:val="single" w:color="auto" w:sz="2" w:space="0"/>
              <w:right w:val="single" w:color="auto" w:sz="2" w:space="0"/>
            </w:tcBorders>
            <w:vAlign w:val="center"/>
          </w:tcPr>
          <w:p w14:paraId="42771043">
            <w:pPr>
              <w:spacing w:line="240" w:lineRule="exact"/>
              <w:rPr>
                <w:rFonts w:ascii="宋体" w:hAnsi="宋体" w:eastAsia="宋体" w:cs="宋体"/>
                <w:sz w:val="18"/>
                <w:szCs w:val="18"/>
              </w:rPr>
            </w:pPr>
            <w:r>
              <w:rPr>
                <w:rFonts w:ascii="宋体" w:hAnsi="宋体" w:eastAsia="宋体" w:cs="宋体"/>
                <w:sz w:val="18"/>
                <w:szCs w:val="18"/>
              </w:rPr>
              <w:t>2026年05月19日</w:t>
            </w:r>
          </w:p>
        </w:tc>
        <w:tc>
          <w:tcPr>
            <w:tcW w:w="1928" w:type="dxa"/>
            <w:tcBorders>
              <w:top w:val="single" w:color="auto" w:sz="2" w:space="0"/>
              <w:left w:val="single" w:color="auto" w:sz="2" w:space="0"/>
              <w:bottom w:val="single" w:color="auto" w:sz="2" w:space="0"/>
              <w:right w:val="single" w:color="auto" w:sz="2" w:space="0"/>
            </w:tcBorders>
            <w:vAlign w:val="center"/>
          </w:tcPr>
          <w:p w14:paraId="0645E2CF">
            <w:pPr>
              <w:spacing w:line="240" w:lineRule="exact"/>
              <w:rPr>
                <w:rFonts w:ascii="宋体" w:hAnsi="宋体" w:eastAsia="宋体" w:cs="宋体"/>
                <w:sz w:val="18"/>
                <w:szCs w:val="18"/>
              </w:rPr>
            </w:pPr>
            <w:r>
              <w:rPr>
                <w:rFonts w:ascii="宋体" w:hAnsi="宋体" w:eastAsia="宋体" w:cs="宋体"/>
                <w:sz w:val="18"/>
                <w:szCs w:val="18"/>
              </w:rPr>
              <w:t>否</w:t>
            </w:r>
          </w:p>
        </w:tc>
      </w:tr>
      <w:tr w14:paraId="69ED4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0A3C315">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0234ED24">
            <w:pPr>
              <w:spacing w:line="240" w:lineRule="exact"/>
              <w:jc w:val="right"/>
              <w:rPr>
                <w:rFonts w:ascii="宋体" w:hAnsi="宋体" w:eastAsia="宋体" w:cs="宋体"/>
                <w:sz w:val="18"/>
                <w:szCs w:val="18"/>
              </w:rPr>
            </w:pPr>
            <w:r>
              <w:rPr>
                <w:rFonts w:ascii="宋体" w:hAnsi="宋体" w:eastAsia="宋体" w:cs="宋体"/>
                <w:sz w:val="18"/>
                <w:szCs w:val="18"/>
              </w:rPr>
              <w:t>100,000,000.00</w:t>
            </w:r>
          </w:p>
        </w:tc>
        <w:tc>
          <w:tcPr>
            <w:tcW w:w="1928" w:type="dxa"/>
            <w:tcBorders>
              <w:top w:val="single" w:color="auto" w:sz="2" w:space="0"/>
              <w:left w:val="single" w:color="auto" w:sz="2" w:space="0"/>
              <w:bottom w:val="single" w:color="auto" w:sz="2" w:space="0"/>
              <w:right w:val="single" w:color="auto" w:sz="2" w:space="0"/>
            </w:tcBorders>
            <w:vAlign w:val="center"/>
          </w:tcPr>
          <w:p w14:paraId="4F378EED">
            <w:pPr>
              <w:spacing w:line="240" w:lineRule="exact"/>
              <w:rPr>
                <w:rFonts w:ascii="宋体" w:hAnsi="宋体" w:eastAsia="宋体" w:cs="宋体"/>
                <w:sz w:val="18"/>
                <w:szCs w:val="18"/>
              </w:rPr>
            </w:pPr>
            <w:r>
              <w:rPr>
                <w:rFonts w:ascii="宋体" w:hAnsi="宋体" w:eastAsia="宋体" w:cs="宋体"/>
                <w:sz w:val="18"/>
                <w:szCs w:val="18"/>
              </w:rPr>
              <w:t>2025年08月15日</w:t>
            </w:r>
          </w:p>
        </w:tc>
        <w:tc>
          <w:tcPr>
            <w:tcW w:w="1928" w:type="dxa"/>
            <w:tcBorders>
              <w:top w:val="single" w:color="auto" w:sz="2" w:space="0"/>
              <w:left w:val="single" w:color="auto" w:sz="2" w:space="0"/>
              <w:bottom w:val="single" w:color="auto" w:sz="2" w:space="0"/>
              <w:right w:val="single" w:color="auto" w:sz="2" w:space="0"/>
            </w:tcBorders>
            <w:vAlign w:val="center"/>
          </w:tcPr>
          <w:p w14:paraId="0DDD6EFA">
            <w:pPr>
              <w:spacing w:line="240" w:lineRule="exact"/>
              <w:rPr>
                <w:rFonts w:ascii="宋体" w:hAnsi="宋体" w:eastAsia="宋体" w:cs="宋体"/>
                <w:sz w:val="18"/>
                <w:szCs w:val="18"/>
              </w:rPr>
            </w:pPr>
            <w:r>
              <w:rPr>
                <w:rFonts w:ascii="宋体" w:hAnsi="宋体" w:eastAsia="宋体" w:cs="宋体"/>
                <w:sz w:val="18"/>
                <w:szCs w:val="18"/>
              </w:rPr>
              <w:t>2026年07月22日</w:t>
            </w:r>
          </w:p>
        </w:tc>
        <w:tc>
          <w:tcPr>
            <w:tcW w:w="1928" w:type="dxa"/>
            <w:tcBorders>
              <w:top w:val="single" w:color="auto" w:sz="2" w:space="0"/>
              <w:left w:val="single" w:color="auto" w:sz="2" w:space="0"/>
              <w:bottom w:val="single" w:color="auto" w:sz="2" w:space="0"/>
              <w:right w:val="single" w:color="auto" w:sz="2" w:space="0"/>
            </w:tcBorders>
            <w:vAlign w:val="center"/>
          </w:tcPr>
          <w:p w14:paraId="4FE7F0BC">
            <w:pPr>
              <w:spacing w:line="240" w:lineRule="exact"/>
              <w:rPr>
                <w:rFonts w:ascii="宋体" w:hAnsi="宋体" w:eastAsia="宋体" w:cs="宋体"/>
                <w:sz w:val="18"/>
                <w:szCs w:val="18"/>
              </w:rPr>
            </w:pPr>
            <w:r>
              <w:rPr>
                <w:rFonts w:ascii="宋体" w:hAnsi="宋体" w:eastAsia="宋体" w:cs="宋体"/>
                <w:sz w:val="18"/>
                <w:szCs w:val="18"/>
              </w:rPr>
              <w:t>否</w:t>
            </w:r>
          </w:p>
        </w:tc>
      </w:tr>
      <w:tr w14:paraId="6C741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78C87FF5">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117B3BE4">
            <w:pPr>
              <w:spacing w:line="240" w:lineRule="exact"/>
              <w:jc w:val="right"/>
              <w:rPr>
                <w:rFonts w:ascii="宋体" w:hAnsi="宋体" w:eastAsia="宋体" w:cs="宋体"/>
                <w:sz w:val="18"/>
                <w:szCs w:val="18"/>
              </w:rPr>
            </w:pPr>
            <w:r>
              <w:rPr>
                <w:rFonts w:ascii="宋体" w:hAnsi="宋体" w:eastAsia="宋体" w:cs="宋体"/>
                <w:sz w:val="18"/>
                <w:szCs w:val="18"/>
              </w:rPr>
              <w:t>50,000,000.00</w:t>
            </w:r>
          </w:p>
        </w:tc>
        <w:tc>
          <w:tcPr>
            <w:tcW w:w="1928" w:type="dxa"/>
            <w:tcBorders>
              <w:top w:val="single" w:color="auto" w:sz="2" w:space="0"/>
              <w:left w:val="single" w:color="auto" w:sz="2" w:space="0"/>
              <w:bottom w:val="single" w:color="auto" w:sz="2" w:space="0"/>
              <w:right w:val="single" w:color="auto" w:sz="2" w:space="0"/>
            </w:tcBorders>
            <w:vAlign w:val="center"/>
          </w:tcPr>
          <w:p w14:paraId="06E815AB">
            <w:pPr>
              <w:spacing w:line="240" w:lineRule="exact"/>
              <w:rPr>
                <w:rFonts w:ascii="宋体" w:hAnsi="宋体" w:eastAsia="宋体" w:cs="宋体"/>
                <w:sz w:val="18"/>
                <w:szCs w:val="18"/>
              </w:rPr>
            </w:pPr>
            <w:r>
              <w:rPr>
                <w:rFonts w:ascii="宋体" w:hAnsi="宋体" w:eastAsia="宋体" w:cs="宋体"/>
                <w:sz w:val="18"/>
                <w:szCs w:val="18"/>
              </w:rPr>
              <w:t>2025年08月15日</w:t>
            </w:r>
          </w:p>
        </w:tc>
        <w:tc>
          <w:tcPr>
            <w:tcW w:w="1928" w:type="dxa"/>
            <w:tcBorders>
              <w:top w:val="single" w:color="auto" w:sz="2" w:space="0"/>
              <w:left w:val="single" w:color="auto" w:sz="2" w:space="0"/>
              <w:bottom w:val="single" w:color="auto" w:sz="2" w:space="0"/>
              <w:right w:val="single" w:color="auto" w:sz="2" w:space="0"/>
            </w:tcBorders>
            <w:vAlign w:val="center"/>
          </w:tcPr>
          <w:p w14:paraId="56C89E82">
            <w:pPr>
              <w:spacing w:line="240" w:lineRule="exact"/>
              <w:rPr>
                <w:rFonts w:ascii="宋体" w:hAnsi="宋体" w:eastAsia="宋体" w:cs="宋体"/>
                <w:sz w:val="18"/>
                <w:szCs w:val="18"/>
              </w:rPr>
            </w:pPr>
            <w:r>
              <w:rPr>
                <w:rFonts w:ascii="宋体" w:hAnsi="宋体" w:eastAsia="宋体" w:cs="宋体"/>
                <w:sz w:val="18"/>
                <w:szCs w:val="18"/>
              </w:rPr>
              <w:t>2026年08月05日</w:t>
            </w:r>
          </w:p>
        </w:tc>
        <w:tc>
          <w:tcPr>
            <w:tcW w:w="1928" w:type="dxa"/>
            <w:tcBorders>
              <w:top w:val="single" w:color="auto" w:sz="2" w:space="0"/>
              <w:left w:val="single" w:color="auto" w:sz="2" w:space="0"/>
              <w:bottom w:val="single" w:color="auto" w:sz="2" w:space="0"/>
              <w:right w:val="single" w:color="auto" w:sz="2" w:space="0"/>
            </w:tcBorders>
            <w:vAlign w:val="center"/>
          </w:tcPr>
          <w:p w14:paraId="6749893B">
            <w:pPr>
              <w:spacing w:line="240" w:lineRule="exact"/>
              <w:rPr>
                <w:rFonts w:ascii="宋体" w:hAnsi="宋体" w:eastAsia="宋体" w:cs="宋体"/>
                <w:sz w:val="18"/>
                <w:szCs w:val="18"/>
              </w:rPr>
            </w:pPr>
            <w:r>
              <w:rPr>
                <w:rFonts w:ascii="宋体" w:hAnsi="宋体" w:eastAsia="宋体" w:cs="宋体"/>
                <w:sz w:val="18"/>
                <w:szCs w:val="18"/>
              </w:rPr>
              <w:t>否</w:t>
            </w:r>
          </w:p>
        </w:tc>
      </w:tr>
      <w:tr w14:paraId="7F85E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71F7758E">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45A7ED9E">
            <w:pPr>
              <w:spacing w:line="240" w:lineRule="exact"/>
              <w:jc w:val="right"/>
              <w:rPr>
                <w:rFonts w:ascii="宋体" w:hAnsi="宋体" w:eastAsia="宋体" w:cs="宋体"/>
                <w:sz w:val="18"/>
                <w:szCs w:val="18"/>
              </w:rPr>
            </w:pPr>
            <w:r>
              <w:rPr>
                <w:rFonts w:ascii="宋体" w:hAnsi="宋体" w:eastAsia="宋体" w:cs="宋体"/>
                <w:sz w:val="18"/>
                <w:szCs w:val="18"/>
              </w:rPr>
              <w:t>30,000,000.00</w:t>
            </w:r>
          </w:p>
        </w:tc>
        <w:tc>
          <w:tcPr>
            <w:tcW w:w="1928" w:type="dxa"/>
            <w:tcBorders>
              <w:top w:val="single" w:color="auto" w:sz="2" w:space="0"/>
              <w:left w:val="single" w:color="auto" w:sz="2" w:space="0"/>
              <w:bottom w:val="single" w:color="auto" w:sz="2" w:space="0"/>
              <w:right w:val="single" w:color="auto" w:sz="2" w:space="0"/>
            </w:tcBorders>
            <w:vAlign w:val="center"/>
          </w:tcPr>
          <w:p w14:paraId="59C3AB3D">
            <w:pPr>
              <w:spacing w:line="240" w:lineRule="exact"/>
              <w:rPr>
                <w:rFonts w:ascii="宋体" w:hAnsi="宋体" w:eastAsia="宋体" w:cs="宋体"/>
                <w:sz w:val="18"/>
                <w:szCs w:val="18"/>
              </w:rPr>
            </w:pPr>
            <w:r>
              <w:rPr>
                <w:rFonts w:ascii="宋体" w:hAnsi="宋体" w:eastAsia="宋体" w:cs="宋体"/>
                <w:sz w:val="18"/>
                <w:szCs w:val="18"/>
              </w:rPr>
              <w:t>2025年08月29日</w:t>
            </w:r>
          </w:p>
        </w:tc>
        <w:tc>
          <w:tcPr>
            <w:tcW w:w="1928" w:type="dxa"/>
            <w:tcBorders>
              <w:top w:val="single" w:color="auto" w:sz="2" w:space="0"/>
              <w:left w:val="single" w:color="auto" w:sz="2" w:space="0"/>
              <w:bottom w:val="single" w:color="auto" w:sz="2" w:space="0"/>
              <w:right w:val="single" w:color="auto" w:sz="2" w:space="0"/>
            </w:tcBorders>
            <w:vAlign w:val="center"/>
          </w:tcPr>
          <w:p w14:paraId="7419C08C">
            <w:pPr>
              <w:spacing w:line="240" w:lineRule="exact"/>
              <w:rPr>
                <w:rFonts w:ascii="宋体" w:hAnsi="宋体" w:eastAsia="宋体" w:cs="宋体"/>
                <w:sz w:val="18"/>
                <w:szCs w:val="18"/>
              </w:rPr>
            </w:pPr>
            <w:r>
              <w:rPr>
                <w:rFonts w:ascii="宋体" w:hAnsi="宋体" w:eastAsia="宋体" w:cs="宋体"/>
                <w:sz w:val="18"/>
                <w:szCs w:val="18"/>
              </w:rPr>
              <w:t>2026年08月18日</w:t>
            </w:r>
          </w:p>
        </w:tc>
        <w:tc>
          <w:tcPr>
            <w:tcW w:w="1928" w:type="dxa"/>
            <w:tcBorders>
              <w:top w:val="single" w:color="auto" w:sz="2" w:space="0"/>
              <w:left w:val="single" w:color="auto" w:sz="2" w:space="0"/>
              <w:bottom w:val="single" w:color="auto" w:sz="2" w:space="0"/>
              <w:right w:val="single" w:color="auto" w:sz="2" w:space="0"/>
            </w:tcBorders>
            <w:vAlign w:val="center"/>
          </w:tcPr>
          <w:p w14:paraId="72703E3A">
            <w:pPr>
              <w:spacing w:line="240" w:lineRule="exact"/>
              <w:rPr>
                <w:rFonts w:ascii="宋体" w:hAnsi="宋体" w:eastAsia="宋体" w:cs="宋体"/>
                <w:sz w:val="18"/>
                <w:szCs w:val="18"/>
              </w:rPr>
            </w:pPr>
            <w:r>
              <w:rPr>
                <w:rFonts w:ascii="宋体" w:hAnsi="宋体" w:eastAsia="宋体" w:cs="宋体"/>
                <w:sz w:val="18"/>
                <w:szCs w:val="18"/>
              </w:rPr>
              <w:t>否</w:t>
            </w:r>
          </w:p>
        </w:tc>
      </w:tr>
      <w:tr w14:paraId="2121D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5E3EB29">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73F01903">
            <w:pPr>
              <w:spacing w:line="240" w:lineRule="exact"/>
              <w:jc w:val="right"/>
              <w:rPr>
                <w:rFonts w:ascii="宋体" w:hAnsi="宋体" w:eastAsia="宋体" w:cs="宋体"/>
                <w:sz w:val="18"/>
                <w:szCs w:val="18"/>
              </w:rPr>
            </w:pPr>
            <w:r>
              <w:rPr>
                <w:rFonts w:ascii="宋体" w:hAnsi="宋体" w:eastAsia="宋体" w:cs="宋体"/>
                <w:sz w:val="18"/>
                <w:szCs w:val="18"/>
              </w:rPr>
              <w:t>30,000,000.00</w:t>
            </w:r>
          </w:p>
        </w:tc>
        <w:tc>
          <w:tcPr>
            <w:tcW w:w="1928" w:type="dxa"/>
            <w:tcBorders>
              <w:top w:val="single" w:color="auto" w:sz="2" w:space="0"/>
              <w:left w:val="single" w:color="auto" w:sz="2" w:space="0"/>
              <w:bottom w:val="single" w:color="auto" w:sz="2" w:space="0"/>
              <w:right w:val="single" w:color="auto" w:sz="2" w:space="0"/>
            </w:tcBorders>
            <w:vAlign w:val="center"/>
          </w:tcPr>
          <w:p w14:paraId="6978870C">
            <w:pPr>
              <w:spacing w:line="240" w:lineRule="exact"/>
              <w:rPr>
                <w:rFonts w:ascii="宋体" w:hAnsi="宋体" w:eastAsia="宋体" w:cs="宋体"/>
                <w:sz w:val="18"/>
                <w:szCs w:val="18"/>
              </w:rPr>
            </w:pPr>
            <w:r>
              <w:rPr>
                <w:rFonts w:ascii="宋体" w:hAnsi="宋体" w:eastAsia="宋体" w:cs="宋体"/>
                <w:sz w:val="18"/>
                <w:szCs w:val="18"/>
              </w:rPr>
              <w:t>2025年09月05日</w:t>
            </w:r>
          </w:p>
        </w:tc>
        <w:tc>
          <w:tcPr>
            <w:tcW w:w="1928" w:type="dxa"/>
            <w:tcBorders>
              <w:top w:val="single" w:color="auto" w:sz="2" w:space="0"/>
              <w:left w:val="single" w:color="auto" w:sz="2" w:space="0"/>
              <w:bottom w:val="single" w:color="auto" w:sz="2" w:space="0"/>
              <w:right w:val="single" w:color="auto" w:sz="2" w:space="0"/>
            </w:tcBorders>
            <w:vAlign w:val="center"/>
          </w:tcPr>
          <w:p w14:paraId="7C8F7C2E">
            <w:pPr>
              <w:spacing w:line="240" w:lineRule="exact"/>
              <w:rPr>
                <w:rFonts w:ascii="宋体" w:hAnsi="宋体" w:eastAsia="宋体" w:cs="宋体"/>
                <w:sz w:val="18"/>
                <w:szCs w:val="18"/>
              </w:rPr>
            </w:pPr>
            <w:r>
              <w:rPr>
                <w:rFonts w:ascii="宋体" w:hAnsi="宋体" w:eastAsia="宋体" w:cs="宋体"/>
                <w:sz w:val="18"/>
                <w:szCs w:val="18"/>
              </w:rPr>
              <w:t>2026年03月03日</w:t>
            </w:r>
          </w:p>
        </w:tc>
        <w:tc>
          <w:tcPr>
            <w:tcW w:w="1928" w:type="dxa"/>
            <w:tcBorders>
              <w:top w:val="single" w:color="auto" w:sz="2" w:space="0"/>
              <w:left w:val="single" w:color="auto" w:sz="2" w:space="0"/>
              <w:bottom w:val="single" w:color="auto" w:sz="2" w:space="0"/>
              <w:right w:val="single" w:color="auto" w:sz="2" w:space="0"/>
            </w:tcBorders>
            <w:vAlign w:val="center"/>
          </w:tcPr>
          <w:p w14:paraId="7DF8F3FF">
            <w:pPr>
              <w:spacing w:line="240" w:lineRule="exact"/>
              <w:rPr>
                <w:rFonts w:ascii="宋体" w:hAnsi="宋体" w:eastAsia="宋体" w:cs="宋体"/>
                <w:sz w:val="18"/>
                <w:szCs w:val="18"/>
              </w:rPr>
            </w:pPr>
            <w:r>
              <w:rPr>
                <w:rFonts w:ascii="宋体" w:hAnsi="宋体" w:eastAsia="宋体" w:cs="宋体"/>
                <w:sz w:val="18"/>
                <w:szCs w:val="18"/>
              </w:rPr>
              <w:t>否</w:t>
            </w:r>
          </w:p>
        </w:tc>
      </w:tr>
      <w:tr w14:paraId="1435D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41C998D">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54EFB4D5">
            <w:pPr>
              <w:spacing w:line="240" w:lineRule="exact"/>
              <w:jc w:val="right"/>
              <w:rPr>
                <w:rFonts w:ascii="宋体" w:hAnsi="宋体" w:eastAsia="宋体" w:cs="宋体"/>
                <w:sz w:val="18"/>
                <w:szCs w:val="18"/>
              </w:rPr>
            </w:pPr>
            <w:r>
              <w:rPr>
                <w:rFonts w:ascii="宋体" w:hAnsi="宋体" w:eastAsia="宋体" w:cs="宋体"/>
                <w:sz w:val="18"/>
                <w:szCs w:val="18"/>
              </w:rPr>
              <w:t>30,000,000.00</w:t>
            </w:r>
          </w:p>
        </w:tc>
        <w:tc>
          <w:tcPr>
            <w:tcW w:w="1928" w:type="dxa"/>
            <w:tcBorders>
              <w:top w:val="single" w:color="auto" w:sz="2" w:space="0"/>
              <w:left w:val="single" w:color="auto" w:sz="2" w:space="0"/>
              <w:bottom w:val="single" w:color="auto" w:sz="2" w:space="0"/>
              <w:right w:val="single" w:color="auto" w:sz="2" w:space="0"/>
            </w:tcBorders>
            <w:vAlign w:val="center"/>
          </w:tcPr>
          <w:p w14:paraId="5EBE90E9">
            <w:pPr>
              <w:spacing w:line="240" w:lineRule="exact"/>
              <w:rPr>
                <w:rFonts w:ascii="宋体" w:hAnsi="宋体" w:eastAsia="宋体" w:cs="宋体"/>
                <w:sz w:val="18"/>
                <w:szCs w:val="18"/>
              </w:rPr>
            </w:pPr>
            <w:r>
              <w:rPr>
                <w:rFonts w:ascii="宋体" w:hAnsi="宋体" w:eastAsia="宋体" w:cs="宋体"/>
                <w:sz w:val="18"/>
                <w:szCs w:val="18"/>
              </w:rPr>
              <w:t>2025年09月05日</w:t>
            </w:r>
          </w:p>
        </w:tc>
        <w:tc>
          <w:tcPr>
            <w:tcW w:w="1928" w:type="dxa"/>
            <w:tcBorders>
              <w:top w:val="single" w:color="auto" w:sz="2" w:space="0"/>
              <w:left w:val="single" w:color="auto" w:sz="2" w:space="0"/>
              <w:bottom w:val="single" w:color="auto" w:sz="2" w:space="0"/>
              <w:right w:val="single" w:color="auto" w:sz="2" w:space="0"/>
            </w:tcBorders>
            <w:vAlign w:val="center"/>
          </w:tcPr>
          <w:p w14:paraId="26A6C1E4">
            <w:pPr>
              <w:spacing w:line="240" w:lineRule="exact"/>
              <w:rPr>
                <w:rFonts w:ascii="宋体" w:hAnsi="宋体" w:eastAsia="宋体" w:cs="宋体"/>
                <w:sz w:val="18"/>
                <w:szCs w:val="18"/>
              </w:rPr>
            </w:pPr>
            <w:r>
              <w:rPr>
                <w:rFonts w:ascii="宋体" w:hAnsi="宋体" w:eastAsia="宋体" w:cs="宋体"/>
                <w:sz w:val="18"/>
                <w:szCs w:val="18"/>
              </w:rPr>
              <w:t>2026年08月28日</w:t>
            </w:r>
          </w:p>
        </w:tc>
        <w:tc>
          <w:tcPr>
            <w:tcW w:w="1928" w:type="dxa"/>
            <w:tcBorders>
              <w:top w:val="single" w:color="auto" w:sz="2" w:space="0"/>
              <w:left w:val="single" w:color="auto" w:sz="2" w:space="0"/>
              <w:bottom w:val="single" w:color="auto" w:sz="2" w:space="0"/>
              <w:right w:val="single" w:color="auto" w:sz="2" w:space="0"/>
            </w:tcBorders>
            <w:vAlign w:val="center"/>
          </w:tcPr>
          <w:p w14:paraId="56429435">
            <w:pPr>
              <w:spacing w:line="240" w:lineRule="exact"/>
              <w:rPr>
                <w:rFonts w:ascii="宋体" w:hAnsi="宋体" w:eastAsia="宋体" w:cs="宋体"/>
                <w:sz w:val="18"/>
                <w:szCs w:val="18"/>
              </w:rPr>
            </w:pPr>
            <w:r>
              <w:rPr>
                <w:rFonts w:ascii="宋体" w:hAnsi="宋体" w:eastAsia="宋体" w:cs="宋体"/>
                <w:sz w:val="18"/>
                <w:szCs w:val="18"/>
              </w:rPr>
              <w:t>否</w:t>
            </w:r>
          </w:p>
        </w:tc>
      </w:tr>
      <w:tr w14:paraId="2A6CC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49A30719">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0B66C9B9">
            <w:pPr>
              <w:spacing w:line="240" w:lineRule="exact"/>
              <w:jc w:val="right"/>
              <w:rPr>
                <w:rFonts w:ascii="宋体" w:hAnsi="宋体" w:eastAsia="宋体" w:cs="宋体"/>
                <w:sz w:val="18"/>
                <w:szCs w:val="18"/>
              </w:rPr>
            </w:pPr>
            <w:r>
              <w:rPr>
                <w:rFonts w:ascii="宋体" w:hAnsi="宋体" w:eastAsia="宋体" w:cs="宋体"/>
                <w:sz w:val="18"/>
                <w:szCs w:val="18"/>
              </w:rPr>
              <w:t>100,000,000.00</w:t>
            </w:r>
          </w:p>
        </w:tc>
        <w:tc>
          <w:tcPr>
            <w:tcW w:w="1928" w:type="dxa"/>
            <w:tcBorders>
              <w:top w:val="single" w:color="auto" w:sz="2" w:space="0"/>
              <w:left w:val="single" w:color="auto" w:sz="2" w:space="0"/>
              <w:bottom w:val="single" w:color="auto" w:sz="2" w:space="0"/>
              <w:right w:val="single" w:color="auto" w:sz="2" w:space="0"/>
            </w:tcBorders>
            <w:vAlign w:val="center"/>
          </w:tcPr>
          <w:p w14:paraId="58E769F0">
            <w:pPr>
              <w:spacing w:line="240" w:lineRule="exact"/>
              <w:rPr>
                <w:rFonts w:ascii="宋体" w:hAnsi="宋体" w:eastAsia="宋体" w:cs="宋体"/>
                <w:sz w:val="18"/>
                <w:szCs w:val="18"/>
              </w:rPr>
            </w:pPr>
            <w:r>
              <w:rPr>
                <w:rFonts w:ascii="宋体" w:hAnsi="宋体" w:eastAsia="宋体" w:cs="宋体"/>
                <w:sz w:val="18"/>
                <w:szCs w:val="18"/>
              </w:rPr>
              <w:t>2025年09月19日</w:t>
            </w:r>
          </w:p>
        </w:tc>
        <w:tc>
          <w:tcPr>
            <w:tcW w:w="1928" w:type="dxa"/>
            <w:tcBorders>
              <w:top w:val="single" w:color="auto" w:sz="2" w:space="0"/>
              <w:left w:val="single" w:color="auto" w:sz="2" w:space="0"/>
              <w:bottom w:val="single" w:color="auto" w:sz="2" w:space="0"/>
              <w:right w:val="single" w:color="auto" w:sz="2" w:space="0"/>
            </w:tcBorders>
            <w:vAlign w:val="center"/>
          </w:tcPr>
          <w:p w14:paraId="1A7F2127">
            <w:pPr>
              <w:spacing w:line="240" w:lineRule="exact"/>
              <w:rPr>
                <w:rFonts w:ascii="宋体" w:hAnsi="宋体" w:eastAsia="宋体" w:cs="宋体"/>
                <w:sz w:val="18"/>
                <w:szCs w:val="18"/>
              </w:rPr>
            </w:pPr>
            <w:r>
              <w:rPr>
                <w:rFonts w:ascii="宋体" w:hAnsi="宋体" w:eastAsia="宋体" w:cs="宋体"/>
                <w:sz w:val="18"/>
                <w:szCs w:val="18"/>
              </w:rPr>
              <w:t>2026年08月13日</w:t>
            </w:r>
          </w:p>
        </w:tc>
        <w:tc>
          <w:tcPr>
            <w:tcW w:w="1928" w:type="dxa"/>
            <w:tcBorders>
              <w:top w:val="single" w:color="auto" w:sz="2" w:space="0"/>
              <w:left w:val="single" w:color="auto" w:sz="2" w:space="0"/>
              <w:bottom w:val="single" w:color="auto" w:sz="2" w:space="0"/>
              <w:right w:val="single" w:color="auto" w:sz="2" w:space="0"/>
            </w:tcBorders>
            <w:vAlign w:val="center"/>
          </w:tcPr>
          <w:p w14:paraId="7DEFDEE8">
            <w:pPr>
              <w:spacing w:line="240" w:lineRule="exact"/>
              <w:rPr>
                <w:rFonts w:ascii="宋体" w:hAnsi="宋体" w:eastAsia="宋体" w:cs="宋体"/>
                <w:sz w:val="18"/>
                <w:szCs w:val="18"/>
              </w:rPr>
            </w:pPr>
            <w:r>
              <w:rPr>
                <w:rFonts w:ascii="宋体" w:hAnsi="宋体" w:eastAsia="宋体" w:cs="宋体"/>
                <w:sz w:val="18"/>
                <w:szCs w:val="18"/>
              </w:rPr>
              <w:t>否</w:t>
            </w:r>
          </w:p>
        </w:tc>
      </w:tr>
      <w:tr w14:paraId="7B025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01AAC97">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7ABD8DE0">
            <w:pPr>
              <w:spacing w:line="240" w:lineRule="exact"/>
              <w:jc w:val="right"/>
              <w:rPr>
                <w:rFonts w:ascii="宋体" w:hAnsi="宋体" w:eastAsia="宋体" w:cs="宋体"/>
                <w:sz w:val="18"/>
                <w:szCs w:val="18"/>
              </w:rPr>
            </w:pPr>
            <w:r>
              <w:rPr>
                <w:rFonts w:ascii="宋体" w:hAnsi="宋体" w:eastAsia="宋体" w:cs="宋体"/>
                <w:sz w:val="18"/>
                <w:szCs w:val="18"/>
              </w:rPr>
              <w:t>70,000,000.00</w:t>
            </w:r>
          </w:p>
        </w:tc>
        <w:tc>
          <w:tcPr>
            <w:tcW w:w="1928" w:type="dxa"/>
            <w:tcBorders>
              <w:top w:val="single" w:color="auto" w:sz="2" w:space="0"/>
              <w:left w:val="single" w:color="auto" w:sz="2" w:space="0"/>
              <w:bottom w:val="single" w:color="auto" w:sz="2" w:space="0"/>
              <w:right w:val="single" w:color="auto" w:sz="2" w:space="0"/>
            </w:tcBorders>
            <w:vAlign w:val="center"/>
          </w:tcPr>
          <w:p w14:paraId="3A23E3A2">
            <w:pPr>
              <w:spacing w:line="240" w:lineRule="exact"/>
              <w:rPr>
                <w:rFonts w:ascii="宋体" w:hAnsi="宋体" w:eastAsia="宋体" w:cs="宋体"/>
                <w:sz w:val="18"/>
                <w:szCs w:val="18"/>
              </w:rPr>
            </w:pPr>
            <w:r>
              <w:rPr>
                <w:rFonts w:ascii="宋体" w:hAnsi="宋体" w:eastAsia="宋体" w:cs="宋体"/>
                <w:sz w:val="18"/>
                <w:szCs w:val="18"/>
              </w:rPr>
              <w:t>2025年11月26日</w:t>
            </w:r>
          </w:p>
        </w:tc>
        <w:tc>
          <w:tcPr>
            <w:tcW w:w="1928" w:type="dxa"/>
            <w:tcBorders>
              <w:top w:val="single" w:color="auto" w:sz="2" w:space="0"/>
              <w:left w:val="single" w:color="auto" w:sz="2" w:space="0"/>
              <w:bottom w:val="single" w:color="auto" w:sz="2" w:space="0"/>
              <w:right w:val="single" w:color="auto" w:sz="2" w:space="0"/>
            </w:tcBorders>
            <w:vAlign w:val="center"/>
          </w:tcPr>
          <w:p w14:paraId="6640AAD5">
            <w:pPr>
              <w:spacing w:line="240" w:lineRule="exact"/>
              <w:rPr>
                <w:rFonts w:ascii="宋体" w:hAnsi="宋体" w:eastAsia="宋体" w:cs="宋体"/>
                <w:sz w:val="18"/>
                <w:szCs w:val="18"/>
              </w:rPr>
            </w:pPr>
            <w:r>
              <w:rPr>
                <w:rFonts w:ascii="宋体" w:hAnsi="宋体" w:eastAsia="宋体" w:cs="宋体"/>
                <w:sz w:val="18"/>
                <w:szCs w:val="18"/>
              </w:rPr>
              <w:t>2026年11月24日</w:t>
            </w:r>
          </w:p>
        </w:tc>
        <w:tc>
          <w:tcPr>
            <w:tcW w:w="1928" w:type="dxa"/>
            <w:tcBorders>
              <w:top w:val="single" w:color="auto" w:sz="2" w:space="0"/>
              <w:left w:val="single" w:color="auto" w:sz="2" w:space="0"/>
              <w:bottom w:val="single" w:color="auto" w:sz="2" w:space="0"/>
              <w:right w:val="single" w:color="auto" w:sz="2" w:space="0"/>
            </w:tcBorders>
            <w:vAlign w:val="center"/>
          </w:tcPr>
          <w:p w14:paraId="6F5FFFAA">
            <w:pPr>
              <w:spacing w:line="240" w:lineRule="exact"/>
              <w:rPr>
                <w:rFonts w:ascii="宋体" w:hAnsi="宋体" w:eastAsia="宋体" w:cs="宋体"/>
                <w:sz w:val="18"/>
                <w:szCs w:val="18"/>
              </w:rPr>
            </w:pPr>
            <w:r>
              <w:rPr>
                <w:rFonts w:ascii="宋体" w:hAnsi="宋体" w:eastAsia="宋体" w:cs="宋体"/>
                <w:sz w:val="18"/>
                <w:szCs w:val="18"/>
              </w:rPr>
              <w:t>否</w:t>
            </w:r>
          </w:p>
        </w:tc>
      </w:tr>
      <w:tr w14:paraId="0C8DB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03BEC5A">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594F5FAE">
            <w:pPr>
              <w:spacing w:line="240" w:lineRule="exact"/>
              <w:jc w:val="right"/>
              <w:rPr>
                <w:rFonts w:ascii="宋体" w:hAnsi="宋体" w:eastAsia="宋体" w:cs="宋体"/>
                <w:sz w:val="18"/>
                <w:szCs w:val="18"/>
              </w:rPr>
            </w:pPr>
            <w:r>
              <w:rPr>
                <w:rFonts w:ascii="宋体" w:hAnsi="宋体" w:eastAsia="宋体" w:cs="宋体"/>
                <w:sz w:val="18"/>
                <w:szCs w:val="18"/>
              </w:rPr>
              <w:t>30,000,000.00</w:t>
            </w:r>
          </w:p>
        </w:tc>
        <w:tc>
          <w:tcPr>
            <w:tcW w:w="1928" w:type="dxa"/>
            <w:tcBorders>
              <w:top w:val="single" w:color="auto" w:sz="2" w:space="0"/>
              <w:left w:val="single" w:color="auto" w:sz="2" w:space="0"/>
              <w:bottom w:val="single" w:color="auto" w:sz="2" w:space="0"/>
              <w:right w:val="single" w:color="auto" w:sz="2" w:space="0"/>
            </w:tcBorders>
            <w:vAlign w:val="center"/>
          </w:tcPr>
          <w:p w14:paraId="45A96909">
            <w:pPr>
              <w:spacing w:line="240" w:lineRule="exact"/>
              <w:rPr>
                <w:rFonts w:ascii="宋体" w:hAnsi="宋体" w:eastAsia="宋体" w:cs="宋体"/>
                <w:sz w:val="18"/>
                <w:szCs w:val="18"/>
              </w:rPr>
            </w:pPr>
            <w:r>
              <w:rPr>
                <w:rFonts w:ascii="宋体" w:hAnsi="宋体" w:eastAsia="宋体" w:cs="宋体"/>
                <w:sz w:val="18"/>
                <w:szCs w:val="18"/>
              </w:rPr>
              <w:t>2025年12月01日</w:t>
            </w:r>
          </w:p>
        </w:tc>
        <w:tc>
          <w:tcPr>
            <w:tcW w:w="1928" w:type="dxa"/>
            <w:tcBorders>
              <w:top w:val="single" w:color="auto" w:sz="2" w:space="0"/>
              <w:left w:val="single" w:color="auto" w:sz="2" w:space="0"/>
              <w:bottom w:val="single" w:color="auto" w:sz="2" w:space="0"/>
              <w:right w:val="single" w:color="auto" w:sz="2" w:space="0"/>
            </w:tcBorders>
            <w:vAlign w:val="center"/>
          </w:tcPr>
          <w:p w14:paraId="14002068">
            <w:pPr>
              <w:spacing w:line="240" w:lineRule="exact"/>
              <w:rPr>
                <w:rFonts w:ascii="宋体" w:hAnsi="宋体" w:eastAsia="宋体" w:cs="宋体"/>
                <w:sz w:val="18"/>
                <w:szCs w:val="18"/>
              </w:rPr>
            </w:pPr>
            <w:r>
              <w:rPr>
                <w:rFonts w:ascii="宋体" w:hAnsi="宋体" w:eastAsia="宋体" w:cs="宋体"/>
                <w:sz w:val="18"/>
                <w:szCs w:val="18"/>
              </w:rPr>
              <w:t>2026年10月23日</w:t>
            </w:r>
          </w:p>
        </w:tc>
        <w:tc>
          <w:tcPr>
            <w:tcW w:w="1928" w:type="dxa"/>
            <w:tcBorders>
              <w:top w:val="single" w:color="auto" w:sz="2" w:space="0"/>
              <w:left w:val="single" w:color="auto" w:sz="2" w:space="0"/>
              <w:bottom w:val="single" w:color="auto" w:sz="2" w:space="0"/>
              <w:right w:val="single" w:color="auto" w:sz="2" w:space="0"/>
            </w:tcBorders>
            <w:vAlign w:val="center"/>
          </w:tcPr>
          <w:p w14:paraId="6F7E352D">
            <w:pPr>
              <w:spacing w:line="240" w:lineRule="exact"/>
              <w:rPr>
                <w:rFonts w:ascii="宋体" w:hAnsi="宋体" w:eastAsia="宋体" w:cs="宋体"/>
                <w:sz w:val="18"/>
                <w:szCs w:val="18"/>
              </w:rPr>
            </w:pPr>
            <w:r>
              <w:rPr>
                <w:rFonts w:ascii="宋体" w:hAnsi="宋体" w:eastAsia="宋体" w:cs="宋体"/>
                <w:sz w:val="18"/>
                <w:szCs w:val="18"/>
              </w:rPr>
              <w:t>否</w:t>
            </w:r>
          </w:p>
        </w:tc>
      </w:tr>
      <w:tr w14:paraId="2B5DB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6788B65">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4090A594">
            <w:pPr>
              <w:spacing w:line="240" w:lineRule="exact"/>
              <w:jc w:val="right"/>
              <w:rPr>
                <w:rFonts w:ascii="宋体" w:hAnsi="宋体" w:eastAsia="宋体" w:cs="宋体"/>
                <w:sz w:val="18"/>
                <w:szCs w:val="18"/>
              </w:rPr>
            </w:pPr>
            <w:r>
              <w:rPr>
                <w:rFonts w:ascii="宋体" w:hAnsi="宋体" w:eastAsia="宋体" w:cs="宋体"/>
                <w:sz w:val="18"/>
                <w:szCs w:val="18"/>
              </w:rPr>
              <w:t>50,000,000.00</w:t>
            </w:r>
          </w:p>
        </w:tc>
        <w:tc>
          <w:tcPr>
            <w:tcW w:w="1928" w:type="dxa"/>
            <w:tcBorders>
              <w:top w:val="single" w:color="auto" w:sz="2" w:space="0"/>
              <w:left w:val="single" w:color="auto" w:sz="2" w:space="0"/>
              <w:bottom w:val="single" w:color="auto" w:sz="2" w:space="0"/>
              <w:right w:val="single" w:color="auto" w:sz="2" w:space="0"/>
            </w:tcBorders>
            <w:vAlign w:val="center"/>
          </w:tcPr>
          <w:p w14:paraId="2605A541">
            <w:pPr>
              <w:spacing w:line="240" w:lineRule="exact"/>
              <w:rPr>
                <w:rFonts w:ascii="宋体" w:hAnsi="宋体" w:eastAsia="宋体" w:cs="宋体"/>
                <w:sz w:val="18"/>
                <w:szCs w:val="18"/>
              </w:rPr>
            </w:pPr>
            <w:r>
              <w:rPr>
                <w:rFonts w:ascii="宋体" w:hAnsi="宋体" w:eastAsia="宋体" w:cs="宋体"/>
                <w:sz w:val="18"/>
                <w:szCs w:val="18"/>
              </w:rPr>
              <w:t>2025年12月01日</w:t>
            </w:r>
          </w:p>
        </w:tc>
        <w:tc>
          <w:tcPr>
            <w:tcW w:w="1928" w:type="dxa"/>
            <w:tcBorders>
              <w:top w:val="single" w:color="auto" w:sz="2" w:space="0"/>
              <w:left w:val="single" w:color="auto" w:sz="2" w:space="0"/>
              <w:bottom w:val="single" w:color="auto" w:sz="2" w:space="0"/>
              <w:right w:val="single" w:color="auto" w:sz="2" w:space="0"/>
            </w:tcBorders>
            <w:vAlign w:val="center"/>
          </w:tcPr>
          <w:p w14:paraId="7069FB6E">
            <w:pPr>
              <w:spacing w:line="240" w:lineRule="exact"/>
              <w:rPr>
                <w:rFonts w:ascii="宋体" w:hAnsi="宋体" w:eastAsia="宋体" w:cs="宋体"/>
                <w:sz w:val="18"/>
                <w:szCs w:val="18"/>
              </w:rPr>
            </w:pPr>
            <w:r>
              <w:rPr>
                <w:rFonts w:ascii="宋体" w:hAnsi="宋体" w:eastAsia="宋体" w:cs="宋体"/>
                <w:sz w:val="18"/>
                <w:szCs w:val="18"/>
              </w:rPr>
              <w:t>2026年10月23日</w:t>
            </w:r>
          </w:p>
        </w:tc>
        <w:tc>
          <w:tcPr>
            <w:tcW w:w="1928" w:type="dxa"/>
            <w:tcBorders>
              <w:top w:val="single" w:color="auto" w:sz="2" w:space="0"/>
              <w:left w:val="single" w:color="auto" w:sz="2" w:space="0"/>
              <w:bottom w:val="single" w:color="auto" w:sz="2" w:space="0"/>
              <w:right w:val="single" w:color="auto" w:sz="2" w:space="0"/>
            </w:tcBorders>
            <w:vAlign w:val="center"/>
          </w:tcPr>
          <w:p w14:paraId="7F70818F">
            <w:pPr>
              <w:spacing w:line="240" w:lineRule="exact"/>
              <w:rPr>
                <w:rFonts w:ascii="宋体" w:hAnsi="宋体" w:eastAsia="宋体" w:cs="宋体"/>
                <w:sz w:val="18"/>
                <w:szCs w:val="18"/>
              </w:rPr>
            </w:pPr>
            <w:r>
              <w:rPr>
                <w:rFonts w:ascii="宋体" w:hAnsi="宋体" w:eastAsia="宋体" w:cs="宋体"/>
                <w:sz w:val="18"/>
                <w:szCs w:val="18"/>
              </w:rPr>
              <w:t>否</w:t>
            </w:r>
          </w:p>
        </w:tc>
      </w:tr>
      <w:tr w14:paraId="39C93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1A580AD">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1AF6F135">
            <w:pPr>
              <w:spacing w:line="240" w:lineRule="exact"/>
              <w:jc w:val="right"/>
              <w:rPr>
                <w:rFonts w:ascii="宋体" w:hAnsi="宋体" w:eastAsia="宋体" w:cs="宋体"/>
                <w:sz w:val="18"/>
                <w:szCs w:val="18"/>
              </w:rPr>
            </w:pPr>
            <w:r>
              <w:rPr>
                <w:rFonts w:ascii="宋体" w:hAnsi="宋体" w:eastAsia="宋体" w:cs="宋体"/>
                <w:sz w:val="18"/>
                <w:szCs w:val="18"/>
              </w:rPr>
              <w:t>90,000,000.00</w:t>
            </w:r>
          </w:p>
        </w:tc>
        <w:tc>
          <w:tcPr>
            <w:tcW w:w="1928" w:type="dxa"/>
            <w:tcBorders>
              <w:top w:val="single" w:color="auto" w:sz="2" w:space="0"/>
              <w:left w:val="single" w:color="auto" w:sz="2" w:space="0"/>
              <w:bottom w:val="single" w:color="auto" w:sz="2" w:space="0"/>
              <w:right w:val="single" w:color="auto" w:sz="2" w:space="0"/>
            </w:tcBorders>
            <w:vAlign w:val="center"/>
          </w:tcPr>
          <w:p w14:paraId="3E6C5A23">
            <w:pPr>
              <w:spacing w:line="240" w:lineRule="exact"/>
              <w:rPr>
                <w:rFonts w:ascii="宋体" w:hAnsi="宋体" w:eastAsia="宋体" w:cs="宋体"/>
                <w:sz w:val="18"/>
                <w:szCs w:val="18"/>
              </w:rPr>
            </w:pPr>
            <w:r>
              <w:rPr>
                <w:rFonts w:ascii="宋体" w:hAnsi="宋体" w:eastAsia="宋体" w:cs="宋体"/>
                <w:sz w:val="18"/>
                <w:szCs w:val="18"/>
              </w:rPr>
              <w:t>2025年12月03日</w:t>
            </w:r>
          </w:p>
        </w:tc>
        <w:tc>
          <w:tcPr>
            <w:tcW w:w="1928" w:type="dxa"/>
            <w:tcBorders>
              <w:top w:val="single" w:color="auto" w:sz="2" w:space="0"/>
              <w:left w:val="single" w:color="auto" w:sz="2" w:space="0"/>
              <w:bottom w:val="single" w:color="auto" w:sz="2" w:space="0"/>
              <w:right w:val="single" w:color="auto" w:sz="2" w:space="0"/>
            </w:tcBorders>
            <w:vAlign w:val="center"/>
          </w:tcPr>
          <w:p w14:paraId="272F8DE7">
            <w:pPr>
              <w:spacing w:line="240" w:lineRule="exact"/>
              <w:rPr>
                <w:rFonts w:ascii="宋体" w:hAnsi="宋体" w:eastAsia="宋体" w:cs="宋体"/>
                <w:sz w:val="18"/>
                <w:szCs w:val="18"/>
              </w:rPr>
            </w:pPr>
            <w:r>
              <w:rPr>
                <w:rFonts w:ascii="宋体" w:hAnsi="宋体" w:eastAsia="宋体" w:cs="宋体"/>
                <w:sz w:val="18"/>
                <w:szCs w:val="18"/>
              </w:rPr>
              <w:t>2026年06月02日</w:t>
            </w:r>
          </w:p>
        </w:tc>
        <w:tc>
          <w:tcPr>
            <w:tcW w:w="1928" w:type="dxa"/>
            <w:tcBorders>
              <w:top w:val="single" w:color="auto" w:sz="2" w:space="0"/>
              <w:left w:val="single" w:color="auto" w:sz="2" w:space="0"/>
              <w:bottom w:val="single" w:color="auto" w:sz="2" w:space="0"/>
              <w:right w:val="single" w:color="auto" w:sz="2" w:space="0"/>
            </w:tcBorders>
            <w:vAlign w:val="center"/>
          </w:tcPr>
          <w:p w14:paraId="618F03CE">
            <w:pPr>
              <w:spacing w:line="240" w:lineRule="exact"/>
              <w:rPr>
                <w:rFonts w:ascii="宋体" w:hAnsi="宋体" w:eastAsia="宋体" w:cs="宋体"/>
                <w:sz w:val="18"/>
                <w:szCs w:val="18"/>
              </w:rPr>
            </w:pPr>
            <w:r>
              <w:rPr>
                <w:rFonts w:ascii="宋体" w:hAnsi="宋体" w:eastAsia="宋体" w:cs="宋体"/>
                <w:sz w:val="18"/>
                <w:szCs w:val="18"/>
              </w:rPr>
              <w:t>否</w:t>
            </w:r>
          </w:p>
        </w:tc>
      </w:tr>
      <w:tr w14:paraId="65349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247932BE">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3D170C8E">
            <w:pPr>
              <w:spacing w:line="240" w:lineRule="exact"/>
              <w:jc w:val="right"/>
              <w:rPr>
                <w:rFonts w:ascii="宋体" w:hAnsi="宋体" w:eastAsia="宋体" w:cs="宋体"/>
                <w:sz w:val="18"/>
                <w:szCs w:val="18"/>
              </w:rPr>
            </w:pPr>
            <w:r>
              <w:rPr>
                <w:rFonts w:ascii="宋体" w:hAnsi="宋体" w:eastAsia="宋体" w:cs="宋体"/>
                <w:sz w:val="18"/>
                <w:szCs w:val="18"/>
              </w:rPr>
              <w:t>50,000,000.00</w:t>
            </w:r>
          </w:p>
        </w:tc>
        <w:tc>
          <w:tcPr>
            <w:tcW w:w="1928" w:type="dxa"/>
            <w:tcBorders>
              <w:top w:val="single" w:color="auto" w:sz="2" w:space="0"/>
              <w:left w:val="single" w:color="auto" w:sz="2" w:space="0"/>
              <w:bottom w:val="single" w:color="auto" w:sz="2" w:space="0"/>
              <w:right w:val="single" w:color="auto" w:sz="2" w:space="0"/>
            </w:tcBorders>
            <w:vAlign w:val="center"/>
          </w:tcPr>
          <w:p w14:paraId="470449CC">
            <w:pPr>
              <w:spacing w:line="240" w:lineRule="exact"/>
              <w:rPr>
                <w:rFonts w:ascii="宋体" w:hAnsi="宋体" w:eastAsia="宋体" w:cs="宋体"/>
                <w:sz w:val="18"/>
                <w:szCs w:val="18"/>
              </w:rPr>
            </w:pPr>
            <w:r>
              <w:rPr>
                <w:rFonts w:ascii="宋体" w:hAnsi="宋体" w:eastAsia="宋体" w:cs="宋体"/>
                <w:sz w:val="18"/>
                <w:szCs w:val="18"/>
              </w:rPr>
              <w:t>2025年12月03日</w:t>
            </w:r>
          </w:p>
        </w:tc>
        <w:tc>
          <w:tcPr>
            <w:tcW w:w="1928" w:type="dxa"/>
            <w:tcBorders>
              <w:top w:val="single" w:color="auto" w:sz="2" w:space="0"/>
              <w:left w:val="single" w:color="auto" w:sz="2" w:space="0"/>
              <w:bottom w:val="single" w:color="auto" w:sz="2" w:space="0"/>
              <w:right w:val="single" w:color="auto" w:sz="2" w:space="0"/>
            </w:tcBorders>
            <w:vAlign w:val="center"/>
          </w:tcPr>
          <w:p w14:paraId="5691E7A6">
            <w:pPr>
              <w:spacing w:line="240" w:lineRule="exact"/>
              <w:rPr>
                <w:rFonts w:ascii="宋体" w:hAnsi="宋体" w:eastAsia="宋体" w:cs="宋体"/>
                <w:sz w:val="18"/>
                <w:szCs w:val="18"/>
              </w:rPr>
            </w:pPr>
            <w:r>
              <w:rPr>
                <w:rFonts w:ascii="宋体" w:hAnsi="宋体" w:eastAsia="宋体" w:cs="宋体"/>
                <w:sz w:val="18"/>
                <w:szCs w:val="18"/>
              </w:rPr>
              <w:t>2026年06月02日</w:t>
            </w:r>
          </w:p>
        </w:tc>
        <w:tc>
          <w:tcPr>
            <w:tcW w:w="1928" w:type="dxa"/>
            <w:tcBorders>
              <w:top w:val="single" w:color="auto" w:sz="2" w:space="0"/>
              <w:left w:val="single" w:color="auto" w:sz="2" w:space="0"/>
              <w:bottom w:val="single" w:color="auto" w:sz="2" w:space="0"/>
              <w:right w:val="single" w:color="auto" w:sz="2" w:space="0"/>
            </w:tcBorders>
            <w:vAlign w:val="center"/>
          </w:tcPr>
          <w:p w14:paraId="15D462BE">
            <w:pPr>
              <w:spacing w:line="240" w:lineRule="exact"/>
              <w:rPr>
                <w:rFonts w:ascii="宋体" w:hAnsi="宋体" w:eastAsia="宋体" w:cs="宋体"/>
                <w:sz w:val="18"/>
                <w:szCs w:val="18"/>
              </w:rPr>
            </w:pPr>
            <w:r>
              <w:rPr>
                <w:rFonts w:ascii="宋体" w:hAnsi="宋体" w:eastAsia="宋体" w:cs="宋体"/>
                <w:sz w:val="18"/>
                <w:szCs w:val="18"/>
              </w:rPr>
              <w:t>否</w:t>
            </w:r>
          </w:p>
        </w:tc>
      </w:tr>
      <w:tr w14:paraId="02450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50D39246">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1947ED6C">
            <w:pPr>
              <w:spacing w:line="240" w:lineRule="exact"/>
              <w:jc w:val="right"/>
              <w:rPr>
                <w:rFonts w:ascii="宋体" w:hAnsi="宋体" w:eastAsia="宋体" w:cs="宋体"/>
                <w:sz w:val="18"/>
                <w:szCs w:val="18"/>
              </w:rPr>
            </w:pPr>
            <w:r>
              <w:rPr>
                <w:rFonts w:ascii="宋体" w:hAnsi="宋体" w:eastAsia="宋体" w:cs="宋体"/>
                <w:sz w:val="18"/>
                <w:szCs w:val="18"/>
              </w:rPr>
              <w:t>90,000,000.00</w:t>
            </w:r>
          </w:p>
        </w:tc>
        <w:tc>
          <w:tcPr>
            <w:tcW w:w="1928" w:type="dxa"/>
            <w:tcBorders>
              <w:top w:val="single" w:color="auto" w:sz="2" w:space="0"/>
              <w:left w:val="single" w:color="auto" w:sz="2" w:space="0"/>
              <w:bottom w:val="single" w:color="auto" w:sz="2" w:space="0"/>
              <w:right w:val="single" w:color="auto" w:sz="2" w:space="0"/>
            </w:tcBorders>
            <w:vAlign w:val="center"/>
          </w:tcPr>
          <w:p w14:paraId="6A60BBD7">
            <w:pPr>
              <w:spacing w:line="240" w:lineRule="exact"/>
              <w:rPr>
                <w:rFonts w:ascii="宋体" w:hAnsi="宋体" w:eastAsia="宋体" w:cs="宋体"/>
                <w:sz w:val="18"/>
                <w:szCs w:val="18"/>
              </w:rPr>
            </w:pPr>
            <w:r>
              <w:rPr>
                <w:rFonts w:ascii="宋体" w:hAnsi="宋体" w:eastAsia="宋体" w:cs="宋体"/>
                <w:sz w:val="18"/>
                <w:szCs w:val="18"/>
              </w:rPr>
              <w:t>2025年12月05日</w:t>
            </w:r>
          </w:p>
        </w:tc>
        <w:tc>
          <w:tcPr>
            <w:tcW w:w="1928" w:type="dxa"/>
            <w:tcBorders>
              <w:top w:val="single" w:color="auto" w:sz="2" w:space="0"/>
              <w:left w:val="single" w:color="auto" w:sz="2" w:space="0"/>
              <w:bottom w:val="single" w:color="auto" w:sz="2" w:space="0"/>
              <w:right w:val="single" w:color="auto" w:sz="2" w:space="0"/>
            </w:tcBorders>
            <w:vAlign w:val="center"/>
          </w:tcPr>
          <w:p w14:paraId="5C7B3C71">
            <w:pPr>
              <w:spacing w:line="240" w:lineRule="exact"/>
              <w:rPr>
                <w:rFonts w:ascii="宋体" w:hAnsi="宋体" w:eastAsia="宋体" w:cs="宋体"/>
                <w:sz w:val="18"/>
                <w:szCs w:val="18"/>
              </w:rPr>
            </w:pPr>
            <w:r>
              <w:rPr>
                <w:rFonts w:ascii="宋体" w:hAnsi="宋体" w:eastAsia="宋体" w:cs="宋体"/>
                <w:sz w:val="18"/>
                <w:szCs w:val="18"/>
              </w:rPr>
              <w:t>2026年06月04日</w:t>
            </w:r>
          </w:p>
        </w:tc>
        <w:tc>
          <w:tcPr>
            <w:tcW w:w="1928" w:type="dxa"/>
            <w:tcBorders>
              <w:top w:val="single" w:color="auto" w:sz="2" w:space="0"/>
              <w:left w:val="single" w:color="auto" w:sz="2" w:space="0"/>
              <w:bottom w:val="single" w:color="auto" w:sz="2" w:space="0"/>
              <w:right w:val="single" w:color="auto" w:sz="2" w:space="0"/>
            </w:tcBorders>
            <w:vAlign w:val="center"/>
          </w:tcPr>
          <w:p w14:paraId="0BDD0932">
            <w:pPr>
              <w:spacing w:line="240" w:lineRule="exact"/>
              <w:rPr>
                <w:rFonts w:ascii="宋体" w:hAnsi="宋体" w:eastAsia="宋体" w:cs="宋体"/>
                <w:sz w:val="18"/>
                <w:szCs w:val="18"/>
              </w:rPr>
            </w:pPr>
            <w:r>
              <w:rPr>
                <w:rFonts w:ascii="宋体" w:hAnsi="宋体" w:eastAsia="宋体" w:cs="宋体"/>
                <w:sz w:val="18"/>
                <w:szCs w:val="18"/>
              </w:rPr>
              <w:t>否</w:t>
            </w:r>
          </w:p>
        </w:tc>
      </w:tr>
      <w:tr w14:paraId="43BE6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14:paraId="0ECB0A7A">
            <w:pPr>
              <w:spacing w:line="240" w:lineRule="exact"/>
              <w:rPr>
                <w:rFonts w:ascii="宋体" w:hAnsi="宋体" w:eastAsia="宋体" w:cs="宋体"/>
                <w:sz w:val="18"/>
                <w:szCs w:val="18"/>
              </w:rPr>
            </w:pPr>
            <w:r>
              <w:rPr>
                <w:rFonts w:ascii="宋体" w:hAnsi="宋体" w:eastAsia="宋体" w:cs="宋体"/>
                <w:sz w:val="18"/>
                <w:szCs w:val="18"/>
              </w:rPr>
              <w:t>华孚控股有限公司</w:t>
            </w:r>
          </w:p>
        </w:tc>
        <w:tc>
          <w:tcPr>
            <w:tcW w:w="1928" w:type="dxa"/>
            <w:tcBorders>
              <w:top w:val="single" w:color="auto" w:sz="2" w:space="0"/>
              <w:left w:val="single" w:color="auto" w:sz="2" w:space="0"/>
              <w:bottom w:val="single" w:color="auto" w:sz="2" w:space="0"/>
              <w:right w:val="single" w:color="auto" w:sz="2" w:space="0"/>
            </w:tcBorders>
            <w:vAlign w:val="center"/>
          </w:tcPr>
          <w:p w14:paraId="07127653">
            <w:pPr>
              <w:spacing w:line="240" w:lineRule="exact"/>
              <w:jc w:val="right"/>
              <w:rPr>
                <w:rFonts w:ascii="宋体" w:hAnsi="宋体" w:eastAsia="宋体" w:cs="宋体"/>
                <w:sz w:val="18"/>
                <w:szCs w:val="18"/>
              </w:rPr>
            </w:pPr>
            <w:r>
              <w:rPr>
                <w:rFonts w:ascii="宋体" w:hAnsi="宋体" w:eastAsia="宋体" w:cs="宋体"/>
                <w:sz w:val="18"/>
                <w:szCs w:val="18"/>
              </w:rPr>
              <w:t>30,000,000.00</w:t>
            </w:r>
          </w:p>
        </w:tc>
        <w:tc>
          <w:tcPr>
            <w:tcW w:w="1928" w:type="dxa"/>
            <w:tcBorders>
              <w:top w:val="single" w:color="auto" w:sz="2" w:space="0"/>
              <w:left w:val="single" w:color="auto" w:sz="2" w:space="0"/>
              <w:bottom w:val="single" w:color="auto" w:sz="2" w:space="0"/>
              <w:right w:val="single" w:color="auto" w:sz="2" w:space="0"/>
            </w:tcBorders>
            <w:vAlign w:val="center"/>
          </w:tcPr>
          <w:p w14:paraId="2001F289">
            <w:pPr>
              <w:spacing w:line="240" w:lineRule="exact"/>
              <w:rPr>
                <w:rFonts w:ascii="宋体" w:hAnsi="宋体" w:eastAsia="宋体" w:cs="宋体"/>
                <w:sz w:val="18"/>
                <w:szCs w:val="18"/>
              </w:rPr>
            </w:pPr>
            <w:r>
              <w:rPr>
                <w:rFonts w:ascii="宋体" w:hAnsi="宋体" w:eastAsia="宋体" w:cs="宋体"/>
                <w:sz w:val="18"/>
                <w:szCs w:val="18"/>
              </w:rPr>
              <w:t>2025年12月05日</w:t>
            </w:r>
          </w:p>
        </w:tc>
        <w:tc>
          <w:tcPr>
            <w:tcW w:w="1928" w:type="dxa"/>
            <w:tcBorders>
              <w:top w:val="single" w:color="auto" w:sz="2" w:space="0"/>
              <w:left w:val="single" w:color="auto" w:sz="2" w:space="0"/>
              <w:bottom w:val="single" w:color="auto" w:sz="2" w:space="0"/>
              <w:right w:val="single" w:color="auto" w:sz="2" w:space="0"/>
            </w:tcBorders>
            <w:vAlign w:val="center"/>
          </w:tcPr>
          <w:p w14:paraId="15C40423">
            <w:pPr>
              <w:spacing w:line="240" w:lineRule="exact"/>
              <w:rPr>
                <w:rFonts w:ascii="宋体" w:hAnsi="宋体" w:eastAsia="宋体" w:cs="宋体"/>
                <w:sz w:val="18"/>
                <w:szCs w:val="18"/>
              </w:rPr>
            </w:pPr>
            <w:r>
              <w:rPr>
                <w:rFonts w:ascii="宋体" w:hAnsi="宋体" w:eastAsia="宋体" w:cs="宋体"/>
                <w:sz w:val="18"/>
                <w:szCs w:val="18"/>
              </w:rPr>
              <w:t>2026年06月04日</w:t>
            </w:r>
          </w:p>
        </w:tc>
        <w:tc>
          <w:tcPr>
            <w:tcW w:w="1928" w:type="dxa"/>
            <w:tcBorders>
              <w:top w:val="single" w:color="auto" w:sz="2" w:space="0"/>
              <w:left w:val="single" w:color="auto" w:sz="2" w:space="0"/>
              <w:bottom w:val="single" w:color="auto" w:sz="2" w:space="0"/>
              <w:right w:val="single" w:color="auto" w:sz="2" w:space="0"/>
            </w:tcBorders>
            <w:vAlign w:val="center"/>
          </w:tcPr>
          <w:p w14:paraId="043A3133">
            <w:pPr>
              <w:spacing w:line="240" w:lineRule="exact"/>
              <w:rPr>
                <w:rFonts w:ascii="宋体" w:hAnsi="宋体" w:eastAsia="宋体" w:cs="宋体"/>
                <w:sz w:val="18"/>
                <w:szCs w:val="18"/>
              </w:rPr>
            </w:pPr>
            <w:r>
              <w:rPr>
                <w:rFonts w:ascii="宋体" w:hAnsi="宋体" w:eastAsia="宋体" w:cs="宋体"/>
                <w:sz w:val="18"/>
                <w:szCs w:val="18"/>
              </w:rPr>
              <w:t>否</w:t>
            </w:r>
          </w:p>
        </w:tc>
      </w:tr>
    </w:tbl>
    <w:p w14:paraId="19E77337">
      <w:pPr>
        <w:spacing w:before="100" w:after="100" w:line="240" w:lineRule="exact"/>
        <w:rPr>
          <w:rFonts w:ascii="宋体" w:hAnsi="宋体" w:eastAsia="宋体" w:cs="宋体"/>
          <w:sz w:val="18"/>
          <w:szCs w:val="18"/>
        </w:rPr>
      </w:pPr>
      <w:r>
        <w:rPr>
          <w:rFonts w:ascii="宋体" w:hAnsi="宋体" w:eastAsia="宋体" w:cs="宋体"/>
          <w:sz w:val="18"/>
          <w:szCs w:val="18"/>
        </w:rPr>
        <w:t>关联担保情况说明：无</w:t>
      </w:r>
    </w:p>
    <w:p w14:paraId="308E73BD">
      <w:pPr>
        <w:rPr>
          <w:sz w:val="18"/>
          <w:szCs w:val="18"/>
        </w:rPr>
      </w:pPr>
    </w:p>
    <w:p w14:paraId="6D55E8F4">
      <w:pPr>
        <w:keepNext/>
        <w:keepLines/>
        <w:spacing w:before="300" w:after="300" w:line="280" w:lineRule="exact"/>
        <w:outlineLvl w:val="3"/>
        <w:rPr>
          <w:rFonts w:ascii="宋体" w:hAnsi="宋体" w:eastAsia="宋体" w:cs="宋体"/>
          <w:b/>
          <w:bCs/>
          <w:szCs w:val="21"/>
        </w:rPr>
      </w:pPr>
      <w:bookmarkStart w:id="570" w:name="_Toc989425"/>
      <w:r>
        <w:rPr>
          <w:rFonts w:ascii="宋体" w:hAnsi="宋体" w:eastAsia="宋体" w:cs="宋体"/>
          <w:b/>
          <w:bCs/>
          <w:szCs w:val="21"/>
        </w:rPr>
        <w:t>（5） 关联方资金拆借</w:t>
      </w:r>
      <w:bookmarkEnd w:id="570"/>
    </w:p>
    <w:p w14:paraId="64D5475C">
      <w:pPr>
        <w:keepNext/>
        <w:keepLines/>
        <w:spacing w:before="300" w:after="300" w:line="280" w:lineRule="exact"/>
        <w:outlineLvl w:val="3"/>
        <w:rPr>
          <w:rFonts w:ascii="宋体" w:hAnsi="宋体" w:eastAsia="宋体" w:cs="宋体"/>
          <w:b/>
          <w:bCs/>
          <w:szCs w:val="21"/>
        </w:rPr>
      </w:pPr>
      <w:bookmarkStart w:id="571" w:name="_Toc989426"/>
      <w:r>
        <w:rPr>
          <w:rFonts w:ascii="宋体" w:hAnsi="宋体" w:eastAsia="宋体" w:cs="宋体"/>
          <w:b/>
          <w:bCs/>
          <w:szCs w:val="21"/>
        </w:rPr>
        <w:t>（6） 关联方资产转让、债务重组情况</w:t>
      </w:r>
      <w:bookmarkEnd w:id="571"/>
    </w:p>
    <w:p w14:paraId="0277BF0E">
      <w:pPr>
        <w:keepNext/>
        <w:keepLines/>
        <w:spacing w:before="300" w:after="300" w:line="280" w:lineRule="exact"/>
        <w:outlineLvl w:val="3"/>
        <w:rPr>
          <w:rFonts w:ascii="宋体" w:hAnsi="宋体" w:eastAsia="宋体" w:cs="宋体"/>
          <w:b/>
          <w:bCs/>
          <w:szCs w:val="21"/>
        </w:rPr>
      </w:pPr>
      <w:bookmarkStart w:id="572" w:name="_Toc989427"/>
      <w:r>
        <w:rPr>
          <w:rFonts w:ascii="宋体" w:hAnsi="宋体" w:eastAsia="宋体" w:cs="宋体"/>
          <w:b/>
          <w:bCs/>
          <w:szCs w:val="21"/>
        </w:rPr>
        <w:t>（7） 关键管理人员报酬</w:t>
      </w:r>
      <w:bookmarkEnd w:id="572"/>
    </w:p>
    <w:p w14:paraId="7A87DF86">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762A0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D0A31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C1D8C4">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66B2DC3">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65B61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523D16F">
            <w:pPr>
              <w:spacing w:line="240" w:lineRule="exact"/>
              <w:rPr>
                <w:rFonts w:ascii="宋体" w:hAnsi="宋体" w:eastAsia="宋体" w:cs="宋体"/>
                <w:sz w:val="18"/>
                <w:szCs w:val="18"/>
              </w:rPr>
            </w:pPr>
            <w:r>
              <w:rPr>
                <w:rFonts w:ascii="宋体" w:hAnsi="宋体" w:eastAsia="宋体" w:cs="宋体"/>
                <w:sz w:val="18"/>
                <w:szCs w:val="18"/>
              </w:rPr>
              <w:t>关键管理人员薪酬</w:t>
            </w:r>
          </w:p>
        </w:tc>
        <w:tc>
          <w:tcPr>
            <w:tcW w:w="3213" w:type="dxa"/>
            <w:tcBorders>
              <w:top w:val="single" w:color="auto" w:sz="2" w:space="0"/>
              <w:left w:val="single" w:color="auto" w:sz="2" w:space="0"/>
              <w:bottom w:val="single" w:color="auto" w:sz="2" w:space="0"/>
              <w:right w:val="single" w:color="auto" w:sz="2" w:space="0"/>
            </w:tcBorders>
            <w:vAlign w:val="center"/>
          </w:tcPr>
          <w:p w14:paraId="1DEE2468">
            <w:pPr>
              <w:spacing w:line="240" w:lineRule="exact"/>
              <w:jc w:val="right"/>
              <w:rPr>
                <w:rFonts w:ascii="宋体" w:hAnsi="宋体" w:eastAsia="宋体" w:cs="宋体"/>
                <w:sz w:val="18"/>
                <w:szCs w:val="18"/>
              </w:rPr>
            </w:pPr>
            <w:r>
              <w:rPr>
                <w:rFonts w:ascii="宋体" w:hAnsi="宋体" w:eastAsia="宋体" w:cs="宋体"/>
                <w:sz w:val="18"/>
                <w:szCs w:val="18"/>
              </w:rPr>
              <w:t>10,748,500.00</w:t>
            </w:r>
          </w:p>
        </w:tc>
        <w:tc>
          <w:tcPr>
            <w:tcW w:w="3213" w:type="dxa"/>
            <w:tcBorders>
              <w:top w:val="single" w:color="auto" w:sz="2" w:space="0"/>
              <w:left w:val="single" w:color="auto" w:sz="2" w:space="0"/>
              <w:bottom w:val="single" w:color="auto" w:sz="2" w:space="0"/>
              <w:right w:val="single" w:color="auto" w:sz="2" w:space="0"/>
            </w:tcBorders>
            <w:vAlign w:val="center"/>
          </w:tcPr>
          <w:p w14:paraId="3D46E651">
            <w:pPr>
              <w:spacing w:line="240" w:lineRule="exact"/>
              <w:jc w:val="right"/>
              <w:rPr>
                <w:rFonts w:ascii="宋体" w:hAnsi="宋体" w:eastAsia="宋体" w:cs="宋体"/>
                <w:sz w:val="18"/>
                <w:szCs w:val="18"/>
              </w:rPr>
            </w:pPr>
            <w:r>
              <w:rPr>
                <w:rFonts w:ascii="宋体" w:hAnsi="宋体" w:eastAsia="宋体" w:cs="宋体"/>
                <w:sz w:val="18"/>
                <w:szCs w:val="18"/>
              </w:rPr>
              <w:t>9,516,700.00</w:t>
            </w:r>
          </w:p>
        </w:tc>
      </w:tr>
    </w:tbl>
    <w:p w14:paraId="0A193EF5">
      <w:pPr>
        <w:keepNext/>
        <w:keepLines/>
        <w:spacing w:before="300" w:after="300" w:line="280" w:lineRule="exact"/>
        <w:outlineLvl w:val="3"/>
        <w:rPr>
          <w:rFonts w:ascii="宋体" w:hAnsi="宋体" w:eastAsia="宋体" w:cs="宋体"/>
          <w:b/>
          <w:bCs/>
          <w:szCs w:val="21"/>
        </w:rPr>
      </w:pPr>
      <w:bookmarkStart w:id="573" w:name="_Toc989428"/>
      <w:r>
        <w:rPr>
          <w:rFonts w:ascii="宋体" w:hAnsi="宋体" w:eastAsia="宋体" w:cs="宋体"/>
          <w:b/>
          <w:bCs/>
          <w:szCs w:val="21"/>
        </w:rPr>
        <w:t>（8） 其他关联交易</w:t>
      </w:r>
      <w:bookmarkEnd w:id="573"/>
    </w:p>
    <w:p w14:paraId="0638CD45">
      <w:pPr>
        <w:pStyle w:val="3"/>
        <w:spacing w:line="280" w:lineRule="exact"/>
        <w:jc w:val="left"/>
        <w:rPr>
          <w:rFonts w:ascii="宋体" w:hAnsi="宋体" w:cs="宋体"/>
          <w:b/>
          <w:bCs/>
        </w:rPr>
      </w:pPr>
      <w:bookmarkStart w:id="574" w:name="_Toc989429"/>
      <w:r>
        <w:rPr>
          <w:rFonts w:ascii="宋体" w:hAnsi="宋体" w:cs="宋体"/>
          <w:b/>
          <w:bCs/>
        </w:rPr>
        <w:t>6、关联方应收应付款项</w:t>
      </w:r>
      <w:bookmarkEnd w:id="574"/>
    </w:p>
    <w:p w14:paraId="64789BA7">
      <w:pPr>
        <w:keepNext/>
        <w:keepLines/>
        <w:spacing w:before="300" w:after="300" w:line="280" w:lineRule="exact"/>
        <w:outlineLvl w:val="3"/>
        <w:rPr>
          <w:rFonts w:ascii="宋体" w:hAnsi="宋体" w:eastAsia="宋体" w:cs="宋体"/>
          <w:b/>
          <w:bCs/>
          <w:szCs w:val="21"/>
        </w:rPr>
      </w:pPr>
      <w:bookmarkStart w:id="575" w:name="_Toc989430"/>
      <w:r>
        <w:rPr>
          <w:rFonts w:ascii="宋体" w:hAnsi="宋体" w:eastAsia="宋体" w:cs="宋体"/>
          <w:b/>
          <w:bCs/>
          <w:szCs w:val="21"/>
        </w:rPr>
        <w:t>（1） 应收项目</w:t>
      </w:r>
      <w:bookmarkEnd w:id="575"/>
    </w:p>
    <w:p w14:paraId="2716483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7"/>
        <w:gridCol w:w="1606"/>
        <w:gridCol w:w="1606"/>
        <w:gridCol w:w="1607"/>
        <w:gridCol w:w="1606"/>
        <w:gridCol w:w="1607"/>
      </w:tblGrid>
      <w:tr w14:paraId="3A744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515F816">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A381FA6">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943F130">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D25887A">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82F8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5EECCD1"/>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F26AB63"/>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71EDEE6">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A1FE5F8">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23C0222D">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5CD7A07A">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r>
      <w:tr w14:paraId="734E2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BCE7FC9">
            <w:pPr>
              <w:spacing w:line="240" w:lineRule="exact"/>
              <w:rPr>
                <w:rFonts w:ascii="宋体" w:hAnsi="宋体" w:eastAsia="宋体" w:cs="宋体"/>
                <w:sz w:val="18"/>
                <w:szCs w:val="18"/>
              </w:rPr>
            </w:pPr>
            <w:r>
              <w:rPr>
                <w:rFonts w:ascii="宋体" w:hAnsi="宋体" w:eastAsia="宋体" w:cs="宋体"/>
                <w:sz w:val="18"/>
                <w:szCs w:val="18"/>
              </w:rPr>
              <w:t> 应收票据</w:t>
            </w:r>
          </w:p>
        </w:tc>
        <w:tc>
          <w:tcPr>
            <w:tcW w:w="1606" w:type="dxa"/>
            <w:tcBorders>
              <w:top w:val="single" w:color="auto" w:sz="2" w:space="0"/>
              <w:left w:val="single" w:color="auto" w:sz="2" w:space="0"/>
              <w:bottom w:val="single" w:color="auto" w:sz="2" w:space="0"/>
              <w:right w:val="single" w:color="auto" w:sz="2" w:space="0"/>
            </w:tcBorders>
            <w:vAlign w:val="center"/>
          </w:tcPr>
          <w:p w14:paraId="57617F17">
            <w:pPr>
              <w:spacing w:line="240" w:lineRule="exact"/>
              <w:rPr>
                <w:rFonts w:ascii="宋体" w:hAnsi="宋体" w:eastAsia="宋体" w:cs="宋体"/>
                <w:sz w:val="18"/>
                <w:szCs w:val="18"/>
              </w:rPr>
            </w:pPr>
            <w:r>
              <w:rPr>
                <w:rFonts w:ascii="宋体" w:hAnsi="宋体" w:eastAsia="宋体" w:cs="宋体"/>
                <w:sz w:val="18"/>
                <w:szCs w:val="18"/>
              </w:rPr>
              <w:t> 浙江华尚产业运营有限公司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485594C4">
            <w:pPr>
              <w:spacing w:line="240" w:lineRule="exact"/>
              <w:jc w:val="right"/>
              <w:rPr>
                <w:rFonts w:ascii="宋体" w:hAnsi="宋体" w:eastAsia="宋体" w:cs="宋体"/>
                <w:sz w:val="18"/>
                <w:szCs w:val="18"/>
              </w:rPr>
            </w:pPr>
            <w:r>
              <w:rPr>
                <w:rFonts w:ascii="宋体" w:hAnsi="宋体" w:eastAsia="宋体" w:cs="宋体"/>
                <w:sz w:val="18"/>
                <w:szCs w:val="18"/>
              </w:rPr>
              <w:t>720,753.45</w:t>
            </w:r>
          </w:p>
        </w:tc>
        <w:tc>
          <w:tcPr>
            <w:tcW w:w="1606" w:type="dxa"/>
            <w:tcBorders>
              <w:top w:val="single" w:color="auto" w:sz="2" w:space="0"/>
              <w:left w:val="single" w:color="auto" w:sz="2" w:space="0"/>
              <w:bottom w:val="single" w:color="auto" w:sz="2" w:space="0"/>
              <w:right w:val="single" w:color="auto" w:sz="2" w:space="0"/>
            </w:tcBorders>
            <w:vAlign w:val="center"/>
          </w:tcPr>
          <w:p w14:paraId="481422CA">
            <w:pPr>
              <w:spacing w:line="240" w:lineRule="exact"/>
              <w:jc w:val="right"/>
              <w:rPr>
                <w:rFonts w:ascii="宋体" w:hAnsi="宋体" w:eastAsia="宋体" w:cs="宋体"/>
                <w:sz w:val="18"/>
                <w:szCs w:val="18"/>
              </w:rPr>
            </w:pPr>
            <w:r>
              <w:rPr>
                <w:rFonts w:ascii="宋体" w:hAnsi="宋体"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14:paraId="6C549585">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2758E7D">
            <w:pPr>
              <w:spacing w:line="240" w:lineRule="exact"/>
              <w:jc w:val="right"/>
              <w:rPr>
                <w:rFonts w:ascii="宋体" w:hAnsi="宋体" w:eastAsia="宋体" w:cs="宋体"/>
                <w:sz w:val="18"/>
                <w:szCs w:val="18"/>
              </w:rPr>
            </w:pPr>
          </w:p>
        </w:tc>
      </w:tr>
      <w:tr w14:paraId="67D6E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D67927F">
            <w:pPr>
              <w:spacing w:line="240" w:lineRule="exact"/>
              <w:rPr>
                <w:rFonts w:ascii="宋体" w:hAnsi="宋体" w:eastAsia="宋体" w:cs="宋体"/>
                <w:sz w:val="18"/>
                <w:szCs w:val="18"/>
              </w:rPr>
            </w:pPr>
            <w:r>
              <w:rPr>
                <w:rFonts w:ascii="宋体" w:hAnsi="宋体"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14:paraId="559C0799">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D97C17F">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CE05527">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BF37A74">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5C189A7">
            <w:pPr>
              <w:spacing w:line="240" w:lineRule="exact"/>
              <w:jc w:val="right"/>
              <w:rPr>
                <w:rFonts w:ascii="宋体" w:hAnsi="宋体" w:eastAsia="宋体" w:cs="宋体"/>
                <w:sz w:val="18"/>
                <w:szCs w:val="18"/>
              </w:rPr>
            </w:pPr>
          </w:p>
        </w:tc>
      </w:tr>
      <w:tr w14:paraId="4444E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9941B8B">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CC6B6B7">
            <w:pPr>
              <w:spacing w:line="240" w:lineRule="exact"/>
              <w:rPr>
                <w:rFonts w:ascii="宋体" w:hAnsi="宋体" w:eastAsia="宋体" w:cs="宋体"/>
                <w:sz w:val="18"/>
                <w:szCs w:val="18"/>
              </w:rPr>
            </w:pPr>
            <w:r>
              <w:rPr>
                <w:rFonts w:ascii="宋体" w:hAnsi="宋体" w:eastAsia="宋体" w:cs="宋体"/>
                <w:sz w:val="18"/>
                <w:szCs w:val="18"/>
              </w:rPr>
              <w:t>浙江华尚产业运营有限公司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2CBBBADE">
            <w:pPr>
              <w:spacing w:line="240" w:lineRule="exact"/>
              <w:jc w:val="right"/>
              <w:rPr>
                <w:rFonts w:ascii="宋体" w:hAnsi="宋体" w:eastAsia="宋体" w:cs="宋体"/>
                <w:sz w:val="18"/>
                <w:szCs w:val="18"/>
              </w:rPr>
            </w:pPr>
            <w:r>
              <w:rPr>
                <w:rFonts w:ascii="宋体" w:hAnsi="宋体" w:eastAsia="宋体" w:cs="宋体"/>
                <w:sz w:val="18"/>
                <w:szCs w:val="18"/>
              </w:rPr>
              <w:t>8,996,870.53</w:t>
            </w:r>
          </w:p>
        </w:tc>
        <w:tc>
          <w:tcPr>
            <w:tcW w:w="1606" w:type="dxa"/>
            <w:tcBorders>
              <w:top w:val="single" w:color="auto" w:sz="2" w:space="0"/>
              <w:left w:val="single" w:color="auto" w:sz="2" w:space="0"/>
              <w:bottom w:val="single" w:color="auto" w:sz="2" w:space="0"/>
              <w:right w:val="single" w:color="auto" w:sz="2" w:space="0"/>
            </w:tcBorders>
            <w:vAlign w:val="center"/>
          </w:tcPr>
          <w:p w14:paraId="706C53E0">
            <w:pPr>
              <w:spacing w:line="240" w:lineRule="exact"/>
              <w:jc w:val="right"/>
              <w:rPr>
                <w:rFonts w:ascii="宋体" w:hAnsi="宋体" w:eastAsia="宋体" w:cs="宋体"/>
                <w:sz w:val="18"/>
                <w:szCs w:val="18"/>
              </w:rPr>
            </w:pPr>
            <w:r>
              <w:rPr>
                <w:rFonts w:ascii="宋体" w:hAnsi="宋体" w:eastAsia="宋体" w:cs="宋体"/>
                <w:sz w:val="18"/>
                <w:szCs w:val="18"/>
              </w:rPr>
              <w:t>449,843.53</w:t>
            </w:r>
          </w:p>
        </w:tc>
        <w:tc>
          <w:tcPr>
            <w:tcW w:w="1606" w:type="dxa"/>
            <w:tcBorders>
              <w:top w:val="single" w:color="auto" w:sz="2" w:space="0"/>
              <w:left w:val="single" w:color="auto" w:sz="2" w:space="0"/>
              <w:bottom w:val="single" w:color="auto" w:sz="2" w:space="0"/>
              <w:right w:val="single" w:color="auto" w:sz="2" w:space="0"/>
            </w:tcBorders>
            <w:vAlign w:val="center"/>
          </w:tcPr>
          <w:p w14:paraId="2AE718FD">
            <w:pPr>
              <w:spacing w:line="240" w:lineRule="exact"/>
              <w:jc w:val="right"/>
              <w:rPr>
                <w:rFonts w:ascii="宋体" w:hAnsi="宋体" w:eastAsia="宋体" w:cs="宋体"/>
                <w:sz w:val="18"/>
                <w:szCs w:val="18"/>
              </w:rPr>
            </w:pPr>
            <w:r>
              <w:rPr>
                <w:rFonts w:ascii="宋体" w:hAnsi="宋体" w:eastAsia="宋体" w:cs="宋体"/>
                <w:sz w:val="18"/>
                <w:szCs w:val="18"/>
              </w:rPr>
              <w:t>3,515,475.11</w:t>
            </w:r>
          </w:p>
        </w:tc>
        <w:tc>
          <w:tcPr>
            <w:tcW w:w="1606" w:type="dxa"/>
            <w:tcBorders>
              <w:top w:val="single" w:color="auto" w:sz="2" w:space="0"/>
              <w:left w:val="single" w:color="auto" w:sz="2" w:space="0"/>
              <w:bottom w:val="single" w:color="auto" w:sz="2" w:space="0"/>
              <w:right w:val="single" w:color="auto" w:sz="2" w:space="0"/>
            </w:tcBorders>
            <w:vAlign w:val="center"/>
          </w:tcPr>
          <w:p w14:paraId="25A0C1AA">
            <w:pPr>
              <w:spacing w:line="240" w:lineRule="exact"/>
              <w:jc w:val="right"/>
              <w:rPr>
                <w:rFonts w:ascii="宋体" w:hAnsi="宋体" w:eastAsia="宋体" w:cs="宋体"/>
                <w:sz w:val="18"/>
                <w:szCs w:val="18"/>
              </w:rPr>
            </w:pPr>
            <w:r>
              <w:rPr>
                <w:rFonts w:ascii="宋体" w:hAnsi="宋体" w:eastAsia="宋体" w:cs="宋体"/>
                <w:sz w:val="18"/>
                <w:szCs w:val="18"/>
              </w:rPr>
              <w:t>175,773.76</w:t>
            </w:r>
          </w:p>
        </w:tc>
      </w:tr>
      <w:tr w14:paraId="34128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4B3907B">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7F6805F">
            <w:pPr>
              <w:spacing w:line="240" w:lineRule="exact"/>
              <w:rPr>
                <w:rFonts w:ascii="宋体" w:hAnsi="宋体" w:eastAsia="宋体" w:cs="宋体"/>
                <w:sz w:val="18"/>
                <w:szCs w:val="18"/>
              </w:rPr>
            </w:pPr>
            <w:r>
              <w:rPr>
                <w:rFonts w:ascii="宋体" w:hAnsi="宋体" w:eastAsia="宋体" w:cs="宋体"/>
                <w:sz w:val="18"/>
                <w:szCs w:val="18"/>
              </w:rPr>
              <w:t>绍兴领尚纺织科技有限公司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2B1255F0">
            <w:pPr>
              <w:spacing w:line="240" w:lineRule="exact"/>
              <w:jc w:val="right"/>
              <w:rPr>
                <w:rFonts w:ascii="宋体" w:hAnsi="宋体" w:eastAsia="宋体" w:cs="宋体"/>
                <w:sz w:val="18"/>
                <w:szCs w:val="18"/>
              </w:rPr>
            </w:pPr>
            <w:r>
              <w:rPr>
                <w:rFonts w:ascii="宋体" w:hAnsi="宋体" w:eastAsia="宋体" w:cs="宋体"/>
                <w:sz w:val="18"/>
                <w:szCs w:val="18"/>
              </w:rPr>
              <w:t>869,826.48</w:t>
            </w:r>
          </w:p>
        </w:tc>
        <w:tc>
          <w:tcPr>
            <w:tcW w:w="1606" w:type="dxa"/>
            <w:tcBorders>
              <w:top w:val="single" w:color="auto" w:sz="2" w:space="0"/>
              <w:left w:val="single" w:color="auto" w:sz="2" w:space="0"/>
              <w:bottom w:val="single" w:color="auto" w:sz="2" w:space="0"/>
              <w:right w:val="single" w:color="auto" w:sz="2" w:space="0"/>
            </w:tcBorders>
            <w:vAlign w:val="center"/>
          </w:tcPr>
          <w:p w14:paraId="2CFE6F25">
            <w:pPr>
              <w:spacing w:line="240" w:lineRule="exact"/>
              <w:jc w:val="right"/>
              <w:rPr>
                <w:rFonts w:ascii="宋体" w:hAnsi="宋体" w:eastAsia="宋体" w:cs="宋体"/>
                <w:sz w:val="18"/>
                <w:szCs w:val="18"/>
              </w:rPr>
            </w:pPr>
            <w:r>
              <w:rPr>
                <w:rFonts w:ascii="宋体" w:hAnsi="宋体" w:eastAsia="宋体" w:cs="宋体"/>
                <w:sz w:val="18"/>
                <w:szCs w:val="18"/>
              </w:rPr>
              <w:t>43,491.32</w:t>
            </w:r>
          </w:p>
        </w:tc>
        <w:tc>
          <w:tcPr>
            <w:tcW w:w="1606" w:type="dxa"/>
            <w:tcBorders>
              <w:top w:val="single" w:color="auto" w:sz="2" w:space="0"/>
              <w:left w:val="single" w:color="auto" w:sz="2" w:space="0"/>
              <w:bottom w:val="single" w:color="auto" w:sz="2" w:space="0"/>
              <w:right w:val="single" w:color="auto" w:sz="2" w:space="0"/>
            </w:tcBorders>
            <w:vAlign w:val="center"/>
          </w:tcPr>
          <w:p w14:paraId="1A64C2D2">
            <w:pPr>
              <w:spacing w:line="240" w:lineRule="exact"/>
              <w:jc w:val="right"/>
              <w:rPr>
                <w:rFonts w:ascii="宋体" w:hAnsi="宋体" w:eastAsia="宋体" w:cs="宋体"/>
                <w:sz w:val="18"/>
                <w:szCs w:val="18"/>
              </w:rPr>
            </w:pPr>
            <w:r>
              <w:rPr>
                <w:rFonts w:ascii="宋体" w:hAnsi="宋体" w:eastAsia="宋体" w:cs="宋体"/>
                <w:sz w:val="18"/>
                <w:szCs w:val="18"/>
              </w:rPr>
              <w:t>1,007,889.40</w:t>
            </w:r>
          </w:p>
        </w:tc>
        <w:tc>
          <w:tcPr>
            <w:tcW w:w="1606" w:type="dxa"/>
            <w:tcBorders>
              <w:top w:val="single" w:color="auto" w:sz="2" w:space="0"/>
              <w:left w:val="single" w:color="auto" w:sz="2" w:space="0"/>
              <w:bottom w:val="single" w:color="auto" w:sz="2" w:space="0"/>
              <w:right w:val="single" w:color="auto" w:sz="2" w:space="0"/>
            </w:tcBorders>
            <w:vAlign w:val="center"/>
          </w:tcPr>
          <w:p w14:paraId="7F171D90">
            <w:pPr>
              <w:spacing w:line="240" w:lineRule="exact"/>
              <w:jc w:val="right"/>
              <w:rPr>
                <w:rFonts w:ascii="宋体" w:hAnsi="宋体" w:eastAsia="宋体" w:cs="宋体"/>
                <w:sz w:val="18"/>
                <w:szCs w:val="18"/>
              </w:rPr>
            </w:pPr>
            <w:r>
              <w:rPr>
                <w:rFonts w:ascii="宋体" w:hAnsi="宋体" w:eastAsia="宋体" w:cs="宋体"/>
                <w:sz w:val="18"/>
                <w:szCs w:val="18"/>
              </w:rPr>
              <w:t>50,394.47</w:t>
            </w:r>
          </w:p>
        </w:tc>
      </w:tr>
      <w:tr w14:paraId="7491A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6CDE73B">
            <w:pPr>
              <w:spacing w:line="240" w:lineRule="exact"/>
              <w:rPr>
                <w:rFonts w:ascii="宋体" w:hAnsi="宋体" w:eastAsia="宋体" w:cs="宋体"/>
                <w:sz w:val="18"/>
                <w:szCs w:val="18"/>
              </w:rPr>
            </w:pPr>
            <w:r>
              <w:rPr>
                <w:rFonts w:ascii="宋体" w:hAnsi="宋体" w:eastAsia="宋体" w:cs="宋体"/>
                <w:sz w:val="18"/>
                <w:szCs w:val="18"/>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14:paraId="57678A08">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F7F41A8">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A772664">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B1B8610">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F840413">
            <w:pPr>
              <w:spacing w:line="240" w:lineRule="exact"/>
              <w:jc w:val="right"/>
              <w:rPr>
                <w:rFonts w:ascii="宋体" w:hAnsi="宋体" w:eastAsia="宋体" w:cs="宋体"/>
                <w:sz w:val="18"/>
                <w:szCs w:val="18"/>
              </w:rPr>
            </w:pPr>
          </w:p>
        </w:tc>
      </w:tr>
      <w:tr w14:paraId="67AFA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DEEA051">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1843BA06">
            <w:pPr>
              <w:spacing w:line="240" w:lineRule="exact"/>
              <w:rPr>
                <w:rFonts w:ascii="宋体" w:hAnsi="宋体" w:eastAsia="宋体" w:cs="宋体"/>
                <w:sz w:val="18"/>
                <w:szCs w:val="18"/>
              </w:rPr>
            </w:pPr>
            <w:r>
              <w:rPr>
                <w:rFonts w:ascii="宋体" w:hAnsi="宋体" w:eastAsia="宋体" w:cs="宋体"/>
                <w:sz w:val="18"/>
                <w:szCs w:val="18"/>
              </w:rPr>
              <w:t>江阴市传澄电子商务有限公司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27B02EBA">
            <w:pPr>
              <w:spacing w:line="240" w:lineRule="exact"/>
              <w:jc w:val="right"/>
              <w:rPr>
                <w:rFonts w:ascii="宋体" w:hAnsi="宋体" w:eastAsia="宋体" w:cs="宋体"/>
                <w:sz w:val="18"/>
                <w:szCs w:val="18"/>
              </w:rPr>
            </w:pPr>
            <w:r>
              <w:rPr>
                <w:rFonts w:ascii="宋体" w:hAnsi="宋体" w:eastAsia="宋体" w:cs="宋体"/>
                <w:sz w:val="18"/>
                <w:szCs w:val="18"/>
              </w:rPr>
              <w:t>10,068,674.97</w:t>
            </w:r>
          </w:p>
        </w:tc>
        <w:tc>
          <w:tcPr>
            <w:tcW w:w="1606" w:type="dxa"/>
            <w:tcBorders>
              <w:top w:val="single" w:color="auto" w:sz="2" w:space="0"/>
              <w:left w:val="single" w:color="auto" w:sz="2" w:space="0"/>
              <w:bottom w:val="single" w:color="auto" w:sz="2" w:space="0"/>
              <w:right w:val="single" w:color="auto" w:sz="2" w:space="0"/>
            </w:tcBorders>
            <w:vAlign w:val="center"/>
          </w:tcPr>
          <w:p w14:paraId="36975463">
            <w:pPr>
              <w:spacing w:line="240" w:lineRule="exact"/>
              <w:jc w:val="right"/>
              <w:rPr>
                <w:rFonts w:ascii="宋体" w:hAnsi="宋体" w:eastAsia="宋体" w:cs="宋体"/>
                <w:sz w:val="18"/>
                <w:szCs w:val="18"/>
              </w:rPr>
            </w:pPr>
            <w:r>
              <w:rPr>
                <w:rFonts w:ascii="宋体" w:hAnsi="宋体" w:eastAsia="宋体" w:cs="宋体"/>
                <w:sz w:val="18"/>
                <w:szCs w:val="18"/>
              </w:rPr>
              <w:t>10,068,674.97</w:t>
            </w:r>
          </w:p>
        </w:tc>
        <w:tc>
          <w:tcPr>
            <w:tcW w:w="1606" w:type="dxa"/>
            <w:tcBorders>
              <w:top w:val="single" w:color="auto" w:sz="2" w:space="0"/>
              <w:left w:val="single" w:color="auto" w:sz="2" w:space="0"/>
              <w:bottom w:val="single" w:color="auto" w:sz="2" w:space="0"/>
              <w:right w:val="single" w:color="auto" w:sz="2" w:space="0"/>
            </w:tcBorders>
            <w:vAlign w:val="center"/>
          </w:tcPr>
          <w:p w14:paraId="43B48278">
            <w:pPr>
              <w:spacing w:line="240" w:lineRule="exact"/>
              <w:jc w:val="right"/>
              <w:rPr>
                <w:rFonts w:ascii="宋体" w:hAnsi="宋体" w:eastAsia="宋体" w:cs="宋体"/>
                <w:sz w:val="18"/>
                <w:szCs w:val="18"/>
              </w:rPr>
            </w:pPr>
            <w:r>
              <w:rPr>
                <w:rFonts w:ascii="宋体" w:hAnsi="宋体" w:eastAsia="宋体" w:cs="宋体"/>
                <w:sz w:val="18"/>
                <w:szCs w:val="18"/>
              </w:rPr>
              <w:t>10,068,674.97</w:t>
            </w:r>
          </w:p>
        </w:tc>
        <w:tc>
          <w:tcPr>
            <w:tcW w:w="1606" w:type="dxa"/>
            <w:tcBorders>
              <w:top w:val="single" w:color="auto" w:sz="2" w:space="0"/>
              <w:left w:val="single" w:color="auto" w:sz="2" w:space="0"/>
              <w:bottom w:val="single" w:color="auto" w:sz="2" w:space="0"/>
              <w:right w:val="single" w:color="auto" w:sz="2" w:space="0"/>
            </w:tcBorders>
            <w:vAlign w:val="center"/>
          </w:tcPr>
          <w:p w14:paraId="15916F28">
            <w:pPr>
              <w:spacing w:line="240" w:lineRule="exact"/>
              <w:jc w:val="right"/>
              <w:rPr>
                <w:rFonts w:ascii="宋体" w:hAnsi="宋体" w:eastAsia="宋体" w:cs="宋体"/>
                <w:sz w:val="18"/>
                <w:szCs w:val="18"/>
              </w:rPr>
            </w:pPr>
            <w:r>
              <w:rPr>
                <w:rFonts w:ascii="宋体" w:hAnsi="宋体" w:eastAsia="宋体" w:cs="宋体"/>
                <w:sz w:val="18"/>
                <w:szCs w:val="18"/>
              </w:rPr>
              <w:t>4,700,317.49</w:t>
            </w:r>
          </w:p>
        </w:tc>
      </w:tr>
      <w:tr w14:paraId="04344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709FA4D">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9DCFF0B">
            <w:pPr>
              <w:spacing w:line="240" w:lineRule="exact"/>
              <w:rPr>
                <w:rFonts w:ascii="宋体" w:hAnsi="宋体" w:eastAsia="宋体" w:cs="宋体"/>
                <w:sz w:val="18"/>
                <w:szCs w:val="18"/>
              </w:rPr>
            </w:pPr>
            <w:r>
              <w:rPr>
                <w:rFonts w:ascii="宋体" w:hAnsi="宋体" w:eastAsia="宋体" w:cs="宋体"/>
                <w:sz w:val="18"/>
                <w:szCs w:val="18"/>
              </w:rPr>
              <w:t>江苏传澄文化传播有限公司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3A121B67">
            <w:pPr>
              <w:spacing w:line="240" w:lineRule="exact"/>
              <w:jc w:val="right"/>
              <w:rPr>
                <w:rFonts w:ascii="宋体" w:hAnsi="宋体" w:eastAsia="宋体" w:cs="宋体"/>
                <w:sz w:val="18"/>
                <w:szCs w:val="18"/>
              </w:rPr>
            </w:pPr>
            <w:r>
              <w:rPr>
                <w:rFonts w:ascii="宋体" w:hAnsi="宋体" w:eastAsia="宋体" w:cs="宋体"/>
                <w:sz w:val="18"/>
                <w:szCs w:val="18"/>
              </w:rPr>
              <w:t>11,846,111.10</w:t>
            </w:r>
          </w:p>
        </w:tc>
        <w:tc>
          <w:tcPr>
            <w:tcW w:w="1606" w:type="dxa"/>
            <w:tcBorders>
              <w:top w:val="single" w:color="auto" w:sz="2" w:space="0"/>
              <w:left w:val="single" w:color="auto" w:sz="2" w:space="0"/>
              <w:bottom w:val="single" w:color="auto" w:sz="2" w:space="0"/>
              <w:right w:val="single" w:color="auto" w:sz="2" w:space="0"/>
            </w:tcBorders>
            <w:vAlign w:val="center"/>
          </w:tcPr>
          <w:p w14:paraId="6B0FECA5">
            <w:pPr>
              <w:spacing w:line="240" w:lineRule="exact"/>
              <w:jc w:val="right"/>
              <w:rPr>
                <w:rFonts w:ascii="宋体" w:hAnsi="宋体" w:eastAsia="宋体" w:cs="宋体"/>
                <w:sz w:val="18"/>
                <w:szCs w:val="18"/>
              </w:rPr>
            </w:pPr>
            <w:r>
              <w:rPr>
                <w:rFonts w:ascii="宋体" w:hAnsi="宋体" w:eastAsia="宋体" w:cs="宋体"/>
                <w:sz w:val="18"/>
                <w:szCs w:val="18"/>
              </w:rPr>
              <w:t>11,846,111.10</w:t>
            </w:r>
          </w:p>
        </w:tc>
        <w:tc>
          <w:tcPr>
            <w:tcW w:w="1606" w:type="dxa"/>
            <w:tcBorders>
              <w:top w:val="single" w:color="auto" w:sz="2" w:space="0"/>
              <w:left w:val="single" w:color="auto" w:sz="2" w:space="0"/>
              <w:bottom w:val="single" w:color="auto" w:sz="2" w:space="0"/>
              <w:right w:val="single" w:color="auto" w:sz="2" w:space="0"/>
            </w:tcBorders>
            <w:vAlign w:val="center"/>
          </w:tcPr>
          <w:p w14:paraId="0F9E24AB">
            <w:pPr>
              <w:spacing w:line="240" w:lineRule="exact"/>
              <w:jc w:val="right"/>
              <w:rPr>
                <w:rFonts w:ascii="宋体" w:hAnsi="宋体" w:eastAsia="宋体" w:cs="宋体"/>
                <w:sz w:val="18"/>
                <w:szCs w:val="18"/>
              </w:rPr>
            </w:pPr>
            <w:r>
              <w:rPr>
                <w:rFonts w:ascii="宋体" w:hAnsi="宋体" w:eastAsia="宋体" w:cs="宋体"/>
                <w:sz w:val="18"/>
                <w:szCs w:val="18"/>
              </w:rPr>
              <w:t>11,846,111.10</w:t>
            </w:r>
          </w:p>
        </w:tc>
        <w:tc>
          <w:tcPr>
            <w:tcW w:w="1606" w:type="dxa"/>
            <w:tcBorders>
              <w:top w:val="single" w:color="auto" w:sz="2" w:space="0"/>
              <w:left w:val="single" w:color="auto" w:sz="2" w:space="0"/>
              <w:bottom w:val="single" w:color="auto" w:sz="2" w:space="0"/>
              <w:right w:val="single" w:color="auto" w:sz="2" w:space="0"/>
            </w:tcBorders>
            <w:vAlign w:val="center"/>
          </w:tcPr>
          <w:p w14:paraId="4CAE0933">
            <w:pPr>
              <w:spacing w:line="240" w:lineRule="exact"/>
              <w:jc w:val="right"/>
              <w:rPr>
                <w:rFonts w:ascii="宋体" w:hAnsi="宋体" w:eastAsia="宋体" w:cs="宋体"/>
                <w:sz w:val="18"/>
                <w:szCs w:val="18"/>
              </w:rPr>
            </w:pPr>
            <w:r>
              <w:rPr>
                <w:rFonts w:ascii="宋体" w:hAnsi="宋体" w:eastAsia="宋体" w:cs="宋体"/>
                <w:sz w:val="18"/>
                <w:szCs w:val="18"/>
              </w:rPr>
              <w:t>8,494,222.22</w:t>
            </w:r>
          </w:p>
        </w:tc>
      </w:tr>
      <w:tr w14:paraId="2EFA2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65F106C">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1424F0D">
            <w:pPr>
              <w:spacing w:line="240" w:lineRule="exact"/>
              <w:rPr>
                <w:rFonts w:ascii="宋体" w:hAnsi="宋体" w:eastAsia="宋体" w:cs="宋体"/>
                <w:sz w:val="18"/>
                <w:szCs w:val="18"/>
              </w:rPr>
            </w:pPr>
            <w:r>
              <w:rPr>
                <w:rFonts w:ascii="宋体" w:hAnsi="宋体" w:eastAsia="宋体" w:cs="宋体"/>
                <w:sz w:val="18"/>
                <w:szCs w:val="18"/>
              </w:rPr>
              <w:t>绍兴领尚纺织科技有限公司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7493AF91">
            <w:pPr>
              <w:spacing w:line="240" w:lineRule="exact"/>
              <w:jc w:val="right"/>
              <w:rPr>
                <w:rFonts w:ascii="宋体" w:hAnsi="宋体" w:eastAsia="宋体" w:cs="宋体"/>
                <w:sz w:val="18"/>
                <w:szCs w:val="18"/>
              </w:rPr>
            </w:pPr>
            <w:r>
              <w:rPr>
                <w:rFonts w:ascii="宋体" w:hAnsi="宋体" w:eastAsia="宋体" w:cs="宋体"/>
                <w:sz w:val="18"/>
                <w:szCs w:val="18"/>
              </w:rPr>
              <w:t>18,895.83</w:t>
            </w:r>
          </w:p>
        </w:tc>
        <w:tc>
          <w:tcPr>
            <w:tcW w:w="1606" w:type="dxa"/>
            <w:tcBorders>
              <w:top w:val="single" w:color="auto" w:sz="2" w:space="0"/>
              <w:left w:val="single" w:color="auto" w:sz="2" w:space="0"/>
              <w:bottom w:val="single" w:color="auto" w:sz="2" w:space="0"/>
              <w:right w:val="single" w:color="auto" w:sz="2" w:space="0"/>
            </w:tcBorders>
            <w:vAlign w:val="center"/>
          </w:tcPr>
          <w:p w14:paraId="776C1A6F">
            <w:pPr>
              <w:spacing w:line="240" w:lineRule="exact"/>
              <w:jc w:val="right"/>
              <w:rPr>
                <w:rFonts w:ascii="宋体" w:hAnsi="宋体" w:eastAsia="宋体" w:cs="宋体"/>
                <w:sz w:val="18"/>
                <w:szCs w:val="18"/>
              </w:rPr>
            </w:pPr>
            <w:r>
              <w:rPr>
                <w:rFonts w:ascii="宋体" w:hAnsi="宋体" w:eastAsia="宋体" w:cs="宋体"/>
                <w:sz w:val="18"/>
                <w:szCs w:val="18"/>
              </w:rPr>
              <w:t>944.79</w:t>
            </w:r>
          </w:p>
        </w:tc>
        <w:tc>
          <w:tcPr>
            <w:tcW w:w="1606" w:type="dxa"/>
            <w:tcBorders>
              <w:top w:val="single" w:color="auto" w:sz="2" w:space="0"/>
              <w:left w:val="single" w:color="auto" w:sz="2" w:space="0"/>
              <w:bottom w:val="single" w:color="auto" w:sz="2" w:space="0"/>
              <w:right w:val="single" w:color="auto" w:sz="2" w:space="0"/>
            </w:tcBorders>
            <w:vAlign w:val="center"/>
          </w:tcPr>
          <w:p w14:paraId="10F94C2C">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7EED831">
            <w:pPr>
              <w:spacing w:line="240" w:lineRule="exact"/>
              <w:jc w:val="right"/>
              <w:rPr>
                <w:rFonts w:ascii="宋体" w:hAnsi="宋体" w:eastAsia="宋体" w:cs="宋体"/>
                <w:sz w:val="18"/>
                <w:szCs w:val="18"/>
              </w:rPr>
            </w:pPr>
          </w:p>
        </w:tc>
      </w:tr>
      <w:tr w14:paraId="39FFC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EB0BC01">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6DA582C">
            <w:pPr>
              <w:spacing w:line="240" w:lineRule="exact"/>
              <w:rPr>
                <w:rFonts w:ascii="宋体" w:hAnsi="宋体" w:eastAsia="宋体" w:cs="宋体"/>
                <w:sz w:val="18"/>
                <w:szCs w:val="18"/>
              </w:rPr>
            </w:pPr>
            <w:r>
              <w:rPr>
                <w:rFonts w:ascii="宋体" w:hAnsi="宋体" w:eastAsia="宋体" w:cs="宋体"/>
                <w:sz w:val="18"/>
                <w:szCs w:val="18"/>
              </w:rPr>
              <w:t>新疆棉花产业集团有限公司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6F22A71F">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F83B6F3">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0D60836C">
            <w:pPr>
              <w:spacing w:line="240" w:lineRule="exact"/>
              <w:jc w:val="right"/>
              <w:rPr>
                <w:rFonts w:ascii="宋体" w:hAnsi="宋体" w:eastAsia="宋体" w:cs="宋体"/>
                <w:sz w:val="18"/>
                <w:szCs w:val="18"/>
              </w:rPr>
            </w:pPr>
            <w:r>
              <w:rPr>
                <w:rFonts w:ascii="宋体" w:hAnsi="宋体" w:eastAsia="宋体" w:cs="宋体"/>
                <w:sz w:val="18"/>
                <w:szCs w:val="18"/>
              </w:rPr>
              <w:t>93,562.80</w:t>
            </w:r>
          </w:p>
        </w:tc>
        <w:tc>
          <w:tcPr>
            <w:tcW w:w="1606" w:type="dxa"/>
            <w:tcBorders>
              <w:top w:val="single" w:color="auto" w:sz="2" w:space="0"/>
              <w:left w:val="single" w:color="auto" w:sz="2" w:space="0"/>
              <w:bottom w:val="single" w:color="auto" w:sz="2" w:space="0"/>
              <w:right w:val="single" w:color="auto" w:sz="2" w:space="0"/>
            </w:tcBorders>
            <w:vAlign w:val="center"/>
          </w:tcPr>
          <w:p w14:paraId="54B41C19">
            <w:pPr>
              <w:spacing w:line="240" w:lineRule="exact"/>
              <w:jc w:val="right"/>
              <w:rPr>
                <w:rFonts w:ascii="宋体" w:hAnsi="宋体" w:eastAsia="宋体" w:cs="宋体"/>
                <w:sz w:val="18"/>
                <w:szCs w:val="18"/>
              </w:rPr>
            </w:pPr>
            <w:r>
              <w:rPr>
                <w:rFonts w:ascii="宋体" w:hAnsi="宋体" w:eastAsia="宋体" w:cs="宋体"/>
                <w:sz w:val="18"/>
                <w:szCs w:val="18"/>
              </w:rPr>
              <w:t>93,562.80</w:t>
            </w:r>
          </w:p>
        </w:tc>
      </w:tr>
      <w:tr w14:paraId="0FE9D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2F8A5A4">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DA5932D">
            <w:pPr>
              <w:spacing w:line="240" w:lineRule="exact"/>
              <w:rPr>
                <w:rFonts w:ascii="宋体" w:hAnsi="宋体" w:eastAsia="宋体" w:cs="宋体"/>
                <w:sz w:val="18"/>
                <w:szCs w:val="18"/>
              </w:rPr>
            </w:pPr>
            <w:r>
              <w:rPr>
                <w:rFonts w:ascii="宋体" w:hAnsi="宋体" w:eastAsia="宋体" w:cs="宋体"/>
                <w:sz w:val="18"/>
                <w:szCs w:val="18"/>
              </w:rPr>
              <w:t>新疆生产建设兵团第七师国有资本投资运营集团有限公司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6048AA16">
            <w:pPr>
              <w:spacing w:line="240" w:lineRule="exact"/>
              <w:jc w:val="right"/>
              <w:rPr>
                <w:rFonts w:ascii="宋体" w:hAnsi="宋体" w:eastAsia="宋体" w:cs="宋体"/>
                <w:sz w:val="18"/>
                <w:szCs w:val="18"/>
              </w:rPr>
            </w:pPr>
            <w:r>
              <w:rPr>
                <w:rFonts w:ascii="宋体" w:hAnsi="宋体" w:eastAsia="宋体" w:cs="宋体"/>
                <w:sz w:val="18"/>
                <w:szCs w:val="18"/>
              </w:rPr>
              <w:t>371,904.51</w:t>
            </w:r>
          </w:p>
        </w:tc>
        <w:tc>
          <w:tcPr>
            <w:tcW w:w="1606" w:type="dxa"/>
            <w:tcBorders>
              <w:top w:val="single" w:color="auto" w:sz="2" w:space="0"/>
              <w:left w:val="single" w:color="auto" w:sz="2" w:space="0"/>
              <w:bottom w:val="single" w:color="auto" w:sz="2" w:space="0"/>
              <w:right w:val="single" w:color="auto" w:sz="2" w:space="0"/>
            </w:tcBorders>
            <w:vAlign w:val="center"/>
          </w:tcPr>
          <w:p w14:paraId="4F00F3ED">
            <w:pPr>
              <w:spacing w:line="240" w:lineRule="exact"/>
              <w:jc w:val="right"/>
              <w:rPr>
                <w:rFonts w:ascii="宋体" w:hAnsi="宋体" w:eastAsia="宋体" w:cs="宋体"/>
                <w:sz w:val="18"/>
                <w:szCs w:val="18"/>
              </w:rPr>
            </w:pPr>
            <w:r>
              <w:rPr>
                <w:rFonts w:ascii="宋体" w:hAnsi="宋体" w:eastAsia="宋体" w:cs="宋体"/>
                <w:sz w:val="18"/>
                <w:szCs w:val="18"/>
              </w:rPr>
              <w:t>371,904.51</w:t>
            </w:r>
          </w:p>
        </w:tc>
        <w:tc>
          <w:tcPr>
            <w:tcW w:w="1606" w:type="dxa"/>
            <w:tcBorders>
              <w:top w:val="single" w:color="auto" w:sz="2" w:space="0"/>
              <w:left w:val="single" w:color="auto" w:sz="2" w:space="0"/>
              <w:bottom w:val="single" w:color="auto" w:sz="2" w:space="0"/>
              <w:right w:val="single" w:color="auto" w:sz="2" w:space="0"/>
            </w:tcBorders>
            <w:vAlign w:val="center"/>
          </w:tcPr>
          <w:p w14:paraId="30D42073">
            <w:pPr>
              <w:spacing w:line="240" w:lineRule="exact"/>
              <w:jc w:val="right"/>
              <w:rPr>
                <w:rFonts w:ascii="宋体" w:hAnsi="宋体" w:eastAsia="宋体" w:cs="宋体"/>
                <w:sz w:val="18"/>
                <w:szCs w:val="18"/>
              </w:rPr>
            </w:pPr>
            <w:r>
              <w:rPr>
                <w:rFonts w:ascii="宋体" w:hAnsi="宋体" w:eastAsia="宋体" w:cs="宋体"/>
                <w:sz w:val="18"/>
                <w:szCs w:val="18"/>
              </w:rPr>
              <w:t>371,904.51</w:t>
            </w:r>
          </w:p>
        </w:tc>
        <w:tc>
          <w:tcPr>
            <w:tcW w:w="1606" w:type="dxa"/>
            <w:tcBorders>
              <w:top w:val="single" w:color="auto" w:sz="2" w:space="0"/>
              <w:left w:val="single" w:color="auto" w:sz="2" w:space="0"/>
              <w:bottom w:val="single" w:color="auto" w:sz="2" w:space="0"/>
              <w:right w:val="single" w:color="auto" w:sz="2" w:space="0"/>
            </w:tcBorders>
            <w:vAlign w:val="center"/>
          </w:tcPr>
          <w:p w14:paraId="048B1EBB">
            <w:pPr>
              <w:spacing w:line="240" w:lineRule="exact"/>
              <w:jc w:val="right"/>
              <w:rPr>
                <w:rFonts w:ascii="宋体" w:hAnsi="宋体" w:eastAsia="宋体" w:cs="宋体"/>
                <w:sz w:val="18"/>
                <w:szCs w:val="18"/>
              </w:rPr>
            </w:pPr>
            <w:r>
              <w:rPr>
                <w:rFonts w:ascii="宋体" w:hAnsi="宋体" w:eastAsia="宋体" w:cs="宋体"/>
                <w:sz w:val="18"/>
                <w:szCs w:val="18"/>
              </w:rPr>
              <w:t>371,904.51</w:t>
            </w:r>
          </w:p>
        </w:tc>
      </w:tr>
      <w:tr w14:paraId="108D0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F061913">
            <w:pPr>
              <w:spacing w:line="240" w:lineRule="exac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65BB1157">
            <w:pPr>
              <w:spacing w:line="240" w:lineRule="exact"/>
              <w:rPr>
                <w:rFonts w:ascii="宋体" w:hAnsi="宋体" w:eastAsia="宋体" w:cs="宋体"/>
                <w:sz w:val="18"/>
                <w:szCs w:val="18"/>
              </w:rPr>
            </w:pPr>
            <w:r>
              <w:rPr>
                <w:rFonts w:ascii="宋体" w:hAnsi="宋体" w:eastAsia="宋体" w:cs="宋体"/>
                <w:sz w:val="18"/>
                <w:szCs w:val="18"/>
              </w:rPr>
              <w:t>浙江华尚产业运营有限公司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2EEF2FD8">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81656E9">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19A35F1">
            <w:pPr>
              <w:spacing w:line="240" w:lineRule="exact"/>
              <w:jc w:val="right"/>
              <w:rPr>
                <w:rFonts w:ascii="宋体" w:hAnsi="宋体" w:eastAsia="宋体" w:cs="宋体"/>
                <w:sz w:val="18"/>
                <w:szCs w:val="18"/>
              </w:rPr>
            </w:pPr>
            <w:r>
              <w:rPr>
                <w:rFonts w:ascii="宋体" w:hAnsi="宋体" w:eastAsia="宋体" w:cs="宋体"/>
                <w:sz w:val="18"/>
                <w:szCs w:val="18"/>
              </w:rPr>
              <w:t>1,000,000.00</w:t>
            </w:r>
          </w:p>
        </w:tc>
        <w:tc>
          <w:tcPr>
            <w:tcW w:w="1606" w:type="dxa"/>
            <w:tcBorders>
              <w:top w:val="single" w:color="auto" w:sz="2" w:space="0"/>
              <w:left w:val="single" w:color="auto" w:sz="2" w:space="0"/>
              <w:bottom w:val="single" w:color="auto" w:sz="2" w:space="0"/>
              <w:right w:val="single" w:color="auto" w:sz="2" w:space="0"/>
            </w:tcBorders>
            <w:vAlign w:val="center"/>
          </w:tcPr>
          <w:p w14:paraId="572716E6">
            <w:pPr>
              <w:spacing w:line="240" w:lineRule="exact"/>
              <w:jc w:val="right"/>
              <w:rPr>
                <w:rFonts w:ascii="宋体" w:hAnsi="宋体" w:eastAsia="宋体" w:cs="宋体"/>
                <w:sz w:val="18"/>
                <w:szCs w:val="18"/>
              </w:rPr>
            </w:pPr>
            <w:r>
              <w:rPr>
                <w:rFonts w:ascii="宋体" w:hAnsi="宋体" w:eastAsia="宋体" w:cs="宋体"/>
                <w:sz w:val="18"/>
                <w:szCs w:val="18"/>
              </w:rPr>
              <w:t>50,000.00</w:t>
            </w:r>
          </w:p>
        </w:tc>
      </w:tr>
    </w:tbl>
    <w:p w14:paraId="66A8AE35">
      <w:pPr>
        <w:keepNext/>
        <w:keepLines/>
        <w:spacing w:before="300" w:after="300" w:line="280" w:lineRule="exact"/>
        <w:outlineLvl w:val="3"/>
        <w:rPr>
          <w:rFonts w:ascii="宋体" w:hAnsi="宋体" w:eastAsia="宋体" w:cs="宋体"/>
          <w:b/>
          <w:bCs/>
          <w:szCs w:val="21"/>
        </w:rPr>
      </w:pPr>
      <w:bookmarkStart w:id="576" w:name="_Toc989431"/>
      <w:r>
        <w:rPr>
          <w:rFonts w:ascii="宋体" w:hAnsi="宋体" w:eastAsia="宋体" w:cs="宋体"/>
          <w:b/>
          <w:bCs/>
          <w:szCs w:val="21"/>
        </w:rPr>
        <w:t>（2） 应付项目</w:t>
      </w:r>
      <w:bookmarkEnd w:id="576"/>
    </w:p>
    <w:p w14:paraId="10E3AEE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1FC29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193B254">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944415E">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41F9590">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9956D9E">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57C4F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2894E25">
            <w:pPr>
              <w:spacing w:line="240" w:lineRule="exac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14:paraId="6C2FDEFA">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46C882B">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080D0C6F">
            <w:pPr>
              <w:spacing w:line="240" w:lineRule="exact"/>
              <w:jc w:val="right"/>
              <w:rPr>
                <w:rFonts w:ascii="宋体" w:hAnsi="宋体" w:eastAsia="宋体" w:cs="宋体"/>
                <w:sz w:val="18"/>
                <w:szCs w:val="18"/>
              </w:rPr>
            </w:pPr>
          </w:p>
        </w:tc>
      </w:tr>
      <w:tr w14:paraId="15A62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7AC14A1">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B0C4A44">
            <w:pPr>
              <w:spacing w:line="240" w:lineRule="exact"/>
              <w:rPr>
                <w:rFonts w:ascii="宋体" w:hAnsi="宋体" w:eastAsia="宋体" w:cs="宋体"/>
                <w:sz w:val="18"/>
                <w:szCs w:val="18"/>
              </w:rPr>
            </w:pPr>
            <w:r>
              <w:rPr>
                <w:rFonts w:ascii="宋体" w:hAnsi="宋体" w:eastAsia="宋体" w:cs="宋体"/>
                <w:sz w:val="18"/>
                <w:szCs w:val="18"/>
              </w:rPr>
              <w:t>绍兴领尚纺织科技有限公司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1F7EB354">
            <w:pPr>
              <w:spacing w:line="240" w:lineRule="exact"/>
              <w:jc w:val="right"/>
              <w:rPr>
                <w:rFonts w:ascii="宋体" w:hAnsi="宋体" w:eastAsia="宋体" w:cs="宋体"/>
                <w:sz w:val="18"/>
                <w:szCs w:val="18"/>
              </w:rPr>
            </w:pPr>
            <w:r>
              <w:rPr>
                <w:rFonts w:ascii="宋体" w:hAnsi="宋体" w:eastAsia="宋体" w:cs="宋体"/>
                <w:sz w:val="18"/>
                <w:szCs w:val="18"/>
              </w:rPr>
              <w:t>869,371.97</w:t>
            </w:r>
          </w:p>
        </w:tc>
        <w:tc>
          <w:tcPr>
            <w:tcW w:w="2410" w:type="dxa"/>
            <w:tcBorders>
              <w:top w:val="single" w:color="auto" w:sz="2" w:space="0"/>
              <w:left w:val="single" w:color="auto" w:sz="2" w:space="0"/>
              <w:bottom w:val="single" w:color="auto" w:sz="2" w:space="0"/>
              <w:right w:val="single" w:color="auto" w:sz="2" w:space="0"/>
            </w:tcBorders>
            <w:vAlign w:val="center"/>
          </w:tcPr>
          <w:p w14:paraId="3406DEFF">
            <w:pPr>
              <w:spacing w:line="240" w:lineRule="exact"/>
              <w:jc w:val="right"/>
              <w:rPr>
                <w:rFonts w:ascii="宋体" w:hAnsi="宋体" w:eastAsia="宋体" w:cs="宋体"/>
                <w:sz w:val="18"/>
                <w:szCs w:val="18"/>
              </w:rPr>
            </w:pPr>
          </w:p>
        </w:tc>
      </w:tr>
      <w:tr w14:paraId="57D02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31006ED">
            <w:pPr>
              <w:spacing w:line="240" w:lineRule="exact"/>
              <w:rPr>
                <w:rFonts w:ascii="宋体" w:hAnsi="宋体" w:eastAsia="宋体" w:cs="宋体"/>
                <w:sz w:val="18"/>
                <w:szCs w:val="18"/>
              </w:rPr>
            </w:pPr>
            <w:r>
              <w:rPr>
                <w:rFonts w:ascii="宋体" w:hAnsi="宋体" w:eastAsia="宋体" w:cs="宋体"/>
                <w:sz w:val="18"/>
                <w:szCs w:val="18"/>
              </w:rPr>
              <w:t>合同负债</w:t>
            </w:r>
          </w:p>
        </w:tc>
        <w:tc>
          <w:tcPr>
            <w:tcW w:w="2410" w:type="dxa"/>
            <w:tcBorders>
              <w:top w:val="single" w:color="auto" w:sz="2" w:space="0"/>
              <w:left w:val="single" w:color="auto" w:sz="2" w:space="0"/>
              <w:bottom w:val="single" w:color="auto" w:sz="2" w:space="0"/>
              <w:right w:val="single" w:color="auto" w:sz="2" w:space="0"/>
            </w:tcBorders>
            <w:vAlign w:val="center"/>
          </w:tcPr>
          <w:p w14:paraId="6DBB0018">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11CA9FB">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232539D3">
            <w:pPr>
              <w:spacing w:line="240" w:lineRule="exact"/>
              <w:jc w:val="right"/>
              <w:rPr>
                <w:rFonts w:ascii="宋体" w:hAnsi="宋体" w:eastAsia="宋体" w:cs="宋体"/>
                <w:sz w:val="18"/>
                <w:szCs w:val="18"/>
              </w:rPr>
            </w:pPr>
          </w:p>
        </w:tc>
      </w:tr>
      <w:tr w14:paraId="07467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96ABC93">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E62D628">
            <w:pPr>
              <w:spacing w:line="240" w:lineRule="exact"/>
              <w:rPr>
                <w:rFonts w:ascii="宋体" w:hAnsi="宋体" w:eastAsia="宋体" w:cs="宋体"/>
                <w:sz w:val="18"/>
                <w:szCs w:val="18"/>
              </w:rPr>
            </w:pPr>
            <w:r>
              <w:rPr>
                <w:rFonts w:ascii="宋体" w:hAnsi="宋体" w:eastAsia="宋体" w:cs="宋体"/>
                <w:sz w:val="18"/>
                <w:szCs w:val="18"/>
              </w:rPr>
              <w:t>吉安供应链管理淮安有限公司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239D2F71">
            <w:pPr>
              <w:spacing w:line="240" w:lineRule="exact"/>
              <w:jc w:val="right"/>
              <w:rPr>
                <w:rFonts w:ascii="宋体" w:hAnsi="宋体" w:eastAsia="宋体" w:cs="宋体"/>
                <w:sz w:val="18"/>
                <w:szCs w:val="18"/>
              </w:rPr>
            </w:pPr>
            <w:r>
              <w:rPr>
                <w:rFonts w:ascii="宋体" w:hAnsi="宋体" w:eastAsia="宋体" w:cs="宋体"/>
                <w:sz w:val="18"/>
                <w:szCs w:val="18"/>
              </w:rPr>
              <w:t>47,264.97</w:t>
            </w:r>
          </w:p>
        </w:tc>
        <w:tc>
          <w:tcPr>
            <w:tcW w:w="2410" w:type="dxa"/>
            <w:tcBorders>
              <w:top w:val="single" w:color="auto" w:sz="2" w:space="0"/>
              <w:left w:val="single" w:color="auto" w:sz="2" w:space="0"/>
              <w:bottom w:val="single" w:color="auto" w:sz="2" w:space="0"/>
              <w:right w:val="single" w:color="auto" w:sz="2" w:space="0"/>
            </w:tcBorders>
            <w:vAlign w:val="center"/>
          </w:tcPr>
          <w:p w14:paraId="665A1D45">
            <w:pPr>
              <w:spacing w:line="240" w:lineRule="exact"/>
              <w:jc w:val="right"/>
              <w:rPr>
                <w:rFonts w:ascii="宋体" w:hAnsi="宋体" w:eastAsia="宋体" w:cs="宋体"/>
                <w:sz w:val="18"/>
                <w:szCs w:val="18"/>
              </w:rPr>
            </w:pPr>
            <w:r>
              <w:rPr>
                <w:rFonts w:ascii="宋体" w:hAnsi="宋体" w:eastAsia="宋体" w:cs="宋体"/>
                <w:sz w:val="18"/>
                <w:szCs w:val="18"/>
              </w:rPr>
              <w:t>56,500.08</w:t>
            </w:r>
          </w:p>
        </w:tc>
      </w:tr>
      <w:tr w14:paraId="2427A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D7E842C">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BA47E66">
            <w:pPr>
              <w:spacing w:line="240" w:lineRule="exact"/>
              <w:rPr>
                <w:rFonts w:ascii="宋体" w:hAnsi="宋体" w:eastAsia="宋体" w:cs="宋体"/>
                <w:sz w:val="18"/>
                <w:szCs w:val="18"/>
              </w:rPr>
            </w:pPr>
            <w:r>
              <w:rPr>
                <w:rFonts w:ascii="宋体" w:hAnsi="宋体" w:eastAsia="宋体" w:cs="宋体"/>
                <w:sz w:val="18"/>
                <w:szCs w:val="18"/>
              </w:rPr>
              <w:t>绍兴领尚纺织科技有限公司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3C1AB3BF">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E41842F">
            <w:pPr>
              <w:spacing w:line="240" w:lineRule="exact"/>
              <w:jc w:val="right"/>
              <w:rPr>
                <w:rFonts w:ascii="宋体" w:hAnsi="宋体" w:eastAsia="宋体" w:cs="宋体"/>
                <w:sz w:val="18"/>
                <w:szCs w:val="18"/>
              </w:rPr>
            </w:pPr>
            <w:r>
              <w:rPr>
                <w:rFonts w:ascii="宋体" w:hAnsi="宋体" w:eastAsia="宋体" w:cs="宋体"/>
                <w:sz w:val="18"/>
                <w:szCs w:val="18"/>
              </w:rPr>
              <w:t>1,793,893.30</w:t>
            </w:r>
          </w:p>
        </w:tc>
      </w:tr>
      <w:tr w14:paraId="3BD2B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4FDB6AE">
            <w:pPr>
              <w:spacing w:line="240" w:lineRule="exac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14:paraId="5AC228C6">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74C99FD">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1602B33">
            <w:pPr>
              <w:spacing w:line="240" w:lineRule="exact"/>
              <w:jc w:val="right"/>
              <w:rPr>
                <w:rFonts w:ascii="宋体" w:hAnsi="宋体" w:eastAsia="宋体" w:cs="宋体"/>
                <w:sz w:val="18"/>
                <w:szCs w:val="18"/>
              </w:rPr>
            </w:pPr>
          </w:p>
        </w:tc>
      </w:tr>
      <w:tr w14:paraId="3B693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7A2E826">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1271BF1A">
            <w:pPr>
              <w:spacing w:line="240" w:lineRule="exact"/>
              <w:rPr>
                <w:rFonts w:ascii="宋体" w:hAnsi="宋体" w:eastAsia="宋体" w:cs="宋体"/>
                <w:sz w:val="18"/>
                <w:szCs w:val="18"/>
              </w:rPr>
            </w:pPr>
            <w:r>
              <w:rPr>
                <w:rFonts w:ascii="宋体" w:hAnsi="宋体" w:eastAsia="宋体" w:cs="宋体"/>
                <w:sz w:val="18"/>
                <w:szCs w:val="18"/>
              </w:rPr>
              <w:t>新疆新润气流纺有限公司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7A556550">
            <w:pPr>
              <w:spacing w:line="240" w:lineRule="exact"/>
              <w:jc w:val="right"/>
              <w:rPr>
                <w:rFonts w:ascii="宋体" w:hAnsi="宋体" w:eastAsia="宋体" w:cs="宋体"/>
                <w:sz w:val="18"/>
                <w:szCs w:val="18"/>
              </w:rPr>
            </w:pPr>
            <w:r>
              <w:rPr>
                <w:rFonts w:ascii="宋体" w:hAnsi="宋体" w:eastAsia="宋体" w:cs="宋体"/>
                <w:sz w:val="18"/>
                <w:szCs w:val="18"/>
              </w:rPr>
              <w:t>516,959.12</w:t>
            </w:r>
          </w:p>
        </w:tc>
        <w:tc>
          <w:tcPr>
            <w:tcW w:w="2410" w:type="dxa"/>
            <w:tcBorders>
              <w:top w:val="single" w:color="auto" w:sz="2" w:space="0"/>
              <w:left w:val="single" w:color="auto" w:sz="2" w:space="0"/>
              <w:bottom w:val="single" w:color="auto" w:sz="2" w:space="0"/>
              <w:right w:val="single" w:color="auto" w:sz="2" w:space="0"/>
            </w:tcBorders>
            <w:vAlign w:val="center"/>
          </w:tcPr>
          <w:p w14:paraId="2902D661">
            <w:pPr>
              <w:spacing w:line="240" w:lineRule="exact"/>
              <w:jc w:val="right"/>
              <w:rPr>
                <w:rFonts w:ascii="宋体" w:hAnsi="宋体" w:eastAsia="宋体" w:cs="宋体"/>
                <w:sz w:val="18"/>
                <w:szCs w:val="18"/>
              </w:rPr>
            </w:pPr>
            <w:r>
              <w:rPr>
                <w:rFonts w:ascii="宋体" w:hAnsi="宋体" w:eastAsia="宋体" w:cs="宋体"/>
                <w:sz w:val="18"/>
                <w:szCs w:val="18"/>
              </w:rPr>
              <w:t>516,959.12</w:t>
            </w:r>
          </w:p>
        </w:tc>
      </w:tr>
      <w:tr w14:paraId="503B1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B185D18">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AEA2432">
            <w:pPr>
              <w:spacing w:line="240" w:lineRule="exact"/>
              <w:rPr>
                <w:rFonts w:ascii="宋体" w:hAnsi="宋体" w:eastAsia="宋体" w:cs="宋体"/>
                <w:sz w:val="18"/>
                <w:szCs w:val="18"/>
              </w:rPr>
            </w:pPr>
            <w:r>
              <w:rPr>
                <w:rFonts w:ascii="宋体" w:hAnsi="宋体" w:eastAsia="宋体" w:cs="宋体"/>
                <w:sz w:val="18"/>
                <w:szCs w:val="18"/>
              </w:rPr>
              <w:t>舟山汇程控股有限公司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3F1DCAE8">
            <w:pPr>
              <w:spacing w:line="240" w:lineRule="exact"/>
              <w:jc w:val="right"/>
              <w:rPr>
                <w:rFonts w:ascii="宋体" w:hAnsi="宋体" w:eastAsia="宋体" w:cs="宋体"/>
                <w:sz w:val="18"/>
                <w:szCs w:val="18"/>
              </w:rPr>
            </w:pPr>
            <w:r>
              <w:rPr>
                <w:rFonts w:ascii="宋体" w:hAnsi="宋体" w:eastAsia="宋体" w:cs="宋体"/>
                <w:sz w:val="18"/>
                <w:szCs w:val="18"/>
              </w:rPr>
              <w:t>11,760,000.00</w:t>
            </w:r>
          </w:p>
        </w:tc>
        <w:tc>
          <w:tcPr>
            <w:tcW w:w="2410" w:type="dxa"/>
            <w:tcBorders>
              <w:top w:val="single" w:color="auto" w:sz="2" w:space="0"/>
              <w:left w:val="single" w:color="auto" w:sz="2" w:space="0"/>
              <w:bottom w:val="single" w:color="auto" w:sz="2" w:space="0"/>
              <w:right w:val="single" w:color="auto" w:sz="2" w:space="0"/>
            </w:tcBorders>
            <w:vAlign w:val="center"/>
          </w:tcPr>
          <w:p w14:paraId="4256D27F">
            <w:pPr>
              <w:spacing w:line="240" w:lineRule="exact"/>
              <w:jc w:val="right"/>
              <w:rPr>
                <w:rFonts w:ascii="宋体" w:hAnsi="宋体" w:eastAsia="宋体" w:cs="宋体"/>
                <w:sz w:val="18"/>
                <w:szCs w:val="18"/>
              </w:rPr>
            </w:pPr>
          </w:p>
        </w:tc>
      </w:tr>
      <w:tr w14:paraId="414B4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C789DC2">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98822B8">
            <w:pPr>
              <w:spacing w:line="240" w:lineRule="exact"/>
              <w:rPr>
                <w:rFonts w:ascii="宋体" w:hAnsi="宋体" w:eastAsia="宋体" w:cs="宋体"/>
                <w:sz w:val="18"/>
                <w:szCs w:val="18"/>
              </w:rPr>
            </w:pPr>
            <w:r>
              <w:rPr>
                <w:rFonts w:ascii="宋体" w:hAnsi="宋体" w:eastAsia="宋体" w:cs="宋体"/>
                <w:sz w:val="18"/>
                <w:szCs w:val="18"/>
              </w:rPr>
              <w:t>新疆泽孚棉花有限公司</w:t>
            </w:r>
          </w:p>
        </w:tc>
        <w:tc>
          <w:tcPr>
            <w:tcW w:w="2410" w:type="dxa"/>
            <w:tcBorders>
              <w:top w:val="single" w:color="auto" w:sz="2" w:space="0"/>
              <w:left w:val="single" w:color="auto" w:sz="2" w:space="0"/>
              <w:bottom w:val="single" w:color="auto" w:sz="2" w:space="0"/>
              <w:right w:val="single" w:color="auto" w:sz="2" w:space="0"/>
            </w:tcBorders>
            <w:vAlign w:val="center"/>
          </w:tcPr>
          <w:p w14:paraId="3CB7E592">
            <w:pPr>
              <w:spacing w:line="240" w:lineRule="exact"/>
              <w:jc w:val="right"/>
              <w:rPr>
                <w:rFonts w:ascii="宋体" w:hAnsi="宋体" w:eastAsia="宋体" w:cs="宋体"/>
                <w:sz w:val="18"/>
                <w:szCs w:val="18"/>
              </w:rPr>
            </w:pPr>
            <w:r>
              <w:rPr>
                <w:rFonts w:ascii="宋体" w:hAnsi="宋体" w:eastAsia="宋体" w:cs="宋体"/>
                <w:sz w:val="18"/>
                <w:szCs w:val="18"/>
              </w:rPr>
              <w:t>25,369.74</w:t>
            </w:r>
          </w:p>
        </w:tc>
        <w:tc>
          <w:tcPr>
            <w:tcW w:w="2410" w:type="dxa"/>
            <w:tcBorders>
              <w:top w:val="single" w:color="auto" w:sz="2" w:space="0"/>
              <w:left w:val="single" w:color="auto" w:sz="2" w:space="0"/>
              <w:bottom w:val="single" w:color="auto" w:sz="2" w:space="0"/>
              <w:right w:val="single" w:color="auto" w:sz="2" w:space="0"/>
            </w:tcBorders>
            <w:vAlign w:val="center"/>
          </w:tcPr>
          <w:p w14:paraId="4AD25957">
            <w:pPr>
              <w:spacing w:line="240" w:lineRule="exact"/>
              <w:jc w:val="right"/>
              <w:rPr>
                <w:rFonts w:ascii="宋体" w:hAnsi="宋体" w:eastAsia="宋体" w:cs="宋体"/>
                <w:sz w:val="18"/>
                <w:szCs w:val="18"/>
              </w:rPr>
            </w:pPr>
            <w:r>
              <w:rPr>
                <w:rFonts w:ascii="宋体" w:hAnsi="宋体" w:eastAsia="宋体" w:cs="宋体"/>
                <w:sz w:val="18"/>
                <w:szCs w:val="18"/>
              </w:rPr>
              <w:t>25,369.74</w:t>
            </w:r>
          </w:p>
        </w:tc>
      </w:tr>
      <w:tr w14:paraId="63870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BB37603">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858C9E3">
            <w:pPr>
              <w:spacing w:line="240" w:lineRule="exact"/>
              <w:rPr>
                <w:rFonts w:ascii="宋体" w:hAnsi="宋体" w:eastAsia="宋体" w:cs="宋体"/>
                <w:sz w:val="18"/>
                <w:szCs w:val="18"/>
              </w:rPr>
            </w:pPr>
            <w:r>
              <w:rPr>
                <w:rFonts w:ascii="宋体" w:hAnsi="宋体" w:eastAsia="宋体" w:cs="宋体"/>
                <w:sz w:val="18"/>
                <w:szCs w:val="18"/>
              </w:rPr>
              <w:t>阿克苏地区华孚纺织职业培训学校</w:t>
            </w:r>
          </w:p>
        </w:tc>
        <w:tc>
          <w:tcPr>
            <w:tcW w:w="2410" w:type="dxa"/>
            <w:tcBorders>
              <w:top w:val="single" w:color="auto" w:sz="2" w:space="0"/>
              <w:left w:val="single" w:color="auto" w:sz="2" w:space="0"/>
              <w:bottom w:val="single" w:color="auto" w:sz="2" w:space="0"/>
              <w:right w:val="single" w:color="auto" w:sz="2" w:space="0"/>
            </w:tcBorders>
            <w:vAlign w:val="center"/>
          </w:tcPr>
          <w:p w14:paraId="1C513F68">
            <w:pPr>
              <w:spacing w:line="240" w:lineRule="exact"/>
              <w:jc w:val="right"/>
              <w:rPr>
                <w:rFonts w:ascii="宋体" w:hAnsi="宋体" w:eastAsia="宋体" w:cs="宋体"/>
                <w:sz w:val="18"/>
                <w:szCs w:val="18"/>
              </w:rPr>
            </w:pPr>
            <w:r>
              <w:rPr>
                <w:rFonts w:ascii="宋体" w:hAnsi="宋体" w:eastAsia="宋体" w:cs="宋体"/>
                <w:sz w:val="18"/>
                <w:szCs w:val="18"/>
              </w:rPr>
              <w:t>1,000.00</w:t>
            </w:r>
          </w:p>
        </w:tc>
        <w:tc>
          <w:tcPr>
            <w:tcW w:w="2410" w:type="dxa"/>
            <w:tcBorders>
              <w:top w:val="single" w:color="auto" w:sz="2" w:space="0"/>
              <w:left w:val="single" w:color="auto" w:sz="2" w:space="0"/>
              <w:bottom w:val="single" w:color="auto" w:sz="2" w:space="0"/>
              <w:right w:val="single" w:color="auto" w:sz="2" w:space="0"/>
            </w:tcBorders>
            <w:vAlign w:val="center"/>
          </w:tcPr>
          <w:p w14:paraId="4FDDCE13">
            <w:pPr>
              <w:spacing w:line="240" w:lineRule="exact"/>
              <w:jc w:val="right"/>
              <w:rPr>
                <w:rFonts w:ascii="宋体" w:hAnsi="宋体" w:eastAsia="宋体" w:cs="宋体"/>
                <w:sz w:val="18"/>
                <w:szCs w:val="18"/>
              </w:rPr>
            </w:pPr>
            <w:r>
              <w:rPr>
                <w:rFonts w:ascii="宋体" w:hAnsi="宋体" w:eastAsia="宋体" w:cs="宋体"/>
                <w:sz w:val="18"/>
                <w:szCs w:val="18"/>
              </w:rPr>
              <w:t>1,000.00</w:t>
            </w:r>
          </w:p>
        </w:tc>
      </w:tr>
      <w:tr w14:paraId="0039C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ADA8D4F">
            <w:pPr>
              <w:spacing w:line="240" w:lineRule="exac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A845194">
            <w:pPr>
              <w:spacing w:line="240" w:lineRule="exact"/>
              <w:rPr>
                <w:rFonts w:ascii="宋体" w:hAnsi="宋体" w:eastAsia="宋体" w:cs="宋体"/>
                <w:sz w:val="18"/>
                <w:szCs w:val="18"/>
              </w:rPr>
            </w:pPr>
            <w:r>
              <w:rPr>
                <w:rFonts w:ascii="宋体" w:hAnsi="宋体" w:eastAsia="宋体" w:cs="宋体"/>
                <w:sz w:val="18"/>
                <w:szCs w:val="18"/>
              </w:rPr>
              <w:t>钟耀栋</w:t>
            </w:r>
          </w:p>
        </w:tc>
        <w:tc>
          <w:tcPr>
            <w:tcW w:w="2410" w:type="dxa"/>
            <w:tcBorders>
              <w:top w:val="single" w:color="auto" w:sz="2" w:space="0"/>
              <w:left w:val="single" w:color="auto" w:sz="2" w:space="0"/>
              <w:bottom w:val="single" w:color="auto" w:sz="2" w:space="0"/>
              <w:right w:val="single" w:color="auto" w:sz="2" w:space="0"/>
            </w:tcBorders>
            <w:vAlign w:val="center"/>
          </w:tcPr>
          <w:p w14:paraId="4612AEC8">
            <w:pPr>
              <w:spacing w:line="240" w:lineRule="exact"/>
              <w:jc w:val="right"/>
              <w:rPr>
                <w:rFonts w:ascii="宋体" w:hAnsi="宋体" w:eastAsia="宋体" w:cs="宋体"/>
                <w:sz w:val="18"/>
                <w:szCs w:val="18"/>
              </w:rPr>
            </w:pPr>
            <w:r>
              <w:rPr>
                <w:rFonts w:ascii="宋体" w:hAnsi="宋体" w:eastAsia="宋体" w:cs="宋体"/>
                <w:sz w:val="18"/>
                <w:szCs w:val="18"/>
              </w:rPr>
              <w:t>1,539,654.00</w:t>
            </w:r>
          </w:p>
        </w:tc>
        <w:tc>
          <w:tcPr>
            <w:tcW w:w="2410" w:type="dxa"/>
            <w:tcBorders>
              <w:top w:val="single" w:color="auto" w:sz="2" w:space="0"/>
              <w:left w:val="single" w:color="auto" w:sz="2" w:space="0"/>
              <w:bottom w:val="single" w:color="auto" w:sz="2" w:space="0"/>
              <w:right w:val="single" w:color="auto" w:sz="2" w:space="0"/>
            </w:tcBorders>
            <w:vAlign w:val="center"/>
          </w:tcPr>
          <w:p w14:paraId="0A1B1A09">
            <w:pPr>
              <w:spacing w:line="240" w:lineRule="exact"/>
              <w:jc w:val="right"/>
              <w:rPr>
                <w:rFonts w:ascii="宋体" w:hAnsi="宋体" w:eastAsia="宋体" w:cs="宋体"/>
                <w:sz w:val="18"/>
                <w:szCs w:val="18"/>
              </w:rPr>
            </w:pPr>
            <w:r>
              <w:rPr>
                <w:rFonts w:ascii="宋体" w:hAnsi="宋体" w:eastAsia="宋体" w:cs="宋体"/>
                <w:sz w:val="18"/>
                <w:szCs w:val="18"/>
              </w:rPr>
              <w:t>1,539,654.00</w:t>
            </w:r>
          </w:p>
        </w:tc>
      </w:tr>
    </w:tbl>
    <w:p w14:paraId="1718F65B">
      <w:pPr>
        <w:pStyle w:val="3"/>
        <w:spacing w:line="280" w:lineRule="exact"/>
        <w:jc w:val="left"/>
        <w:rPr>
          <w:rFonts w:ascii="宋体" w:hAnsi="宋体" w:cs="宋体"/>
          <w:b/>
          <w:bCs/>
        </w:rPr>
      </w:pPr>
      <w:bookmarkStart w:id="577" w:name="_Toc989432"/>
      <w:r>
        <w:rPr>
          <w:rFonts w:ascii="宋体" w:hAnsi="宋体" w:cs="宋体"/>
          <w:b/>
          <w:bCs/>
        </w:rPr>
        <w:t>7、关联方承诺</w:t>
      </w:r>
      <w:bookmarkEnd w:id="577"/>
    </w:p>
    <w:p w14:paraId="6004970A">
      <w:pPr>
        <w:spacing w:before="100" w:after="100" w:line="240" w:lineRule="exact"/>
        <w:rPr>
          <w:rFonts w:ascii="宋体" w:hAnsi="宋体" w:eastAsia="宋体" w:cs="宋体"/>
          <w:sz w:val="18"/>
          <w:szCs w:val="18"/>
        </w:rPr>
      </w:pPr>
      <w:r>
        <w:rPr>
          <w:rFonts w:hint="eastAsia" w:ascii="宋体" w:hAnsi="宋体" w:eastAsia="宋体" w:cs="宋体"/>
          <w:sz w:val="18"/>
          <w:szCs w:val="18"/>
        </w:rPr>
        <w:t>本公司不存在需要披露的重要承诺事项。</w:t>
      </w:r>
    </w:p>
    <w:p w14:paraId="18103E69">
      <w:pPr>
        <w:pStyle w:val="3"/>
        <w:spacing w:line="280" w:lineRule="exact"/>
        <w:jc w:val="left"/>
        <w:rPr>
          <w:rFonts w:ascii="宋体" w:hAnsi="宋体" w:cs="宋体"/>
          <w:b/>
          <w:bCs/>
        </w:rPr>
      </w:pPr>
      <w:bookmarkStart w:id="578" w:name="_Toc989433"/>
      <w:r>
        <w:rPr>
          <w:rFonts w:ascii="宋体" w:hAnsi="宋体" w:cs="宋体"/>
          <w:b/>
          <w:bCs/>
        </w:rPr>
        <w:t>8、其他</w:t>
      </w:r>
      <w:bookmarkEnd w:id="578"/>
    </w:p>
    <w:p w14:paraId="31A3064D">
      <w:pPr>
        <w:pStyle w:val="2"/>
        <w:spacing w:before="300" w:after="300" w:line="320" w:lineRule="exact"/>
        <w:rPr>
          <w:rFonts w:ascii="宋体" w:hAnsi="宋体" w:eastAsia="宋体" w:cs="宋体"/>
          <w:b/>
          <w:bCs/>
          <w:sz w:val="24"/>
          <w:szCs w:val="24"/>
        </w:rPr>
      </w:pPr>
      <w:bookmarkStart w:id="579" w:name="_Toc989434"/>
      <w:r>
        <w:rPr>
          <w:rFonts w:ascii="宋体" w:hAnsi="宋体" w:eastAsia="宋体" w:cs="宋体"/>
          <w:b/>
          <w:bCs/>
          <w:sz w:val="24"/>
          <w:szCs w:val="24"/>
        </w:rPr>
        <w:t>十五、股份支付</w:t>
      </w:r>
      <w:bookmarkEnd w:id="579"/>
    </w:p>
    <w:p w14:paraId="63D3E162">
      <w:pPr>
        <w:pStyle w:val="3"/>
        <w:spacing w:line="280" w:lineRule="exact"/>
        <w:jc w:val="left"/>
        <w:rPr>
          <w:rFonts w:ascii="宋体" w:hAnsi="宋体" w:cs="宋体"/>
          <w:b/>
          <w:bCs/>
        </w:rPr>
      </w:pPr>
      <w:bookmarkStart w:id="580" w:name="_Toc989435"/>
      <w:r>
        <w:rPr>
          <w:rFonts w:ascii="宋体" w:hAnsi="宋体" w:cs="宋体"/>
          <w:b/>
          <w:bCs/>
        </w:rPr>
        <w:t>1、股份支付总体情况</w:t>
      </w:r>
      <w:bookmarkEnd w:id="580"/>
    </w:p>
    <w:p w14:paraId="31AD4F8D">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CEAC425">
      <w:pPr>
        <w:pStyle w:val="3"/>
        <w:spacing w:line="280" w:lineRule="exact"/>
        <w:jc w:val="left"/>
        <w:rPr>
          <w:rFonts w:ascii="宋体" w:hAnsi="宋体" w:cs="宋体"/>
          <w:b/>
          <w:bCs/>
        </w:rPr>
      </w:pPr>
      <w:bookmarkStart w:id="581" w:name="_Toc989436"/>
      <w:r>
        <w:rPr>
          <w:rFonts w:ascii="宋体" w:hAnsi="宋体" w:cs="宋体"/>
          <w:b/>
          <w:bCs/>
        </w:rPr>
        <w:t>2、以权益结算的股份支付情况</w:t>
      </w:r>
      <w:bookmarkEnd w:id="581"/>
    </w:p>
    <w:p w14:paraId="08C0E8D6">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35988A6">
      <w:pPr>
        <w:pStyle w:val="3"/>
        <w:spacing w:line="280" w:lineRule="exact"/>
        <w:jc w:val="left"/>
        <w:rPr>
          <w:rFonts w:ascii="宋体" w:hAnsi="宋体" w:cs="宋体"/>
          <w:b/>
          <w:bCs/>
        </w:rPr>
      </w:pPr>
      <w:bookmarkStart w:id="582" w:name="_Toc989437"/>
      <w:r>
        <w:rPr>
          <w:rFonts w:ascii="宋体" w:hAnsi="宋体" w:cs="宋体"/>
          <w:b/>
          <w:bCs/>
        </w:rPr>
        <w:t>3、以现金结算的股份支付情况</w:t>
      </w:r>
      <w:bookmarkEnd w:id="582"/>
    </w:p>
    <w:p w14:paraId="5674C3EC">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A633167">
      <w:pPr>
        <w:pStyle w:val="3"/>
        <w:spacing w:line="280" w:lineRule="exact"/>
        <w:jc w:val="left"/>
        <w:rPr>
          <w:rFonts w:ascii="宋体" w:hAnsi="宋体" w:cs="宋体"/>
          <w:b/>
          <w:bCs/>
        </w:rPr>
      </w:pPr>
      <w:bookmarkStart w:id="583" w:name="_Toc989438"/>
      <w:r>
        <w:rPr>
          <w:rFonts w:ascii="宋体" w:hAnsi="宋体" w:cs="宋体"/>
          <w:b/>
          <w:bCs/>
        </w:rPr>
        <w:t>4、本期股份支付费用</w:t>
      </w:r>
      <w:bookmarkEnd w:id="583"/>
    </w:p>
    <w:p w14:paraId="5B884C28">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7719A41">
      <w:pPr>
        <w:pStyle w:val="3"/>
        <w:spacing w:line="280" w:lineRule="exact"/>
        <w:jc w:val="left"/>
        <w:rPr>
          <w:rFonts w:ascii="宋体" w:hAnsi="宋体" w:cs="宋体"/>
          <w:b/>
          <w:bCs/>
        </w:rPr>
      </w:pPr>
      <w:bookmarkStart w:id="584" w:name="_Toc989439"/>
      <w:r>
        <w:rPr>
          <w:rFonts w:ascii="宋体" w:hAnsi="宋体" w:cs="宋体"/>
          <w:b/>
          <w:bCs/>
        </w:rPr>
        <w:t>5、股份支付的修改、终止情况</w:t>
      </w:r>
      <w:bookmarkEnd w:id="584"/>
    </w:p>
    <w:p w14:paraId="334DFB72">
      <w:pPr>
        <w:pStyle w:val="3"/>
        <w:spacing w:line="280" w:lineRule="exact"/>
        <w:jc w:val="left"/>
        <w:rPr>
          <w:rFonts w:ascii="宋体" w:hAnsi="宋体" w:cs="宋体"/>
          <w:b/>
          <w:bCs/>
        </w:rPr>
      </w:pPr>
      <w:bookmarkStart w:id="585" w:name="_Toc989440"/>
      <w:r>
        <w:rPr>
          <w:rFonts w:ascii="宋体" w:hAnsi="宋体" w:cs="宋体"/>
          <w:b/>
          <w:bCs/>
        </w:rPr>
        <w:t xml:space="preserve">6、其他 </w:t>
      </w:r>
      <w:bookmarkEnd w:id="585"/>
    </w:p>
    <w:p w14:paraId="7CA3433E">
      <w:pPr>
        <w:pStyle w:val="2"/>
        <w:spacing w:before="300" w:after="300" w:line="320" w:lineRule="exact"/>
        <w:rPr>
          <w:rFonts w:ascii="宋体" w:hAnsi="宋体" w:eastAsia="宋体" w:cs="宋体"/>
          <w:b/>
          <w:bCs/>
          <w:sz w:val="24"/>
          <w:szCs w:val="24"/>
        </w:rPr>
      </w:pPr>
      <w:bookmarkStart w:id="586" w:name="_Toc989441"/>
      <w:r>
        <w:rPr>
          <w:rFonts w:ascii="宋体" w:hAnsi="宋体" w:eastAsia="宋体" w:cs="宋体"/>
          <w:b/>
          <w:bCs/>
          <w:sz w:val="24"/>
          <w:szCs w:val="24"/>
        </w:rPr>
        <w:t>十六、承诺及或有事项</w:t>
      </w:r>
      <w:bookmarkEnd w:id="586"/>
    </w:p>
    <w:p w14:paraId="48179D2C">
      <w:pPr>
        <w:pStyle w:val="3"/>
        <w:spacing w:line="280" w:lineRule="exact"/>
        <w:jc w:val="left"/>
        <w:rPr>
          <w:rFonts w:ascii="宋体" w:hAnsi="宋体" w:cs="宋体"/>
          <w:b/>
          <w:bCs/>
        </w:rPr>
      </w:pPr>
      <w:bookmarkStart w:id="587" w:name="_Toc989442"/>
      <w:r>
        <w:rPr>
          <w:rFonts w:ascii="宋体" w:hAnsi="宋体" w:cs="宋体"/>
          <w:b/>
          <w:bCs/>
        </w:rPr>
        <w:t>1、重要承诺事项</w:t>
      </w:r>
      <w:bookmarkEnd w:id="587"/>
    </w:p>
    <w:p w14:paraId="092DDEA9">
      <w:pPr>
        <w:spacing w:before="100" w:after="100" w:line="240" w:lineRule="exact"/>
        <w:rPr>
          <w:rFonts w:ascii="宋体" w:hAnsi="宋体" w:eastAsia="宋体" w:cs="宋体"/>
          <w:sz w:val="18"/>
          <w:szCs w:val="18"/>
        </w:rPr>
      </w:pPr>
      <w:r>
        <w:rPr>
          <w:rFonts w:ascii="宋体" w:hAnsi="宋体" w:eastAsia="宋体" w:cs="宋体"/>
          <w:sz w:val="18"/>
          <w:szCs w:val="18"/>
        </w:rPr>
        <w:t>资产负债表日存在的重要承诺</w:t>
      </w:r>
    </w:p>
    <w:p w14:paraId="617F2CFC">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本公司不存在需要披露的重要承诺事项。</w:t>
      </w:r>
    </w:p>
    <w:p w14:paraId="52C7FE80">
      <w:pPr>
        <w:pStyle w:val="3"/>
        <w:spacing w:line="280" w:lineRule="exact"/>
        <w:jc w:val="left"/>
        <w:rPr>
          <w:rFonts w:ascii="宋体" w:hAnsi="宋体" w:cs="宋体"/>
          <w:b/>
          <w:bCs/>
        </w:rPr>
      </w:pPr>
      <w:bookmarkStart w:id="588" w:name="_Toc989443"/>
      <w:r>
        <w:rPr>
          <w:rFonts w:ascii="宋体" w:hAnsi="宋体" w:cs="宋体"/>
          <w:b/>
          <w:bCs/>
        </w:rPr>
        <w:t>2、或有事项</w:t>
      </w:r>
      <w:bookmarkEnd w:id="588"/>
    </w:p>
    <w:p w14:paraId="28F1CC5F">
      <w:pPr>
        <w:keepNext/>
        <w:keepLines/>
        <w:spacing w:before="300" w:after="300" w:line="280" w:lineRule="exact"/>
        <w:outlineLvl w:val="3"/>
        <w:rPr>
          <w:rFonts w:ascii="宋体" w:hAnsi="宋体" w:eastAsia="宋体" w:cs="宋体"/>
          <w:b/>
          <w:bCs/>
          <w:szCs w:val="21"/>
        </w:rPr>
      </w:pPr>
      <w:bookmarkStart w:id="589" w:name="_Toc989444"/>
      <w:r>
        <w:rPr>
          <w:rFonts w:ascii="宋体" w:hAnsi="宋体" w:eastAsia="宋体" w:cs="宋体"/>
          <w:b/>
          <w:bCs/>
          <w:szCs w:val="21"/>
        </w:rPr>
        <w:t>（1） 资产负债表日存在的重要或有事项</w:t>
      </w:r>
      <w:bookmarkEnd w:id="589"/>
    </w:p>
    <w:p w14:paraId="60C27F17">
      <w:pPr>
        <w:pStyle w:val="9"/>
        <w:spacing w:before="0" w:beforeAutospacing="0" w:after="0" w:afterAutospacing="0" w:line="360" w:lineRule="auto"/>
        <w:ind w:firstLine="420"/>
        <w:jc w:val="both"/>
        <w:rPr>
          <w:rFonts w:ascii="Times New Roman" w:hAnsi="Times New Roman" w:cs="Times New Roman"/>
          <w:sz w:val="21"/>
          <w:szCs w:val="21"/>
        </w:rPr>
      </w:pPr>
      <w:r>
        <w:rPr>
          <w:rFonts w:hint="eastAsia" w:cs="Times New Roman"/>
          <w:sz w:val="21"/>
          <w:szCs w:val="21"/>
        </w:rPr>
        <w:t>本公司不存在需要披露的重要或有事项。</w:t>
      </w:r>
    </w:p>
    <w:p w14:paraId="5E80AE76">
      <w:pPr>
        <w:keepNext/>
        <w:keepLines/>
        <w:spacing w:before="300" w:after="300" w:line="280" w:lineRule="exact"/>
        <w:outlineLvl w:val="3"/>
        <w:rPr>
          <w:rFonts w:ascii="宋体" w:hAnsi="宋体" w:eastAsia="宋体" w:cs="宋体"/>
          <w:b/>
          <w:bCs/>
          <w:szCs w:val="21"/>
        </w:rPr>
      </w:pPr>
      <w:bookmarkStart w:id="590" w:name="_Toc989445"/>
      <w:r>
        <w:rPr>
          <w:rFonts w:ascii="宋体" w:hAnsi="宋体" w:eastAsia="宋体" w:cs="宋体"/>
          <w:b/>
          <w:bCs/>
          <w:szCs w:val="21"/>
        </w:rPr>
        <w:t>（2） 公司没有需要披露的重要或有事项，也应予以说明</w:t>
      </w:r>
      <w:bookmarkEnd w:id="590"/>
    </w:p>
    <w:p w14:paraId="5701DE74">
      <w:pPr>
        <w:spacing w:before="100" w:after="100" w:line="240" w:lineRule="exact"/>
        <w:rPr>
          <w:rFonts w:ascii="宋体" w:hAnsi="宋体" w:eastAsia="宋体" w:cs="宋体"/>
          <w:sz w:val="18"/>
          <w:szCs w:val="18"/>
        </w:rPr>
      </w:pPr>
      <w:r>
        <w:rPr>
          <w:rFonts w:ascii="宋体" w:hAnsi="宋体" w:eastAsia="宋体" w:cs="宋体"/>
          <w:sz w:val="18"/>
          <w:szCs w:val="18"/>
        </w:rPr>
        <w:t>公司不存在需要披露的重要或有事项。</w:t>
      </w:r>
    </w:p>
    <w:p w14:paraId="372E1442">
      <w:pPr>
        <w:pStyle w:val="3"/>
        <w:spacing w:line="280" w:lineRule="exact"/>
        <w:jc w:val="left"/>
        <w:rPr>
          <w:rFonts w:ascii="宋体" w:hAnsi="宋体" w:cs="宋体"/>
          <w:b/>
          <w:bCs/>
        </w:rPr>
      </w:pPr>
      <w:bookmarkStart w:id="591" w:name="_Toc989446"/>
      <w:r>
        <w:rPr>
          <w:rFonts w:ascii="宋体" w:hAnsi="宋体" w:cs="宋体"/>
          <w:b/>
          <w:bCs/>
        </w:rPr>
        <w:t>3、其他</w:t>
      </w:r>
      <w:bookmarkEnd w:id="591"/>
    </w:p>
    <w:p w14:paraId="09105881">
      <w:pPr>
        <w:rPr>
          <w:sz w:val="18"/>
          <w:szCs w:val="18"/>
        </w:rPr>
      </w:pPr>
    </w:p>
    <w:p w14:paraId="0D4B475D">
      <w:pPr>
        <w:pStyle w:val="2"/>
        <w:spacing w:before="300" w:after="300" w:line="320" w:lineRule="exact"/>
        <w:rPr>
          <w:rFonts w:ascii="宋体" w:hAnsi="宋体" w:eastAsia="宋体" w:cs="宋体"/>
          <w:b/>
          <w:bCs/>
          <w:sz w:val="24"/>
          <w:szCs w:val="24"/>
        </w:rPr>
      </w:pPr>
      <w:bookmarkStart w:id="592" w:name="_Toc989447"/>
      <w:r>
        <w:rPr>
          <w:rFonts w:ascii="宋体" w:hAnsi="宋体" w:eastAsia="宋体" w:cs="宋体"/>
          <w:b/>
          <w:bCs/>
          <w:sz w:val="24"/>
          <w:szCs w:val="24"/>
        </w:rPr>
        <w:t>十七、资产负债表日后事项</w:t>
      </w:r>
      <w:bookmarkEnd w:id="592"/>
    </w:p>
    <w:p w14:paraId="472986B7">
      <w:pPr>
        <w:pStyle w:val="3"/>
        <w:spacing w:line="280" w:lineRule="exact"/>
        <w:jc w:val="left"/>
        <w:rPr>
          <w:rFonts w:ascii="宋体" w:hAnsi="宋体" w:cs="宋体"/>
          <w:b/>
          <w:bCs/>
        </w:rPr>
      </w:pPr>
      <w:bookmarkStart w:id="593" w:name="_Toc989448"/>
      <w:r>
        <w:rPr>
          <w:rFonts w:ascii="宋体" w:hAnsi="宋体" w:cs="宋体"/>
          <w:b/>
          <w:bCs/>
        </w:rPr>
        <w:t>1、重要的非调整事项</w:t>
      </w:r>
      <w:bookmarkEnd w:id="593"/>
    </w:p>
    <w:p w14:paraId="2CB5CD41">
      <w:pPr>
        <w:pStyle w:val="3"/>
        <w:spacing w:line="280" w:lineRule="exact"/>
        <w:jc w:val="left"/>
        <w:rPr>
          <w:rFonts w:ascii="宋体" w:hAnsi="宋体" w:cs="宋体"/>
          <w:b/>
          <w:bCs/>
        </w:rPr>
      </w:pPr>
      <w:bookmarkStart w:id="594" w:name="_Toc989449"/>
      <w:r>
        <w:rPr>
          <w:rFonts w:ascii="宋体" w:hAnsi="宋体" w:cs="宋体"/>
          <w:b/>
          <w:bCs/>
        </w:rPr>
        <w:t>2、利润分配情况</w:t>
      </w:r>
      <w:bookmarkEnd w:id="594"/>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14:paraId="34677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14:paraId="3A1B37AE">
            <w:pPr>
              <w:spacing w:before="40" w:after="40" w:line="240" w:lineRule="exact"/>
              <w:rPr>
                <w:rFonts w:ascii="宋体" w:hAnsi="宋体" w:eastAsia="宋体" w:cs="宋体"/>
                <w:sz w:val="18"/>
                <w:szCs w:val="18"/>
              </w:rPr>
            </w:pPr>
            <w:r>
              <w:rPr>
                <w:rFonts w:ascii="宋体" w:hAnsi="宋体" w:eastAsia="宋体" w:cs="宋体"/>
                <w:sz w:val="18"/>
                <w:szCs w:val="18"/>
              </w:rPr>
              <w:t>拟分配每10股派息数（元）</w:t>
            </w:r>
          </w:p>
        </w:tc>
        <w:tc>
          <w:tcPr>
            <w:tcW w:w="4820" w:type="dxa"/>
            <w:tcBorders>
              <w:top w:val="single" w:color="auto" w:sz="2" w:space="0"/>
              <w:left w:val="single" w:color="auto" w:sz="2" w:space="0"/>
              <w:bottom w:val="single" w:color="auto" w:sz="2" w:space="0"/>
              <w:right w:val="single" w:color="auto" w:sz="2" w:space="0"/>
            </w:tcBorders>
            <w:vAlign w:val="center"/>
          </w:tcPr>
          <w:p w14:paraId="181EB059">
            <w:pPr>
              <w:spacing w:line="240" w:lineRule="exact"/>
              <w:jc w:val="right"/>
              <w:rPr>
                <w:rFonts w:ascii="宋体" w:hAnsi="宋体" w:eastAsia="宋体" w:cs="宋体"/>
                <w:sz w:val="18"/>
                <w:szCs w:val="18"/>
              </w:rPr>
            </w:pPr>
            <w:r>
              <w:rPr>
                <w:rFonts w:ascii="宋体" w:hAnsi="宋体" w:eastAsia="宋体" w:cs="宋体"/>
                <w:sz w:val="18"/>
                <w:szCs w:val="18"/>
              </w:rPr>
              <w:t>0.1150</w:t>
            </w:r>
          </w:p>
        </w:tc>
      </w:tr>
    </w:tbl>
    <w:p w14:paraId="5358D55A">
      <w:pPr>
        <w:pStyle w:val="3"/>
        <w:spacing w:line="280" w:lineRule="exact"/>
        <w:jc w:val="left"/>
        <w:rPr>
          <w:rFonts w:ascii="宋体" w:hAnsi="宋体" w:cs="宋体"/>
          <w:b/>
          <w:bCs/>
        </w:rPr>
      </w:pPr>
      <w:bookmarkStart w:id="595" w:name="_Toc989450"/>
      <w:r>
        <w:rPr>
          <w:rFonts w:ascii="宋体" w:hAnsi="宋体" w:cs="宋体"/>
          <w:b/>
          <w:bCs/>
        </w:rPr>
        <w:t>3、销售退回</w:t>
      </w:r>
      <w:bookmarkEnd w:id="595"/>
    </w:p>
    <w:p w14:paraId="52597C61">
      <w:pPr>
        <w:rPr>
          <w:sz w:val="18"/>
          <w:szCs w:val="18"/>
        </w:rPr>
      </w:pPr>
    </w:p>
    <w:p w14:paraId="136332E8">
      <w:pPr>
        <w:pStyle w:val="3"/>
        <w:spacing w:line="280" w:lineRule="exact"/>
        <w:jc w:val="left"/>
        <w:rPr>
          <w:rFonts w:ascii="宋体" w:hAnsi="宋体" w:cs="宋体"/>
          <w:b/>
          <w:bCs/>
        </w:rPr>
      </w:pPr>
      <w:bookmarkStart w:id="596" w:name="_Toc989451"/>
      <w:r>
        <w:rPr>
          <w:rFonts w:ascii="宋体" w:hAnsi="宋体" w:cs="宋体"/>
          <w:b/>
          <w:bCs/>
        </w:rPr>
        <w:t>4、其他资产负债表日后事项说明</w:t>
      </w:r>
      <w:bookmarkEnd w:id="596"/>
    </w:p>
    <w:p w14:paraId="2F6B98D4">
      <w:pPr>
        <w:spacing w:before="100" w:after="100" w:line="240" w:lineRule="exact"/>
        <w:rPr>
          <w:rFonts w:ascii="宋体" w:hAnsi="宋体" w:eastAsia="宋体" w:cs="宋体"/>
          <w:sz w:val="18"/>
          <w:szCs w:val="18"/>
        </w:rPr>
      </w:pPr>
      <w:r>
        <w:rPr>
          <w:rFonts w:hint="eastAsia" w:ascii="宋体" w:hAnsi="宋体" w:eastAsia="宋体" w:cs="宋体"/>
          <w:sz w:val="18"/>
          <w:szCs w:val="18"/>
        </w:rPr>
        <w:t>根据华孚时尚公司</w:t>
      </w:r>
      <w:r>
        <w:rPr>
          <w:rFonts w:ascii="宋体" w:hAnsi="宋体" w:eastAsia="宋体" w:cs="宋体"/>
          <w:sz w:val="18"/>
          <w:szCs w:val="18"/>
        </w:rPr>
        <w:t>2024</w:t>
      </w:r>
      <w:r>
        <w:rPr>
          <w:rFonts w:hint="eastAsia" w:ascii="宋体" w:hAnsi="宋体" w:eastAsia="宋体" w:cs="宋体"/>
          <w:sz w:val="18"/>
          <w:szCs w:val="18"/>
        </w:rPr>
        <w:t>年</w:t>
      </w:r>
      <w:r>
        <w:rPr>
          <w:rFonts w:ascii="宋体" w:hAnsi="宋体" w:eastAsia="宋体" w:cs="宋体"/>
          <w:sz w:val="18"/>
          <w:szCs w:val="18"/>
        </w:rPr>
        <w:t>12</w:t>
      </w:r>
      <w:r>
        <w:rPr>
          <w:rFonts w:hint="eastAsia" w:ascii="宋体" w:hAnsi="宋体" w:eastAsia="宋体" w:cs="宋体"/>
          <w:sz w:val="18"/>
          <w:szCs w:val="18"/>
        </w:rPr>
        <w:t>月</w:t>
      </w:r>
      <w:r>
        <w:rPr>
          <w:rFonts w:ascii="宋体" w:hAnsi="宋体" w:eastAsia="宋体" w:cs="宋体"/>
          <w:sz w:val="18"/>
          <w:szCs w:val="18"/>
        </w:rPr>
        <w:t>20</w:t>
      </w:r>
      <w:r>
        <w:rPr>
          <w:rFonts w:hint="eastAsia" w:ascii="宋体" w:hAnsi="宋体" w:eastAsia="宋体" w:cs="宋体"/>
          <w:sz w:val="18"/>
          <w:szCs w:val="18"/>
        </w:rPr>
        <w:t>日第二次临时股东大会决议通过的《关于</w:t>
      </w:r>
      <w:r>
        <w:rPr>
          <w:rFonts w:ascii="宋体" w:hAnsi="宋体" w:eastAsia="宋体" w:cs="宋体"/>
          <w:sz w:val="18"/>
          <w:szCs w:val="18"/>
        </w:rPr>
        <w:t>〈</w:t>
      </w:r>
      <w:r>
        <w:rPr>
          <w:rFonts w:hint="eastAsia" w:ascii="宋体" w:hAnsi="宋体" w:eastAsia="宋体" w:cs="宋体"/>
          <w:sz w:val="18"/>
          <w:szCs w:val="18"/>
        </w:rPr>
        <w:t>华孚时尚股份有限公司第四期员工持股计划</w:t>
      </w:r>
      <w:r>
        <w:rPr>
          <w:rFonts w:ascii="宋体" w:hAnsi="宋体" w:eastAsia="宋体" w:cs="宋体"/>
          <w:sz w:val="18"/>
          <w:szCs w:val="18"/>
        </w:rPr>
        <w:t>(</w:t>
      </w:r>
      <w:r>
        <w:rPr>
          <w:rFonts w:hint="eastAsia" w:ascii="宋体" w:hAnsi="宋体" w:eastAsia="宋体" w:cs="宋体"/>
          <w:sz w:val="18"/>
          <w:szCs w:val="18"/>
        </w:rPr>
        <w:t>草案</w:t>
      </w:r>
      <w:r>
        <w:rPr>
          <w:rFonts w:ascii="宋体" w:hAnsi="宋体" w:eastAsia="宋体" w:cs="宋体"/>
          <w:sz w:val="18"/>
          <w:szCs w:val="18"/>
        </w:rPr>
        <w:t>)〉</w:t>
      </w:r>
      <w:r>
        <w:rPr>
          <w:rFonts w:hint="eastAsia" w:ascii="宋体" w:hAnsi="宋体" w:eastAsia="宋体" w:cs="宋体"/>
          <w:sz w:val="18"/>
          <w:szCs w:val="18"/>
        </w:rPr>
        <w:t>及其摘要的议案》，持股计划的持股规模不超过</w:t>
      </w:r>
      <w:r>
        <w:rPr>
          <w:rFonts w:ascii="宋体" w:hAnsi="宋体" w:eastAsia="宋体" w:cs="宋体"/>
          <w:sz w:val="18"/>
          <w:szCs w:val="18"/>
        </w:rPr>
        <w:t>2,980.00</w:t>
      </w:r>
      <w:r>
        <w:rPr>
          <w:rFonts w:hint="eastAsia" w:ascii="宋体" w:hAnsi="宋体" w:eastAsia="宋体" w:cs="宋体"/>
          <w:sz w:val="18"/>
          <w:szCs w:val="18"/>
        </w:rPr>
        <w:t>万股，参与人数总计不超过</w:t>
      </w:r>
      <w:r>
        <w:rPr>
          <w:rFonts w:ascii="宋体" w:hAnsi="宋体" w:eastAsia="宋体" w:cs="宋体"/>
          <w:sz w:val="18"/>
          <w:szCs w:val="18"/>
        </w:rPr>
        <w:t>100</w:t>
      </w:r>
      <w:r>
        <w:rPr>
          <w:rFonts w:hint="eastAsia" w:ascii="宋体" w:hAnsi="宋体" w:eastAsia="宋体" w:cs="宋体"/>
          <w:sz w:val="18"/>
          <w:szCs w:val="18"/>
        </w:rPr>
        <w:t>人。股票来源为华孚时尚公司回购专用证券账户回购的公司股票，持股计划受让公司回购股票的价格为</w:t>
      </w:r>
      <w:r>
        <w:rPr>
          <w:rFonts w:ascii="宋体" w:hAnsi="宋体" w:eastAsia="宋体" w:cs="宋体"/>
          <w:sz w:val="18"/>
          <w:szCs w:val="18"/>
        </w:rPr>
        <w:t>2.29</w:t>
      </w:r>
      <w:r>
        <w:rPr>
          <w:rFonts w:hint="eastAsia" w:ascii="宋体" w:hAnsi="宋体" w:eastAsia="宋体" w:cs="宋体"/>
          <w:sz w:val="18"/>
          <w:szCs w:val="18"/>
        </w:rPr>
        <w:t>元</w:t>
      </w:r>
      <w:r>
        <w:rPr>
          <w:rFonts w:ascii="宋体" w:hAnsi="宋体" w:eastAsia="宋体" w:cs="宋体"/>
          <w:sz w:val="18"/>
          <w:szCs w:val="18"/>
        </w:rPr>
        <w:t>/</w:t>
      </w:r>
      <w:r>
        <w:rPr>
          <w:rFonts w:hint="eastAsia" w:ascii="宋体" w:hAnsi="宋体" w:eastAsia="宋体" w:cs="宋体"/>
          <w:sz w:val="18"/>
          <w:szCs w:val="18"/>
        </w:rPr>
        <w:t>股。截至</w:t>
      </w:r>
      <w:r>
        <w:rPr>
          <w:rFonts w:ascii="宋体" w:hAnsi="宋体" w:eastAsia="宋体" w:cs="宋体"/>
          <w:sz w:val="18"/>
          <w:szCs w:val="18"/>
        </w:rPr>
        <w:t>2026</w:t>
      </w:r>
      <w:r>
        <w:rPr>
          <w:rFonts w:hint="eastAsia" w:ascii="宋体" w:hAnsi="宋体" w:eastAsia="宋体" w:cs="宋体"/>
          <w:sz w:val="18"/>
          <w:szCs w:val="18"/>
        </w:rPr>
        <w:t>年</w:t>
      </w:r>
      <w:r>
        <w:rPr>
          <w:rFonts w:ascii="宋体" w:hAnsi="宋体" w:eastAsia="宋体" w:cs="宋体"/>
          <w:sz w:val="18"/>
          <w:szCs w:val="18"/>
        </w:rPr>
        <w:t>3</w:t>
      </w:r>
      <w:r>
        <w:rPr>
          <w:rFonts w:hint="eastAsia" w:ascii="宋体" w:hAnsi="宋体" w:eastAsia="宋体" w:cs="宋体"/>
          <w:sz w:val="18"/>
          <w:szCs w:val="18"/>
        </w:rPr>
        <w:t>月</w:t>
      </w:r>
      <w:r>
        <w:rPr>
          <w:rFonts w:ascii="宋体" w:hAnsi="宋体" w:eastAsia="宋体" w:cs="宋体"/>
          <w:sz w:val="18"/>
          <w:szCs w:val="18"/>
        </w:rPr>
        <w:t>12</w:t>
      </w:r>
      <w:r>
        <w:rPr>
          <w:rFonts w:hint="eastAsia" w:ascii="宋体" w:hAnsi="宋体" w:eastAsia="宋体" w:cs="宋体"/>
          <w:sz w:val="18"/>
          <w:szCs w:val="18"/>
        </w:rPr>
        <w:t>日止，华孚时尚公司已收到</w:t>
      </w:r>
      <w:r>
        <w:rPr>
          <w:rFonts w:ascii="宋体" w:hAnsi="宋体" w:eastAsia="宋体" w:cs="宋体"/>
          <w:sz w:val="18"/>
          <w:szCs w:val="18"/>
        </w:rPr>
        <w:t>94</w:t>
      </w:r>
      <w:r>
        <w:rPr>
          <w:rFonts w:hint="eastAsia" w:ascii="宋体" w:hAnsi="宋体" w:eastAsia="宋体" w:cs="宋体"/>
          <w:sz w:val="18"/>
          <w:szCs w:val="18"/>
        </w:rPr>
        <w:t>名持股计划对象缴纳的认购款人民币</w:t>
      </w:r>
      <w:r>
        <w:rPr>
          <w:rFonts w:ascii="宋体" w:hAnsi="宋体" w:eastAsia="宋体" w:cs="宋体"/>
          <w:sz w:val="18"/>
          <w:szCs w:val="18"/>
        </w:rPr>
        <w:t>68,242,000.00</w:t>
      </w:r>
      <w:r>
        <w:rPr>
          <w:rFonts w:hint="eastAsia" w:ascii="宋体" w:hAnsi="宋体" w:eastAsia="宋体" w:cs="宋体"/>
          <w:sz w:val="18"/>
          <w:szCs w:val="18"/>
        </w:rPr>
        <w:t>元。所有出资款均以人民币现金形式投入，其中减少库存股人民币</w:t>
      </w:r>
      <w:r>
        <w:rPr>
          <w:rFonts w:ascii="宋体" w:hAnsi="宋体" w:eastAsia="宋体" w:cs="宋体"/>
          <w:sz w:val="18"/>
          <w:szCs w:val="18"/>
        </w:rPr>
        <w:t>99,916,654.12</w:t>
      </w:r>
      <w:r>
        <w:rPr>
          <w:rFonts w:hint="eastAsia" w:ascii="宋体" w:hAnsi="宋体" w:eastAsia="宋体" w:cs="宋体"/>
          <w:sz w:val="18"/>
          <w:szCs w:val="18"/>
        </w:rPr>
        <w:t>元，减少资本公积（股本溢价）人民币</w:t>
      </w:r>
      <w:r>
        <w:rPr>
          <w:rFonts w:ascii="宋体" w:hAnsi="宋体" w:eastAsia="宋体" w:cs="宋体"/>
          <w:sz w:val="18"/>
          <w:szCs w:val="18"/>
        </w:rPr>
        <w:t>31,674,654.12</w:t>
      </w:r>
      <w:r>
        <w:rPr>
          <w:rFonts w:hint="eastAsia" w:ascii="宋体" w:hAnsi="宋体" w:eastAsia="宋体" w:cs="宋体"/>
          <w:sz w:val="18"/>
          <w:szCs w:val="18"/>
        </w:rPr>
        <w:t>元。本次持股计划对象认购后公司注册资本仍为</w:t>
      </w:r>
      <w:r>
        <w:rPr>
          <w:rFonts w:ascii="宋体" w:hAnsi="宋体" w:eastAsia="宋体" w:cs="宋体"/>
          <w:sz w:val="18"/>
          <w:szCs w:val="18"/>
        </w:rPr>
        <w:t>1,700,681,355.00</w:t>
      </w:r>
      <w:r>
        <w:rPr>
          <w:rFonts w:hint="eastAsia" w:ascii="宋体" w:hAnsi="宋体" w:eastAsia="宋体" w:cs="宋体"/>
          <w:sz w:val="18"/>
          <w:szCs w:val="18"/>
        </w:rPr>
        <w:t>元，公司股本仍为</w:t>
      </w:r>
      <w:r>
        <w:rPr>
          <w:rFonts w:ascii="宋体" w:hAnsi="宋体" w:eastAsia="宋体" w:cs="宋体"/>
          <w:sz w:val="18"/>
          <w:szCs w:val="18"/>
        </w:rPr>
        <w:t>1,700,681,355.00</w:t>
      </w:r>
      <w:r>
        <w:rPr>
          <w:rFonts w:hint="eastAsia" w:ascii="宋体" w:hAnsi="宋体" w:eastAsia="宋体" w:cs="宋体"/>
          <w:sz w:val="18"/>
          <w:szCs w:val="18"/>
        </w:rPr>
        <w:t>元。</w:t>
      </w:r>
    </w:p>
    <w:p w14:paraId="0A5E4219">
      <w:pPr>
        <w:pStyle w:val="2"/>
        <w:spacing w:before="300" w:after="300" w:line="320" w:lineRule="exact"/>
        <w:rPr>
          <w:rFonts w:ascii="宋体" w:hAnsi="宋体" w:eastAsia="宋体" w:cs="宋体"/>
          <w:b/>
          <w:bCs/>
          <w:sz w:val="24"/>
          <w:szCs w:val="24"/>
        </w:rPr>
      </w:pPr>
      <w:bookmarkStart w:id="597" w:name="_Toc989452"/>
      <w:r>
        <w:rPr>
          <w:rFonts w:ascii="宋体" w:hAnsi="宋体" w:eastAsia="宋体" w:cs="宋体"/>
          <w:b/>
          <w:bCs/>
          <w:sz w:val="24"/>
          <w:szCs w:val="24"/>
        </w:rPr>
        <w:t>十八、其他重要事项</w:t>
      </w:r>
      <w:bookmarkEnd w:id="597"/>
    </w:p>
    <w:p w14:paraId="75DE3340">
      <w:pPr>
        <w:pStyle w:val="3"/>
        <w:spacing w:line="280" w:lineRule="exact"/>
        <w:jc w:val="left"/>
        <w:rPr>
          <w:rFonts w:ascii="宋体" w:hAnsi="宋体" w:cs="宋体"/>
          <w:b/>
          <w:bCs/>
        </w:rPr>
      </w:pPr>
      <w:bookmarkStart w:id="598" w:name="_Toc989453"/>
      <w:r>
        <w:rPr>
          <w:rFonts w:ascii="宋体" w:hAnsi="宋体" w:cs="宋体"/>
          <w:b/>
          <w:bCs/>
        </w:rPr>
        <w:t>1、前期会计差错更正</w:t>
      </w:r>
      <w:bookmarkEnd w:id="598"/>
    </w:p>
    <w:p w14:paraId="70C855E6">
      <w:pPr>
        <w:keepNext/>
        <w:keepLines/>
        <w:spacing w:before="300" w:after="300" w:line="280" w:lineRule="exact"/>
        <w:outlineLvl w:val="3"/>
        <w:rPr>
          <w:rFonts w:ascii="宋体" w:hAnsi="宋体" w:eastAsia="宋体" w:cs="宋体"/>
          <w:b/>
          <w:bCs/>
          <w:szCs w:val="21"/>
        </w:rPr>
      </w:pPr>
      <w:bookmarkStart w:id="599" w:name="_Toc989454"/>
      <w:r>
        <w:rPr>
          <w:rFonts w:ascii="宋体" w:hAnsi="宋体" w:eastAsia="宋体" w:cs="宋体"/>
          <w:b/>
          <w:bCs/>
          <w:szCs w:val="21"/>
        </w:rPr>
        <w:t>（1） 追溯重述法</w:t>
      </w:r>
      <w:bookmarkEnd w:id="599"/>
    </w:p>
    <w:p w14:paraId="07E94C2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1C599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508F463">
            <w:pPr>
              <w:spacing w:before="40" w:after="40" w:line="240" w:lineRule="exact"/>
              <w:jc w:val="center"/>
              <w:rPr>
                <w:rFonts w:ascii="宋体" w:hAnsi="宋体" w:eastAsia="宋体" w:cs="宋体"/>
                <w:sz w:val="18"/>
                <w:szCs w:val="18"/>
              </w:rPr>
            </w:pPr>
            <w:r>
              <w:rPr>
                <w:rFonts w:ascii="宋体" w:hAnsi="宋体" w:eastAsia="宋体" w:cs="宋体"/>
                <w:sz w:val="18"/>
                <w:szCs w:val="18"/>
              </w:rPr>
              <w:t>会计差错更正的内容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0E18CEC">
            <w:pPr>
              <w:spacing w:before="40" w:after="40" w:line="240" w:lineRule="exact"/>
              <w:jc w:val="center"/>
              <w:rPr>
                <w:rFonts w:ascii="宋体" w:hAnsi="宋体" w:eastAsia="宋体" w:cs="宋体"/>
                <w:sz w:val="18"/>
                <w:szCs w:val="18"/>
              </w:rPr>
            </w:pPr>
            <w:r>
              <w:rPr>
                <w:rFonts w:ascii="宋体" w:hAnsi="宋体" w:eastAsia="宋体" w:cs="宋体"/>
                <w:sz w:val="18"/>
                <w:szCs w:val="18"/>
              </w:rPr>
              <w:t>处理程序</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20195B2">
            <w:pPr>
              <w:spacing w:before="40" w:after="40" w:line="240" w:lineRule="exact"/>
              <w:jc w:val="center"/>
              <w:rPr>
                <w:rFonts w:ascii="宋体" w:hAnsi="宋体" w:eastAsia="宋体" w:cs="宋体"/>
                <w:sz w:val="18"/>
                <w:szCs w:val="18"/>
              </w:rPr>
            </w:pPr>
            <w:r>
              <w:rPr>
                <w:rFonts w:ascii="宋体" w:hAnsi="宋体" w:eastAsia="宋体" w:cs="宋体"/>
                <w:sz w:val="18"/>
                <w:szCs w:val="18"/>
              </w:rPr>
              <w:t>受影响的各个比较期间报表项目名称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D5063C2">
            <w:pPr>
              <w:spacing w:before="40" w:after="40" w:line="240" w:lineRule="exact"/>
              <w:jc w:val="center"/>
              <w:rPr>
                <w:rFonts w:ascii="宋体" w:hAnsi="宋体" w:eastAsia="宋体" w:cs="宋体"/>
                <w:sz w:val="18"/>
                <w:szCs w:val="18"/>
              </w:rPr>
            </w:pPr>
            <w:r>
              <w:rPr>
                <w:rFonts w:ascii="宋体" w:hAnsi="宋体" w:eastAsia="宋体" w:cs="宋体"/>
                <w:sz w:val="18"/>
                <w:szCs w:val="18"/>
              </w:rPr>
              <w:t>累积影响数</w:t>
            </w:r>
          </w:p>
        </w:tc>
      </w:tr>
    </w:tbl>
    <w:p w14:paraId="22C5363B">
      <w:pPr>
        <w:keepNext/>
        <w:keepLines/>
        <w:spacing w:before="300" w:after="300" w:line="280" w:lineRule="exact"/>
        <w:outlineLvl w:val="3"/>
        <w:rPr>
          <w:rFonts w:ascii="宋体" w:hAnsi="宋体" w:eastAsia="宋体" w:cs="宋体"/>
          <w:b/>
          <w:bCs/>
          <w:szCs w:val="21"/>
        </w:rPr>
      </w:pPr>
      <w:bookmarkStart w:id="600" w:name="_Toc989455"/>
      <w:r>
        <w:rPr>
          <w:rFonts w:ascii="宋体" w:hAnsi="宋体" w:eastAsia="宋体" w:cs="宋体"/>
          <w:b/>
          <w:bCs/>
          <w:szCs w:val="21"/>
        </w:rPr>
        <w:t>（2） 未来适用法</w:t>
      </w:r>
      <w:bookmarkEnd w:id="600"/>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A358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CE5D18">
            <w:pPr>
              <w:spacing w:before="40" w:after="40" w:line="240" w:lineRule="exact"/>
              <w:jc w:val="center"/>
              <w:rPr>
                <w:rFonts w:ascii="宋体" w:hAnsi="宋体" w:eastAsia="宋体" w:cs="宋体"/>
                <w:sz w:val="18"/>
                <w:szCs w:val="18"/>
              </w:rPr>
            </w:pPr>
            <w:r>
              <w:rPr>
                <w:rFonts w:ascii="宋体" w:hAnsi="宋体" w:eastAsia="宋体" w:cs="宋体"/>
                <w:sz w:val="18"/>
                <w:szCs w:val="18"/>
              </w:rPr>
              <w:t>会计差错更正的内容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953E7D">
            <w:pPr>
              <w:spacing w:before="40" w:after="40" w:line="240" w:lineRule="exact"/>
              <w:jc w:val="center"/>
              <w:rPr>
                <w:rFonts w:ascii="宋体" w:hAnsi="宋体" w:eastAsia="宋体" w:cs="宋体"/>
                <w:sz w:val="18"/>
                <w:szCs w:val="18"/>
              </w:rPr>
            </w:pPr>
            <w:r>
              <w:rPr>
                <w:rFonts w:ascii="宋体" w:hAnsi="宋体" w:eastAsia="宋体" w:cs="宋体"/>
                <w:sz w:val="18"/>
                <w:szCs w:val="18"/>
              </w:rPr>
              <w:t>批准程序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BC24A5">
            <w:pPr>
              <w:spacing w:before="40" w:after="40" w:line="240" w:lineRule="exact"/>
              <w:jc w:val="center"/>
              <w:rPr>
                <w:rFonts w:ascii="宋体" w:hAnsi="宋体" w:eastAsia="宋体" w:cs="宋体"/>
                <w:sz w:val="18"/>
                <w:szCs w:val="18"/>
              </w:rPr>
            </w:pPr>
            <w:r>
              <w:rPr>
                <w:rFonts w:ascii="宋体" w:hAnsi="宋体" w:eastAsia="宋体" w:cs="宋体"/>
                <w:sz w:val="18"/>
                <w:szCs w:val="18"/>
              </w:rPr>
              <w:t>采用未来适用法的原因</w:t>
            </w:r>
          </w:p>
        </w:tc>
      </w:tr>
    </w:tbl>
    <w:p w14:paraId="25CBD1B8">
      <w:pPr>
        <w:pStyle w:val="3"/>
        <w:spacing w:line="280" w:lineRule="exact"/>
        <w:jc w:val="left"/>
        <w:rPr>
          <w:rFonts w:ascii="宋体" w:hAnsi="宋体" w:cs="宋体"/>
          <w:b/>
          <w:bCs/>
        </w:rPr>
      </w:pPr>
      <w:bookmarkStart w:id="601" w:name="_Toc989456"/>
      <w:r>
        <w:rPr>
          <w:rFonts w:ascii="宋体" w:hAnsi="宋体" w:cs="宋体"/>
          <w:b/>
          <w:bCs/>
        </w:rPr>
        <w:t>2、债务重组</w:t>
      </w:r>
      <w:bookmarkEnd w:id="601"/>
    </w:p>
    <w:p w14:paraId="03AE29B7">
      <w:pPr>
        <w:rPr>
          <w:sz w:val="18"/>
          <w:szCs w:val="18"/>
        </w:rPr>
      </w:pPr>
    </w:p>
    <w:p w14:paraId="53660DBF">
      <w:pPr>
        <w:pStyle w:val="3"/>
        <w:spacing w:line="280" w:lineRule="exact"/>
        <w:jc w:val="left"/>
        <w:rPr>
          <w:rFonts w:ascii="宋体" w:hAnsi="宋体" w:cs="宋体"/>
          <w:b/>
          <w:bCs/>
        </w:rPr>
      </w:pPr>
      <w:bookmarkStart w:id="602" w:name="_Toc989457"/>
      <w:r>
        <w:rPr>
          <w:rFonts w:ascii="宋体" w:hAnsi="宋体" w:cs="宋体"/>
          <w:b/>
          <w:bCs/>
        </w:rPr>
        <w:t>3、资产置换</w:t>
      </w:r>
      <w:bookmarkEnd w:id="602"/>
    </w:p>
    <w:p w14:paraId="6F7E42E5">
      <w:pPr>
        <w:keepNext/>
        <w:keepLines/>
        <w:spacing w:before="300" w:after="300" w:line="280" w:lineRule="exact"/>
        <w:outlineLvl w:val="3"/>
        <w:rPr>
          <w:rFonts w:ascii="宋体" w:hAnsi="宋体" w:eastAsia="宋体" w:cs="宋体"/>
          <w:b/>
          <w:bCs/>
          <w:szCs w:val="21"/>
        </w:rPr>
      </w:pPr>
      <w:bookmarkStart w:id="603" w:name="_Toc989458"/>
      <w:r>
        <w:rPr>
          <w:rFonts w:ascii="宋体" w:hAnsi="宋体" w:eastAsia="宋体" w:cs="宋体"/>
          <w:b/>
          <w:bCs/>
          <w:szCs w:val="21"/>
        </w:rPr>
        <w:t>（1） 非货币性资产交换</w:t>
      </w:r>
      <w:bookmarkEnd w:id="603"/>
    </w:p>
    <w:p w14:paraId="6654C262">
      <w:pPr>
        <w:keepNext/>
        <w:keepLines/>
        <w:spacing w:before="300" w:after="300" w:line="280" w:lineRule="exact"/>
        <w:outlineLvl w:val="3"/>
        <w:rPr>
          <w:rFonts w:ascii="宋体" w:hAnsi="宋体" w:eastAsia="宋体" w:cs="宋体"/>
          <w:b/>
          <w:bCs/>
          <w:szCs w:val="21"/>
        </w:rPr>
      </w:pPr>
      <w:bookmarkStart w:id="604" w:name="_Toc989459"/>
      <w:r>
        <w:rPr>
          <w:rFonts w:ascii="宋体" w:hAnsi="宋体" w:eastAsia="宋体" w:cs="宋体"/>
          <w:b/>
          <w:bCs/>
          <w:szCs w:val="21"/>
        </w:rPr>
        <w:t>（2） 其他资产置换</w:t>
      </w:r>
      <w:bookmarkEnd w:id="604"/>
    </w:p>
    <w:p w14:paraId="2930C514">
      <w:pPr>
        <w:pStyle w:val="3"/>
        <w:spacing w:line="280" w:lineRule="exact"/>
        <w:jc w:val="left"/>
        <w:rPr>
          <w:rFonts w:ascii="宋体" w:hAnsi="宋体" w:cs="宋体"/>
          <w:b/>
          <w:bCs/>
        </w:rPr>
      </w:pPr>
      <w:bookmarkStart w:id="605" w:name="_Toc989460"/>
      <w:r>
        <w:rPr>
          <w:rFonts w:ascii="宋体" w:hAnsi="宋体" w:cs="宋体"/>
          <w:b/>
          <w:bCs/>
        </w:rPr>
        <w:t>4、年金计划</w:t>
      </w:r>
      <w:bookmarkEnd w:id="605"/>
    </w:p>
    <w:p w14:paraId="43327635">
      <w:pPr>
        <w:pStyle w:val="3"/>
        <w:spacing w:line="280" w:lineRule="exact"/>
        <w:jc w:val="left"/>
        <w:rPr>
          <w:rFonts w:ascii="宋体" w:hAnsi="宋体" w:cs="宋体"/>
          <w:b/>
          <w:bCs/>
        </w:rPr>
      </w:pPr>
      <w:bookmarkStart w:id="606" w:name="_Toc989461"/>
      <w:r>
        <w:rPr>
          <w:rFonts w:ascii="宋体" w:hAnsi="宋体" w:cs="宋体"/>
          <w:b/>
          <w:bCs/>
        </w:rPr>
        <w:t>5、终止经营</w:t>
      </w:r>
      <w:bookmarkEnd w:id="606"/>
    </w:p>
    <w:p w14:paraId="2416B524">
      <w:pPr>
        <w:pStyle w:val="3"/>
        <w:spacing w:line="280" w:lineRule="exact"/>
        <w:jc w:val="left"/>
        <w:rPr>
          <w:rFonts w:ascii="宋体" w:hAnsi="宋体" w:cs="宋体"/>
          <w:b/>
          <w:bCs/>
        </w:rPr>
      </w:pPr>
      <w:bookmarkStart w:id="607" w:name="_Toc989462"/>
      <w:r>
        <w:rPr>
          <w:rFonts w:ascii="宋体" w:hAnsi="宋体" w:cs="宋体"/>
          <w:b/>
          <w:bCs/>
        </w:rPr>
        <w:t>6、分部信息</w:t>
      </w:r>
      <w:bookmarkEnd w:id="607"/>
    </w:p>
    <w:p w14:paraId="02FC9805">
      <w:pPr>
        <w:keepNext/>
        <w:keepLines/>
        <w:spacing w:before="300" w:after="300" w:line="280" w:lineRule="exact"/>
        <w:outlineLvl w:val="3"/>
        <w:rPr>
          <w:rFonts w:ascii="宋体" w:hAnsi="宋体" w:eastAsia="宋体" w:cs="宋体"/>
          <w:b/>
          <w:bCs/>
          <w:szCs w:val="21"/>
        </w:rPr>
      </w:pPr>
      <w:bookmarkStart w:id="608" w:name="_Toc989463"/>
      <w:r>
        <w:rPr>
          <w:rFonts w:ascii="宋体" w:hAnsi="宋体" w:eastAsia="宋体" w:cs="宋体"/>
          <w:b/>
          <w:bCs/>
          <w:szCs w:val="21"/>
        </w:rPr>
        <w:t>（1） 报告分部的确定依据与会计政策</w:t>
      </w:r>
      <w:bookmarkEnd w:id="608"/>
    </w:p>
    <w:p w14:paraId="19258E27">
      <w:pPr>
        <w:keepNext/>
        <w:keepLines/>
        <w:spacing w:before="300" w:after="300" w:line="280" w:lineRule="exact"/>
        <w:outlineLvl w:val="3"/>
        <w:rPr>
          <w:rFonts w:ascii="宋体" w:hAnsi="宋体" w:eastAsia="宋体" w:cs="宋体"/>
          <w:b/>
          <w:bCs/>
          <w:szCs w:val="21"/>
        </w:rPr>
      </w:pPr>
      <w:bookmarkStart w:id="609" w:name="_Toc989464"/>
      <w:r>
        <w:rPr>
          <w:rFonts w:ascii="宋体" w:hAnsi="宋体" w:eastAsia="宋体" w:cs="宋体"/>
          <w:b/>
          <w:bCs/>
          <w:szCs w:val="21"/>
        </w:rPr>
        <w:t>（2） 报告分部的财务信息</w:t>
      </w:r>
      <w:bookmarkEnd w:id="609"/>
    </w:p>
    <w:p w14:paraId="3B1A3EAB">
      <w:pPr>
        <w:keepNext/>
        <w:keepLines/>
        <w:spacing w:before="300" w:after="300" w:line="280" w:lineRule="exact"/>
        <w:outlineLvl w:val="3"/>
        <w:rPr>
          <w:rFonts w:ascii="宋体" w:hAnsi="宋体" w:eastAsia="宋体" w:cs="宋体"/>
          <w:b/>
          <w:bCs/>
          <w:szCs w:val="21"/>
        </w:rPr>
      </w:pPr>
      <w:bookmarkStart w:id="610" w:name="_Toc989465"/>
      <w:r>
        <w:rPr>
          <w:rFonts w:ascii="宋体" w:hAnsi="宋体" w:eastAsia="宋体" w:cs="宋体"/>
          <w:b/>
          <w:bCs/>
          <w:szCs w:val="21"/>
        </w:rPr>
        <w:t>（3） 公司无报告分部的，或者不能披露各报告分部的资产总额和负债总额的，应说明原因</w:t>
      </w:r>
      <w:bookmarkEnd w:id="610"/>
    </w:p>
    <w:p w14:paraId="6F169470">
      <w:pPr>
        <w:keepNext/>
        <w:keepLines/>
        <w:spacing w:before="300" w:after="300" w:line="280" w:lineRule="exact"/>
        <w:outlineLvl w:val="3"/>
        <w:rPr>
          <w:rFonts w:ascii="宋体" w:hAnsi="宋体" w:eastAsia="宋体" w:cs="宋体"/>
          <w:b/>
          <w:bCs/>
          <w:szCs w:val="21"/>
        </w:rPr>
      </w:pPr>
      <w:bookmarkStart w:id="611" w:name="_Toc989466"/>
      <w:r>
        <w:rPr>
          <w:rFonts w:ascii="宋体" w:hAnsi="宋体" w:eastAsia="宋体" w:cs="宋体"/>
          <w:b/>
          <w:bCs/>
          <w:szCs w:val="21"/>
        </w:rPr>
        <w:t>（4） 其他说明</w:t>
      </w:r>
      <w:bookmarkEnd w:id="611"/>
    </w:p>
    <w:p w14:paraId="449E28A4">
      <w:pPr>
        <w:pStyle w:val="3"/>
        <w:spacing w:line="280" w:lineRule="exact"/>
        <w:jc w:val="left"/>
        <w:rPr>
          <w:rFonts w:ascii="宋体" w:hAnsi="宋体" w:cs="宋体"/>
          <w:b/>
          <w:bCs/>
        </w:rPr>
      </w:pPr>
      <w:bookmarkStart w:id="612" w:name="_Toc989467"/>
      <w:r>
        <w:rPr>
          <w:rFonts w:ascii="宋体" w:hAnsi="宋体" w:cs="宋体"/>
          <w:b/>
          <w:bCs/>
        </w:rPr>
        <w:t>7、其他对投资者决策有影响的重要交易和事项</w:t>
      </w:r>
      <w:bookmarkEnd w:id="612"/>
    </w:p>
    <w:p w14:paraId="37357826">
      <w:pPr>
        <w:pStyle w:val="3"/>
        <w:spacing w:line="280" w:lineRule="exact"/>
        <w:jc w:val="left"/>
        <w:rPr>
          <w:rFonts w:ascii="宋体" w:hAnsi="宋体" w:cs="宋体"/>
          <w:b/>
          <w:bCs/>
        </w:rPr>
      </w:pPr>
      <w:bookmarkStart w:id="613" w:name="_Toc989468"/>
      <w:r>
        <w:rPr>
          <w:rFonts w:ascii="宋体" w:hAnsi="宋体" w:cs="宋体"/>
          <w:b/>
          <w:bCs/>
        </w:rPr>
        <w:t>8、其他</w:t>
      </w:r>
      <w:bookmarkEnd w:id="613"/>
    </w:p>
    <w:p w14:paraId="7B438551">
      <w:pPr>
        <w:pStyle w:val="2"/>
        <w:spacing w:before="300" w:after="300" w:line="320" w:lineRule="exact"/>
        <w:rPr>
          <w:rFonts w:ascii="宋体" w:hAnsi="宋体" w:eastAsia="宋体" w:cs="宋体"/>
          <w:b/>
          <w:bCs/>
          <w:sz w:val="24"/>
          <w:szCs w:val="24"/>
        </w:rPr>
      </w:pPr>
      <w:bookmarkStart w:id="614" w:name="_Toc989469"/>
      <w:r>
        <w:rPr>
          <w:rFonts w:ascii="宋体" w:hAnsi="宋体" w:eastAsia="宋体" w:cs="宋体"/>
          <w:b/>
          <w:bCs/>
          <w:sz w:val="24"/>
          <w:szCs w:val="24"/>
        </w:rPr>
        <w:t>十九、母公司财务报表主要项目注释</w:t>
      </w:r>
      <w:bookmarkEnd w:id="614"/>
    </w:p>
    <w:p w14:paraId="7E1DD2E5">
      <w:pPr>
        <w:pStyle w:val="3"/>
        <w:spacing w:line="280" w:lineRule="exact"/>
        <w:jc w:val="left"/>
        <w:rPr>
          <w:rFonts w:ascii="宋体" w:hAnsi="宋体" w:cs="宋体"/>
          <w:b/>
          <w:bCs/>
        </w:rPr>
      </w:pPr>
      <w:bookmarkStart w:id="615" w:name="_Toc989470"/>
      <w:r>
        <w:rPr>
          <w:rFonts w:ascii="宋体" w:hAnsi="宋体" w:cs="宋体"/>
          <w:b/>
          <w:bCs/>
        </w:rPr>
        <w:t>1、应收账款</w:t>
      </w:r>
      <w:bookmarkEnd w:id="615"/>
    </w:p>
    <w:p w14:paraId="7FC4A5D5">
      <w:pPr>
        <w:keepNext/>
        <w:keepLines/>
        <w:spacing w:before="300" w:after="300" w:line="280" w:lineRule="exact"/>
        <w:outlineLvl w:val="3"/>
        <w:rPr>
          <w:rFonts w:ascii="宋体" w:hAnsi="宋体" w:eastAsia="宋体" w:cs="宋体"/>
          <w:b/>
          <w:bCs/>
          <w:szCs w:val="21"/>
        </w:rPr>
      </w:pPr>
      <w:bookmarkStart w:id="616" w:name="_Toc989471"/>
      <w:r>
        <w:rPr>
          <w:rFonts w:ascii="宋体" w:hAnsi="宋体" w:eastAsia="宋体" w:cs="宋体"/>
          <w:b/>
          <w:bCs/>
          <w:szCs w:val="21"/>
        </w:rPr>
        <w:t>（1） 按账龄披露</w:t>
      </w:r>
      <w:bookmarkEnd w:id="616"/>
    </w:p>
    <w:p w14:paraId="16534C9C">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04CD8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23118B9">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2C79C04">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A4C0C72">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1F2DD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4C9E90A">
            <w:pPr>
              <w:spacing w:before="40" w:after="40" w:line="240" w:lineRule="exac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14:paraId="6DA356C6">
            <w:pPr>
              <w:spacing w:line="240" w:lineRule="exact"/>
              <w:jc w:val="right"/>
              <w:rPr>
                <w:rFonts w:ascii="宋体" w:hAnsi="宋体" w:eastAsia="宋体" w:cs="宋体"/>
                <w:sz w:val="18"/>
                <w:szCs w:val="18"/>
              </w:rPr>
            </w:pPr>
            <w:r>
              <w:rPr>
                <w:rFonts w:ascii="宋体" w:hAnsi="宋体" w:eastAsia="宋体" w:cs="宋体"/>
                <w:sz w:val="18"/>
                <w:szCs w:val="18"/>
              </w:rPr>
              <w:t>14,326,895.07</w:t>
            </w:r>
          </w:p>
        </w:tc>
        <w:tc>
          <w:tcPr>
            <w:tcW w:w="3213" w:type="dxa"/>
            <w:tcBorders>
              <w:top w:val="single" w:color="auto" w:sz="2" w:space="0"/>
              <w:left w:val="single" w:color="auto" w:sz="2" w:space="0"/>
              <w:bottom w:val="single" w:color="auto" w:sz="2" w:space="0"/>
              <w:right w:val="single" w:color="auto" w:sz="2" w:space="0"/>
            </w:tcBorders>
            <w:vAlign w:val="center"/>
          </w:tcPr>
          <w:p w14:paraId="64397BD3">
            <w:pPr>
              <w:spacing w:line="240" w:lineRule="exact"/>
              <w:jc w:val="right"/>
              <w:rPr>
                <w:rFonts w:ascii="宋体" w:hAnsi="宋体" w:eastAsia="宋体" w:cs="宋体"/>
                <w:sz w:val="18"/>
                <w:szCs w:val="18"/>
              </w:rPr>
            </w:pPr>
            <w:r>
              <w:rPr>
                <w:rFonts w:ascii="宋体" w:hAnsi="宋体" w:eastAsia="宋体" w:cs="宋体"/>
                <w:sz w:val="18"/>
                <w:szCs w:val="18"/>
              </w:rPr>
              <w:t>7,466,582.16</w:t>
            </w:r>
          </w:p>
        </w:tc>
      </w:tr>
      <w:tr w14:paraId="3D26F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520173">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06875C6E">
            <w:pPr>
              <w:spacing w:line="240" w:lineRule="exact"/>
              <w:jc w:val="right"/>
              <w:rPr>
                <w:rFonts w:ascii="宋体" w:hAnsi="宋体" w:eastAsia="宋体" w:cs="宋体"/>
                <w:sz w:val="18"/>
                <w:szCs w:val="18"/>
              </w:rPr>
            </w:pPr>
            <w:r>
              <w:rPr>
                <w:rFonts w:ascii="宋体" w:hAnsi="宋体" w:eastAsia="宋体" w:cs="宋体"/>
                <w:sz w:val="18"/>
                <w:szCs w:val="18"/>
              </w:rPr>
              <w:t>14,326,895.07</w:t>
            </w:r>
          </w:p>
        </w:tc>
        <w:tc>
          <w:tcPr>
            <w:tcW w:w="3213" w:type="dxa"/>
            <w:tcBorders>
              <w:top w:val="single" w:color="auto" w:sz="2" w:space="0"/>
              <w:left w:val="single" w:color="auto" w:sz="2" w:space="0"/>
              <w:bottom w:val="single" w:color="auto" w:sz="2" w:space="0"/>
              <w:right w:val="single" w:color="auto" w:sz="2" w:space="0"/>
            </w:tcBorders>
            <w:vAlign w:val="center"/>
          </w:tcPr>
          <w:p w14:paraId="2DDD7978">
            <w:pPr>
              <w:spacing w:line="240" w:lineRule="exact"/>
              <w:jc w:val="right"/>
              <w:rPr>
                <w:rFonts w:ascii="宋体" w:hAnsi="宋体" w:eastAsia="宋体" w:cs="宋体"/>
                <w:sz w:val="18"/>
                <w:szCs w:val="18"/>
              </w:rPr>
            </w:pPr>
            <w:r>
              <w:rPr>
                <w:rFonts w:ascii="宋体" w:hAnsi="宋体" w:eastAsia="宋体" w:cs="宋体"/>
                <w:sz w:val="18"/>
                <w:szCs w:val="18"/>
              </w:rPr>
              <w:t>7,466,582.16</w:t>
            </w:r>
          </w:p>
        </w:tc>
      </w:tr>
    </w:tbl>
    <w:p w14:paraId="43844162">
      <w:pPr>
        <w:keepNext/>
        <w:keepLines/>
        <w:spacing w:before="300" w:after="300" w:line="280" w:lineRule="exact"/>
        <w:outlineLvl w:val="3"/>
        <w:rPr>
          <w:rFonts w:ascii="宋体" w:hAnsi="宋体" w:eastAsia="宋体" w:cs="宋体"/>
          <w:b/>
          <w:bCs/>
          <w:szCs w:val="21"/>
        </w:rPr>
      </w:pPr>
      <w:bookmarkStart w:id="617" w:name="_Toc989472"/>
      <w:r>
        <w:rPr>
          <w:rFonts w:ascii="宋体" w:hAnsi="宋体" w:eastAsia="宋体" w:cs="宋体"/>
          <w:b/>
          <w:bCs/>
          <w:szCs w:val="21"/>
        </w:rPr>
        <w:t>（2） 按坏账计提方法分类披露</w:t>
      </w:r>
      <w:bookmarkEnd w:id="617"/>
    </w:p>
    <w:p w14:paraId="04E9E58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14:paraId="4AFB1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960D441">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2CA4D79D">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1311FBA8">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2A1A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7BFC2A4"/>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F4FF18C">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463DF01">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DCD0D87">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88D7335">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34D3DAB">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51EF3F3">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09268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12489FD"/>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DFCBE8E">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D9411F3">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6F51DC2">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F39C701">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A456D82"/>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6C70814">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3E383E1">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030E49F">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AE5A5E1">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1192A121"/>
        </w:tc>
      </w:tr>
      <w:tr w14:paraId="005D2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9D1875A">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F704E20"/>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8177CC2"/>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FD005BE"/>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46E89EE"/>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CFF66E5"/>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91BC113"/>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F995FA2"/>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E6E0CA8"/>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8ADD706"/>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C4A4A17"/>
        </w:tc>
      </w:tr>
      <w:tr w14:paraId="10A37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51C652E">
            <w:pPr>
              <w:spacing w:before="40" w:after="40" w:line="240" w:lineRule="exac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14:paraId="26766CC5">
            <w:pPr>
              <w:spacing w:line="240" w:lineRule="exact"/>
              <w:jc w:val="right"/>
              <w:rPr>
                <w:rFonts w:ascii="宋体" w:hAnsi="宋体" w:eastAsia="宋体" w:cs="宋体"/>
                <w:sz w:val="18"/>
                <w:szCs w:val="18"/>
              </w:rPr>
            </w:pPr>
            <w:r>
              <w:rPr>
                <w:rFonts w:ascii="宋体" w:hAnsi="宋体" w:eastAsia="宋体" w:cs="宋体"/>
                <w:sz w:val="18"/>
                <w:szCs w:val="18"/>
              </w:rPr>
              <w:t>14,326,895.07</w:t>
            </w:r>
          </w:p>
        </w:tc>
        <w:tc>
          <w:tcPr>
            <w:tcW w:w="876" w:type="dxa"/>
            <w:tcBorders>
              <w:top w:val="single" w:color="auto" w:sz="2" w:space="0"/>
              <w:left w:val="single" w:color="auto" w:sz="2" w:space="0"/>
              <w:bottom w:val="single" w:color="auto" w:sz="2" w:space="0"/>
              <w:right w:val="single" w:color="auto" w:sz="2" w:space="0"/>
            </w:tcBorders>
            <w:vAlign w:val="center"/>
          </w:tcPr>
          <w:p w14:paraId="7B4E0DBE">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3A6B8905">
            <w:pPr>
              <w:spacing w:line="240" w:lineRule="exact"/>
              <w:jc w:val="right"/>
              <w:rPr>
                <w:rFonts w:ascii="宋体" w:hAnsi="宋体" w:eastAsia="宋体" w:cs="宋体"/>
                <w:sz w:val="18"/>
                <w:szCs w:val="18"/>
              </w:rPr>
            </w:pPr>
            <w:r>
              <w:rPr>
                <w:rFonts w:ascii="宋体" w:hAnsi="宋体" w:eastAsia="宋体" w:cs="宋体"/>
                <w:sz w:val="18"/>
                <w:szCs w:val="18"/>
              </w:rPr>
              <w:t>273,012.27</w:t>
            </w:r>
          </w:p>
        </w:tc>
        <w:tc>
          <w:tcPr>
            <w:tcW w:w="876" w:type="dxa"/>
            <w:tcBorders>
              <w:top w:val="single" w:color="auto" w:sz="2" w:space="0"/>
              <w:left w:val="single" w:color="auto" w:sz="2" w:space="0"/>
              <w:bottom w:val="single" w:color="auto" w:sz="2" w:space="0"/>
              <w:right w:val="single" w:color="auto" w:sz="2" w:space="0"/>
            </w:tcBorders>
            <w:vAlign w:val="center"/>
          </w:tcPr>
          <w:p w14:paraId="7F3BB9CA">
            <w:pPr>
              <w:spacing w:line="240" w:lineRule="exact"/>
              <w:jc w:val="right"/>
              <w:rPr>
                <w:rFonts w:ascii="宋体" w:hAnsi="宋体" w:eastAsia="宋体" w:cs="宋体"/>
                <w:sz w:val="18"/>
                <w:szCs w:val="18"/>
              </w:rPr>
            </w:pPr>
            <w:r>
              <w:rPr>
                <w:rFonts w:ascii="宋体" w:hAnsi="宋体" w:eastAsia="宋体" w:cs="宋体"/>
                <w:sz w:val="18"/>
                <w:szCs w:val="18"/>
              </w:rPr>
              <w:t>1.91%</w:t>
            </w:r>
          </w:p>
        </w:tc>
        <w:tc>
          <w:tcPr>
            <w:tcW w:w="876" w:type="dxa"/>
            <w:tcBorders>
              <w:top w:val="single" w:color="auto" w:sz="2" w:space="0"/>
              <w:left w:val="single" w:color="auto" w:sz="2" w:space="0"/>
              <w:bottom w:val="single" w:color="auto" w:sz="2" w:space="0"/>
              <w:right w:val="single" w:color="auto" w:sz="2" w:space="0"/>
            </w:tcBorders>
            <w:vAlign w:val="center"/>
          </w:tcPr>
          <w:p w14:paraId="797378CD">
            <w:pPr>
              <w:spacing w:line="240" w:lineRule="exact"/>
              <w:jc w:val="right"/>
              <w:rPr>
                <w:rFonts w:ascii="宋体" w:hAnsi="宋体" w:eastAsia="宋体" w:cs="宋体"/>
                <w:sz w:val="18"/>
                <w:szCs w:val="18"/>
              </w:rPr>
            </w:pPr>
            <w:r>
              <w:rPr>
                <w:rFonts w:ascii="宋体" w:hAnsi="宋体" w:eastAsia="宋体" w:cs="宋体"/>
                <w:sz w:val="18"/>
                <w:szCs w:val="18"/>
              </w:rPr>
              <w:t>14,053,882.80</w:t>
            </w:r>
          </w:p>
        </w:tc>
        <w:tc>
          <w:tcPr>
            <w:tcW w:w="876" w:type="dxa"/>
            <w:tcBorders>
              <w:top w:val="single" w:color="auto" w:sz="2" w:space="0"/>
              <w:left w:val="single" w:color="auto" w:sz="2" w:space="0"/>
              <w:bottom w:val="single" w:color="auto" w:sz="2" w:space="0"/>
              <w:right w:val="single" w:color="auto" w:sz="2" w:space="0"/>
            </w:tcBorders>
            <w:vAlign w:val="center"/>
          </w:tcPr>
          <w:p w14:paraId="54552B47">
            <w:pPr>
              <w:spacing w:line="240" w:lineRule="exact"/>
              <w:jc w:val="right"/>
              <w:rPr>
                <w:rFonts w:ascii="宋体" w:hAnsi="宋体" w:eastAsia="宋体" w:cs="宋体"/>
                <w:sz w:val="18"/>
                <w:szCs w:val="18"/>
              </w:rPr>
            </w:pPr>
            <w:r>
              <w:rPr>
                <w:rFonts w:ascii="宋体" w:hAnsi="宋体" w:eastAsia="宋体" w:cs="宋体"/>
                <w:sz w:val="18"/>
                <w:szCs w:val="18"/>
              </w:rPr>
              <w:t>7,466,582.16</w:t>
            </w:r>
          </w:p>
        </w:tc>
        <w:tc>
          <w:tcPr>
            <w:tcW w:w="876" w:type="dxa"/>
            <w:tcBorders>
              <w:top w:val="single" w:color="auto" w:sz="2" w:space="0"/>
              <w:left w:val="single" w:color="auto" w:sz="2" w:space="0"/>
              <w:bottom w:val="single" w:color="auto" w:sz="2" w:space="0"/>
              <w:right w:val="single" w:color="auto" w:sz="2" w:space="0"/>
            </w:tcBorders>
            <w:vAlign w:val="center"/>
          </w:tcPr>
          <w:p w14:paraId="4E1D4F20">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58D201B4">
            <w:pPr>
              <w:spacing w:line="240" w:lineRule="exact"/>
              <w:jc w:val="right"/>
              <w:rPr>
                <w:rFonts w:ascii="宋体" w:hAnsi="宋体" w:eastAsia="宋体" w:cs="宋体"/>
                <w:sz w:val="18"/>
                <w:szCs w:val="18"/>
              </w:rPr>
            </w:pPr>
            <w:r>
              <w:rPr>
                <w:rFonts w:ascii="宋体" w:hAnsi="宋体" w:eastAsia="宋体" w:cs="宋体"/>
                <w:sz w:val="18"/>
                <w:szCs w:val="18"/>
              </w:rPr>
              <w:t>256,274.71</w:t>
            </w:r>
          </w:p>
        </w:tc>
        <w:tc>
          <w:tcPr>
            <w:tcW w:w="876" w:type="dxa"/>
            <w:tcBorders>
              <w:top w:val="single" w:color="auto" w:sz="2" w:space="0"/>
              <w:left w:val="single" w:color="auto" w:sz="2" w:space="0"/>
              <w:bottom w:val="single" w:color="auto" w:sz="2" w:space="0"/>
              <w:right w:val="single" w:color="auto" w:sz="2" w:space="0"/>
            </w:tcBorders>
            <w:vAlign w:val="center"/>
          </w:tcPr>
          <w:p w14:paraId="5BFE59E8">
            <w:pPr>
              <w:spacing w:line="240" w:lineRule="exact"/>
              <w:jc w:val="right"/>
              <w:rPr>
                <w:rFonts w:ascii="宋体" w:hAnsi="宋体" w:eastAsia="宋体" w:cs="宋体"/>
                <w:sz w:val="18"/>
                <w:szCs w:val="18"/>
              </w:rPr>
            </w:pPr>
            <w:r>
              <w:rPr>
                <w:rFonts w:ascii="宋体" w:hAnsi="宋体" w:eastAsia="宋体" w:cs="宋体"/>
                <w:sz w:val="18"/>
                <w:szCs w:val="18"/>
              </w:rPr>
              <w:t>3.43%</w:t>
            </w:r>
          </w:p>
        </w:tc>
        <w:tc>
          <w:tcPr>
            <w:tcW w:w="876" w:type="dxa"/>
            <w:tcBorders>
              <w:top w:val="single" w:color="auto" w:sz="2" w:space="0"/>
              <w:left w:val="single" w:color="auto" w:sz="2" w:space="0"/>
              <w:bottom w:val="single" w:color="auto" w:sz="2" w:space="0"/>
              <w:right w:val="single" w:color="auto" w:sz="2" w:space="0"/>
            </w:tcBorders>
            <w:vAlign w:val="center"/>
          </w:tcPr>
          <w:p w14:paraId="0B5CC77B">
            <w:pPr>
              <w:spacing w:line="240" w:lineRule="exact"/>
              <w:jc w:val="right"/>
              <w:rPr>
                <w:rFonts w:ascii="宋体" w:hAnsi="宋体" w:eastAsia="宋体" w:cs="宋体"/>
                <w:sz w:val="18"/>
                <w:szCs w:val="18"/>
              </w:rPr>
            </w:pPr>
            <w:r>
              <w:rPr>
                <w:rFonts w:ascii="宋体" w:hAnsi="宋体" w:eastAsia="宋体" w:cs="宋体"/>
                <w:sz w:val="18"/>
                <w:szCs w:val="18"/>
              </w:rPr>
              <w:t>7,210,307.45</w:t>
            </w:r>
          </w:p>
        </w:tc>
      </w:tr>
      <w:tr w14:paraId="13A24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66203E4">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32C3127"/>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8473F3C"/>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D03FDD0"/>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43859D0"/>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704B282"/>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682A143"/>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6433B02"/>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EDB05BD"/>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8E099BD"/>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F55A3AE"/>
        </w:tc>
      </w:tr>
      <w:tr w14:paraId="0EDF6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54FCB9F7">
            <w:pPr>
              <w:spacing w:line="240" w:lineRule="exact"/>
              <w:rPr>
                <w:rFonts w:ascii="宋体" w:hAnsi="宋体" w:eastAsia="宋体" w:cs="宋体"/>
                <w:sz w:val="18"/>
                <w:szCs w:val="18"/>
              </w:rPr>
            </w:pPr>
            <w:r>
              <w:rPr>
                <w:rFonts w:ascii="宋体" w:hAnsi="宋体" w:eastAsia="宋体" w:cs="宋体"/>
                <w:sz w:val="18"/>
                <w:szCs w:val="18"/>
              </w:rPr>
              <w:t>预期信用风险组合</w:t>
            </w:r>
          </w:p>
        </w:tc>
        <w:tc>
          <w:tcPr>
            <w:tcW w:w="876" w:type="dxa"/>
            <w:tcBorders>
              <w:top w:val="single" w:color="auto" w:sz="2" w:space="0"/>
              <w:left w:val="single" w:color="auto" w:sz="2" w:space="0"/>
              <w:bottom w:val="single" w:color="auto" w:sz="2" w:space="0"/>
              <w:right w:val="single" w:color="auto" w:sz="2" w:space="0"/>
            </w:tcBorders>
            <w:vAlign w:val="center"/>
          </w:tcPr>
          <w:p w14:paraId="7155E930">
            <w:pPr>
              <w:spacing w:line="240" w:lineRule="exact"/>
              <w:jc w:val="right"/>
              <w:rPr>
                <w:rFonts w:ascii="宋体" w:hAnsi="宋体" w:eastAsia="宋体" w:cs="宋体"/>
                <w:sz w:val="18"/>
                <w:szCs w:val="18"/>
              </w:rPr>
            </w:pPr>
            <w:r>
              <w:rPr>
                <w:rFonts w:ascii="宋体" w:hAnsi="宋体" w:eastAsia="宋体" w:cs="宋体"/>
                <w:sz w:val="18"/>
                <w:szCs w:val="18"/>
              </w:rPr>
              <w:t>5,460,245.43</w:t>
            </w:r>
          </w:p>
        </w:tc>
        <w:tc>
          <w:tcPr>
            <w:tcW w:w="876" w:type="dxa"/>
            <w:tcBorders>
              <w:top w:val="single" w:color="auto" w:sz="2" w:space="0"/>
              <w:left w:val="single" w:color="auto" w:sz="2" w:space="0"/>
              <w:bottom w:val="single" w:color="auto" w:sz="2" w:space="0"/>
              <w:right w:val="single" w:color="auto" w:sz="2" w:space="0"/>
            </w:tcBorders>
            <w:vAlign w:val="center"/>
          </w:tcPr>
          <w:p w14:paraId="437837EB">
            <w:pPr>
              <w:spacing w:line="240" w:lineRule="exact"/>
              <w:jc w:val="right"/>
              <w:rPr>
                <w:rFonts w:ascii="宋体" w:hAnsi="宋体" w:eastAsia="宋体" w:cs="宋体"/>
                <w:sz w:val="18"/>
                <w:szCs w:val="18"/>
              </w:rPr>
            </w:pPr>
            <w:r>
              <w:rPr>
                <w:rFonts w:ascii="宋体" w:hAnsi="宋体" w:eastAsia="宋体" w:cs="宋体"/>
                <w:sz w:val="18"/>
                <w:szCs w:val="18"/>
              </w:rPr>
              <w:t>38.11%</w:t>
            </w:r>
          </w:p>
        </w:tc>
        <w:tc>
          <w:tcPr>
            <w:tcW w:w="876" w:type="dxa"/>
            <w:tcBorders>
              <w:top w:val="single" w:color="auto" w:sz="2" w:space="0"/>
              <w:left w:val="single" w:color="auto" w:sz="2" w:space="0"/>
              <w:bottom w:val="single" w:color="auto" w:sz="2" w:space="0"/>
              <w:right w:val="single" w:color="auto" w:sz="2" w:space="0"/>
            </w:tcBorders>
            <w:vAlign w:val="center"/>
          </w:tcPr>
          <w:p w14:paraId="666D4C88">
            <w:pPr>
              <w:spacing w:line="240" w:lineRule="exact"/>
              <w:jc w:val="right"/>
              <w:rPr>
                <w:rFonts w:ascii="宋体" w:hAnsi="宋体" w:eastAsia="宋体" w:cs="宋体"/>
                <w:sz w:val="18"/>
                <w:szCs w:val="18"/>
              </w:rPr>
            </w:pPr>
            <w:r>
              <w:rPr>
                <w:rFonts w:ascii="宋体" w:hAnsi="宋体" w:eastAsia="宋体" w:cs="宋体"/>
                <w:sz w:val="18"/>
                <w:szCs w:val="18"/>
              </w:rPr>
              <w:t>273,012.27</w:t>
            </w:r>
          </w:p>
        </w:tc>
        <w:tc>
          <w:tcPr>
            <w:tcW w:w="876" w:type="dxa"/>
            <w:tcBorders>
              <w:top w:val="single" w:color="auto" w:sz="2" w:space="0"/>
              <w:left w:val="single" w:color="auto" w:sz="2" w:space="0"/>
              <w:bottom w:val="single" w:color="auto" w:sz="2" w:space="0"/>
              <w:right w:val="single" w:color="auto" w:sz="2" w:space="0"/>
            </w:tcBorders>
            <w:vAlign w:val="center"/>
          </w:tcPr>
          <w:p w14:paraId="01E2DDDB">
            <w:pPr>
              <w:spacing w:line="240" w:lineRule="exact"/>
              <w:jc w:val="right"/>
              <w:rPr>
                <w:rFonts w:ascii="宋体" w:hAnsi="宋体" w:eastAsia="宋体" w:cs="宋体"/>
                <w:sz w:val="18"/>
                <w:szCs w:val="18"/>
              </w:rPr>
            </w:pPr>
            <w:r>
              <w:rPr>
                <w:rFonts w:ascii="宋体" w:hAnsi="宋体"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14:paraId="12354020">
            <w:pPr>
              <w:spacing w:line="240" w:lineRule="exact"/>
              <w:jc w:val="right"/>
              <w:rPr>
                <w:rFonts w:ascii="宋体" w:hAnsi="宋体" w:eastAsia="宋体" w:cs="宋体"/>
                <w:sz w:val="18"/>
                <w:szCs w:val="18"/>
              </w:rPr>
            </w:pPr>
            <w:r>
              <w:rPr>
                <w:rFonts w:ascii="宋体" w:hAnsi="宋体" w:eastAsia="宋体" w:cs="宋体"/>
                <w:sz w:val="18"/>
                <w:szCs w:val="18"/>
              </w:rPr>
              <w:t>5,187,233.16</w:t>
            </w:r>
          </w:p>
        </w:tc>
        <w:tc>
          <w:tcPr>
            <w:tcW w:w="876" w:type="dxa"/>
            <w:tcBorders>
              <w:top w:val="single" w:color="auto" w:sz="2" w:space="0"/>
              <w:left w:val="single" w:color="auto" w:sz="2" w:space="0"/>
              <w:bottom w:val="single" w:color="auto" w:sz="2" w:space="0"/>
              <w:right w:val="single" w:color="auto" w:sz="2" w:space="0"/>
            </w:tcBorders>
            <w:vAlign w:val="center"/>
          </w:tcPr>
          <w:p w14:paraId="330E9247">
            <w:pPr>
              <w:spacing w:line="240" w:lineRule="exact"/>
              <w:jc w:val="right"/>
              <w:rPr>
                <w:rFonts w:ascii="宋体" w:hAnsi="宋体" w:eastAsia="宋体" w:cs="宋体"/>
                <w:sz w:val="18"/>
                <w:szCs w:val="18"/>
              </w:rPr>
            </w:pPr>
            <w:r>
              <w:rPr>
                <w:rFonts w:ascii="宋体" w:hAnsi="宋体" w:eastAsia="宋体" w:cs="宋体"/>
                <w:sz w:val="18"/>
                <w:szCs w:val="18"/>
              </w:rPr>
              <w:t>5,125,494.13</w:t>
            </w:r>
          </w:p>
        </w:tc>
        <w:tc>
          <w:tcPr>
            <w:tcW w:w="876" w:type="dxa"/>
            <w:tcBorders>
              <w:top w:val="single" w:color="auto" w:sz="2" w:space="0"/>
              <w:left w:val="single" w:color="auto" w:sz="2" w:space="0"/>
              <w:bottom w:val="single" w:color="auto" w:sz="2" w:space="0"/>
              <w:right w:val="single" w:color="auto" w:sz="2" w:space="0"/>
            </w:tcBorders>
            <w:vAlign w:val="center"/>
          </w:tcPr>
          <w:p w14:paraId="457930C6">
            <w:pPr>
              <w:spacing w:line="240" w:lineRule="exact"/>
              <w:jc w:val="right"/>
              <w:rPr>
                <w:rFonts w:ascii="宋体" w:hAnsi="宋体" w:eastAsia="宋体" w:cs="宋体"/>
                <w:sz w:val="18"/>
                <w:szCs w:val="18"/>
              </w:rPr>
            </w:pPr>
            <w:r>
              <w:rPr>
                <w:rFonts w:ascii="宋体" w:hAnsi="宋体" w:eastAsia="宋体" w:cs="宋体"/>
                <w:sz w:val="18"/>
                <w:szCs w:val="18"/>
              </w:rPr>
              <w:t>68.65%</w:t>
            </w:r>
          </w:p>
        </w:tc>
        <w:tc>
          <w:tcPr>
            <w:tcW w:w="876" w:type="dxa"/>
            <w:tcBorders>
              <w:top w:val="single" w:color="auto" w:sz="2" w:space="0"/>
              <w:left w:val="single" w:color="auto" w:sz="2" w:space="0"/>
              <w:bottom w:val="single" w:color="auto" w:sz="2" w:space="0"/>
              <w:right w:val="single" w:color="auto" w:sz="2" w:space="0"/>
            </w:tcBorders>
            <w:vAlign w:val="center"/>
          </w:tcPr>
          <w:p w14:paraId="1D6F4459">
            <w:pPr>
              <w:spacing w:line="240" w:lineRule="exact"/>
              <w:jc w:val="right"/>
              <w:rPr>
                <w:rFonts w:ascii="宋体" w:hAnsi="宋体" w:eastAsia="宋体" w:cs="宋体"/>
                <w:sz w:val="18"/>
                <w:szCs w:val="18"/>
              </w:rPr>
            </w:pPr>
            <w:r>
              <w:rPr>
                <w:rFonts w:ascii="宋体" w:hAnsi="宋体" w:eastAsia="宋体" w:cs="宋体"/>
                <w:sz w:val="18"/>
                <w:szCs w:val="18"/>
              </w:rPr>
              <w:t>256,274.71</w:t>
            </w:r>
          </w:p>
        </w:tc>
        <w:tc>
          <w:tcPr>
            <w:tcW w:w="876" w:type="dxa"/>
            <w:tcBorders>
              <w:top w:val="single" w:color="auto" w:sz="2" w:space="0"/>
              <w:left w:val="single" w:color="auto" w:sz="2" w:space="0"/>
              <w:bottom w:val="single" w:color="auto" w:sz="2" w:space="0"/>
              <w:right w:val="single" w:color="auto" w:sz="2" w:space="0"/>
            </w:tcBorders>
            <w:vAlign w:val="center"/>
          </w:tcPr>
          <w:p w14:paraId="472A64D5">
            <w:pPr>
              <w:spacing w:line="240" w:lineRule="exact"/>
              <w:jc w:val="right"/>
              <w:rPr>
                <w:rFonts w:ascii="宋体" w:hAnsi="宋体" w:eastAsia="宋体" w:cs="宋体"/>
                <w:sz w:val="18"/>
                <w:szCs w:val="18"/>
              </w:rPr>
            </w:pPr>
            <w:r>
              <w:rPr>
                <w:rFonts w:ascii="宋体" w:hAnsi="宋体"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14:paraId="53249A36">
            <w:pPr>
              <w:spacing w:line="240" w:lineRule="exact"/>
              <w:jc w:val="right"/>
              <w:rPr>
                <w:rFonts w:ascii="宋体" w:hAnsi="宋体" w:eastAsia="宋体" w:cs="宋体"/>
                <w:sz w:val="18"/>
                <w:szCs w:val="18"/>
              </w:rPr>
            </w:pPr>
            <w:r>
              <w:rPr>
                <w:rFonts w:ascii="宋体" w:hAnsi="宋体" w:eastAsia="宋体" w:cs="宋体"/>
                <w:sz w:val="18"/>
                <w:szCs w:val="18"/>
              </w:rPr>
              <w:t>4,869,219.42</w:t>
            </w:r>
          </w:p>
        </w:tc>
      </w:tr>
      <w:tr w14:paraId="2423C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08FE29EB">
            <w:pPr>
              <w:spacing w:line="240" w:lineRule="exact"/>
              <w:rPr>
                <w:rFonts w:ascii="宋体" w:hAnsi="宋体" w:eastAsia="宋体" w:cs="宋体"/>
                <w:sz w:val="18"/>
                <w:szCs w:val="18"/>
              </w:rPr>
            </w:pPr>
            <w:r>
              <w:rPr>
                <w:rFonts w:ascii="宋体" w:hAnsi="宋体" w:eastAsia="宋体" w:cs="宋体"/>
                <w:sz w:val="18"/>
                <w:szCs w:val="18"/>
              </w:rPr>
              <w:t>性质组合</w:t>
            </w:r>
          </w:p>
        </w:tc>
        <w:tc>
          <w:tcPr>
            <w:tcW w:w="876" w:type="dxa"/>
            <w:tcBorders>
              <w:top w:val="single" w:color="auto" w:sz="2" w:space="0"/>
              <w:left w:val="single" w:color="auto" w:sz="2" w:space="0"/>
              <w:bottom w:val="single" w:color="auto" w:sz="2" w:space="0"/>
              <w:right w:val="single" w:color="auto" w:sz="2" w:space="0"/>
            </w:tcBorders>
            <w:vAlign w:val="center"/>
          </w:tcPr>
          <w:p w14:paraId="09AF3E06">
            <w:pPr>
              <w:spacing w:line="240" w:lineRule="exact"/>
              <w:jc w:val="right"/>
              <w:rPr>
                <w:rFonts w:ascii="宋体" w:hAnsi="宋体" w:eastAsia="宋体" w:cs="宋体"/>
                <w:sz w:val="18"/>
                <w:szCs w:val="18"/>
              </w:rPr>
            </w:pPr>
            <w:r>
              <w:rPr>
                <w:rFonts w:ascii="宋体" w:hAnsi="宋体" w:eastAsia="宋体" w:cs="宋体"/>
                <w:sz w:val="18"/>
                <w:szCs w:val="18"/>
              </w:rPr>
              <w:t>8,866,649.64</w:t>
            </w:r>
          </w:p>
        </w:tc>
        <w:tc>
          <w:tcPr>
            <w:tcW w:w="876" w:type="dxa"/>
            <w:tcBorders>
              <w:top w:val="single" w:color="auto" w:sz="2" w:space="0"/>
              <w:left w:val="single" w:color="auto" w:sz="2" w:space="0"/>
              <w:bottom w:val="single" w:color="auto" w:sz="2" w:space="0"/>
              <w:right w:val="single" w:color="auto" w:sz="2" w:space="0"/>
            </w:tcBorders>
            <w:vAlign w:val="center"/>
          </w:tcPr>
          <w:p w14:paraId="307362A7">
            <w:pPr>
              <w:spacing w:line="240" w:lineRule="exact"/>
              <w:jc w:val="right"/>
              <w:rPr>
                <w:rFonts w:ascii="宋体" w:hAnsi="宋体" w:eastAsia="宋体" w:cs="宋体"/>
                <w:sz w:val="18"/>
                <w:szCs w:val="18"/>
              </w:rPr>
            </w:pPr>
            <w:r>
              <w:rPr>
                <w:rFonts w:ascii="宋体" w:hAnsi="宋体" w:eastAsia="宋体" w:cs="宋体"/>
                <w:sz w:val="18"/>
                <w:szCs w:val="18"/>
              </w:rPr>
              <w:t>61.89%</w:t>
            </w:r>
          </w:p>
        </w:tc>
        <w:tc>
          <w:tcPr>
            <w:tcW w:w="876" w:type="dxa"/>
            <w:tcBorders>
              <w:top w:val="single" w:color="auto" w:sz="2" w:space="0"/>
              <w:left w:val="single" w:color="auto" w:sz="2" w:space="0"/>
              <w:bottom w:val="single" w:color="auto" w:sz="2" w:space="0"/>
              <w:right w:val="single" w:color="auto" w:sz="2" w:space="0"/>
            </w:tcBorders>
            <w:vAlign w:val="center"/>
          </w:tcPr>
          <w:p w14:paraId="2AA82F70">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A5BD13A">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5429CD43">
            <w:pPr>
              <w:spacing w:line="240" w:lineRule="exact"/>
              <w:jc w:val="right"/>
              <w:rPr>
                <w:rFonts w:ascii="宋体" w:hAnsi="宋体" w:eastAsia="宋体" w:cs="宋体"/>
                <w:sz w:val="18"/>
                <w:szCs w:val="18"/>
              </w:rPr>
            </w:pPr>
            <w:r>
              <w:rPr>
                <w:rFonts w:ascii="宋体" w:hAnsi="宋体" w:eastAsia="宋体" w:cs="宋体"/>
                <w:sz w:val="18"/>
                <w:szCs w:val="18"/>
              </w:rPr>
              <w:t>8,866,649.64</w:t>
            </w:r>
          </w:p>
        </w:tc>
        <w:tc>
          <w:tcPr>
            <w:tcW w:w="876" w:type="dxa"/>
            <w:tcBorders>
              <w:top w:val="single" w:color="auto" w:sz="2" w:space="0"/>
              <w:left w:val="single" w:color="auto" w:sz="2" w:space="0"/>
              <w:bottom w:val="single" w:color="auto" w:sz="2" w:space="0"/>
              <w:right w:val="single" w:color="auto" w:sz="2" w:space="0"/>
            </w:tcBorders>
            <w:vAlign w:val="center"/>
          </w:tcPr>
          <w:p w14:paraId="75F96F66">
            <w:pPr>
              <w:spacing w:line="240" w:lineRule="exact"/>
              <w:jc w:val="right"/>
              <w:rPr>
                <w:rFonts w:ascii="宋体" w:hAnsi="宋体" w:eastAsia="宋体" w:cs="宋体"/>
                <w:sz w:val="18"/>
                <w:szCs w:val="18"/>
              </w:rPr>
            </w:pPr>
            <w:r>
              <w:rPr>
                <w:rFonts w:ascii="宋体" w:hAnsi="宋体" w:eastAsia="宋体" w:cs="宋体"/>
                <w:sz w:val="18"/>
                <w:szCs w:val="18"/>
              </w:rPr>
              <w:t>2,341,088.03</w:t>
            </w:r>
          </w:p>
        </w:tc>
        <w:tc>
          <w:tcPr>
            <w:tcW w:w="876" w:type="dxa"/>
            <w:tcBorders>
              <w:top w:val="single" w:color="auto" w:sz="2" w:space="0"/>
              <w:left w:val="single" w:color="auto" w:sz="2" w:space="0"/>
              <w:bottom w:val="single" w:color="auto" w:sz="2" w:space="0"/>
              <w:right w:val="single" w:color="auto" w:sz="2" w:space="0"/>
            </w:tcBorders>
            <w:vAlign w:val="center"/>
          </w:tcPr>
          <w:p w14:paraId="27753AFE">
            <w:pPr>
              <w:spacing w:line="240" w:lineRule="exact"/>
              <w:jc w:val="right"/>
              <w:rPr>
                <w:rFonts w:ascii="宋体" w:hAnsi="宋体" w:eastAsia="宋体" w:cs="宋体"/>
                <w:sz w:val="18"/>
                <w:szCs w:val="18"/>
              </w:rPr>
            </w:pPr>
            <w:r>
              <w:rPr>
                <w:rFonts w:ascii="宋体" w:hAnsi="宋体" w:eastAsia="宋体" w:cs="宋体"/>
                <w:sz w:val="18"/>
                <w:szCs w:val="18"/>
              </w:rPr>
              <w:t>31.35%</w:t>
            </w:r>
          </w:p>
        </w:tc>
        <w:tc>
          <w:tcPr>
            <w:tcW w:w="876" w:type="dxa"/>
            <w:tcBorders>
              <w:top w:val="single" w:color="auto" w:sz="2" w:space="0"/>
              <w:left w:val="single" w:color="auto" w:sz="2" w:space="0"/>
              <w:bottom w:val="single" w:color="auto" w:sz="2" w:space="0"/>
              <w:right w:val="single" w:color="auto" w:sz="2" w:space="0"/>
            </w:tcBorders>
            <w:vAlign w:val="center"/>
          </w:tcPr>
          <w:p w14:paraId="27721A13">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3558BF8F">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42257EAE">
            <w:pPr>
              <w:spacing w:line="240" w:lineRule="exact"/>
              <w:jc w:val="right"/>
              <w:rPr>
                <w:rFonts w:ascii="宋体" w:hAnsi="宋体" w:eastAsia="宋体" w:cs="宋体"/>
                <w:sz w:val="18"/>
                <w:szCs w:val="18"/>
              </w:rPr>
            </w:pPr>
            <w:r>
              <w:rPr>
                <w:rFonts w:ascii="宋体" w:hAnsi="宋体" w:eastAsia="宋体" w:cs="宋体"/>
                <w:sz w:val="18"/>
                <w:szCs w:val="18"/>
              </w:rPr>
              <w:t>2,341,088.03</w:t>
            </w:r>
          </w:p>
        </w:tc>
      </w:tr>
      <w:tr w14:paraId="46538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0300C34">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14:paraId="11862047">
            <w:pPr>
              <w:spacing w:line="240" w:lineRule="exact"/>
              <w:jc w:val="right"/>
              <w:rPr>
                <w:rFonts w:ascii="宋体" w:hAnsi="宋体" w:eastAsia="宋体" w:cs="宋体"/>
                <w:sz w:val="18"/>
                <w:szCs w:val="18"/>
              </w:rPr>
            </w:pPr>
            <w:r>
              <w:rPr>
                <w:rFonts w:ascii="宋体" w:hAnsi="宋体" w:eastAsia="宋体" w:cs="宋体"/>
                <w:sz w:val="18"/>
                <w:szCs w:val="18"/>
              </w:rPr>
              <w:t>14,326,895.07</w:t>
            </w:r>
          </w:p>
        </w:tc>
        <w:tc>
          <w:tcPr>
            <w:tcW w:w="876" w:type="dxa"/>
            <w:tcBorders>
              <w:top w:val="single" w:color="auto" w:sz="2" w:space="0"/>
              <w:left w:val="single" w:color="auto" w:sz="2" w:space="0"/>
              <w:bottom w:val="single" w:color="auto" w:sz="2" w:space="0"/>
              <w:right w:val="single" w:color="auto" w:sz="2" w:space="0"/>
            </w:tcBorders>
            <w:vAlign w:val="center"/>
          </w:tcPr>
          <w:p w14:paraId="0FD00B90">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2C577DB0">
            <w:pPr>
              <w:spacing w:line="240" w:lineRule="exact"/>
              <w:jc w:val="right"/>
              <w:rPr>
                <w:rFonts w:ascii="宋体" w:hAnsi="宋体" w:eastAsia="宋体" w:cs="宋体"/>
                <w:sz w:val="18"/>
                <w:szCs w:val="18"/>
              </w:rPr>
            </w:pPr>
            <w:r>
              <w:rPr>
                <w:rFonts w:ascii="宋体" w:hAnsi="宋体" w:eastAsia="宋体" w:cs="宋体"/>
                <w:sz w:val="18"/>
                <w:szCs w:val="18"/>
              </w:rPr>
              <w:t>273,012.27</w:t>
            </w:r>
          </w:p>
        </w:tc>
        <w:tc>
          <w:tcPr>
            <w:tcW w:w="876" w:type="dxa"/>
            <w:tcBorders>
              <w:top w:val="single" w:color="auto" w:sz="2" w:space="0"/>
              <w:left w:val="single" w:color="auto" w:sz="2" w:space="0"/>
              <w:bottom w:val="single" w:color="auto" w:sz="2" w:space="0"/>
              <w:right w:val="single" w:color="auto" w:sz="2" w:space="0"/>
            </w:tcBorders>
            <w:vAlign w:val="center"/>
          </w:tcPr>
          <w:p w14:paraId="297B903C">
            <w:pPr>
              <w:spacing w:line="240" w:lineRule="exact"/>
              <w:jc w:val="right"/>
              <w:rPr>
                <w:rFonts w:ascii="宋体" w:hAnsi="宋体" w:eastAsia="宋体" w:cs="宋体"/>
                <w:sz w:val="18"/>
                <w:szCs w:val="18"/>
              </w:rPr>
            </w:pPr>
            <w:r>
              <w:rPr>
                <w:rFonts w:ascii="宋体" w:hAnsi="宋体" w:eastAsia="宋体" w:cs="宋体"/>
                <w:sz w:val="18"/>
                <w:szCs w:val="18"/>
              </w:rPr>
              <w:t>1.91%</w:t>
            </w:r>
          </w:p>
        </w:tc>
        <w:tc>
          <w:tcPr>
            <w:tcW w:w="876" w:type="dxa"/>
            <w:tcBorders>
              <w:top w:val="single" w:color="auto" w:sz="2" w:space="0"/>
              <w:left w:val="single" w:color="auto" w:sz="2" w:space="0"/>
              <w:bottom w:val="single" w:color="auto" w:sz="2" w:space="0"/>
              <w:right w:val="single" w:color="auto" w:sz="2" w:space="0"/>
            </w:tcBorders>
            <w:vAlign w:val="center"/>
          </w:tcPr>
          <w:p w14:paraId="62AFDDD9">
            <w:pPr>
              <w:spacing w:line="240" w:lineRule="exact"/>
              <w:jc w:val="right"/>
              <w:rPr>
                <w:rFonts w:ascii="宋体" w:hAnsi="宋体" w:eastAsia="宋体" w:cs="宋体"/>
                <w:sz w:val="18"/>
                <w:szCs w:val="18"/>
              </w:rPr>
            </w:pPr>
            <w:r>
              <w:rPr>
                <w:rFonts w:ascii="宋体" w:hAnsi="宋体" w:eastAsia="宋体" w:cs="宋体"/>
                <w:sz w:val="18"/>
                <w:szCs w:val="18"/>
              </w:rPr>
              <w:t>14,053,882.80</w:t>
            </w:r>
          </w:p>
        </w:tc>
        <w:tc>
          <w:tcPr>
            <w:tcW w:w="876" w:type="dxa"/>
            <w:tcBorders>
              <w:top w:val="single" w:color="auto" w:sz="2" w:space="0"/>
              <w:left w:val="single" w:color="auto" w:sz="2" w:space="0"/>
              <w:bottom w:val="single" w:color="auto" w:sz="2" w:space="0"/>
              <w:right w:val="single" w:color="auto" w:sz="2" w:space="0"/>
            </w:tcBorders>
            <w:vAlign w:val="center"/>
          </w:tcPr>
          <w:p w14:paraId="511E5F97">
            <w:pPr>
              <w:spacing w:line="240" w:lineRule="exact"/>
              <w:jc w:val="right"/>
              <w:rPr>
                <w:rFonts w:ascii="宋体" w:hAnsi="宋体" w:eastAsia="宋体" w:cs="宋体"/>
                <w:sz w:val="18"/>
                <w:szCs w:val="18"/>
              </w:rPr>
            </w:pPr>
            <w:r>
              <w:rPr>
                <w:rFonts w:ascii="宋体" w:hAnsi="宋体" w:eastAsia="宋体" w:cs="宋体"/>
                <w:sz w:val="18"/>
                <w:szCs w:val="18"/>
              </w:rPr>
              <w:t>7,466,582.16</w:t>
            </w:r>
          </w:p>
        </w:tc>
        <w:tc>
          <w:tcPr>
            <w:tcW w:w="876" w:type="dxa"/>
            <w:tcBorders>
              <w:top w:val="single" w:color="auto" w:sz="2" w:space="0"/>
              <w:left w:val="single" w:color="auto" w:sz="2" w:space="0"/>
              <w:bottom w:val="single" w:color="auto" w:sz="2" w:space="0"/>
              <w:right w:val="single" w:color="auto" w:sz="2" w:space="0"/>
            </w:tcBorders>
            <w:vAlign w:val="center"/>
          </w:tcPr>
          <w:p w14:paraId="29D736A5">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0809EB2D">
            <w:pPr>
              <w:spacing w:line="240" w:lineRule="exact"/>
              <w:jc w:val="right"/>
              <w:rPr>
                <w:rFonts w:ascii="宋体" w:hAnsi="宋体" w:eastAsia="宋体" w:cs="宋体"/>
                <w:sz w:val="18"/>
                <w:szCs w:val="18"/>
              </w:rPr>
            </w:pPr>
            <w:r>
              <w:rPr>
                <w:rFonts w:ascii="宋体" w:hAnsi="宋体" w:eastAsia="宋体" w:cs="宋体"/>
                <w:sz w:val="18"/>
                <w:szCs w:val="18"/>
              </w:rPr>
              <w:t>256,274.71</w:t>
            </w:r>
          </w:p>
        </w:tc>
        <w:tc>
          <w:tcPr>
            <w:tcW w:w="876" w:type="dxa"/>
            <w:tcBorders>
              <w:top w:val="single" w:color="auto" w:sz="2" w:space="0"/>
              <w:left w:val="single" w:color="auto" w:sz="2" w:space="0"/>
              <w:bottom w:val="single" w:color="auto" w:sz="2" w:space="0"/>
              <w:right w:val="single" w:color="auto" w:sz="2" w:space="0"/>
            </w:tcBorders>
            <w:vAlign w:val="center"/>
          </w:tcPr>
          <w:p w14:paraId="06A971E2">
            <w:pPr>
              <w:spacing w:line="240" w:lineRule="exact"/>
              <w:jc w:val="right"/>
              <w:rPr>
                <w:rFonts w:ascii="宋体" w:hAnsi="宋体" w:eastAsia="宋体" w:cs="宋体"/>
                <w:sz w:val="18"/>
                <w:szCs w:val="18"/>
              </w:rPr>
            </w:pPr>
            <w:r>
              <w:rPr>
                <w:rFonts w:ascii="宋体" w:hAnsi="宋体" w:eastAsia="宋体" w:cs="宋体"/>
                <w:sz w:val="18"/>
                <w:szCs w:val="18"/>
              </w:rPr>
              <w:t>3.43%</w:t>
            </w:r>
          </w:p>
        </w:tc>
        <w:tc>
          <w:tcPr>
            <w:tcW w:w="876" w:type="dxa"/>
            <w:tcBorders>
              <w:top w:val="single" w:color="auto" w:sz="2" w:space="0"/>
              <w:left w:val="single" w:color="auto" w:sz="2" w:space="0"/>
              <w:bottom w:val="single" w:color="auto" w:sz="2" w:space="0"/>
              <w:right w:val="single" w:color="auto" w:sz="2" w:space="0"/>
            </w:tcBorders>
            <w:vAlign w:val="center"/>
          </w:tcPr>
          <w:p w14:paraId="0019925F">
            <w:pPr>
              <w:spacing w:line="240" w:lineRule="exact"/>
              <w:jc w:val="right"/>
              <w:rPr>
                <w:rFonts w:ascii="宋体" w:hAnsi="宋体" w:eastAsia="宋体" w:cs="宋体"/>
                <w:sz w:val="18"/>
                <w:szCs w:val="18"/>
              </w:rPr>
            </w:pPr>
            <w:r>
              <w:rPr>
                <w:rFonts w:ascii="宋体" w:hAnsi="宋体" w:eastAsia="宋体" w:cs="宋体"/>
                <w:sz w:val="18"/>
                <w:szCs w:val="18"/>
              </w:rPr>
              <w:t>7,210,307.45</w:t>
            </w:r>
          </w:p>
        </w:tc>
      </w:tr>
    </w:tbl>
    <w:p w14:paraId="2AC111FC">
      <w:pPr>
        <w:spacing w:line="240" w:lineRule="exact"/>
        <w:rPr>
          <w:rFonts w:ascii="宋体" w:hAnsi="宋体" w:eastAsia="宋体" w:cs="宋体"/>
          <w:sz w:val="18"/>
          <w:szCs w:val="18"/>
        </w:rPr>
      </w:pPr>
      <w:r>
        <w:rPr>
          <w:rFonts w:ascii="宋体" w:hAnsi="宋体" w:eastAsia="宋体" w:cs="宋体"/>
          <w:sz w:val="18"/>
          <w:szCs w:val="18"/>
        </w:rPr>
        <w:t>按组合计提坏账准备：预期信用风险组合</w:t>
      </w:r>
    </w:p>
    <w:p w14:paraId="1CFC661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276FE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CCA5CC0">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0A0F7FDC">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73EC2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34BF036"/>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009CD8B2">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A2BEFAB">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735691A">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14:paraId="4BB99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F5104A0">
            <w:pPr>
              <w:spacing w:line="240" w:lineRule="exact"/>
              <w:rPr>
                <w:rFonts w:ascii="宋体" w:hAnsi="宋体" w:eastAsia="宋体" w:cs="宋体"/>
                <w:sz w:val="18"/>
                <w:szCs w:val="18"/>
              </w:rPr>
            </w:pPr>
            <w:r>
              <w:rPr>
                <w:rFonts w:ascii="宋体" w:hAnsi="宋体" w:eastAsia="宋体" w:cs="宋体"/>
                <w:sz w:val="18"/>
                <w:szCs w:val="18"/>
              </w:rPr>
              <w:t>1年以内</w:t>
            </w:r>
          </w:p>
        </w:tc>
        <w:tc>
          <w:tcPr>
            <w:tcW w:w="2410" w:type="dxa"/>
            <w:tcBorders>
              <w:top w:val="single" w:color="auto" w:sz="2" w:space="0"/>
              <w:left w:val="single" w:color="auto" w:sz="2" w:space="0"/>
              <w:bottom w:val="single" w:color="auto" w:sz="2" w:space="0"/>
              <w:right w:val="single" w:color="auto" w:sz="2" w:space="0"/>
            </w:tcBorders>
            <w:vAlign w:val="center"/>
          </w:tcPr>
          <w:p w14:paraId="0DE33D1E">
            <w:pPr>
              <w:spacing w:line="240" w:lineRule="exact"/>
              <w:jc w:val="right"/>
              <w:rPr>
                <w:rFonts w:ascii="宋体" w:hAnsi="宋体" w:eastAsia="宋体" w:cs="宋体"/>
                <w:sz w:val="18"/>
                <w:szCs w:val="18"/>
              </w:rPr>
            </w:pPr>
            <w:r>
              <w:rPr>
                <w:rFonts w:ascii="宋体" w:hAnsi="宋体" w:eastAsia="宋体" w:cs="宋体"/>
                <w:sz w:val="18"/>
                <w:szCs w:val="18"/>
              </w:rPr>
              <w:t>5,460,245.43</w:t>
            </w:r>
          </w:p>
        </w:tc>
        <w:tc>
          <w:tcPr>
            <w:tcW w:w="2410" w:type="dxa"/>
            <w:tcBorders>
              <w:top w:val="single" w:color="auto" w:sz="2" w:space="0"/>
              <w:left w:val="single" w:color="auto" w:sz="2" w:space="0"/>
              <w:bottom w:val="single" w:color="auto" w:sz="2" w:space="0"/>
              <w:right w:val="single" w:color="auto" w:sz="2" w:space="0"/>
            </w:tcBorders>
            <w:vAlign w:val="center"/>
          </w:tcPr>
          <w:p w14:paraId="3A6D39BC">
            <w:pPr>
              <w:spacing w:line="240" w:lineRule="exact"/>
              <w:jc w:val="right"/>
              <w:rPr>
                <w:rFonts w:ascii="宋体" w:hAnsi="宋体" w:eastAsia="宋体" w:cs="宋体"/>
                <w:sz w:val="18"/>
                <w:szCs w:val="18"/>
              </w:rPr>
            </w:pPr>
            <w:r>
              <w:rPr>
                <w:rFonts w:ascii="宋体" w:hAnsi="宋体" w:eastAsia="宋体" w:cs="宋体"/>
                <w:sz w:val="18"/>
                <w:szCs w:val="18"/>
              </w:rPr>
              <w:t>273,012.27</w:t>
            </w:r>
          </w:p>
        </w:tc>
        <w:tc>
          <w:tcPr>
            <w:tcW w:w="2410" w:type="dxa"/>
            <w:tcBorders>
              <w:top w:val="single" w:color="auto" w:sz="2" w:space="0"/>
              <w:left w:val="single" w:color="auto" w:sz="2" w:space="0"/>
              <w:bottom w:val="single" w:color="auto" w:sz="2" w:space="0"/>
              <w:right w:val="single" w:color="auto" w:sz="2" w:space="0"/>
            </w:tcBorders>
            <w:vAlign w:val="center"/>
          </w:tcPr>
          <w:p w14:paraId="2C647BEC">
            <w:pPr>
              <w:spacing w:line="240" w:lineRule="exact"/>
              <w:jc w:val="right"/>
              <w:rPr>
                <w:rFonts w:ascii="宋体" w:hAnsi="宋体" w:eastAsia="宋体" w:cs="宋体"/>
                <w:sz w:val="18"/>
                <w:szCs w:val="18"/>
              </w:rPr>
            </w:pPr>
            <w:r>
              <w:rPr>
                <w:rFonts w:ascii="宋体" w:hAnsi="宋体" w:eastAsia="宋体" w:cs="宋体"/>
                <w:sz w:val="18"/>
                <w:szCs w:val="18"/>
              </w:rPr>
              <w:t>5.00%</w:t>
            </w:r>
          </w:p>
        </w:tc>
      </w:tr>
      <w:tr w14:paraId="33108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1475841A">
            <w:pPr>
              <w:spacing w:line="240" w:lineRule="exact"/>
              <w:rPr>
                <w:rFonts w:ascii="宋体" w:hAnsi="宋体" w:eastAsia="宋体" w:cs="宋体"/>
                <w:sz w:val="18"/>
                <w:szCs w:val="18"/>
              </w:rPr>
            </w:pPr>
            <w:r>
              <w:rPr>
                <w:rFonts w:ascii="宋体" w:hAnsi="宋体" w:eastAsia="宋体" w:cs="宋体"/>
                <w:sz w:val="18"/>
                <w:szCs w:val="18"/>
              </w:rPr>
              <w:t>1－2年</w:t>
            </w:r>
          </w:p>
        </w:tc>
        <w:tc>
          <w:tcPr>
            <w:tcW w:w="2410" w:type="dxa"/>
            <w:tcBorders>
              <w:top w:val="single" w:color="auto" w:sz="2" w:space="0"/>
              <w:left w:val="single" w:color="auto" w:sz="2" w:space="0"/>
              <w:bottom w:val="single" w:color="auto" w:sz="2" w:space="0"/>
              <w:right w:val="single" w:color="auto" w:sz="2" w:space="0"/>
            </w:tcBorders>
            <w:vAlign w:val="center"/>
          </w:tcPr>
          <w:p w14:paraId="7F76E1EC">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3519263">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BABBE86">
            <w:pPr>
              <w:spacing w:line="240" w:lineRule="exact"/>
              <w:jc w:val="right"/>
              <w:rPr>
                <w:rFonts w:ascii="宋体" w:hAnsi="宋体" w:eastAsia="宋体" w:cs="宋体"/>
                <w:sz w:val="18"/>
                <w:szCs w:val="18"/>
              </w:rPr>
            </w:pPr>
          </w:p>
        </w:tc>
      </w:tr>
      <w:tr w14:paraId="46BDA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956C0C3">
            <w:pPr>
              <w:spacing w:line="240" w:lineRule="exact"/>
              <w:rPr>
                <w:rFonts w:ascii="宋体" w:hAnsi="宋体" w:eastAsia="宋体" w:cs="宋体"/>
                <w:sz w:val="18"/>
                <w:szCs w:val="18"/>
              </w:rPr>
            </w:pPr>
            <w:r>
              <w:rPr>
                <w:rFonts w:ascii="宋体" w:hAnsi="宋体" w:eastAsia="宋体" w:cs="宋体"/>
                <w:sz w:val="18"/>
                <w:szCs w:val="18"/>
              </w:rPr>
              <w:t>2－3年</w:t>
            </w:r>
          </w:p>
        </w:tc>
        <w:tc>
          <w:tcPr>
            <w:tcW w:w="2410" w:type="dxa"/>
            <w:tcBorders>
              <w:top w:val="single" w:color="auto" w:sz="2" w:space="0"/>
              <w:left w:val="single" w:color="auto" w:sz="2" w:space="0"/>
              <w:bottom w:val="single" w:color="auto" w:sz="2" w:space="0"/>
              <w:right w:val="single" w:color="auto" w:sz="2" w:space="0"/>
            </w:tcBorders>
            <w:vAlign w:val="center"/>
          </w:tcPr>
          <w:p w14:paraId="1A8F17D5">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70ACC7F">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A6D65E4">
            <w:pPr>
              <w:spacing w:line="240" w:lineRule="exact"/>
              <w:jc w:val="right"/>
              <w:rPr>
                <w:rFonts w:ascii="宋体" w:hAnsi="宋体" w:eastAsia="宋体" w:cs="宋体"/>
                <w:sz w:val="18"/>
                <w:szCs w:val="18"/>
              </w:rPr>
            </w:pPr>
          </w:p>
        </w:tc>
      </w:tr>
      <w:tr w14:paraId="0E193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982AF29">
            <w:pPr>
              <w:spacing w:line="240" w:lineRule="exact"/>
              <w:rPr>
                <w:rFonts w:ascii="宋体" w:hAnsi="宋体" w:eastAsia="宋体" w:cs="宋体"/>
                <w:sz w:val="18"/>
                <w:szCs w:val="18"/>
              </w:rPr>
            </w:pPr>
            <w:r>
              <w:rPr>
                <w:rFonts w:ascii="宋体" w:hAnsi="宋体" w:eastAsia="宋体" w:cs="宋体"/>
                <w:sz w:val="18"/>
                <w:szCs w:val="18"/>
              </w:rPr>
              <w:t>3－4年</w:t>
            </w:r>
          </w:p>
        </w:tc>
        <w:tc>
          <w:tcPr>
            <w:tcW w:w="2410" w:type="dxa"/>
            <w:tcBorders>
              <w:top w:val="single" w:color="auto" w:sz="2" w:space="0"/>
              <w:left w:val="single" w:color="auto" w:sz="2" w:space="0"/>
              <w:bottom w:val="single" w:color="auto" w:sz="2" w:space="0"/>
              <w:right w:val="single" w:color="auto" w:sz="2" w:space="0"/>
            </w:tcBorders>
            <w:vAlign w:val="center"/>
          </w:tcPr>
          <w:p w14:paraId="52D5F499">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8A7D58A">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C0142C7">
            <w:pPr>
              <w:spacing w:line="240" w:lineRule="exact"/>
              <w:jc w:val="right"/>
              <w:rPr>
                <w:rFonts w:ascii="宋体" w:hAnsi="宋体" w:eastAsia="宋体" w:cs="宋体"/>
                <w:sz w:val="18"/>
                <w:szCs w:val="18"/>
              </w:rPr>
            </w:pPr>
          </w:p>
        </w:tc>
      </w:tr>
      <w:tr w14:paraId="61002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3638EABB">
            <w:pPr>
              <w:spacing w:line="240" w:lineRule="exact"/>
              <w:rPr>
                <w:rFonts w:ascii="宋体" w:hAnsi="宋体" w:eastAsia="宋体" w:cs="宋体"/>
                <w:sz w:val="18"/>
                <w:szCs w:val="18"/>
              </w:rPr>
            </w:pPr>
            <w:r>
              <w:rPr>
                <w:rFonts w:ascii="宋体" w:hAnsi="宋体" w:eastAsia="宋体" w:cs="宋体"/>
                <w:sz w:val="18"/>
                <w:szCs w:val="18"/>
              </w:rPr>
              <w:t>4－5年</w:t>
            </w:r>
          </w:p>
        </w:tc>
        <w:tc>
          <w:tcPr>
            <w:tcW w:w="2410" w:type="dxa"/>
            <w:tcBorders>
              <w:top w:val="single" w:color="auto" w:sz="2" w:space="0"/>
              <w:left w:val="single" w:color="auto" w:sz="2" w:space="0"/>
              <w:bottom w:val="single" w:color="auto" w:sz="2" w:space="0"/>
              <w:right w:val="single" w:color="auto" w:sz="2" w:space="0"/>
            </w:tcBorders>
            <w:vAlign w:val="center"/>
          </w:tcPr>
          <w:p w14:paraId="28687959">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73BCE49">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0CC93026">
            <w:pPr>
              <w:spacing w:line="240" w:lineRule="exact"/>
              <w:jc w:val="right"/>
              <w:rPr>
                <w:rFonts w:ascii="宋体" w:hAnsi="宋体" w:eastAsia="宋体" w:cs="宋体"/>
                <w:sz w:val="18"/>
                <w:szCs w:val="18"/>
              </w:rPr>
            </w:pPr>
          </w:p>
        </w:tc>
      </w:tr>
      <w:tr w14:paraId="6E0FF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F456806">
            <w:pPr>
              <w:spacing w:line="240" w:lineRule="exac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14:paraId="5F5CE68A">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FB25DB5">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E4B2792">
            <w:pPr>
              <w:spacing w:line="240" w:lineRule="exact"/>
              <w:jc w:val="right"/>
              <w:rPr>
                <w:rFonts w:ascii="宋体" w:hAnsi="宋体" w:eastAsia="宋体" w:cs="宋体"/>
                <w:sz w:val="18"/>
                <w:szCs w:val="18"/>
              </w:rPr>
            </w:pPr>
          </w:p>
        </w:tc>
      </w:tr>
      <w:tr w14:paraId="230E5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E6CAE42">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4750AF51">
            <w:pPr>
              <w:spacing w:line="240" w:lineRule="exact"/>
              <w:jc w:val="right"/>
              <w:rPr>
                <w:rFonts w:ascii="宋体" w:hAnsi="宋体" w:eastAsia="宋体" w:cs="宋体"/>
                <w:sz w:val="18"/>
                <w:szCs w:val="18"/>
              </w:rPr>
            </w:pPr>
            <w:r>
              <w:rPr>
                <w:rFonts w:ascii="宋体" w:hAnsi="宋体" w:eastAsia="宋体" w:cs="宋体"/>
                <w:sz w:val="18"/>
                <w:szCs w:val="18"/>
              </w:rPr>
              <w:t>5,460,245.43</w:t>
            </w:r>
          </w:p>
        </w:tc>
        <w:tc>
          <w:tcPr>
            <w:tcW w:w="2410" w:type="dxa"/>
            <w:tcBorders>
              <w:top w:val="single" w:color="auto" w:sz="2" w:space="0"/>
              <w:left w:val="single" w:color="auto" w:sz="2" w:space="0"/>
              <w:bottom w:val="single" w:color="auto" w:sz="2" w:space="0"/>
              <w:right w:val="single" w:color="auto" w:sz="2" w:space="0"/>
            </w:tcBorders>
            <w:vAlign w:val="center"/>
          </w:tcPr>
          <w:p w14:paraId="31226113">
            <w:pPr>
              <w:spacing w:line="240" w:lineRule="exact"/>
              <w:jc w:val="right"/>
              <w:rPr>
                <w:rFonts w:ascii="宋体" w:hAnsi="宋体" w:eastAsia="宋体" w:cs="宋体"/>
                <w:sz w:val="18"/>
                <w:szCs w:val="18"/>
              </w:rPr>
            </w:pPr>
            <w:r>
              <w:rPr>
                <w:rFonts w:ascii="宋体" w:hAnsi="宋体" w:eastAsia="宋体" w:cs="宋体"/>
                <w:sz w:val="18"/>
                <w:szCs w:val="18"/>
              </w:rPr>
              <w:t>273,012.27</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75F61B3D"/>
        </w:tc>
      </w:tr>
    </w:tbl>
    <w:p w14:paraId="0D53CAF1">
      <w:pPr>
        <w:spacing w:before="100" w:after="100" w:line="240" w:lineRule="exact"/>
        <w:rPr>
          <w:rFonts w:ascii="宋体" w:hAnsi="宋体" w:eastAsia="宋体" w:cs="宋体"/>
          <w:sz w:val="18"/>
          <w:szCs w:val="18"/>
        </w:rPr>
      </w:pPr>
      <w:r>
        <w:rPr>
          <w:rFonts w:ascii="宋体" w:hAnsi="宋体" w:eastAsia="宋体" w:cs="宋体"/>
          <w:sz w:val="18"/>
          <w:szCs w:val="18"/>
        </w:rPr>
        <w:t>确定该组合依据的说明：</w:t>
      </w:r>
      <w:r>
        <w:rPr>
          <w:rFonts w:hint="eastAsia"/>
          <w:sz w:val="18"/>
          <w:szCs w:val="18"/>
        </w:rPr>
        <w:t>无</w:t>
      </w:r>
    </w:p>
    <w:p w14:paraId="6822982D">
      <w:pPr>
        <w:spacing w:before="100" w:after="100" w:line="240" w:lineRule="exact"/>
        <w:rPr>
          <w:rFonts w:ascii="宋体" w:hAnsi="宋体" w:eastAsia="宋体" w:cs="宋体"/>
          <w:sz w:val="18"/>
          <w:szCs w:val="18"/>
        </w:rPr>
      </w:pPr>
      <w:r>
        <w:rPr>
          <w:rFonts w:ascii="宋体" w:hAnsi="宋体" w:eastAsia="宋体" w:cs="宋体"/>
          <w:sz w:val="18"/>
          <w:szCs w:val="18"/>
        </w:rPr>
        <w:t>如是按照预期信用损失一般模型计提应收账款坏账准备：</w:t>
      </w:r>
    </w:p>
    <w:p w14:paraId="058CB770">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2DBD56E">
      <w:pPr>
        <w:keepNext/>
        <w:keepLines/>
        <w:spacing w:before="300" w:after="300" w:line="280" w:lineRule="exact"/>
        <w:outlineLvl w:val="3"/>
        <w:rPr>
          <w:rFonts w:ascii="宋体" w:hAnsi="宋体" w:eastAsia="宋体" w:cs="宋体"/>
          <w:b/>
          <w:bCs/>
          <w:szCs w:val="21"/>
        </w:rPr>
      </w:pPr>
      <w:bookmarkStart w:id="618" w:name="_Toc989473"/>
      <w:r>
        <w:rPr>
          <w:rFonts w:ascii="宋体" w:hAnsi="宋体" w:eastAsia="宋体" w:cs="宋体"/>
          <w:b/>
          <w:bCs/>
          <w:szCs w:val="21"/>
        </w:rPr>
        <w:t>（3） 本期计提、收回或转回的坏账准备情况</w:t>
      </w:r>
      <w:bookmarkEnd w:id="618"/>
    </w:p>
    <w:p w14:paraId="7FDD23B5">
      <w:pPr>
        <w:spacing w:before="100" w:after="100" w:line="240" w:lineRule="exact"/>
        <w:rPr>
          <w:rFonts w:ascii="宋体" w:hAnsi="宋体" w:eastAsia="宋体" w:cs="宋体"/>
          <w:sz w:val="18"/>
          <w:szCs w:val="18"/>
        </w:rPr>
      </w:pPr>
      <w:r>
        <w:rPr>
          <w:rFonts w:ascii="宋体" w:hAnsi="宋体" w:eastAsia="宋体" w:cs="宋体"/>
          <w:sz w:val="18"/>
          <w:szCs w:val="18"/>
        </w:rPr>
        <w:t>本期计提坏账准备情况：</w:t>
      </w:r>
    </w:p>
    <w:p w14:paraId="039A3A9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7924B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304EA72">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FBF5255">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0FB76377">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0C3C138">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6B41C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53193D3"/>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7E61CFD"/>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5FF4378">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5BCD7FE8">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78B0100">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E27B0DE">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78E67E7"/>
        </w:tc>
      </w:tr>
      <w:tr w14:paraId="72C89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B3A4976">
            <w:pPr>
              <w:spacing w:line="240" w:lineRule="exac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14:paraId="3E7AB349">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311EC15">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1400853">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40AA252">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2E77A543">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F18D560">
            <w:pPr>
              <w:spacing w:line="240" w:lineRule="exact"/>
              <w:jc w:val="right"/>
              <w:rPr>
                <w:rFonts w:ascii="宋体" w:hAnsi="宋体" w:eastAsia="宋体" w:cs="宋体"/>
                <w:sz w:val="18"/>
                <w:szCs w:val="18"/>
              </w:rPr>
            </w:pPr>
          </w:p>
        </w:tc>
      </w:tr>
      <w:tr w14:paraId="1D5BE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7E66D7F">
            <w:pPr>
              <w:spacing w:line="240" w:lineRule="exact"/>
              <w:rPr>
                <w:rFonts w:ascii="宋体" w:hAnsi="宋体" w:eastAsia="宋体" w:cs="宋体"/>
                <w:sz w:val="18"/>
                <w:szCs w:val="18"/>
              </w:rPr>
            </w:pPr>
            <w:r>
              <w:rPr>
                <w:rFonts w:ascii="宋体" w:hAnsi="宋体" w:eastAsia="宋体" w:cs="宋体"/>
                <w:sz w:val="18"/>
                <w:szCs w:val="18"/>
              </w:rPr>
              <w:t>其中：预期信用风险组合</w:t>
            </w:r>
          </w:p>
        </w:tc>
        <w:tc>
          <w:tcPr>
            <w:tcW w:w="1377" w:type="dxa"/>
            <w:tcBorders>
              <w:top w:val="single" w:color="auto" w:sz="2" w:space="0"/>
              <w:left w:val="single" w:color="auto" w:sz="2" w:space="0"/>
              <w:bottom w:val="single" w:color="auto" w:sz="2" w:space="0"/>
              <w:right w:val="single" w:color="auto" w:sz="2" w:space="0"/>
            </w:tcBorders>
            <w:vAlign w:val="center"/>
          </w:tcPr>
          <w:p w14:paraId="4EE3604E">
            <w:pPr>
              <w:spacing w:line="240" w:lineRule="exact"/>
              <w:jc w:val="right"/>
              <w:rPr>
                <w:rFonts w:ascii="宋体" w:hAnsi="宋体" w:eastAsia="宋体" w:cs="宋体"/>
                <w:sz w:val="18"/>
                <w:szCs w:val="18"/>
              </w:rPr>
            </w:pPr>
            <w:r>
              <w:rPr>
                <w:rFonts w:ascii="宋体" w:hAnsi="宋体" w:eastAsia="宋体" w:cs="宋体"/>
                <w:sz w:val="18"/>
                <w:szCs w:val="18"/>
              </w:rPr>
              <w:t>256,274.71</w:t>
            </w:r>
          </w:p>
        </w:tc>
        <w:tc>
          <w:tcPr>
            <w:tcW w:w="1377" w:type="dxa"/>
            <w:tcBorders>
              <w:top w:val="single" w:color="auto" w:sz="2" w:space="0"/>
              <w:left w:val="single" w:color="auto" w:sz="2" w:space="0"/>
              <w:bottom w:val="single" w:color="auto" w:sz="2" w:space="0"/>
              <w:right w:val="single" w:color="auto" w:sz="2" w:space="0"/>
            </w:tcBorders>
            <w:vAlign w:val="center"/>
          </w:tcPr>
          <w:p w14:paraId="5AFD572B">
            <w:pPr>
              <w:spacing w:line="240" w:lineRule="exact"/>
              <w:jc w:val="right"/>
              <w:rPr>
                <w:rFonts w:ascii="宋体" w:hAnsi="宋体" w:eastAsia="宋体" w:cs="宋体"/>
                <w:sz w:val="18"/>
                <w:szCs w:val="18"/>
              </w:rPr>
            </w:pPr>
            <w:r>
              <w:rPr>
                <w:rFonts w:ascii="宋体" w:hAnsi="宋体" w:eastAsia="宋体" w:cs="宋体"/>
                <w:sz w:val="18"/>
                <w:szCs w:val="18"/>
              </w:rPr>
              <w:t>16,737.56</w:t>
            </w:r>
          </w:p>
        </w:tc>
        <w:tc>
          <w:tcPr>
            <w:tcW w:w="1377" w:type="dxa"/>
            <w:tcBorders>
              <w:top w:val="single" w:color="auto" w:sz="2" w:space="0"/>
              <w:left w:val="single" w:color="auto" w:sz="2" w:space="0"/>
              <w:bottom w:val="single" w:color="auto" w:sz="2" w:space="0"/>
              <w:right w:val="single" w:color="auto" w:sz="2" w:space="0"/>
            </w:tcBorders>
            <w:vAlign w:val="center"/>
          </w:tcPr>
          <w:p w14:paraId="1187A6FB">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E2A6129">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C9352F5">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44F2148">
            <w:pPr>
              <w:spacing w:line="240" w:lineRule="exact"/>
              <w:jc w:val="right"/>
              <w:rPr>
                <w:rFonts w:ascii="宋体" w:hAnsi="宋体" w:eastAsia="宋体" w:cs="宋体"/>
                <w:sz w:val="18"/>
                <w:szCs w:val="18"/>
              </w:rPr>
            </w:pPr>
            <w:r>
              <w:rPr>
                <w:rFonts w:ascii="宋体" w:hAnsi="宋体" w:eastAsia="宋体" w:cs="宋体"/>
                <w:sz w:val="18"/>
                <w:szCs w:val="18"/>
              </w:rPr>
              <w:t>273,012.27</w:t>
            </w:r>
          </w:p>
        </w:tc>
      </w:tr>
      <w:tr w14:paraId="73FD1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C3BCCF6">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2D92828E">
            <w:pPr>
              <w:spacing w:line="240" w:lineRule="exact"/>
              <w:jc w:val="right"/>
              <w:rPr>
                <w:rFonts w:ascii="宋体" w:hAnsi="宋体" w:eastAsia="宋体" w:cs="宋体"/>
                <w:sz w:val="18"/>
                <w:szCs w:val="18"/>
              </w:rPr>
            </w:pPr>
            <w:r>
              <w:rPr>
                <w:rFonts w:ascii="宋体" w:hAnsi="宋体" w:eastAsia="宋体" w:cs="宋体"/>
                <w:sz w:val="18"/>
                <w:szCs w:val="18"/>
              </w:rPr>
              <w:t>256,274.71</w:t>
            </w:r>
          </w:p>
        </w:tc>
        <w:tc>
          <w:tcPr>
            <w:tcW w:w="1377" w:type="dxa"/>
            <w:tcBorders>
              <w:top w:val="single" w:color="auto" w:sz="2" w:space="0"/>
              <w:left w:val="single" w:color="auto" w:sz="2" w:space="0"/>
              <w:bottom w:val="single" w:color="auto" w:sz="2" w:space="0"/>
              <w:right w:val="single" w:color="auto" w:sz="2" w:space="0"/>
            </w:tcBorders>
            <w:vAlign w:val="center"/>
          </w:tcPr>
          <w:p w14:paraId="65342ACA">
            <w:pPr>
              <w:spacing w:line="240" w:lineRule="exact"/>
              <w:jc w:val="right"/>
              <w:rPr>
                <w:rFonts w:ascii="宋体" w:hAnsi="宋体" w:eastAsia="宋体" w:cs="宋体"/>
                <w:sz w:val="18"/>
                <w:szCs w:val="18"/>
              </w:rPr>
            </w:pPr>
            <w:r>
              <w:rPr>
                <w:rFonts w:ascii="宋体" w:hAnsi="宋体" w:eastAsia="宋体" w:cs="宋体"/>
                <w:sz w:val="18"/>
                <w:szCs w:val="18"/>
              </w:rPr>
              <w:t>16,737.56</w:t>
            </w:r>
          </w:p>
        </w:tc>
        <w:tc>
          <w:tcPr>
            <w:tcW w:w="1377" w:type="dxa"/>
            <w:tcBorders>
              <w:top w:val="single" w:color="auto" w:sz="2" w:space="0"/>
              <w:left w:val="single" w:color="auto" w:sz="2" w:space="0"/>
              <w:bottom w:val="single" w:color="auto" w:sz="2" w:space="0"/>
              <w:right w:val="single" w:color="auto" w:sz="2" w:space="0"/>
            </w:tcBorders>
            <w:vAlign w:val="center"/>
          </w:tcPr>
          <w:p w14:paraId="4C5EF806">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41C5503">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AAC4694">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8473894">
            <w:pPr>
              <w:spacing w:line="240" w:lineRule="exact"/>
              <w:jc w:val="right"/>
              <w:rPr>
                <w:rFonts w:ascii="宋体" w:hAnsi="宋体" w:eastAsia="宋体" w:cs="宋体"/>
                <w:sz w:val="18"/>
                <w:szCs w:val="18"/>
              </w:rPr>
            </w:pPr>
            <w:r>
              <w:rPr>
                <w:rFonts w:ascii="宋体" w:hAnsi="宋体" w:eastAsia="宋体" w:cs="宋体"/>
                <w:sz w:val="18"/>
                <w:szCs w:val="18"/>
              </w:rPr>
              <w:t>273,012.27</w:t>
            </w:r>
          </w:p>
        </w:tc>
      </w:tr>
    </w:tbl>
    <w:p w14:paraId="5B6F1AAA">
      <w:pPr>
        <w:spacing w:before="100" w:after="100" w:line="240" w:lineRule="exact"/>
        <w:rPr>
          <w:rFonts w:ascii="宋体" w:hAnsi="宋体" w:eastAsia="宋体" w:cs="宋体"/>
          <w:sz w:val="18"/>
          <w:szCs w:val="18"/>
        </w:rPr>
      </w:pPr>
      <w:r>
        <w:rPr>
          <w:rFonts w:ascii="宋体" w:hAnsi="宋体" w:eastAsia="宋体" w:cs="宋体"/>
          <w:sz w:val="18"/>
          <w:szCs w:val="18"/>
        </w:rPr>
        <w:t>其中本期坏账准备收回或转回金额重要的：</w:t>
      </w:r>
      <w:r>
        <w:rPr>
          <w:rFonts w:hint="eastAsia"/>
          <w:sz w:val="18"/>
          <w:szCs w:val="18"/>
        </w:rPr>
        <w:t>无</w:t>
      </w:r>
    </w:p>
    <w:p w14:paraId="1C26DED8">
      <w:pPr>
        <w:keepNext/>
        <w:keepLines/>
        <w:spacing w:before="300" w:after="300" w:line="280" w:lineRule="exact"/>
        <w:outlineLvl w:val="3"/>
        <w:rPr>
          <w:rFonts w:ascii="宋体" w:hAnsi="宋体" w:eastAsia="宋体" w:cs="宋体"/>
          <w:b/>
          <w:bCs/>
          <w:szCs w:val="21"/>
        </w:rPr>
      </w:pPr>
      <w:bookmarkStart w:id="619" w:name="_Toc989474"/>
      <w:r>
        <w:rPr>
          <w:rFonts w:ascii="宋体" w:hAnsi="宋体" w:eastAsia="宋体" w:cs="宋体"/>
          <w:b/>
          <w:bCs/>
          <w:szCs w:val="21"/>
        </w:rPr>
        <w:t>（4） 本期实际核销的应收账款情况</w:t>
      </w:r>
      <w:bookmarkEnd w:id="619"/>
    </w:p>
    <w:p w14:paraId="7E24CF8B">
      <w:pPr>
        <w:spacing w:before="100" w:after="100" w:line="240" w:lineRule="exact"/>
        <w:rPr>
          <w:rFonts w:ascii="宋体" w:hAnsi="宋体" w:eastAsia="宋体" w:cs="宋体"/>
          <w:sz w:val="18"/>
          <w:szCs w:val="18"/>
        </w:rPr>
      </w:pPr>
      <w:r>
        <w:rPr>
          <w:rFonts w:ascii="宋体" w:hAnsi="宋体" w:eastAsia="宋体" w:cs="宋体"/>
          <w:sz w:val="18"/>
          <w:szCs w:val="18"/>
        </w:rPr>
        <w:t>应收账款核销说明：</w:t>
      </w:r>
      <w:r>
        <w:rPr>
          <w:rFonts w:hint="eastAsia"/>
          <w:sz w:val="18"/>
          <w:szCs w:val="18"/>
        </w:rPr>
        <w:t>无</w:t>
      </w:r>
    </w:p>
    <w:p w14:paraId="0C6CCB7C">
      <w:pPr>
        <w:keepNext/>
        <w:keepLines/>
        <w:spacing w:before="300" w:after="300" w:line="280" w:lineRule="exact"/>
        <w:outlineLvl w:val="3"/>
        <w:rPr>
          <w:rFonts w:ascii="宋体" w:hAnsi="宋体" w:eastAsia="宋体" w:cs="宋体"/>
          <w:b/>
          <w:bCs/>
          <w:szCs w:val="21"/>
        </w:rPr>
      </w:pPr>
      <w:bookmarkStart w:id="620" w:name="_Toc989475"/>
      <w:r>
        <w:rPr>
          <w:rFonts w:ascii="宋体" w:hAnsi="宋体" w:eastAsia="宋体" w:cs="宋体"/>
          <w:b/>
          <w:bCs/>
          <w:szCs w:val="21"/>
        </w:rPr>
        <w:t>（5） 按欠款方归集的期末余额前五名的应收账款和合同资产情况</w:t>
      </w:r>
      <w:bookmarkEnd w:id="620"/>
    </w:p>
    <w:p w14:paraId="7A17C83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14:paraId="296FC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ACD0D86">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677E6E1">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2F695D4">
            <w:pPr>
              <w:spacing w:before="40" w:after="40" w:line="240" w:lineRule="exact"/>
              <w:jc w:val="center"/>
              <w:rPr>
                <w:rFonts w:ascii="宋体" w:hAnsi="宋体" w:eastAsia="宋体" w:cs="宋体"/>
                <w:sz w:val="18"/>
                <w:szCs w:val="18"/>
              </w:rPr>
            </w:pPr>
            <w:r>
              <w:rPr>
                <w:rFonts w:ascii="宋体" w:hAnsi="宋体" w:eastAsia="宋体" w:cs="宋体"/>
                <w:sz w:val="18"/>
                <w:szCs w:val="18"/>
              </w:rPr>
              <w:t>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346179A6">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应收账款和合同资产期末余额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604ED6C">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占应收账款和合同资产期末余额合计数的比例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81E78CC">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应收账款坏账准备和合同资产减值准备期末余额</w:t>
            </w:r>
          </w:p>
        </w:tc>
      </w:tr>
      <w:tr w14:paraId="72817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13D8130">
            <w:pPr>
              <w:spacing w:line="240" w:lineRule="exact"/>
              <w:rPr>
                <w:rFonts w:ascii="宋体" w:hAnsi="宋体" w:eastAsia="宋体" w:cs="宋体"/>
                <w:sz w:val="18"/>
                <w:szCs w:val="18"/>
              </w:rPr>
            </w:pPr>
            <w:r>
              <w:rPr>
                <w:rFonts w:ascii="宋体" w:hAnsi="宋体" w:eastAsia="宋体" w:cs="宋体"/>
                <w:sz w:val="18"/>
                <w:szCs w:val="18"/>
              </w:rPr>
              <w:t>第一名</w:t>
            </w:r>
          </w:p>
        </w:tc>
        <w:tc>
          <w:tcPr>
            <w:tcW w:w="1606" w:type="dxa"/>
            <w:tcBorders>
              <w:top w:val="single" w:color="auto" w:sz="2" w:space="0"/>
              <w:left w:val="single" w:color="auto" w:sz="2" w:space="0"/>
              <w:bottom w:val="single" w:color="auto" w:sz="2" w:space="0"/>
              <w:right w:val="single" w:color="auto" w:sz="2" w:space="0"/>
            </w:tcBorders>
            <w:vAlign w:val="center"/>
          </w:tcPr>
          <w:p w14:paraId="79D19DE4">
            <w:pPr>
              <w:spacing w:line="240" w:lineRule="exact"/>
              <w:jc w:val="right"/>
              <w:rPr>
                <w:rFonts w:ascii="宋体" w:hAnsi="宋体" w:eastAsia="宋体" w:cs="宋体"/>
                <w:sz w:val="18"/>
                <w:szCs w:val="18"/>
              </w:rPr>
            </w:pPr>
            <w:r>
              <w:rPr>
                <w:rFonts w:ascii="宋体" w:hAnsi="宋体" w:eastAsia="宋体" w:cs="宋体"/>
                <w:sz w:val="18"/>
                <w:szCs w:val="18"/>
              </w:rPr>
              <w:t>6,583,252.02</w:t>
            </w:r>
          </w:p>
        </w:tc>
        <w:tc>
          <w:tcPr>
            <w:tcW w:w="1606" w:type="dxa"/>
            <w:tcBorders>
              <w:top w:val="single" w:color="auto" w:sz="2" w:space="0"/>
              <w:left w:val="single" w:color="auto" w:sz="2" w:space="0"/>
              <w:bottom w:val="single" w:color="auto" w:sz="2" w:space="0"/>
              <w:right w:val="single" w:color="auto" w:sz="2" w:space="0"/>
            </w:tcBorders>
            <w:vAlign w:val="center"/>
          </w:tcPr>
          <w:p w14:paraId="444FD9E4">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75266B9B">
            <w:pPr>
              <w:spacing w:line="240" w:lineRule="exact"/>
              <w:jc w:val="right"/>
              <w:rPr>
                <w:rFonts w:ascii="宋体" w:hAnsi="宋体" w:eastAsia="宋体" w:cs="宋体"/>
                <w:sz w:val="18"/>
                <w:szCs w:val="18"/>
              </w:rPr>
            </w:pPr>
            <w:r>
              <w:rPr>
                <w:rFonts w:ascii="宋体" w:hAnsi="宋体" w:eastAsia="宋体" w:cs="宋体"/>
                <w:sz w:val="18"/>
                <w:szCs w:val="18"/>
              </w:rPr>
              <w:t>6,583,252.02</w:t>
            </w:r>
          </w:p>
        </w:tc>
        <w:tc>
          <w:tcPr>
            <w:tcW w:w="1606" w:type="dxa"/>
            <w:tcBorders>
              <w:top w:val="single" w:color="auto" w:sz="2" w:space="0"/>
              <w:left w:val="single" w:color="auto" w:sz="2" w:space="0"/>
              <w:bottom w:val="single" w:color="auto" w:sz="2" w:space="0"/>
              <w:right w:val="single" w:color="auto" w:sz="2" w:space="0"/>
            </w:tcBorders>
            <w:vAlign w:val="center"/>
          </w:tcPr>
          <w:p w14:paraId="0D2ACFBE">
            <w:pPr>
              <w:spacing w:line="240" w:lineRule="exact"/>
              <w:jc w:val="right"/>
              <w:rPr>
                <w:rFonts w:ascii="宋体" w:hAnsi="宋体" w:eastAsia="宋体" w:cs="宋体"/>
                <w:sz w:val="18"/>
                <w:szCs w:val="18"/>
              </w:rPr>
            </w:pPr>
            <w:r>
              <w:rPr>
                <w:rFonts w:ascii="宋体" w:hAnsi="宋体" w:eastAsia="宋体" w:cs="宋体"/>
                <w:sz w:val="18"/>
                <w:szCs w:val="18"/>
              </w:rPr>
              <w:t>45.95%</w:t>
            </w:r>
          </w:p>
        </w:tc>
        <w:tc>
          <w:tcPr>
            <w:tcW w:w="1606" w:type="dxa"/>
            <w:tcBorders>
              <w:top w:val="single" w:color="auto" w:sz="2" w:space="0"/>
              <w:left w:val="single" w:color="auto" w:sz="2" w:space="0"/>
              <w:bottom w:val="single" w:color="auto" w:sz="2" w:space="0"/>
              <w:right w:val="single" w:color="auto" w:sz="2" w:space="0"/>
            </w:tcBorders>
            <w:vAlign w:val="center"/>
          </w:tcPr>
          <w:p w14:paraId="36CE052F">
            <w:pPr>
              <w:spacing w:line="240" w:lineRule="exact"/>
              <w:jc w:val="right"/>
              <w:rPr>
                <w:rFonts w:ascii="宋体" w:hAnsi="宋体" w:eastAsia="宋体" w:cs="宋体"/>
                <w:sz w:val="18"/>
                <w:szCs w:val="18"/>
              </w:rPr>
            </w:pPr>
          </w:p>
        </w:tc>
      </w:tr>
      <w:tr w14:paraId="5B9B7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3C5CE5DC">
            <w:pPr>
              <w:spacing w:line="240" w:lineRule="exact"/>
              <w:rPr>
                <w:rFonts w:ascii="宋体" w:hAnsi="宋体" w:eastAsia="宋体" w:cs="宋体"/>
                <w:sz w:val="18"/>
                <w:szCs w:val="18"/>
              </w:rPr>
            </w:pPr>
            <w:r>
              <w:rPr>
                <w:rFonts w:ascii="宋体" w:hAnsi="宋体" w:eastAsia="宋体" w:cs="宋体"/>
                <w:sz w:val="18"/>
                <w:szCs w:val="18"/>
              </w:rPr>
              <w:t>第二名</w:t>
            </w:r>
          </w:p>
        </w:tc>
        <w:tc>
          <w:tcPr>
            <w:tcW w:w="1606" w:type="dxa"/>
            <w:tcBorders>
              <w:top w:val="single" w:color="auto" w:sz="2" w:space="0"/>
              <w:left w:val="single" w:color="auto" w:sz="2" w:space="0"/>
              <w:bottom w:val="single" w:color="auto" w:sz="2" w:space="0"/>
              <w:right w:val="single" w:color="auto" w:sz="2" w:space="0"/>
            </w:tcBorders>
            <w:vAlign w:val="center"/>
          </w:tcPr>
          <w:p w14:paraId="44DBA8EE">
            <w:pPr>
              <w:spacing w:line="240" w:lineRule="exact"/>
              <w:jc w:val="right"/>
              <w:rPr>
                <w:rFonts w:ascii="宋体" w:hAnsi="宋体" w:eastAsia="宋体" w:cs="宋体"/>
                <w:sz w:val="18"/>
                <w:szCs w:val="18"/>
              </w:rPr>
            </w:pPr>
            <w:r>
              <w:rPr>
                <w:rFonts w:ascii="宋体" w:hAnsi="宋体" w:eastAsia="宋体" w:cs="宋体"/>
                <w:sz w:val="18"/>
                <w:szCs w:val="18"/>
              </w:rPr>
              <w:t>5,085,358.58</w:t>
            </w:r>
          </w:p>
        </w:tc>
        <w:tc>
          <w:tcPr>
            <w:tcW w:w="1606" w:type="dxa"/>
            <w:tcBorders>
              <w:top w:val="single" w:color="auto" w:sz="2" w:space="0"/>
              <w:left w:val="single" w:color="auto" w:sz="2" w:space="0"/>
              <w:bottom w:val="single" w:color="auto" w:sz="2" w:space="0"/>
              <w:right w:val="single" w:color="auto" w:sz="2" w:space="0"/>
            </w:tcBorders>
            <w:vAlign w:val="center"/>
          </w:tcPr>
          <w:p w14:paraId="774BD0EF">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4F4AE4EF">
            <w:pPr>
              <w:spacing w:line="240" w:lineRule="exact"/>
              <w:jc w:val="right"/>
              <w:rPr>
                <w:rFonts w:ascii="宋体" w:hAnsi="宋体" w:eastAsia="宋体" w:cs="宋体"/>
                <w:sz w:val="18"/>
                <w:szCs w:val="18"/>
              </w:rPr>
            </w:pPr>
            <w:r>
              <w:rPr>
                <w:rFonts w:ascii="宋体" w:hAnsi="宋体" w:eastAsia="宋体" w:cs="宋体"/>
                <w:sz w:val="18"/>
                <w:szCs w:val="18"/>
              </w:rPr>
              <w:t>5,085,358.58</w:t>
            </w:r>
          </w:p>
        </w:tc>
        <w:tc>
          <w:tcPr>
            <w:tcW w:w="1606" w:type="dxa"/>
            <w:tcBorders>
              <w:top w:val="single" w:color="auto" w:sz="2" w:space="0"/>
              <w:left w:val="single" w:color="auto" w:sz="2" w:space="0"/>
              <w:bottom w:val="single" w:color="auto" w:sz="2" w:space="0"/>
              <w:right w:val="single" w:color="auto" w:sz="2" w:space="0"/>
            </w:tcBorders>
            <w:vAlign w:val="center"/>
          </w:tcPr>
          <w:p w14:paraId="1D7FC9C6">
            <w:pPr>
              <w:spacing w:line="240" w:lineRule="exact"/>
              <w:jc w:val="right"/>
              <w:rPr>
                <w:rFonts w:ascii="宋体" w:hAnsi="宋体" w:eastAsia="宋体" w:cs="宋体"/>
                <w:sz w:val="18"/>
                <w:szCs w:val="18"/>
              </w:rPr>
            </w:pPr>
            <w:r>
              <w:rPr>
                <w:rFonts w:ascii="宋体" w:hAnsi="宋体" w:eastAsia="宋体" w:cs="宋体"/>
                <w:sz w:val="18"/>
                <w:szCs w:val="18"/>
              </w:rPr>
              <w:t>35.50%</w:t>
            </w:r>
          </w:p>
        </w:tc>
        <w:tc>
          <w:tcPr>
            <w:tcW w:w="1606" w:type="dxa"/>
            <w:tcBorders>
              <w:top w:val="single" w:color="auto" w:sz="2" w:space="0"/>
              <w:left w:val="single" w:color="auto" w:sz="2" w:space="0"/>
              <w:bottom w:val="single" w:color="auto" w:sz="2" w:space="0"/>
              <w:right w:val="single" w:color="auto" w:sz="2" w:space="0"/>
            </w:tcBorders>
            <w:vAlign w:val="center"/>
          </w:tcPr>
          <w:p w14:paraId="0021EE74">
            <w:pPr>
              <w:spacing w:line="240" w:lineRule="exact"/>
              <w:jc w:val="right"/>
              <w:rPr>
                <w:rFonts w:ascii="宋体" w:hAnsi="宋体" w:eastAsia="宋体" w:cs="宋体"/>
                <w:sz w:val="18"/>
                <w:szCs w:val="18"/>
              </w:rPr>
            </w:pPr>
            <w:r>
              <w:rPr>
                <w:rFonts w:ascii="宋体" w:hAnsi="宋体" w:eastAsia="宋体" w:cs="宋体"/>
                <w:sz w:val="18"/>
                <w:szCs w:val="18"/>
              </w:rPr>
              <w:t>254,267.93</w:t>
            </w:r>
          </w:p>
        </w:tc>
      </w:tr>
      <w:tr w14:paraId="1B17F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420EA419">
            <w:pPr>
              <w:spacing w:line="240" w:lineRule="exact"/>
              <w:rPr>
                <w:rFonts w:ascii="宋体" w:hAnsi="宋体" w:eastAsia="宋体" w:cs="宋体"/>
                <w:sz w:val="18"/>
                <w:szCs w:val="18"/>
              </w:rPr>
            </w:pPr>
            <w:r>
              <w:rPr>
                <w:rFonts w:ascii="宋体" w:hAnsi="宋体" w:eastAsia="宋体" w:cs="宋体"/>
                <w:sz w:val="18"/>
                <w:szCs w:val="18"/>
              </w:rPr>
              <w:t>第三名</w:t>
            </w:r>
          </w:p>
        </w:tc>
        <w:tc>
          <w:tcPr>
            <w:tcW w:w="1606" w:type="dxa"/>
            <w:tcBorders>
              <w:top w:val="single" w:color="auto" w:sz="2" w:space="0"/>
              <w:left w:val="single" w:color="auto" w:sz="2" w:space="0"/>
              <w:bottom w:val="single" w:color="auto" w:sz="2" w:space="0"/>
              <w:right w:val="single" w:color="auto" w:sz="2" w:space="0"/>
            </w:tcBorders>
            <w:vAlign w:val="center"/>
          </w:tcPr>
          <w:p w14:paraId="550BA9AB">
            <w:pPr>
              <w:spacing w:line="240" w:lineRule="exact"/>
              <w:jc w:val="right"/>
              <w:rPr>
                <w:rFonts w:ascii="宋体" w:hAnsi="宋体" w:eastAsia="宋体" w:cs="宋体"/>
                <w:sz w:val="18"/>
                <w:szCs w:val="18"/>
              </w:rPr>
            </w:pPr>
            <w:r>
              <w:rPr>
                <w:rFonts w:ascii="宋体" w:hAnsi="宋体" w:eastAsia="宋体" w:cs="宋体"/>
                <w:sz w:val="18"/>
                <w:szCs w:val="18"/>
              </w:rPr>
              <w:t>2,283,397.62</w:t>
            </w:r>
          </w:p>
        </w:tc>
        <w:tc>
          <w:tcPr>
            <w:tcW w:w="1606" w:type="dxa"/>
            <w:tcBorders>
              <w:top w:val="single" w:color="auto" w:sz="2" w:space="0"/>
              <w:left w:val="single" w:color="auto" w:sz="2" w:space="0"/>
              <w:bottom w:val="single" w:color="auto" w:sz="2" w:space="0"/>
              <w:right w:val="single" w:color="auto" w:sz="2" w:space="0"/>
            </w:tcBorders>
            <w:vAlign w:val="center"/>
          </w:tcPr>
          <w:p w14:paraId="3587B1DB">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3AF8D23B">
            <w:pPr>
              <w:spacing w:line="240" w:lineRule="exact"/>
              <w:jc w:val="right"/>
              <w:rPr>
                <w:rFonts w:ascii="宋体" w:hAnsi="宋体" w:eastAsia="宋体" w:cs="宋体"/>
                <w:sz w:val="18"/>
                <w:szCs w:val="18"/>
              </w:rPr>
            </w:pPr>
            <w:r>
              <w:rPr>
                <w:rFonts w:ascii="宋体" w:hAnsi="宋体" w:eastAsia="宋体" w:cs="宋体"/>
                <w:sz w:val="18"/>
                <w:szCs w:val="18"/>
              </w:rPr>
              <w:t>2,283,397.62</w:t>
            </w:r>
          </w:p>
        </w:tc>
        <w:tc>
          <w:tcPr>
            <w:tcW w:w="1606" w:type="dxa"/>
            <w:tcBorders>
              <w:top w:val="single" w:color="auto" w:sz="2" w:space="0"/>
              <w:left w:val="single" w:color="auto" w:sz="2" w:space="0"/>
              <w:bottom w:val="single" w:color="auto" w:sz="2" w:space="0"/>
              <w:right w:val="single" w:color="auto" w:sz="2" w:space="0"/>
            </w:tcBorders>
            <w:vAlign w:val="center"/>
          </w:tcPr>
          <w:p w14:paraId="19AA1F81">
            <w:pPr>
              <w:spacing w:line="240" w:lineRule="exact"/>
              <w:jc w:val="right"/>
              <w:rPr>
                <w:rFonts w:ascii="宋体" w:hAnsi="宋体" w:eastAsia="宋体" w:cs="宋体"/>
                <w:sz w:val="18"/>
                <w:szCs w:val="18"/>
              </w:rPr>
            </w:pPr>
            <w:r>
              <w:rPr>
                <w:rFonts w:ascii="宋体" w:hAnsi="宋体" w:eastAsia="宋体" w:cs="宋体"/>
                <w:sz w:val="18"/>
                <w:szCs w:val="18"/>
              </w:rPr>
              <w:t>15.94%</w:t>
            </w:r>
          </w:p>
        </w:tc>
        <w:tc>
          <w:tcPr>
            <w:tcW w:w="1606" w:type="dxa"/>
            <w:tcBorders>
              <w:top w:val="single" w:color="auto" w:sz="2" w:space="0"/>
              <w:left w:val="single" w:color="auto" w:sz="2" w:space="0"/>
              <w:bottom w:val="single" w:color="auto" w:sz="2" w:space="0"/>
              <w:right w:val="single" w:color="auto" w:sz="2" w:space="0"/>
            </w:tcBorders>
            <w:vAlign w:val="center"/>
          </w:tcPr>
          <w:p w14:paraId="5B63EA4F">
            <w:pPr>
              <w:spacing w:line="240" w:lineRule="exact"/>
              <w:jc w:val="right"/>
              <w:rPr>
                <w:rFonts w:ascii="宋体" w:hAnsi="宋体" w:eastAsia="宋体" w:cs="宋体"/>
                <w:sz w:val="18"/>
                <w:szCs w:val="18"/>
              </w:rPr>
            </w:pPr>
          </w:p>
        </w:tc>
      </w:tr>
      <w:tr w14:paraId="3D031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C9AA454">
            <w:pPr>
              <w:spacing w:line="240" w:lineRule="exact"/>
              <w:rPr>
                <w:rFonts w:ascii="宋体" w:hAnsi="宋体" w:eastAsia="宋体" w:cs="宋体"/>
                <w:sz w:val="18"/>
                <w:szCs w:val="18"/>
              </w:rPr>
            </w:pPr>
            <w:r>
              <w:rPr>
                <w:rFonts w:ascii="宋体" w:hAnsi="宋体" w:eastAsia="宋体" w:cs="宋体"/>
                <w:sz w:val="18"/>
                <w:szCs w:val="18"/>
              </w:rPr>
              <w:t>第四名</w:t>
            </w:r>
          </w:p>
        </w:tc>
        <w:tc>
          <w:tcPr>
            <w:tcW w:w="1606" w:type="dxa"/>
            <w:tcBorders>
              <w:top w:val="single" w:color="auto" w:sz="2" w:space="0"/>
              <w:left w:val="single" w:color="auto" w:sz="2" w:space="0"/>
              <w:bottom w:val="single" w:color="auto" w:sz="2" w:space="0"/>
              <w:right w:val="single" w:color="auto" w:sz="2" w:space="0"/>
            </w:tcBorders>
            <w:vAlign w:val="center"/>
          </w:tcPr>
          <w:p w14:paraId="541D522A">
            <w:pPr>
              <w:spacing w:line="240" w:lineRule="exact"/>
              <w:jc w:val="right"/>
              <w:rPr>
                <w:rFonts w:ascii="宋体" w:hAnsi="宋体" w:eastAsia="宋体" w:cs="宋体"/>
                <w:sz w:val="18"/>
                <w:szCs w:val="18"/>
              </w:rPr>
            </w:pPr>
            <w:r>
              <w:rPr>
                <w:rFonts w:ascii="宋体" w:hAnsi="宋体" w:eastAsia="宋体" w:cs="宋体"/>
                <w:sz w:val="18"/>
                <w:szCs w:val="18"/>
              </w:rPr>
              <w:t>344,976.68</w:t>
            </w:r>
          </w:p>
        </w:tc>
        <w:tc>
          <w:tcPr>
            <w:tcW w:w="1606" w:type="dxa"/>
            <w:tcBorders>
              <w:top w:val="single" w:color="auto" w:sz="2" w:space="0"/>
              <w:left w:val="single" w:color="auto" w:sz="2" w:space="0"/>
              <w:bottom w:val="single" w:color="auto" w:sz="2" w:space="0"/>
              <w:right w:val="single" w:color="auto" w:sz="2" w:space="0"/>
            </w:tcBorders>
            <w:vAlign w:val="center"/>
          </w:tcPr>
          <w:p w14:paraId="10C469AD">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0F2675F">
            <w:pPr>
              <w:spacing w:line="240" w:lineRule="exact"/>
              <w:jc w:val="right"/>
              <w:rPr>
                <w:rFonts w:ascii="宋体" w:hAnsi="宋体" w:eastAsia="宋体" w:cs="宋体"/>
                <w:sz w:val="18"/>
                <w:szCs w:val="18"/>
              </w:rPr>
            </w:pPr>
            <w:r>
              <w:rPr>
                <w:rFonts w:ascii="宋体" w:hAnsi="宋体" w:eastAsia="宋体" w:cs="宋体"/>
                <w:sz w:val="18"/>
                <w:szCs w:val="18"/>
              </w:rPr>
              <w:t>344,976.68</w:t>
            </w:r>
          </w:p>
        </w:tc>
        <w:tc>
          <w:tcPr>
            <w:tcW w:w="1606" w:type="dxa"/>
            <w:tcBorders>
              <w:top w:val="single" w:color="auto" w:sz="2" w:space="0"/>
              <w:left w:val="single" w:color="auto" w:sz="2" w:space="0"/>
              <w:bottom w:val="single" w:color="auto" w:sz="2" w:space="0"/>
              <w:right w:val="single" w:color="auto" w:sz="2" w:space="0"/>
            </w:tcBorders>
            <w:vAlign w:val="center"/>
          </w:tcPr>
          <w:p w14:paraId="78DCEF64">
            <w:pPr>
              <w:spacing w:line="240" w:lineRule="exact"/>
              <w:jc w:val="right"/>
              <w:rPr>
                <w:rFonts w:ascii="宋体" w:hAnsi="宋体" w:eastAsia="宋体" w:cs="宋体"/>
                <w:sz w:val="18"/>
                <w:szCs w:val="18"/>
              </w:rPr>
            </w:pPr>
            <w:r>
              <w:rPr>
                <w:rFonts w:ascii="宋体" w:hAnsi="宋体" w:eastAsia="宋体" w:cs="宋体"/>
                <w:sz w:val="18"/>
                <w:szCs w:val="18"/>
              </w:rPr>
              <w:t>2.41%</w:t>
            </w:r>
          </w:p>
        </w:tc>
        <w:tc>
          <w:tcPr>
            <w:tcW w:w="1606" w:type="dxa"/>
            <w:tcBorders>
              <w:top w:val="single" w:color="auto" w:sz="2" w:space="0"/>
              <w:left w:val="single" w:color="auto" w:sz="2" w:space="0"/>
              <w:bottom w:val="single" w:color="auto" w:sz="2" w:space="0"/>
              <w:right w:val="single" w:color="auto" w:sz="2" w:space="0"/>
            </w:tcBorders>
            <w:vAlign w:val="center"/>
          </w:tcPr>
          <w:p w14:paraId="770814D2">
            <w:pPr>
              <w:spacing w:line="240" w:lineRule="exact"/>
              <w:jc w:val="right"/>
              <w:rPr>
                <w:rFonts w:ascii="宋体" w:hAnsi="宋体" w:eastAsia="宋体" w:cs="宋体"/>
                <w:sz w:val="18"/>
                <w:szCs w:val="18"/>
              </w:rPr>
            </w:pPr>
            <w:r>
              <w:rPr>
                <w:rFonts w:ascii="宋体" w:hAnsi="宋体" w:eastAsia="宋体" w:cs="宋体"/>
                <w:sz w:val="18"/>
                <w:szCs w:val="18"/>
              </w:rPr>
              <w:t>17,248.83</w:t>
            </w:r>
          </w:p>
        </w:tc>
      </w:tr>
      <w:tr w14:paraId="22265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686D6C1">
            <w:pPr>
              <w:spacing w:line="240" w:lineRule="exact"/>
              <w:rPr>
                <w:rFonts w:ascii="宋体" w:hAnsi="宋体" w:eastAsia="宋体" w:cs="宋体"/>
                <w:sz w:val="18"/>
                <w:szCs w:val="18"/>
              </w:rPr>
            </w:pPr>
            <w:r>
              <w:rPr>
                <w:rFonts w:ascii="宋体" w:hAnsi="宋体" w:eastAsia="宋体" w:cs="宋体"/>
                <w:sz w:val="18"/>
                <w:szCs w:val="18"/>
              </w:rPr>
              <w:t>第五名</w:t>
            </w:r>
          </w:p>
        </w:tc>
        <w:tc>
          <w:tcPr>
            <w:tcW w:w="1606" w:type="dxa"/>
            <w:tcBorders>
              <w:top w:val="single" w:color="auto" w:sz="2" w:space="0"/>
              <w:left w:val="single" w:color="auto" w:sz="2" w:space="0"/>
              <w:bottom w:val="single" w:color="auto" w:sz="2" w:space="0"/>
              <w:right w:val="single" w:color="auto" w:sz="2" w:space="0"/>
            </w:tcBorders>
            <w:vAlign w:val="center"/>
          </w:tcPr>
          <w:p w14:paraId="49ABC4D2">
            <w:pPr>
              <w:spacing w:line="240" w:lineRule="exact"/>
              <w:jc w:val="right"/>
              <w:rPr>
                <w:rFonts w:ascii="宋体" w:hAnsi="宋体" w:eastAsia="宋体" w:cs="宋体"/>
                <w:sz w:val="18"/>
                <w:szCs w:val="18"/>
              </w:rPr>
            </w:pPr>
            <w:r>
              <w:rPr>
                <w:rFonts w:ascii="宋体" w:hAnsi="宋体" w:eastAsia="宋体" w:cs="宋体"/>
                <w:sz w:val="18"/>
                <w:szCs w:val="18"/>
              </w:rPr>
              <w:t>29,226.17</w:t>
            </w:r>
          </w:p>
        </w:tc>
        <w:tc>
          <w:tcPr>
            <w:tcW w:w="1606" w:type="dxa"/>
            <w:tcBorders>
              <w:top w:val="single" w:color="auto" w:sz="2" w:space="0"/>
              <w:left w:val="single" w:color="auto" w:sz="2" w:space="0"/>
              <w:bottom w:val="single" w:color="auto" w:sz="2" w:space="0"/>
              <w:right w:val="single" w:color="auto" w:sz="2" w:space="0"/>
            </w:tcBorders>
            <w:vAlign w:val="center"/>
          </w:tcPr>
          <w:p w14:paraId="03D5BD1C">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5F1E86F9">
            <w:pPr>
              <w:spacing w:line="240" w:lineRule="exact"/>
              <w:jc w:val="right"/>
              <w:rPr>
                <w:rFonts w:ascii="宋体" w:hAnsi="宋体" w:eastAsia="宋体" w:cs="宋体"/>
                <w:sz w:val="18"/>
                <w:szCs w:val="18"/>
              </w:rPr>
            </w:pPr>
            <w:r>
              <w:rPr>
                <w:rFonts w:ascii="宋体" w:hAnsi="宋体" w:eastAsia="宋体" w:cs="宋体"/>
                <w:sz w:val="18"/>
                <w:szCs w:val="18"/>
              </w:rPr>
              <w:t>29,226.17</w:t>
            </w:r>
          </w:p>
        </w:tc>
        <w:tc>
          <w:tcPr>
            <w:tcW w:w="1606" w:type="dxa"/>
            <w:tcBorders>
              <w:top w:val="single" w:color="auto" w:sz="2" w:space="0"/>
              <w:left w:val="single" w:color="auto" w:sz="2" w:space="0"/>
              <w:bottom w:val="single" w:color="auto" w:sz="2" w:space="0"/>
              <w:right w:val="single" w:color="auto" w:sz="2" w:space="0"/>
            </w:tcBorders>
            <w:vAlign w:val="center"/>
          </w:tcPr>
          <w:p w14:paraId="2F5A306E">
            <w:pPr>
              <w:spacing w:line="240" w:lineRule="exact"/>
              <w:jc w:val="right"/>
              <w:rPr>
                <w:rFonts w:ascii="宋体" w:hAnsi="宋体" w:eastAsia="宋体" w:cs="宋体"/>
                <w:sz w:val="18"/>
                <w:szCs w:val="18"/>
              </w:rPr>
            </w:pPr>
            <w:r>
              <w:rPr>
                <w:rFonts w:ascii="宋体" w:hAnsi="宋体" w:eastAsia="宋体" w:cs="宋体"/>
                <w:sz w:val="18"/>
                <w:szCs w:val="18"/>
              </w:rPr>
              <w:t>0.20%</w:t>
            </w:r>
          </w:p>
        </w:tc>
        <w:tc>
          <w:tcPr>
            <w:tcW w:w="1606" w:type="dxa"/>
            <w:tcBorders>
              <w:top w:val="single" w:color="auto" w:sz="2" w:space="0"/>
              <w:left w:val="single" w:color="auto" w:sz="2" w:space="0"/>
              <w:bottom w:val="single" w:color="auto" w:sz="2" w:space="0"/>
              <w:right w:val="single" w:color="auto" w:sz="2" w:space="0"/>
            </w:tcBorders>
            <w:vAlign w:val="center"/>
          </w:tcPr>
          <w:p w14:paraId="3F550198">
            <w:pPr>
              <w:spacing w:line="240" w:lineRule="exact"/>
              <w:jc w:val="right"/>
              <w:rPr>
                <w:rFonts w:ascii="宋体" w:hAnsi="宋体" w:eastAsia="宋体" w:cs="宋体"/>
                <w:sz w:val="18"/>
                <w:szCs w:val="18"/>
              </w:rPr>
            </w:pPr>
            <w:r>
              <w:rPr>
                <w:rFonts w:ascii="宋体" w:hAnsi="宋体" w:eastAsia="宋体" w:cs="宋体"/>
                <w:sz w:val="18"/>
                <w:szCs w:val="18"/>
              </w:rPr>
              <w:t>1,461.31</w:t>
            </w:r>
          </w:p>
        </w:tc>
      </w:tr>
      <w:tr w14:paraId="0AFC3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376104D">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14:paraId="3D44A329">
            <w:pPr>
              <w:spacing w:line="240" w:lineRule="exact"/>
              <w:jc w:val="right"/>
              <w:rPr>
                <w:rFonts w:ascii="宋体" w:hAnsi="宋体" w:eastAsia="宋体" w:cs="宋体"/>
                <w:sz w:val="18"/>
                <w:szCs w:val="18"/>
              </w:rPr>
            </w:pPr>
            <w:r>
              <w:rPr>
                <w:rFonts w:ascii="宋体" w:hAnsi="宋体" w:eastAsia="宋体" w:cs="宋体"/>
                <w:sz w:val="18"/>
                <w:szCs w:val="18"/>
              </w:rPr>
              <w:t>14,326,211.07</w:t>
            </w:r>
          </w:p>
        </w:tc>
        <w:tc>
          <w:tcPr>
            <w:tcW w:w="1606" w:type="dxa"/>
            <w:tcBorders>
              <w:top w:val="single" w:color="auto" w:sz="2" w:space="0"/>
              <w:left w:val="single" w:color="auto" w:sz="2" w:space="0"/>
              <w:bottom w:val="single" w:color="auto" w:sz="2" w:space="0"/>
              <w:right w:val="single" w:color="auto" w:sz="2" w:space="0"/>
            </w:tcBorders>
            <w:vAlign w:val="center"/>
          </w:tcPr>
          <w:p w14:paraId="4DA85A58">
            <w:pPr>
              <w:spacing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14:paraId="238F8C29">
            <w:pPr>
              <w:spacing w:line="240" w:lineRule="exact"/>
              <w:jc w:val="right"/>
              <w:rPr>
                <w:rFonts w:ascii="宋体" w:hAnsi="宋体" w:eastAsia="宋体" w:cs="宋体"/>
                <w:sz w:val="18"/>
                <w:szCs w:val="18"/>
              </w:rPr>
            </w:pPr>
            <w:r>
              <w:rPr>
                <w:rFonts w:ascii="宋体" w:hAnsi="宋体" w:eastAsia="宋体" w:cs="宋体"/>
                <w:sz w:val="18"/>
                <w:szCs w:val="18"/>
              </w:rPr>
              <w:t>14,326,211.07</w:t>
            </w:r>
          </w:p>
        </w:tc>
        <w:tc>
          <w:tcPr>
            <w:tcW w:w="1606" w:type="dxa"/>
            <w:tcBorders>
              <w:top w:val="single" w:color="auto" w:sz="2" w:space="0"/>
              <w:left w:val="single" w:color="auto" w:sz="2" w:space="0"/>
              <w:bottom w:val="single" w:color="auto" w:sz="2" w:space="0"/>
              <w:right w:val="single" w:color="auto" w:sz="2" w:space="0"/>
            </w:tcBorders>
            <w:vAlign w:val="center"/>
          </w:tcPr>
          <w:p w14:paraId="392186A4">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1606" w:type="dxa"/>
            <w:tcBorders>
              <w:top w:val="single" w:color="auto" w:sz="2" w:space="0"/>
              <w:left w:val="single" w:color="auto" w:sz="2" w:space="0"/>
              <w:bottom w:val="single" w:color="auto" w:sz="2" w:space="0"/>
              <w:right w:val="single" w:color="auto" w:sz="2" w:space="0"/>
            </w:tcBorders>
            <w:vAlign w:val="center"/>
          </w:tcPr>
          <w:p w14:paraId="36FF7CDE">
            <w:pPr>
              <w:spacing w:line="240" w:lineRule="exact"/>
              <w:jc w:val="right"/>
              <w:rPr>
                <w:rFonts w:ascii="宋体" w:hAnsi="宋体" w:eastAsia="宋体" w:cs="宋体"/>
                <w:sz w:val="18"/>
                <w:szCs w:val="18"/>
              </w:rPr>
            </w:pPr>
            <w:r>
              <w:rPr>
                <w:rFonts w:ascii="宋体" w:hAnsi="宋体" w:eastAsia="宋体" w:cs="宋体"/>
                <w:sz w:val="18"/>
                <w:szCs w:val="18"/>
              </w:rPr>
              <w:t>272,978.07</w:t>
            </w:r>
          </w:p>
        </w:tc>
      </w:tr>
    </w:tbl>
    <w:p w14:paraId="4987AB3D">
      <w:pPr>
        <w:pStyle w:val="3"/>
        <w:spacing w:line="280" w:lineRule="exact"/>
        <w:jc w:val="left"/>
        <w:rPr>
          <w:rFonts w:ascii="宋体" w:hAnsi="宋体" w:cs="宋体"/>
          <w:b/>
          <w:bCs/>
        </w:rPr>
      </w:pPr>
      <w:bookmarkStart w:id="621" w:name="_Toc989476"/>
      <w:r>
        <w:rPr>
          <w:rFonts w:ascii="宋体" w:hAnsi="宋体" w:cs="宋体"/>
          <w:b/>
          <w:bCs/>
        </w:rPr>
        <w:t>2、其他应收款</w:t>
      </w:r>
      <w:bookmarkEnd w:id="621"/>
    </w:p>
    <w:p w14:paraId="1E8FECB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DF5C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08E0E40">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7BD63E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DDAD98">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E001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D9845B6">
            <w:pPr>
              <w:spacing w:before="40" w:after="40" w:line="240" w:lineRule="exac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14:paraId="6DB5019F">
            <w:pPr>
              <w:spacing w:line="240" w:lineRule="exact"/>
              <w:jc w:val="right"/>
              <w:rPr>
                <w:rFonts w:ascii="宋体" w:hAnsi="宋体" w:eastAsia="宋体" w:cs="宋体"/>
                <w:sz w:val="18"/>
                <w:szCs w:val="18"/>
              </w:rPr>
            </w:pPr>
            <w:r>
              <w:rPr>
                <w:rFonts w:ascii="宋体" w:hAnsi="宋体" w:eastAsia="宋体" w:cs="宋体"/>
                <w:sz w:val="18"/>
                <w:szCs w:val="18"/>
              </w:rPr>
              <w:t>1,555,710.53</w:t>
            </w:r>
          </w:p>
        </w:tc>
        <w:tc>
          <w:tcPr>
            <w:tcW w:w="3213" w:type="dxa"/>
            <w:tcBorders>
              <w:top w:val="single" w:color="auto" w:sz="2" w:space="0"/>
              <w:left w:val="single" w:color="auto" w:sz="2" w:space="0"/>
              <w:bottom w:val="single" w:color="auto" w:sz="2" w:space="0"/>
              <w:right w:val="single" w:color="auto" w:sz="2" w:space="0"/>
            </w:tcBorders>
            <w:vAlign w:val="center"/>
          </w:tcPr>
          <w:p w14:paraId="0960C931">
            <w:pPr>
              <w:spacing w:line="240" w:lineRule="exact"/>
              <w:jc w:val="right"/>
              <w:rPr>
                <w:rFonts w:ascii="宋体" w:hAnsi="宋体" w:eastAsia="宋体" w:cs="宋体"/>
                <w:sz w:val="18"/>
                <w:szCs w:val="18"/>
              </w:rPr>
            </w:pPr>
            <w:r>
              <w:rPr>
                <w:rFonts w:ascii="宋体" w:hAnsi="宋体" w:eastAsia="宋体" w:cs="宋体"/>
                <w:sz w:val="18"/>
                <w:szCs w:val="18"/>
              </w:rPr>
              <w:t>30,894,589.49</w:t>
            </w:r>
          </w:p>
        </w:tc>
      </w:tr>
      <w:tr w14:paraId="0E925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D9F82AE">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5A900689">
            <w:pPr>
              <w:spacing w:line="240" w:lineRule="exact"/>
              <w:jc w:val="right"/>
              <w:rPr>
                <w:rFonts w:ascii="宋体" w:hAnsi="宋体" w:eastAsia="宋体" w:cs="宋体"/>
                <w:sz w:val="18"/>
                <w:szCs w:val="18"/>
              </w:rPr>
            </w:pPr>
            <w:r>
              <w:rPr>
                <w:rFonts w:ascii="宋体" w:hAnsi="宋体" w:eastAsia="宋体" w:cs="宋体"/>
                <w:sz w:val="18"/>
                <w:szCs w:val="18"/>
              </w:rPr>
              <w:t>1,555,710.53</w:t>
            </w:r>
          </w:p>
        </w:tc>
        <w:tc>
          <w:tcPr>
            <w:tcW w:w="3213" w:type="dxa"/>
            <w:tcBorders>
              <w:top w:val="single" w:color="auto" w:sz="2" w:space="0"/>
              <w:left w:val="single" w:color="auto" w:sz="2" w:space="0"/>
              <w:bottom w:val="single" w:color="auto" w:sz="2" w:space="0"/>
              <w:right w:val="single" w:color="auto" w:sz="2" w:space="0"/>
            </w:tcBorders>
            <w:vAlign w:val="center"/>
          </w:tcPr>
          <w:p w14:paraId="02CC3CE3">
            <w:pPr>
              <w:spacing w:line="240" w:lineRule="exact"/>
              <w:jc w:val="right"/>
              <w:rPr>
                <w:rFonts w:ascii="宋体" w:hAnsi="宋体" w:eastAsia="宋体" w:cs="宋体"/>
                <w:sz w:val="18"/>
                <w:szCs w:val="18"/>
              </w:rPr>
            </w:pPr>
            <w:r>
              <w:rPr>
                <w:rFonts w:ascii="宋体" w:hAnsi="宋体" w:eastAsia="宋体" w:cs="宋体"/>
                <w:sz w:val="18"/>
                <w:szCs w:val="18"/>
              </w:rPr>
              <w:t>30,894,589.49</w:t>
            </w:r>
          </w:p>
        </w:tc>
      </w:tr>
    </w:tbl>
    <w:p w14:paraId="550A6195">
      <w:pPr>
        <w:keepNext/>
        <w:keepLines/>
        <w:spacing w:before="300" w:after="300" w:line="280" w:lineRule="exact"/>
        <w:outlineLvl w:val="3"/>
        <w:rPr>
          <w:rFonts w:ascii="宋体" w:hAnsi="宋体" w:eastAsia="宋体" w:cs="宋体"/>
          <w:b/>
          <w:bCs/>
          <w:sz w:val="18"/>
          <w:szCs w:val="18"/>
        </w:rPr>
      </w:pPr>
      <w:bookmarkStart w:id="622" w:name="_Toc989477"/>
      <w:r>
        <w:rPr>
          <w:rFonts w:ascii="宋体" w:hAnsi="宋体" w:eastAsia="宋体" w:cs="宋体"/>
          <w:b/>
          <w:bCs/>
          <w:sz w:val="18"/>
          <w:szCs w:val="18"/>
        </w:rPr>
        <w:t>（1） 应收利息</w:t>
      </w:r>
      <w:bookmarkEnd w:id="622"/>
    </w:p>
    <w:p w14:paraId="034C42FC">
      <w:pPr>
        <w:keepNext/>
        <w:keepLines/>
        <w:spacing w:before="300" w:after="300" w:line="280" w:lineRule="exact"/>
        <w:outlineLvl w:val="4"/>
        <w:rPr>
          <w:rFonts w:ascii="宋体" w:hAnsi="宋体" w:eastAsia="宋体" w:cs="宋体"/>
          <w:b/>
          <w:bCs/>
          <w:sz w:val="18"/>
          <w:szCs w:val="18"/>
        </w:rPr>
      </w:pPr>
      <w:bookmarkStart w:id="623" w:name="_Toc989478"/>
      <w:r>
        <w:rPr>
          <w:rFonts w:ascii="宋体" w:hAnsi="宋体" w:eastAsia="宋体" w:cs="宋体"/>
          <w:b/>
          <w:bCs/>
          <w:sz w:val="18"/>
          <w:szCs w:val="18"/>
        </w:rPr>
        <w:t>1） 应收利息分类</w:t>
      </w:r>
      <w:bookmarkEnd w:id="623"/>
    </w:p>
    <w:p w14:paraId="0C115C20">
      <w:pPr>
        <w:keepNext/>
        <w:keepLines/>
        <w:spacing w:before="300" w:after="300" w:line="280" w:lineRule="exact"/>
        <w:outlineLvl w:val="4"/>
        <w:rPr>
          <w:rFonts w:ascii="宋体" w:hAnsi="宋体" w:eastAsia="宋体" w:cs="宋体"/>
          <w:b/>
          <w:bCs/>
          <w:sz w:val="18"/>
          <w:szCs w:val="18"/>
        </w:rPr>
      </w:pPr>
      <w:bookmarkStart w:id="624" w:name="_Toc989479"/>
      <w:r>
        <w:rPr>
          <w:rFonts w:ascii="宋体" w:hAnsi="宋体" w:eastAsia="宋体" w:cs="宋体"/>
          <w:b/>
          <w:bCs/>
          <w:sz w:val="18"/>
          <w:szCs w:val="18"/>
        </w:rPr>
        <w:t>2） 重要逾期利息</w:t>
      </w:r>
      <w:bookmarkEnd w:id="624"/>
    </w:p>
    <w:p w14:paraId="45FF1E3D">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6FEF839F">
      <w:pPr>
        <w:keepNext/>
        <w:keepLines/>
        <w:spacing w:before="300" w:after="300" w:line="280" w:lineRule="exact"/>
        <w:outlineLvl w:val="4"/>
        <w:rPr>
          <w:rFonts w:ascii="宋体" w:hAnsi="宋体" w:eastAsia="宋体" w:cs="宋体"/>
          <w:b/>
          <w:bCs/>
          <w:sz w:val="18"/>
          <w:szCs w:val="18"/>
        </w:rPr>
      </w:pPr>
      <w:bookmarkStart w:id="625" w:name="_Toc989480"/>
      <w:r>
        <w:rPr>
          <w:rFonts w:ascii="宋体" w:hAnsi="宋体" w:eastAsia="宋体" w:cs="宋体"/>
          <w:b/>
          <w:bCs/>
          <w:sz w:val="18"/>
          <w:szCs w:val="18"/>
        </w:rPr>
        <w:t>3） 按坏账计提方法分类披露</w:t>
      </w:r>
      <w:bookmarkEnd w:id="625"/>
    </w:p>
    <w:p w14:paraId="522AA59A">
      <w:pPr>
        <w:spacing w:before="40" w:after="4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3D5EC2C">
      <w:pPr>
        <w:keepNext/>
        <w:keepLines/>
        <w:spacing w:before="300" w:after="300" w:line="280" w:lineRule="exact"/>
        <w:outlineLvl w:val="4"/>
        <w:rPr>
          <w:rFonts w:ascii="宋体" w:hAnsi="宋体" w:eastAsia="宋体" w:cs="宋体"/>
          <w:b/>
          <w:bCs/>
          <w:sz w:val="18"/>
          <w:szCs w:val="18"/>
        </w:rPr>
      </w:pPr>
      <w:bookmarkStart w:id="626" w:name="_Toc989481"/>
      <w:r>
        <w:rPr>
          <w:rFonts w:ascii="宋体" w:hAnsi="宋体" w:eastAsia="宋体" w:cs="宋体"/>
          <w:b/>
          <w:bCs/>
          <w:sz w:val="18"/>
          <w:szCs w:val="18"/>
        </w:rPr>
        <w:t>4） 本期计提、收回或转回的坏账准备的情况</w:t>
      </w:r>
      <w:bookmarkEnd w:id="626"/>
    </w:p>
    <w:p w14:paraId="32795C84">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1455C8F6">
      <w:pPr>
        <w:keepNext/>
        <w:keepLines/>
        <w:spacing w:before="300" w:after="300" w:line="280" w:lineRule="exact"/>
        <w:outlineLvl w:val="4"/>
        <w:rPr>
          <w:rFonts w:ascii="宋体" w:hAnsi="宋体" w:eastAsia="宋体" w:cs="宋体"/>
          <w:b/>
          <w:bCs/>
          <w:sz w:val="18"/>
          <w:szCs w:val="18"/>
        </w:rPr>
      </w:pPr>
      <w:bookmarkStart w:id="627" w:name="_Toc989482"/>
      <w:r>
        <w:rPr>
          <w:rFonts w:ascii="宋体" w:hAnsi="宋体" w:eastAsia="宋体" w:cs="宋体"/>
          <w:b/>
          <w:bCs/>
          <w:sz w:val="18"/>
          <w:szCs w:val="18"/>
        </w:rPr>
        <w:t>5） 本期实际核销的应收利息情况</w:t>
      </w:r>
      <w:bookmarkEnd w:id="627"/>
    </w:p>
    <w:p w14:paraId="329171FE">
      <w:pPr>
        <w:spacing w:before="100" w:after="100" w:line="240" w:lineRule="exact"/>
        <w:rPr>
          <w:rFonts w:ascii="宋体" w:hAnsi="宋体" w:eastAsia="宋体" w:cs="宋体"/>
          <w:sz w:val="18"/>
          <w:szCs w:val="18"/>
        </w:rPr>
      </w:pPr>
      <w:r>
        <w:rPr>
          <w:rFonts w:ascii="宋体" w:hAnsi="宋体" w:eastAsia="宋体" w:cs="宋体"/>
          <w:sz w:val="18"/>
          <w:szCs w:val="18"/>
        </w:rPr>
        <w:t>核销说明：</w:t>
      </w:r>
      <w:r>
        <w:rPr>
          <w:rFonts w:hint="eastAsia"/>
          <w:sz w:val="18"/>
          <w:szCs w:val="18"/>
        </w:rPr>
        <w:t>无</w:t>
      </w:r>
    </w:p>
    <w:p w14:paraId="7482FE37">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ascii="宋体" w:hAnsi="宋体" w:eastAsia="宋体" w:cs="宋体"/>
          <w:sz w:val="18"/>
          <w:szCs w:val="18"/>
        </w:rPr>
        <w:t>无</w:t>
      </w:r>
    </w:p>
    <w:p w14:paraId="7A773668">
      <w:pPr>
        <w:keepNext/>
        <w:keepLines/>
        <w:spacing w:before="300" w:after="300" w:line="280" w:lineRule="exact"/>
        <w:outlineLvl w:val="3"/>
        <w:rPr>
          <w:rFonts w:ascii="宋体" w:hAnsi="宋体" w:eastAsia="宋体" w:cs="宋体"/>
          <w:b/>
          <w:bCs/>
          <w:sz w:val="18"/>
          <w:szCs w:val="18"/>
        </w:rPr>
      </w:pPr>
      <w:bookmarkStart w:id="628" w:name="_Toc989483"/>
      <w:r>
        <w:rPr>
          <w:rFonts w:ascii="宋体" w:hAnsi="宋体" w:eastAsia="宋体" w:cs="宋体"/>
          <w:b/>
          <w:bCs/>
          <w:sz w:val="18"/>
          <w:szCs w:val="18"/>
        </w:rPr>
        <w:t>（2） 应收股利</w:t>
      </w:r>
      <w:bookmarkEnd w:id="628"/>
    </w:p>
    <w:p w14:paraId="636D16C6">
      <w:pPr>
        <w:keepNext/>
        <w:keepLines/>
        <w:spacing w:before="300" w:after="300" w:line="280" w:lineRule="exact"/>
        <w:outlineLvl w:val="4"/>
        <w:rPr>
          <w:rFonts w:ascii="宋体" w:hAnsi="宋体" w:eastAsia="宋体" w:cs="宋体"/>
          <w:b/>
          <w:bCs/>
          <w:sz w:val="18"/>
          <w:szCs w:val="18"/>
        </w:rPr>
      </w:pPr>
      <w:bookmarkStart w:id="629" w:name="_Toc989484"/>
      <w:r>
        <w:rPr>
          <w:rFonts w:ascii="宋体" w:hAnsi="宋体" w:eastAsia="宋体" w:cs="宋体"/>
          <w:b/>
          <w:bCs/>
          <w:sz w:val="18"/>
          <w:szCs w:val="18"/>
        </w:rPr>
        <w:t>1） 应收股利分类</w:t>
      </w:r>
      <w:bookmarkEnd w:id="629"/>
    </w:p>
    <w:p w14:paraId="6F44C168">
      <w:pPr>
        <w:keepNext/>
        <w:keepLines/>
        <w:spacing w:before="300" w:after="300" w:line="280" w:lineRule="exact"/>
        <w:outlineLvl w:val="4"/>
        <w:rPr>
          <w:rFonts w:ascii="宋体" w:hAnsi="宋体" w:eastAsia="宋体" w:cs="宋体"/>
          <w:b/>
          <w:bCs/>
          <w:sz w:val="18"/>
          <w:szCs w:val="18"/>
        </w:rPr>
      </w:pPr>
      <w:bookmarkStart w:id="630" w:name="_Toc989485"/>
      <w:r>
        <w:rPr>
          <w:rFonts w:ascii="宋体" w:hAnsi="宋体" w:eastAsia="宋体" w:cs="宋体"/>
          <w:b/>
          <w:bCs/>
          <w:sz w:val="18"/>
          <w:szCs w:val="18"/>
        </w:rPr>
        <w:t>2） 重要的账龄超过1年的应收股利</w:t>
      </w:r>
      <w:bookmarkEnd w:id="630"/>
    </w:p>
    <w:p w14:paraId="66FF0091">
      <w:pPr>
        <w:keepNext/>
        <w:keepLines/>
        <w:spacing w:before="300" w:after="300" w:line="280" w:lineRule="exact"/>
        <w:outlineLvl w:val="4"/>
        <w:rPr>
          <w:rFonts w:ascii="宋体" w:hAnsi="宋体" w:eastAsia="宋体" w:cs="宋体"/>
          <w:b/>
          <w:bCs/>
          <w:sz w:val="18"/>
          <w:szCs w:val="18"/>
        </w:rPr>
      </w:pPr>
      <w:bookmarkStart w:id="631" w:name="_Toc989486"/>
      <w:r>
        <w:rPr>
          <w:rFonts w:ascii="宋体" w:hAnsi="宋体" w:eastAsia="宋体" w:cs="宋体"/>
          <w:b/>
          <w:bCs/>
          <w:sz w:val="18"/>
          <w:szCs w:val="18"/>
        </w:rPr>
        <w:t>3） 按坏账计提方法分类披露</w:t>
      </w:r>
      <w:bookmarkEnd w:id="631"/>
    </w:p>
    <w:p w14:paraId="51101B1B">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AD38479">
      <w:pPr>
        <w:keepNext/>
        <w:keepLines/>
        <w:spacing w:before="300" w:after="300" w:line="280" w:lineRule="exact"/>
        <w:outlineLvl w:val="4"/>
        <w:rPr>
          <w:rFonts w:ascii="宋体" w:hAnsi="宋体" w:eastAsia="宋体" w:cs="宋体"/>
          <w:b/>
          <w:bCs/>
          <w:szCs w:val="21"/>
        </w:rPr>
      </w:pPr>
      <w:bookmarkStart w:id="632" w:name="_Toc989487"/>
      <w:r>
        <w:rPr>
          <w:rFonts w:ascii="宋体" w:hAnsi="宋体" w:eastAsia="宋体" w:cs="宋体"/>
          <w:b/>
          <w:bCs/>
          <w:szCs w:val="21"/>
        </w:rPr>
        <w:t>4） 本期计提、收回或转回的坏账准备的情况</w:t>
      </w:r>
      <w:bookmarkEnd w:id="632"/>
    </w:p>
    <w:p w14:paraId="34E8F697">
      <w:pPr>
        <w:spacing w:before="100" w:after="100" w:line="240" w:lineRule="exact"/>
        <w:rPr>
          <w:rFonts w:ascii="宋体" w:hAnsi="宋体" w:eastAsia="宋体" w:cs="宋体"/>
          <w:sz w:val="18"/>
          <w:szCs w:val="18"/>
        </w:rPr>
      </w:pPr>
      <w:r>
        <w:rPr>
          <w:rFonts w:ascii="宋体" w:hAnsi="宋体" w:eastAsia="宋体" w:cs="宋体"/>
          <w:sz w:val="18"/>
          <w:szCs w:val="18"/>
        </w:rPr>
        <w:t>其他说明：</w:t>
      </w:r>
      <w:r>
        <w:rPr>
          <w:rFonts w:hint="eastAsia"/>
          <w:sz w:val="18"/>
          <w:szCs w:val="18"/>
        </w:rPr>
        <w:t>无</w:t>
      </w:r>
    </w:p>
    <w:p w14:paraId="7E6B6F5C">
      <w:pPr>
        <w:keepNext/>
        <w:keepLines/>
        <w:spacing w:before="300" w:after="300" w:line="280" w:lineRule="exact"/>
        <w:outlineLvl w:val="4"/>
        <w:rPr>
          <w:rFonts w:ascii="宋体" w:hAnsi="宋体" w:eastAsia="宋体" w:cs="宋体"/>
          <w:b/>
          <w:bCs/>
          <w:szCs w:val="21"/>
        </w:rPr>
      </w:pPr>
      <w:bookmarkStart w:id="633" w:name="_Toc989488"/>
      <w:r>
        <w:rPr>
          <w:rFonts w:ascii="宋体" w:hAnsi="宋体" w:eastAsia="宋体" w:cs="宋体"/>
          <w:b/>
          <w:bCs/>
          <w:szCs w:val="21"/>
        </w:rPr>
        <w:t>5） 本期实际核销的应收股利情况</w:t>
      </w:r>
      <w:bookmarkEnd w:id="633"/>
    </w:p>
    <w:p w14:paraId="552419ED">
      <w:pPr>
        <w:spacing w:before="100" w:after="100" w:line="240" w:lineRule="exact"/>
        <w:rPr>
          <w:rFonts w:ascii="宋体" w:hAnsi="宋体" w:eastAsia="宋体" w:cs="宋体"/>
          <w:sz w:val="18"/>
          <w:szCs w:val="18"/>
        </w:rPr>
      </w:pPr>
      <w:r>
        <w:rPr>
          <w:rFonts w:ascii="宋体" w:hAnsi="宋体" w:eastAsia="宋体" w:cs="宋体"/>
          <w:sz w:val="18"/>
          <w:szCs w:val="18"/>
        </w:rPr>
        <w:t>核销说明：</w:t>
      </w:r>
      <w:r>
        <w:rPr>
          <w:rFonts w:hint="eastAsia"/>
          <w:sz w:val="18"/>
          <w:szCs w:val="18"/>
        </w:rPr>
        <w:t>无</w:t>
      </w:r>
    </w:p>
    <w:p w14:paraId="13DCC59B">
      <w:pPr>
        <w:spacing w:before="100" w:after="100" w:line="240" w:lineRule="exact"/>
        <w:rPr>
          <w:rFonts w:ascii="宋体" w:hAnsi="宋体" w:eastAsia="宋体" w:cs="宋体"/>
          <w:sz w:val="18"/>
          <w:szCs w:val="18"/>
        </w:rPr>
      </w:pPr>
      <w:r>
        <w:rPr>
          <w:rFonts w:ascii="宋体" w:hAnsi="宋体" w:eastAsia="宋体" w:cs="宋体"/>
          <w:sz w:val="18"/>
          <w:szCs w:val="18"/>
        </w:rPr>
        <w:t>其他说明：无</w:t>
      </w:r>
    </w:p>
    <w:p w14:paraId="7555ACE7">
      <w:pPr>
        <w:keepNext/>
        <w:keepLines/>
        <w:spacing w:before="300" w:after="300" w:line="280" w:lineRule="exact"/>
        <w:outlineLvl w:val="3"/>
        <w:rPr>
          <w:rFonts w:ascii="宋体" w:hAnsi="宋体" w:eastAsia="宋体" w:cs="宋体"/>
          <w:b/>
          <w:bCs/>
          <w:sz w:val="18"/>
          <w:szCs w:val="18"/>
        </w:rPr>
      </w:pPr>
      <w:bookmarkStart w:id="634" w:name="_Toc989489"/>
      <w:r>
        <w:rPr>
          <w:rFonts w:ascii="宋体" w:hAnsi="宋体" w:eastAsia="宋体" w:cs="宋体"/>
          <w:b/>
          <w:bCs/>
          <w:sz w:val="18"/>
          <w:szCs w:val="18"/>
        </w:rPr>
        <w:t>（3） 其他应收款</w:t>
      </w:r>
      <w:bookmarkEnd w:id="634"/>
    </w:p>
    <w:p w14:paraId="2B6E20D5">
      <w:pPr>
        <w:keepNext/>
        <w:keepLines/>
        <w:spacing w:before="300" w:after="300" w:line="280" w:lineRule="exact"/>
        <w:outlineLvl w:val="4"/>
        <w:rPr>
          <w:rFonts w:ascii="宋体" w:hAnsi="宋体" w:eastAsia="宋体" w:cs="宋体"/>
          <w:b/>
          <w:bCs/>
          <w:sz w:val="18"/>
          <w:szCs w:val="18"/>
        </w:rPr>
      </w:pPr>
      <w:bookmarkStart w:id="635" w:name="_Toc989490"/>
      <w:r>
        <w:rPr>
          <w:rFonts w:ascii="宋体" w:hAnsi="宋体" w:eastAsia="宋体" w:cs="宋体"/>
          <w:b/>
          <w:bCs/>
          <w:sz w:val="18"/>
          <w:szCs w:val="18"/>
        </w:rPr>
        <w:t>1） 其他应收款按款项性质分类情况</w:t>
      </w:r>
      <w:bookmarkEnd w:id="635"/>
    </w:p>
    <w:p w14:paraId="121F10E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36978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5867A9">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6346A1E">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7105525">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2B2FE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46A11DB">
            <w:pPr>
              <w:spacing w:line="240" w:lineRule="exact"/>
              <w:rPr>
                <w:rFonts w:ascii="宋体" w:hAnsi="宋体" w:eastAsia="宋体" w:cs="宋体"/>
                <w:sz w:val="18"/>
                <w:szCs w:val="18"/>
              </w:rPr>
            </w:pPr>
            <w:r>
              <w:rPr>
                <w:rFonts w:ascii="宋体" w:hAnsi="宋体" w:eastAsia="宋体" w:cs="宋体"/>
                <w:sz w:val="18"/>
                <w:szCs w:val="18"/>
              </w:rPr>
              <w:t>暂借款</w:t>
            </w:r>
          </w:p>
        </w:tc>
        <w:tc>
          <w:tcPr>
            <w:tcW w:w="3213" w:type="dxa"/>
            <w:tcBorders>
              <w:top w:val="single" w:color="auto" w:sz="2" w:space="0"/>
              <w:left w:val="single" w:color="auto" w:sz="2" w:space="0"/>
              <w:bottom w:val="single" w:color="auto" w:sz="2" w:space="0"/>
              <w:right w:val="single" w:color="auto" w:sz="2" w:space="0"/>
            </w:tcBorders>
            <w:vAlign w:val="center"/>
          </w:tcPr>
          <w:p w14:paraId="01E41717">
            <w:pPr>
              <w:spacing w:line="240" w:lineRule="exact"/>
              <w:jc w:val="right"/>
              <w:rPr>
                <w:rFonts w:ascii="宋体" w:hAnsi="宋体" w:eastAsia="宋体" w:cs="宋体"/>
                <w:sz w:val="18"/>
                <w:szCs w:val="18"/>
              </w:rPr>
            </w:pPr>
            <w:r>
              <w:rPr>
                <w:rFonts w:ascii="宋体" w:hAnsi="宋体" w:eastAsia="宋体" w:cs="宋体"/>
                <w:sz w:val="18"/>
                <w:szCs w:val="18"/>
              </w:rPr>
              <w:t>5,991.09</w:t>
            </w:r>
          </w:p>
        </w:tc>
        <w:tc>
          <w:tcPr>
            <w:tcW w:w="3213" w:type="dxa"/>
            <w:tcBorders>
              <w:top w:val="single" w:color="auto" w:sz="2" w:space="0"/>
              <w:left w:val="single" w:color="auto" w:sz="2" w:space="0"/>
              <w:bottom w:val="single" w:color="auto" w:sz="2" w:space="0"/>
              <w:right w:val="single" w:color="auto" w:sz="2" w:space="0"/>
            </w:tcBorders>
            <w:vAlign w:val="center"/>
          </w:tcPr>
          <w:p w14:paraId="0306956A">
            <w:pPr>
              <w:spacing w:line="240" w:lineRule="exact"/>
              <w:jc w:val="right"/>
              <w:rPr>
                <w:rFonts w:ascii="宋体" w:hAnsi="宋体" w:eastAsia="宋体" w:cs="宋体"/>
                <w:sz w:val="18"/>
                <w:szCs w:val="18"/>
              </w:rPr>
            </w:pPr>
            <w:r>
              <w:rPr>
                <w:rFonts w:ascii="宋体" w:hAnsi="宋体" w:eastAsia="宋体" w:cs="宋体"/>
                <w:sz w:val="18"/>
                <w:szCs w:val="18"/>
              </w:rPr>
              <w:t>137,371.83</w:t>
            </w:r>
          </w:p>
        </w:tc>
      </w:tr>
      <w:tr w14:paraId="76132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5326337">
            <w:pPr>
              <w:spacing w:line="240" w:lineRule="exact"/>
              <w:rPr>
                <w:rFonts w:ascii="宋体" w:hAnsi="宋体" w:eastAsia="宋体" w:cs="宋体"/>
                <w:sz w:val="18"/>
                <w:szCs w:val="18"/>
              </w:rPr>
            </w:pPr>
            <w:r>
              <w:rPr>
                <w:rFonts w:ascii="宋体" w:hAnsi="宋体" w:eastAsia="宋体" w:cs="宋体"/>
                <w:sz w:val="18"/>
                <w:szCs w:val="18"/>
              </w:rPr>
              <w:t>合并范围外关联方往来</w:t>
            </w:r>
          </w:p>
        </w:tc>
        <w:tc>
          <w:tcPr>
            <w:tcW w:w="3213" w:type="dxa"/>
            <w:tcBorders>
              <w:top w:val="single" w:color="auto" w:sz="2" w:space="0"/>
              <w:left w:val="single" w:color="auto" w:sz="2" w:space="0"/>
              <w:bottom w:val="single" w:color="auto" w:sz="2" w:space="0"/>
              <w:right w:val="single" w:color="auto" w:sz="2" w:space="0"/>
            </w:tcBorders>
            <w:vAlign w:val="center"/>
          </w:tcPr>
          <w:p w14:paraId="75989B03">
            <w:pPr>
              <w:spacing w:line="240" w:lineRule="exact"/>
              <w:jc w:val="right"/>
              <w:rPr>
                <w:rFonts w:ascii="宋体" w:hAnsi="宋体" w:eastAsia="宋体" w:cs="宋体"/>
                <w:sz w:val="18"/>
                <w:szCs w:val="18"/>
              </w:rPr>
            </w:pPr>
            <w:r>
              <w:rPr>
                <w:rFonts w:ascii="宋体" w:hAnsi="宋体" w:eastAsia="宋体" w:cs="宋体"/>
                <w:sz w:val="18"/>
                <w:szCs w:val="18"/>
              </w:rPr>
              <w:t>19,115,777.77</w:t>
            </w:r>
          </w:p>
        </w:tc>
        <w:tc>
          <w:tcPr>
            <w:tcW w:w="3213" w:type="dxa"/>
            <w:tcBorders>
              <w:top w:val="single" w:color="auto" w:sz="2" w:space="0"/>
              <w:left w:val="single" w:color="auto" w:sz="2" w:space="0"/>
              <w:bottom w:val="single" w:color="auto" w:sz="2" w:space="0"/>
              <w:right w:val="single" w:color="auto" w:sz="2" w:space="0"/>
            </w:tcBorders>
            <w:vAlign w:val="center"/>
          </w:tcPr>
          <w:p w14:paraId="1D7ECD19">
            <w:pPr>
              <w:spacing w:line="240" w:lineRule="exact"/>
              <w:jc w:val="right"/>
              <w:rPr>
                <w:rFonts w:ascii="宋体" w:hAnsi="宋体" w:eastAsia="宋体" w:cs="宋体"/>
                <w:sz w:val="18"/>
                <w:szCs w:val="18"/>
              </w:rPr>
            </w:pPr>
            <w:r>
              <w:rPr>
                <w:rFonts w:ascii="宋体" w:hAnsi="宋体" w:eastAsia="宋体" w:cs="宋体"/>
                <w:sz w:val="18"/>
                <w:szCs w:val="18"/>
              </w:rPr>
              <w:t>19,115,777.77</w:t>
            </w:r>
          </w:p>
        </w:tc>
      </w:tr>
      <w:tr w14:paraId="09184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1AF0AAE0">
            <w:pPr>
              <w:spacing w:line="240" w:lineRule="exact"/>
              <w:rPr>
                <w:rFonts w:ascii="宋体" w:hAnsi="宋体" w:eastAsia="宋体" w:cs="宋体"/>
                <w:sz w:val="18"/>
                <w:szCs w:val="18"/>
              </w:rPr>
            </w:pPr>
            <w:r>
              <w:rPr>
                <w:rFonts w:ascii="宋体" w:hAnsi="宋体" w:eastAsia="宋体" w:cs="宋体"/>
                <w:sz w:val="18"/>
                <w:szCs w:val="18"/>
              </w:rPr>
              <w:t>合并范围内关联方往来</w:t>
            </w:r>
          </w:p>
        </w:tc>
        <w:tc>
          <w:tcPr>
            <w:tcW w:w="3213" w:type="dxa"/>
            <w:tcBorders>
              <w:top w:val="single" w:color="auto" w:sz="2" w:space="0"/>
              <w:left w:val="single" w:color="auto" w:sz="2" w:space="0"/>
              <w:bottom w:val="single" w:color="auto" w:sz="2" w:space="0"/>
              <w:right w:val="single" w:color="auto" w:sz="2" w:space="0"/>
            </w:tcBorders>
            <w:vAlign w:val="center"/>
          </w:tcPr>
          <w:p w14:paraId="7F01B484">
            <w:pPr>
              <w:spacing w:line="240" w:lineRule="exact"/>
              <w:jc w:val="right"/>
              <w:rPr>
                <w:rFonts w:ascii="宋体" w:hAnsi="宋体" w:eastAsia="宋体" w:cs="宋体"/>
                <w:sz w:val="18"/>
                <w:szCs w:val="18"/>
              </w:rPr>
            </w:pPr>
            <w:r>
              <w:rPr>
                <w:rFonts w:ascii="宋体" w:hAnsi="宋体" w:eastAsia="宋体" w:cs="宋体"/>
                <w:sz w:val="18"/>
                <w:szCs w:val="18"/>
              </w:rPr>
              <w:t>1,551,919.00</w:t>
            </w:r>
          </w:p>
        </w:tc>
        <w:tc>
          <w:tcPr>
            <w:tcW w:w="3213" w:type="dxa"/>
            <w:tcBorders>
              <w:top w:val="single" w:color="auto" w:sz="2" w:space="0"/>
              <w:left w:val="single" w:color="auto" w:sz="2" w:space="0"/>
              <w:bottom w:val="single" w:color="auto" w:sz="2" w:space="0"/>
              <w:right w:val="single" w:color="auto" w:sz="2" w:space="0"/>
            </w:tcBorders>
            <w:vAlign w:val="center"/>
          </w:tcPr>
          <w:p w14:paraId="4FE1B3F3">
            <w:pPr>
              <w:spacing w:line="240" w:lineRule="exact"/>
              <w:jc w:val="right"/>
              <w:rPr>
                <w:rFonts w:ascii="宋体" w:hAnsi="宋体" w:eastAsia="宋体" w:cs="宋体"/>
                <w:sz w:val="18"/>
                <w:szCs w:val="18"/>
              </w:rPr>
            </w:pPr>
            <w:r>
              <w:rPr>
                <w:rFonts w:ascii="宋体" w:hAnsi="宋体" w:eastAsia="宋体" w:cs="宋体"/>
                <w:sz w:val="18"/>
                <w:szCs w:val="18"/>
              </w:rPr>
              <w:t>23,495,614.04</w:t>
            </w:r>
          </w:p>
        </w:tc>
      </w:tr>
      <w:tr w14:paraId="4B19E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437BF58D">
            <w:pPr>
              <w:spacing w:line="240" w:lineRule="exact"/>
              <w:rPr>
                <w:rFonts w:ascii="宋体" w:hAnsi="宋体" w:eastAsia="宋体" w:cs="宋体"/>
                <w:sz w:val="18"/>
                <w:szCs w:val="18"/>
              </w:rPr>
            </w:pPr>
            <w:r>
              <w:rPr>
                <w:rFonts w:ascii="宋体" w:hAnsi="宋体" w:eastAsia="宋体" w:cs="宋体"/>
                <w:sz w:val="18"/>
                <w:szCs w:val="18"/>
              </w:rPr>
              <w:t>减：坏账准备</w:t>
            </w:r>
          </w:p>
        </w:tc>
        <w:tc>
          <w:tcPr>
            <w:tcW w:w="3213" w:type="dxa"/>
            <w:tcBorders>
              <w:top w:val="single" w:color="auto" w:sz="2" w:space="0"/>
              <w:left w:val="single" w:color="auto" w:sz="2" w:space="0"/>
              <w:bottom w:val="single" w:color="auto" w:sz="2" w:space="0"/>
              <w:right w:val="single" w:color="auto" w:sz="2" w:space="0"/>
            </w:tcBorders>
            <w:vAlign w:val="center"/>
          </w:tcPr>
          <w:p w14:paraId="411BDAC2">
            <w:pPr>
              <w:spacing w:line="240" w:lineRule="exact"/>
              <w:jc w:val="right"/>
              <w:rPr>
                <w:rFonts w:ascii="宋体" w:hAnsi="宋体" w:eastAsia="宋体" w:cs="宋体"/>
                <w:sz w:val="18"/>
                <w:szCs w:val="18"/>
              </w:rPr>
            </w:pPr>
            <w:r>
              <w:rPr>
                <w:rFonts w:ascii="宋体" w:hAnsi="宋体" w:eastAsia="宋体" w:cs="宋体"/>
                <w:sz w:val="18"/>
                <w:szCs w:val="18"/>
              </w:rPr>
              <w:t>-19,117,977.33</w:t>
            </w:r>
          </w:p>
        </w:tc>
        <w:tc>
          <w:tcPr>
            <w:tcW w:w="3213" w:type="dxa"/>
            <w:tcBorders>
              <w:top w:val="single" w:color="auto" w:sz="2" w:space="0"/>
              <w:left w:val="single" w:color="auto" w:sz="2" w:space="0"/>
              <w:bottom w:val="single" w:color="auto" w:sz="2" w:space="0"/>
              <w:right w:val="single" w:color="auto" w:sz="2" w:space="0"/>
            </w:tcBorders>
            <w:vAlign w:val="center"/>
          </w:tcPr>
          <w:p w14:paraId="25EDF7BC">
            <w:pPr>
              <w:spacing w:line="240" w:lineRule="exact"/>
              <w:jc w:val="right"/>
              <w:rPr>
                <w:rFonts w:ascii="宋体" w:hAnsi="宋体" w:eastAsia="宋体" w:cs="宋体"/>
                <w:sz w:val="18"/>
                <w:szCs w:val="18"/>
              </w:rPr>
            </w:pPr>
            <w:r>
              <w:rPr>
                <w:rFonts w:ascii="宋体" w:hAnsi="宋体" w:eastAsia="宋体" w:cs="宋体"/>
                <w:sz w:val="18"/>
                <w:szCs w:val="18"/>
              </w:rPr>
              <w:t>-11,854,174.15</w:t>
            </w:r>
          </w:p>
        </w:tc>
      </w:tr>
      <w:tr w14:paraId="51473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5D41B5A">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3BAFA0E1">
            <w:pPr>
              <w:spacing w:line="240" w:lineRule="exact"/>
              <w:jc w:val="right"/>
              <w:rPr>
                <w:rFonts w:ascii="宋体" w:hAnsi="宋体" w:eastAsia="宋体" w:cs="宋体"/>
                <w:sz w:val="18"/>
                <w:szCs w:val="18"/>
              </w:rPr>
            </w:pPr>
            <w:r>
              <w:rPr>
                <w:rFonts w:ascii="宋体" w:hAnsi="宋体" w:eastAsia="宋体" w:cs="宋体"/>
                <w:sz w:val="18"/>
                <w:szCs w:val="18"/>
              </w:rPr>
              <w:t>1,555,710.53</w:t>
            </w:r>
          </w:p>
        </w:tc>
        <w:tc>
          <w:tcPr>
            <w:tcW w:w="3213" w:type="dxa"/>
            <w:tcBorders>
              <w:top w:val="single" w:color="auto" w:sz="2" w:space="0"/>
              <w:left w:val="single" w:color="auto" w:sz="2" w:space="0"/>
              <w:bottom w:val="single" w:color="auto" w:sz="2" w:space="0"/>
              <w:right w:val="single" w:color="auto" w:sz="2" w:space="0"/>
            </w:tcBorders>
            <w:vAlign w:val="center"/>
          </w:tcPr>
          <w:p w14:paraId="123B6CB4">
            <w:pPr>
              <w:spacing w:line="240" w:lineRule="exact"/>
              <w:jc w:val="right"/>
              <w:rPr>
                <w:rFonts w:ascii="宋体" w:hAnsi="宋体" w:eastAsia="宋体" w:cs="宋体"/>
                <w:sz w:val="18"/>
                <w:szCs w:val="18"/>
              </w:rPr>
            </w:pPr>
            <w:r>
              <w:rPr>
                <w:rFonts w:ascii="宋体" w:hAnsi="宋体" w:eastAsia="宋体" w:cs="宋体"/>
                <w:sz w:val="18"/>
                <w:szCs w:val="18"/>
              </w:rPr>
              <w:t>30,894,589.49</w:t>
            </w:r>
          </w:p>
        </w:tc>
      </w:tr>
    </w:tbl>
    <w:p w14:paraId="12FC1753">
      <w:pPr>
        <w:keepNext/>
        <w:keepLines/>
        <w:spacing w:before="300" w:after="300" w:line="280" w:lineRule="exact"/>
        <w:outlineLvl w:val="4"/>
        <w:rPr>
          <w:rFonts w:ascii="宋体" w:hAnsi="宋体" w:eastAsia="宋体" w:cs="宋体"/>
          <w:b/>
          <w:bCs/>
          <w:sz w:val="18"/>
          <w:szCs w:val="18"/>
        </w:rPr>
      </w:pPr>
      <w:bookmarkStart w:id="636" w:name="_Toc989491"/>
      <w:r>
        <w:rPr>
          <w:rFonts w:ascii="宋体" w:hAnsi="宋体" w:eastAsia="宋体" w:cs="宋体"/>
          <w:b/>
          <w:bCs/>
          <w:sz w:val="18"/>
          <w:szCs w:val="18"/>
        </w:rPr>
        <w:t>2） 按账龄披露</w:t>
      </w:r>
      <w:bookmarkEnd w:id="636"/>
    </w:p>
    <w:p w14:paraId="6233474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6E25F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C5FF94">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F20D156">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300EB88">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14:paraId="48030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A6C237D">
            <w:pPr>
              <w:spacing w:before="40" w:after="40" w:line="240" w:lineRule="exac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14:paraId="1E4A1DE2">
            <w:pPr>
              <w:spacing w:line="240" w:lineRule="exact"/>
              <w:jc w:val="right"/>
              <w:rPr>
                <w:rFonts w:ascii="宋体" w:hAnsi="宋体" w:eastAsia="宋体" w:cs="宋体"/>
                <w:sz w:val="18"/>
                <w:szCs w:val="18"/>
              </w:rPr>
            </w:pPr>
            <w:r>
              <w:rPr>
                <w:rFonts w:ascii="宋体" w:hAnsi="宋体" w:eastAsia="宋体" w:cs="宋体"/>
                <w:sz w:val="18"/>
                <w:szCs w:val="18"/>
              </w:rPr>
              <w:t>1,555,910.09</w:t>
            </w:r>
          </w:p>
        </w:tc>
        <w:tc>
          <w:tcPr>
            <w:tcW w:w="3213" w:type="dxa"/>
            <w:tcBorders>
              <w:top w:val="single" w:color="auto" w:sz="2" w:space="0"/>
              <w:left w:val="single" w:color="auto" w:sz="2" w:space="0"/>
              <w:bottom w:val="single" w:color="auto" w:sz="2" w:space="0"/>
              <w:right w:val="single" w:color="auto" w:sz="2" w:space="0"/>
            </w:tcBorders>
            <w:vAlign w:val="center"/>
          </w:tcPr>
          <w:p w14:paraId="2665454A">
            <w:pPr>
              <w:spacing w:line="240" w:lineRule="exact"/>
              <w:jc w:val="right"/>
              <w:rPr>
                <w:rFonts w:ascii="宋体" w:hAnsi="宋体" w:eastAsia="宋体" w:cs="宋体"/>
                <w:sz w:val="18"/>
                <w:szCs w:val="18"/>
              </w:rPr>
            </w:pPr>
            <w:r>
              <w:rPr>
                <w:rFonts w:ascii="宋体" w:hAnsi="宋体" w:eastAsia="宋体" w:cs="宋体"/>
                <w:sz w:val="18"/>
                <w:szCs w:val="18"/>
              </w:rPr>
              <w:t>23,627,985.87</w:t>
            </w:r>
          </w:p>
        </w:tc>
      </w:tr>
      <w:tr w14:paraId="591E1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78CA8DB">
            <w:pPr>
              <w:spacing w:before="40" w:after="40" w:line="240" w:lineRule="exact"/>
              <w:rPr>
                <w:rFonts w:ascii="宋体" w:hAnsi="宋体" w:eastAsia="宋体" w:cs="宋体"/>
                <w:sz w:val="18"/>
                <w:szCs w:val="18"/>
              </w:rPr>
            </w:pPr>
            <w:r>
              <w:rPr>
                <w:rFonts w:ascii="宋体" w:hAnsi="宋体" w:eastAsia="宋体" w:cs="宋体"/>
                <w:sz w:val="18"/>
                <w:szCs w:val="18"/>
              </w:rPr>
              <w:t>2至3年</w:t>
            </w:r>
          </w:p>
        </w:tc>
        <w:tc>
          <w:tcPr>
            <w:tcW w:w="3213" w:type="dxa"/>
            <w:tcBorders>
              <w:top w:val="single" w:color="auto" w:sz="2" w:space="0"/>
              <w:left w:val="single" w:color="auto" w:sz="2" w:space="0"/>
              <w:bottom w:val="single" w:color="auto" w:sz="2" w:space="0"/>
              <w:right w:val="single" w:color="auto" w:sz="2" w:space="0"/>
            </w:tcBorders>
            <w:vAlign w:val="center"/>
          </w:tcPr>
          <w:p w14:paraId="657F2877">
            <w:pPr>
              <w:spacing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14:paraId="1B4D9B6F">
            <w:pPr>
              <w:spacing w:line="240" w:lineRule="exact"/>
              <w:jc w:val="right"/>
              <w:rPr>
                <w:rFonts w:ascii="宋体" w:hAnsi="宋体" w:eastAsia="宋体" w:cs="宋体"/>
                <w:sz w:val="18"/>
                <w:szCs w:val="18"/>
              </w:rPr>
            </w:pPr>
            <w:r>
              <w:rPr>
                <w:rFonts w:ascii="宋体" w:hAnsi="宋体" w:eastAsia="宋体" w:cs="宋体"/>
                <w:sz w:val="18"/>
                <w:szCs w:val="18"/>
              </w:rPr>
              <w:t>2,084,444.44</w:t>
            </w:r>
          </w:p>
        </w:tc>
      </w:tr>
      <w:tr w14:paraId="368F1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566073D">
            <w:pPr>
              <w:spacing w:before="40" w:after="40" w:line="240" w:lineRule="exac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14:paraId="5850E3C6">
            <w:pPr>
              <w:spacing w:line="240" w:lineRule="exact"/>
              <w:jc w:val="right"/>
              <w:rPr>
                <w:rFonts w:ascii="宋体" w:hAnsi="宋体" w:eastAsia="宋体" w:cs="宋体"/>
                <w:sz w:val="18"/>
                <w:szCs w:val="18"/>
              </w:rPr>
            </w:pPr>
            <w:r>
              <w:rPr>
                <w:rFonts w:ascii="宋体" w:hAnsi="宋体" w:eastAsia="宋体" w:cs="宋体"/>
                <w:sz w:val="18"/>
                <w:szCs w:val="18"/>
              </w:rPr>
              <w:t>19,117,777.77</w:t>
            </w:r>
          </w:p>
        </w:tc>
        <w:tc>
          <w:tcPr>
            <w:tcW w:w="3213" w:type="dxa"/>
            <w:tcBorders>
              <w:top w:val="single" w:color="auto" w:sz="2" w:space="0"/>
              <w:left w:val="single" w:color="auto" w:sz="2" w:space="0"/>
              <w:bottom w:val="single" w:color="auto" w:sz="2" w:space="0"/>
              <w:right w:val="single" w:color="auto" w:sz="2" w:space="0"/>
            </w:tcBorders>
            <w:vAlign w:val="center"/>
          </w:tcPr>
          <w:p w14:paraId="7E8FAF57">
            <w:pPr>
              <w:spacing w:line="240" w:lineRule="exact"/>
              <w:jc w:val="right"/>
              <w:rPr>
                <w:rFonts w:ascii="宋体" w:hAnsi="宋体" w:eastAsia="宋体" w:cs="宋体"/>
                <w:sz w:val="18"/>
                <w:szCs w:val="18"/>
              </w:rPr>
            </w:pPr>
            <w:r>
              <w:rPr>
                <w:rFonts w:ascii="宋体" w:hAnsi="宋体" w:eastAsia="宋体" w:cs="宋体"/>
                <w:sz w:val="18"/>
                <w:szCs w:val="18"/>
              </w:rPr>
              <w:t>17,036,333.33</w:t>
            </w:r>
          </w:p>
        </w:tc>
      </w:tr>
      <w:tr w14:paraId="337E8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6E728B5">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14:paraId="158E7306">
            <w:pPr>
              <w:spacing w:line="240" w:lineRule="exact"/>
              <w:jc w:val="right"/>
              <w:rPr>
                <w:rFonts w:ascii="宋体" w:hAnsi="宋体" w:eastAsia="宋体" w:cs="宋体"/>
                <w:sz w:val="18"/>
                <w:szCs w:val="18"/>
              </w:rPr>
            </w:pPr>
            <w:r>
              <w:rPr>
                <w:rFonts w:ascii="宋体" w:hAnsi="宋体" w:eastAsia="宋体" w:cs="宋体"/>
                <w:sz w:val="18"/>
                <w:szCs w:val="18"/>
              </w:rPr>
              <w:t>2,084,444.44</w:t>
            </w:r>
          </w:p>
        </w:tc>
        <w:tc>
          <w:tcPr>
            <w:tcW w:w="3213" w:type="dxa"/>
            <w:tcBorders>
              <w:top w:val="single" w:color="auto" w:sz="2" w:space="0"/>
              <w:left w:val="single" w:color="auto" w:sz="2" w:space="0"/>
              <w:bottom w:val="single" w:color="auto" w:sz="2" w:space="0"/>
              <w:right w:val="single" w:color="auto" w:sz="2" w:space="0"/>
            </w:tcBorders>
            <w:vAlign w:val="center"/>
          </w:tcPr>
          <w:p w14:paraId="29DDBD02">
            <w:pPr>
              <w:spacing w:line="240" w:lineRule="exact"/>
              <w:jc w:val="right"/>
              <w:rPr>
                <w:rFonts w:ascii="宋体" w:hAnsi="宋体" w:eastAsia="宋体" w:cs="宋体"/>
                <w:sz w:val="18"/>
                <w:szCs w:val="18"/>
              </w:rPr>
            </w:pPr>
            <w:r>
              <w:rPr>
                <w:rFonts w:ascii="宋体" w:hAnsi="宋体" w:eastAsia="宋体" w:cs="宋体"/>
                <w:sz w:val="18"/>
                <w:szCs w:val="18"/>
              </w:rPr>
              <w:t>7,331,333.33</w:t>
            </w:r>
          </w:p>
        </w:tc>
      </w:tr>
      <w:tr w14:paraId="185C3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B69EF08">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14:paraId="6D1BF10A">
            <w:pPr>
              <w:spacing w:line="240" w:lineRule="exact"/>
              <w:jc w:val="right"/>
              <w:rPr>
                <w:rFonts w:ascii="宋体" w:hAnsi="宋体" w:eastAsia="宋体" w:cs="宋体"/>
                <w:sz w:val="18"/>
                <w:szCs w:val="18"/>
              </w:rPr>
            </w:pPr>
            <w:r>
              <w:rPr>
                <w:rFonts w:ascii="宋体" w:hAnsi="宋体" w:eastAsia="宋体" w:cs="宋体"/>
                <w:sz w:val="18"/>
                <w:szCs w:val="18"/>
              </w:rPr>
              <w:t>7,331,333.33</w:t>
            </w:r>
          </w:p>
        </w:tc>
        <w:tc>
          <w:tcPr>
            <w:tcW w:w="3213" w:type="dxa"/>
            <w:tcBorders>
              <w:top w:val="single" w:color="auto" w:sz="2" w:space="0"/>
              <w:left w:val="single" w:color="auto" w:sz="2" w:space="0"/>
              <w:bottom w:val="single" w:color="auto" w:sz="2" w:space="0"/>
              <w:right w:val="single" w:color="auto" w:sz="2" w:space="0"/>
            </w:tcBorders>
            <w:vAlign w:val="center"/>
          </w:tcPr>
          <w:p w14:paraId="5E1C6999">
            <w:pPr>
              <w:spacing w:line="240" w:lineRule="exact"/>
              <w:jc w:val="right"/>
              <w:rPr>
                <w:rFonts w:ascii="宋体" w:hAnsi="宋体" w:eastAsia="宋体" w:cs="宋体"/>
                <w:sz w:val="18"/>
                <w:szCs w:val="18"/>
              </w:rPr>
            </w:pPr>
            <w:r>
              <w:rPr>
                <w:rFonts w:ascii="宋体" w:hAnsi="宋体" w:eastAsia="宋体" w:cs="宋体"/>
                <w:sz w:val="18"/>
                <w:szCs w:val="18"/>
              </w:rPr>
              <w:t>9,700,000.00</w:t>
            </w:r>
          </w:p>
        </w:tc>
      </w:tr>
      <w:tr w14:paraId="4610A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84ADA97">
            <w:pPr>
              <w:spacing w:before="40" w:after="40" w:line="240" w:lineRule="exact"/>
              <w:ind w:firstLine="360" w:firstLineChars="200"/>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14:paraId="7C8E8CC4">
            <w:pPr>
              <w:spacing w:line="240" w:lineRule="exact"/>
              <w:jc w:val="right"/>
              <w:rPr>
                <w:rFonts w:ascii="宋体" w:hAnsi="宋体" w:eastAsia="宋体" w:cs="宋体"/>
                <w:sz w:val="18"/>
                <w:szCs w:val="18"/>
              </w:rPr>
            </w:pPr>
            <w:r>
              <w:rPr>
                <w:rFonts w:ascii="宋体" w:hAnsi="宋体" w:eastAsia="宋体" w:cs="宋体"/>
                <w:sz w:val="18"/>
                <w:szCs w:val="18"/>
              </w:rPr>
              <w:t>9,702,000.00</w:t>
            </w:r>
          </w:p>
        </w:tc>
        <w:tc>
          <w:tcPr>
            <w:tcW w:w="3213" w:type="dxa"/>
            <w:tcBorders>
              <w:top w:val="single" w:color="auto" w:sz="2" w:space="0"/>
              <w:left w:val="single" w:color="auto" w:sz="2" w:space="0"/>
              <w:bottom w:val="single" w:color="auto" w:sz="2" w:space="0"/>
              <w:right w:val="single" w:color="auto" w:sz="2" w:space="0"/>
            </w:tcBorders>
            <w:vAlign w:val="center"/>
          </w:tcPr>
          <w:p w14:paraId="5624D53B">
            <w:pPr>
              <w:spacing w:line="240" w:lineRule="exact"/>
              <w:jc w:val="right"/>
              <w:rPr>
                <w:rFonts w:ascii="宋体" w:hAnsi="宋体" w:eastAsia="宋体" w:cs="宋体"/>
                <w:sz w:val="18"/>
                <w:szCs w:val="18"/>
              </w:rPr>
            </w:pPr>
            <w:r>
              <w:rPr>
                <w:rFonts w:ascii="宋体" w:hAnsi="宋体" w:eastAsia="宋体" w:cs="宋体"/>
                <w:sz w:val="18"/>
                <w:szCs w:val="18"/>
              </w:rPr>
              <w:t>5,000.00</w:t>
            </w:r>
          </w:p>
        </w:tc>
      </w:tr>
      <w:tr w14:paraId="63415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D9022A4">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03B4289F">
            <w:pPr>
              <w:spacing w:line="240" w:lineRule="exact"/>
              <w:jc w:val="right"/>
              <w:rPr>
                <w:rFonts w:ascii="宋体" w:hAnsi="宋体" w:eastAsia="宋体" w:cs="宋体"/>
                <w:sz w:val="18"/>
                <w:szCs w:val="18"/>
              </w:rPr>
            </w:pPr>
            <w:r>
              <w:rPr>
                <w:rFonts w:ascii="宋体" w:hAnsi="宋体" w:eastAsia="宋体" w:cs="宋体"/>
                <w:sz w:val="18"/>
                <w:szCs w:val="18"/>
              </w:rPr>
              <w:t>20,673,687.86</w:t>
            </w:r>
          </w:p>
        </w:tc>
        <w:tc>
          <w:tcPr>
            <w:tcW w:w="3213" w:type="dxa"/>
            <w:tcBorders>
              <w:top w:val="single" w:color="auto" w:sz="2" w:space="0"/>
              <w:left w:val="single" w:color="auto" w:sz="2" w:space="0"/>
              <w:bottom w:val="single" w:color="auto" w:sz="2" w:space="0"/>
              <w:right w:val="single" w:color="auto" w:sz="2" w:space="0"/>
            </w:tcBorders>
            <w:vAlign w:val="center"/>
          </w:tcPr>
          <w:p w14:paraId="410E47E0">
            <w:pPr>
              <w:spacing w:line="240" w:lineRule="exact"/>
              <w:jc w:val="right"/>
              <w:rPr>
                <w:rFonts w:ascii="宋体" w:hAnsi="宋体" w:eastAsia="宋体" w:cs="宋体"/>
                <w:sz w:val="18"/>
                <w:szCs w:val="18"/>
              </w:rPr>
            </w:pPr>
            <w:r>
              <w:rPr>
                <w:rFonts w:ascii="宋体" w:hAnsi="宋体" w:eastAsia="宋体" w:cs="宋体"/>
                <w:sz w:val="18"/>
                <w:szCs w:val="18"/>
              </w:rPr>
              <w:t>42,748,763.64</w:t>
            </w:r>
          </w:p>
        </w:tc>
      </w:tr>
    </w:tbl>
    <w:p w14:paraId="63724DD0">
      <w:pPr>
        <w:keepNext/>
        <w:keepLines/>
        <w:spacing w:before="300" w:after="300" w:line="280" w:lineRule="exact"/>
        <w:outlineLvl w:val="4"/>
        <w:rPr>
          <w:rFonts w:ascii="宋体" w:hAnsi="宋体" w:eastAsia="宋体" w:cs="宋体"/>
          <w:b/>
          <w:bCs/>
          <w:sz w:val="18"/>
          <w:szCs w:val="18"/>
        </w:rPr>
      </w:pPr>
      <w:bookmarkStart w:id="637" w:name="_Toc989492"/>
      <w:r>
        <w:rPr>
          <w:rFonts w:ascii="宋体" w:hAnsi="宋体" w:eastAsia="宋体" w:cs="宋体"/>
          <w:b/>
          <w:bCs/>
          <w:sz w:val="18"/>
          <w:szCs w:val="18"/>
        </w:rPr>
        <w:t>3） 按坏账计提方法分类披露</w:t>
      </w:r>
      <w:bookmarkEnd w:id="637"/>
    </w:p>
    <w:p w14:paraId="042A109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14:paraId="0D0D0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62DE3D4">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5CC2427D">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14:paraId="143099D2">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354E9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6861D7A"/>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34288CE">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500547C8">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EC9CC98">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D2513F9">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30DD75F">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A2EA56D">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5AD8F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17C4AAE"/>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11DEA3C">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340BD44">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FD741E4">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7C93477">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7FF9967"/>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115AC74">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60F4E54">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C3E69FF">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D8645F9">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B272157"/>
        </w:tc>
      </w:tr>
      <w:tr w14:paraId="19EDE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07216E4">
            <w:pPr>
              <w:spacing w:before="40" w:after="40" w:line="240" w:lineRule="exact"/>
              <w:rPr>
                <w:rFonts w:ascii="宋体" w:hAnsi="宋体" w:eastAsia="宋体" w:cs="宋体"/>
                <w:sz w:val="18"/>
                <w:szCs w:val="18"/>
              </w:rPr>
            </w:pPr>
            <w:r>
              <w:rPr>
                <w:rFonts w:ascii="宋体" w:hAnsi="宋体" w:eastAsia="宋体" w:cs="宋体"/>
                <w:sz w:val="18"/>
                <w:szCs w:val="18"/>
              </w:rPr>
              <w:t>按单项计提坏账准备</w:t>
            </w:r>
          </w:p>
        </w:tc>
        <w:tc>
          <w:tcPr>
            <w:tcW w:w="876" w:type="dxa"/>
            <w:tcBorders>
              <w:top w:val="single" w:color="auto" w:sz="2" w:space="0"/>
              <w:left w:val="single" w:color="auto" w:sz="2" w:space="0"/>
              <w:bottom w:val="single" w:color="auto" w:sz="2" w:space="0"/>
              <w:right w:val="single" w:color="auto" w:sz="2" w:space="0"/>
            </w:tcBorders>
            <w:vAlign w:val="center"/>
          </w:tcPr>
          <w:p w14:paraId="6FB043F4">
            <w:pPr>
              <w:spacing w:line="240" w:lineRule="exact"/>
              <w:jc w:val="right"/>
              <w:rPr>
                <w:rFonts w:ascii="宋体" w:hAnsi="宋体" w:eastAsia="宋体" w:cs="宋体"/>
                <w:sz w:val="18"/>
                <w:szCs w:val="18"/>
              </w:rPr>
            </w:pPr>
            <w:r>
              <w:rPr>
                <w:rFonts w:ascii="宋体" w:hAnsi="宋体" w:eastAsia="宋体" w:cs="宋体"/>
                <w:sz w:val="18"/>
                <w:szCs w:val="18"/>
              </w:rPr>
              <w:t>19,115,777.77</w:t>
            </w:r>
          </w:p>
        </w:tc>
        <w:tc>
          <w:tcPr>
            <w:tcW w:w="876" w:type="dxa"/>
            <w:tcBorders>
              <w:top w:val="single" w:color="auto" w:sz="2" w:space="0"/>
              <w:left w:val="single" w:color="auto" w:sz="2" w:space="0"/>
              <w:bottom w:val="single" w:color="auto" w:sz="2" w:space="0"/>
              <w:right w:val="single" w:color="auto" w:sz="2" w:space="0"/>
            </w:tcBorders>
            <w:vAlign w:val="center"/>
          </w:tcPr>
          <w:p w14:paraId="6A0C06D5">
            <w:pPr>
              <w:spacing w:line="240" w:lineRule="exact"/>
              <w:jc w:val="right"/>
              <w:rPr>
                <w:rFonts w:ascii="宋体" w:hAnsi="宋体" w:eastAsia="宋体" w:cs="宋体"/>
                <w:sz w:val="18"/>
                <w:szCs w:val="18"/>
              </w:rPr>
            </w:pPr>
            <w:r>
              <w:rPr>
                <w:rFonts w:ascii="宋体" w:hAnsi="宋体" w:eastAsia="宋体" w:cs="宋体"/>
                <w:sz w:val="18"/>
                <w:szCs w:val="18"/>
              </w:rPr>
              <w:t>92.46%</w:t>
            </w:r>
          </w:p>
        </w:tc>
        <w:tc>
          <w:tcPr>
            <w:tcW w:w="876" w:type="dxa"/>
            <w:tcBorders>
              <w:top w:val="single" w:color="auto" w:sz="2" w:space="0"/>
              <w:left w:val="single" w:color="auto" w:sz="2" w:space="0"/>
              <w:bottom w:val="single" w:color="auto" w:sz="2" w:space="0"/>
              <w:right w:val="single" w:color="auto" w:sz="2" w:space="0"/>
            </w:tcBorders>
            <w:vAlign w:val="center"/>
          </w:tcPr>
          <w:p w14:paraId="1D909662">
            <w:pPr>
              <w:spacing w:line="240" w:lineRule="exact"/>
              <w:jc w:val="right"/>
              <w:rPr>
                <w:rFonts w:ascii="宋体" w:hAnsi="宋体" w:eastAsia="宋体" w:cs="宋体"/>
                <w:sz w:val="18"/>
                <w:szCs w:val="18"/>
              </w:rPr>
            </w:pPr>
            <w:r>
              <w:rPr>
                <w:rFonts w:ascii="宋体" w:hAnsi="宋体" w:eastAsia="宋体" w:cs="宋体"/>
                <w:sz w:val="18"/>
                <w:szCs w:val="18"/>
              </w:rPr>
              <w:t>19,115,777.77</w:t>
            </w:r>
          </w:p>
        </w:tc>
        <w:tc>
          <w:tcPr>
            <w:tcW w:w="876" w:type="dxa"/>
            <w:tcBorders>
              <w:top w:val="single" w:color="auto" w:sz="2" w:space="0"/>
              <w:left w:val="single" w:color="auto" w:sz="2" w:space="0"/>
              <w:bottom w:val="single" w:color="auto" w:sz="2" w:space="0"/>
              <w:right w:val="single" w:color="auto" w:sz="2" w:space="0"/>
            </w:tcBorders>
            <w:vAlign w:val="center"/>
          </w:tcPr>
          <w:p w14:paraId="0CE5B26B">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420A813D">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240D144D">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719406E7">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A9D610E">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9FA3BA7">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36236DFD">
            <w:pPr>
              <w:spacing w:line="240" w:lineRule="exact"/>
              <w:jc w:val="right"/>
              <w:rPr>
                <w:rFonts w:ascii="宋体" w:hAnsi="宋体" w:eastAsia="宋体" w:cs="宋体"/>
                <w:sz w:val="18"/>
                <w:szCs w:val="18"/>
              </w:rPr>
            </w:pPr>
          </w:p>
        </w:tc>
      </w:tr>
      <w:tr w14:paraId="49CE2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F93111D">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2A24853"/>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6FC94E7"/>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967B843"/>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2C7F3FF"/>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B29BCBF"/>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4DD60BAD"/>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2264284F"/>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837B55F"/>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68801D7"/>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40E375F"/>
        </w:tc>
      </w:tr>
      <w:tr w14:paraId="1291C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101F1378">
            <w:pPr>
              <w:spacing w:before="40" w:after="40" w:line="240" w:lineRule="exact"/>
              <w:rPr>
                <w:rFonts w:ascii="宋体" w:hAnsi="宋体" w:eastAsia="宋体" w:cs="宋体"/>
                <w:sz w:val="18"/>
                <w:szCs w:val="18"/>
              </w:rPr>
            </w:pPr>
            <w:r>
              <w:rPr>
                <w:rFonts w:ascii="宋体" w:hAnsi="宋体" w:eastAsia="宋体" w:cs="宋体"/>
                <w:sz w:val="18"/>
                <w:szCs w:val="18"/>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14:paraId="380CF6D1">
            <w:pPr>
              <w:spacing w:line="240" w:lineRule="exact"/>
              <w:jc w:val="right"/>
              <w:rPr>
                <w:rFonts w:ascii="宋体" w:hAnsi="宋体" w:eastAsia="宋体" w:cs="宋体"/>
                <w:sz w:val="18"/>
                <w:szCs w:val="18"/>
              </w:rPr>
            </w:pPr>
            <w:r>
              <w:rPr>
                <w:rFonts w:ascii="宋体" w:hAnsi="宋体" w:eastAsia="宋体" w:cs="宋体"/>
                <w:sz w:val="18"/>
                <w:szCs w:val="18"/>
              </w:rPr>
              <w:t>1,557,910.09</w:t>
            </w:r>
          </w:p>
        </w:tc>
        <w:tc>
          <w:tcPr>
            <w:tcW w:w="876" w:type="dxa"/>
            <w:tcBorders>
              <w:top w:val="single" w:color="auto" w:sz="2" w:space="0"/>
              <w:left w:val="single" w:color="auto" w:sz="2" w:space="0"/>
              <w:bottom w:val="single" w:color="auto" w:sz="2" w:space="0"/>
              <w:right w:val="single" w:color="auto" w:sz="2" w:space="0"/>
            </w:tcBorders>
            <w:vAlign w:val="center"/>
          </w:tcPr>
          <w:p w14:paraId="074BF805">
            <w:pPr>
              <w:spacing w:line="240" w:lineRule="exact"/>
              <w:jc w:val="right"/>
              <w:rPr>
                <w:rFonts w:ascii="宋体" w:hAnsi="宋体" w:eastAsia="宋体" w:cs="宋体"/>
                <w:sz w:val="18"/>
                <w:szCs w:val="18"/>
              </w:rPr>
            </w:pPr>
            <w:r>
              <w:rPr>
                <w:rFonts w:ascii="宋体" w:hAnsi="宋体" w:eastAsia="宋体" w:cs="宋体"/>
                <w:sz w:val="18"/>
                <w:szCs w:val="18"/>
              </w:rPr>
              <w:t>7.54%</w:t>
            </w:r>
          </w:p>
        </w:tc>
        <w:tc>
          <w:tcPr>
            <w:tcW w:w="876" w:type="dxa"/>
            <w:tcBorders>
              <w:top w:val="single" w:color="auto" w:sz="2" w:space="0"/>
              <w:left w:val="single" w:color="auto" w:sz="2" w:space="0"/>
              <w:bottom w:val="single" w:color="auto" w:sz="2" w:space="0"/>
              <w:right w:val="single" w:color="auto" w:sz="2" w:space="0"/>
            </w:tcBorders>
            <w:vAlign w:val="center"/>
          </w:tcPr>
          <w:p w14:paraId="649EC197">
            <w:pPr>
              <w:spacing w:line="240" w:lineRule="exact"/>
              <w:jc w:val="right"/>
              <w:rPr>
                <w:rFonts w:ascii="宋体" w:hAnsi="宋体" w:eastAsia="宋体" w:cs="宋体"/>
                <w:sz w:val="18"/>
                <w:szCs w:val="18"/>
              </w:rPr>
            </w:pPr>
            <w:r>
              <w:rPr>
                <w:rFonts w:ascii="宋体" w:hAnsi="宋体" w:eastAsia="宋体" w:cs="宋体"/>
                <w:sz w:val="18"/>
                <w:szCs w:val="18"/>
              </w:rPr>
              <w:t>2,199.56</w:t>
            </w:r>
          </w:p>
        </w:tc>
        <w:tc>
          <w:tcPr>
            <w:tcW w:w="876" w:type="dxa"/>
            <w:tcBorders>
              <w:top w:val="single" w:color="auto" w:sz="2" w:space="0"/>
              <w:left w:val="single" w:color="auto" w:sz="2" w:space="0"/>
              <w:bottom w:val="single" w:color="auto" w:sz="2" w:space="0"/>
              <w:right w:val="single" w:color="auto" w:sz="2" w:space="0"/>
            </w:tcBorders>
            <w:vAlign w:val="center"/>
          </w:tcPr>
          <w:p w14:paraId="6183E06D">
            <w:pPr>
              <w:spacing w:line="240" w:lineRule="exact"/>
              <w:jc w:val="right"/>
              <w:rPr>
                <w:rFonts w:ascii="宋体" w:hAnsi="宋体" w:eastAsia="宋体" w:cs="宋体"/>
                <w:sz w:val="18"/>
                <w:szCs w:val="18"/>
              </w:rPr>
            </w:pPr>
            <w:r>
              <w:rPr>
                <w:rFonts w:ascii="宋体" w:hAnsi="宋体" w:eastAsia="宋体" w:cs="宋体"/>
                <w:sz w:val="18"/>
                <w:szCs w:val="18"/>
              </w:rPr>
              <w:t>0.14%</w:t>
            </w:r>
          </w:p>
        </w:tc>
        <w:tc>
          <w:tcPr>
            <w:tcW w:w="876" w:type="dxa"/>
            <w:tcBorders>
              <w:top w:val="single" w:color="auto" w:sz="2" w:space="0"/>
              <w:left w:val="single" w:color="auto" w:sz="2" w:space="0"/>
              <w:bottom w:val="single" w:color="auto" w:sz="2" w:space="0"/>
              <w:right w:val="single" w:color="auto" w:sz="2" w:space="0"/>
            </w:tcBorders>
            <w:vAlign w:val="center"/>
          </w:tcPr>
          <w:p w14:paraId="7625A1D7">
            <w:pPr>
              <w:spacing w:line="240" w:lineRule="exact"/>
              <w:jc w:val="right"/>
              <w:rPr>
                <w:rFonts w:ascii="宋体" w:hAnsi="宋体" w:eastAsia="宋体" w:cs="宋体"/>
                <w:sz w:val="18"/>
                <w:szCs w:val="18"/>
              </w:rPr>
            </w:pPr>
            <w:r>
              <w:rPr>
                <w:rFonts w:ascii="宋体" w:hAnsi="宋体" w:eastAsia="宋体" w:cs="宋体"/>
                <w:sz w:val="18"/>
                <w:szCs w:val="18"/>
              </w:rPr>
              <w:t>1,555,710.53</w:t>
            </w:r>
          </w:p>
        </w:tc>
        <w:tc>
          <w:tcPr>
            <w:tcW w:w="876" w:type="dxa"/>
            <w:tcBorders>
              <w:top w:val="single" w:color="auto" w:sz="2" w:space="0"/>
              <w:left w:val="single" w:color="auto" w:sz="2" w:space="0"/>
              <w:bottom w:val="single" w:color="auto" w:sz="2" w:space="0"/>
              <w:right w:val="single" w:color="auto" w:sz="2" w:space="0"/>
            </w:tcBorders>
            <w:vAlign w:val="center"/>
          </w:tcPr>
          <w:p w14:paraId="484FC57E">
            <w:pPr>
              <w:spacing w:line="240" w:lineRule="exact"/>
              <w:jc w:val="right"/>
              <w:rPr>
                <w:rFonts w:ascii="宋体" w:hAnsi="宋体" w:eastAsia="宋体" w:cs="宋体"/>
                <w:sz w:val="18"/>
                <w:szCs w:val="18"/>
              </w:rPr>
            </w:pPr>
            <w:r>
              <w:rPr>
                <w:rFonts w:ascii="宋体" w:hAnsi="宋体" w:eastAsia="宋体" w:cs="宋体"/>
                <w:sz w:val="18"/>
                <w:szCs w:val="18"/>
              </w:rPr>
              <w:t>42,748,763.64</w:t>
            </w:r>
          </w:p>
        </w:tc>
        <w:tc>
          <w:tcPr>
            <w:tcW w:w="876" w:type="dxa"/>
            <w:tcBorders>
              <w:top w:val="single" w:color="auto" w:sz="2" w:space="0"/>
              <w:left w:val="single" w:color="auto" w:sz="2" w:space="0"/>
              <w:bottom w:val="single" w:color="auto" w:sz="2" w:space="0"/>
              <w:right w:val="single" w:color="auto" w:sz="2" w:space="0"/>
            </w:tcBorders>
            <w:vAlign w:val="center"/>
          </w:tcPr>
          <w:p w14:paraId="6D792028">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4502F1EA">
            <w:pPr>
              <w:spacing w:line="240" w:lineRule="exact"/>
              <w:jc w:val="right"/>
              <w:rPr>
                <w:rFonts w:ascii="宋体" w:hAnsi="宋体" w:eastAsia="宋体" w:cs="宋体"/>
                <w:sz w:val="18"/>
                <w:szCs w:val="18"/>
              </w:rPr>
            </w:pPr>
            <w:r>
              <w:rPr>
                <w:rFonts w:ascii="宋体" w:hAnsi="宋体" w:eastAsia="宋体" w:cs="宋体"/>
                <w:sz w:val="18"/>
                <w:szCs w:val="18"/>
              </w:rPr>
              <w:t>11,854,174.15</w:t>
            </w:r>
          </w:p>
        </w:tc>
        <w:tc>
          <w:tcPr>
            <w:tcW w:w="876" w:type="dxa"/>
            <w:tcBorders>
              <w:top w:val="single" w:color="auto" w:sz="2" w:space="0"/>
              <w:left w:val="single" w:color="auto" w:sz="2" w:space="0"/>
              <w:bottom w:val="single" w:color="auto" w:sz="2" w:space="0"/>
              <w:right w:val="single" w:color="auto" w:sz="2" w:space="0"/>
            </w:tcBorders>
            <w:vAlign w:val="center"/>
          </w:tcPr>
          <w:p w14:paraId="17030A62">
            <w:pPr>
              <w:spacing w:line="240" w:lineRule="exact"/>
              <w:jc w:val="right"/>
              <w:rPr>
                <w:rFonts w:ascii="宋体" w:hAnsi="宋体" w:eastAsia="宋体" w:cs="宋体"/>
                <w:sz w:val="18"/>
                <w:szCs w:val="18"/>
              </w:rPr>
            </w:pPr>
            <w:r>
              <w:rPr>
                <w:rFonts w:ascii="宋体" w:hAnsi="宋体" w:eastAsia="宋体" w:cs="宋体"/>
                <w:sz w:val="18"/>
                <w:szCs w:val="18"/>
              </w:rPr>
              <w:t>27.73%</w:t>
            </w:r>
          </w:p>
        </w:tc>
        <w:tc>
          <w:tcPr>
            <w:tcW w:w="876" w:type="dxa"/>
            <w:tcBorders>
              <w:top w:val="single" w:color="auto" w:sz="2" w:space="0"/>
              <w:left w:val="single" w:color="auto" w:sz="2" w:space="0"/>
              <w:bottom w:val="single" w:color="auto" w:sz="2" w:space="0"/>
              <w:right w:val="single" w:color="auto" w:sz="2" w:space="0"/>
            </w:tcBorders>
            <w:vAlign w:val="center"/>
          </w:tcPr>
          <w:p w14:paraId="67048105">
            <w:pPr>
              <w:spacing w:line="240" w:lineRule="exact"/>
              <w:jc w:val="right"/>
              <w:rPr>
                <w:rFonts w:ascii="宋体" w:hAnsi="宋体" w:eastAsia="宋体" w:cs="宋体"/>
                <w:sz w:val="18"/>
                <w:szCs w:val="18"/>
              </w:rPr>
            </w:pPr>
            <w:r>
              <w:rPr>
                <w:rFonts w:ascii="宋体" w:hAnsi="宋体" w:eastAsia="宋体" w:cs="宋体"/>
                <w:sz w:val="18"/>
                <w:szCs w:val="18"/>
              </w:rPr>
              <w:t>30,894,589.49</w:t>
            </w:r>
          </w:p>
        </w:tc>
      </w:tr>
      <w:tr w14:paraId="0B6AD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417D1BB">
            <w:pPr>
              <w:spacing w:before="40" w:after="40" w:line="240" w:lineRule="exact"/>
              <w:ind w:firstLine="180" w:firstLineChars="100"/>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4ACDA0C"/>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8D5945C"/>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210CB7D"/>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A266574"/>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6995488A"/>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73371E46"/>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4684B36"/>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0F7E43D9"/>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3314B73C"/>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54DCE21"/>
        </w:tc>
      </w:tr>
      <w:tr w14:paraId="24626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19E040B3">
            <w:pPr>
              <w:spacing w:line="240" w:lineRule="exact"/>
              <w:rPr>
                <w:rFonts w:ascii="宋体" w:hAnsi="宋体" w:eastAsia="宋体" w:cs="宋体"/>
                <w:sz w:val="18"/>
                <w:szCs w:val="18"/>
              </w:rPr>
            </w:pPr>
            <w:r>
              <w:rPr>
                <w:rFonts w:ascii="宋体" w:hAnsi="宋体" w:eastAsia="宋体" w:cs="宋体"/>
                <w:sz w:val="18"/>
                <w:szCs w:val="18"/>
              </w:rPr>
              <w:t>预期信用风险组合</w:t>
            </w:r>
          </w:p>
        </w:tc>
        <w:tc>
          <w:tcPr>
            <w:tcW w:w="876" w:type="dxa"/>
            <w:tcBorders>
              <w:top w:val="single" w:color="auto" w:sz="2" w:space="0"/>
              <w:left w:val="single" w:color="auto" w:sz="2" w:space="0"/>
              <w:bottom w:val="single" w:color="auto" w:sz="2" w:space="0"/>
              <w:right w:val="single" w:color="auto" w:sz="2" w:space="0"/>
            </w:tcBorders>
            <w:vAlign w:val="center"/>
          </w:tcPr>
          <w:p w14:paraId="484A2B12">
            <w:pPr>
              <w:spacing w:line="240" w:lineRule="exact"/>
              <w:jc w:val="right"/>
              <w:rPr>
                <w:rFonts w:ascii="宋体" w:hAnsi="宋体" w:eastAsia="宋体" w:cs="宋体"/>
                <w:sz w:val="18"/>
                <w:szCs w:val="18"/>
              </w:rPr>
            </w:pPr>
            <w:r>
              <w:rPr>
                <w:rFonts w:ascii="宋体" w:hAnsi="宋体" w:eastAsia="宋体" w:cs="宋体"/>
                <w:sz w:val="18"/>
                <w:szCs w:val="18"/>
              </w:rPr>
              <w:t>5,991.09</w:t>
            </w:r>
          </w:p>
        </w:tc>
        <w:tc>
          <w:tcPr>
            <w:tcW w:w="876" w:type="dxa"/>
            <w:tcBorders>
              <w:top w:val="single" w:color="auto" w:sz="2" w:space="0"/>
              <w:left w:val="single" w:color="auto" w:sz="2" w:space="0"/>
              <w:bottom w:val="single" w:color="auto" w:sz="2" w:space="0"/>
              <w:right w:val="single" w:color="auto" w:sz="2" w:space="0"/>
            </w:tcBorders>
            <w:vAlign w:val="center"/>
          </w:tcPr>
          <w:p w14:paraId="12225689">
            <w:pPr>
              <w:spacing w:line="240" w:lineRule="exact"/>
              <w:jc w:val="right"/>
              <w:rPr>
                <w:rFonts w:ascii="宋体" w:hAnsi="宋体" w:eastAsia="宋体" w:cs="宋体"/>
                <w:sz w:val="18"/>
                <w:szCs w:val="18"/>
              </w:rPr>
            </w:pPr>
            <w:r>
              <w:rPr>
                <w:rFonts w:ascii="宋体" w:hAnsi="宋体" w:eastAsia="宋体" w:cs="宋体"/>
                <w:sz w:val="18"/>
                <w:szCs w:val="18"/>
              </w:rPr>
              <w:t>0.38%</w:t>
            </w:r>
          </w:p>
        </w:tc>
        <w:tc>
          <w:tcPr>
            <w:tcW w:w="876" w:type="dxa"/>
            <w:tcBorders>
              <w:top w:val="single" w:color="auto" w:sz="2" w:space="0"/>
              <w:left w:val="single" w:color="auto" w:sz="2" w:space="0"/>
              <w:bottom w:val="single" w:color="auto" w:sz="2" w:space="0"/>
              <w:right w:val="single" w:color="auto" w:sz="2" w:space="0"/>
            </w:tcBorders>
            <w:vAlign w:val="center"/>
          </w:tcPr>
          <w:p w14:paraId="6116F73A">
            <w:pPr>
              <w:spacing w:line="240" w:lineRule="exact"/>
              <w:jc w:val="right"/>
              <w:rPr>
                <w:rFonts w:ascii="宋体" w:hAnsi="宋体" w:eastAsia="宋体" w:cs="宋体"/>
                <w:sz w:val="18"/>
                <w:szCs w:val="18"/>
              </w:rPr>
            </w:pPr>
            <w:r>
              <w:rPr>
                <w:rFonts w:ascii="宋体" w:hAnsi="宋体" w:eastAsia="宋体" w:cs="宋体"/>
                <w:sz w:val="18"/>
                <w:szCs w:val="18"/>
              </w:rPr>
              <w:t>2,199.56</w:t>
            </w:r>
          </w:p>
        </w:tc>
        <w:tc>
          <w:tcPr>
            <w:tcW w:w="876" w:type="dxa"/>
            <w:tcBorders>
              <w:top w:val="single" w:color="auto" w:sz="2" w:space="0"/>
              <w:left w:val="single" w:color="auto" w:sz="2" w:space="0"/>
              <w:bottom w:val="single" w:color="auto" w:sz="2" w:space="0"/>
              <w:right w:val="single" w:color="auto" w:sz="2" w:space="0"/>
            </w:tcBorders>
            <w:vAlign w:val="center"/>
          </w:tcPr>
          <w:p w14:paraId="2787D71C">
            <w:pPr>
              <w:spacing w:line="240" w:lineRule="exact"/>
              <w:jc w:val="right"/>
              <w:rPr>
                <w:rFonts w:ascii="宋体" w:hAnsi="宋体" w:eastAsia="宋体" w:cs="宋体"/>
                <w:sz w:val="18"/>
                <w:szCs w:val="18"/>
              </w:rPr>
            </w:pPr>
            <w:r>
              <w:rPr>
                <w:rFonts w:ascii="宋体" w:hAnsi="宋体" w:eastAsia="宋体" w:cs="宋体"/>
                <w:sz w:val="18"/>
                <w:szCs w:val="18"/>
              </w:rPr>
              <w:t>36.71%</w:t>
            </w:r>
          </w:p>
        </w:tc>
        <w:tc>
          <w:tcPr>
            <w:tcW w:w="876" w:type="dxa"/>
            <w:tcBorders>
              <w:top w:val="single" w:color="auto" w:sz="2" w:space="0"/>
              <w:left w:val="single" w:color="auto" w:sz="2" w:space="0"/>
              <w:bottom w:val="single" w:color="auto" w:sz="2" w:space="0"/>
              <w:right w:val="single" w:color="auto" w:sz="2" w:space="0"/>
            </w:tcBorders>
            <w:vAlign w:val="center"/>
          </w:tcPr>
          <w:p w14:paraId="60FBD0C1">
            <w:pPr>
              <w:spacing w:line="240" w:lineRule="exact"/>
              <w:jc w:val="right"/>
              <w:rPr>
                <w:rFonts w:ascii="宋体" w:hAnsi="宋体" w:eastAsia="宋体" w:cs="宋体"/>
                <w:sz w:val="18"/>
                <w:szCs w:val="18"/>
              </w:rPr>
            </w:pPr>
            <w:r>
              <w:rPr>
                <w:rFonts w:ascii="宋体" w:hAnsi="宋体" w:eastAsia="宋体" w:cs="宋体"/>
                <w:sz w:val="18"/>
                <w:szCs w:val="18"/>
              </w:rPr>
              <w:t>3,791.53</w:t>
            </w:r>
          </w:p>
        </w:tc>
        <w:tc>
          <w:tcPr>
            <w:tcW w:w="876" w:type="dxa"/>
            <w:tcBorders>
              <w:top w:val="single" w:color="auto" w:sz="2" w:space="0"/>
              <w:left w:val="single" w:color="auto" w:sz="2" w:space="0"/>
              <w:bottom w:val="single" w:color="auto" w:sz="2" w:space="0"/>
              <w:right w:val="single" w:color="auto" w:sz="2" w:space="0"/>
            </w:tcBorders>
            <w:vAlign w:val="center"/>
          </w:tcPr>
          <w:p w14:paraId="5D204859">
            <w:pPr>
              <w:spacing w:line="240" w:lineRule="exact"/>
              <w:jc w:val="right"/>
              <w:rPr>
                <w:rFonts w:ascii="宋体" w:hAnsi="宋体" w:eastAsia="宋体" w:cs="宋体"/>
                <w:sz w:val="18"/>
                <w:szCs w:val="18"/>
              </w:rPr>
            </w:pPr>
            <w:r>
              <w:rPr>
                <w:rFonts w:ascii="宋体" w:hAnsi="宋体" w:eastAsia="宋体" w:cs="宋体"/>
                <w:sz w:val="18"/>
                <w:szCs w:val="18"/>
              </w:rPr>
              <w:t>19,253,149.60</w:t>
            </w:r>
          </w:p>
        </w:tc>
        <w:tc>
          <w:tcPr>
            <w:tcW w:w="876" w:type="dxa"/>
            <w:tcBorders>
              <w:top w:val="single" w:color="auto" w:sz="2" w:space="0"/>
              <w:left w:val="single" w:color="auto" w:sz="2" w:space="0"/>
              <w:bottom w:val="single" w:color="auto" w:sz="2" w:space="0"/>
              <w:right w:val="single" w:color="auto" w:sz="2" w:space="0"/>
            </w:tcBorders>
            <w:vAlign w:val="center"/>
          </w:tcPr>
          <w:p w14:paraId="149394ED">
            <w:pPr>
              <w:spacing w:line="240" w:lineRule="exact"/>
              <w:jc w:val="right"/>
              <w:rPr>
                <w:rFonts w:ascii="宋体" w:hAnsi="宋体" w:eastAsia="宋体" w:cs="宋体"/>
                <w:sz w:val="18"/>
                <w:szCs w:val="18"/>
              </w:rPr>
            </w:pPr>
            <w:r>
              <w:rPr>
                <w:rFonts w:ascii="宋体" w:hAnsi="宋体" w:eastAsia="宋体" w:cs="宋体"/>
                <w:sz w:val="18"/>
                <w:szCs w:val="18"/>
              </w:rPr>
              <w:t>24.10%</w:t>
            </w:r>
          </w:p>
        </w:tc>
        <w:tc>
          <w:tcPr>
            <w:tcW w:w="876" w:type="dxa"/>
            <w:tcBorders>
              <w:top w:val="single" w:color="auto" w:sz="2" w:space="0"/>
              <w:left w:val="single" w:color="auto" w:sz="2" w:space="0"/>
              <w:bottom w:val="single" w:color="auto" w:sz="2" w:space="0"/>
              <w:right w:val="single" w:color="auto" w:sz="2" w:space="0"/>
            </w:tcBorders>
            <w:vAlign w:val="center"/>
          </w:tcPr>
          <w:p w14:paraId="5520FE5E">
            <w:pPr>
              <w:spacing w:line="240" w:lineRule="exact"/>
              <w:jc w:val="right"/>
              <w:rPr>
                <w:rFonts w:ascii="宋体" w:hAnsi="宋体" w:eastAsia="宋体" w:cs="宋体"/>
                <w:sz w:val="18"/>
                <w:szCs w:val="18"/>
              </w:rPr>
            </w:pPr>
            <w:r>
              <w:rPr>
                <w:rFonts w:ascii="宋体" w:hAnsi="宋体" w:eastAsia="宋体" w:cs="宋体"/>
                <w:sz w:val="18"/>
                <w:szCs w:val="18"/>
              </w:rPr>
              <w:t>11,854,174.15</w:t>
            </w:r>
          </w:p>
        </w:tc>
        <w:tc>
          <w:tcPr>
            <w:tcW w:w="876" w:type="dxa"/>
            <w:tcBorders>
              <w:top w:val="single" w:color="auto" w:sz="2" w:space="0"/>
              <w:left w:val="single" w:color="auto" w:sz="2" w:space="0"/>
              <w:bottom w:val="single" w:color="auto" w:sz="2" w:space="0"/>
              <w:right w:val="single" w:color="auto" w:sz="2" w:space="0"/>
            </w:tcBorders>
            <w:vAlign w:val="center"/>
          </w:tcPr>
          <w:p w14:paraId="271E381A">
            <w:pPr>
              <w:spacing w:line="240" w:lineRule="exact"/>
              <w:jc w:val="right"/>
              <w:rPr>
                <w:rFonts w:ascii="宋体" w:hAnsi="宋体" w:eastAsia="宋体" w:cs="宋体"/>
                <w:sz w:val="18"/>
                <w:szCs w:val="18"/>
              </w:rPr>
            </w:pPr>
            <w:r>
              <w:rPr>
                <w:rFonts w:ascii="宋体" w:hAnsi="宋体" w:eastAsia="宋体" w:cs="宋体"/>
                <w:sz w:val="18"/>
                <w:szCs w:val="18"/>
              </w:rPr>
              <w:t>61.57%</w:t>
            </w:r>
          </w:p>
        </w:tc>
        <w:tc>
          <w:tcPr>
            <w:tcW w:w="876" w:type="dxa"/>
            <w:tcBorders>
              <w:top w:val="single" w:color="auto" w:sz="2" w:space="0"/>
              <w:left w:val="single" w:color="auto" w:sz="2" w:space="0"/>
              <w:bottom w:val="single" w:color="auto" w:sz="2" w:space="0"/>
              <w:right w:val="single" w:color="auto" w:sz="2" w:space="0"/>
            </w:tcBorders>
            <w:vAlign w:val="center"/>
          </w:tcPr>
          <w:p w14:paraId="2F33AEF4">
            <w:pPr>
              <w:spacing w:line="240" w:lineRule="exact"/>
              <w:jc w:val="right"/>
              <w:rPr>
                <w:rFonts w:ascii="宋体" w:hAnsi="宋体" w:eastAsia="宋体" w:cs="宋体"/>
                <w:sz w:val="18"/>
                <w:szCs w:val="18"/>
              </w:rPr>
            </w:pPr>
            <w:r>
              <w:rPr>
                <w:rFonts w:ascii="宋体" w:hAnsi="宋体" w:eastAsia="宋体" w:cs="宋体"/>
                <w:sz w:val="18"/>
                <w:szCs w:val="18"/>
              </w:rPr>
              <w:t>7,398,975.45</w:t>
            </w:r>
          </w:p>
        </w:tc>
      </w:tr>
      <w:tr w14:paraId="7ABE9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14:paraId="1438DC37">
            <w:pPr>
              <w:spacing w:line="240" w:lineRule="exact"/>
              <w:rPr>
                <w:rFonts w:ascii="宋体" w:hAnsi="宋体" w:eastAsia="宋体" w:cs="宋体"/>
                <w:sz w:val="18"/>
                <w:szCs w:val="18"/>
              </w:rPr>
            </w:pPr>
            <w:r>
              <w:rPr>
                <w:rFonts w:ascii="宋体" w:hAnsi="宋体" w:eastAsia="宋体" w:cs="宋体"/>
                <w:sz w:val="18"/>
                <w:szCs w:val="18"/>
              </w:rPr>
              <w:t>合并范围内关联方组合</w:t>
            </w:r>
          </w:p>
        </w:tc>
        <w:tc>
          <w:tcPr>
            <w:tcW w:w="876" w:type="dxa"/>
            <w:tcBorders>
              <w:top w:val="single" w:color="auto" w:sz="2" w:space="0"/>
              <w:left w:val="single" w:color="auto" w:sz="2" w:space="0"/>
              <w:bottom w:val="single" w:color="auto" w:sz="2" w:space="0"/>
              <w:right w:val="single" w:color="auto" w:sz="2" w:space="0"/>
            </w:tcBorders>
            <w:vAlign w:val="center"/>
          </w:tcPr>
          <w:p w14:paraId="41AD989D">
            <w:pPr>
              <w:spacing w:line="240" w:lineRule="exact"/>
              <w:jc w:val="right"/>
              <w:rPr>
                <w:rFonts w:ascii="宋体" w:hAnsi="宋体" w:eastAsia="宋体" w:cs="宋体"/>
                <w:sz w:val="18"/>
                <w:szCs w:val="18"/>
              </w:rPr>
            </w:pPr>
            <w:r>
              <w:rPr>
                <w:rFonts w:ascii="宋体" w:hAnsi="宋体" w:eastAsia="宋体" w:cs="宋体"/>
                <w:sz w:val="18"/>
                <w:szCs w:val="18"/>
              </w:rPr>
              <w:t>1,551,919.00</w:t>
            </w:r>
          </w:p>
        </w:tc>
        <w:tc>
          <w:tcPr>
            <w:tcW w:w="876" w:type="dxa"/>
            <w:tcBorders>
              <w:top w:val="single" w:color="auto" w:sz="2" w:space="0"/>
              <w:left w:val="single" w:color="auto" w:sz="2" w:space="0"/>
              <w:bottom w:val="single" w:color="auto" w:sz="2" w:space="0"/>
              <w:right w:val="single" w:color="auto" w:sz="2" w:space="0"/>
            </w:tcBorders>
            <w:vAlign w:val="center"/>
          </w:tcPr>
          <w:p w14:paraId="66A6B7E7">
            <w:pPr>
              <w:spacing w:line="240" w:lineRule="exact"/>
              <w:jc w:val="right"/>
              <w:rPr>
                <w:rFonts w:ascii="宋体" w:hAnsi="宋体" w:eastAsia="宋体" w:cs="宋体"/>
                <w:sz w:val="18"/>
                <w:szCs w:val="18"/>
              </w:rPr>
            </w:pPr>
            <w:r>
              <w:rPr>
                <w:rFonts w:ascii="宋体" w:hAnsi="宋体" w:eastAsia="宋体" w:cs="宋体"/>
                <w:sz w:val="18"/>
                <w:szCs w:val="18"/>
              </w:rPr>
              <w:t>99.62%</w:t>
            </w:r>
          </w:p>
        </w:tc>
        <w:tc>
          <w:tcPr>
            <w:tcW w:w="876" w:type="dxa"/>
            <w:tcBorders>
              <w:top w:val="single" w:color="auto" w:sz="2" w:space="0"/>
              <w:left w:val="single" w:color="auto" w:sz="2" w:space="0"/>
              <w:bottom w:val="single" w:color="auto" w:sz="2" w:space="0"/>
              <w:right w:val="single" w:color="auto" w:sz="2" w:space="0"/>
            </w:tcBorders>
            <w:vAlign w:val="center"/>
          </w:tcPr>
          <w:p w14:paraId="49278EA0">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189ACEDF">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072D6624">
            <w:pPr>
              <w:spacing w:line="240" w:lineRule="exact"/>
              <w:jc w:val="right"/>
              <w:rPr>
                <w:rFonts w:ascii="宋体" w:hAnsi="宋体" w:eastAsia="宋体" w:cs="宋体"/>
                <w:sz w:val="18"/>
                <w:szCs w:val="18"/>
              </w:rPr>
            </w:pPr>
            <w:r>
              <w:rPr>
                <w:rFonts w:ascii="宋体" w:hAnsi="宋体" w:eastAsia="宋体" w:cs="宋体"/>
                <w:sz w:val="18"/>
                <w:szCs w:val="18"/>
              </w:rPr>
              <w:t>1,551,919.00</w:t>
            </w:r>
          </w:p>
        </w:tc>
        <w:tc>
          <w:tcPr>
            <w:tcW w:w="876" w:type="dxa"/>
            <w:tcBorders>
              <w:top w:val="single" w:color="auto" w:sz="2" w:space="0"/>
              <w:left w:val="single" w:color="auto" w:sz="2" w:space="0"/>
              <w:bottom w:val="single" w:color="auto" w:sz="2" w:space="0"/>
              <w:right w:val="single" w:color="auto" w:sz="2" w:space="0"/>
            </w:tcBorders>
            <w:vAlign w:val="center"/>
          </w:tcPr>
          <w:p w14:paraId="4198DC0C">
            <w:pPr>
              <w:spacing w:line="240" w:lineRule="exact"/>
              <w:jc w:val="right"/>
              <w:rPr>
                <w:rFonts w:ascii="宋体" w:hAnsi="宋体" w:eastAsia="宋体" w:cs="宋体"/>
                <w:sz w:val="18"/>
                <w:szCs w:val="18"/>
              </w:rPr>
            </w:pPr>
            <w:r>
              <w:rPr>
                <w:rFonts w:ascii="宋体" w:hAnsi="宋体" w:eastAsia="宋体" w:cs="宋体"/>
                <w:sz w:val="18"/>
                <w:szCs w:val="18"/>
              </w:rPr>
              <w:t>23,495,614.04</w:t>
            </w:r>
          </w:p>
        </w:tc>
        <w:tc>
          <w:tcPr>
            <w:tcW w:w="876" w:type="dxa"/>
            <w:tcBorders>
              <w:top w:val="single" w:color="auto" w:sz="2" w:space="0"/>
              <w:left w:val="single" w:color="auto" w:sz="2" w:space="0"/>
              <w:bottom w:val="single" w:color="auto" w:sz="2" w:space="0"/>
              <w:right w:val="single" w:color="auto" w:sz="2" w:space="0"/>
            </w:tcBorders>
            <w:vAlign w:val="center"/>
          </w:tcPr>
          <w:p w14:paraId="002FC913">
            <w:pPr>
              <w:spacing w:line="240" w:lineRule="exact"/>
              <w:jc w:val="right"/>
              <w:rPr>
                <w:rFonts w:ascii="宋体" w:hAnsi="宋体" w:eastAsia="宋体" w:cs="宋体"/>
                <w:sz w:val="18"/>
                <w:szCs w:val="18"/>
              </w:rPr>
            </w:pPr>
            <w:r>
              <w:rPr>
                <w:rFonts w:ascii="宋体" w:hAnsi="宋体" w:eastAsia="宋体" w:cs="宋体"/>
                <w:sz w:val="18"/>
                <w:szCs w:val="18"/>
              </w:rPr>
              <w:t>75.90%</w:t>
            </w:r>
          </w:p>
        </w:tc>
        <w:tc>
          <w:tcPr>
            <w:tcW w:w="876" w:type="dxa"/>
            <w:tcBorders>
              <w:top w:val="single" w:color="auto" w:sz="2" w:space="0"/>
              <w:left w:val="single" w:color="auto" w:sz="2" w:space="0"/>
              <w:bottom w:val="single" w:color="auto" w:sz="2" w:space="0"/>
              <w:right w:val="single" w:color="auto" w:sz="2" w:space="0"/>
            </w:tcBorders>
            <w:vAlign w:val="center"/>
          </w:tcPr>
          <w:p w14:paraId="23C24E6F">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E6CFBE7">
            <w:pPr>
              <w:spacing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14:paraId="62D6E48A">
            <w:pPr>
              <w:spacing w:line="240" w:lineRule="exact"/>
              <w:jc w:val="right"/>
              <w:rPr>
                <w:rFonts w:ascii="宋体" w:hAnsi="宋体" w:eastAsia="宋体" w:cs="宋体"/>
                <w:sz w:val="18"/>
                <w:szCs w:val="18"/>
              </w:rPr>
            </w:pPr>
            <w:r>
              <w:rPr>
                <w:rFonts w:ascii="宋体" w:hAnsi="宋体" w:eastAsia="宋体" w:cs="宋体"/>
                <w:sz w:val="18"/>
                <w:szCs w:val="18"/>
              </w:rPr>
              <w:t>23,495,614.04</w:t>
            </w:r>
          </w:p>
        </w:tc>
      </w:tr>
      <w:tr w14:paraId="7C8B5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14:paraId="59C7FC5B">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14:paraId="7D714D73">
            <w:pPr>
              <w:spacing w:line="240" w:lineRule="exact"/>
              <w:jc w:val="right"/>
              <w:rPr>
                <w:rFonts w:ascii="宋体" w:hAnsi="宋体" w:eastAsia="宋体" w:cs="宋体"/>
                <w:sz w:val="18"/>
                <w:szCs w:val="18"/>
              </w:rPr>
            </w:pPr>
            <w:r>
              <w:rPr>
                <w:rFonts w:ascii="宋体" w:hAnsi="宋体" w:eastAsia="宋体" w:cs="宋体"/>
                <w:sz w:val="18"/>
                <w:szCs w:val="18"/>
              </w:rPr>
              <w:t>20,673,687.86</w:t>
            </w:r>
          </w:p>
        </w:tc>
        <w:tc>
          <w:tcPr>
            <w:tcW w:w="876" w:type="dxa"/>
            <w:tcBorders>
              <w:top w:val="single" w:color="auto" w:sz="2" w:space="0"/>
              <w:left w:val="single" w:color="auto" w:sz="2" w:space="0"/>
              <w:bottom w:val="single" w:color="auto" w:sz="2" w:space="0"/>
              <w:right w:val="single" w:color="auto" w:sz="2" w:space="0"/>
            </w:tcBorders>
            <w:vAlign w:val="center"/>
          </w:tcPr>
          <w:p w14:paraId="606DF9CD">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1D604CF9">
            <w:pPr>
              <w:spacing w:line="240" w:lineRule="exact"/>
              <w:jc w:val="right"/>
              <w:rPr>
                <w:rFonts w:ascii="宋体" w:hAnsi="宋体" w:eastAsia="宋体" w:cs="宋体"/>
                <w:sz w:val="18"/>
                <w:szCs w:val="18"/>
              </w:rPr>
            </w:pPr>
            <w:r>
              <w:rPr>
                <w:rFonts w:ascii="宋体" w:hAnsi="宋体" w:eastAsia="宋体" w:cs="宋体"/>
                <w:sz w:val="18"/>
                <w:szCs w:val="18"/>
              </w:rPr>
              <w:t>19,117,977.33</w:t>
            </w:r>
          </w:p>
        </w:tc>
        <w:tc>
          <w:tcPr>
            <w:tcW w:w="876" w:type="dxa"/>
            <w:tcBorders>
              <w:top w:val="single" w:color="auto" w:sz="2" w:space="0"/>
              <w:left w:val="single" w:color="auto" w:sz="2" w:space="0"/>
              <w:bottom w:val="single" w:color="auto" w:sz="2" w:space="0"/>
              <w:right w:val="single" w:color="auto" w:sz="2" w:space="0"/>
            </w:tcBorders>
            <w:vAlign w:val="center"/>
          </w:tcPr>
          <w:p w14:paraId="6535505E">
            <w:pPr>
              <w:spacing w:line="240" w:lineRule="exact"/>
              <w:jc w:val="right"/>
              <w:rPr>
                <w:rFonts w:ascii="宋体" w:hAnsi="宋体" w:eastAsia="宋体" w:cs="宋体"/>
                <w:sz w:val="18"/>
                <w:szCs w:val="18"/>
              </w:rPr>
            </w:pPr>
            <w:r>
              <w:rPr>
                <w:rFonts w:ascii="宋体" w:hAnsi="宋体" w:eastAsia="宋体" w:cs="宋体"/>
                <w:sz w:val="18"/>
                <w:szCs w:val="18"/>
              </w:rPr>
              <w:t>92.47%</w:t>
            </w:r>
          </w:p>
        </w:tc>
        <w:tc>
          <w:tcPr>
            <w:tcW w:w="876" w:type="dxa"/>
            <w:tcBorders>
              <w:top w:val="single" w:color="auto" w:sz="2" w:space="0"/>
              <w:left w:val="single" w:color="auto" w:sz="2" w:space="0"/>
              <w:bottom w:val="single" w:color="auto" w:sz="2" w:space="0"/>
              <w:right w:val="single" w:color="auto" w:sz="2" w:space="0"/>
            </w:tcBorders>
            <w:vAlign w:val="center"/>
          </w:tcPr>
          <w:p w14:paraId="670290A7">
            <w:pPr>
              <w:spacing w:line="240" w:lineRule="exact"/>
              <w:jc w:val="right"/>
              <w:rPr>
                <w:rFonts w:ascii="宋体" w:hAnsi="宋体" w:eastAsia="宋体" w:cs="宋体"/>
                <w:sz w:val="18"/>
                <w:szCs w:val="18"/>
              </w:rPr>
            </w:pPr>
            <w:r>
              <w:rPr>
                <w:rFonts w:ascii="宋体" w:hAnsi="宋体" w:eastAsia="宋体" w:cs="宋体"/>
                <w:sz w:val="18"/>
                <w:szCs w:val="18"/>
              </w:rPr>
              <w:t>1,555,710.53</w:t>
            </w:r>
          </w:p>
        </w:tc>
        <w:tc>
          <w:tcPr>
            <w:tcW w:w="876" w:type="dxa"/>
            <w:tcBorders>
              <w:top w:val="single" w:color="auto" w:sz="2" w:space="0"/>
              <w:left w:val="single" w:color="auto" w:sz="2" w:space="0"/>
              <w:bottom w:val="single" w:color="auto" w:sz="2" w:space="0"/>
              <w:right w:val="single" w:color="auto" w:sz="2" w:space="0"/>
            </w:tcBorders>
            <w:vAlign w:val="center"/>
          </w:tcPr>
          <w:p w14:paraId="41CB89BC">
            <w:pPr>
              <w:spacing w:line="240" w:lineRule="exact"/>
              <w:jc w:val="right"/>
              <w:rPr>
                <w:rFonts w:ascii="宋体" w:hAnsi="宋体" w:eastAsia="宋体" w:cs="宋体"/>
                <w:sz w:val="18"/>
                <w:szCs w:val="18"/>
              </w:rPr>
            </w:pPr>
            <w:r>
              <w:rPr>
                <w:rFonts w:ascii="宋体" w:hAnsi="宋体" w:eastAsia="宋体" w:cs="宋体"/>
                <w:sz w:val="18"/>
                <w:szCs w:val="18"/>
              </w:rPr>
              <w:t>42,748,763.64</w:t>
            </w:r>
          </w:p>
        </w:tc>
        <w:tc>
          <w:tcPr>
            <w:tcW w:w="876" w:type="dxa"/>
            <w:tcBorders>
              <w:top w:val="single" w:color="auto" w:sz="2" w:space="0"/>
              <w:left w:val="single" w:color="auto" w:sz="2" w:space="0"/>
              <w:bottom w:val="single" w:color="auto" w:sz="2" w:space="0"/>
              <w:right w:val="single" w:color="auto" w:sz="2" w:space="0"/>
            </w:tcBorders>
            <w:vAlign w:val="center"/>
          </w:tcPr>
          <w:p w14:paraId="7D96322E">
            <w:pPr>
              <w:spacing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14:paraId="06D3C7F1">
            <w:pPr>
              <w:spacing w:line="240" w:lineRule="exact"/>
              <w:jc w:val="right"/>
              <w:rPr>
                <w:rFonts w:ascii="宋体" w:hAnsi="宋体" w:eastAsia="宋体" w:cs="宋体"/>
                <w:sz w:val="18"/>
                <w:szCs w:val="18"/>
              </w:rPr>
            </w:pPr>
            <w:r>
              <w:rPr>
                <w:rFonts w:ascii="宋体" w:hAnsi="宋体" w:eastAsia="宋体" w:cs="宋体"/>
                <w:sz w:val="18"/>
                <w:szCs w:val="18"/>
              </w:rPr>
              <w:t>11,854,174.15</w:t>
            </w:r>
          </w:p>
        </w:tc>
        <w:tc>
          <w:tcPr>
            <w:tcW w:w="876" w:type="dxa"/>
            <w:tcBorders>
              <w:top w:val="single" w:color="auto" w:sz="2" w:space="0"/>
              <w:left w:val="single" w:color="auto" w:sz="2" w:space="0"/>
              <w:bottom w:val="single" w:color="auto" w:sz="2" w:space="0"/>
              <w:right w:val="single" w:color="auto" w:sz="2" w:space="0"/>
            </w:tcBorders>
            <w:vAlign w:val="center"/>
          </w:tcPr>
          <w:p w14:paraId="79AB1473">
            <w:pPr>
              <w:spacing w:line="240" w:lineRule="exact"/>
              <w:jc w:val="right"/>
              <w:rPr>
                <w:rFonts w:ascii="宋体" w:hAnsi="宋体" w:eastAsia="宋体" w:cs="宋体"/>
                <w:sz w:val="18"/>
                <w:szCs w:val="18"/>
              </w:rPr>
            </w:pPr>
            <w:r>
              <w:rPr>
                <w:rFonts w:ascii="宋体" w:hAnsi="宋体" w:eastAsia="宋体" w:cs="宋体"/>
                <w:sz w:val="18"/>
                <w:szCs w:val="18"/>
              </w:rPr>
              <w:t>27.73%</w:t>
            </w:r>
          </w:p>
        </w:tc>
        <w:tc>
          <w:tcPr>
            <w:tcW w:w="876" w:type="dxa"/>
            <w:tcBorders>
              <w:top w:val="single" w:color="auto" w:sz="2" w:space="0"/>
              <w:left w:val="single" w:color="auto" w:sz="2" w:space="0"/>
              <w:bottom w:val="single" w:color="auto" w:sz="2" w:space="0"/>
              <w:right w:val="single" w:color="auto" w:sz="2" w:space="0"/>
            </w:tcBorders>
            <w:vAlign w:val="center"/>
          </w:tcPr>
          <w:p w14:paraId="7CDCC05E">
            <w:pPr>
              <w:spacing w:line="240" w:lineRule="exact"/>
              <w:jc w:val="right"/>
              <w:rPr>
                <w:rFonts w:ascii="宋体" w:hAnsi="宋体" w:eastAsia="宋体" w:cs="宋体"/>
                <w:sz w:val="18"/>
                <w:szCs w:val="18"/>
              </w:rPr>
            </w:pPr>
            <w:r>
              <w:rPr>
                <w:rFonts w:ascii="宋体" w:hAnsi="宋体" w:eastAsia="宋体" w:cs="宋体"/>
                <w:sz w:val="18"/>
                <w:szCs w:val="18"/>
              </w:rPr>
              <w:t>30,894,589.49</w:t>
            </w:r>
          </w:p>
        </w:tc>
      </w:tr>
    </w:tbl>
    <w:p w14:paraId="19096BB4">
      <w:pPr>
        <w:spacing w:line="240" w:lineRule="exact"/>
        <w:rPr>
          <w:rFonts w:ascii="宋体" w:hAnsi="宋体" w:eastAsia="宋体" w:cs="宋体"/>
          <w:sz w:val="18"/>
          <w:szCs w:val="18"/>
        </w:rPr>
      </w:pPr>
      <w:r>
        <w:rPr>
          <w:rFonts w:ascii="宋体" w:hAnsi="宋体" w:eastAsia="宋体" w:cs="宋体"/>
          <w:sz w:val="18"/>
          <w:szCs w:val="18"/>
        </w:rPr>
        <w:t>按组合计提坏账准备：预期信用风险组合</w:t>
      </w:r>
    </w:p>
    <w:p w14:paraId="6D153D9F">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3BAE5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5028D1A">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6FB65546">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2371A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49AA566"/>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9301943">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2FF24BF8">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7103EC6">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14:paraId="5FA92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91B6D95">
            <w:pPr>
              <w:spacing w:line="240" w:lineRule="exact"/>
              <w:rPr>
                <w:rFonts w:ascii="宋体" w:hAnsi="宋体" w:eastAsia="宋体" w:cs="宋体"/>
                <w:sz w:val="18"/>
                <w:szCs w:val="18"/>
              </w:rPr>
            </w:pPr>
            <w:r>
              <w:rPr>
                <w:rFonts w:ascii="宋体" w:hAnsi="宋体" w:eastAsia="宋体" w:cs="宋体"/>
                <w:sz w:val="18"/>
                <w:szCs w:val="18"/>
              </w:rPr>
              <w:t>1年以内</w:t>
            </w:r>
          </w:p>
        </w:tc>
        <w:tc>
          <w:tcPr>
            <w:tcW w:w="2410" w:type="dxa"/>
            <w:tcBorders>
              <w:top w:val="single" w:color="auto" w:sz="2" w:space="0"/>
              <w:left w:val="single" w:color="auto" w:sz="2" w:space="0"/>
              <w:bottom w:val="single" w:color="auto" w:sz="2" w:space="0"/>
              <w:right w:val="single" w:color="auto" w:sz="2" w:space="0"/>
            </w:tcBorders>
            <w:vAlign w:val="center"/>
          </w:tcPr>
          <w:p w14:paraId="4E27BEA5">
            <w:pPr>
              <w:spacing w:line="240" w:lineRule="exact"/>
              <w:jc w:val="right"/>
              <w:rPr>
                <w:rFonts w:ascii="宋体" w:hAnsi="宋体" w:eastAsia="宋体" w:cs="宋体"/>
                <w:sz w:val="18"/>
                <w:szCs w:val="18"/>
              </w:rPr>
            </w:pPr>
            <w:r>
              <w:rPr>
                <w:rFonts w:ascii="宋体" w:hAnsi="宋体" w:eastAsia="宋体" w:cs="宋体"/>
                <w:sz w:val="18"/>
                <w:szCs w:val="18"/>
              </w:rPr>
              <w:t>3,991.09</w:t>
            </w:r>
          </w:p>
        </w:tc>
        <w:tc>
          <w:tcPr>
            <w:tcW w:w="2410" w:type="dxa"/>
            <w:tcBorders>
              <w:top w:val="single" w:color="auto" w:sz="2" w:space="0"/>
              <w:left w:val="single" w:color="auto" w:sz="2" w:space="0"/>
              <w:bottom w:val="single" w:color="auto" w:sz="2" w:space="0"/>
              <w:right w:val="single" w:color="auto" w:sz="2" w:space="0"/>
            </w:tcBorders>
            <w:vAlign w:val="center"/>
          </w:tcPr>
          <w:p w14:paraId="4A335848">
            <w:pPr>
              <w:spacing w:line="240" w:lineRule="exact"/>
              <w:jc w:val="right"/>
              <w:rPr>
                <w:rFonts w:ascii="宋体" w:hAnsi="宋体" w:eastAsia="宋体" w:cs="宋体"/>
                <w:sz w:val="18"/>
                <w:szCs w:val="18"/>
              </w:rPr>
            </w:pPr>
            <w:r>
              <w:rPr>
                <w:rFonts w:ascii="宋体" w:hAnsi="宋体" w:eastAsia="宋体" w:cs="宋体"/>
                <w:sz w:val="18"/>
                <w:szCs w:val="18"/>
              </w:rPr>
              <w:t>199.56</w:t>
            </w:r>
          </w:p>
        </w:tc>
        <w:tc>
          <w:tcPr>
            <w:tcW w:w="2410" w:type="dxa"/>
            <w:tcBorders>
              <w:top w:val="single" w:color="auto" w:sz="2" w:space="0"/>
              <w:left w:val="single" w:color="auto" w:sz="2" w:space="0"/>
              <w:bottom w:val="single" w:color="auto" w:sz="2" w:space="0"/>
              <w:right w:val="single" w:color="auto" w:sz="2" w:space="0"/>
            </w:tcBorders>
            <w:vAlign w:val="center"/>
          </w:tcPr>
          <w:p w14:paraId="08105F23">
            <w:pPr>
              <w:spacing w:line="240" w:lineRule="exact"/>
              <w:jc w:val="right"/>
              <w:rPr>
                <w:rFonts w:ascii="宋体" w:hAnsi="宋体" w:eastAsia="宋体" w:cs="宋体"/>
                <w:sz w:val="18"/>
                <w:szCs w:val="18"/>
              </w:rPr>
            </w:pPr>
            <w:r>
              <w:rPr>
                <w:rFonts w:ascii="宋体" w:hAnsi="宋体" w:eastAsia="宋体" w:cs="宋体"/>
                <w:sz w:val="18"/>
                <w:szCs w:val="18"/>
              </w:rPr>
              <w:t>5.00%</w:t>
            </w:r>
          </w:p>
        </w:tc>
      </w:tr>
      <w:tr w14:paraId="6F3A9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0184FCA0">
            <w:pPr>
              <w:spacing w:line="240" w:lineRule="exact"/>
              <w:rPr>
                <w:rFonts w:ascii="宋体" w:hAnsi="宋体" w:eastAsia="宋体" w:cs="宋体"/>
                <w:sz w:val="18"/>
                <w:szCs w:val="18"/>
              </w:rPr>
            </w:pPr>
            <w:r>
              <w:rPr>
                <w:rFonts w:ascii="宋体" w:hAnsi="宋体" w:eastAsia="宋体" w:cs="宋体"/>
                <w:sz w:val="18"/>
                <w:szCs w:val="18"/>
              </w:rPr>
              <w:t>1－2年</w:t>
            </w:r>
          </w:p>
        </w:tc>
        <w:tc>
          <w:tcPr>
            <w:tcW w:w="2410" w:type="dxa"/>
            <w:tcBorders>
              <w:top w:val="single" w:color="auto" w:sz="2" w:space="0"/>
              <w:left w:val="single" w:color="auto" w:sz="2" w:space="0"/>
              <w:bottom w:val="single" w:color="auto" w:sz="2" w:space="0"/>
              <w:right w:val="single" w:color="auto" w:sz="2" w:space="0"/>
            </w:tcBorders>
            <w:vAlign w:val="center"/>
          </w:tcPr>
          <w:p w14:paraId="1F855842">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194CAD0">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53192A65">
            <w:pPr>
              <w:spacing w:line="240" w:lineRule="exact"/>
              <w:jc w:val="right"/>
              <w:rPr>
                <w:rFonts w:ascii="宋体" w:hAnsi="宋体" w:eastAsia="宋体" w:cs="宋体"/>
                <w:sz w:val="18"/>
                <w:szCs w:val="18"/>
              </w:rPr>
            </w:pPr>
          </w:p>
        </w:tc>
      </w:tr>
      <w:tr w14:paraId="558F1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2E08976A">
            <w:pPr>
              <w:spacing w:line="240" w:lineRule="exact"/>
              <w:rPr>
                <w:rFonts w:ascii="宋体" w:hAnsi="宋体" w:eastAsia="宋体" w:cs="宋体"/>
                <w:sz w:val="18"/>
                <w:szCs w:val="18"/>
              </w:rPr>
            </w:pPr>
            <w:r>
              <w:rPr>
                <w:rFonts w:ascii="宋体" w:hAnsi="宋体" w:eastAsia="宋体" w:cs="宋体"/>
                <w:sz w:val="18"/>
                <w:szCs w:val="18"/>
              </w:rPr>
              <w:t>2－3年</w:t>
            </w:r>
          </w:p>
        </w:tc>
        <w:tc>
          <w:tcPr>
            <w:tcW w:w="2410" w:type="dxa"/>
            <w:tcBorders>
              <w:top w:val="single" w:color="auto" w:sz="2" w:space="0"/>
              <w:left w:val="single" w:color="auto" w:sz="2" w:space="0"/>
              <w:bottom w:val="single" w:color="auto" w:sz="2" w:space="0"/>
              <w:right w:val="single" w:color="auto" w:sz="2" w:space="0"/>
            </w:tcBorders>
            <w:vAlign w:val="center"/>
          </w:tcPr>
          <w:p w14:paraId="3753B425">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BC41E6D">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3777A3C5">
            <w:pPr>
              <w:spacing w:line="240" w:lineRule="exact"/>
              <w:jc w:val="right"/>
              <w:rPr>
                <w:rFonts w:ascii="宋体" w:hAnsi="宋体" w:eastAsia="宋体" w:cs="宋体"/>
                <w:sz w:val="18"/>
                <w:szCs w:val="18"/>
              </w:rPr>
            </w:pPr>
          </w:p>
        </w:tc>
      </w:tr>
      <w:tr w14:paraId="229AA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64C80BDA">
            <w:pPr>
              <w:spacing w:line="240" w:lineRule="exact"/>
              <w:rPr>
                <w:rFonts w:ascii="宋体" w:hAnsi="宋体" w:eastAsia="宋体" w:cs="宋体"/>
                <w:sz w:val="18"/>
                <w:szCs w:val="18"/>
              </w:rPr>
            </w:pPr>
            <w:r>
              <w:rPr>
                <w:rFonts w:ascii="宋体" w:hAnsi="宋体" w:eastAsia="宋体" w:cs="宋体"/>
                <w:sz w:val="18"/>
                <w:szCs w:val="18"/>
              </w:rPr>
              <w:t>3－4年</w:t>
            </w:r>
          </w:p>
        </w:tc>
        <w:tc>
          <w:tcPr>
            <w:tcW w:w="2410" w:type="dxa"/>
            <w:tcBorders>
              <w:top w:val="single" w:color="auto" w:sz="2" w:space="0"/>
              <w:left w:val="single" w:color="auto" w:sz="2" w:space="0"/>
              <w:bottom w:val="single" w:color="auto" w:sz="2" w:space="0"/>
              <w:right w:val="single" w:color="auto" w:sz="2" w:space="0"/>
            </w:tcBorders>
            <w:vAlign w:val="center"/>
          </w:tcPr>
          <w:p w14:paraId="5A8CB733">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429BC117">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E939247">
            <w:pPr>
              <w:spacing w:line="240" w:lineRule="exact"/>
              <w:jc w:val="right"/>
              <w:rPr>
                <w:rFonts w:ascii="宋体" w:hAnsi="宋体" w:eastAsia="宋体" w:cs="宋体"/>
                <w:sz w:val="18"/>
                <w:szCs w:val="18"/>
              </w:rPr>
            </w:pPr>
          </w:p>
        </w:tc>
      </w:tr>
      <w:tr w14:paraId="343FC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52D9EFC1">
            <w:pPr>
              <w:spacing w:line="240" w:lineRule="exact"/>
              <w:rPr>
                <w:rFonts w:ascii="宋体" w:hAnsi="宋体" w:eastAsia="宋体" w:cs="宋体"/>
                <w:sz w:val="18"/>
                <w:szCs w:val="18"/>
              </w:rPr>
            </w:pPr>
            <w:r>
              <w:rPr>
                <w:rFonts w:ascii="宋体" w:hAnsi="宋体" w:eastAsia="宋体" w:cs="宋体"/>
                <w:sz w:val="18"/>
                <w:szCs w:val="18"/>
              </w:rPr>
              <w:t>4－5年</w:t>
            </w:r>
          </w:p>
        </w:tc>
        <w:tc>
          <w:tcPr>
            <w:tcW w:w="2410" w:type="dxa"/>
            <w:tcBorders>
              <w:top w:val="single" w:color="auto" w:sz="2" w:space="0"/>
              <w:left w:val="single" w:color="auto" w:sz="2" w:space="0"/>
              <w:bottom w:val="single" w:color="auto" w:sz="2" w:space="0"/>
              <w:right w:val="single" w:color="auto" w:sz="2" w:space="0"/>
            </w:tcBorders>
            <w:vAlign w:val="center"/>
          </w:tcPr>
          <w:p w14:paraId="2451F7A5">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63A10448">
            <w:pPr>
              <w:spacing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14:paraId="79F807B8">
            <w:pPr>
              <w:spacing w:line="240" w:lineRule="exact"/>
              <w:jc w:val="right"/>
              <w:rPr>
                <w:rFonts w:ascii="宋体" w:hAnsi="宋体" w:eastAsia="宋体" w:cs="宋体"/>
                <w:sz w:val="18"/>
                <w:szCs w:val="18"/>
              </w:rPr>
            </w:pPr>
          </w:p>
        </w:tc>
      </w:tr>
      <w:tr w14:paraId="0EC5D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14:paraId="42E908D1">
            <w:pPr>
              <w:spacing w:line="240" w:lineRule="exac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14:paraId="5C5B706F">
            <w:pPr>
              <w:spacing w:line="240" w:lineRule="exact"/>
              <w:jc w:val="right"/>
              <w:rPr>
                <w:rFonts w:ascii="宋体" w:hAnsi="宋体" w:eastAsia="宋体" w:cs="宋体"/>
                <w:sz w:val="18"/>
                <w:szCs w:val="18"/>
              </w:rPr>
            </w:pPr>
            <w:r>
              <w:rPr>
                <w:rFonts w:ascii="宋体" w:hAnsi="宋体" w:eastAsia="宋体" w:cs="宋体"/>
                <w:sz w:val="18"/>
                <w:szCs w:val="18"/>
              </w:rPr>
              <w:t>2,000.00</w:t>
            </w:r>
          </w:p>
        </w:tc>
        <w:tc>
          <w:tcPr>
            <w:tcW w:w="2410" w:type="dxa"/>
            <w:tcBorders>
              <w:top w:val="single" w:color="auto" w:sz="2" w:space="0"/>
              <w:left w:val="single" w:color="auto" w:sz="2" w:space="0"/>
              <w:bottom w:val="single" w:color="auto" w:sz="2" w:space="0"/>
              <w:right w:val="single" w:color="auto" w:sz="2" w:space="0"/>
            </w:tcBorders>
            <w:vAlign w:val="center"/>
          </w:tcPr>
          <w:p w14:paraId="35F9C9B1">
            <w:pPr>
              <w:spacing w:line="240" w:lineRule="exact"/>
              <w:jc w:val="right"/>
              <w:rPr>
                <w:rFonts w:ascii="宋体" w:hAnsi="宋体" w:eastAsia="宋体" w:cs="宋体"/>
                <w:sz w:val="18"/>
                <w:szCs w:val="18"/>
              </w:rPr>
            </w:pPr>
            <w:r>
              <w:rPr>
                <w:rFonts w:ascii="宋体" w:hAnsi="宋体" w:eastAsia="宋体" w:cs="宋体"/>
                <w:sz w:val="18"/>
                <w:szCs w:val="18"/>
              </w:rPr>
              <w:t>2,000.00</w:t>
            </w:r>
          </w:p>
        </w:tc>
        <w:tc>
          <w:tcPr>
            <w:tcW w:w="2410" w:type="dxa"/>
            <w:tcBorders>
              <w:top w:val="single" w:color="auto" w:sz="2" w:space="0"/>
              <w:left w:val="single" w:color="auto" w:sz="2" w:space="0"/>
              <w:bottom w:val="single" w:color="auto" w:sz="2" w:space="0"/>
              <w:right w:val="single" w:color="auto" w:sz="2" w:space="0"/>
            </w:tcBorders>
            <w:vAlign w:val="center"/>
          </w:tcPr>
          <w:p w14:paraId="6C415AE1">
            <w:pPr>
              <w:spacing w:line="240" w:lineRule="exact"/>
              <w:jc w:val="right"/>
              <w:rPr>
                <w:rFonts w:ascii="宋体" w:hAnsi="宋体" w:eastAsia="宋体" w:cs="宋体"/>
                <w:sz w:val="18"/>
                <w:szCs w:val="18"/>
              </w:rPr>
            </w:pPr>
            <w:r>
              <w:rPr>
                <w:rFonts w:ascii="宋体" w:hAnsi="宋体" w:eastAsia="宋体" w:cs="宋体"/>
                <w:sz w:val="18"/>
                <w:szCs w:val="18"/>
              </w:rPr>
              <w:t>100.00%</w:t>
            </w:r>
          </w:p>
        </w:tc>
      </w:tr>
      <w:tr w14:paraId="5B4BF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48945959">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14:paraId="64F3F028">
            <w:pPr>
              <w:spacing w:line="240" w:lineRule="exact"/>
              <w:jc w:val="right"/>
              <w:rPr>
                <w:rFonts w:ascii="宋体" w:hAnsi="宋体" w:eastAsia="宋体" w:cs="宋体"/>
                <w:sz w:val="18"/>
                <w:szCs w:val="18"/>
              </w:rPr>
            </w:pPr>
            <w:r>
              <w:rPr>
                <w:rFonts w:ascii="宋体" w:hAnsi="宋体" w:eastAsia="宋体" w:cs="宋体"/>
                <w:sz w:val="18"/>
                <w:szCs w:val="18"/>
              </w:rPr>
              <w:t>5,991.09</w:t>
            </w:r>
          </w:p>
        </w:tc>
        <w:tc>
          <w:tcPr>
            <w:tcW w:w="2410" w:type="dxa"/>
            <w:tcBorders>
              <w:top w:val="single" w:color="auto" w:sz="2" w:space="0"/>
              <w:left w:val="single" w:color="auto" w:sz="2" w:space="0"/>
              <w:bottom w:val="single" w:color="auto" w:sz="2" w:space="0"/>
              <w:right w:val="single" w:color="auto" w:sz="2" w:space="0"/>
            </w:tcBorders>
            <w:vAlign w:val="center"/>
          </w:tcPr>
          <w:p w14:paraId="0174592D">
            <w:pPr>
              <w:spacing w:line="240" w:lineRule="exact"/>
              <w:jc w:val="right"/>
              <w:rPr>
                <w:rFonts w:ascii="宋体" w:hAnsi="宋体" w:eastAsia="宋体" w:cs="宋体"/>
                <w:sz w:val="18"/>
                <w:szCs w:val="18"/>
              </w:rPr>
            </w:pPr>
            <w:r>
              <w:rPr>
                <w:rFonts w:ascii="宋体" w:hAnsi="宋体" w:eastAsia="宋体" w:cs="宋体"/>
                <w:sz w:val="18"/>
                <w:szCs w:val="18"/>
              </w:rPr>
              <w:t>2,199.56</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1448B7CE"/>
        </w:tc>
      </w:tr>
    </w:tbl>
    <w:p w14:paraId="39FF1639">
      <w:pPr>
        <w:spacing w:before="100" w:after="100" w:line="240" w:lineRule="exact"/>
        <w:rPr>
          <w:rFonts w:ascii="宋体" w:hAnsi="宋体" w:eastAsia="宋体" w:cs="宋体"/>
          <w:sz w:val="18"/>
          <w:szCs w:val="18"/>
        </w:rPr>
      </w:pPr>
      <w:r>
        <w:rPr>
          <w:rFonts w:ascii="宋体" w:hAnsi="宋体" w:eastAsia="宋体" w:cs="宋体"/>
          <w:sz w:val="18"/>
          <w:szCs w:val="18"/>
        </w:rPr>
        <w:t>确定该组合依据的说明：</w:t>
      </w:r>
      <w:r>
        <w:rPr>
          <w:rFonts w:hint="eastAsia"/>
          <w:sz w:val="18"/>
          <w:szCs w:val="18"/>
        </w:rPr>
        <w:t>无</w:t>
      </w:r>
    </w:p>
    <w:p w14:paraId="76E57D3B">
      <w:pPr>
        <w:spacing w:before="100" w:after="100" w:line="240" w:lineRule="exact"/>
        <w:rPr>
          <w:rFonts w:ascii="宋体" w:hAnsi="宋体" w:eastAsia="宋体" w:cs="宋体"/>
          <w:sz w:val="18"/>
          <w:szCs w:val="18"/>
        </w:rPr>
      </w:pPr>
      <w:r>
        <w:rPr>
          <w:rFonts w:ascii="宋体" w:hAnsi="宋体" w:eastAsia="宋体" w:cs="宋体"/>
          <w:sz w:val="18"/>
          <w:szCs w:val="18"/>
        </w:rPr>
        <w:t>按预期信用损失一般模型计提坏账准备：</w:t>
      </w:r>
    </w:p>
    <w:p w14:paraId="6ACCB2B5">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2CB1A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4C0823D">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6657E00">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ECD166F">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E097282">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8F9261D">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6079A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87B7CDA"/>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7C728AA">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79D5581">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662936E">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ECB738C"/>
        </w:tc>
      </w:tr>
      <w:tr w14:paraId="430F0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8870D83">
            <w:pPr>
              <w:spacing w:before="40" w:after="40" w:line="240" w:lineRule="exact"/>
              <w:rPr>
                <w:rFonts w:ascii="宋体" w:hAnsi="宋体" w:eastAsia="宋体" w:cs="宋体"/>
                <w:sz w:val="18"/>
                <w:szCs w:val="18"/>
              </w:rPr>
            </w:pPr>
            <w:r>
              <w:rPr>
                <w:rFonts w:ascii="宋体" w:hAnsi="宋体" w:eastAsia="宋体" w:cs="宋体"/>
                <w:sz w:val="18"/>
                <w:szCs w:val="18"/>
              </w:rPr>
              <w:t>2025年1月1日余额</w:t>
            </w:r>
          </w:p>
        </w:tc>
        <w:tc>
          <w:tcPr>
            <w:tcW w:w="1928" w:type="dxa"/>
            <w:tcBorders>
              <w:top w:val="single" w:color="auto" w:sz="2" w:space="0"/>
              <w:left w:val="single" w:color="auto" w:sz="2" w:space="0"/>
              <w:bottom w:val="single" w:color="auto" w:sz="2" w:space="0"/>
              <w:right w:val="single" w:color="auto" w:sz="2" w:space="0"/>
            </w:tcBorders>
            <w:vAlign w:val="center"/>
          </w:tcPr>
          <w:p w14:paraId="5DDBE741">
            <w:pPr>
              <w:spacing w:line="240" w:lineRule="exact"/>
              <w:jc w:val="right"/>
              <w:rPr>
                <w:rFonts w:ascii="宋体" w:hAnsi="宋体" w:eastAsia="宋体" w:cs="宋体"/>
                <w:sz w:val="18"/>
                <w:szCs w:val="18"/>
              </w:rPr>
            </w:pPr>
            <w:r>
              <w:rPr>
                <w:rFonts w:ascii="宋体" w:hAnsi="宋体" w:eastAsia="宋体" w:cs="宋体"/>
                <w:sz w:val="18"/>
                <w:szCs w:val="18"/>
              </w:rPr>
              <w:t>11,854,174.15</w:t>
            </w:r>
          </w:p>
        </w:tc>
        <w:tc>
          <w:tcPr>
            <w:tcW w:w="1928" w:type="dxa"/>
            <w:tcBorders>
              <w:top w:val="single" w:color="auto" w:sz="2" w:space="0"/>
              <w:left w:val="single" w:color="auto" w:sz="2" w:space="0"/>
              <w:bottom w:val="single" w:color="auto" w:sz="2" w:space="0"/>
              <w:right w:val="single" w:color="auto" w:sz="2" w:space="0"/>
            </w:tcBorders>
            <w:vAlign w:val="center"/>
          </w:tcPr>
          <w:p w14:paraId="1F199748">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1EFEF5B">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67AED60">
            <w:pPr>
              <w:spacing w:line="240" w:lineRule="exact"/>
              <w:jc w:val="right"/>
              <w:rPr>
                <w:rFonts w:ascii="宋体" w:hAnsi="宋体" w:eastAsia="宋体" w:cs="宋体"/>
                <w:sz w:val="18"/>
                <w:szCs w:val="18"/>
              </w:rPr>
            </w:pPr>
            <w:r>
              <w:rPr>
                <w:rFonts w:ascii="宋体" w:hAnsi="宋体" w:eastAsia="宋体" w:cs="宋体"/>
                <w:sz w:val="18"/>
                <w:szCs w:val="18"/>
              </w:rPr>
              <w:t>11,854,174.15</w:t>
            </w:r>
          </w:p>
        </w:tc>
      </w:tr>
      <w:tr w14:paraId="717D2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CB5959F">
            <w:pPr>
              <w:spacing w:before="40" w:after="40" w:line="240" w:lineRule="exact"/>
              <w:rPr>
                <w:rFonts w:ascii="宋体" w:hAnsi="宋体" w:eastAsia="宋体" w:cs="宋体"/>
                <w:sz w:val="18"/>
                <w:szCs w:val="18"/>
              </w:rPr>
            </w:pPr>
            <w:r>
              <w:rPr>
                <w:rFonts w:ascii="宋体" w:hAnsi="宋体" w:eastAsia="宋体" w:cs="宋体"/>
                <w:sz w:val="18"/>
                <w:szCs w:val="18"/>
              </w:rPr>
              <w:t>2025年1月1日余额在本期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E9D0765"/>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E28B42F"/>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5B0DA09"/>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02AE9F1"/>
        </w:tc>
      </w:tr>
      <w:tr w14:paraId="4838A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171E675">
            <w:pPr>
              <w:spacing w:before="40" w:after="40" w:line="240" w:lineRule="exact"/>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14:paraId="5B4F7954">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660B7F55">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2B529884">
            <w:pPr>
              <w:spacing w:line="240" w:lineRule="exact"/>
              <w:jc w:val="right"/>
              <w:rPr>
                <w:rFonts w:ascii="宋体" w:hAnsi="宋体" w:eastAsia="宋体" w:cs="宋体"/>
                <w:sz w:val="18"/>
                <w:szCs w:val="18"/>
              </w:rPr>
            </w:pPr>
            <w:r>
              <w:rPr>
                <w:rFonts w:ascii="宋体" w:hAnsi="宋体" w:eastAsia="宋体" w:cs="宋体"/>
                <w:sz w:val="18"/>
                <w:szCs w:val="18"/>
              </w:rPr>
              <w:t>19,115,777.77</w:t>
            </w:r>
          </w:p>
        </w:tc>
        <w:tc>
          <w:tcPr>
            <w:tcW w:w="1928" w:type="dxa"/>
            <w:tcBorders>
              <w:top w:val="single" w:color="auto" w:sz="2" w:space="0"/>
              <w:left w:val="single" w:color="auto" w:sz="2" w:space="0"/>
              <w:bottom w:val="single" w:color="auto" w:sz="2" w:space="0"/>
              <w:right w:val="single" w:color="auto" w:sz="2" w:space="0"/>
            </w:tcBorders>
            <w:vAlign w:val="center"/>
          </w:tcPr>
          <w:p w14:paraId="6D76AD00">
            <w:pPr>
              <w:spacing w:line="240" w:lineRule="exact"/>
              <w:jc w:val="right"/>
              <w:rPr>
                <w:rFonts w:ascii="宋体" w:hAnsi="宋体" w:eastAsia="宋体" w:cs="宋体"/>
                <w:sz w:val="18"/>
                <w:szCs w:val="18"/>
              </w:rPr>
            </w:pPr>
            <w:r>
              <w:rPr>
                <w:rFonts w:ascii="宋体" w:hAnsi="宋体" w:eastAsia="宋体" w:cs="宋体"/>
                <w:sz w:val="18"/>
                <w:szCs w:val="18"/>
              </w:rPr>
              <w:t>19,115,777.77</w:t>
            </w:r>
          </w:p>
        </w:tc>
      </w:tr>
      <w:tr w14:paraId="59ED1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7EE355B">
            <w:pPr>
              <w:spacing w:before="40" w:after="40" w:line="240" w:lineRule="exact"/>
              <w:rPr>
                <w:rFonts w:ascii="宋体" w:hAnsi="宋体" w:eastAsia="宋体" w:cs="宋体"/>
                <w:sz w:val="18"/>
                <w:szCs w:val="18"/>
              </w:rPr>
            </w:pPr>
            <w:r>
              <w:rPr>
                <w:rFonts w:ascii="宋体" w:hAnsi="宋体" w:eastAsia="宋体" w:cs="宋体"/>
                <w:sz w:val="18"/>
                <w:szCs w:val="18"/>
              </w:rPr>
              <w:t>本期转回</w:t>
            </w:r>
          </w:p>
        </w:tc>
        <w:tc>
          <w:tcPr>
            <w:tcW w:w="1928" w:type="dxa"/>
            <w:tcBorders>
              <w:top w:val="single" w:color="auto" w:sz="2" w:space="0"/>
              <w:left w:val="single" w:color="auto" w:sz="2" w:space="0"/>
              <w:bottom w:val="single" w:color="auto" w:sz="2" w:space="0"/>
              <w:right w:val="single" w:color="auto" w:sz="2" w:space="0"/>
            </w:tcBorders>
            <w:vAlign w:val="center"/>
          </w:tcPr>
          <w:p w14:paraId="7A1E9097">
            <w:pPr>
              <w:spacing w:line="240" w:lineRule="exact"/>
              <w:jc w:val="right"/>
              <w:rPr>
                <w:rFonts w:ascii="宋体" w:hAnsi="宋体" w:eastAsia="宋体" w:cs="宋体"/>
                <w:sz w:val="18"/>
                <w:szCs w:val="18"/>
              </w:rPr>
            </w:pPr>
            <w:r>
              <w:rPr>
                <w:rFonts w:ascii="宋体" w:hAnsi="宋体" w:eastAsia="宋体" w:cs="宋体"/>
                <w:sz w:val="18"/>
                <w:szCs w:val="18"/>
              </w:rPr>
              <w:t>11,851,974.59</w:t>
            </w:r>
          </w:p>
        </w:tc>
        <w:tc>
          <w:tcPr>
            <w:tcW w:w="1928" w:type="dxa"/>
            <w:tcBorders>
              <w:top w:val="single" w:color="auto" w:sz="2" w:space="0"/>
              <w:left w:val="single" w:color="auto" w:sz="2" w:space="0"/>
              <w:bottom w:val="single" w:color="auto" w:sz="2" w:space="0"/>
              <w:right w:val="single" w:color="auto" w:sz="2" w:space="0"/>
            </w:tcBorders>
            <w:vAlign w:val="center"/>
          </w:tcPr>
          <w:p w14:paraId="5EDBBCDD">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0AD711EE">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5400EBB0">
            <w:pPr>
              <w:spacing w:line="240" w:lineRule="exact"/>
              <w:jc w:val="right"/>
              <w:rPr>
                <w:rFonts w:ascii="宋体" w:hAnsi="宋体" w:eastAsia="宋体" w:cs="宋体"/>
                <w:sz w:val="18"/>
                <w:szCs w:val="18"/>
              </w:rPr>
            </w:pPr>
            <w:r>
              <w:rPr>
                <w:rFonts w:ascii="宋体" w:hAnsi="宋体" w:eastAsia="宋体" w:cs="宋体"/>
                <w:sz w:val="18"/>
                <w:szCs w:val="18"/>
              </w:rPr>
              <w:t>11,851,974.59</w:t>
            </w:r>
          </w:p>
        </w:tc>
      </w:tr>
      <w:tr w14:paraId="766EB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C3AFBE4">
            <w:pPr>
              <w:spacing w:before="40" w:after="40" w:line="240" w:lineRule="exact"/>
              <w:rPr>
                <w:rFonts w:ascii="宋体" w:hAnsi="宋体" w:eastAsia="宋体" w:cs="宋体"/>
                <w:sz w:val="18"/>
                <w:szCs w:val="18"/>
              </w:rPr>
            </w:pPr>
            <w:r>
              <w:rPr>
                <w:rFonts w:ascii="宋体" w:hAnsi="宋体" w:eastAsia="宋体" w:cs="宋体"/>
                <w:sz w:val="18"/>
                <w:szCs w:val="18"/>
              </w:rPr>
              <w:t>2025年12月31日余额</w:t>
            </w:r>
          </w:p>
        </w:tc>
        <w:tc>
          <w:tcPr>
            <w:tcW w:w="1928" w:type="dxa"/>
            <w:tcBorders>
              <w:top w:val="single" w:color="auto" w:sz="2" w:space="0"/>
              <w:left w:val="single" w:color="auto" w:sz="2" w:space="0"/>
              <w:bottom w:val="single" w:color="auto" w:sz="2" w:space="0"/>
              <w:right w:val="single" w:color="auto" w:sz="2" w:space="0"/>
            </w:tcBorders>
            <w:vAlign w:val="center"/>
          </w:tcPr>
          <w:p w14:paraId="31D36820">
            <w:pPr>
              <w:spacing w:line="240" w:lineRule="exact"/>
              <w:jc w:val="right"/>
              <w:rPr>
                <w:rFonts w:ascii="宋体" w:hAnsi="宋体" w:eastAsia="宋体" w:cs="宋体"/>
                <w:sz w:val="18"/>
                <w:szCs w:val="18"/>
              </w:rPr>
            </w:pPr>
            <w:r>
              <w:rPr>
                <w:rFonts w:ascii="宋体" w:hAnsi="宋体" w:eastAsia="宋体" w:cs="宋体"/>
                <w:sz w:val="18"/>
                <w:szCs w:val="18"/>
              </w:rPr>
              <w:t>2,199.56</w:t>
            </w:r>
          </w:p>
        </w:tc>
        <w:tc>
          <w:tcPr>
            <w:tcW w:w="1928" w:type="dxa"/>
            <w:tcBorders>
              <w:top w:val="single" w:color="auto" w:sz="2" w:space="0"/>
              <w:left w:val="single" w:color="auto" w:sz="2" w:space="0"/>
              <w:bottom w:val="single" w:color="auto" w:sz="2" w:space="0"/>
              <w:right w:val="single" w:color="auto" w:sz="2" w:space="0"/>
            </w:tcBorders>
            <w:vAlign w:val="center"/>
          </w:tcPr>
          <w:p w14:paraId="028931B0">
            <w:pPr>
              <w:spacing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14:paraId="4F82A04E">
            <w:pPr>
              <w:spacing w:line="240" w:lineRule="exact"/>
              <w:jc w:val="right"/>
              <w:rPr>
                <w:rFonts w:ascii="宋体" w:hAnsi="宋体" w:eastAsia="宋体" w:cs="宋体"/>
                <w:sz w:val="18"/>
                <w:szCs w:val="18"/>
              </w:rPr>
            </w:pPr>
            <w:r>
              <w:rPr>
                <w:rFonts w:ascii="宋体" w:hAnsi="宋体" w:eastAsia="宋体" w:cs="宋体"/>
                <w:sz w:val="18"/>
                <w:szCs w:val="18"/>
              </w:rPr>
              <w:t>19,115,777.77</w:t>
            </w:r>
          </w:p>
        </w:tc>
        <w:tc>
          <w:tcPr>
            <w:tcW w:w="1928" w:type="dxa"/>
            <w:tcBorders>
              <w:top w:val="single" w:color="auto" w:sz="2" w:space="0"/>
              <w:left w:val="single" w:color="auto" w:sz="2" w:space="0"/>
              <w:bottom w:val="single" w:color="auto" w:sz="2" w:space="0"/>
              <w:right w:val="single" w:color="auto" w:sz="2" w:space="0"/>
            </w:tcBorders>
            <w:vAlign w:val="center"/>
          </w:tcPr>
          <w:p w14:paraId="7B153564">
            <w:pPr>
              <w:spacing w:line="240" w:lineRule="exact"/>
              <w:jc w:val="right"/>
              <w:rPr>
                <w:rFonts w:ascii="宋体" w:hAnsi="宋体" w:eastAsia="宋体" w:cs="宋体"/>
                <w:sz w:val="18"/>
                <w:szCs w:val="18"/>
              </w:rPr>
            </w:pPr>
            <w:r>
              <w:rPr>
                <w:rFonts w:ascii="宋体" w:hAnsi="宋体" w:eastAsia="宋体" w:cs="宋体"/>
                <w:sz w:val="18"/>
                <w:szCs w:val="18"/>
              </w:rPr>
              <w:t>19,117,977.33</w:t>
            </w:r>
          </w:p>
        </w:tc>
      </w:tr>
    </w:tbl>
    <w:p w14:paraId="2A43E51E">
      <w:pPr>
        <w:spacing w:before="100" w:after="100" w:line="240" w:lineRule="exact"/>
        <w:rPr>
          <w:rFonts w:ascii="宋体" w:hAnsi="宋体" w:eastAsia="宋体" w:cs="宋体"/>
          <w:sz w:val="18"/>
          <w:szCs w:val="18"/>
        </w:rPr>
      </w:pPr>
      <w:r>
        <w:rPr>
          <w:rFonts w:ascii="宋体" w:hAnsi="宋体" w:eastAsia="宋体" w:cs="宋体"/>
          <w:sz w:val="18"/>
          <w:szCs w:val="18"/>
        </w:rPr>
        <w:t>各阶段划分依据和坏账准备计提比例</w:t>
      </w:r>
      <w:r>
        <w:rPr>
          <w:rFonts w:hint="eastAsia" w:ascii="宋体" w:hAnsi="宋体" w:eastAsia="宋体" w:cs="宋体"/>
          <w:sz w:val="18"/>
          <w:szCs w:val="18"/>
        </w:rPr>
        <w:t>：</w:t>
      </w:r>
      <w:r>
        <w:rPr>
          <w:rFonts w:hint="eastAsia"/>
          <w:sz w:val="18"/>
          <w:szCs w:val="18"/>
        </w:rPr>
        <w:t>无</w:t>
      </w:r>
    </w:p>
    <w:p w14:paraId="5CCF3EDB">
      <w:pPr>
        <w:spacing w:before="100" w:after="100" w:line="240" w:lineRule="exact"/>
        <w:rPr>
          <w:rFonts w:ascii="宋体" w:hAnsi="宋体" w:eastAsia="宋体" w:cs="宋体"/>
          <w:sz w:val="18"/>
          <w:szCs w:val="18"/>
        </w:rPr>
      </w:pPr>
      <w:r>
        <w:rPr>
          <w:rFonts w:ascii="宋体" w:hAnsi="宋体" w:eastAsia="宋体" w:cs="宋体"/>
          <w:sz w:val="18"/>
          <w:szCs w:val="18"/>
        </w:rPr>
        <w:t>损失准备本期变动金额重大的账面余额变动情况</w:t>
      </w:r>
    </w:p>
    <w:p w14:paraId="19AAA2A5">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74C424C">
      <w:pPr>
        <w:keepNext/>
        <w:keepLines/>
        <w:spacing w:before="300" w:after="300" w:line="280" w:lineRule="exact"/>
        <w:outlineLvl w:val="4"/>
        <w:rPr>
          <w:rFonts w:ascii="宋体" w:hAnsi="宋体" w:eastAsia="宋体" w:cs="宋体"/>
          <w:b/>
          <w:bCs/>
          <w:sz w:val="18"/>
          <w:szCs w:val="18"/>
        </w:rPr>
      </w:pPr>
      <w:bookmarkStart w:id="638" w:name="_Toc989493"/>
      <w:r>
        <w:rPr>
          <w:rFonts w:ascii="宋体" w:hAnsi="宋体" w:eastAsia="宋体" w:cs="宋体"/>
          <w:b/>
          <w:bCs/>
          <w:sz w:val="18"/>
          <w:szCs w:val="18"/>
        </w:rPr>
        <w:t>4） 本期计提、收回或转回的坏账准备情况</w:t>
      </w:r>
      <w:bookmarkEnd w:id="638"/>
    </w:p>
    <w:p w14:paraId="7D215E94">
      <w:pPr>
        <w:spacing w:before="100" w:after="100" w:line="240" w:lineRule="exact"/>
        <w:rPr>
          <w:rFonts w:ascii="宋体" w:hAnsi="宋体" w:eastAsia="宋体" w:cs="宋体"/>
          <w:sz w:val="18"/>
          <w:szCs w:val="18"/>
        </w:rPr>
      </w:pPr>
      <w:r>
        <w:rPr>
          <w:rFonts w:ascii="宋体" w:hAnsi="宋体" w:eastAsia="宋体" w:cs="宋体"/>
          <w:sz w:val="18"/>
          <w:szCs w:val="18"/>
        </w:rPr>
        <w:t>本期计提坏账准备情况：</w:t>
      </w:r>
    </w:p>
    <w:p w14:paraId="3D0980D8">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24C99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1C96F95">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9D9DD0A">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5AFC3E52">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8E200BB">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14:paraId="6C638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C7D1A5C"/>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AD6F2EE"/>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B6C2CF7">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35ADCEC">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9F30125">
            <w:pPr>
              <w:spacing w:before="40" w:after="40" w:line="240" w:lineRule="exact"/>
              <w:jc w:val="center"/>
              <w:rPr>
                <w:rFonts w:ascii="宋体" w:hAnsi="宋体" w:eastAsia="宋体" w:cs="宋体"/>
                <w:sz w:val="18"/>
                <w:szCs w:val="18"/>
              </w:rPr>
            </w:pPr>
            <w:r>
              <w:rPr>
                <w:rFonts w:ascii="宋体" w:hAnsi="宋体" w:eastAsia="宋体" w:cs="宋体"/>
                <w:sz w:val="18"/>
                <w:szCs w:val="18"/>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278339F">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CDD176E"/>
        </w:tc>
      </w:tr>
      <w:tr w14:paraId="540CF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219A058F">
            <w:pPr>
              <w:spacing w:line="240" w:lineRule="exac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14:paraId="3CDEC33C">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830C322">
            <w:pPr>
              <w:spacing w:line="240" w:lineRule="exact"/>
              <w:jc w:val="right"/>
              <w:rPr>
                <w:rFonts w:ascii="宋体" w:hAnsi="宋体" w:eastAsia="宋体" w:cs="宋体"/>
                <w:sz w:val="18"/>
                <w:szCs w:val="18"/>
              </w:rPr>
            </w:pPr>
            <w:r>
              <w:rPr>
                <w:rFonts w:ascii="宋体" w:hAnsi="宋体" w:eastAsia="宋体" w:cs="宋体"/>
                <w:sz w:val="18"/>
                <w:szCs w:val="18"/>
              </w:rPr>
              <w:t>19,115,777.77</w:t>
            </w:r>
          </w:p>
        </w:tc>
        <w:tc>
          <w:tcPr>
            <w:tcW w:w="1377" w:type="dxa"/>
            <w:tcBorders>
              <w:top w:val="single" w:color="auto" w:sz="2" w:space="0"/>
              <w:left w:val="single" w:color="auto" w:sz="2" w:space="0"/>
              <w:bottom w:val="single" w:color="auto" w:sz="2" w:space="0"/>
              <w:right w:val="single" w:color="auto" w:sz="2" w:space="0"/>
            </w:tcBorders>
            <w:vAlign w:val="center"/>
          </w:tcPr>
          <w:p w14:paraId="2E3F2619">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5695DB4">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913B07B">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6BA5A9B">
            <w:pPr>
              <w:spacing w:line="240" w:lineRule="exact"/>
              <w:jc w:val="right"/>
              <w:rPr>
                <w:rFonts w:ascii="宋体" w:hAnsi="宋体" w:eastAsia="宋体" w:cs="宋体"/>
                <w:sz w:val="18"/>
                <w:szCs w:val="18"/>
              </w:rPr>
            </w:pPr>
            <w:r>
              <w:rPr>
                <w:rFonts w:ascii="宋体" w:hAnsi="宋体" w:eastAsia="宋体" w:cs="宋体"/>
                <w:sz w:val="18"/>
                <w:szCs w:val="18"/>
              </w:rPr>
              <w:t>19,115,777.77</w:t>
            </w:r>
          </w:p>
        </w:tc>
      </w:tr>
      <w:tr w14:paraId="73573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6BB312CB">
            <w:pPr>
              <w:spacing w:line="240" w:lineRule="exac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14:paraId="30B3EE93">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47A4ED3">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261E831">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6056165">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059D049">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FFACE8A">
            <w:pPr>
              <w:spacing w:line="240" w:lineRule="exact"/>
              <w:jc w:val="right"/>
              <w:rPr>
                <w:rFonts w:ascii="宋体" w:hAnsi="宋体" w:eastAsia="宋体" w:cs="宋体"/>
                <w:sz w:val="18"/>
                <w:szCs w:val="18"/>
              </w:rPr>
            </w:pPr>
          </w:p>
        </w:tc>
      </w:tr>
      <w:tr w14:paraId="33584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111C4D31">
            <w:pPr>
              <w:spacing w:line="240" w:lineRule="exact"/>
              <w:rPr>
                <w:rFonts w:ascii="宋体" w:hAnsi="宋体" w:eastAsia="宋体" w:cs="宋体"/>
                <w:sz w:val="18"/>
                <w:szCs w:val="18"/>
              </w:rPr>
            </w:pPr>
            <w:r>
              <w:rPr>
                <w:rFonts w:ascii="宋体" w:hAnsi="宋体" w:eastAsia="宋体" w:cs="宋体"/>
                <w:sz w:val="18"/>
                <w:szCs w:val="18"/>
              </w:rPr>
              <w:t>其中：预期信用风险组合</w:t>
            </w:r>
          </w:p>
        </w:tc>
        <w:tc>
          <w:tcPr>
            <w:tcW w:w="1377" w:type="dxa"/>
            <w:tcBorders>
              <w:top w:val="single" w:color="auto" w:sz="2" w:space="0"/>
              <w:left w:val="single" w:color="auto" w:sz="2" w:space="0"/>
              <w:bottom w:val="single" w:color="auto" w:sz="2" w:space="0"/>
              <w:right w:val="single" w:color="auto" w:sz="2" w:space="0"/>
            </w:tcBorders>
            <w:vAlign w:val="center"/>
          </w:tcPr>
          <w:p w14:paraId="3F252B9A">
            <w:pPr>
              <w:spacing w:line="240" w:lineRule="exact"/>
              <w:jc w:val="right"/>
              <w:rPr>
                <w:rFonts w:ascii="宋体" w:hAnsi="宋体" w:eastAsia="宋体" w:cs="宋体"/>
                <w:sz w:val="18"/>
                <w:szCs w:val="18"/>
              </w:rPr>
            </w:pPr>
            <w:r>
              <w:rPr>
                <w:rFonts w:ascii="宋体" w:hAnsi="宋体" w:eastAsia="宋体" w:cs="宋体"/>
                <w:sz w:val="18"/>
                <w:szCs w:val="18"/>
              </w:rPr>
              <w:t>11,854,174.15</w:t>
            </w:r>
          </w:p>
        </w:tc>
        <w:tc>
          <w:tcPr>
            <w:tcW w:w="1377" w:type="dxa"/>
            <w:tcBorders>
              <w:top w:val="single" w:color="auto" w:sz="2" w:space="0"/>
              <w:left w:val="single" w:color="auto" w:sz="2" w:space="0"/>
              <w:bottom w:val="single" w:color="auto" w:sz="2" w:space="0"/>
              <w:right w:val="single" w:color="auto" w:sz="2" w:space="0"/>
            </w:tcBorders>
            <w:vAlign w:val="center"/>
          </w:tcPr>
          <w:p w14:paraId="3BA46E21">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34B1723A">
            <w:pPr>
              <w:spacing w:line="240" w:lineRule="exact"/>
              <w:jc w:val="right"/>
              <w:rPr>
                <w:rFonts w:ascii="宋体" w:hAnsi="宋体" w:eastAsia="宋体" w:cs="宋体"/>
                <w:sz w:val="18"/>
                <w:szCs w:val="18"/>
              </w:rPr>
            </w:pPr>
            <w:r>
              <w:rPr>
                <w:rFonts w:ascii="宋体" w:hAnsi="宋体" w:eastAsia="宋体" w:cs="宋体"/>
                <w:sz w:val="18"/>
                <w:szCs w:val="18"/>
              </w:rPr>
              <w:t>11,851,974.59</w:t>
            </w:r>
          </w:p>
        </w:tc>
        <w:tc>
          <w:tcPr>
            <w:tcW w:w="1377" w:type="dxa"/>
            <w:tcBorders>
              <w:top w:val="single" w:color="auto" w:sz="2" w:space="0"/>
              <w:left w:val="single" w:color="auto" w:sz="2" w:space="0"/>
              <w:bottom w:val="single" w:color="auto" w:sz="2" w:space="0"/>
              <w:right w:val="single" w:color="auto" w:sz="2" w:space="0"/>
            </w:tcBorders>
            <w:vAlign w:val="center"/>
          </w:tcPr>
          <w:p w14:paraId="4B2D6626">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F98A342">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81DDBAE">
            <w:pPr>
              <w:spacing w:line="240" w:lineRule="exact"/>
              <w:jc w:val="right"/>
              <w:rPr>
                <w:rFonts w:ascii="宋体" w:hAnsi="宋体" w:eastAsia="宋体" w:cs="宋体"/>
                <w:sz w:val="18"/>
                <w:szCs w:val="18"/>
              </w:rPr>
            </w:pPr>
            <w:r>
              <w:rPr>
                <w:rFonts w:ascii="宋体" w:hAnsi="宋体" w:eastAsia="宋体" w:cs="宋体"/>
                <w:sz w:val="18"/>
                <w:szCs w:val="18"/>
              </w:rPr>
              <w:t>2,199.56</w:t>
            </w:r>
          </w:p>
        </w:tc>
      </w:tr>
      <w:tr w14:paraId="57BF3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14:paraId="5DB91765">
            <w:pPr>
              <w:spacing w:line="240" w:lineRule="exact"/>
              <w:rPr>
                <w:rFonts w:ascii="宋体" w:hAnsi="宋体" w:eastAsia="宋体" w:cs="宋体"/>
                <w:sz w:val="18"/>
                <w:szCs w:val="18"/>
              </w:rPr>
            </w:pPr>
            <w:r>
              <w:rPr>
                <w:rFonts w:ascii="宋体" w:hAnsi="宋体" w:eastAsia="宋体" w:cs="宋体"/>
                <w:sz w:val="18"/>
                <w:szCs w:val="18"/>
              </w:rPr>
              <w:t>合并范围内关联方组合</w:t>
            </w:r>
          </w:p>
        </w:tc>
        <w:tc>
          <w:tcPr>
            <w:tcW w:w="1377" w:type="dxa"/>
            <w:tcBorders>
              <w:top w:val="single" w:color="auto" w:sz="2" w:space="0"/>
              <w:left w:val="single" w:color="auto" w:sz="2" w:space="0"/>
              <w:bottom w:val="single" w:color="auto" w:sz="2" w:space="0"/>
              <w:right w:val="single" w:color="auto" w:sz="2" w:space="0"/>
            </w:tcBorders>
            <w:vAlign w:val="center"/>
          </w:tcPr>
          <w:p w14:paraId="62C769DB">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DFADCF8">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121BE9C">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5CBA17F">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677C0237">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58166629">
            <w:pPr>
              <w:spacing w:line="240" w:lineRule="exact"/>
              <w:jc w:val="right"/>
              <w:rPr>
                <w:rFonts w:ascii="宋体" w:hAnsi="宋体" w:eastAsia="宋体" w:cs="宋体"/>
                <w:sz w:val="18"/>
                <w:szCs w:val="18"/>
              </w:rPr>
            </w:pPr>
          </w:p>
        </w:tc>
      </w:tr>
      <w:tr w14:paraId="7D66A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2A320FA">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47159B8A">
            <w:pPr>
              <w:spacing w:line="240" w:lineRule="exact"/>
              <w:jc w:val="right"/>
              <w:rPr>
                <w:rFonts w:ascii="宋体" w:hAnsi="宋体" w:eastAsia="宋体" w:cs="宋体"/>
                <w:sz w:val="18"/>
                <w:szCs w:val="18"/>
              </w:rPr>
            </w:pPr>
            <w:r>
              <w:rPr>
                <w:rFonts w:ascii="宋体" w:hAnsi="宋体" w:eastAsia="宋体" w:cs="宋体"/>
                <w:sz w:val="18"/>
                <w:szCs w:val="18"/>
              </w:rPr>
              <w:t>11,854,174.15</w:t>
            </w:r>
          </w:p>
        </w:tc>
        <w:tc>
          <w:tcPr>
            <w:tcW w:w="1377" w:type="dxa"/>
            <w:tcBorders>
              <w:top w:val="single" w:color="auto" w:sz="2" w:space="0"/>
              <w:left w:val="single" w:color="auto" w:sz="2" w:space="0"/>
              <w:bottom w:val="single" w:color="auto" w:sz="2" w:space="0"/>
              <w:right w:val="single" w:color="auto" w:sz="2" w:space="0"/>
            </w:tcBorders>
            <w:vAlign w:val="center"/>
          </w:tcPr>
          <w:p w14:paraId="5C1047B8">
            <w:pPr>
              <w:spacing w:line="240" w:lineRule="exact"/>
              <w:jc w:val="right"/>
              <w:rPr>
                <w:rFonts w:ascii="宋体" w:hAnsi="宋体" w:eastAsia="宋体" w:cs="宋体"/>
                <w:sz w:val="18"/>
                <w:szCs w:val="18"/>
              </w:rPr>
            </w:pPr>
            <w:r>
              <w:rPr>
                <w:rFonts w:ascii="宋体" w:hAnsi="宋体" w:eastAsia="宋体" w:cs="宋体"/>
                <w:sz w:val="18"/>
                <w:szCs w:val="18"/>
              </w:rPr>
              <w:t>19,115,777.77</w:t>
            </w:r>
          </w:p>
        </w:tc>
        <w:tc>
          <w:tcPr>
            <w:tcW w:w="1377" w:type="dxa"/>
            <w:tcBorders>
              <w:top w:val="single" w:color="auto" w:sz="2" w:space="0"/>
              <w:left w:val="single" w:color="auto" w:sz="2" w:space="0"/>
              <w:bottom w:val="single" w:color="auto" w:sz="2" w:space="0"/>
              <w:right w:val="single" w:color="auto" w:sz="2" w:space="0"/>
            </w:tcBorders>
            <w:vAlign w:val="center"/>
          </w:tcPr>
          <w:p w14:paraId="4448D656">
            <w:pPr>
              <w:spacing w:line="240" w:lineRule="exact"/>
              <w:jc w:val="right"/>
              <w:rPr>
                <w:rFonts w:ascii="宋体" w:hAnsi="宋体" w:eastAsia="宋体" w:cs="宋体"/>
                <w:sz w:val="18"/>
                <w:szCs w:val="18"/>
              </w:rPr>
            </w:pPr>
            <w:r>
              <w:rPr>
                <w:rFonts w:ascii="宋体" w:hAnsi="宋体" w:eastAsia="宋体" w:cs="宋体"/>
                <w:sz w:val="18"/>
                <w:szCs w:val="18"/>
              </w:rPr>
              <w:t>11,851,974.59</w:t>
            </w:r>
          </w:p>
        </w:tc>
        <w:tc>
          <w:tcPr>
            <w:tcW w:w="1377" w:type="dxa"/>
            <w:tcBorders>
              <w:top w:val="single" w:color="auto" w:sz="2" w:space="0"/>
              <w:left w:val="single" w:color="auto" w:sz="2" w:space="0"/>
              <w:bottom w:val="single" w:color="auto" w:sz="2" w:space="0"/>
              <w:right w:val="single" w:color="auto" w:sz="2" w:space="0"/>
            </w:tcBorders>
            <w:vAlign w:val="center"/>
          </w:tcPr>
          <w:p w14:paraId="27FBC076">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430282EF">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6E93E29">
            <w:pPr>
              <w:spacing w:line="240" w:lineRule="exact"/>
              <w:jc w:val="right"/>
              <w:rPr>
                <w:rFonts w:ascii="宋体" w:hAnsi="宋体" w:eastAsia="宋体" w:cs="宋体"/>
                <w:sz w:val="18"/>
                <w:szCs w:val="18"/>
              </w:rPr>
            </w:pPr>
            <w:r>
              <w:rPr>
                <w:rFonts w:ascii="宋体" w:hAnsi="宋体" w:eastAsia="宋体" w:cs="宋体"/>
                <w:sz w:val="18"/>
                <w:szCs w:val="18"/>
              </w:rPr>
              <w:t>19,117,977.33</w:t>
            </w:r>
          </w:p>
        </w:tc>
      </w:tr>
    </w:tbl>
    <w:p w14:paraId="245D2072">
      <w:pPr>
        <w:spacing w:before="100" w:after="100" w:line="240" w:lineRule="exact"/>
      </w:pPr>
      <w:r>
        <w:rPr>
          <w:rFonts w:ascii="宋体" w:hAnsi="宋体" w:eastAsia="宋体" w:cs="宋体"/>
          <w:sz w:val="18"/>
          <w:szCs w:val="18"/>
        </w:rPr>
        <w:t>其中本期坏账准备转回或收回金额重要的：</w:t>
      </w:r>
      <w:r>
        <w:t xml:space="preserve"> </w:t>
      </w:r>
      <w:r>
        <w:rPr>
          <w:rFonts w:hint="eastAsia"/>
          <w:sz w:val="18"/>
          <w:szCs w:val="18"/>
        </w:rPr>
        <w:t>无</w:t>
      </w:r>
    </w:p>
    <w:p w14:paraId="74575517">
      <w:pPr>
        <w:keepNext/>
        <w:keepLines/>
        <w:spacing w:before="300" w:after="300" w:line="280" w:lineRule="exact"/>
        <w:outlineLvl w:val="4"/>
        <w:rPr>
          <w:rFonts w:ascii="宋体" w:hAnsi="宋体" w:eastAsia="宋体" w:cs="宋体"/>
          <w:sz w:val="18"/>
          <w:szCs w:val="18"/>
        </w:rPr>
      </w:pPr>
      <w:bookmarkStart w:id="639" w:name="_Toc989494"/>
      <w:r>
        <w:rPr>
          <w:rFonts w:ascii="宋体" w:hAnsi="宋体" w:eastAsia="宋体" w:cs="宋体"/>
          <w:b/>
          <w:bCs/>
          <w:sz w:val="18"/>
          <w:szCs w:val="18"/>
        </w:rPr>
        <w:t>5） 本期实际核销的其他应收款情况</w:t>
      </w:r>
      <w:bookmarkEnd w:id="639"/>
    </w:p>
    <w:p w14:paraId="7F9E30F3">
      <w:pPr>
        <w:spacing w:before="100" w:after="100" w:line="240" w:lineRule="exact"/>
        <w:rPr>
          <w:rFonts w:ascii="宋体" w:hAnsi="宋体" w:eastAsia="宋体" w:cs="宋体"/>
          <w:sz w:val="18"/>
          <w:szCs w:val="18"/>
        </w:rPr>
      </w:pPr>
      <w:r>
        <w:rPr>
          <w:rFonts w:ascii="宋体" w:hAnsi="宋体" w:eastAsia="宋体" w:cs="宋体"/>
          <w:sz w:val="18"/>
          <w:szCs w:val="18"/>
        </w:rPr>
        <w:t>其他应收款核销说明：</w:t>
      </w:r>
      <w:r>
        <w:rPr>
          <w:rFonts w:hint="eastAsia"/>
          <w:sz w:val="18"/>
          <w:szCs w:val="18"/>
        </w:rPr>
        <w:t>无</w:t>
      </w:r>
    </w:p>
    <w:p w14:paraId="78B36BCE">
      <w:pPr>
        <w:keepNext/>
        <w:keepLines/>
        <w:spacing w:before="300" w:after="300" w:line="280" w:lineRule="exact"/>
        <w:outlineLvl w:val="4"/>
        <w:rPr>
          <w:rFonts w:ascii="宋体" w:hAnsi="宋体" w:eastAsia="宋体" w:cs="宋体"/>
          <w:b/>
          <w:bCs/>
          <w:sz w:val="18"/>
          <w:szCs w:val="18"/>
        </w:rPr>
      </w:pPr>
      <w:bookmarkStart w:id="640" w:name="_Toc989495"/>
      <w:r>
        <w:rPr>
          <w:rFonts w:ascii="宋体" w:hAnsi="宋体" w:eastAsia="宋体" w:cs="宋体"/>
          <w:b/>
          <w:bCs/>
          <w:sz w:val="18"/>
          <w:szCs w:val="18"/>
        </w:rPr>
        <w:t>6） 按欠款方归集的期末余额前五名的其他应收款情况</w:t>
      </w:r>
      <w:bookmarkEnd w:id="640"/>
    </w:p>
    <w:p w14:paraId="309751C2">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14:paraId="429AF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5B70AF2">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193AD56">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19E3820E">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40DA7FC2">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68429D6">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73FB149B">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14:paraId="7D51A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5D5B5C3D">
            <w:pPr>
              <w:spacing w:line="240" w:lineRule="exact"/>
              <w:rPr>
                <w:rFonts w:ascii="宋体" w:hAnsi="宋体" w:eastAsia="宋体" w:cs="宋体"/>
                <w:sz w:val="18"/>
                <w:szCs w:val="18"/>
              </w:rPr>
            </w:pPr>
            <w:r>
              <w:rPr>
                <w:rFonts w:ascii="宋体" w:hAnsi="宋体" w:eastAsia="宋体" w:cs="宋体"/>
                <w:sz w:val="18"/>
                <w:szCs w:val="18"/>
              </w:rPr>
              <w:t>江苏传澄文化传播有限公司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16727DA9">
            <w:pPr>
              <w:spacing w:line="240" w:lineRule="exac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14:paraId="5884A40B">
            <w:pPr>
              <w:spacing w:line="240" w:lineRule="exact"/>
              <w:jc w:val="right"/>
              <w:rPr>
                <w:rFonts w:ascii="宋体" w:hAnsi="宋体" w:eastAsia="宋体" w:cs="宋体"/>
                <w:sz w:val="18"/>
                <w:szCs w:val="18"/>
              </w:rPr>
            </w:pPr>
            <w:r>
              <w:rPr>
                <w:rFonts w:ascii="宋体" w:hAnsi="宋体" w:eastAsia="宋体" w:cs="宋体"/>
                <w:sz w:val="18"/>
                <w:szCs w:val="18"/>
              </w:rPr>
              <w:t>1,129,444.44</w:t>
            </w:r>
          </w:p>
        </w:tc>
        <w:tc>
          <w:tcPr>
            <w:tcW w:w="1606" w:type="dxa"/>
            <w:tcBorders>
              <w:top w:val="single" w:color="auto" w:sz="2" w:space="0"/>
              <w:left w:val="single" w:color="auto" w:sz="2" w:space="0"/>
              <w:bottom w:val="single" w:color="auto" w:sz="2" w:space="0"/>
              <w:right w:val="single" w:color="auto" w:sz="2" w:space="0"/>
            </w:tcBorders>
            <w:vAlign w:val="center"/>
          </w:tcPr>
          <w:p w14:paraId="72471746">
            <w:pPr>
              <w:spacing w:line="240" w:lineRule="exact"/>
              <w:rPr>
                <w:rFonts w:ascii="宋体" w:hAnsi="宋体" w:eastAsia="宋体" w:cs="宋体"/>
                <w:sz w:val="18"/>
                <w:szCs w:val="18"/>
              </w:rPr>
            </w:pPr>
            <w:r>
              <w:rPr>
                <w:rFonts w:ascii="宋体" w:hAnsi="宋体" w:eastAsia="宋体" w:cs="宋体"/>
                <w:sz w:val="18"/>
                <w:szCs w:val="18"/>
              </w:rPr>
              <w:t>3-4年</w:t>
            </w:r>
          </w:p>
        </w:tc>
        <w:tc>
          <w:tcPr>
            <w:tcW w:w="1606" w:type="dxa"/>
            <w:tcBorders>
              <w:top w:val="single" w:color="auto" w:sz="2" w:space="0"/>
              <w:left w:val="single" w:color="auto" w:sz="2" w:space="0"/>
              <w:bottom w:val="single" w:color="auto" w:sz="2" w:space="0"/>
              <w:right w:val="single" w:color="auto" w:sz="2" w:space="0"/>
            </w:tcBorders>
            <w:vAlign w:val="center"/>
          </w:tcPr>
          <w:p w14:paraId="4CC4CDC3">
            <w:pPr>
              <w:spacing w:line="240" w:lineRule="exact"/>
              <w:jc w:val="right"/>
              <w:rPr>
                <w:rFonts w:ascii="宋体" w:hAnsi="宋体" w:eastAsia="宋体" w:cs="宋体"/>
                <w:sz w:val="18"/>
                <w:szCs w:val="18"/>
              </w:rPr>
            </w:pPr>
            <w:r>
              <w:rPr>
                <w:rFonts w:ascii="宋体" w:hAnsi="宋体" w:eastAsia="宋体" w:cs="宋体"/>
                <w:sz w:val="18"/>
                <w:szCs w:val="18"/>
              </w:rPr>
              <w:t>5.46%</w:t>
            </w:r>
          </w:p>
        </w:tc>
        <w:tc>
          <w:tcPr>
            <w:tcW w:w="1606" w:type="dxa"/>
            <w:tcBorders>
              <w:top w:val="single" w:color="auto" w:sz="2" w:space="0"/>
              <w:left w:val="single" w:color="auto" w:sz="2" w:space="0"/>
              <w:bottom w:val="single" w:color="auto" w:sz="2" w:space="0"/>
              <w:right w:val="single" w:color="auto" w:sz="2" w:space="0"/>
            </w:tcBorders>
            <w:vAlign w:val="center"/>
          </w:tcPr>
          <w:p w14:paraId="0E086B58">
            <w:pPr>
              <w:spacing w:line="240" w:lineRule="exact"/>
              <w:jc w:val="right"/>
              <w:rPr>
                <w:rFonts w:ascii="宋体" w:hAnsi="宋体" w:eastAsia="宋体" w:cs="宋体"/>
                <w:sz w:val="18"/>
                <w:szCs w:val="18"/>
              </w:rPr>
            </w:pPr>
            <w:r>
              <w:rPr>
                <w:rFonts w:ascii="宋体" w:hAnsi="宋体" w:eastAsia="宋体" w:cs="宋体"/>
                <w:sz w:val="18"/>
                <w:szCs w:val="18"/>
              </w:rPr>
              <w:t>1,129,444.44</w:t>
            </w:r>
          </w:p>
        </w:tc>
      </w:tr>
      <w:tr w14:paraId="4C230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DF9DF3F">
            <w:pPr>
              <w:spacing w:line="240" w:lineRule="exact"/>
              <w:rPr>
                <w:rFonts w:ascii="宋体" w:hAnsi="宋体" w:eastAsia="宋体" w:cs="宋体"/>
                <w:sz w:val="18"/>
                <w:szCs w:val="18"/>
              </w:rPr>
            </w:pPr>
            <w:r>
              <w:rPr>
                <w:rFonts w:ascii="宋体" w:hAnsi="宋体" w:eastAsia="宋体" w:cs="宋体"/>
                <w:sz w:val="18"/>
                <w:szCs w:val="18"/>
              </w:rPr>
              <w:t>江苏传澄文化传播有限公司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5CD8A869">
            <w:pPr>
              <w:spacing w:line="240" w:lineRule="exac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14:paraId="76CB95CF">
            <w:pPr>
              <w:spacing w:line="240" w:lineRule="exact"/>
              <w:jc w:val="right"/>
              <w:rPr>
                <w:rFonts w:ascii="宋体" w:hAnsi="宋体" w:eastAsia="宋体" w:cs="宋体"/>
                <w:sz w:val="18"/>
                <w:szCs w:val="18"/>
              </w:rPr>
            </w:pPr>
            <w:r>
              <w:rPr>
                <w:rFonts w:ascii="宋体" w:hAnsi="宋体" w:eastAsia="宋体" w:cs="宋体"/>
                <w:sz w:val="18"/>
                <w:szCs w:val="18"/>
              </w:rPr>
              <w:t>1,016,666.66</w:t>
            </w:r>
          </w:p>
        </w:tc>
        <w:tc>
          <w:tcPr>
            <w:tcW w:w="1606" w:type="dxa"/>
            <w:tcBorders>
              <w:top w:val="single" w:color="auto" w:sz="2" w:space="0"/>
              <w:left w:val="single" w:color="auto" w:sz="2" w:space="0"/>
              <w:bottom w:val="single" w:color="auto" w:sz="2" w:space="0"/>
              <w:right w:val="single" w:color="auto" w:sz="2" w:space="0"/>
            </w:tcBorders>
            <w:vAlign w:val="center"/>
          </w:tcPr>
          <w:p w14:paraId="3F5E4C5C">
            <w:pPr>
              <w:spacing w:line="240" w:lineRule="exact"/>
              <w:rPr>
                <w:rFonts w:ascii="宋体" w:hAnsi="宋体" w:eastAsia="宋体" w:cs="宋体"/>
                <w:sz w:val="18"/>
                <w:szCs w:val="18"/>
              </w:rPr>
            </w:pPr>
            <w:r>
              <w:rPr>
                <w:rFonts w:ascii="宋体" w:hAnsi="宋体" w:eastAsia="宋体" w:cs="宋体"/>
                <w:sz w:val="18"/>
                <w:szCs w:val="18"/>
              </w:rPr>
              <w:t>4-5年</w:t>
            </w:r>
          </w:p>
        </w:tc>
        <w:tc>
          <w:tcPr>
            <w:tcW w:w="1606" w:type="dxa"/>
            <w:tcBorders>
              <w:top w:val="single" w:color="auto" w:sz="2" w:space="0"/>
              <w:left w:val="single" w:color="auto" w:sz="2" w:space="0"/>
              <w:bottom w:val="single" w:color="auto" w:sz="2" w:space="0"/>
              <w:right w:val="single" w:color="auto" w:sz="2" w:space="0"/>
            </w:tcBorders>
            <w:vAlign w:val="center"/>
          </w:tcPr>
          <w:p w14:paraId="1AFF00D1">
            <w:pPr>
              <w:spacing w:line="240" w:lineRule="exact"/>
              <w:jc w:val="right"/>
              <w:rPr>
                <w:rFonts w:ascii="宋体" w:hAnsi="宋体" w:eastAsia="宋体" w:cs="宋体"/>
                <w:sz w:val="18"/>
                <w:szCs w:val="18"/>
              </w:rPr>
            </w:pPr>
            <w:r>
              <w:rPr>
                <w:rFonts w:ascii="宋体" w:hAnsi="宋体" w:eastAsia="宋体" w:cs="宋体"/>
                <w:sz w:val="18"/>
                <w:szCs w:val="18"/>
              </w:rPr>
              <w:t>4.92%</w:t>
            </w:r>
          </w:p>
        </w:tc>
        <w:tc>
          <w:tcPr>
            <w:tcW w:w="1606" w:type="dxa"/>
            <w:tcBorders>
              <w:top w:val="single" w:color="auto" w:sz="2" w:space="0"/>
              <w:left w:val="single" w:color="auto" w:sz="2" w:space="0"/>
              <w:bottom w:val="single" w:color="auto" w:sz="2" w:space="0"/>
              <w:right w:val="single" w:color="auto" w:sz="2" w:space="0"/>
            </w:tcBorders>
            <w:vAlign w:val="center"/>
          </w:tcPr>
          <w:p w14:paraId="6F381C04">
            <w:pPr>
              <w:spacing w:line="240" w:lineRule="exact"/>
              <w:jc w:val="right"/>
              <w:rPr>
                <w:rFonts w:ascii="宋体" w:hAnsi="宋体" w:eastAsia="宋体" w:cs="宋体"/>
                <w:sz w:val="18"/>
                <w:szCs w:val="18"/>
              </w:rPr>
            </w:pPr>
            <w:r>
              <w:rPr>
                <w:rFonts w:ascii="宋体" w:hAnsi="宋体" w:eastAsia="宋体" w:cs="宋体"/>
                <w:sz w:val="18"/>
                <w:szCs w:val="18"/>
              </w:rPr>
              <w:t>1,016,666.66</w:t>
            </w:r>
          </w:p>
        </w:tc>
      </w:tr>
      <w:tr w14:paraId="7490C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54F7D5C">
            <w:pPr>
              <w:spacing w:line="240" w:lineRule="exact"/>
              <w:rPr>
                <w:rFonts w:ascii="宋体" w:hAnsi="宋体" w:eastAsia="宋体" w:cs="宋体"/>
                <w:sz w:val="18"/>
                <w:szCs w:val="18"/>
              </w:rPr>
            </w:pPr>
            <w:r>
              <w:rPr>
                <w:rFonts w:ascii="宋体" w:hAnsi="宋体" w:eastAsia="宋体" w:cs="宋体"/>
                <w:sz w:val="18"/>
                <w:szCs w:val="18"/>
              </w:rPr>
              <w:t>江苏传澄文化传播有限公司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1A8E5F61">
            <w:pPr>
              <w:spacing w:line="240" w:lineRule="exac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14:paraId="75AFA70F">
            <w:pPr>
              <w:spacing w:line="240" w:lineRule="exact"/>
              <w:jc w:val="right"/>
              <w:rPr>
                <w:rFonts w:ascii="宋体" w:hAnsi="宋体" w:eastAsia="宋体" w:cs="宋体"/>
                <w:sz w:val="18"/>
                <w:szCs w:val="18"/>
              </w:rPr>
            </w:pPr>
            <w:r>
              <w:rPr>
                <w:rFonts w:ascii="宋体" w:hAnsi="宋体" w:eastAsia="宋体" w:cs="宋体"/>
                <w:sz w:val="18"/>
                <w:szCs w:val="18"/>
              </w:rPr>
              <w:t>9,700,000.00</w:t>
            </w:r>
          </w:p>
        </w:tc>
        <w:tc>
          <w:tcPr>
            <w:tcW w:w="1606" w:type="dxa"/>
            <w:tcBorders>
              <w:top w:val="single" w:color="auto" w:sz="2" w:space="0"/>
              <w:left w:val="single" w:color="auto" w:sz="2" w:space="0"/>
              <w:bottom w:val="single" w:color="auto" w:sz="2" w:space="0"/>
              <w:right w:val="single" w:color="auto" w:sz="2" w:space="0"/>
            </w:tcBorders>
            <w:vAlign w:val="center"/>
          </w:tcPr>
          <w:p w14:paraId="51AF1360">
            <w:pPr>
              <w:spacing w:line="240" w:lineRule="exact"/>
              <w:rPr>
                <w:rFonts w:ascii="宋体" w:hAnsi="宋体" w:eastAsia="宋体" w:cs="宋体"/>
                <w:sz w:val="18"/>
                <w:szCs w:val="18"/>
              </w:rPr>
            </w:pPr>
            <w:r>
              <w:rPr>
                <w:rFonts w:ascii="宋体" w:hAnsi="宋体" w:eastAsia="宋体" w:cs="宋体"/>
                <w:sz w:val="18"/>
                <w:szCs w:val="18"/>
              </w:rPr>
              <w:t>5年以上</w:t>
            </w:r>
          </w:p>
        </w:tc>
        <w:tc>
          <w:tcPr>
            <w:tcW w:w="1606" w:type="dxa"/>
            <w:tcBorders>
              <w:top w:val="single" w:color="auto" w:sz="2" w:space="0"/>
              <w:left w:val="single" w:color="auto" w:sz="2" w:space="0"/>
              <w:bottom w:val="single" w:color="auto" w:sz="2" w:space="0"/>
              <w:right w:val="single" w:color="auto" w:sz="2" w:space="0"/>
            </w:tcBorders>
            <w:vAlign w:val="center"/>
          </w:tcPr>
          <w:p w14:paraId="6E257419">
            <w:pPr>
              <w:spacing w:line="240" w:lineRule="exact"/>
              <w:jc w:val="right"/>
              <w:rPr>
                <w:rFonts w:ascii="宋体" w:hAnsi="宋体" w:eastAsia="宋体" w:cs="宋体"/>
                <w:sz w:val="18"/>
                <w:szCs w:val="18"/>
              </w:rPr>
            </w:pPr>
            <w:r>
              <w:rPr>
                <w:rFonts w:ascii="宋体" w:hAnsi="宋体" w:eastAsia="宋体" w:cs="宋体"/>
                <w:sz w:val="18"/>
                <w:szCs w:val="18"/>
              </w:rPr>
              <w:t>46.92%</w:t>
            </w:r>
          </w:p>
        </w:tc>
        <w:tc>
          <w:tcPr>
            <w:tcW w:w="1606" w:type="dxa"/>
            <w:tcBorders>
              <w:top w:val="single" w:color="auto" w:sz="2" w:space="0"/>
              <w:left w:val="single" w:color="auto" w:sz="2" w:space="0"/>
              <w:bottom w:val="single" w:color="auto" w:sz="2" w:space="0"/>
              <w:right w:val="single" w:color="auto" w:sz="2" w:space="0"/>
            </w:tcBorders>
            <w:vAlign w:val="center"/>
          </w:tcPr>
          <w:p w14:paraId="74D1B6DD">
            <w:pPr>
              <w:spacing w:line="240" w:lineRule="exact"/>
              <w:jc w:val="right"/>
              <w:rPr>
                <w:rFonts w:ascii="宋体" w:hAnsi="宋体" w:eastAsia="宋体" w:cs="宋体"/>
                <w:sz w:val="18"/>
                <w:szCs w:val="18"/>
              </w:rPr>
            </w:pPr>
            <w:r>
              <w:rPr>
                <w:rFonts w:ascii="宋体" w:hAnsi="宋体" w:eastAsia="宋体" w:cs="宋体"/>
                <w:sz w:val="18"/>
                <w:szCs w:val="18"/>
              </w:rPr>
              <w:t>9,700,000.00</w:t>
            </w:r>
          </w:p>
        </w:tc>
      </w:tr>
      <w:tr w14:paraId="5F5B4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0ECF02F4">
            <w:pPr>
              <w:spacing w:line="240" w:lineRule="exact"/>
              <w:rPr>
                <w:rFonts w:ascii="宋体" w:hAnsi="宋体" w:eastAsia="宋体" w:cs="宋体"/>
                <w:sz w:val="18"/>
                <w:szCs w:val="18"/>
              </w:rPr>
            </w:pPr>
            <w:r>
              <w:rPr>
                <w:rFonts w:ascii="宋体" w:hAnsi="宋体" w:eastAsia="宋体" w:cs="宋体"/>
                <w:sz w:val="18"/>
                <w:szCs w:val="18"/>
              </w:rPr>
              <w:t>江阴市传澄电子商务有限公司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63FC4560">
            <w:pPr>
              <w:spacing w:line="240" w:lineRule="exac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14:paraId="2170AE07">
            <w:pPr>
              <w:spacing w:line="240" w:lineRule="exact"/>
              <w:jc w:val="right"/>
              <w:rPr>
                <w:rFonts w:ascii="宋体" w:hAnsi="宋体" w:eastAsia="宋体" w:cs="宋体"/>
                <w:sz w:val="18"/>
                <w:szCs w:val="18"/>
              </w:rPr>
            </w:pPr>
            <w:r>
              <w:rPr>
                <w:rFonts w:ascii="宋体" w:hAnsi="宋体" w:eastAsia="宋体" w:cs="宋体"/>
                <w:sz w:val="18"/>
                <w:szCs w:val="18"/>
              </w:rPr>
              <w:t>955,000.00</w:t>
            </w:r>
          </w:p>
        </w:tc>
        <w:tc>
          <w:tcPr>
            <w:tcW w:w="1606" w:type="dxa"/>
            <w:tcBorders>
              <w:top w:val="single" w:color="auto" w:sz="2" w:space="0"/>
              <w:left w:val="single" w:color="auto" w:sz="2" w:space="0"/>
              <w:bottom w:val="single" w:color="auto" w:sz="2" w:space="0"/>
              <w:right w:val="single" w:color="auto" w:sz="2" w:space="0"/>
            </w:tcBorders>
            <w:vAlign w:val="center"/>
          </w:tcPr>
          <w:p w14:paraId="7D38A661">
            <w:pPr>
              <w:spacing w:line="240" w:lineRule="exact"/>
              <w:rPr>
                <w:rFonts w:ascii="宋体" w:hAnsi="宋体" w:eastAsia="宋体" w:cs="宋体"/>
                <w:sz w:val="18"/>
                <w:szCs w:val="18"/>
              </w:rPr>
            </w:pPr>
            <w:r>
              <w:rPr>
                <w:rFonts w:ascii="宋体" w:hAnsi="宋体" w:eastAsia="宋体" w:cs="宋体"/>
                <w:sz w:val="18"/>
                <w:szCs w:val="18"/>
              </w:rPr>
              <w:t>3-4年</w:t>
            </w:r>
          </w:p>
        </w:tc>
        <w:tc>
          <w:tcPr>
            <w:tcW w:w="1606" w:type="dxa"/>
            <w:tcBorders>
              <w:top w:val="single" w:color="auto" w:sz="2" w:space="0"/>
              <w:left w:val="single" w:color="auto" w:sz="2" w:space="0"/>
              <w:bottom w:val="single" w:color="auto" w:sz="2" w:space="0"/>
              <w:right w:val="single" w:color="auto" w:sz="2" w:space="0"/>
            </w:tcBorders>
            <w:vAlign w:val="center"/>
          </w:tcPr>
          <w:p w14:paraId="1B156D8B">
            <w:pPr>
              <w:spacing w:line="240" w:lineRule="exact"/>
              <w:jc w:val="right"/>
              <w:rPr>
                <w:rFonts w:ascii="宋体" w:hAnsi="宋体" w:eastAsia="宋体" w:cs="宋体"/>
                <w:sz w:val="18"/>
                <w:szCs w:val="18"/>
              </w:rPr>
            </w:pPr>
            <w:r>
              <w:rPr>
                <w:rFonts w:ascii="宋体" w:hAnsi="宋体" w:eastAsia="宋体" w:cs="宋体"/>
                <w:sz w:val="18"/>
                <w:szCs w:val="18"/>
              </w:rPr>
              <w:t>4.62%</w:t>
            </w:r>
          </w:p>
        </w:tc>
        <w:tc>
          <w:tcPr>
            <w:tcW w:w="1606" w:type="dxa"/>
            <w:tcBorders>
              <w:top w:val="single" w:color="auto" w:sz="2" w:space="0"/>
              <w:left w:val="single" w:color="auto" w:sz="2" w:space="0"/>
              <w:bottom w:val="single" w:color="auto" w:sz="2" w:space="0"/>
              <w:right w:val="single" w:color="auto" w:sz="2" w:space="0"/>
            </w:tcBorders>
            <w:vAlign w:val="center"/>
          </w:tcPr>
          <w:p w14:paraId="31EC3729">
            <w:pPr>
              <w:spacing w:line="240" w:lineRule="exact"/>
              <w:jc w:val="right"/>
              <w:rPr>
                <w:rFonts w:ascii="宋体" w:hAnsi="宋体" w:eastAsia="宋体" w:cs="宋体"/>
                <w:sz w:val="18"/>
                <w:szCs w:val="18"/>
              </w:rPr>
            </w:pPr>
            <w:r>
              <w:rPr>
                <w:rFonts w:ascii="宋体" w:hAnsi="宋体" w:eastAsia="宋体" w:cs="宋体"/>
                <w:sz w:val="18"/>
                <w:szCs w:val="18"/>
              </w:rPr>
              <w:t>955,000.00</w:t>
            </w:r>
          </w:p>
        </w:tc>
      </w:tr>
      <w:tr w14:paraId="21C44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62C92EB7">
            <w:pPr>
              <w:spacing w:line="240" w:lineRule="exact"/>
              <w:rPr>
                <w:rFonts w:ascii="宋体" w:hAnsi="宋体" w:eastAsia="宋体" w:cs="宋体"/>
                <w:sz w:val="18"/>
                <w:szCs w:val="18"/>
              </w:rPr>
            </w:pPr>
            <w:r>
              <w:rPr>
                <w:rFonts w:ascii="宋体" w:hAnsi="宋体" w:eastAsia="宋体" w:cs="宋体"/>
                <w:sz w:val="18"/>
                <w:szCs w:val="18"/>
              </w:rPr>
              <w:t>江阴市传澄电子商务有限公司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67DDF7BA">
            <w:pPr>
              <w:spacing w:line="240" w:lineRule="exac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14:paraId="2DEB52CE">
            <w:pPr>
              <w:spacing w:line="240" w:lineRule="exact"/>
              <w:jc w:val="right"/>
              <w:rPr>
                <w:rFonts w:ascii="宋体" w:hAnsi="宋体" w:eastAsia="宋体" w:cs="宋体"/>
                <w:sz w:val="18"/>
                <w:szCs w:val="18"/>
              </w:rPr>
            </w:pPr>
            <w:r>
              <w:rPr>
                <w:rFonts w:ascii="宋体" w:hAnsi="宋体" w:eastAsia="宋体" w:cs="宋体"/>
                <w:sz w:val="18"/>
                <w:szCs w:val="18"/>
              </w:rPr>
              <w:t>6,314,666.67</w:t>
            </w:r>
          </w:p>
        </w:tc>
        <w:tc>
          <w:tcPr>
            <w:tcW w:w="1606" w:type="dxa"/>
            <w:tcBorders>
              <w:top w:val="single" w:color="auto" w:sz="2" w:space="0"/>
              <w:left w:val="single" w:color="auto" w:sz="2" w:space="0"/>
              <w:bottom w:val="single" w:color="auto" w:sz="2" w:space="0"/>
              <w:right w:val="single" w:color="auto" w:sz="2" w:space="0"/>
            </w:tcBorders>
            <w:vAlign w:val="center"/>
          </w:tcPr>
          <w:p w14:paraId="63B3B0E9">
            <w:pPr>
              <w:spacing w:line="240" w:lineRule="exact"/>
              <w:rPr>
                <w:rFonts w:ascii="宋体" w:hAnsi="宋体" w:eastAsia="宋体" w:cs="宋体"/>
                <w:sz w:val="18"/>
                <w:szCs w:val="18"/>
              </w:rPr>
            </w:pPr>
            <w:r>
              <w:rPr>
                <w:rFonts w:ascii="宋体" w:hAnsi="宋体" w:eastAsia="宋体" w:cs="宋体"/>
                <w:sz w:val="18"/>
                <w:szCs w:val="18"/>
              </w:rPr>
              <w:t>4-5年</w:t>
            </w:r>
          </w:p>
        </w:tc>
        <w:tc>
          <w:tcPr>
            <w:tcW w:w="1606" w:type="dxa"/>
            <w:tcBorders>
              <w:top w:val="single" w:color="auto" w:sz="2" w:space="0"/>
              <w:left w:val="single" w:color="auto" w:sz="2" w:space="0"/>
              <w:bottom w:val="single" w:color="auto" w:sz="2" w:space="0"/>
              <w:right w:val="single" w:color="auto" w:sz="2" w:space="0"/>
            </w:tcBorders>
            <w:vAlign w:val="center"/>
          </w:tcPr>
          <w:p w14:paraId="48D641B5">
            <w:pPr>
              <w:spacing w:line="240" w:lineRule="exact"/>
              <w:jc w:val="right"/>
              <w:rPr>
                <w:rFonts w:ascii="宋体" w:hAnsi="宋体" w:eastAsia="宋体" w:cs="宋体"/>
                <w:sz w:val="18"/>
                <w:szCs w:val="18"/>
              </w:rPr>
            </w:pPr>
            <w:r>
              <w:rPr>
                <w:rFonts w:ascii="宋体" w:hAnsi="宋体" w:eastAsia="宋体" w:cs="宋体"/>
                <w:sz w:val="18"/>
                <w:szCs w:val="18"/>
              </w:rPr>
              <w:t>30.54%</w:t>
            </w:r>
          </w:p>
        </w:tc>
        <w:tc>
          <w:tcPr>
            <w:tcW w:w="1606" w:type="dxa"/>
            <w:tcBorders>
              <w:top w:val="single" w:color="auto" w:sz="2" w:space="0"/>
              <w:left w:val="single" w:color="auto" w:sz="2" w:space="0"/>
              <w:bottom w:val="single" w:color="auto" w:sz="2" w:space="0"/>
              <w:right w:val="single" w:color="auto" w:sz="2" w:space="0"/>
            </w:tcBorders>
            <w:vAlign w:val="center"/>
          </w:tcPr>
          <w:p w14:paraId="40874E30">
            <w:pPr>
              <w:spacing w:line="240" w:lineRule="exact"/>
              <w:jc w:val="right"/>
              <w:rPr>
                <w:rFonts w:ascii="宋体" w:hAnsi="宋体" w:eastAsia="宋体" w:cs="宋体"/>
                <w:sz w:val="18"/>
                <w:szCs w:val="18"/>
              </w:rPr>
            </w:pPr>
            <w:r>
              <w:rPr>
                <w:rFonts w:ascii="宋体" w:hAnsi="宋体" w:eastAsia="宋体" w:cs="宋体"/>
                <w:sz w:val="18"/>
                <w:szCs w:val="18"/>
              </w:rPr>
              <w:t>6,314,666.67</w:t>
            </w:r>
          </w:p>
        </w:tc>
      </w:tr>
      <w:tr w14:paraId="0C6D8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77C654AF">
            <w:pPr>
              <w:spacing w:line="240" w:lineRule="exact"/>
              <w:rPr>
                <w:rFonts w:ascii="宋体" w:hAnsi="宋体" w:eastAsia="宋体" w:cs="宋体"/>
                <w:sz w:val="18"/>
                <w:szCs w:val="18"/>
              </w:rPr>
            </w:pPr>
            <w:r>
              <w:rPr>
                <w:rFonts w:ascii="宋体" w:hAnsi="宋体" w:eastAsia="宋体" w:cs="宋体"/>
                <w:sz w:val="18"/>
                <w:szCs w:val="18"/>
              </w:rPr>
              <w:t>浙江金华华孚纺织有限公司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5E4E0D02">
            <w:pPr>
              <w:spacing w:line="240" w:lineRule="exact"/>
              <w:rPr>
                <w:rFonts w:ascii="宋体" w:hAnsi="宋体" w:eastAsia="宋体" w:cs="宋体"/>
                <w:sz w:val="18"/>
                <w:szCs w:val="18"/>
              </w:rPr>
            </w:pPr>
            <w:r>
              <w:rPr>
                <w:rFonts w:ascii="宋体" w:hAnsi="宋体" w:eastAsia="宋体" w:cs="宋体"/>
                <w:sz w:val="18"/>
                <w:szCs w:val="18"/>
              </w:rPr>
              <w:t>合并范围内往来款</w:t>
            </w:r>
          </w:p>
        </w:tc>
        <w:tc>
          <w:tcPr>
            <w:tcW w:w="1606" w:type="dxa"/>
            <w:tcBorders>
              <w:top w:val="single" w:color="auto" w:sz="2" w:space="0"/>
              <w:left w:val="single" w:color="auto" w:sz="2" w:space="0"/>
              <w:bottom w:val="single" w:color="auto" w:sz="2" w:space="0"/>
              <w:right w:val="single" w:color="auto" w:sz="2" w:space="0"/>
            </w:tcBorders>
            <w:vAlign w:val="center"/>
          </w:tcPr>
          <w:p w14:paraId="71543A4A">
            <w:pPr>
              <w:spacing w:line="240" w:lineRule="exact"/>
              <w:jc w:val="right"/>
              <w:rPr>
                <w:rFonts w:ascii="宋体" w:hAnsi="宋体" w:eastAsia="宋体" w:cs="宋体"/>
                <w:sz w:val="18"/>
                <w:szCs w:val="18"/>
              </w:rPr>
            </w:pPr>
            <w:r>
              <w:rPr>
                <w:rFonts w:ascii="宋体" w:hAnsi="宋体" w:eastAsia="宋体" w:cs="宋体"/>
                <w:sz w:val="18"/>
                <w:szCs w:val="18"/>
              </w:rPr>
              <w:t>1,500,000.00</w:t>
            </w:r>
          </w:p>
        </w:tc>
        <w:tc>
          <w:tcPr>
            <w:tcW w:w="1606" w:type="dxa"/>
            <w:tcBorders>
              <w:top w:val="single" w:color="auto" w:sz="2" w:space="0"/>
              <w:left w:val="single" w:color="auto" w:sz="2" w:space="0"/>
              <w:bottom w:val="single" w:color="auto" w:sz="2" w:space="0"/>
              <w:right w:val="single" w:color="auto" w:sz="2" w:space="0"/>
            </w:tcBorders>
            <w:vAlign w:val="center"/>
          </w:tcPr>
          <w:p w14:paraId="69489791">
            <w:pPr>
              <w:spacing w:line="240" w:lineRule="exact"/>
              <w:rPr>
                <w:rFonts w:ascii="宋体" w:hAnsi="宋体" w:eastAsia="宋体" w:cs="宋体"/>
                <w:sz w:val="18"/>
                <w:szCs w:val="18"/>
              </w:rPr>
            </w:pPr>
            <w:r>
              <w:rPr>
                <w:rFonts w:ascii="宋体" w:hAnsi="宋体" w:eastAsia="宋体" w:cs="宋体"/>
                <w:sz w:val="18"/>
                <w:szCs w:val="18"/>
              </w:rPr>
              <w:t>2-3年</w:t>
            </w:r>
          </w:p>
        </w:tc>
        <w:tc>
          <w:tcPr>
            <w:tcW w:w="1606" w:type="dxa"/>
            <w:tcBorders>
              <w:top w:val="single" w:color="auto" w:sz="2" w:space="0"/>
              <w:left w:val="single" w:color="auto" w:sz="2" w:space="0"/>
              <w:bottom w:val="single" w:color="auto" w:sz="2" w:space="0"/>
              <w:right w:val="single" w:color="auto" w:sz="2" w:space="0"/>
            </w:tcBorders>
            <w:vAlign w:val="center"/>
          </w:tcPr>
          <w:p w14:paraId="483CCACE">
            <w:pPr>
              <w:spacing w:line="240" w:lineRule="exact"/>
              <w:jc w:val="right"/>
              <w:rPr>
                <w:rFonts w:ascii="宋体" w:hAnsi="宋体" w:eastAsia="宋体" w:cs="宋体"/>
                <w:sz w:val="18"/>
                <w:szCs w:val="18"/>
              </w:rPr>
            </w:pPr>
            <w:r>
              <w:rPr>
                <w:rFonts w:ascii="宋体" w:hAnsi="宋体" w:eastAsia="宋体" w:cs="宋体"/>
                <w:sz w:val="18"/>
                <w:szCs w:val="18"/>
              </w:rPr>
              <w:t>7.26%</w:t>
            </w:r>
          </w:p>
        </w:tc>
        <w:tc>
          <w:tcPr>
            <w:tcW w:w="1606" w:type="dxa"/>
            <w:tcBorders>
              <w:top w:val="single" w:color="auto" w:sz="2" w:space="0"/>
              <w:left w:val="single" w:color="auto" w:sz="2" w:space="0"/>
              <w:bottom w:val="single" w:color="auto" w:sz="2" w:space="0"/>
              <w:right w:val="single" w:color="auto" w:sz="2" w:space="0"/>
            </w:tcBorders>
            <w:vAlign w:val="center"/>
          </w:tcPr>
          <w:p w14:paraId="773516F9">
            <w:pPr>
              <w:spacing w:line="240" w:lineRule="exact"/>
              <w:jc w:val="right"/>
              <w:rPr>
                <w:rFonts w:ascii="宋体" w:hAnsi="宋体" w:eastAsia="宋体" w:cs="宋体"/>
                <w:sz w:val="18"/>
                <w:szCs w:val="18"/>
              </w:rPr>
            </w:pPr>
          </w:p>
        </w:tc>
      </w:tr>
      <w:tr w14:paraId="45F1A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1A3BC1FA">
            <w:pPr>
              <w:spacing w:line="240" w:lineRule="exact"/>
              <w:rPr>
                <w:rFonts w:ascii="宋体" w:hAnsi="宋体" w:eastAsia="宋体" w:cs="宋体"/>
                <w:sz w:val="18"/>
                <w:szCs w:val="18"/>
              </w:rPr>
            </w:pPr>
            <w:r>
              <w:rPr>
                <w:rFonts w:ascii="宋体" w:hAnsi="宋体" w:eastAsia="宋体" w:cs="宋体"/>
                <w:sz w:val="18"/>
                <w:szCs w:val="18"/>
              </w:rPr>
              <w:t>阿克苏华孚色纺有限公司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2DA2CB9C">
            <w:pPr>
              <w:spacing w:line="240" w:lineRule="exact"/>
              <w:rPr>
                <w:rFonts w:ascii="宋体" w:hAnsi="宋体" w:eastAsia="宋体" w:cs="宋体"/>
                <w:sz w:val="18"/>
                <w:szCs w:val="18"/>
              </w:rPr>
            </w:pPr>
            <w:r>
              <w:rPr>
                <w:rFonts w:ascii="宋体" w:hAnsi="宋体" w:eastAsia="宋体" w:cs="宋体"/>
                <w:sz w:val="18"/>
                <w:szCs w:val="18"/>
              </w:rPr>
              <w:t>合并范围内往来款</w:t>
            </w:r>
          </w:p>
        </w:tc>
        <w:tc>
          <w:tcPr>
            <w:tcW w:w="1606" w:type="dxa"/>
            <w:tcBorders>
              <w:top w:val="single" w:color="auto" w:sz="2" w:space="0"/>
              <w:left w:val="single" w:color="auto" w:sz="2" w:space="0"/>
              <w:bottom w:val="single" w:color="auto" w:sz="2" w:space="0"/>
              <w:right w:val="single" w:color="auto" w:sz="2" w:space="0"/>
            </w:tcBorders>
            <w:vAlign w:val="center"/>
          </w:tcPr>
          <w:p w14:paraId="488A1FCB">
            <w:pPr>
              <w:spacing w:line="240" w:lineRule="exact"/>
              <w:jc w:val="right"/>
              <w:rPr>
                <w:rFonts w:ascii="宋体" w:hAnsi="宋体" w:eastAsia="宋体" w:cs="宋体"/>
                <w:sz w:val="18"/>
                <w:szCs w:val="18"/>
              </w:rPr>
            </w:pPr>
            <w:r>
              <w:rPr>
                <w:rFonts w:ascii="宋体" w:hAnsi="宋体" w:eastAsia="宋体" w:cs="宋体"/>
                <w:sz w:val="18"/>
                <w:szCs w:val="18"/>
              </w:rPr>
              <w:t>37,085.00</w:t>
            </w:r>
          </w:p>
        </w:tc>
        <w:tc>
          <w:tcPr>
            <w:tcW w:w="1606" w:type="dxa"/>
            <w:tcBorders>
              <w:top w:val="single" w:color="auto" w:sz="2" w:space="0"/>
              <w:left w:val="single" w:color="auto" w:sz="2" w:space="0"/>
              <w:bottom w:val="single" w:color="auto" w:sz="2" w:space="0"/>
              <w:right w:val="single" w:color="auto" w:sz="2" w:space="0"/>
            </w:tcBorders>
            <w:vAlign w:val="center"/>
          </w:tcPr>
          <w:p w14:paraId="4D547618">
            <w:pPr>
              <w:spacing w:line="240" w:lineRule="exac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14:paraId="0007CE2E">
            <w:pPr>
              <w:spacing w:line="240" w:lineRule="exact"/>
              <w:jc w:val="right"/>
              <w:rPr>
                <w:rFonts w:ascii="宋体" w:hAnsi="宋体" w:eastAsia="宋体" w:cs="宋体"/>
                <w:sz w:val="18"/>
                <w:szCs w:val="18"/>
              </w:rPr>
            </w:pPr>
            <w:r>
              <w:rPr>
                <w:rFonts w:ascii="宋体" w:hAnsi="宋体" w:eastAsia="宋体" w:cs="宋体"/>
                <w:sz w:val="18"/>
                <w:szCs w:val="18"/>
              </w:rPr>
              <w:t>0.18%</w:t>
            </w:r>
          </w:p>
        </w:tc>
        <w:tc>
          <w:tcPr>
            <w:tcW w:w="1606" w:type="dxa"/>
            <w:tcBorders>
              <w:top w:val="single" w:color="auto" w:sz="2" w:space="0"/>
              <w:left w:val="single" w:color="auto" w:sz="2" w:space="0"/>
              <w:bottom w:val="single" w:color="auto" w:sz="2" w:space="0"/>
              <w:right w:val="single" w:color="auto" w:sz="2" w:space="0"/>
            </w:tcBorders>
            <w:vAlign w:val="center"/>
          </w:tcPr>
          <w:p w14:paraId="20433775">
            <w:pPr>
              <w:spacing w:line="240" w:lineRule="exact"/>
              <w:jc w:val="right"/>
              <w:rPr>
                <w:rFonts w:ascii="宋体" w:hAnsi="宋体" w:eastAsia="宋体" w:cs="宋体"/>
                <w:sz w:val="18"/>
                <w:szCs w:val="18"/>
              </w:rPr>
            </w:pPr>
          </w:p>
        </w:tc>
      </w:tr>
      <w:tr w14:paraId="59C7C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14:paraId="21FA5F8D">
            <w:pPr>
              <w:spacing w:line="240" w:lineRule="exact"/>
              <w:rPr>
                <w:rFonts w:ascii="宋体" w:hAnsi="宋体" w:eastAsia="宋体" w:cs="宋体"/>
                <w:sz w:val="18"/>
                <w:szCs w:val="18"/>
              </w:rPr>
            </w:pPr>
            <w:r>
              <w:rPr>
                <w:rFonts w:ascii="宋体" w:hAnsi="宋体" w:eastAsia="宋体" w:cs="宋体"/>
                <w:sz w:val="18"/>
                <w:szCs w:val="18"/>
              </w:rPr>
              <w:t>阿克苏华孚科技有限公司</w:t>
            </w:r>
          </w:p>
        </w:tc>
        <w:tc>
          <w:tcPr>
            <w:tcW w:w="1606" w:type="dxa"/>
            <w:tcBorders>
              <w:top w:val="single" w:color="auto" w:sz="2" w:space="0"/>
              <w:left w:val="single" w:color="auto" w:sz="2" w:space="0"/>
              <w:bottom w:val="single" w:color="auto" w:sz="2" w:space="0"/>
              <w:right w:val="single" w:color="auto" w:sz="2" w:space="0"/>
            </w:tcBorders>
            <w:vAlign w:val="center"/>
          </w:tcPr>
          <w:p w14:paraId="5D1B66FE">
            <w:pPr>
              <w:spacing w:line="240" w:lineRule="exact"/>
              <w:rPr>
                <w:rFonts w:ascii="宋体" w:hAnsi="宋体" w:eastAsia="宋体" w:cs="宋体"/>
                <w:sz w:val="18"/>
                <w:szCs w:val="18"/>
              </w:rPr>
            </w:pPr>
            <w:r>
              <w:rPr>
                <w:rFonts w:ascii="宋体" w:hAnsi="宋体" w:eastAsia="宋体" w:cs="宋体"/>
                <w:sz w:val="18"/>
                <w:szCs w:val="18"/>
              </w:rPr>
              <w:t>合并范围内往来款</w:t>
            </w:r>
          </w:p>
        </w:tc>
        <w:tc>
          <w:tcPr>
            <w:tcW w:w="1606" w:type="dxa"/>
            <w:tcBorders>
              <w:top w:val="single" w:color="auto" w:sz="2" w:space="0"/>
              <w:left w:val="single" w:color="auto" w:sz="2" w:space="0"/>
              <w:bottom w:val="single" w:color="auto" w:sz="2" w:space="0"/>
              <w:right w:val="single" w:color="auto" w:sz="2" w:space="0"/>
            </w:tcBorders>
            <w:vAlign w:val="center"/>
          </w:tcPr>
          <w:p w14:paraId="4DBEB2D0">
            <w:pPr>
              <w:spacing w:line="240" w:lineRule="exact"/>
              <w:jc w:val="right"/>
              <w:rPr>
                <w:rFonts w:ascii="宋体" w:hAnsi="宋体" w:eastAsia="宋体" w:cs="宋体"/>
                <w:sz w:val="18"/>
                <w:szCs w:val="18"/>
              </w:rPr>
            </w:pPr>
            <w:r>
              <w:rPr>
                <w:rFonts w:ascii="宋体" w:hAnsi="宋体" w:eastAsia="宋体" w:cs="宋体"/>
                <w:sz w:val="18"/>
                <w:szCs w:val="18"/>
              </w:rPr>
              <w:t>14,834.00</w:t>
            </w:r>
          </w:p>
        </w:tc>
        <w:tc>
          <w:tcPr>
            <w:tcW w:w="1606" w:type="dxa"/>
            <w:tcBorders>
              <w:top w:val="single" w:color="auto" w:sz="2" w:space="0"/>
              <w:left w:val="single" w:color="auto" w:sz="2" w:space="0"/>
              <w:bottom w:val="single" w:color="auto" w:sz="2" w:space="0"/>
              <w:right w:val="single" w:color="auto" w:sz="2" w:space="0"/>
            </w:tcBorders>
            <w:vAlign w:val="center"/>
          </w:tcPr>
          <w:p w14:paraId="5F1DC78B">
            <w:pPr>
              <w:spacing w:line="240" w:lineRule="exac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14:paraId="4ACD0767">
            <w:pPr>
              <w:spacing w:line="240" w:lineRule="exact"/>
              <w:jc w:val="right"/>
              <w:rPr>
                <w:rFonts w:ascii="宋体" w:hAnsi="宋体" w:eastAsia="宋体" w:cs="宋体"/>
                <w:sz w:val="18"/>
                <w:szCs w:val="18"/>
              </w:rPr>
            </w:pPr>
            <w:r>
              <w:rPr>
                <w:rFonts w:ascii="宋体" w:hAnsi="宋体" w:eastAsia="宋体" w:cs="宋体"/>
                <w:sz w:val="18"/>
                <w:szCs w:val="18"/>
              </w:rPr>
              <w:t>0.07%</w:t>
            </w:r>
          </w:p>
        </w:tc>
        <w:tc>
          <w:tcPr>
            <w:tcW w:w="1606" w:type="dxa"/>
            <w:tcBorders>
              <w:top w:val="single" w:color="auto" w:sz="2" w:space="0"/>
              <w:left w:val="single" w:color="auto" w:sz="2" w:space="0"/>
              <w:bottom w:val="single" w:color="auto" w:sz="2" w:space="0"/>
              <w:right w:val="single" w:color="auto" w:sz="2" w:space="0"/>
            </w:tcBorders>
            <w:vAlign w:val="center"/>
          </w:tcPr>
          <w:p w14:paraId="2BF2685C">
            <w:pPr>
              <w:spacing w:line="240" w:lineRule="exact"/>
              <w:jc w:val="right"/>
              <w:rPr>
                <w:rFonts w:ascii="宋体" w:hAnsi="宋体" w:eastAsia="宋体" w:cs="宋体"/>
                <w:sz w:val="18"/>
                <w:szCs w:val="18"/>
              </w:rPr>
            </w:pPr>
          </w:p>
        </w:tc>
      </w:tr>
      <w:tr w14:paraId="019F7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5A1B69F">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0624E968"/>
        </w:tc>
        <w:tc>
          <w:tcPr>
            <w:tcW w:w="1606" w:type="dxa"/>
            <w:tcBorders>
              <w:top w:val="single" w:color="auto" w:sz="2" w:space="0"/>
              <w:left w:val="single" w:color="auto" w:sz="2" w:space="0"/>
              <w:bottom w:val="single" w:color="auto" w:sz="2" w:space="0"/>
              <w:right w:val="single" w:color="auto" w:sz="2" w:space="0"/>
            </w:tcBorders>
            <w:vAlign w:val="center"/>
          </w:tcPr>
          <w:p w14:paraId="4FBDED97">
            <w:pPr>
              <w:spacing w:line="240" w:lineRule="exact"/>
              <w:jc w:val="right"/>
              <w:rPr>
                <w:rFonts w:ascii="宋体" w:hAnsi="宋体" w:eastAsia="宋体" w:cs="宋体"/>
                <w:sz w:val="18"/>
                <w:szCs w:val="18"/>
              </w:rPr>
            </w:pPr>
            <w:r>
              <w:rPr>
                <w:rFonts w:ascii="宋体" w:hAnsi="宋体" w:eastAsia="宋体" w:cs="宋体"/>
                <w:sz w:val="18"/>
                <w:szCs w:val="18"/>
              </w:rPr>
              <w:t>20,667,696.77</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14:paraId="680A5036"/>
        </w:tc>
        <w:tc>
          <w:tcPr>
            <w:tcW w:w="1606" w:type="dxa"/>
            <w:tcBorders>
              <w:top w:val="single" w:color="auto" w:sz="2" w:space="0"/>
              <w:left w:val="single" w:color="auto" w:sz="2" w:space="0"/>
              <w:bottom w:val="single" w:color="auto" w:sz="2" w:space="0"/>
              <w:right w:val="single" w:color="auto" w:sz="2" w:space="0"/>
            </w:tcBorders>
            <w:vAlign w:val="center"/>
          </w:tcPr>
          <w:p w14:paraId="358E38B6">
            <w:pPr>
              <w:spacing w:line="240" w:lineRule="exact"/>
              <w:jc w:val="right"/>
              <w:rPr>
                <w:rFonts w:ascii="宋体" w:hAnsi="宋体" w:eastAsia="宋体" w:cs="宋体"/>
                <w:sz w:val="18"/>
                <w:szCs w:val="18"/>
              </w:rPr>
            </w:pPr>
            <w:r>
              <w:rPr>
                <w:rFonts w:ascii="宋体" w:hAnsi="宋体" w:eastAsia="宋体" w:cs="宋体"/>
                <w:sz w:val="18"/>
                <w:szCs w:val="18"/>
              </w:rPr>
              <w:t>99.97%</w:t>
            </w:r>
          </w:p>
        </w:tc>
        <w:tc>
          <w:tcPr>
            <w:tcW w:w="1606" w:type="dxa"/>
            <w:tcBorders>
              <w:top w:val="single" w:color="auto" w:sz="2" w:space="0"/>
              <w:left w:val="single" w:color="auto" w:sz="2" w:space="0"/>
              <w:bottom w:val="single" w:color="auto" w:sz="2" w:space="0"/>
              <w:right w:val="single" w:color="auto" w:sz="2" w:space="0"/>
            </w:tcBorders>
            <w:vAlign w:val="center"/>
          </w:tcPr>
          <w:p w14:paraId="08B9EA01">
            <w:pPr>
              <w:spacing w:line="240" w:lineRule="exact"/>
              <w:jc w:val="right"/>
              <w:rPr>
                <w:rFonts w:ascii="宋体" w:hAnsi="宋体" w:eastAsia="宋体" w:cs="宋体"/>
                <w:sz w:val="18"/>
                <w:szCs w:val="18"/>
              </w:rPr>
            </w:pPr>
            <w:r>
              <w:rPr>
                <w:rFonts w:ascii="宋体" w:hAnsi="宋体" w:eastAsia="宋体" w:cs="宋体"/>
                <w:sz w:val="18"/>
                <w:szCs w:val="18"/>
              </w:rPr>
              <w:t>19,115,777.77</w:t>
            </w:r>
          </w:p>
        </w:tc>
      </w:tr>
    </w:tbl>
    <w:p w14:paraId="14CA755A">
      <w:pPr>
        <w:keepNext/>
        <w:keepLines/>
        <w:spacing w:before="300" w:after="300" w:line="280" w:lineRule="exact"/>
        <w:outlineLvl w:val="4"/>
        <w:rPr>
          <w:rFonts w:ascii="宋体" w:hAnsi="宋体" w:eastAsia="宋体" w:cs="宋体"/>
          <w:b/>
          <w:bCs/>
          <w:sz w:val="18"/>
          <w:szCs w:val="18"/>
        </w:rPr>
      </w:pPr>
      <w:bookmarkStart w:id="641" w:name="_Toc989496"/>
      <w:r>
        <w:rPr>
          <w:rFonts w:ascii="宋体" w:hAnsi="宋体" w:eastAsia="宋体" w:cs="宋体"/>
          <w:b/>
          <w:bCs/>
          <w:sz w:val="18"/>
          <w:szCs w:val="18"/>
        </w:rPr>
        <w:t>7） 因资金集中管理而列报于其他应收款</w:t>
      </w:r>
      <w:bookmarkEnd w:id="641"/>
    </w:p>
    <w:p w14:paraId="4864422F">
      <w:pPr>
        <w:pStyle w:val="3"/>
        <w:spacing w:line="280" w:lineRule="exact"/>
        <w:jc w:val="left"/>
        <w:rPr>
          <w:rFonts w:ascii="宋体" w:hAnsi="宋体" w:cs="宋体"/>
          <w:b/>
          <w:bCs/>
        </w:rPr>
      </w:pPr>
      <w:bookmarkStart w:id="642" w:name="_Toc989497"/>
      <w:r>
        <w:rPr>
          <w:rFonts w:ascii="宋体" w:hAnsi="宋体" w:cs="宋体"/>
          <w:b/>
          <w:bCs/>
        </w:rPr>
        <w:t>3、长期股权投资</w:t>
      </w:r>
      <w:bookmarkEnd w:id="642"/>
    </w:p>
    <w:p w14:paraId="358B285E">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72156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E9CA1D9">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1F33C4FA">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14:paraId="716F0DEC">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0DCFE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22E7EFA"/>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AD91BDA">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38EAC82">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1B0816B">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F84BFF2">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8FD3769">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5FBE45B">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14:paraId="4BBA1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0A8CB31">
            <w:pPr>
              <w:spacing w:before="40" w:after="40" w:line="240" w:lineRule="exact"/>
              <w:rPr>
                <w:rFonts w:ascii="宋体" w:hAnsi="宋体" w:eastAsia="宋体" w:cs="宋体"/>
                <w:sz w:val="18"/>
                <w:szCs w:val="18"/>
              </w:rPr>
            </w:pPr>
            <w:r>
              <w:rPr>
                <w:rFonts w:ascii="宋体" w:hAnsi="宋体" w:eastAsia="宋体" w:cs="宋体"/>
                <w:sz w:val="18"/>
                <w:szCs w:val="18"/>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14:paraId="1C180495">
            <w:pPr>
              <w:spacing w:line="240" w:lineRule="exact"/>
              <w:jc w:val="right"/>
              <w:rPr>
                <w:rFonts w:ascii="宋体" w:hAnsi="宋体" w:eastAsia="宋体" w:cs="宋体"/>
                <w:sz w:val="18"/>
                <w:szCs w:val="18"/>
              </w:rPr>
            </w:pPr>
            <w:r>
              <w:rPr>
                <w:rFonts w:ascii="宋体" w:hAnsi="宋体" w:eastAsia="宋体" w:cs="宋体"/>
                <w:sz w:val="18"/>
                <w:szCs w:val="18"/>
              </w:rPr>
              <w:t>4,249,351,677.33</w:t>
            </w:r>
          </w:p>
        </w:tc>
        <w:tc>
          <w:tcPr>
            <w:tcW w:w="1377" w:type="dxa"/>
            <w:tcBorders>
              <w:top w:val="single" w:color="auto" w:sz="2" w:space="0"/>
              <w:left w:val="single" w:color="auto" w:sz="2" w:space="0"/>
              <w:bottom w:val="single" w:color="auto" w:sz="2" w:space="0"/>
              <w:right w:val="single" w:color="auto" w:sz="2" w:space="0"/>
            </w:tcBorders>
            <w:vAlign w:val="center"/>
          </w:tcPr>
          <w:p w14:paraId="68ACB1F4">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0B652BB4">
            <w:pPr>
              <w:spacing w:line="240" w:lineRule="exact"/>
              <w:jc w:val="right"/>
              <w:rPr>
                <w:rFonts w:ascii="宋体" w:hAnsi="宋体" w:eastAsia="宋体" w:cs="宋体"/>
                <w:sz w:val="18"/>
                <w:szCs w:val="18"/>
              </w:rPr>
            </w:pPr>
            <w:r>
              <w:rPr>
                <w:rFonts w:ascii="宋体" w:hAnsi="宋体" w:eastAsia="宋体" w:cs="宋体"/>
                <w:sz w:val="18"/>
                <w:szCs w:val="18"/>
              </w:rPr>
              <w:t>4,249,351,677.33</w:t>
            </w:r>
          </w:p>
        </w:tc>
        <w:tc>
          <w:tcPr>
            <w:tcW w:w="1377" w:type="dxa"/>
            <w:tcBorders>
              <w:top w:val="single" w:color="auto" w:sz="2" w:space="0"/>
              <w:left w:val="single" w:color="auto" w:sz="2" w:space="0"/>
              <w:bottom w:val="single" w:color="auto" w:sz="2" w:space="0"/>
              <w:right w:val="single" w:color="auto" w:sz="2" w:space="0"/>
            </w:tcBorders>
            <w:vAlign w:val="center"/>
          </w:tcPr>
          <w:p w14:paraId="7D9547FB">
            <w:pPr>
              <w:spacing w:line="240" w:lineRule="exact"/>
              <w:jc w:val="right"/>
              <w:rPr>
                <w:rFonts w:ascii="宋体" w:hAnsi="宋体" w:eastAsia="宋体" w:cs="宋体"/>
                <w:sz w:val="18"/>
                <w:szCs w:val="18"/>
              </w:rPr>
            </w:pPr>
            <w:r>
              <w:rPr>
                <w:rFonts w:ascii="宋体" w:hAnsi="宋体" w:eastAsia="宋体" w:cs="宋体"/>
                <w:sz w:val="18"/>
                <w:szCs w:val="18"/>
              </w:rPr>
              <w:t>4,143,101,677.33</w:t>
            </w:r>
          </w:p>
        </w:tc>
        <w:tc>
          <w:tcPr>
            <w:tcW w:w="1377" w:type="dxa"/>
            <w:tcBorders>
              <w:top w:val="single" w:color="auto" w:sz="2" w:space="0"/>
              <w:left w:val="single" w:color="auto" w:sz="2" w:space="0"/>
              <w:bottom w:val="single" w:color="auto" w:sz="2" w:space="0"/>
              <w:right w:val="single" w:color="auto" w:sz="2" w:space="0"/>
            </w:tcBorders>
            <w:vAlign w:val="center"/>
          </w:tcPr>
          <w:p w14:paraId="6C73C7D2">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1F89787">
            <w:pPr>
              <w:spacing w:line="240" w:lineRule="exact"/>
              <w:jc w:val="right"/>
              <w:rPr>
                <w:rFonts w:ascii="宋体" w:hAnsi="宋体" w:eastAsia="宋体" w:cs="宋体"/>
                <w:sz w:val="18"/>
                <w:szCs w:val="18"/>
              </w:rPr>
            </w:pPr>
            <w:r>
              <w:rPr>
                <w:rFonts w:ascii="宋体" w:hAnsi="宋体" w:eastAsia="宋体" w:cs="宋体"/>
                <w:sz w:val="18"/>
                <w:szCs w:val="18"/>
              </w:rPr>
              <w:t>4,143,101,677.33</w:t>
            </w:r>
          </w:p>
        </w:tc>
      </w:tr>
      <w:tr w14:paraId="0727B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2D0AEBEA">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14:paraId="3DB895AF">
            <w:pPr>
              <w:spacing w:line="240" w:lineRule="exact"/>
              <w:jc w:val="right"/>
              <w:rPr>
                <w:rFonts w:ascii="宋体" w:hAnsi="宋体" w:eastAsia="宋体" w:cs="宋体"/>
                <w:sz w:val="18"/>
                <w:szCs w:val="18"/>
              </w:rPr>
            </w:pPr>
            <w:r>
              <w:rPr>
                <w:rFonts w:ascii="宋体" w:hAnsi="宋体" w:eastAsia="宋体" w:cs="宋体"/>
                <w:sz w:val="18"/>
                <w:szCs w:val="18"/>
              </w:rPr>
              <w:t>4,249,351,677.33</w:t>
            </w:r>
          </w:p>
        </w:tc>
        <w:tc>
          <w:tcPr>
            <w:tcW w:w="1377" w:type="dxa"/>
            <w:tcBorders>
              <w:top w:val="single" w:color="auto" w:sz="2" w:space="0"/>
              <w:left w:val="single" w:color="auto" w:sz="2" w:space="0"/>
              <w:bottom w:val="single" w:color="auto" w:sz="2" w:space="0"/>
              <w:right w:val="single" w:color="auto" w:sz="2" w:space="0"/>
            </w:tcBorders>
            <w:vAlign w:val="center"/>
          </w:tcPr>
          <w:p w14:paraId="10539B83">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18AD0DB6">
            <w:pPr>
              <w:spacing w:line="240" w:lineRule="exact"/>
              <w:jc w:val="right"/>
              <w:rPr>
                <w:rFonts w:ascii="宋体" w:hAnsi="宋体" w:eastAsia="宋体" w:cs="宋体"/>
                <w:sz w:val="18"/>
                <w:szCs w:val="18"/>
              </w:rPr>
            </w:pPr>
            <w:r>
              <w:rPr>
                <w:rFonts w:ascii="宋体" w:hAnsi="宋体" w:eastAsia="宋体" w:cs="宋体"/>
                <w:sz w:val="18"/>
                <w:szCs w:val="18"/>
              </w:rPr>
              <w:t>4,249,351,677.33</w:t>
            </w:r>
          </w:p>
        </w:tc>
        <w:tc>
          <w:tcPr>
            <w:tcW w:w="1377" w:type="dxa"/>
            <w:tcBorders>
              <w:top w:val="single" w:color="auto" w:sz="2" w:space="0"/>
              <w:left w:val="single" w:color="auto" w:sz="2" w:space="0"/>
              <w:bottom w:val="single" w:color="auto" w:sz="2" w:space="0"/>
              <w:right w:val="single" w:color="auto" w:sz="2" w:space="0"/>
            </w:tcBorders>
            <w:vAlign w:val="center"/>
          </w:tcPr>
          <w:p w14:paraId="39275DAE">
            <w:pPr>
              <w:spacing w:line="240" w:lineRule="exact"/>
              <w:jc w:val="right"/>
              <w:rPr>
                <w:rFonts w:ascii="宋体" w:hAnsi="宋体" w:eastAsia="宋体" w:cs="宋体"/>
                <w:sz w:val="18"/>
                <w:szCs w:val="18"/>
              </w:rPr>
            </w:pPr>
            <w:r>
              <w:rPr>
                <w:rFonts w:ascii="宋体" w:hAnsi="宋体" w:eastAsia="宋体" w:cs="宋体"/>
                <w:sz w:val="18"/>
                <w:szCs w:val="18"/>
              </w:rPr>
              <w:t>4,143,101,677.33</w:t>
            </w:r>
          </w:p>
        </w:tc>
        <w:tc>
          <w:tcPr>
            <w:tcW w:w="1377" w:type="dxa"/>
            <w:tcBorders>
              <w:top w:val="single" w:color="auto" w:sz="2" w:space="0"/>
              <w:left w:val="single" w:color="auto" w:sz="2" w:space="0"/>
              <w:bottom w:val="single" w:color="auto" w:sz="2" w:space="0"/>
              <w:right w:val="single" w:color="auto" w:sz="2" w:space="0"/>
            </w:tcBorders>
            <w:vAlign w:val="center"/>
          </w:tcPr>
          <w:p w14:paraId="5FEDE228">
            <w:pPr>
              <w:spacing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14:paraId="742C9400">
            <w:pPr>
              <w:spacing w:line="240" w:lineRule="exact"/>
              <w:jc w:val="right"/>
              <w:rPr>
                <w:rFonts w:ascii="宋体" w:hAnsi="宋体" w:eastAsia="宋体" w:cs="宋体"/>
                <w:sz w:val="18"/>
                <w:szCs w:val="18"/>
              </w:rPr>
            </w:pPr>
            <w:r>
              <w:rPr>
                <w:rFonts w:ascii="宋体" w:hAnsi="宋体" w:eastAsia="宋体" w:cs="宋体"/>
                <w:sz w:val="18"/>
                <w:szCs w:val="18"/>
              </w:rPr>
              <w:t>4,143,101,677.33</w:t>
            </w:r>
          </w:p>
        </w:tc>
      </w:tr>
    </w:tbl>
    <w:p w14:paraId="5242A8C8">
      <w:pPr>
        <w:keepNext/>
        <w:keepLines/>
        <w:spacing w:before="300" w:after="300" w:line="280" w:lineRule="exact"/>
        <w:outlineLvl w:val="3"/>
        <w:rPr>
          <w:rFonts w:ascii="宋体" w:hAnsi="宋体" w:eastAsia="宋体" w:cs="宋体"/>
          <w:b/>
          <w:bCs/>
          <w:szCs w:val="21"/>
        </w:rPr>
      </w:pPr>
      <w:bookmarkStart w:id="643" w:name="_Toc989498"/>
      <w:r>
        <w:rPr>
          <w:rFonts w:ascii="宋体" w:hAnsi="宋体" w:eastAsia="宋体" w:cs="宋体"/>
          <w:b/>
          <w:bCs/>
          <w:szCs w:val="21"/>
        </w:rPr>
        <w:t>（1） 对子公司投资</w:t>
      </w:r>
      <w:bookmarkEnd w:id="643"/>
    </w:p>
    <w:p w14:paraId="0C05531D">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4B8C5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057A348">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D2F2AE0">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239D442">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14:paraId="50691543">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563DCFD">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3A0C7AE">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14:paraId="31D00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58A4ADC"/>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692C482"/>
        </w:tc>
        <w:tc>
          <w:tcPr>
            <w:tcW w:w="1071" w:type="dxa"/>
            <w:vMerge w:val="continue"/>
            <w:tcBorders>
              <w:top w:val="single" w:color="auto" w:sz="2" w:space="0"/>
              <w:left w:val="single" w:color="auto" w:sz="2" w:space="0"/>
              <w:bottom w:val="single" w:color="auto" w:sz="2" w:space="0"/>
              <w:right w:val="single" w:color="auto" w:sz="2" w:space="0"/>
            </w:tcBorders>
            <w:vAlign w:val="center"/>
          </w:tcPr>
          <w:p w14:paraId="3D8413F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A2A04B3">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95CD02F">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DCF3A86">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A06CE3A">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74728C0"/>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36F86AB"/>
        </w:tc>
      </w:tr>
      <w:tr w14:paraId="5CE9F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9F81A63">
            <w:pPr>
              <w:spacing w:line="240" w:lineRule="exact"/>
              <w:rPr>
                <w:rFonts w:ascii="宋体" w:hAnsi="宋体" w:eastAsia="宋体" w:cs="宋体"/>
                <w:sz w:val="18"/>
                <w:szCs w:val="18"/>
              </w:rPr>
            </w:pPr>
            <w:r>
              <w:rPr>
                <w:rFonts w:ascii="宋体" w:hAnsi="宋体" w:eastAsia="宋体" w:cs="宋体"/>
                <w:sz w:val="18"/>
                <w:szCs w:val="18"/>
              </w:rPr>
              <w:t>深圳市华孚进出口有限公司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7469971C">
            <w:pPr>
              <w:spacing w:line="240" w:lineRule="exact"/>
              <w:jc w:val="right"/>
              <w:rPr>
                <w:rFonts w:ascii="宋体" w:hAnsi="宋体" w:eastAsia="宋体" w:cs="宋体"/>
                <w:sz w:val="18"/>
                <w:szCs w:val="18"/>
              </w:rPr>
            </w:pPr>
            <w:r>
              <w:rPr>
                <w:rFonts w:ascii="宋体" w:hAnsi="宋体" w:eastAsia="宋体" w:cs="宋体"/>
                <w:sz w:val="18"/>
                <w:szCs w:val="18"/>
              </w:rPr>
              <w:t>2,126,565,336.11</w:t>
            </w:r>
          </w:p>
        </w:tc>
        <w:tc>
          <w:tcPr>
            <w:tcW w:w="1071" w:type="dxa"/>
            <w:tcBorders>
              <w:top w:val="single" w:color="auto" w:sz="2" w:space="0"/>
              <w:left w:val="single" w:color="auto" w:sz="2" w:space="0"/>
              <w:bottom w:val="single" w:color="auto" w:sz="2" w:space="0"/>
              <w:right w:val="single" w:color="auto" w:sz="2" w:space="0"/>
            </w:tcBorders>
            <w:vAlign w:val="center"/>
          </w:tcPr>
          <w:p w14:paraId="3FC931A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439034">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EA5D49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1CDF25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3651D1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E4E5F7F">
            <w:pPr>
              <w:spacing w:line="240" w:lineRule="exact"/>
              <w:jc w:val="right"/>
              <w:rPr>
                <w:rFonts w:ascii="宋体" w:hAnsi="宋体" w:eastAsia="宋体" w:cs="宋体"/>
                <w:sz w:val="18"/>
                <w:szCs w:val="18"/>
              </w:rPr>
            </w:pPr>
            <w:r>
              <w:rPr>
                <w:rFonts w:ascii="宋体" w:hAnsi="宋体" w:eastAsia="宋体" w:cs="宋体"/>
                <w:sz w:val="18"/>
                <w:szCs w:val="18"/>
              </w:rPr>
              <w:t>2,126,565,336.11</w:t>
            </w:r>
          </w:p>
        </w:tc>
        <w:tc>
          <w:tcPr>
            <w:tcW w:w="1071" w:type="dxa"/>
            <w:tcBorders>
              <w:top w:val="single" w:color="auto" w:sz="2" w:space="0"/>
              <w:left w:val="single" w:color="auto" w:sz="2" w:space="0"/>
              <w:bottom w:val="single" w:color="auto" w:sz="2" w:space="0"/>
              <w:right w:val="single" w:color="auto" w:sz="2" w:space="0"/>
            </w:tcBorders>
            <w:vAlign w:val="center"/>
          </w:tcPr>
          <w:p w14:paraId="5B3C8D04">
            <w:pPr>
              <w:spacing w:line="240" w:lineRule="exact"/>
              <w:jc w:val="right"/>
              <w:rPr>
                <w:rFonts w:ascii="宋体" w:hAnsi="宋体" w:eastAsia="宋体" w:cs="宋体"/>
                <w:sz w:val="18"/>
                <w:szCs w:val="18"/>
              </w:rPr>
            </w:pPr>
          </w:p>
        </w:tc>
      </w:tr>
      <w:tr w14:paraId="5B8A3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DE6859F">
            <w:pPr>
              <w:spacing w:line="240" w:lineRule="exact"/>
              <w:rPr>
                <w:rFonts w:ascii="宋体" w:hAnsi="宋体" w:eastAsia="宋体" w:cs="宋体"/>
                <w:sz w:val="18"/>
                <w:szCs w:val="18"/>
              </w:rPr>
            </w:pPr>
            <w:r>
              <w:rPr>
                <w:rFonts w:ascii="宋体" w:hAnsi="宋体" w:eastAsia="宋体" w:cs="宋体"/>
                <w:sz w:val="18"/>
                <w:szCs w:val="18"/>
              </w:rPr>
              <w:t>浙江金华华孚纺织有限公司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6A3DC01D">
            <w:pPr>
              <w:spacing w:line="240" w:lineRule="exact"/>
              <w:jc w:val="right"/>
              <w:rPr>
                <w:rFonts w:ascii="宋体" w:hAnsi="宋体" w:eastAsia="宋体" w:cs="宋体"/>
                <w:sz w:val="18"/>
                <w:szCs w:val="18"/>
              </w:rPr>
            </w:pPr>
            <w:r>
              <w:rPr>
                <w:rFonts w:ascii="宋体" w:hAnsi="宋体" w:eastAsia="宋体" w:cs="宋体"/>
                <w:sz w:val="18"/>
                <w:szCs w:val="18"/>
              </w:rPr>
              <w:t>12,832,704.89</w:t>
            </w:r>
          </w:p>
        </w:tc>
        <w:tc>
          <w:tcPr>
            <w:tcW w:w="1071" w:type="dxa"/>
            <w:tcBorders>
              <w:top w:val="single" w:color="auto" w:sz="2" w:space="0"/>
              <w:left w:val="single" w:color="auto" w:sz="2" w:space="0"/>
              <w:bottom w:val="single" w:color="auto" w:sz="2" w:space="0"/>
              <w:right w:val="single" w:color="auto" w:sz="2" w:space="0"/>
            </w:tcBorders>
            <w:vAlign w:val="center"/>
          </w:tcPr>
          <w:p w14:paraId="54222AD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3DC5B43">
            <w:pPr>
              <w:spacing w:line="240" w:lineRule="exact"/>
              <w:jc w:val="right"/>
              <w:rPr>
                <w:rFonts w:ascii="宋体" w:hAnsi="宋体" w:eastAsia="宋体" w:cs="宋体"/>
                <w:sz w:val="18"/>
                <w:szCs w:val="18"/>
              </w:rPr>
            </w:pPr>
            <w:r>
              <w:rPr>
                <w:rFonts w:ascii="宋体" w:hAnsi="宋体" w:eastAsia="宋体" w:cs="宋体"/>
                <w:sz w:val="18"/>
                <w:szCs w:val="18"/>
              </w:rPr>
              <w:t>106,250,000.00</w:t>
            </w:r>
          </w:p>
        </w:tc>
        <w:tc>
          <w:tcPr>
            <w:tcW w:w="1071" w:type="dxa"/>
            <w:tcBorders>
              <w:top w:val="single" w:color="auto" w:sz="2" w:space="0"/>
              <w:left w:val="single" w:color="auto" w:sz="2" w:space="0"/>
              <w:bottom w:val="single" w:color="auto" w:sz="2" w:space="0"/>
              <w:right w:val="single" w:color="auto" w:sz="2" w:space="0"/>
            </w:tcBorders>
            <w:vAlign w:val="center"/>
          </w:tcPr>
          <w:p w14:paraId="0525282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7B5306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47B852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6E44ED">
            <w:pPr>
              <w:spacing w:line="240" w:lineRule="exact"/>
              <w:jc w:val="right"/>
              <w:rPr>
                <w:rFonts w:ascii="宋体" w:hAnsi="宋体" w:eastAsia="宋体" w:cs="宋体"/>
                <w:sz w:val="18"/>
                <w:szCs w:val="18"/>
              </w:rPr>
            </w:pPr>
            <w:r>
              <w:rPr>
                <w:rFonts w:ascii="宋体" w:hAnsi="宋体" w:eastAsia="宋体" w:cs="宋体"/>
                <w:sz w:val="18"/>
                <w:szCs w:val="18"/>
              </w:rPr>
              <w:t>119,082,704.89</w:t>
            </w:r>
          </w:p>
        </w:tc>
        <w:tc>
          <w:tcPr>
            <w:tcW w:w="1071" w:type="dxa"/>
            <w:tcBorders>
              <w:top w:val="single" w:color="auto" w:sz="2" w:space="0"/>
              <w:left w:val="single" w:color="auto" w:sz="2" w:space="0"/>
              <w:bottom w:val="single" w:color="auto" w:sz="2" w:space="0"/>
              <w:right w:val="single" w:color="auto" w:sz="2" w:space="0"/>
            </w:tcBorders>
            <w:vAlign w:val="center"/>
          </w:tcPr>
          <w:p w14:paraId="383427E5">
            <w:pPr>
              <w:spacing w:line="240" w:lineRule="exact"/>
              <w:jc w:val="right"/>
              <w:rPr>
                <w:rFonts w:ascii="宋体" w:hAnsi="宋体" w:eastAsia="宋体" w:cs="宋体"/>
                <w:sz w:val="18"/>
                <w:szCs w:val="18"/>
              </w:rPr>
            </w:pPr>
          </w:p>
        </w:tc>
      </w:tr>
      <w:tr w14:paraId="09BFC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344C142">
            <w:pPr>
              <w:spacing w:line="240" w:lineRule="exact"/>
              <w:rPr>
                <w:rFonts w:ascii="宋体" w:hAnsi="宋体" w:eastAsia="宋体" w:cs="宋体"/>
                <w:sz w:val="18"/>
                <w:szCs w:val="18"/>
              </w:rPr>
            </w:pPr>
            <w:r>
              <w:rPr>
                <w:rFonts w:ascii="宋体" w:hAnsi="宋体" w:eastAsia="宋体" w:cs="宋体"/>
                <w:sz w:val="18"/>
                <w:szCs w:val="18"/>
              </w:rPr>
              <w:t>浙江华孚色纺有限公司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4B3E33FC">
            <w:pPr>
              <w:spacing w:line="240" w:lineRule="exact"/>
              <w:jc w:val="right"/>
              <w:rPr>
                <w:rFonts w:ascii="宋体" w:hAnsi="宋体" w:eastAsia="宋体" w:cs="宋体"/>
                <w:sz w:val="18"/>
                <w:szCs w:val="18"/>
              </w:rPr>
            </w:pPr>
            <w:r>
              <w:rPr>
                <w:rFonts w:ascii="宋体" w:hAnsi="宋体" w:eastAsia="宋体" w:cs="宋体"/>
                <w:sz w:val="18"/>
                <w:szCs w:val="18"/>
              </w:rPr>
              <w:t>144,067,052.44</w:t>
            </w:r>
          </w:p>
        </w:tc>
        <w:tc>
          <w:tcPr>
            <w:tcW w:w="1071" w:type="dxa"/>
            <w:tcBorders>
              <w:top w:val="single" w:color="auto" w:sz="2" w:space="0"/>
              <w:left w:val="single" w:color="auto" w:sz="2" w:space="0"/>
              <w:bottom w:val="single" w:color="auto" w:sz="2" w:space="0"/>
              <w:right w:val="single" w:color="auto" w:sz="2" w:space="0"/>
            </w:tcBorders>
            <w:vAlign w:val="center"/>
          </w:tcPr>
          <w:p w14:paraId="0A4DA40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DC7A35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1EA521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CB8BC5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3F3C4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42ECB52">
            <w:pPr>
              <w:spacing w:line="240" w:lineRule="exact"/>
              <w:jc w:val="right"/>
              <w:rPr>
                <w:rFonts w:ascii="宋体" w:hAnsi="宋体" w:eastAsia="宋体" w:cs="宋体"/>
                <w:sz w:val="18"/>
                <w:szCs w:val="18"/>
              </w:rPr>
            </w:pPr>
            <w:r>
              <w:rPr>
                <w:rFonts w:ascii="宋体" w:hAnsi="宋体" w:eastAsia="宋体" w:cs="宋体"/>
                <w:sz w:val="18"/>
                <w:szCs w:val="18"/>
              </w:rPr>
              <w:t>144,067,052.44</w:t>
            </w:r>
          </w:p>
        </w:tc>
        <w:tc>
          <w:tcPr>
            <w:tcW w:w="1071" w:type="dxa"/>
            <w:tcBorders>
              <w:top w:val="single" w:color="auto" w:sz="2" w:space="0"/>
              <w:left w:val="single" w:color="auto" w:sz="2" w:space="0"/>
              <w:bottom w:val="single" w:color="auto" w:sz="2" w:space="0"/>
              <w:right w:val="single" w:color="auto" w:sz="2" w:space="0"/>
            </w:tcBorders>
            <w:vAlign w:val="center"/>
          </w:tcPr>
          <w:p w14:paraId="3DB89D83">
            <w:pPr>
              <w:spacing w:line="240" w:lineRule="exact"/>
              <w:jc w:val="right"/>
              <w:rPr>
                <w:rFonts w:ascii="宋体" w:hAnsi="宋体" w:eastAsia="宋体" w:cs="宋体"/>
                <w:sz w:val="18"/>
                <w:szCs w:val="18"/>
              </w:rPr>
            </w:pPr>
          </w:p>
        </w:tc>
      </w:tr>
      <w:tr w14:paraId="7E742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FB5A529">
            <w:pPr>
              <w:spacing w:line="240" w:lineRule="exact"/>
              <w:rPr>
                <w:rFonts w:ascii="宋体" w:hAnsi="宋体" w:eastAsia="宋体" w:cs="宋体"/>
                <w:sz w:val="18"/>
                <w:szCs w:val="18"/>
              </w:rPr>
            </w:pPr>
            <w:r>
              <w:rPr>
                <w:rFonts w:ascii="宋体" w:hAnsi="宋体" w:eastAsia="宋体" w:cs="宋体"/>
                <w:sz w:val="18"/>
                <w:szCs w:val="18"/>
              </w:rPr>
              <w:t>淮北中新纺织有限公司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315CB5C0">
            <w:pPr>
              <w:spacing w:line="240" w:lineRule="exact"/>
              <w:jc w:val="right"/>
              <w:rPr>
                <w:rFonts w:ascii="宋体" w:hAnsi="宋体" w:eastAsia="宋体" w:cs="宋体"/>
                <w:sz w:val="18"/>
                <w:szCs w:val="18"/>
              </w:rPr>
            </w:pPr>
            <w:r>
              <w:rPr>
                <w:rFonts w:ascii="宋体" w:hAnsi="宋体" w:eastAsia="宋体" w:cs="宋体"/>
                <w:sz w:val="18"/>
                <w:szCs w:val="18"/>
              </w:rPr>
              <w:t>205,306,183.89</w:t>
            </w:r>
          </w:p>
        </w:tc>
        <w:tc>
          <w:tcPr>
            <w:tcW w:w="1071" w:type="dxa"/>
            <w:tcBorders>
              <w:top w:val="single" w:color="auto" w:sz="2" w:space="0"/>
              <w:left w:val="single" w:color="auto" w:sz="2" w:space="0"/>
              <w:bottom w:val="single" w:color="auto" w:sz="2" w:space="0"/>
              <w:right w:val="single" w:color="auto" w:sz="2" w:space="0"/>
            </w:tcBorders>
            <w:vAlign w:val="center"/>
          </w:tcPr>
          <w:p w14:paraId="164FA73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ED6AD0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B4405A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745C14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258DBE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D61F5B9">
            <w:pPr>
              <w:spacing w:line="240" w:lineRule="exact"/>
              <w:jc w:val="right"/>
              <w:rPr>
                <w:rFonts w:ascii="宋体" w:hAnsi="宋体" w:eastAsia="宋体" w:cs="宋体"/>
                <w:sz w:val="18"/>
                <w:szCs w:val="18"/>
              </w:rPr>
            </w:pPr>
            <w:r>
              <w:rPr>
                <w:rFonts w:ascii="宋体" w:hAnsi="宋体" w:eastAsia="宋体" w:cs="宋体"/>
                <w:sz w:val="18"/>
                <w:szCs w:val="18"/>
              </w:rPr>
              <w:t>205,306,183.89</w:t>
            </w:r>
          </w:p>
        </w:tc>
        <w:tc>
          <w:tcPr>
            <w:tcW w:w="1071" w:type="dxa"/>
            <w:tcBorders>
              <w:top w:val="single" w:color="auto" w:sz="2" w:space="0"/>
              <w:left w:val="single" w:color="auto" w:sz="2" w:space="0"/>
              <w:bottom w:val="single" w:color="auto" w:sz="2" w:space="0"/>
              <w:right w:val="single" w:color="auto" w:sz="2" w:space="0"/>
            </w:tcBorders>
            <w:vAlign w:val="center"/>
          </w:tcPr>
          <w:p w14:paraId="57362EC2">
            <w:pPr>
              <w:spacing w:line="240" w:lineRule="exact"/>
              <w:jc w:val="right"/>
              <w:rPr>
                <w:rFonts w:ascii="宋体" w:hAnsi="宋体" w:eastAsia="宋体" w:cs="宋体"/>
                <w:sz w:val="18"/>
                <w:szCs w:val="18"/>
              </w:rPr>
            </w:pPr>
          </w:p>
        </w:tc>
      </w:tr>
      <w:tr w14:paraId="13399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E9728C1">
            <w:pPr>
              <w:spacing w:line="240" w:lineRule="exact"/>
              <w:rPr>
                <w:rFonts w:ascii="宋体" w:hAnsi="宋体" w:eastAsia="宋体" w:cs="宋体"/>
                <w:sz w:val="18"/>
                <w:szCs w:val="18"/>
              </w:rPr>
            </w:pPr>
            <w:r>
              <w:rPr>
                <w:rFonts w:ascii="宋体" w:hAnsi="宋体" w:eastAsia="宋体" w:cs="宋体"/>
                <w:sz w:val="18"/>
                <w:szCs w:val="18"/>
              </w:rPr>
              <w:t>奎屯锦孚纺织有限公司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4FB89109">
            <w:pPr>
              <w:spacing w:line="240" w:lineRule="exact"/>
              <w:jc w:val="right"/>
              <w:rPr>
                <w:rFonts w:ascii="宋体" w:hAnsi="宋体" w:eastAsia="宋体" w:cs="宋体"/>
                <w:sz w:val="18"/>
                <w:szCs w:val="18"/>
              </w:rPr>
            </w:pPr>
            <w:r>
              <w:rPr>
                <w:rFonts w:ascii="宋体" w:hAnsi="宋体" w:eastAsia="宋体" w:cs="宋体"/>
                <w:sz w:val="18"/>
                <w:szCs w:val="18"/>
              </w:rPr>
              <w:t>154,330,400.00</w:t>
            </w:r>
          </w:p>
        </w:tc>
        <w:tc>
          <w:tcPr>
            <w:tcW w:w="1071" w:type="dxa"/>
            <w:tcBorders>
              <w:top w:val="single" w:color="auto" w:sz="2" w:space="0"/>
              <w:left w:val="single" w:color="auto" w:sz="2" w:space="0"/>
              <w:bottom w:val="single" w:color="auto" w:sz="2" w:space="0"/>
              <w:right w:val="single" w:color="auto" w:sz="2" w:space="0"/>
            </w:tcBorders>
            <w:vAlign w:val="center"/>
          </w:tcPr>
          <w:p w14:paraId="1DEBBB7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683C79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51981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9B56E4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F0DF63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88D62D8">
            <w:pPr>
              <w:spacing w:line="240" w:lineRule="exact"/>
              <w:jc w:val="right"/>
              <w:rPr>
                <w:rFonts w:ascii="宋体" w:hAnsi="宋体" w:eastAsia="宋体" w:cs="宋体"/>
                <w:sz w:val="18"/>
                <w:szCs w:val="18"/>
              </w:rPr>
            </w:pPr>
            <w:r>
              <w:rPr>
                <w:rFonts w:ascii="宋体" w:hAnsi="宋体" w:eastAsia="宋体" w:cs="宋体"/>
                <w:sz w:val="18"/>
                <w:szCs w:val="18"/>
              </w:rPr>
              <w:t>154,330,400.00</w:t>
            </w:r>
          </w:p>
        </w:tc>
        <w:tc>
          <w:tcPr>
            <w:tcW w:w="1071" w:type="dxa"/>
            <w:tcBorders>
              <w:top w:val="single" w:color="auto" w:sz="2" w:space="0"/>
              <w:left w:val="single" w:color="auto" w:sz="2" w:space="0"/>
              <w:bottom w:val="single" w:color="auto" w:sz="2" w:space="0"/>
              <w:right w:val="single" w:color="auto" w:sz="2" w:space="0"/>
            </w:tcBorders>
            <w:vAlign w:val="center"/>
          </w:tcPr>
          <w:p w14:paraId="62EACC52">
            <w:pPr>
              <w:spacing w:line="240" w:lineRule="exact"/>
              <w:jc w:val="right"/>
              <w:rPr>
                <w:rFonts w:ascii="宋体" w:hAnsi="宋体" w:eastAsia="宋体" w:cs="宋体"/>
                <w:sz w:val="18"/>
                <w:szCs w:val="18"/>
              </w:rPr>
            </w:pPr>
          </w:p>
        </w:tc>
      </w:tr>
      <w:tr w14:paraId="00BF1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9B96921">
            <w:pPr>
              <w:spacing w:line="240" w:lineRule="exact"/>
              <w:rPr>
                <w:rFonts w:ascii="宋体" w:hAnsi="宋体" w:eastAsia="宋体" w:cs="宋体"/>
                <w:sz w:val="18"/>
                <w:szCs w:val="18"/>
              </w:rPr>
            </w:pPr>
            <w:r>
              <w:rPr>
                <w:rFonts w:ascii="宋体" w:hAnsi="宋体" w:eastAsia="宋体" w:cs="宋体"/>
                <w:sz w:val="18"/>
                <w:szCs w:val="18"/>
              </w:rPr>
              <w:t>深圳华孚网链投资有限公司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3670F047">
            <w:pPr>
              <w:spacing w:line="240" w:lineRule="exact"/>
              <w:jc w:val="right"/>
              <w:rPr>
                <w:rFonts w:ascii="宋体" w:hAnsi="宋体" w:eastAsia="宋体" w:cs="宋体"/>
                <w:sz w:val="18"/>
                <w:szCs w:val="18"/>
              </w:rPr>
            </w:pPr>
            <w:r>
              <w:rPr>
                <w:rFonts w:ascii="宋体" w:hAnsi="宋体" w:eastAsia="宋体" w:cs="宋体"/>
                <w:sz w:val="18"/>
                <w:szCs w:val="18"/>
              </w:rPr>
              <w:t>500,000,000.00</w:t>
            </w:r>
          </w:p>
        </w:tc>
        <w:tc>
          <w:tcPr>
            <w:tcW w:w="1071" w:type="dxa"/>
            <w:tcBorders>
              <w:top w:val="single" w:color="auto" w:sz="2" w:space="0"/>
              <w:left w:val="single" w:color="auto" w:sz="2" w:space="0"/>
              <w:bottom w:val="single" w:color="auto" w:sz="2" w:space="0"/>
              <w:right w:val="single" w:color="auto" w:sz="2" w:space="0"/>
            </w:tcBorders>
            <w:vAlign w:val="center"/>
          </w:tcPr>
          <w:p w14:paraId="7C503A4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15F29C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F91473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543D91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AE89154">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5E2FB61">
            <w:pPr>
              <w:spacing w:line="240" w:lineRule="exact"/>
              <w:jc w:val="right"/>
              <w:rPr>
                <w:rFonts w:ascii="宋体" w:hAnsi="宋体" w:eastAsia="宋体" w:cs="宋体"/>
                <w:sz w:val="18"/>
                <w:szCs w:val="18"/>
              </w:rPr>
            </w:pPr>
            <w:r>
              <w:rPr>
                <w:rFonts w:ascii="宋体" w:hAnsi="宋体" w:eastAsia="宋体" w:cs="宋体"/>
                <w:sz w:val="18"/>
                <w:szCs w:val="18"/>
              </w:rPr>
              <w:t>500,000,000.00</w:t>
            </w:r>
          </w:p>
        </w:tc>
        <w:tc>
          <w:tcPr>
            <w:tcW w:w="1071" w:type="dxa"/>
            <w:tcBorders>
              <w:top w:val="single" w:color="auto" w:sz="2" w:space="0"/>
              <w:left w:val="single" w:color="auto" w:sz="2" w:space="0"/>
              <w:bottom w:val="single" w:color="auto" w:sz="2" w:space="0"/>
              <w:right w:val="single" w:color="auto" w:sz="2" w:space="0"/>
            </w:tcBorders>
            <w:vAlign w:val="center"/>
          </w:tcPr>
          <w:p w14:paraId="24A34B77">
            <w:pPr>
              <w:spacing w:line="240" w:lineRule="exact"/>
              <w:jc w:val="right"/>
              <w:rPr>
                <w:rFonts w:ascii="宋体" w:hAnsi="宋体" w:eastAsia="宋体" w:cs="宋体"/>
                <w:sz w:val="18"/>
                <w:szCs w:val="18"/>
              </w:rPr>
            </w:pPr>
          </w:p>
        </w:tc>
      </w:tr>
      <w:tr w14:paraId="736BF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492337F">
            <w:pPr>
              <w:spacing w:line="240" w:lineRule="exact"/>
              <w:rPr>
                <w:rFonts w:ascii="宋体" w:hAnsi="宋体" w:eastAsia="宋体" w:cs="宋体"/>
                <w:sz w:val="18"/>
                <w:szCs w:val="18"/>
              </w:rPr>
            </w:pPr>
            <w:r>
              <w:rPr>
                <w:rFonts w:ascii="宋体" w:hAnsi="宋体" w:eastAsia="宋体" w:cs="宋体"/>
                <w:sz w:val="18"/>
                <w:szCs w:val="18"/>
              </w:rPr>
              <w:t>新疆华孚棉业集团有限公司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2301AB70">
            <w:pPr>
              <w:spacing w:line="240" w:lineRule="exact"/>
              <w:jc w:val="right"/>
              <w:rPr>
                <w:rFonts w:ascii="宋体" w:hAnsi="宋体" w:eastAsia="宋体" w:cs="宋体"/>
                <w:sz w:val="18"/>
                <w:szCs w:val="18"/>
              </w:rPr>
            </w:pPr>
            <w:r>
              <w:rPr>
                <w:rFonts w:ascii="宋体" w:hAnsi="宋体" w:eastAsia="宋体" w:cs="宋体"/>
                <w:sz w:val="18"/>
                <w:szCs w:val="18"/>
              </w:rPr>
              <w:t>1,000,000,000.00</w:t>
            </w:r>
          </w:p>
        </w:tc>
        <w:tc>
          <w:tcPr>
            <w:tcW w:w="1071" w:type="dxa"/>
            <w:tcBorders>
              <w:top w:val="single" w:color="auto" w:sz="2" w:space="0"/>
              <w:left w:val="single" w:color="auto" w:sz="2" w:space="0"/>
              <w:bottom w:val="single" w:color="auto" w:sz="2" w:space="0"/>
              <w:right w:val="single" w:color="auto" w:sz="2" w:space="0"/>
            </w:tcBorders>
            <w:vAlign w:val="center"/>
          </w:tcPr>
          <w:p w14:paraId="407DA98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615125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57E456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9E7F1B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343C12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44AE601">
            <w:pPr>
              <w:spacing w:line="240" w:lineRule="exact"/>
              <w:jc w:val="right"/>
              <w:rPr>
                <w:rFonts w:ascii="宋体" w:hAnsi="宋体" w:eastAsia="宋体" w:cs="宋体"/>
                <w:sz w:val="18"/>
                <w:szCs w:val="18"/>
              </w:rPr>
            </w:pPr>
            <w:r>
              <w:rPr>
                <w:rFonts w:ascii="宋体" w:hAnsi="宋体" w:eastAsia="宋体" w:cs="宋体"/>
                <w:sz w:val="18"/>
                <w:szCs w:val="18"/>
              </w:rPr>
              <w:t>1,000,000,000.00</w:t>
            </w:r>
          </w:p>
        </w:tc>
        <w:tc>
          <w:tcPr>
            <w:tcW w:w="1071" w:type="dxa"/>
            <w:tcBorders>
              <w:top w:val="single" w:color="auto" w:sz="2" w:space="0"/>
              <w:left w:val="single" w:color="auto" w:sz="2" w:space="0"/>
              <w:bottom w:val="single" w:color="auto" w:sz="2" w:space="0"/>
              <w:right w:val="single" w:color="auto" w:sz="2" w:space="0"/>
            </w:tcBorders>
            <w:vAlign w:val="center"/>
          </w:tcPr>
          <w:p w14:paraId="1C18885A">
            <w:pPr>
              <w:spacing w:line="240" w:lineRule="exact"/>
              <w:jc w:val="right"/>
              <w:rPr>
                <w:rFonts w:ascii="宋体" w:hAnsi="宋体" w:eastAsia="宋体" w:cs="宋体"/>
                <w:sz w:val="18"/>
                <w:szCs w:val="18"/>
              </w:rPr>
            </w:pPr>
          </w:p>
        </w:tc>
      </w:tr>
      <w:tr w14:paraId="27043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EAAB494">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14:paraId="4686EE87">
            <w:pPr>
              <w:spacing w:line="240" w:lineRule="exact"/>
              <w:jc w:val="right"/>
              <w:rPr>
                <w:rFonts w:ascii="宋体" w:hAnsi="宋体" w:eastAsia="宋体" w:cs="宋体"/>
                <w:sz w:val="18"/>
                <w:szCs w:val="18"/>
              </w:rPr>
            </w:pPr>
            <w:r>
              <w:rPr>
                <w:rFonts w:ascii="宋体" w:hAnsi="宋体" w:eastAsia="宋体" w:cs="宋体"/>
                <w:sz w:val="18"/>
                <w:szCs w:val="18"/>
              </w:rPr>
              <w:t>4,143,101,677.33</w:t>
            </w:r>
          </w:p>
        </w:tc>
        <w:tc>
          <w:tcPr>
            <w:tcW w:w="1071" w:type="dxa"/>
            <w:tcBorders>
              <w:top w:val="single" w:color="auto" w:sz="2" w:space="0"/>
              <w:left w:val="single" w:color="auto" w:sz="2" w:space="0"/>
              <w:bottom w:val="single" w:color="auto" w:sz="2" w:space="0"/>
              <w:right w:val="single" w:color="auto" w:sz="2" w:space="0"/>
            </w:tcBorders>
            <w:vAlign w:val="center"/>
          </w:tcPr>
          <w:p w14:paraId="3237886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A5C20A6">
            <w:pPr>
              <w:spacing w:line="240" w:lineRule="exact"/>
              <w:jc w:val="right"/>
              <w:rPr>
                <w:rFonts w:ascii="宋体" w:hAnsi="宋体" w:eastAsia="宋体" w:cs="宋体"/>
                <w:sz w:val="18"/>
                <w:szCs w:val="18"/>
              </w:rPr>
            </w:pPr>
            <w:r>
              <w:rPr>
                <w:rFonts w:ascii="宋体" w:hAnsi="宋体" w:eastAsia="宋体" w:cs="宋体"/>
                <w:sz w:val="18"/>
                <w:szCs w:val="18"/>
              </w:rPr>
              <w:t>106,250,000.00</w:t>
            </w:r>
          </w:p>
        </w:tc>
        <w:tc>
          <w:tcPr>
            <w:tcW w:w="1071" w:type="dxa"/>
            <w:tcBorders>
              <w:top w:val="single" w:color="auto" w:sz="2" w:space="0"/>
              <w:left w:val="single" w:color="auto" w:sz="2" w:space="0"/>
              <w:bottom w:val="single" w:color="auto" w:sz="2" w:space="0"/>
              <w:right w:val="single" w:color="auto" w:sz="2" w:space="0"/>
            </w:tcBorders>
            <w:vAlign w:val="center"/>
          </w:tcPr>
          <w:p w14:paraId="47A367A8">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62D80F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444E5E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8CD4E8D">
            <w:pPr>
              <w:spacing w:line="240" w:lineRule="exact"/>
              <w:jc w:val="right"/>
              <w:rPr>
                <w:rFonts w:ascii="宋体" w:hAnsi="宋体" w:eastAsia="宋体" w:cs="宋体"/>
                <w:sz w:val="18"/>
                <w:szCs w:val="18"/>
              </w:rPr>
            </w:pPr>
            <w:r>
              <w:rPr>
                <w:rFonts w:ascii="宋体" w:hAnsi="宋体" w:eastAsia="宋体" w:cs="宋体"/>
                <w:sz w:val="18"/>
                <w:szCs w:val="18"/>
              </w:rPr>
              <w:t>4,249,351,677.33</w:t>
            </w:r>
          </w:p>
        </w:tc>
        <w:tc>
          <w:tcPr>
            <w:tcW w:w="1071" w:type="dxa"/>
            <w:tcBorders>
              <w:top w:val="single" w:color="auto" w:sz="2" w:space="0"/>
              <w:left w:val="single" w:color="auto" w:sz="2" w:space="0"/>
              <w:bottom w:val="single" w:color="auto" w:sz="2" w:space="0"/>
              <w:right w:val="single" w:color="auto" w:sz="2" w:space="0"/>
            </w:tcBorders>
            <w:vAlign w:val="center"/>
          </w:tcPr>
          <w:p w14:paraId="582B6099">
            <w:pPr>
              <w:spacing w:line="240" w:lineRule="exact"/>
              <w:jc w:val="right"/>
              <w:rPr>
                <w:rFonts w:ascii="宋体" w:hAnsi="宋体" w:eastAsia="宋体" w:cs="宋体"/>
                <w:sz w:val="18"/>
                <w:szCs w:val="18"/>
              </w:rPr>
            </w:pPr>
          </w:p>
        </w:tc>
      </w:tr>
    </w:tbl>
    <w:p w14:paraId="5E54E57D">
      <w:pPr>
        <w:keepNext/>
        <w:keepLines/>
        <w:spacing w:before="300" w:after="300" w:line="280" w:lineRule="exact"/>
        <w:outlineLvl w:val="3"/>
        <w:rPr>
          <w:rFonts w:ascii="宋体" w:hAnsi="宋体" w:eastAsia="宋体" w:cs="宋体"/>
          <w:b/>
          <w:bCs/>
          <w:szCs w:val="21"/>
        </w:rPr>
      </w:pPr>
      <w:bookmarkStart w:id="644" w:name="_Toc989499"/>
      <w:r>
        <w:rPr>
          <w:rFonts w:ascii="宋体" w:hAnsi="宋体" w:eastAsia="宋体" w:cs="宋体"/>
          <w:b/>
          <w:bCs/>
          <w:szCs w:val="21"/>
        </w:rPr>
        <w:t>（2） 对联营、合营企业投资</w:t>
      </w:r>
      <w:bookmarkEnd w:id="644"/>
    </w:p>
    <w:p w14:paraId="168F7020">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5"/>
        <w:gridCol w:w="741"/>
        <w:gridCol w:w="743"/>
      </w:tblGrid>
      <w:tr w14:paraId="488B8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934926F">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8B7E80F">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CE867BB">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14:paraId="19CCFD78">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3E217622">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77D9E31B">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14:paraId="4DEEB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D853985"/>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08F8D34"/>
        </w:tc>
        <w:tc>
          <w:tcPr>
            <w:tcW w:w="741" w:type="dxa"/>
            <w:vMerge w:val="continue"/>
            <w:tcBorders>
              <w:top w:val="single" w:color="auto" w:sz="2" w:space="0"/>
              <w:left w:val="single" w:color="auto" w:sz="2" w:space="0"/>
              <w:bottom w:val="single" w:color="auto" w:sz="2" w:space="0"/>
              <w:right w:val="single" w:color="auto" w:sz="2" w:space="0"/>
            </w:tcBorders>
            <w:vAlign w:val="center"/>
          </w:tcPr>
          <w:p w14:paraId="488D6847"/>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4CE45810">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22B8D05">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75572198">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5C70B93A">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3F7FA94">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24D3C76D">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683D0A33">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14:paraId="10881753">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ED1B65C"/>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91CA059"/>
        </w:tc>
      </w:tr>
      <w:tr w14:paraId="2BCE4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4C8545B2">
            <w:pPr>
              <w:spacing w:before="40" w:after="40" w:line="240" w:lineRule="exact"/>
              <w:rPr>
                <w:rFonts w:ascii="宋体" w:hAnsi="宋体" w:eastAsia="宋体" w:cs="宋体"/>
                <w:sz w:val="18"/>
                <w:szCs w:val="18"/>
              </w:rPr>
            </w:pPr>
            <w:r>
              <w:rPr>
                <w:rFonts w:ascii="宋体" w:hAnsi="宋体" w:eastAsia="宋体" w:cs="宋体"/>
                <w:sz w:val="18"/>
                <w:szCs w:val="18"/>
              </w:rPr>
              <w:t>一、合营企业</w:t>
            </w:r>
          </w:p>
        </w:tc>
      </w:tr>
      <w:tr w14:paraId="7A8E0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14:paraId="28F0BED1">
            <w:pPr>
              <w:spacing w:before="40" w:after="40" w:line="240" w:lineRule="exact"/>
              <w:rPr>
                <w:rFonts w:ascii="宋体" w:hAnsi="宋体" w:eastAsia="宋体" w:cs="宋体"/>
                <w:sz w:val="18"/>
                <w:szCs w:val="18"/>
              </w:rPr>
            </w:pPr>
            <w:r>
              <w:rPr>
                <w:rFonts w:ascii="宋体" w:hAnsi="宋体" w:eastAsia="宋体" w:cs="宋体"/>
                <w:sz w:val="18"/>
                <w:szCs w:val="18"/>
              </w:rPr>
              <w:t>二、联营企业</w:t>
            </w:r>
          </w:p>
        </w:tc>
      </w:tr>
    </w:tbl>
    <w:p w14:paraId="38FCC43F">
      <w:pPr>
        <w:spacing w:before="100" w:after="100" w:line="240" w:lineRule="exact"/>
        <w:rPr>
          <w:rFonts w:ascii="宋体" w:hAnsi="宋体" w:eastAsia="宋体" w:cs="宋体"/>
          <w:sz w:val="18"/>
          <w:szCs w:val="18"/>
        </w:rPr>
      </w:pPr>
      <w:r>
        <w:rPr>
          <w:rFonts w:ascii="宋体" w:hAnsi="宋体" w:eastAsia="宋体" w:cs="宋体"/>
          <w:sz w:val="18"/>
          <w:szCs w:val="18"/>
        </w:rPr>
        <w:t>可收回金额按公允价值减去处置费用后的净额确定</w:t>
      </w:r>
    </w:p>
    <w:p w14:paraId="6282E977">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0886E5F">
      <w:pPr>
        <w:spacing w:before="100" w:after="100" w:line="240" w:lineRule="exact"/>
        <w:rPr>
          <w:rFonts w:ascii="宋体" w:hAnsi="宋体" w:eastAsia="宋体" w:cs="宋体"/>
          <w:sz w:val="18"/>
          <w:szCs w:val="18"/>
        </w:rPr>
      </w:pPr>
      <w:r>
        <w:rPr>
          <w:rFonts w:ascii="宋体" w:hAnsi="宋体" w:eastAsia="宋体" w:cs="宋体"/>
          <w:sz w:val="18"/>
          <w:szCs w:val="18"/>
        </w:rPr>
        <w:t>可收回金额按预计未来现金流量的现值确定</w:t>
      </w:r>
    </w:p>
    <w:p w14:paraId="614164C3">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7B637FC">
      <w:pPr>
        <w:spacing w:before="100" w:after="100" w:line="240" w:lineRule="exact"/>
        <w:rPr>
          <w:rFonts w:ascii="宋体" w:hAnsi="宋体" w:eastAsia="宋体" w:cs="宋体"/>
          <w:sz w:val="18"/>
          <w:szCs w:val="18"/>
        </w:rPr>
      </w:pPr>
      <w:r>
        <w:rPr>
          <w:rFonts w:ascii="宋体" w:hAnsi="宋体" w:eastAsia="宋体" w:cs="宋体"/>
          <w:sz w:val="18"/>
          <w:szCs w:val="18"/>
        </w:rPr>
        <w:t>前述信息与以前年度减值测试采用的信息或外部信息明显不一致的差异原因</w:t>
      </w:r>
    </w:p>
    <w:p w14:paraId="167920AA">
      <w:pPr>
        <w:pStyle w:val="9"/>
        <w:rPr>
          <w:sz w:val="18"/>
          <w:szCs w:val="18"/>
        </w:rPr>
      </w:pPr>
      <w:r>
        <w:rPr>
          <w:rFonts w:hint="eastAsia"/>
          <w:sz w:val="18"/>
          <w:szCs w:val="18"/>
        </w:rPr>
        <w:t>无</w:t>
      </w:r>
    </w:p>
    <w:p w14:paraId="11B5B378">
      <w:pPr>
        <w:spacing w:before="100" w:after="100" w:line="240" w:lineRule="exact"/>
        <w:rPr>
          <w:rFonts w:ascii="宋体" w:hAnsi="宋体" w:eastAsia="宋体" w:cs="宋体"/>
          <w:sz w:val="18"/>
          <w:szCs w:val="18"/>
        </w:rPr>
      </w:pPr>
      <w:r>
        <w:rPr>
          <w:rFonts w:ascii="宋体" w:hAnsi="宋体" w:eastAsia="宋体" w:cs="宋体"/>
          <w:sz w:val="18"/>
          <w:szCs w:val="18"/>
        </w:rPr>
        <w:t>公司以前年度减值测试采用信息与当年实际情况明显不一致的差异原因</w:t>
      </w:r>
    </w:p>
    <w:p w14:paraId="6BB1B80E">
      <w:pPr>
        <w:pStyle w:val="9"/>
        <w:rPr>
          <w:sz w:val="18"/>
          <w:szCs w:val="18"/>
        </w:rPr>
      </w:pPr>
      <w:r>
        <w:rPr>
          <w:rFonts w:hint="eastAsia"/>
          <w:sz w:val="18"/>
          <w:szCs w:val="18"/>
        </w:rPr>
        <w:t>无</w:t>
      </w:r>
    </w:p>
    <w:p w14:paraId="0036D39B">
      <w:pPr>
        <w:keepNext/>
        <w:keepLines/>
        <w:spacing w:before="300" w:after="300" w:line="280" w:lineRule="exact"/>
        <w:outlineLvl w:val="3"/>
        <w:rPr>
          <w:rFonts w:ascii="宋体" w:hAnsi="宋体" w:eastAsia="宋体" w:cs="宋体"/>
          <w:b/>
          <w:bCs/>
          <w:szCs w:val="21"/>
        </w:rPr>
      </w:pPr>
      <w:bookmarkStart w:id="645" w:name="_Toc989500"/>
      <w:r>
        <w:rPr>
          <w:rFonts w:ascii="宋体" w:hAnsi="宋体" w:eastAsia="宋体" w:cs="宋体"/>
          <w:b/>
          <w:bCs/>
          <w:szCs w:val="21"/>
        </w:rPr>
        <w:t>（3） 其他说明</w:t>
      </w:r>
      <w:bookmarkEnd w:id="645"/>
    </w:p>
    <w:p w14:paraId="150E2F9B">
      <w:pPr>
        <w:pStyle w:val="9"/>
        <w:rPr>
          <w:sz w:val="18"/>
          <w:szCs w:val="18"/>
        </w:rPr>
      </w:pPr>
      <w:r>
        <w:rPr>
          <w:rFonts w:hint="eastAsia"/>
          <w:sz w:val="18"/>
          <w:szCs w:val="18"/>
        </w:rPr>
        <w:t>无</w:t>
      </w:r>
    </w:p>
    <w:p w14:paraId="7A88129F">
      <w:pPr>
        <w:pStyle w:val="3"/>
        <w:spacing w:line="280" w:lineRule="exact"/>
        <w:jc w:val="left"/>
        <w:rPr>
          <w:rFonts w:ascii="宋体" w:hAnsi="宋体" w:cs="宋体"/>
          <w:b/>
          <w:bCs/>
        </w:rPr>
      </w:pPr>
      <w:bookmarkStart w:id="646" w:name="_Toc989501"/>
      <w:r>
        <w:rPr>
          <w:rFonts w:ascii="宋体" w:hAnsi="宋体" w:cs="宋体"/>
          <w:b/>
          <w:bCs/>
        </w:rPr>
        <w:t>4、营业收入和营业成本</w:t>
      </w:r>
      <w:bookmarkEnd w:id="646"/>
    </w:p>
    <w:p w14:paraId="06450D0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14:paraId="64EB8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2EFB9B9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43CC9F1">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9FD975D">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3DBCF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32C7A6C4"/>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B5CFF39">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34AE9C5">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1A31B97">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04A1CC4">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14:paraId="77663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194D1B2">
            <w:pPr>
              <w:spacing w:before="40" w:after="40" w:line="240" w:lineRule="exac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14:paraId="6FBAB83F">
            <w:pPr>
              <w:spacing w:line="240" w:lineRule="exact"/>
              <w:jc w:val="right"/>
              <w:rPr>
                <w:rFonts w:ascii="宋体" w:hAnsi="宋体" w:eastAsia="宋体" w:cs="宋体"/>
                <w:sz w:val="18"/>
                <w:szCs w:val="18"/>
              </w:rPr>
            </w:pPr>
            <w:r>
              <w:rPr>
                <w:rFonts w:ascii="宋体" w:hAnsi="宋体" w:eastAsia="宋体" w:cs="宋体"/>
                <w:sz w:val="18"/>
                <w:szCs w:val="18"/>
              </w:rPr>
              <w:t>990,637,958.48</w:t>
            </w:r>
          </w:p>
        </w:tc>
        <w:tc>
          <w:tcPr>
            <w:tcW w:w="1928" w:type="dxa"/>
            <w:tcBorders>
              <w:top w:val="single" w:color="auto" w:sz="2" w:space="0"/>
              <w:left w:val="single" w:color="auto" w:sz="2" w:space="0"/>
              <w:bottom w:val="single" w:color="auto" w:sz="2" w:space="0"/>
              <w:right w:val="single" w:color="auto" w:sz="2" w:space="0"/>
            </w:tcBorders>
            <w:vAlign w:val="center"/>
          </w:tcPr>
          <w:p w14:paraId="54D2A93E">
            <w:pPr>
              <w:spacing w:line="240" w:lineRule="exact"/>
              <w:jc w:val="right"/>
              <w:rPr>
                <w:rFonts w:ascii="宋体" w:hAnsi="宋体" w:eastAsia="宋体" w:cs="宋体"/>
                <w:sz w:val="18"/>
                <w:szCs w:val="18"/>
              </w:rPr>
            </w:pPr>
            <w:r>
              <w:rPr>
                <w:rFonts w:ascii="宋体" w:hAnsi="宋体" w:eastAsia="宋体" w:cs="宋体"/>
                <w:sz w:val="18"/>
                <w:szCs w:val="18"/>
              </w:rPr>
              <w:t>971,897,687.98</w:t>
            </w:r>
          </w:p>
        </w:tc>
        <w:tc>
          <w:tcPr>
            <w:tcW w:w="1928" w:type="dxa"/>
            <w:tcBorders>
              <w:top w:val="single" w:color="auto" w:sz="2" w:space="0"/>
              <w:left w:val="single" w:color="auto" w:sz="2" w:space="0"/>
              <w:bottom w:val="single" w:color="auto" w:sz="2" w:space="0"/>
              <w:right w:val="single" w:color="auto" w:sz="2" w:space="0"/>
            </w:tcBorders>
            <w:vAlign w:val="center"/>
          </w:tcPr>
          <w:p w14:paraId="6B1BD023">
            <w:pPr>
              <w:spacing w:line="240" w:lineRule="exact"/>
              <w:jc w:val="right"/>
              <w:rPr>
                <w:rFonts w:ascii="宋体" w:hAnsi="宋体" w:eastAsia="宋体" w:cs="宋体"/>
                <w:sz w:val="18"/>
                <w:szCs w:val="18"/>
              </w:rPr>
            </w:pPr>
            <w:r>
              <w:rPr>
                <w:rFonts w:ascii="宋体" w:hAnsi="宋体" w:eastAsia="宋体" w:cs="宋体"/>
                <w:sz w:val="18"/>
                <w:szCs w:val="18"/>
              </w:rPr>
              <w:t>1,099,907,198.66</w:t>
            </w:r>
          </w:p>
        </w:tc>
        <w:tc>
          <w:tcPr>
            <w:tcW w:w="1928" w:type="dxa"/>
            <w:tcBorders>
              <w:top w:val="single" w:color="auto" w:sz="2" w:space="0"/>
              <w:left w:val="single" w:color="auto" w:sz="2" w:space="0"/>
              <w:bottom w:val="single" w:color="auto" w:sz="2" w:space="0"/>
              <w:right w:val="single" w:color="auto" w:sz="2" w:space="0"/>
            </w:tcBorders>
            <w:vAlign w:val="center"/>
          </w:tcPr>
          <w:p w14:paraId="5A3F5BDC">
            <w:pPr>
              <w:spacing w:line="240" w:lineRule="exact"/>
              <w:jc w:val="right"/>
              <w:rPr>
                <w:rFonts w:ascii="宋体" w:hAnsi="宋体" w:eastAsia="宋体" w:cs="宋体"/>
                <w:sz w:val="18"/>
                <w:szCs w:val="18"/>
              </w:rPr>
            </w:pPr>
            <w:r>
              <w:rPr>
                <w:rFonts w:ascii="宋体" w:hAnsi="宋体" w:eastAsia="宋体" w:cs="宋体"/>
                <w:sz w:val="18"/>
                <w:szCs w:val="18"/>
              </w:rPr>
              <w:t>1,040,033,031.18</w:t>
            </w:r>
          </w:p>
        </w:tc>
      </w:tr>
      <w:tr w14:paraId="4351D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3738B92D">
            <w:pPr>
              <w:spacing w:before="40" w:after="40" w:line="240" w:lineRule="exac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14:paraId="5CA5DD53">
            <w:pPr>
              <w:spacing w:line="240" w:lineRule="exact"/>
              <w:jc w:val="right"/>
              <w:rPr>
                <w:rFonts w:ascii="宋体" w:hAnsi="宋体" w:eastAsia="宋体" w:cs="宋体"/>
                <w:sz w:val="18"/>
                <w:szCs w:val="18"/>
              </w:rPr>
            </w:pPr>
            <w:r>
              <w:rPr>
                <w:rFonts w:ascii="宋体" w:hAnsi="宋体" w:eastAsia="宋体" w:cs="宋体"/>
                <w:sz w:val="18"/>
                <w:szCs w:val="18"/>
              </w:rPr>
              <w:t>7,935,395.25</w:t>
            </w:r>
          </w:p>
        </w:tc>
        <w:tc>
          <w:tcPr>
            <w:tcW w:w="1928" w:type="dxa"/>
            <w:tcBorders>
              <w:top w:val="single" w:color="auto" w:sz="2" w:space="0"/>
              <w:left w:val="single" w:color="auto" w:sz="2" w:space="0"/>
              <w:bottom w:val="single" w:color="auto" w:sz="2" w:space="0"/>
              <w:right w:val="single" w:color="auto" w:sz="2" w:space="0"/>
            </w:tcBorders>
            <w:vAlign w:val="center"/>
          </w:tcPr>
          <w:p w14:paraId="4DB53CF1">
            <w:pPr>
              <w:spacing w:line="240" w:lineRule="exact"/>
              <w:jc w:val="right"/>
              <w:rPr>
                <w:rFonts w:ascii="宋体" w:hAnsi="宋体" w:eastAsia="宋体" w:cs="宋体"/>
                <w:sz w:val="18"/>
                <w:szCs w:val="18"/>
              </w:rPr>
            </w:pPr>
            <w:r>
              <w:rPr>
                <w:rFonts w:ascii="宋体" w:hAnsi="宋体" w:eastAsia="宋体" w:cs="宋体"/>
                <w:sz w:val="18"/>
                <w:szCs w:val="18"/>
              </w:rPr>
              <w:t>1,824,305.29</w:t>
            </w:r>
          </w:p>
        </w:tc>
        <w:tc>
          <w:tcPr>
            <w:tcW w:w="1928" w:type="dxa"/>
            <w:tcBorders>
              <w:top w:val="single" w:color="auto" w:sz="2" w:space="0"/>
              <w:left w:val="single" w:color="auto" w:sz="2" w:space="0"/>
              <w:bottom w:val="single" w:color="auto" w:sz="2" w:space="0"/>
              <w:right w:val="single" w:color="auto" w:sz="2" w:space="0"/>
            </w:tcBorders>
            <w:vAlign w:val="center"/>
          </w:tcPr>
          <w:p w14:paraId="2781847E">
            <w:pPr>
              <w:spacing w:line="240" w:lineRule="exact"/>
              <w:jc w:val="right"/>
              <w:rPr>
                <w:rFonts w:ascii="宋体" w:hAnsi="宋体" w:eastAsia="宋体" w:cs="宋体"/>
                <w:sz w:val="18"/>
                <w:szCs w:val="18"/>
              </w:rPr>
            </w:pPr>
            <w:r>
              <w:rPr>
                <w:rFonts w:ascii="宋体" w:hAnsi="宋体" w:eastAsia="宋体" w:cs="宋体"/>
                <w:sz w:val="18"/>
                <w:szCs w:val="18"/>
              </w:rPr>
              <w:t>1,080,778.18</w:t>
            </w:r>
          </w:p>
        </w:tc>
        <w:tc>
          <w:tcPr>
            <w:tcW w:w="1928" w:type="dxa"/>
            <w:tcBorders>
              <w:top w:val="single" w:color="auto" w:sz="2" w:space="0"/>
              <w:left w:val="single" w:color="auto" w:sz="2" w:space="0"/>
              <w:bottom w:val="single" w:color="auto" w:sz="2" w:space="0"/>
              <w:right w:val="single" w:color="auto" w:sz="2" w:space="0"/>
            </w:tcBorders>
            <w:vAlign w:val="center"/>
          </w:tcPr>
          <w:p w14:paraId="0E947399">
            <w:pPr>
              <w:spacing w:line="240" w:lineRule="exact"/>
              <w:jc w:val="right"/>
              <w:rPr>
                <w:rFonts w:ascii="宋体" w:hAnsi="宋体" w:eastAsia="宋体" w:cs="宋体"/>
                <w:sz w:val="18"/>
                <w:szCs w:val="18"/>
              </w:rPr>
            </w:pPr>
            <w:r>
              <w:rPr>
                <w:rFonts w:ascii="宋体" w:hAnsi="宋体" w:eastAsia="宋体" w:cs="宋体"/>
                <w:sz w:val="18"/>
                <w:szCs w:val="18"/>
              </w:rPr>
              <w:t>4,484,864.77</w:t>
            </w:r>
          </w:p>
        </w:tc>
      </w:tr>
      <w:tr w14:paraId="1A0E0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797384B">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14:paraId="3CB5C91F">
            <w:pPr>
              <w:spacing w:line="240" w:lineRule="exact"/>
              <w:jc w:val="right"/>
              <w:rPr>
                <w:rFonts w:ascii="宋体" w:hAnsi="宋体" w:eastAsia="宋体" w:cs="宋体"/>
                <w:sz w:val="18"/>
                <w:szCs w:val="18"/>
              </w:rPr>
            </w:pPr>
            <w:r>
              <w:rPr>
                <w:rFonts w:ascii="宋体" w:hAnsi="宋体" w:eastAsia="宋体" w:cs="宋体"/>
                <w:sz w:val="18"/>
                <w:szCs w:val="18"/>
              </w:rPr>
              <w:t>998,573,353.73</w:t>
            </w:r>
          </w:p>
        </w:tc>
        <w:tc>
          <w:tcPr>
            <w:tcW w:w="1928" w:type="dxa"/>
            <w:tcBorders>
              <w:top w:val="single" w:color="auto" w:sz="2" w:space="0"/>
              <w:left w:val="single" w:color="auto" w:sz="2" w:space="0"/>
              <w:bottom w:val="single" w:color="auto" w:sz="2" w:space="0"/>
              <w:right w:val="single" w:color="auto" w:sz="2" w:space="0"/>
            </w:tcBorders>
            <w:vAlign w:val="center"/>
          </w:tcPr>
          <w:p w14:paraId="1E3ECDA4">
            <w:pPr>
              <w:spacing w:line="240" w:lineRule="exact"/>
              <w:jc w:val="right"/>
              <w:rPr>
                <w:rFonts w:ascii="宋体" w:hAnsi="宋体" w:eastAsia="宋体" w:cs="宋体"/>
                <w:sz w:val="18"/>
                <w:szCs w:val="18"/>
              </w:rPr>
            </w:pPr>
            <w:r>
              <w:rPr>
                <w:rFonts w:ascii="宋体" w:hAnsi="宋体" w:eastAsia="宋体" w:cs="宋体"/>
                <w:sz w:val="18"/>
                <w:szCs w:val="18"/>
              </w:rPr>
              <w:t>973,721,993.27</w:t>
            </w:r>
          </w:p>
        </w:tc>
        <w:tc>
          <w:tcPr>
            <w:tcW w:w="1928" w:type="dxa"/>
            <w:tcBorders>
              <w:top w:val="single" w:color="auto" w:sz="2" w:space="0"/>
              <w:left w:val="single" w:color="auto" w:sz="2" w:space="0"/>
              <w:bottom w:val="single" w:color="auto" w:sz="2" w:space="0"/>
              <w:right w:val="single" w:color="auto" w:sz="2" w:space="0"/>
            </w:tcBorders>
            <w:vAlign w:val="center"/>
          </w:tcPr>
          <w:p w14:paraId="5CD8D9D7">
            <w:pPr>
              <w:spacing w:line="240" w:lineRule="exact"/>
              <w:jc w:val="right"/>
              <w:rPr>
                <w:rFonts w:ascii="宋体" w:hAnsi="宋体" w:eastAsia="宋体" w:cs="宋体"/>
                <w:sz w:val="18"/>
                <w:szCs w:val="18"/>
              </w:rPr>
            </w:pPr>
            <w:r>
              <w:rPr>
                <w:rFonts w:ascii="宋体" w:hAnsi="宋体" w:eastAsia="宋体" w:cs="宋体"/>
                <w:sz w:val="18"/>
                <w:szCs w:val="18"/>
              </w:rPr>
              <w:t>1,100,987,976.84</w:t>
            </w:r>
          </w:p>
        </w:tc>
        <w:tc>
          <w:tcPr>
            <w:tcW w:w="1928" w:type="dxa"/>
            <w:tcBorders>
              <w:top w:val="single" w:color="auto" w:sz="2" w:space="0"/>
              <w:left w:val="single" w:color="auto" w:sz="2" w:space="0"/>
              <w:bottom w:val="single" w:color="auto" w:sz="2" w:space="0"/>
              <w:right w:val="single" w:color="auto" w:sz="2" w:space="0"/>
            </w:tcBorders>
            <w:vAlign w:val="center"/>
          </w:tcPr>
          <w:p w14:paraId="7D8D96F3">
            <w:pPr>
              <w:spacing w:line="240" w:lineRule="exact"/>
              <w:jc w:val="right"/>
              <w:rPr>
                <w:rFonts w:ascii="宋体" w:hAnsi="宋体" w:eastAsia="宋体" w:cs="宋体"/>
                <w:sz w:val="18"/>
                <w:szCs w:val="18"/>
              </w:rPr>
            </w:pPr>
            <w:r>
              <w:rPr>
                <w:rFonts w:ascii="宋体" w:hAnsi="宋体" w:eastAsia="宋体" w:cs="宋体"/>
                <w:sz w:val="18"/>
                <w:szCs w:val="18"/>
              </w:rPr>
              <w:t>1,044,517,895.95</w:t>
            </w:r>
          </w:p>
        </w:tc>
      </w:tr>
    </w:tbl>
    <w:p w14:paraId="6301F85F">
      <w:pPr>
        <w:spacing w:before="100" w:after="100" w:line="240" w:lineRule="exact"/>
        <w:rPr>
          <w:rFonts w:ascii="宋体" w:hAnsi="宋体" w:eastAsia="宋体" w:cs="宋体"/>
          <w:sz w:val="18"/>
          <w:szCs w:val="18"/>
        </w:rPr>
      </w:pPr>
      <w:r>
        <w:rPr>
          <w:rFonts w:ascii="宋体" w:hAnsi="宋体" w:eastAsia="宋体" w:cs="宋体"/>
          <w:sz w:val="18"/>
          <w:szCs w:val="18"/>
        </w:rPr>
        <w:t>营业收入、营业成本的分解信息：</w:t>
      </w:r>
    </w:p>
    <w:p w14:paraId="3EF4692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2871A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2A3D161">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B5931FF">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49D8637">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5C386B29">
            <w:pPr>
              <w:spacing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3022C25">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14:paraId="72A3D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60DE4DA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7E89C96">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895FA82">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3271951">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E6D7F8E">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2DF34DA">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5053522">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37A51D4">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85DADE1">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r>
      <w:tr w14:paraId="7D5BF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8683BF3">
            <w:pPr>
              <w:spacing w:before="40" w:after="40" w:line="240" w:lineRule="exact"/>
              <w:rPr>
                <w:rFonts w:ascii="宋体" w:hAnsi="宋体" w:eastAsia="宋体" w:cs="宋体"/>
                <w:sz w:val="18"/>
                <w:szCs w:val="18"/>
              </w:rPr>
            </w:pPr>
            <w:r>
              <w:rPr>
                <w:rFonts w:ascii="宋体" w:hAnsi="宋体" w:eastAsia="宋体" w:cs="宋体"/>
                <w:sz w:val="18"/>
                <w:szCs w:val="18"/>
              </w:rPr>
              <w:t>业务类型</w:t>
            </w:r>
          </w:p>
        </w:tc>
        <w:tc>
          <w:tcPr>
            <w:tcW w:w="1071" w:type="dxa"/>
            <w:tcBorders>
              <w:top w:val="single" w:color="auto" w:sz="2" w:space="0"/>
              <w:left w:val="single" w:color="auto" w:sz="2" w:space="0"/>
              <w:bottom w:val="single" w:color="auto" w:sz="2" w:space="0"/>
              <w:right w:val="single" w:color="auto" w:sz="2" w:space="0"/>
            </w:tcBorders>
            <w:vAlign w:val="center"/>
          </w:tcPr>
          <w:p w14:paraId="4756CEA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58828F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A7D3028">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8424EC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DA4959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7453F0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828A99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7179227">
            <w:pPr>
              <w:spacing w:line="240" w:lineRule="exact"/>
              <w:jc w:val="right"/>
              <w:rPr>
                <w:rFonts w:ascii="宋体" w:hAnsi="宋体" w:eastAsia="宋体" w:cs="宋体"/>
                <w:sz w:val="18"/>
                <w:szCs w:val="18"/>
              </w:rPr>
            </w:pPr>
          </w:p>
        </w:tc>
      </w:tr>
      <w:tr w14:paraId="26491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55FBA45">
            <w:pPr>
              <w:spacing w:before="40" w:after="40" w:line="240" w:lineRule="exac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1CDB01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794E1DA"/>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52AC4A5"/>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4EA3D2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862DE2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77F234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D1AC912"/>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DEEF731"/>
        </w:tc>
      </w:tr>
      <w:tr w14:paraId="6EB21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8158850">
            <w:pPr>
              <w:spacing w:line="240" w:lineRule="exact"/>
              <w:rPr>
                <w:rFonts w:ascii="宋体" w:hAnsi="宋体" w:eastAsia="宋体" w:cs="宋体"/>
                <w:sz w:val="18"/>
                <w:szCs w:val="18"/>
              </w:rPr>
            </w:pPr>
            <w:r>
              <w:rPr>
                <w:rFonts w:ascii="宋体" w:hAnsi="宋体" w:eastAsia="宋体" w:cs="宋体"/>
                <w:sz w:val="18"/>
                <w:szCs w:val="18"/>
              </w:rPr>
              <w:t>纱线</w:t>
            </w:r>
          </w:p>
        </w:tc>
        <w:tc>
          <w:tcPr>
            <w:tcW w:w="1071" w:type="dxa"/>
            <w:tcBorders>
              <w:top w:val="single" w:color="auto" w:sz="2" w:space="0"/>
              <w:left w:val="single" w:color="auto" w:sz="2" w:space="0"/>
              <w:bottom w:val="single" w:color="auto" w:sz="2" w:space="0"/>
              <w:right w:val="single" w:color="auto" w:sz="2" w:space="0"/>
            </w:tcBorders>
            <w:vAlign w:val="center"/>
          </w:tcPr>
          <w:p w14:paraId="316B5CE8">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F8025E4">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AACD33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DED06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81ADD05">
            <w:pPr>
              <w:spacing w:line="240" w:lineRule="exact"/>
              <w:jc w:val="right"/>
              <w:rPr>
                <w:rFonts w:ascii="宋体" w:hAnsi="宋体" w:eastAsia="宋体" w:cs="宋体"/>
                <w:sz w:val="18"/>
                <w:szCs w:val="18"/>
              </w:rPr>
            </w:pPr>
            <w:r>
              <w:rPr>
                <w:rFonts w:ascii="宋体" w:hAnsi="宋体" w:eastAsia="宋体" w:cs="宋体"/>
                <w:sz w:val="18"/>
                <w:szCs w:val="18"/>
              </w:rPr>
              <w:t>843,525,722.55</w:t>
            </w:r>
          </w:p>
        </w:tc>
        <w:tc>
          <w:tcPr>
            <w:tcW w:w="1071" w:type="dxa"/>
            <w:tcBorders>
              <w:top w:val="single" w:color="auto" w:sz="2" w:space="0"/>
              <w:left w:val="single" w:color="auto" w:sz="2" w:space="0"/>
              <w:bottom w:val="single" w:color="auto" w:sz="2" w:space="0"/>
              <w:right w:val="single" w:color="auto" w:sz="2" w:space="0"/>
            </w:tcBorders>
            <w:vAlign w:val="center"/>
          </w:tcPr>
          <w:p w14:paraId="3B5479AE">
            <w:pPr>
              <w:spacing w:line="240" w:lineRule="exact"/>
              <w:jc w:val="right"/>
              <w:rPr>
                <w:rFonts w:ascii="宋体" w:hAnsi="宋体" w:eastAsia="宋体" w:cs="宋体"/>
                <w:sz w:val="18"/>
                <w:szCs w:val="18"/>
              </w:rPr>
            </w:pPr>
            <w:r>
              <w:rPr>
                <w:rFonts w:ascii="宋体" w:hAnsi="宋体" w:eastAsia="宋体" w:cs="宋体"/>
                <w:sz w:val="18"/>
                <w:szCs w:val="18"/>
              </w:rPr>
              <w:t>828,661,148.34</w:t>
            </w:r>
          </w:p>
        </w:tc>
        <w:tc>
          <w:tcPr>
            <w:tcW w:w="1071" w:type="dxa"/>
            <w:tcBorders>
              <w:top w:val="single" w:color="auto" w:sz="2" w:space="0"/>
              <w:left w:val="single" w:color="auto" w:sz="2" w:space="0"/>
              <w:bottom w:val="single" w:color="auto" w:sz="2" w:space="0"/>
              <w:right w:val="single" w:color="auto" w:sz="2" w:space="0"/>
            </w:tcBorders>
            <w:vAlign w:val="center"/>
          </w:tcPr>
          <w:p w14:paraId="2BBC9EA3">
            <w:pPr>
              <w:spacing w:line="240" w:lineRule="exact"/>
              <w:jc w:val="right"/>
              <w:rPr>
                <w:rFonts w:ascii="宋体" w:hAnsi="宋体" w:eastAsia="宋体" w:cs="宋体"/>
                <w:sz w:val="18"/>
                <w:szCs w:val="18"/>
              </w:rPr>
            </w:pPr>
            <w:r>
              <w:rPr>
                <w:rFonts w:ascii="宋体" w:hAnsi="宋体" w:eastAsia="宋体" w:cs="宋体"/>
                <w:sz w:val="18"/>
                <w:szCs w:val="18"/>
              </w:rPr>
              <w:t>843,525,722.55</w:t>
            </w:r>
          </w:p>
        </w:tc>
        <w:tc>
          <w:tcPr>
            <w:tcW w:w="1071" w:type="dxa"/>
            <w:tcBorders>
              <w:top w:val="single" w:color="auto" w:sz="2" w:space="0"/>
              <w:left w:val="single" w:color="auto" w:sz="2" w:space="0"/>
              <w:bottom w:val="single" w:color="auto" w:sz="2" w:space="0"/>
              <w:right w:val="single" w:color="auto" w:sz="2" w:space="0"/>
            </w:tcBorders>
            <w:vAlign w:val="center"/>
          </w:tcPr>
          <w:p w14:paraId="6CA23736">
            <w:pPr>
              <w:spacing w:line="240" w:lineRule="exact"/>
              <w:jc w:val="right"/>
              <w:rPr>
                <w:rFonts w:ascii="宋体" w:hAnsi="宋体" w:eastAsia="宋体" w:cs="宋体"/>
                <w:sz w:val="18"/>
                <w:szCs w:val="18"/>
              </w:rPr>
            </w:pPr>
            <w:r>
              <w:rPr>
                <w:rFonts w:ascii="宋体" w:hAnsi="宋体" w:eastAsia="宋体" w:cs="宋体"/>
                <w:sz w:val="18"/>
                <w:szCs w:val="18"/>
              </w:rPr>
              <w:t>828,661,148.34</w:t>
            </w:r>
          </w:p>
        </w:tc>
      </w:tr>
      <w:tr w14:paraId="3F904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18A76C43">
            <w:pPr>
              <w:spacing w:line="240" w:lineRule="exact"/>
              <w:rPr>
                <w:rFonts w:ascii="宋体" w:hAnsi="宋体" w:eastAsia="宋体" w:cs="宋体"/>
                <w:sz w:val="18"/>
                <w:szCs w:val="18"/>
              </w:rPr>
            </w:pPr>
            <w:r>
              <w:rPr>
                <w:rFonts w:ascii="宋体" w:hAnsi="宋体" w:eastAsia="宋体" w:cs="宋体"/>
                <w:sz w:val="18"/>
                <w:szCs w:val="18"/>
              </w:rPr>
              <w:t>棉业</w:t>
            </w:r>
          </w:p>
        </w:tc>
        <w:tc>
          <w:tcPr>
            <w:tcW w:w="1071" w:type="dxa"/>
            <w:tcBorders>
              <w:top w:val="single" w:color="auto" w:sz="2" w:space="0"/>
              <w:left w:val="single" w:color="auto" w:sz="2" w:space="0"/>
              <w:bottom w:val="single" w:color="auto" w:sz="2" w:space="0"/>
              <w:right w:val="single" w:color="auto" w:sz="2" w:space="0"/>
            </w:tcBorders>
            <w:vAlign w:val="center"/>
          </w:tcPr>
          <w:p w14:paraId="6C781258">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2A8436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47BD63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26C1B8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5E81E9D">
            <w:pPr>
              <w:spacing w:line="240" w:lineRule="exact"/>
              <w:jc w:val="right"/>
              <w:rPr>
                <w:rFonts w:ascii="宋体" w:hAnsi="宋体" w:eastAsia="宋体" w:cs="宋体"/>
                <w:sz w:val="18"/>
                <w:szCs w:val="18"/>
              </w:rPr>
            </w:pPr>
            <w:r>
              <w:rPr>
                <w:rFonts w:ascii="宋体" w:hAnsi="宋体" w:eastAsia="宋体" w:cs="宋体"/>
                <w:sz w:val="18"/>
                <w:szCs w:val="18"/>
              </w:rPr>
              <w:t>147,112,235.93</w:t>
            </w:r>
          </w:p>
        </w:tc>
        <w:tc>
          <w:tcPr>
            <w:tcW w:w="1071" w:type="dxa"/>
            <w:tcBorders>
              <w:top w:val="single" w:color="auto" w:sz="2" w:space="0"/>
              <w:left w:val="single" w:color="auto" w:sz="2" w:space="0"/>
              <w:bottom w:val="single" w:color="auto" w:sz="2" w:space="0"/>
              <w:right w:val="single" w:color="auto" w:sz="2" w:space="0"/>
            </w:tcBorders>
            <w:vAlign w:val="center"/>
          </w:tcPr>
          <w:p w14:paraId="50B724BF">
            <w:pPr>
              <w:spacing w:line="240" w:lineRule="exact"/>
              <w:jc w:val="right"/>
              <w:rPr>
                <w:rFonts w:ascii="宋体" w:hAnsi="宋体" w:eastAsia="宋体" w:cs="宋体"/>
                <w:sz w:val="18"/>
                <w:szCs w:val="18"/>
              </w:rPr>
            </w:pPr>
            <w:r>
              <w:rPr>
                <w:rFonts w:ascii="宋体" w:hAnsi="宋体" w:eastAsia="宋体" w:cs="宋体"/>
                <w:sz w:val="18"/>
                <w:szCs w:val="18"/>
              </w:rPr>
              <w:t>143,236,539.64</w:t>
            </w:r>
          </w:p>
        </w:tc>
        <w:tc>
          <w:tcPr>
            <w:tcW w:w="1071" w:type="dxa"/>
            <w:tcBorders>
              <w:top w:val="single" w:color="auto" w:sz="2" w:space="0"/>
              <w:left w:val="single" w:color="auto" w:sz="2" w:space="0"/>
              <w:bottom w:val="single" w:color="auto" w:sz="2" w:space="0"/>
              <w:right w:val="single" w:color="auto" w:sz="2" w:space="0"/>
            </w:tcBorders>
            <w:vAlign w:val="center"/>
          </w:tcPr>
          <w:p w14:paraId="643C873E">
            <w:pPr>
              <w:spacing w:line="240" w:lineRule="exact"/>
              <w:jc w:val="right"/>
              <w:rPr>
                <w:rFonts w:ascii="宋体" w:hAnsi="宋体" w:eastAsia="宋体" w:cs="宋体"/>
                <w:sz w:val="18"/>
                <w:szCs w:val="18"/>
              </w:rPr>
            </w:pPr>
            <w:r>
              <w:rPr>
                <w:rFonts w:ascii="宋体" w:hAnsi="宋体" w:eastAsia="宋体" w:cs="宋体"/>
                <w:sz w:val="18"/>
                <w:szCs w:val="18"/>
              </w:rPr>
              <w:t>147,112,235.93</w:t>
            </w:r>
          </w:p>
        </w:tc>
        <w:tc>
          <w:tcPr>
            <w:tcW w:w="1071" w:type="dxa"/>
            <w:tcBorders>
              <w:top w:val="single" w:color="auto" w:sz="2" w:space="0"/>
              <w:left w:val="single" w:color="auto" w:sz="2" w:space="0"/>
              <w:bottom w:val="single" w:color="auto" w:sz="2" w:space="0"/>
              <w:right w:val="single" w:color="auto" w:sz="2" w:space="0"/>
            </w:tcBorders>
            <w:vAlign w:val="center"/>
          </w:tcPr>
          <w:p w14:paraId="1ED44C60">
            <w:pPr>
              <w:spacing w:line="240" w:lineRule="exact"/>
              <w:jc w:val="right"/>
              <w:rPr>
                <w:rFonts w:ascii="宋体" w:hAnsi="宋体" w:eastAsia="宋体" w:cs="宋体"/>
                <w:sz w:val="18"/>
                <w:szCs w:val="18"/>
              </w:rPr>
            </w:pPr>
            <w:r>
              <w:rPr>
                <w:rFonts w:ascii="宋体" w:hAnsi="宋体" w:eastAsia="宋体" w:cs="宋体"/>
                <w:sz w:val="18"/>
                <w:szCs w:val="18"/>
              </w:rPr>
              <w:t>143,236,539.64</w:t>
            </w:r>
          </w:p>
        </w:tc>
      </w:tr>
      <w:tr w14:paraId="13258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590B050">
            <w:pPr>
              <w:spacing w:line="240" w:lineRule="exac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14:paraId="721F558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D167F2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0677A5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1C7A69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2C24BEB">
            <w:pPr>
              <w:spacing w:line="240" w:lineRule="exact"/>
              <w:jc w:val="right"/>
              <w:rPr>
                <w:rFonts w:ascii="宋体" w:hAnsi="宋体" w:eastAsia="宋体" w:cs="宋体"/>
                <w:sz w:val="18"/>
                <w:szCs w:val="18"/>
              </w:rPr>
            </w:pPr>
            <w:r>
              <w:rPr>
                <w:rFonts w:ascii="宋体" w:hAnsi="宋体" w:eastAsia="宋体" w:cs="宋体"/>
                <w:sz w:val="18"/>
                <w:szCs w:val="18"/>
              </w:rPr>
              <w:t>7,935,395.25</w:t>
            </w:r>
          </w:p>
        </w:tc>
        <w:tc>
          <w:tcPr>
            <w:tcW w:w="1071" w:type="dxa"/>
            <w:tcBorders>
              <w:top w:val="single" w:color="auto" w:sz="2" w:space="0"/>
              <w:left w:val="single" w:color="auto" w:sz="2" w:space="0"/>
              <w:bottom w:val="single" w:color="auto" w:sz="2" w:space="0"/>
              <w:right w:val="single" w:color="auto" w:sz="2" w:space="0"/>
            </w:tcBorders>
            <w:vAlign w:val="center"/>
          </w:tcPr>
          <w:p w14:paraId="53864941">
            <w:pPr>
              <w:spacing w:line="240" w:lineRule="exact"/>
              <w:jc w:val="right"/>
              <w:rPr>
                <w:rFonts w:ascii="宋体" w:hAnsi="宋体" w:eastAsia="宋体" w:cs="宋体"/>
                <w:sz w:val="18"/>
                <w:szCs w:val="18"/>
              </w:rPr>
            </w:pPr>
            <w:r>
              <w:rPr>
                <w:rFonts w:ascii="宋体" w:hAnsi="宋体" w:eastAsia="宋体" w:cs="宋体"/>
                <w:sz w:val="18"/>
                <w:szCs w:val="18"/>
              </w:rPr>
              <w:t>1,824,305.29</w:t>
            </w:r>
          </w:p>
        </w:tc>
        <w:tc>
          <w:tcPr>
            <w:tcW w:w="1071" w:type="dxa"/>
            <w:tcBorders>
              <w:top w:val="single" w:color="auto" w:sz="2" w:space="0"/>
              <w:left w:val="single" w:color="auto" w:sz="2" w:space="0"/>
              <w:bottom w:val="single" w:color="auto" w:sz="2" w:space="0"/>
              <w:right w:val="single" w:color="auto" w:sz="2" w:space="0"/>
            </w:tcBorders>
            <w:vAlign w:val="center"/>
          </w:tcPr>
          <w:p w14:paraId="3D09636E">
            <w:pPr>
              <w:spacing w:line="240" w:lineRule="exact"/>
              <w:jc w:val="right"/>
              <w:rPr>
                <w:rFonts w:ascii="宋体" w:hAnsi="宋体" w:eastAsia="宋体" w:cs="宋体"/>
                <w:sz w:val="18"/>
                <w:szCs w:val="18"/>
              </w:rPr>
            </w:pPr>
            <w:r>
              <w:rPr>
                <w:rFonts w:ascii="宋体" w:hAnsi="宋体" w:eastAsia="宋体" w:cs="宋体"/>
                <w:sz w:val="18"/>
                <w:szCs w:val="18"/>
              </w:rPr>
              <w:t>7,935,395.25</w:t>
            </w:r>
          </w:p>
        </w:tc>
        <w:tc>
          <w:tcPr>
            <w:tcW w:w="1071" w:type="dxa"/>
            <w:tcBorders>
              <w:top w:val="single" w:color="auto" w:sz="2" w:space="0"/>
              <w:left w:val="single" w:color="auto" w:sz="2" w:space="0"/>
              <w:bottom w:val="single" w:color="auto" w:sz="2" w:space="0"/>
              <w:right w:val="single" w:color="auto" w:sz="2" w:space="0"/>
            </w:tcBorders>
            <w:vAlign w:val="center"/>
          </w:tcPr>
          <w:p w14:paraId="7453BA5E">
            <w:pPr>
              <w:spacing w:line="240" w:lineRule="exact"/>
              <w:jc w:val="right"/>
              <w:rPr>
                <w:rFonts w:ascii="宋体" w:hAnsi="宋体" w:eastAsia="宋体" w:cs="宋体"/>
                <w:sz w:val="18"/>
                <w:szCs w:val="18"/>
              </w:rPr>
            </w:pPr>
            <w:r>
              <w:rPr>
                <w:rFonts w:ascii="宋体" w:hAnsi="宋体" w:eastAsia="宋体" w:cs="宋体"/>
                <w:sz w:val="18"/>
                <w:szCs w:val="18"/>
              </w:rPr>
              <w:t>1,824,305.29</w:t>
            </w:r>
          </w:p>
        </w:tc>
      </w:tr>
      <w:tr w14:paraId="6AE90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64A7282">
            <w:pPr>
              <w:spacing w:before="40" w:after="40" w:line="240" w:lineRule="exact"/>
              <w:rPr>
                <w:rFonts w:ascii="宋体" w:hAnsi="宋体" w:eastAsia="宋体" w:cs="宋体"/>
                <w:sz w:val="18"/>
                <w:szCs w:val="18"/>
              </w:rPr>
            </w:pPr>
            <w:r>
              <w:rPr>
                <w:rFonts w:ascii="宋体" w:hAnsi="宋体" w:eastAsia="宋体" w:cs="宋体"/>
                <w:sz w:val="18"/>
                <w:szCs w:val="18"/>
              </w:rPr>
              <w:t>按经营地区分类</w:t>
            </w:r>
          </w:p>
        </w:tc>
        <w:tc>
          <w:tcPr>
            <w:tcW w:w="1071" w:type="dxa"/>
            <w:tcBorders>
              <w:top w:val="single" w:color="auto" w:sz="2" w:space="0"/>
              <w:left w:val="single" w:color="auto" w:sz="2" w:space="0"/>
              <w:bottom w:val="single" w:color="auto" w:sz="2" w:space="0"/>
              <w:right w:val="single" w:color="auto" w:sz="2" w:space="0"/>
            </w:tcBorders>
            <w:vAlign w:val="center"/>
          </w:tcPr>
          <w:p w14:paraId="591D692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0C15AB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841D27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06E6A8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71E19C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3E1669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268A06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E2134B5">
            <w:pPr>
              <w:spacing w:line="240" w:lineRule="exact"/>
              <w:jc w:val="right"/>
              <w:rPr>
                <w:rFonts w:ascii="宋体" w:hAnsi="宋体" w:eastAsia="宋体" w:cs="宋体"/>
                <w:sz w:val="18"/>
                <w:szCs w:val="18"/>
              </w:rPr>
            </w:pPr>
          </w:p>
        </w:tc>
      </w:tr>
      <w:tr w14:paraId="4FB94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58EEDE8">
            <w:pPr>
              <w:spacing w:before="40" w:after="40" w:line="240" w:lineRule="exac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40A139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358A2CE"/>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143D63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00E5D5E"/>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48A43D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F2AE741"/>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FEBE7D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1190333"/>
        </w:tc>
      </w:tr>
      <w:tr w14:paraId="46204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F200C7F">
            <w:pPr>
              <w:spacing w:line="240" w:lineRule="exact"/>
              <w:rPr>
                <w:rFonts w:ascii="宋体" w:hAnsi="宋体" w:eastAsia="宋体" w:cs="宋体"/>
                <w:sz w:val="18"/>
                <w:szCs w:val="18"/>
              </w:rPr>
            </w:pPr>
            <w:r>
              <w:rPr>
                <w:rFonts w:ascii="宋体" w:hAnsi="宋体" w:eastAsia="宋体" w:cs="宋体"/>
                <w:sz w:val="18"/>
                <w:szCs w:val="18"/>
              </w:rPr>
              <w:t>境内销售</w:t>
            </w:r>
          </w:p>
        </w:tc>
        <w:tc>
          <w:tcPr>
            <w:tcW w:w="1071" w:type="dxa"/>
            <w:tcBorders>
              <w:top w:val="single" w:color="auto" w:sz="2" w:space="0"/>
              <w:left w:val="single" w:color="auto" w:sz="2" w:space="0"/>
              <w:bottom w:val="single" w:color="auto" w:sz="2" w:space="0"/>
              <w:right w:val="single" w:color="auto" w:sz="2" w:space="0"/>
            </w:tcBorders>
            <w:vAlign w:val="center"/>
          </w:tcPr>
          <w:p w14:paraId="1F776DB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67B64A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B3B86E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8D7704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A718B3F">
            <w:pPr>
              <w:spacing w:line="240" w:lineRule="exact"/>
              <w:jc w:val="right"/>
              <w:rPr>
                <w:rFonts w:ascii="宋体" w:hAnsi="宋体" w:eastAsia="宋体" w:cs="宋体"/>
                <w:sz w:val="18"/>
                <w:szCs w:val="18"/>
              </w:rPr>
            </w:pPr>
            <w:r>
              <w:rPr>
                <w:rFonts w:ascii="宋体" w:hAnsi="宋体" w:eastAsia="宋体" w:cs="宋体"/>
                <w:sz w:val="18"/>
                <w:szCs w:val="18"/>
              </w:rPr>
              <w:t>998,573,353.73</w:t>
            </w:r>
          </w:p>
        </w:tc>
        <w:tc>
          <w:tcPr>
            <w:tcW w:w="1071" w:type="dxa"/>
            <w:tcBorders>
              <w:top w:val="single" w:color="auto" w:sz="2" w:space="0"/>
              <w:left w:val="single" w:color="auto" w:sz="2" w:space="0"/>
              <w:bottom w:val="single" w:color="auto" w:sz="2" w:space="0"/>
              <w:right w:val="single" w:color="auto" w:sz="2" w:space="0"/>
            </w:tcBorders>
            <w:vAlign w:val="center"/>
          </w:tcPr>
          <w:p w14:paraId="2E5B7CE1">
            <w:pPr>
              <w:spacing w:line="240" w:lineRule="exact"/>
              <w:jc w:val="right"/>
              <w:rPr>
                <w:rFonts w:ascii="宋体" w:hAnsi="宋体" w:eastAsia="宋体" w:cs="宋体"/>
                <w:sz w:val="18"/>
                <w:szCs w:val="18"/>
              </w:rPr>
            </w:pPr>
            <w:r>
              <w:rPr>
                <w:rFonts w:ascii="宋体" w:hAnsi="宋体" w:eastAsia="宋体" w:cs="宋体"/>
                <w:sz w:val="18"/>
                <w:szCs w:val="18"/>
              </w:rPr>
              <w:t>973,721,993.27</w:t>
            </w:r>
          </w:p>
        </w:tc>
        <w:tc>
          <w:tcPr>
            <w:tcW w:w="1071" w:type="dxa"/>
            <w:tcBorders>
              <w:top w:val="single" w:color="auto" w:sz="2" w:space="0"/>
              <w:left w:val="single" w:color="auto" w:sz="2" w:space="0"/>
              <w:bottom w:val="single" w:color="auto" w:sz="2" w:space="0"/>
              <w:right w:val="single" w:color="auto" w:sz="2" w:space="0"/>
            </w:tcBorders>
            <w:vAlign w:val="center"/>
          </w:tcPr>
          <w:p w14:paraId="4CA45A79">
            <w:pPr>
              <w:spacing w:line="240" w:lineRule="exact"/>
              <w:jc w:val="right"/>
              <w:rPr>
                <w:rFonts w:ascii="宋体" w:hAnsi="宋体" w:eastAsia="宋体" w:cs="宋体"/>
                <w:sz w:val="18"/>
                <w:szCs w:val="18"/>
              </w:rPr>
            </w:pPr>
            <w:r>
              <w:rPr>
                <w:rFonts w:ascii="宋体" w:hAnsi="宋体" w:eastAsia="宋体" w:cs="宋体"/>
                <w:sz w:val="18"/>
                <w:szCs w:val="18"/>
              </w:rPr>
              <w:t>998,573,353.73</w:t>
            </w:r>
          </w:p>
        </w:tc>
        <w:tc>
          <w:tcPr>
            <w:tcW w:w="1071" w:type="dxa"/>
            <w:tcBorders>
              <w:top w:val="single" w:color="auto" w:sz="2" w:space="0"/>
              <w:left w:val="single" w:color="auto" w:sz="2" w:space="0"/>
              <w:bottom w:val="single" w:color="auto" w:sz="2" w:space="0"/>
              <w:right w:val="single" w:color="auto" w:sz="2" w:space="0"/>
            </w:tcBorders>
            <w:vAlign w:val="center"/>
          </w:tcPr>
          <w:p w14:paraId="19EE74C6">
            <w:pPr>
              <w:spacing w:line="240" w:lineRule="exact"/>
              <w:jc w:val="right"/>
              <w:rPr>
                <w:rFonts w:ascii="宋体" w:hAnsi="宋体" w:eastAsia="宋体" w:cs="宋体"/>
                <w:sz w:val="18"/>
                <w:szCs w:val="18"/>
              </w:rPr>
            </w:pPr>
            <w:r>
              <w:rPr>
                <w:rFonts w:ascii="宋体" w:hAnsi="宋体" w:eastAsia="宋体" w:cs="宋体"/>
                <w:sz w:val="18"/>
                <w:szCs w:val="18"/>
              </w:rPr>
              <w:t>973,721,993.27</w:t>
            </w:r>
          </w:p>
        </w:tc>
      </w:tr>
      <w:tr w14:paraId="18636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0D9AD6D">
            <w:pPr>
              <w:spacing w:before="40" w:after="40" w:line="240" w:lineRule="exact"/>
              <w:rPr>
                <w:rFonts w:ascii="宋体" w:hAnsi="宋体" w:eastAsia="宋体" w:cs="宋体"/>
                <w:sz w:val="18"/>
                <w:szCs w:val="18"/>
              </w:rPr>
            </w:pPr>
            <w:r>
              <w:rPr>
                <w:rFonts w:ascii="宋体" w:hAnsi="宋体" w:eastAsia="宋体" w:cs="宋体"/>
                <w:sz w:val="18"/>
                <w:szCs w:val="18"/>
              </w:rPr>
              <w:t>市场或客户类型</w:t>
            </w:r>
          </w:p>
        </w:tc>
        <w:tc>
          <w:tcPr>
            <w:tcW w:w="1071" w:type="dxa"/>
            <w:tcBorders>
              <w:top w:val="single" w:color="auto" w:sz="2" w:space="0"/>
              <w:left w:val="single" w:color="auto" w:sz="2" w:space="0"/>
              <w:bottom w:val="single" w:color="auto" w:sz="2" w:space="0"/>
              <w:right w:val="single" w:color="auto" w:sz="2" w:space="0"/>
            </w:tcBorders>
            <w:vAlign w:val="center"/>
          </w:tcPr>
          <w:p w14:paraId="3F77067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5F2752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EC68B21">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19D4EC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EA265E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F5F7004">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2424A59">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871A7E3">
            <w:pPr>
              <w:spacing w:line="240" w:lineRule="exact"/>
              <w:jc w:val="right"/>
              <w:rPr>
                <w:rFonts w:ascii="宋体" w:hAnsi="宋体" w:eastAsia="宋体" w:cs="宋体"/>
                <w:sz w:val="18"/>
                <w:szCs w:val="18"/>
              </w:rPr>
            </w:pPr>
          </w:p>
        </w:tc>
      </w:tr>
      <w:tr w14:paraId="2CA30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112B87E">
            <w:pPr>
              <w:spacing w:before="40" w:after="40" w:line="240" w:lineRule="exac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97EB0E5"/>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F24B6A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2D3632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F2247E4"/>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19834C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9299D3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717FF32"/>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0FDF820"/>
        </w:tc>
      </w:tr>
      <w:tr w14:paraId="3D32B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7BFE10E">
            <w:pPr>
              <w:spacing w:line="240" w:lineRule="exac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24FA28">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77BD76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7F7499">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662A151">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1C731A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C1F78D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6741B01">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04A477">
            <w:pPr>
              <w:spacing w:line="240" w:lineRule="exact"/>
              <w:jc w:val="right"/>
              <w:rPr>
                <w:rFonts w:ascii="宋体" w:hAnsi="宋体" w:eastAsia="宋体" w:cs="宋体"/>
                <w:sz w:val="18"/>
                <w:szCs w:val="18"/>
              </w:rPr>
            </w:pPr>
          </w:p>
        </w:tc>
      </w:tr>
      <w:tr w14:paraId="6CDC8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1FE4AF0">
            <w:pPr>
              <w:spacing w:before="40" w:after="40" w:line="240" w:lineRule="exact"/>
              <w:rPr>
                <w:rFonts w:ascii="宋体" w:hAnsi="宋体" w:eastAsia="宋体" w:cs="宋体"/>
                <w:sz w:val="18"/>
                <w:szCs w:val="18"/>
              </w:rPr>
            </w:pPr>
            <w:r>
              <w:rPr>
                <w:rFonts w:ascii="宋体" w:hAnsi="宋体" w:eastAsia="宋体" w:cs="宋体"/>
                <w:sz w:val="18"/>
                <w:szCs w:val="18"/>
              </w:rPr>
              <w:t>合同类型</w:t>
            </w:r>
          </w:p>
        </w:tc>
        <w:tc>
          <w:tcPr>
            <w:tcW w:w="1071" w:type="dxa"/>
            <w:tcBorders>
              <w:top w:val="single" w:color="auto" w:sz="2" w:space="0"/>
              <w:left w:val="single" w:color="auto" w:sz="2" w:space="0"/>
              <w:bottom w:val="single" w:color="auto" w:sz="2" w:space="0"/>
              <w:right w:val="single" w:color="auto" w:sz="2" w:space="0"/>
            </w:tcBorders>
            <w:vAlign w:val="center"/>
          </w:tcPr>
          <w:p w14:paraId="489965E4">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7668FD4">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D26DE0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0B037B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0B7CAE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186AEA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3E4E77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B8168F5">
            <w:pPr>
              <w:spacing w:line="240" w:lineRule="exact"/>
              <w:jc w:val="right"/>
              <w:rPr>
                <w:rFonts w:ascii="宋体" w:hAnsi="宋体" w:eastAsia="宋体" w:cs="宋体"/>
                <w:sz w:val="18"/>
                <w:szCs w:val="18"/>
              </w:rPr>
            </w:pPr>
          </w:p>
        </w:tc>
      </w:tr>
      <w:tr w14:paraId="30770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F433470">
            <w:pPr>
              <w:spacing w:before="40" w:after="40" w:line="240" w:lineRule="exac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C77F29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6A92B03"/>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FC539A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D1C98DD"/>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25A039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C03E17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F1BBA1C"/>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07377C3"/>
        </w:tc>
      </w:tr>
      <w:tr w14:paraId="2C590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8DEE7DD">
            <w:pPr>
              <w:spacing w:line="240" w:lineRule="exac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424AAA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90FDD8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9A9A12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BCA11F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030E9D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80D2CB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51368C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C3B18AB">
            <w:pPr>
              <w:spacing w:line="240" w:lineRule="exact"/>
              <w:jc w:val="right"/>
              <w:rPr>
                <w:rFonts w:ascii="宋体" w:hAnsi="宋体" w:eastAsia="宋体" w:cs="宋体"/>
                <w:sz w:val="18"/>
                <w:szCs w:val="18"/>
              </w:rPr>
            </w:pPr>
          </w:p>
        </w:tc>
      </w:tr>
      <w:tr w14:paraId="49E0D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FFB4DB4">
            <w:pPr>
              <w:spacing w:before="40" w:after="40" w:line="240" w:lineRule="exact"/>
              <w:rPr>
                <w:rFonts w:ascii="宋体" w:hAnsi="宋体" w:eastAsia="宋体" w:cs="宋体"/>
                <w:sz w:val="18"/>
                <w:szCs w:val="18"/>
              </w:rPr>
            </w:pPr>
            <w:r>
              <w:rPr>
                <w:rFonts w:ascii="宋体" w:hAnsi="宋体" w:eastAsia="宋体" w:cs="宋体"/>
                <w:sz w:val="18"/>
                <w:szCs w:val="18"/>
              </w:rPr>
              <w:t>按商品转让的时间分类</w:t>
            </w:r>
          </w:p>
        </w:tc>
        <w:tc>
          <w:tcPr>
            <w:tcW w:w="1071" w:type="dxa"/>
            <w:tcBorders>
              <w:top w:val="single" w:color="auto" w:sz="2" w:space="0"/>
              <w:left w:val="single" w:color="auto" w:sz="2" w:space="0"/>
              <w:bottom w:val="single" w:color="auto" w:sz="2" w:space="0"/>
              <w:right w:val="single" w:color="auto" w:sz="2" w:space="0"/>
            </w:tcBorders>
            <w:vAlign w:val="center"/>
          </w:tcPr>
          <w:p w14:paraId="79F7CE36">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52E5D9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D31D33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9B28F3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5CFF26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1338E84">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85FB96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975367E">
            <w:pPr>
              <w:spacing w:line="240" w:lineRule="exact"/>
              <w:jc w:val="right"/>
              <w:rPr>
                <w:rFonts w:ascii="宋体" w:hAnsi="宋体" w:eastAsia="宋体" w:cs="宋体"/>
                <w:sz w:val="18"/>
                <w:szCs w:val="18"/>
              </w:rPr>
            </w:pPr>
          </w:p>
        </w:tc>
      </w:tr>
      <w:tr w14:paraId="02249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04127D4">
            <w:pPr>
              <w:spacing w:before="40" w:after="40" w:line="240" w:lineRule="exac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CE28A6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C7FFA5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2921518"/>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40B1F1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703E7D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572810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6F06906"/>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79C6888"/>
        </w:tc>
      </w:tr>
      <w:tr w14:paraId="7FABB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F00460E">
            <w:pPr>
              <w:spacing w:line="240" w:lineRule="exact"/>
              <w:rPr>
                <w:rFonts w:ascii="宋体" w:hAnsi="宋体" w:eastAsia="宋体" w:cs="宋体"/>
                <w:sz w:val="18"/>
                <w:szCs w:val="18"/>
              </w:rPr>
            </w:pPr>
            <w:r>
              <w:rPr>
                <w:rFonts w:ascii="宋体" w:hAnsi="宋体" w:eastAsia="宋体" w:cs="宋体"/>
                <w:sz w:val="18"/>
                <w:szCs w:val="18"/>
              </w:rPr>
              <w:t>在某一时点转让</w:t>
            </w:r>
          </w:p>
        </w:tc>
        <w:tc>
          <w:tcPr>
            <w:tcW w:w="1071" w:type="dxa"/>
            <w:tcBorders>
              <w:top w:val="single" w:color="auto" w:sz="2" w:space="0"/>
              <w:left w:val="single" w:color="auto" w:sz="2" w:space="0"/>
              <w:bottom w:val="single" w:color="auto" w:sz="2" w:space="0"/>
              <w:right w:val="single" w:color="auto" w:sz="2" w:space="0"/>
            </w:tcBorders>
            <w:vAlign w:val="center"/>
          </w:tcPr>
          <w:p w14:paraId="327A7FC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368458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4A3DB9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90E22B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AD15DAF">
            <w:pPr>
              <w:spacing w:line="240" w:lineRule="exact"/>
              <w:jc w:val="right"/>
              <w:rPr>
                <w:rFonts w:ascii="宋体" w:hAnsi="宋体" w:eastAsia="宋体" w:cs="宋体"/>
                <w:sz w:val="18"/>
                <w:szCs w:val="18"/>
              </w:rPr>
            </w:pPr>
            <w:r>
              <w:rPr>
                <w:rFonts w:ascii="宋体" w:hAnsi="宋体" w:eastAsia="宋体" w:cs="宋体"/>
                <w:sz w:val="18"/>
                <w:szCs w:val="18"/>
              </w:rPr>
              <w:t>997,109,069.31</w:t>
            </w:r>
          </w:p>
        </w:tc>
        <w:tc>
          <w:tcPr>
            <w:tcW w:w="1071" w:type="dxa"/>
            <w:tcBorders>
              <w:top w:val="single" w:color="auto" w:sz="2" w:space="0"/>
              <w:left w:val="single" w:color="auto" w:sz="2" w:space="0"/>
              <w:bottom w:val="single" w:color="auto" w:sz="2" w:space="0"/>
              <w:right w:val="single" w:color="auto" w:sz="2" w:space="0"/>
            </w:tcBorders>
            <w:vAlign w:val="center"/>
          </w:tcPr>
          <w:p w14:paraId="67A53DFE">
            <w:pPr>
              <w:spacing w:line="240" w:lineRule="exact"/>
              <w:jc w:val="right"/>
              <w:rPr>
                <w:rFonts w:ascii="宋体" w:hAnsi="宋体" w:eastAsia="宋体" w:cs="宋体"/>
                <w:sz w:val="18"/>
                <w:szCs w:val="18"/>
              </w:rPr>
            </w:pPr>
            <w:r>
              <w:rPr>
                <w:rFonts w:ascii="宋体" w:hAnsi="宋体" w:eastAsia="宋体" w:cs="宋体"/>
                <w:sz w:val="18"/>
                <w:szCs w:val="18"/>
              </w:rPr>
              <w:t>971,956,985.27</w:t>
            </w:r>
          </w:p>
        </w:tc>
        <w:tc>
          <w:tcPr>
            <w:tcW w:w="1071" w:type="dxa"/>
            <w:tcBorders>
              <w:top w:val="single" w:color="auto" w:sz="2" w:space="0"/>
              <w:left w:val="single" w:color="auto" w:sz="2" w:space="0"/>
              <w:bottom w:val="single" w:color="auto" w:sz="2" w:space="0"/>
              <w:right w:val="single" w:color="auto" w:sz="2" w:space="0"/>
            </w:tcBorders>
            <w:vAlign w:val="center"/>
          </w:tcPr>
          <w:p w14:paraId="478438BC">
            <w:pPr>
              <w:spacing w:line="240" w:lineRule="exact"/>
              <w:jc w:val="right"/>
              <w:rPr>
                <w:rFonts w:ascii="宋体" w:hAnsi="宋体" w:eastAsia="宋体" w:cs="宋体"/>
                <w:sz w:val="18"/>
                <w:szCs w:val="18"/>
              </w:rPr>
            </w:pPr>
            <w:r>
              <w:rPr>
                <w:rFonts w:ascii="宋体" w:hAnsi="宋体" w:eastAsia="宋体" w:cs="宋体"/>
                <w:sz w:val="18"/>
                <w:szCs w:val="18"/>
              </w:rPr>
              <w:t>997,109,069.31</w:t>
            </w:r>
          </w:p>
        </w:tc>
        <w:tc>
          <w:tcPr>
            <w:tcW w:w="1071" w:type="dxa"/>
            <w:tcBorders>
              <w:top w:val="single" w:color="auto" w:sz="2" w:space="0"/>
              <w:left w:val="single" w:color="auto" w:sz="2" w:space="0"/>
              <w:bottom w:val="single" w:color="auto" w:sz="2" w:space="0"/>
              <w:right w:val="single" w:color="auto" w:sz="2" w:space="0"/>
            </w:tcBorders>
            <w:vAlign w:val="center"/>
          </w:tcPr>
          <w:p w14:paraId="4DC578F4">
            <w:pPr>
              <w:spacing w:line="240" w:lineRule="exact"/>
              <w:jc w:val="right"/>
              <w:rPr>
                <w:rFonts w:ascii="宋体" w:hAnsi="宋体" w:eastAsia="宋体" w:cs="宋体"/>
                <w:sz w:val="18"/>
                <w:szCs w:val="18"/>
              </w:rPr>
            </w:pPr>
            <w:r>
              <w:rPr>
                <w:rFonts w:ascii="宋体" w:hAnsi="宋体" w:eastAsia="宋体" w:cs="宋体"/>
                <w:sz w:val="18"/>
                <w:szCs w:val="18"/>
              </w:rPr>
              <w:t>971,956,985.27</w:t>
            </w:r>
          </w:p>
        </w:tc>
      </w:tr>
      <w:tr w14:paraId="637E0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A65F042">
            <w:pPr>
              <w:spacing w:line="240" w:lineRule="exact"/>
              <w:rPr>
                <w:rFonts w:ascii="宋体" w:hAnsi="宋体" w:eastAsia="宋体" w:cs="宋体"/>
                <w:sz w:val="18"/>
                <w:szCs w:val="18"/>
              </w:rPr>
            </w:pPr>
            <w:r>
              <w:rPr>
                <w:rFonts w:ascii="宋体" w:hAnsi="宋体" w:eastAsia="宋体" w:cs="宋体"/>
                <w:sz w:val="18"/>
                <w:szCs w:val="18"/>
              </w:rPr>
              <w:t>在某一时段内转让</w:t>
            </w:r>
          </w:p>
        </w:tc>
        <w:tc>
          <w:tcPr>
            <w:tcW w:w="1071" w:type="dxa"/>
            <w:tcBorders>
              <w:top w:val="single" w:color="auto" w:sz="2" w:space="0"/>
              <w:left w:val="single" w:color="auto" w:sz="2" w:space="0"/>
              <w:bottom w:val="single" w:color="auto" w:sz="2" w:space="0"/>
              <w:right w:val="single" w:color="auto" w:sz="2" w:space="0"/>
            </w:tcBorders>
            <w:vAlign w:val="center"/>
          </w:tcPr>
          <w:p w14:paraId="5A588C4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A8E11E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70F045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94CA2C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81006BF">
            <w:pPr>
              <w:spacing w:line="240" w:lineRule="exact"/>
              <w:jc w:val="right"/>
              <w:rPr>
                <w:rFonts w:ascii="宋体" w:hAnsi="宋体" w:eastAsia="宋体" w:cs="宋体"/>
                <w:sz w:val="18"/>
                <w:szCs w:val="18"/>
              </w:rPr>
            </w:pPr>
            <w:r>
              <w:rPr>
                <w:rFonts w:ascii="宋体" w:hAnsi="宋体" w:eastAsia="宋体" w:cs="宋体"/>
                <w:sz w:val="18"/>
                <w:szCs w:val="18"/>
              </w:rPr>
              <w:t>1,464,284.42</w:t>
            </w:r>
          </w:p>
        </w:tc>
        <w:tc>
          <w:tcPr>
            <w:tcW w:w="1071" w:type="dxa"/>
            <w:tcBorders>
              <w:top w:val="single" w:color="auto" w:sz="2" w:space="0"/>
              <w:left w:val="single" w:color="auto" w:sz="2" w:space="0"/>
              <w:bottom w:val="single" w:color="auto" w:sz="2" w:space="0"/>
              <w:right w:val="single" w:color="auto" w:sz="2" w:space="0"/>
            </w:tcBorders>
            <w:vAlign w:val="center"/>
          </w:tcPr>
          <w:p w14:paraId="7241C2E2">
            <w:pPr>
              <w:spacing w:line="240" w:lineRule="exact"/>
              <w:jc w:val="right"/>
              <w:rPr>
                <w:rFonts w:ascii="宋体" w:hAnsi="宋体" w:eastAsia="宋体" w:cs="宋体"/>
                <w:sz w:val="18"/>
                <w:szCs w:val="18"/>
              </w:rPr>
            </w:pPr>
            <w:r>
              <w:rPr>
                <w:rFonts w:ascii="宋体" w:hAnsi="宋体" w:eastAsia="宋体" w:cs="宋体"/>
                <w:sz w:val="18"/>
                <w:szCs w:val="18"/>
              </w:rPr>
              <w:t>1,765,008.00</w:t>
            </w:r>
          </w:p>
        </w:tc>
        <w:tc>
          <w:tcPr>
            <w:tcW w:w="1071" w:type="dxa"/>
            <w:tcBorders>
              <w:top w:val="single" w:color="auto" w:sz="2" w:space="0"/>
              <w:left w:val="single" w:color="auto" w:sz="2" w:space="0"/>
              <w:bottom w:val="single" w:color="auto" w:sz="2" w:space="0"/>
              <w:right w:val="single" w:color="auto" w:sz="2" w:space="0"/>
            </w:tcBorders>
            <w:vAlign w:val="center"/>
          </w:tcPr>
          <w:p w14:paraId="239CEA7A">
            <w:pPr>
              <w:spacing w:line="240" w:lineRule="exact"/>
              <w:jc w:val="right"/>
              <w:rPr>
                <w:rFonts w:ascii="宋体" w:hAnsi="宋体" w:eastAsia="宋体" w:cs="宋体"/>
                <w:sz w:val="18"/>
                <w:szCs w:val="18"/>
              </w:rPr>
            </w:pPr>
            <w:r>
              <w:rPr>
                <w:rFonts w:ascii="宋体" w:hAnsi="宋体" w:eastAsia="宋体" w:cs="宋体"/>
                <w:sz w:val="18"/>
                <w:szCs w:val="18"/>
              </w:rPr>
              <w:t>1,464,284.42</w:t>
            </w:r>
          </w:p>
        </w:tc>
        <w:tc>
          <w:tcPr>
            <w:tcW w:w="1071" w:type="dxa"/>
            <w:tcBorders>
              <w:top w:val="single" w:color="auto" w:sz="2" w:space="0"/>
              <w:left w:val="single" w:color="auto" w:sz="2" w:space="0"/>
              <w:bottom w:val="single" w:color="auto" w:sz="2" w:space="0"/>
              <w:right w:val="single" w:color="auto" w:sz="2" w:space="0"/>
            </w:tcBorders>
            <w:vAlign w:val="center"/>
          </w:tcPr>
          <w:p w14:paraId="4979B22B">
            <w:pPr>
              <w:spacing w:line="240" w:lineRule="exact"/>
              <w:jc w:val="right"/>
              <w:rPr>
                <w:rFonts w:ascii="宋体" w:hAnsi="宋体" w:eastAsia="宋体" w:cs="宋体"/>
                <w:sz w:val="18"/>
                <w:szCs w:val="18"/>
              </w:rPr>
            </w:pPr>
            <w:r>
              <w:rPr>
                <w:rFonts w:ascii="宋体" w:hAnsi="宋体" w:eastAsia="宋体" w:cs="宋体"/>
                <w:sz w:val="18"/>
                <w:szCs w:val="18"/>
              </w:rPr>
              <w:t>1,765,008.00</w:t>
            </w:r>
          </w:p>
        </w:tc>
      </w:tr>
      <w:tr w14:paraId="1DB5B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815D0D0">
            <w:pPr>
              <w:spacing w:before="40" w:after="40" w:line="240" w:lineRule="exact"/>
              <w:rPr>
                <w:rFonts w:ascii="宋体" w:hAnsi="宋体" w:eastAsia="宋体" w:cs="宋体"/>
                <w:sz w:val="18"/>
                <w:szCs w:val="18"/>
              </w:rPr>
            </w:pPr>
            <w:r>
              <w:rPr>
                <w:rFonts w:ascii="宋体" w:hAnsi="宋体" w:eastAsia="宋体" w:cs="宋体"/>
                <w:sz w:val="18"/>
                <w:szCs w:val="18"/>
              </w:rPr>
              <w:t>按合同期限分类</w:t>
            </w:r>
          </w:p>
        </w:tc>
        <w:tc>
          <w:tcPr>
            <w:tcW w:w="1071" w:type="dxa"/>
            <w:tcBorders>
              <w:top w:val="single" w:color="auto" w:sz="2" w:space="0"/>
              <w:left w:val="single" w:color="auto" w:sz="2" w:space="0"/>
              <w:bottom w:val="single" w:color="auto" w:sz="2" w:space="0"/>
              <w:right w:val="single" w:color="auto" w:sz="2" w:space="0"/>
            </w:tcBorders>
            <w:vAlign w:val="center"/>
          </w:tcPr>
          <w:p w14:paraId="0F44737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CBA3E3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C03686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5DDC901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55B5149">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CBA6B29">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A185BC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37E6DA4">
            <w:pPr>
              <w:spacing w:line="240" w:lineRule="exact"/>
              <w:jc w:val="right"/>
              <w:rPr>
                <w:rFonts w:ascii="宋体" w:hAnsi="宋体" w:eastAsia="宋体" w:cs="宋体"/>
                <w:sz w:val="18"/>
                <w:szCs w:val="18"/>
              </w:rPr>
            </w:pPr>
          </w:p>
        </w:tc>
      </w:tr>
      <w:tr w14:paraId="70364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001794A">
            <w:pPr>
              <w:spacing w:before="40" w:after="40" w:line="240" w:lineRule="exac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19F9CF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2C217F0"/>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960A81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9955BDF"/>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AC78335"/>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A039F4B"/>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8251D8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91057E4"/>
        </w:tc>
      </w:tr>
      <w:tr w14:paraId="3ACE4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0EE0AF3">
            <w:pPr>
              <w:spacing w:line="240" w:lineRule="exac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D96A0D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F96863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62E6CC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747D3B1">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A0369C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C30D197">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DF2BB7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8FB96B">
            <w:pPr>
              <w:spacing w:line="240" w:lineRule="exact"/>
              <w:jc w:val="right"/>
              <w:rPr>
                <w:rFonts w:ascii="宋体" w:hAnsi="宋体" w:eastAsia="宋体" w:cs="宋体"/>
                <w:sz w:val="18"/>
                <w:szCs w:val="18"/>
              </w:rPr>
            </w:pPr>
          </w:p>
        </w:tc>
      </w:tr>
      <w:tr w14:paraId="1D6DC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F17E947">
            <w:pPr>
              <w:spacing w:before="40" w:after="40" w:line="240" w:lineRule="exact"/>
              <w:rPr>
                <w:rFonts w:ascii="宋体" w:hAnsi="宋体" w:eastAsia="宋体" w:cs="宋体"/>
                <w:sz w:val="18"/>
                <w:szCs w:val="18"/>
              </w:rPr>
            </w:pPr>
            <w:r>
              <w:rPr>
                <w:rFonts w:ascii="宋体" w:hAnsi="宋体" w:eastAsia="宋体" w:cs="宋体"/>
                <w:sz w:val="18"/>
                <w:szCs w:val="18"/>
              </w:rPr>
              <w:t>按销售渠道分类</w:t>
            </w:r>
          </w:p>
        </w:tc>
        <w:tc>
          <w:tcPr>
            <w:tcW w:w="1071" w:type="dxa"/>
            <w:tcBorders>
              <w:top w:val="single" w:color="auto" w:sz="2" w:space="0"/>
              <w:left w:val="single" w:color="auto" w:sz="2" w:space="0"/>
              <w:bottom w:val="single" w:color="auto" w:sz="2" w:space="0"/>
              <w:right w:val="single" w:color="auto" w:sz="2" w:space="0"/>
            </w:tcBorders>
            <w:vAlign w:val="center"/>
          </w:tcPr>
          <w:p w14:paraId="3960D42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8EFE53A">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C940618">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9EBBC4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1B1B8EE">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17108DC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9F683E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D15E1F6">
            <w:pPr>
              <w:spacing w:line="240" w:lineRule="exact"/>
              <w:jc w:val="right"/>
              <w:rPr>
                <w:rFonts w:ascii="宋体" w:hAnsi="宋体" w:eastAsia="宋体" w:cs="宋体"/>
                <w:sz w:val="18"/>
                <w:szCs w:val="18"/>
              </w:rPr>
            </w:pPr>
          </w:p>
        </w:tc>
      </w:tr>
      <w:tr w14:paraId="173EC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53BE9D8">
            <w:pPr>
              <w:spacing w:before="40" w:after="40" w:line="240" w:lineRule="exac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788DE780"/>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373904CD"/>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87719BE"/>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C98E5DD"/>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035CBA1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497FA3F7"/>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96BF91A"/>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E894B49"/>
        </w:tc>
      </w:tr>
      <w:tr w14:paraId="437D1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E669C71">
            <w:pPr>
              <w:spacing w:line="240" w:lineRule="exac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F7E7091">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24F96BF">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210B8B0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0FC0C36D">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50E0B58">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262C61C">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A7AF1B5">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8E231F0">
            <w:pPr>
              <w:spacing w:line="240" w:lineRule="exact"/>
              <w:jc w:val="right"/>
              <w:rPr>
                <w:rFonts w:ascii="宋体" w:hAnsi="宋体" w:eastAsia="宋体" w:cs="宋体"/>
                <w:sz w:val="18"/>
                <w:szCs w:val="18"/>
              </w:rPr>
            </w:pPr>
          </w:p>
        </w:tc>
      </w:tr>
      <w:tr w14:paraId="25C56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346020D">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14:paraId="43C59A2B">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6F9AE7F2">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38D582C3">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781F49C0">
            <w:pPr>
              <w:spacing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14:paraId="41F7E9C6">
            <w:pPr>
              <w:spacing w:line="240" w:lineRule="exact"/>
              <w:jc w:val="right"/>
              <w:rPr>
                <w:rFonts w:ascii="宋体" w:hAnsi="宋体" w:eastAsia="宋体" w:cs="宋体"/>
                <w:sz w:val="18"/>
                <w:szCs w:val="18"/>
              </w:rPr>
            </w:pPr>
            <w:r>
              <w:rPr>
                <w:rFonts w:ascii="宋体" w:hAnsi="宋体" w:eastAsia="宋体" w:cs="宋体"/>
                <w:sz w:val="18"/>
                <w:szCs w:val="18"/>
              </w:rPr>
              <w:t>998,573,353.73</w:t>
            </w:r>
          </w:p>
        </w:tc>
        <w:tc>
          <w:tcPr>
            <w:tcW w:w="1071" w:type="dxa"/>
            <w:tcBorders>
              <w:top w:val="single" w:color="auto" w:sz="2" w:space="0"/>
              <w:left w:val="single" w:color="auto" w:sz="2" w:space="0"/>
              <w:bottom w:val="single" w:color="auto" w:sz="2" w:space="0"/>
              <w:right w:val="single" w:color="auto" w:sz="2" w:space="0"/>
            </w:tcBorders>
            <w:vAlign w:val="center"/>
          </w:tcPr>
          <w:p w14:paraId="126CD263">
            <w:pPr>
              <w:spacing w:line="240" w:lineRule="exact"/>
              <w:jc w:val="right"/>
              <w:rPr>
                <w:rFonts w:ascii="宋体" w:hAnsi="宋体" w:eastAsia="宋体" w:cs="宋体"/>
                <w:sz w:val="18"/>
                <w:szCs w:val="18"/>
              </w:rPr>
            </w:pPr>
            <w:r>
              <w:rPr>
                <w:rFonts w:ascii="宋体" w:hAnsi="宋体" w:eastAsia="宋体" w:cs="宋体"/>
                <w:sz w:val="18"/>
                <w:szCs w:val="18"/>
              </w:rPr>
              <w:t>973,721,993.27</w:t>
            </w:r>
          </w:p>
        </w:tc>
        <w:tc>
          <w:tcPr>
            <w:tcW w:w="1071" w:type="dxa"/>
            <w:tcBorders>
              <w:top w:val="single" w:color="auto" w:sz="2" w:space="0"/>
              <w:left w:val="single" w:color="auto" w:sz="2" w:space="0"/>
              <w:bottom w:val="single" w:color="auto" w:sz="2" w:space="0"/>
              <w:right w:val="single" w:color="auto" w:sz="2" w:space="0"/>
            </w:tcBorders>
            <w:vAlign w:val="center"/>
          </w:tcPr>
          <w:p w14:paraId="006E4E34">
            <w:pPr>
              <w:spacing w:line="240" w:lineRule="exact"/>
              <w:jc w:val="right"/>
              <w:rPr>
                <w:rFonts w:ascii="宋体" w:hAnsi="宋体" w:eastAsia="宋体" w:cs="宋体"/>
                <w:sz w:val="18"/>
                <w:szCs w:val="18"/>
              </w:rPr>
            </w:pPr>
            <w:r>
              <w:rPr>
                <w:rFonts w:ascii="宋体" w:hAnsi="宋体" w:eastAsia="宋体" w:cs="宋体"/>
                <w:sz w:val="18"/>
                <w:szCs w:val="18"/>
              </w:rPr>
              <w:t>998,573,353.73</w:t>
            </w:r>
          </w:p>
        </w:tc>
        <w:tc>
          <w:tcPr>
            <w:tcW w:w="1071" w:type="dxa"/>
            <w:tcBorders>
              <w:top w:val="single" w:color="auto" w:sz="2" w:space="0"/>
              <w:left w:val="single" w:color="auto" w:sz="2" w:space="0"/>
              <w:bottom w:val="single" w:color="auto" w:sz="2" w:space="0"/>
              <w:right w:val="single" w:color="auto" w:sz="2" w:space="0"/>
            </w:tcBorders>
            <w:vAlign w:val="center"/>
          </w:tcPr>
          <w:p w14:paraId="74B9B19C">
            <w:pPr>
              <w:spacing w:line="240" w:lineRule="exact"/>
              <w:jc w:val="right"/>
              <w:rPr>
                <w:rFonts w:ascii="宋体" w:hAnsi="宋体" w:eastAsia="宋体" w:cs="宋体"/>
                <w:sz w:val="18"/>
                <w:szCs w:val="18"/>
              </w:rPr>
            </w:pPr>
            <w:r>
              <w:rPr>
                <w:rFonts w:ascii="宋体" w:hAnsi="宋体" w:eastAsia="宋体" w:cs="宋体"/>
                <w:sz w:val="18"/>
                <w:szCs w:val="18"/>
              </w:rPr>
              <w:t>973,721,993.27</w:t>
            </w:r>
          </w:p>
        </w:tc>
      </w:tr>
    </w:tbl>
    <w:p w14:paraId="3FC422FA">
      <w:pPr>
        <w:spacing w:before="100" w:after="100" w:line="240" w:lineRule="exact"/>
        <w:rPr>
          <w:rFonts w:ascii="宋体" w:hAnsi="宋体" w:eastAsia="宋体" w:cs="宋体"/>
          <w:sz w:val="18"/>
          <w:szCs w:val="18"/>
        </w:rPr>
      </w:pPr>
      <w:r>
        <w:rPr>
          <w:rFonts w:ascii="宋体" w:hAnsi="宋体" w:eastAsia="宋体" w:cs="宋体"/>
          <w:sz w:val="18"/>
          <w:szCs w:val="18"/>
        </w:rPr>
        <w:t>与履约义务相关的信息：</w:t>
      </w:r>
    </w:p>
    <w:p w14:paraId="1DF0F6DA">
      <w:pPr>
        <w:spacing w:line="0" w:lineRule="atLeast"/>
      </w:pP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14:paraId="5F6D9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3A1B93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1D64357E">
            <w:pPr>
              <w:spacing w:before="40" w:after="40" w:line="240" w:lineRule="exact"/>
              <w:jc w:val="center"/>
              <w:rPr>
                <w:rFonts w:ascii="宋体" w:hAnsi="宋体" w:eastAsia="宋体" w:cs="宋体"/>
                <w:sz w:val="18"/>
                <w:szCs w:val="18"/>
              </w:rPr>
            </w:pPr>
            <w:r>
              <w:rPr>
                <w:rFonts w:ascii="宋体" w:hAnsi="宋体" w:eastAsia="宋体" w:cs="宋体"/>
                <w:sz w:val="18"/>
                <w:szCs w:val="18"/>
              </w:rPr>
              <w:t>履行履约义务的时间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3F518576">
            <w:pPr>
              <w:spacing w:before="40" w:after="40" w:line="240" w:lineRule="exact"/>
              <w:jc w:val="center"/>
              <w:rPr>
                <w:rFonts w:ascii="宋体" w:hAnsi="宋体" w:eastAsia="宋体" w:cs="宋体"/>
                <w:sz w:val="18"/>
                <w:szCs w:val="18"/>
              </w:rPr>
            </w:pPr>
            <w:r>
              <w:rPr>
                <w:rFonts w:ascii="宋体" w:hAnsi="宋体" w:eastAsia="宋体" w:cs="宋体"/>
                <w:sz w:val="18"/>
                <w:szCs w:val="18"/>
              </w:rPr>
              <w:t>重要的支付条款</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93D182D">
            <w:pPr>
              <w:spacing w:before="40" w:after="40" w:line="240" w:lineRule="exact"/>
              <w:jc w:val="center"/>
              <w:rPr>
                <w:rFonts w:ascii="宋体" w:hAnsi="宋体" w:eastAsia="宋体" w:cs="宋体"/>
                <w:sz w:val="18"/>
                <w:szCs w:val="18"/>
              </w:rPr>
            </w:pPr>
            <w:r>
              <w:rPr>
                <w:rFonts w:ascii="宋体" w:hAnsi="宋体" w:eastAsia="宋体" w:cs="宋体"/>
                <w:sz w:val="18"/>
                <w:szCs w:val="18"/>
              </w:rPr>
              <w:t>公司承诺转让商品的性质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06BC7734">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是否为主要责任人</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4EEFCCC7">
            <w:pPr>
              <w:spacing w:before="40" w:after="40" w:line="240" w:lineRule="exact"/>
              <w:jc w:val="center"/>
              <w:rPr>
                <w:rFonts w:ascii="宋体" w:hAnsi="宋体" w:eastAsia="宋体" w:cs="宋体"/>
                <w:sz w:val="18"/>
                <w:szCs w:val="18"/>
              </w:rPr>
            </w:pPr>
            <w:r>
              <w:rPr>
                <w:rFonts w:ascii="宋体" w:hAnsi="宋体" w:eastAsia="宋体" w:cs="宋体"/>
                <w:sz w:val="18"/>
                <w:szCs w:val="18"/>
              </w:rPr>
              <w:t>公司承担的预期将退还给客户的款项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14:paraId="6CA1A8B9">
            <w:pPr>
              <w:spacing w:before="40" w:after="40" w:line="240" w:lineRule="exact"/>
              <w:jc w:val="center"/>
              <w:rPr>
                <w:rFonts w:ascii="宋体" w:hAnsi="宋体" w:eastAsia="宋体" w:cs="宋体"/>
                <w:sz w:val="18"/>
                <w:szCs w:val="18"/>
              </w:rPr>
            </w:pPr>
            <w:r>
              <w:rPr>
                <w:rFonts w:ascii="宋体" w:hAnsi="宋体" w:eastAsia="宋体" w:cs="宋体"/>
                <w:sz w:val="18"/>
                <w:szCs w:val="18"/>
              </w:rPr>
              <w:t>公司提供的质量保证类型及相关义务</w:t>
            </w:r>
          </w:p>
        </w:tc>
      </w:tr>
    </w:tbl>
    <w:p w14:paraId="3EA40E8D">
      <w:pPr>
        <w:spacing w:before="100" w:after="100" w:line="240" w:lineRule="exact"/>
        <w:rPr>
          <w:rFonts w:ascii="宋体" w:hAnsi="宋体" w:eastAsia="宋体" w:cs="宋体"/>
          <w:sz w:val="18"/>
          <w:szCs w:val="18"/>
        </w:rPr>
      </w:pPr>
      <w:r>
        <w:rPr>
          <w:rFonts w:ascii="宋体" w:hAnsi="宋体" w:eastAsia="宋体" w:cs="宋体"/>
          <w:sz w:val="18"/>
          <w:szCs w:val="18"/>
        </w:rPr>
        <w:t>其他说明</w:t>
      </w:r>
    </w:p>
    <w:p w14:paraId="0A66848E">
      <w:pPr>
        <w:spacing w:before="100" w:after="100" w:line="240" w:lineRule="exact"/>
        <w:rPr>
          <w:rFonts w:ascii="宋体" w:hAnsi="宋体" w:eastAsia="宋体" w:cs="宋体"/>
          <w:sz w:val="18"/>
          <w:szCs w:val="18"/>
        </w:rPr>
      </w:pPr>
      <w:r>
        <w:rPr>
          <w:rFonts w:ascii="宋体" w:hAnsi="宋体" w:eastAsia="宋体" w:cs="宋体"/>
          <w:sz w:val="18"/>
          <w:szCs w:val="18"/>
        </w:rPr>
        <w:t>与分摊至剩余履约义务的交易价格相关的信息：</w:t>
      </w:r>
    </w:p>
    <w:p w14:paraId="5907A635">
      <w:pPr>
        <w:spacing w:before="100" w:after="100" w:line="240" w:lineRule="exac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本报告期末已签订合同、但尚未履行或尚未履行完毕的履约义务所对应的收入金额为0.00元，其中，元预计将于年度确认收入，元预计将于年度确认收入，元预计将于年度确认收入。</w:t>
      </w:r>
    </w:p>
    <w:p w14:paraId="2D846449">
      <w:pPr>
        <w:spacing w:before="100" w:after="100" w:line="240" w:lineRule="exact"/>
        <w:rPr>
          <w:rFonts w:ascii="宋体" w:hAnsi="宋体" w:eastAsia="宋体" w:cs="宋体"/>
          <w:sz w:val="18"/>
          <w:szCs w:val="18"/>
        </w:rPr>
      </w:pPr>
      <w:r>
        <w:rPr>
          <w:rFonts w:ascii="宋体" w:hAnsi="宋体" w:eastAsia="宋体" w:cs="宋体"/>
          <w:sz w:val="18"/>
          <w:szCs w:val="18"/>
        </w:rPr>
        <w:t>重大合同变更或重大交易价格调整</w:t>
      </w:r>
    </w:p>
    <w:p w14:paraId="214E54C4">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47616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1C35A6C">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2A66BD">
            <w:pPr>
              <w:spacing w:before="40" w:after="40" w:line="240" w:lineRule="exact"/>
              <w:jc w:val="center"/>
              <w:rPr>
                <w:rFonts w:ascii="宋体" w:hAnsi="宋体" w:eastAsia="宋体" w:cs="宋体"/>
                <w:sz w:val="18"/>
                <w:szCs w:val="18"/>
              </w:rPr>
            </w:pPr>
            <w:r>
              <w:rPr>
                <w:rFonts w:ascii="宋体" w:hAnsi="宋体" w:eastAsia="宋体" w:cs="宋体"/>
                <w:sz w:val="18"/>
                <w:szCs w:val="18"/>
              </w:rPr>
              <w:t>会计处理方法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2FD0365">
            <w:pPr>
              <w:spacing w:before="40" w:after="40" w:line="240" w:lineRule="exact"/>
              <w:jc w:val="center"/>
              <w:rPr>
                <w:rFonts w:ascii="宋体" w:hAnsi="宋体" w:eastAsia="宋体" w:cs="宋体"/>
                <w:sz w:val="18"/>
                <w:szCs w:val="18"/>
              </w:rPr>
            </w:pPr>
            <w:r>
              <w:rPr>
                <w:rFonts w:ascii="宋体" w:hAnsi="宋体" w:eastAsia="宋体" w:cs="宋体"/>
                <w:sz w:val="18"/>
                <w:szCs w:val="18"/>
              </w:rPr>
              <w:t>对收入的影响金额</w:t>
            </w:r>
          </w:p>
        </w:tc>
      </w:tr>
    </w:tbl>
    <w:p w14:paraId="3119470F">
      <w:pPr>
        <w:spacing w:before="100" w:after="100" w:line="240" w:lineRule="exact"/>
        <w:rPr>
          <w:rFonts w:ascii="宋体" w:hAnsi="宋体" w:eastAsia="宋体" w:cs="宋体"/>
          <w:sz w:val="18"/>
          <w:szCs w:val="18"/>
        </w:rPr>
      </w:pPr>
      <w:r>
        <w:rPr>
          <w:rFonts w:ascii="宋体" w:hAnsi="宋体" w:eastAsia="宋体" w:cs="宋体"/>
          <w:sz w:val="18"/>
          <w:szCs w:val="18"/>
        </w:rPr>
        <w:t>其他说明：</w:t>
      </w:r>
    </w:p>
    <w:p w14:paraId="6B1171C2">
      <w:pPr>
        <w:rPr>
          <w:sz w:val="18"/>
          <w:szCs w:val="18"/>
        </w:rPr>
      </w:pPr>
    </w:p>
    <w:p w14:paraId="25F7D567">
      <w:pPr>
        <w:pStyle w:val="3"/>
        <w:spacing w:line="280" w:lineRule="exact"/>
        <w:jc w:val="left"/>
        <w:rPr>
          <w:rFonts w:ascii="宋体" w:hAnsi="宋体" w:cs="宋体"/>
          <w:b/>
          <w:bCs/>
        </w:rPr>
      </w:pPr>
      <w:bookmarkStart w:id="647" w:name="_Toc989502"/>
      <w:r>
        <w:rPr>
          <w:rFonts w:ascii="宋体" w:hAnsi="宋体" w:cs="宋体"/>
          <w:b/>
          <w:bCs/>
        </w:rPr>
        <w:t>5、投资收益</w:t>
      </w:r>
      <w:bookmarkEnd w:id="647"/>
    </w:p>
    <w:p w14:paraId="5D401BFA">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1CBDA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1B37CA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96F301A">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49398862">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4DD14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31E654A6">
            <w:pPr>
              <w:spacing w:before="40" w:after="40" w:line="240" w:lineRule="exact"/>
              <w:rPr>
                <w:rFonts w:ascii="宋体" w:hAnsi="宋体" w:eastAsia="宋体" w:cs="宋体"/>
                <w:sz w:val="18"/>
                <w:szCs w:val="18"/>
              </w:rPr>
            </w:pPr>
            <w:r>
              <w:rPr>
                <w:rFonts w:ascii="宋体" w:hAnsi="宋体" w:eastAsia="宋体" w:cs="宋体"/>
                <w:sz w:val="18"/>
                <w:szCs w:val="18"/>
              </w:rPr>
              <w:t>其他权益工具投资在持有期间取得的股利收入</w:t>
            </w:r>
          </w:p>
        </w:tc>
        <w:tc>
          <w:tcPr>
            <w:tcW w:w="3213" w:type="dxa"/>
            <w:tcBorders>
              <w:top w:val="single" w:color="auto" w:sz="2" w:space="0"/>
              <w:left w:val="single" w:color="auto" w:sz="2" w:space="0"/>
              <w:bottom w:val="single" w:color="auto" w:sz="2" w:space="0"/>
              <w:right w:val="single" w:color="auto" w:sz="2" w:space="0"/>
            </w:tcBorders>
            <w:vAlign w:val="center"/>
          </w:tcPr>
          <w:p w14:paraId="78212F92">
            <w:pPr>
              <w:spacing w:line="240" w:lineRule="exact"/>
              <w:jc w:val="right"/>
              <w:rPr>
                <w:rFonts w:ascii="宋体" w:hAnsi="宋体" w:eastAsia="宋体" w:cs="宋体"/>
                <w:sz w:val="18"/>
                <w:szCs w:val="18"/>
              </w:rPr>
            </w:pPr>
            <w:r>
              <w:rPr>
                <w:rFonts w:ascii="宋体" w:hAnsi="宋体" w:eastAsia="宋体" w:cs="宋体"/>
                <w:sz w:val="18"/>
                <w:szCs w:val="18"/>
              </w:rPr>
              <w:t>5,353,762.26</w:t>
            </w:r>
          </w:p>
        </w:tc>
        <w:tc>
          <w:tcPr>
            <w:tcW w:w="3213" w:type="dxa"/>
            <w:tcBorders>
              <w:top w:val="single" w:color="auto" w:sz="2" w:space="0"/>
              <w:left w:val="single" w:color="auto" w:sz="2" w:space="0"/>
              <w:bottom w:val="single" w:color="auto" w:sz="2" w:space="0"/>
              <w:right w:val="single" w:color="auto" w:sz="2" w:space="0"/>
            </w:tcBorders>
            <w:vAlign w:val="center"/>
          </w:tcPr>
          <w:p w14:paraId="508D26B1">
            <w:pPr>
              <w:spacing w:line="240" w:lineRule="exact"/>
              <w:jc w:val="right"/>
              <w:rPr>
                <w:rFonts w:ascii="宋体" w:hAnsi="宋体" w:eastAsia="宋体" w:cs="宋体"/>
                <w:sz w:val="18"/>
                <w:szCs w:val="18"/>
              </w:rPr>
            </w:pPr>
            <w:r>
              <w:rPr>
                <w:rFonts w:ascii="宋体" w:hAnsi="宋体" w:eastAsia="宋体" w:cs="宋体"/>
                <w:sz w:val="18"/>
                <w:szCs w:val="18"/>
              </w:rPr>
              <w:t>3,722,139.48</w:t>
            </w:r>
          </w:p>
        </w:tc>
      </w:tr>
      <w:tr w14:paraId="6B15C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5643E823">
            <w:pPr>
              <w:spacing w:line="240" w:lineRule="exact"/>
              <w:rPr>
                <w:rFonts w:ascii="宋体" w:hAnsi="宋体" w:eastAsia="宋体" w:cs="宋体"/>
                <w:sz w:val="18"/>
                <w:szCs w:val="18"/>
              </w:rPr>
            </w:pPr>
            <w:r>
              <w:rPr>
                <w:rFonts w:ascii="宋体" w:hAnsi="宋体" w:eastAsia="宋体" w:cs="宋体"/>
                <w:sz w:val="18"/>
                <w:szCs w:val="18"/>
              </w:rPr>
              <w:t>理财产品收益</w:t>
            </w:r>
          </w:p>
        </w:tc>
        <w:tc>
          <w:tcPr>
            <w:tcW w:w="3213" w:type="dxa"/>
            <w:tcBorders>
              <w:top w:val="single" w:color="auto" w:sz="2" w:space="0"/>
              <w:left w:val="single" w:color="auto" w:sz="2" w:space="0"/>
              <w:bottom w:val="single" w:color="auto" w:sz="2" w:space="0"/>
              <w:right w:val="single" w:color="auto" w:sz="2" w:space="0"/>
            </w:tcBorders>
            <w:vAlign w:val="center"/>
          </w:tcPr>
          <w:p w14:paraId="009B3182">
            <w:pPr>
              <w:spacing w:line="240" w:lineRule="exact"/>
              <w:jc w:val="right"/>
              <w:rPr>
                <w:rFonts w:ascii="宋体" w:hAnsi="宋体" w:eastAsia="宋体" w:cs="宋体"/>
                <w:sz w:val="18"/>
                <w:szCs w:val="18"/>
              </w:rPr>
            </w:pPr>
            <w:r>
              <w:rPr>
                <w:rFonts w:ascii="宋体" w:hAnsi="宋体" w:eastAsia="宋体" w:cs="宋体"/>
                <w:sz w:val="18"/>
                <w:szCs w:val="18"/>
              </w:rPr>
              <w:t>2,280,475.44</w:t>
            </w:r>
          </w:p>
        </w:tc>
        <w:tc>
          <w:tcPr>
            <w:tcW w:w="3213" w:type="dxa"/>
            <w:tcBorders>
              <w:top w:val="single" w:color="auto" w:sz="2" w:space="0"/>
              <w:left w:val="single" w:color="auto" w:sz="2" w:space="0"/>
              <w:bottom w:val="single" w:color="auto" w:sz="2" w:space="0"/>
              <w:right w:val="single" w:color="auto" w:sz="2" w:space="0"/>
            </w:tcBorders>
            <w:vAlign w:val="center"/>
          </w:tcPr>
          <w:p w14:paraId="00B6370E">
            <w:pPr>
              <w:spacing w:line="240" w:lineRule="exact"/>
              <w:jc w:val="right"/>
              <w:rPr>
                <w:rFonts w:ascii="宋体" w:hAnsi="宋体" w:eastAsia="宋体" w:cs="宋体"/>
                <w:sz w:val="18"/>
                <w:szCs w:val="18"/>
              </w:rPr>
            </w:pPr>
            <w:r>
              <w:rPr>
                <w:rFonts w:ascii="宋体" w:hAnsi="宋体" w:eastAsia="宋体" w:cs="宋体"/>
                <w:sz w:val="18"/>
                <w:szCs w:val="18"/>
              </w:rPr>
              <w:t>1,674,754.04</w:t>
            </w:r>
          </w:p>
        </w:tc>
      </w:tr>
      <w:tr w14:paraId="16074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14:paraId="7F12969C">
            <w:pPr>
              <w:spacing w:line="240" w:lineRule="exact"/>
              <w:rPr>
                <w:rFonts w:ascii="宋体" w:hAnsi="宋体" w:eastAsia="宋体" w:cs="宋体"/>
                <w:sz w:val="18"/>
                <w:szCs w:val="18"/>
              </w:rPr>
            </w:pPr>
            <w:r>
              <w:rPr>
                <w:rFonts w:ascii="宋体" w:hAnsi="宋体" w:eastAsia="宋体" w:cs="宋体"/>
                <w:sz w:val="18"/>
                <w:szCs w:val="18"/>
              </w:rPr>
              <w:t>子公司分红取得的投资收益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14:paraId="749F1680">
            <w:pPr>
              <w:spacing w:line="240" w:lineRule="exact"/>
              <w:jc w:val="right"/>
              <w:rPr>
                <w:rFonts w:ascii="宋体" w:hAnsi="宋体" w:eastAsia="宋体" w:cs="宋体"/>
                <w:sz w:val="18"/>
                <w:szCs w:val="18"/>
              </w:rPr>
            </w:pPr>
            <w:r>
              <w:rPr>
                <w:rFonts w:ascii="宋体" w:hAnsi="宋体" w:eastAsia="宋体" w:cs="宋体"/>
                <w:sz w:val="18"/>
                <w:szCs w:val="18"/>
              </w:rPr>
              <w:t>60,000,000.00</w:t>
            </w:r>
          </w:p>
        </w:tc>
        <w:tc>
          <w:tcPr>
            <w:tcW w:w="3213" w:type="dxa"/>
            <w:tcBorders>
              <w:top w:val="single" w:color="auto" w:sz="2" w:space="0"/>
              <w:left w:val="single" w:color="auto" w:sz="2" w:space="0"/>
              <w:bottom w:val="single" w:color="auto" w:sz="2" w:space="0"/>
              <w:right w:val="single" w:color="auto" w:sz="2" w:space="0"/>
            </w:tcBorders>
            <w:vAlign w:val="center"/>
          </w:tcPr>
          <w:p w14:paraId="00E67D48">
            <w:pPr>
              <w:spacing w:line="240" w:lineRule="exact"/>
              <w:jc w:val="right"/>
              <w:rPr>
                <w:rFonts w:ascii="宋体" w:hAnsi="宋体" w:eastAsia="宋体" w:cs="宋体"/>
                <w:sz w:val="18"/>
                <w:szCs w:val="18"/>
              </w:rPr>
            </w:pPr>
            <w:r>
              <w:rPr>
                <w:rFonts w:ascii="宋体" w:hAnsi="宋体" w:eastAsia="宋体" w:cs="宋体"/>
                <w:sz w:val="18"/>
                <w:szCs w:val="18"/>
              </w:rPr>
              <w:t>4,868.14</w:t>
            </w:r>
          </w:p>
        </w:tc>
      </w:tr>
      <w:tr w14:paraId="20551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1E28F5E">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1DB6143E">
            <w:pPr>
              <w:spacing w:line="240" w:lineRule="exact"/>
              <w:jc w:val="right"/>
              <w:rPr>
                <w:rFonts w:ascii="宋体" w:hAnsi="宋体" w:eastAsia="宋体" w:cs="宋体"/>
                <w:sz w:val="18"/>
                <w:szCs w:val="18"/>
              </w:rPr>
            </w:pPr>
            <w:r>
              <w:rPr>
                <w:rFonts w:ascii="宋体" w:hAnsi="宋体" w:eastAsia="宋体" w:cs="宋体"/>
                <w:sz w:val="18"/>
                <w:szCs w:val="18"/>
              </w:rPr>
              <w:t>67,634,237.70</w:t>
            </w:r>
          </w:p>
        </w:tc>
        <w:tc>
          <w:tcPr>
            <w:tcW w:w="3213" w:type="dxa"/>
            <w:tcBorders>
              <w:top w:val="single" w:color="auto" w:sz="2" w:space="0"/>
              <w:left w:val="single" w:color="auto" w:sz="2" w:space="0"/>
              <w:bottom w:val="single" w:color="auto" w:sz="2" w:space="0"/>
              <w:right w:val="single" w:color="auto" w:sz="2" w:space="0"/>
            </w:tcBorders>
            <w:vAlign w:val="center"/>
          </w:tcPr>
          <w:p w14:paraId="4A8681BA">
            <w:pPr>
              <w:spacing w:line="240" w:lineRule="exact"/>
              <w:jc w:val="right"/>
              <w:rPr>
                <w:rFonts w:ascii="宋体" w:hAnsi="宋体" w:eastAsia="宋体" w:cs="宋体"/>
                <w:sz w:val="18"/>
                <w:szCs w:val="18"/>
              </w:rPr>
            </w:pPr>
            <w:r>
              <w:rPr>
                <w:rFonts w:ascii="宋体" w:hAnsi="宋体" w:eastAsia="宋体" w:cs="宋体"/>
                <w:sz w:val="18"/>
                <w:szCs w:val="18"/>
              </w:rPr>
              <w:t>5,401,761.66</w:t>
            </w:r>
          </w:p>
        </w:tc>
      </w:tr>
    </w:tbl>
    <w:p w14:paraId="2FABF8F7">
      <w:pPr>
        <w:pStyle w:val="3"/>
        <w:spacing w:line="280" w:lineRule="exact"/>
        <w:jc w:val="left"/>
        <w:rPr>
          <w:rFonts w:ascii="宋体" w:hAnsi="宋体" w:cs="宋体"/>
          <w:b/>
          <w:bCs/>
        </w:rPr>
      </w:pPr>
      <w:bookmarkStart w:id="648" w:name="_Toc989503"/>
      <w:r>
        <w:rPr>
          <w:rFonts w:ascii="宋体" w:hAnsi="宋体" w:cs="宋体"/>
          <w:b/>
          <w:bCs/>
        </w:rPr>
        <w:t>6、其他</w:t>
      </w:r>
      <w:bookmarkEnd w:id="648"/>
    </w:p>
    <w:p w14:paraId="27B5420A">
      <w:pPr>
        <w:pStyle w:val="9"/>
        <w:rPr>
          <w:sz w:val="18"/>
          <w:szCs w:val="18"/>
        </w:rPr>
      </w:pPr>
      <w:r>
        <w:rPr>
          <w:rFonts w:hint="eastAsia"/>
          <w:sz w:val="18"/>
          <w:szCs w:val="18"/>
        </w:rPr>
        <w:t>无</w:t>
      </w:r>
    </w:p>
    <w:p w14:paraId="7DEC05DC">
      <w:pPr>
        <w:pStyle w:val="2"/>
        <w:spacing w:before="300" w:after="300" w:line="320" w:lineRule="exact"/>
        <w:rPr>
          <w:rFonts w:ascii="宋体" w:hAnsi="宋体" w:eastAsia="宋体" w:cs="宋体"/>
          <w:b/>
          <w:bCs/>
          <w:sz w:val="24"/>
          <w:szCs w:val="24"/>
        </w:rPr>
      </w:pPr>
      <w:bookmarkStart w:id="649" w:name="_Toc989504"/>
      <w:r>
        <w:rPr>
          <w:rFonts w:ascii="宋体" w:hAnsi="宋体" w:eastAsia="宋体" w:cs="宋体"/>
          <w:b/>
          <w:bCs/>
          <w:sz w:val="24"/>
          <w:szCs w:val="24"/>
        </w:rPr>
        <w:t>二十、补充资料</w:t>
      </w:r>
      <w:bookmarkEnd w:id="649"/>
    </w:p>
    <w:p w14:paraId="7372A087">
      <w:pPr>
        <w:pStyle w:val="3"/>
        <w:spacing w:line="280" w:lineRule="exact"/>
        <w:jc w:val="left"/>
        <w:rPr>
          <w:rFonts w:ascii="宋体" w:hAnsi="宋体" w:cs="宋体"/>
          <w:b/>
          <w:bCs/>
        </w:rPr>
      </w:pPr>
      <w:bookmarkStart w:id="650" w:name="_Toc989505"/>
      <w:r>
        <w:rPr>
          <w:rFonts w:ascii="宋体" w:hAnsi="宋体" w:cs="宋体"/>
          <w:b/>
          <w:bCs/>
        </w:rPr>
        <w:t>1、当期非经常性损益明细表</w:t>
      </w:r>
      <w:bookmarkEnd w:id="650"/>
    </w:p>
    <w:p w14:paraId="5DDB426F">
      <w:pPr>
        <w:spacing w:before="100" w:after="100" w:line="240" w:lineRule="exac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40F14D14">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14:paraId="5C1F4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71E2EF8">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1DA7514B">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04F9F6D">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14:paraId="34E38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EE5A639">
            <w:pPr>
              <w:spacing w:before="40" w:after="40" w:line="240" w:lineRule="exact"/>
              <w:rPr>
                <w:rFonts w:ascii="宋体" w:hAnsi="宋体" w:eastAsia="宋体" w:cs="宋体"/>
                <w:sz w:val="18"/>
                <w:szCs w:val="18"/>
              </w:rPr>
            </w:pPr>
            <w:r>
              <w:rPr>
                <w:rFonts w:ascii="宋体" w:hAnsi="宋体" w:eastAsia="宋体" w:cs="宋体"/>
                <w:sz w:val="18"/>
                <w:szCs w:val="18"/>
              </w:rPr>
              <w:t>非流动性资产处置损益</w:t>
            </w:r>
          </w:p>
        </w:tc>
        <w:tc>
          <w:tcPr>
            <w:tcW w:w="3213" w:type="dxa"/>
            <w:tcBorders>
              <w:top w:val="single" w:color="auto" w:sz="2" w:space="0"/>
              <w:left w:val="single" w:color="auto" w:sz="2" w:space="0"/>
              <w:bottom w:val="single" w:color="auto" w:sz="2" w:space="0"/>
              <w:right w:val="single" w:color="auto" w:sz="2" w:space="0"/>
            </w:tcBorders>
            <w:vAlign w:val="center"/>
          </w:tcPr>
          <w:p w14:paraId="4667A5EA">
            <w:pPr>
              <w:spacing w:line="240" w:lineRule="exact"/>
              <w:jc w:val="right"/>
              <w:rPr>
                <w:rFonts w:ascii="宋体" w:hAnsi="宋体" w:eastAsia="宋体" w:cs="宋体"/>
                <w:sz w:val="18"/>
                <w:szCs w:val="18"/>
              </w:rPr>
            </w:pPr>
            <w:r>
              <w:rPr>
                <w:rFonts w:ascii="宋体" w:hAnsi="宋体" w:eastAsia="宋体" w:cs="宋体"/>
                <w:sz w:val="18"/>
                <w:szCs w:val="18"/>
              </w:rPr>
              <w:t>11,425,239.16</w:t>
            </w:r>
          </w:p>
        </w:tc>
        <w:tc>
          <w:tcPr>
            <w:tcW w:w="3213" w:type="dxa"/>
            <w:tcBorders>
              <w:top w:val="single" w:color="auto" w:sz="2" w:space="0"/>
              <w:left w:val="single" w:color="auto" w:sz="2" w:space="0"/>
              <w:bottom w:val="single" w:color="auto" w:sz="2" w:space="0"/>
              <w:right w:val="single" w:color="auto" w:sz="2" w:space="0"/>
            </w:tcBorders>
            <w:vAlign w:val="center"/>
          </w:tcPr>
          <w:p w14:paraId="0A0B9786">
            <w:pPr>
              <w:spacing w:line="240" w:lineRule="exact"/>
              <w:rPr>
                <w:rFonts w:ascii="宋体" w:hAnsi="宋体" w:eastAsia="宋体" w:cs="宋体"/>
                <w:sz w:val="18"/>
                <w:szCs w:val="18"/>
              </w:rPr>
            </w:pPr>
          </w:p>
        </w:tc>
      </w:tr>
      <w:tr w14:paraId="4E253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0CA36D38">
            <w:pPr>
              <w:spacing w:before="40" w:after="40" w:line="240" w:lineRule="exac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14:paraId="6F034237">
            <w:pPr>
              <w:spacing w:line="240" w:lineRule="exact"/>
              <w:jc w:val="right"/>
              <w:rPr>
                <w:rFonts w:ascii="宋体" w:hAnsi="宋体" w:eastAsia="宋体" w:cs="宋体"/>
                <w:sz w:val="18"/>
                <w:szCs w:val="18"/>
              </w:rPr>
            </w:pPr>
            <w:r>
              <w:rPr>
                <w:rFonts w:ascii="宋体" w:hAnsi="宋体" w:eastAsia="宋体" w:cs="宋体"/>
                <w:sz w:val="18"/>
                <w:szCs w:val="18"/>
              </w:rPr>
              <w:t>90,675,044.44</w:t>
            </w:r>
          </w:p>
        </w:tc>
        <w:tc>
          <w:tcPr>
            <w:tcW w:w="3213" w:type="dxa"/>
            <w:tcBorders>
              <w:top w:val="single" w:color="auto" w:sz="2" w:space="0"/>
              <w:left w:val="single" w:color="auto" w:sz="2" w:space="0"/>
              <w:bottom w:val="single" w:color="auto" w:sz="2" w:space="0"/>
              <w:right w:val="single" w:color="auto" w:sz="2" w:space="0"/>
            </w:tcBorders>
            <w:vAlign w:val="center"/>
          </w:tcPr>
          <w:p w14:paraId="7FEB36AB">
            <w:pPr>
              <w:spacing w:line="240" w:lineRule="exact"/>
              <w:rPr>
                <w:rFonts w:ascii="宋体" w:hAnsi="宋体" w:eastAsia="宋体" w:cs="宋体"/>
                <w:sz w:val="18"/>
                <w:szCs w:val="18"/>
              </w:rPr>
            </w:pPr>
          </w:p>
        </w:tc>
      </w:tr>
      <w:tr w14:paraId="53741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24AF8D54">
            <w:pPr>
              <w:spacing w:before="40" w:after="40" w:line="240" w:lineRule="exact"/>
              <w:rPr>
                <w:rFonts w:ascii="宋体" w:hAnsi="宋体" w:eastAsia="宋体" w:cs="宋体"/>
                <w:sz w:val="18"/>
                <w:szCs w:val="18"/>
              </w:rPr>
            </w:pPr>
            <w:r>
              <w:rPr>
                <w:rFonts w:ascii="宋体" w:hAnsi="宋体" w:eastAsia="宋体" w:cs="宋体"/>
                <w:sz w:val="18"/>
                <w:szCs w:val="18"/>
              </w:rPr>
              <w:t>除同公司正常经营业务相关的有效套期保值业务外，非金融企业持有金融资产和金融负债产生的公允价值变动损益以及处置金融资产和金融负债产生的损益</w:t>
            </w:r>
          </w:p>
        </w:tc>
        <w:tc>
          <w:tcPr>
            <w:tcW w:w="3213" w:type="dxa"/>
            <w:tcBorders>
              <w:top w:val="single" w:color="auto" w:sz="2" w:space="0"/>
              <w:left w:val="single" w:color="auto" w:sz="2" w:space="0"/>
              <w:bottom w:val="single" w:color="auto" w:sz="2" w:space="0"/>
              <w:right w:val="single" w:color="auto" w:sz="2" w:space="0"/>
            </w:tcBorders>
            <w:vAlign w:val="center"/>
          </w:tcPr>
          <w:p w14:paraId="2542DC7A">
            <w:pPr>
              <w:spacing w:line="240" w:lineRule="exact"/>
              <w:jc w:val="right"/>
              <w:rPr>
                <w:rFonts w:ascii="宋体" w:hAnsi="宋体" w:eastAsia="宋体" w:cs="宋体"/>
                <w:sz w:val="18"/>
                <w:szCs w:val="18"/>
              </w:rPr>
            </w:pPr>
            <w:r>
              <w:rPr>
                <w:rFonts w:ascii="宋体" w:hAnsi="宋体" w:eastAsia="宋体" w:cs="宋体"/>
                <w:sz w:val="18"/>
                <w:szCs w:val="18"/>
              </w:rPr>
              <w:t>2,471,804.38</w:t>
            </w:r>
          </w:p>
        </w:tc>
        <w:tc>
          <w:tcPr>
            <w:tcW w:w="3213" w:type="dxa"/>
            <w:tcBorders>
              <w:top w:val="single" w:color="auto" w:sz="2" w:space="0"/>
              <w:left w:val="single" w:color="auto" w:sz="2" w:space="0"/>
              <w:bottom w:val="single" w:color="auto" w:sz="2" w:space="0"/>
              <w:right w:val="single" w:color="auto" w:sz="2" w:space="0"/>
            </w:tcBorders>
            <w:vAlign w:val="center"/>
          </w:tcPr>
          <w:p w14:paraId="549F9265">
            <w:pPr>
              <w:spacing w:line="240" w:lineRule="exact"/>
              <w:rPr>
                <w:rFonts w:ascii="宋体" w:hAnsi="宋体" w:eastAsia="宋体" w:cs="宋体"/>
                <w:sz w:val="18"/>
                <w:szCs w:val="18"/>
              </w:rPr>
            </w:pPr>
          </w:p>
        </w:tc>
      </w:tr>
      <w:tr w14:paraId="66D1D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87B2A5C">
            <w:pPr>
              <w:spacing w:before="40" w:after="40" w:line="240" w:lineRule="exact"/>
              <w:rPr>
                <w:rFonts w:ascii="宋体" w:hAnsi="宋体" w:eastAsia="宋体" w:cs="宋体"/>
                <w:sz w:val="18"/>
                <w:szCs w:val="18"/>
              </w:rPr>
            </w:pPr>
            <w:r>
              <w:rPr>
                <w:rFonts w:ascii="宋体" w:hAnsi="宋体" w:eastAsia="宋体" w:cs="宋体"/>
                <w:sz w:val="18"/>
                <w:szCs w:val="18"/>
              </w:rPr>
              <w:t>委托他人投资或管理资产的损益</w:t>
            </w:r>
          </w:p>
        </w:tc>
        <w:tc>
          <w:tcPr>
            <w:tcW w:w="3213" w:type="dxa"/>
            <w:tcBorders>
              <w:top w:val="single" w:color="auto" w:sz="2" w:space="0"/>
              <w:left w:val="single" w:color="auto" w:sz="2" w:space="0"/>
              <w:bottom w:val="single" w:color="auto" w:sz="2" w:space="0"/>
              <w:right w:val="single" w:color="auto" w:sz="2" w:space="0"/>
            </w:tcBorders>
            <w:vAlign w:val="center"/>
          </w:tcPr>
          <w:p w14:paraId="2422B537">
            <w:pPr>
              <w:spacing w:line="240" w:lineRule="exact"/>
              <w:jc w:val="right"/>
              <w:rPr>
                <w:rFonts w:ascii="宋体" w:hAnsi="宋体" w:eastAsia="宋体" w:cs="宋体"/>
                <w:sz w:val="18"/>
                <w:szCs w:val="18"/>
              </w:rPr>
            </w:pPr>
            <w:r>
              <w:rPr>
                <w:rFonts w:ascii="宋体" w:hAnsi="宋体" w:eastAsia="宋体" w:cs="宋体"/>
                <w:sz w:val="18"/>
                <w:szCs w:val="18"/>
              </w:rPr>
              <w:t>30,626,421.41</w:t>
            </w:r>
          </w:p>
        </w:tc>
        <w:tc>
          <w:tcPr>
            <w:tcW w:w="3213" w:type="dxa"/>
            <w:tcBorders>
              <w:top w:val="single" w:color="auto" w:sz="2" w:space="0"/>
              <w:left w:val="single" w:color="auto" w:sz="2" w:space="0"/>
              <w:bottom w:val="single" w:color="auto" w:sz="2" w:space="0"/>
              <w:right w:val="single" w:color="auto" w:sz="2" w:space="0"/>
            </w:tcBorders>
            <w:vAlign w:val="center"/>
          </w:tcPr>
          <w:p w14:paraId="538DC550">
            <w:pPr>
              <w:spacing w:line="240" w:lineRule="exact"/>
              <w:rPr>
                <w:rFonts w:ascii="宋体" w:hAnsi="宋体" w:eastAsia="宋体" w:cs="宋体"/>
                <w:sz w:val="18"/>
                <w:szCs w:val="18"/>
              </w:rPr>
            </w:pPr>
          </w:p>
        </w:tc>
      </w:tr>
      <w:tr w14:paraId="1F1D6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B809C9">
            <w:pPr>
              <w:spacing w:before="40" w:after="40" w:line="240" w:lineRule="exact"/>
              <w:rPr>
                <w:rFonts w:ascii="宋体" w:hAnsi="宋体" w:eastAsia="宋体" w:cs="宋体"/>
                <w:sz w:val="18"/>
                <w:szCs w:val="18"/>
              </w:rPr>
            </w:pPr>
            <w:r>
              <w:rPr>
                <w:rFonts w:ascii="宋体" w:hAnsi="宋体" w:eastAsia="宋体" w:cs="宋体"/>
                <w:sz w:val="18"/>
                <w:szCs w:val="18"/>
              </w:rPr>
              <w:t>单独进行减值测试的应收款项减值准备转回</w:t>
            </w:r>
          </w:p>
        </w:tc>
        <w:tc>
          <w:tcPr>
            <w:tcW w:w="3213" w:type="dxa"/>
            <w:tcBorders>
              <w:top w:val="single" w:color="auto" w:sz="2" w:space="0"/>
              <w:left w:val="single" w:color="auto" w:sz="2" w:space="0"/>
              <w:bottom w:val="single" w:color="auto" w:sz="2" w:space="0"/>
              <w:right w:val="single" w:color="auto" w:sz="2" w:space="0"/>
            </w:tcBorders>
            <w:vAlign w:val="center"/>
          </w:tcPr>
          <w:p w14:paraId="052C9451">
            <w:pPr>
              <w:spacing w:line="240" w:lineRule="exact"/>
              <w:jc w:val="right"/>
              <w:rPr>
                <w:rFonts w:ascii="宋体" w:hAnsi="宋体" w:eastAsia="宋体" w:cs="宋体"/>
                <w:sz w:val="18"/>
                <w:szCs w:val="18"/>
              </w:rPr>
            </w:pPr>
            <w:r>
              <w:rPr>
                <w:rFonts w:ascii="宋体" w:hAnsi="宋体" w:eastAsia="宋体" w:cs="宋体"/>
                <w:sz w:val="18"/>
                <w:szCs w:val="18"/>
              </w:rPr>
              <w:t>400,000.00</w:t>
            </w:r>
          </w:p>
        </w:tc>
        <w:tc>
          <w:tcPr>
            <w:tcW w:w="3213" w:type="dxa"/>
            <w:tcBorders>
              <w:top w:val="single" w:color="auto" w:sz="2" w:space="0"/>
              <w:left w:val="single" w:color="auto" w:sz="2" w:space="0"/>
              <w:bottom w:val="single" w:color="auto" w:sz="2" w:space="0"/>
              <w:right w:val="single" w:color="auto" w:sz="2" w:space="0"/>
            </w:tcBorders>
            <w:vAlign w:val="center"/>
          </w:tcPr>
          <w:p w14:paraId="03D2470E">
            <w:pPr>
              <w:spacing w:line="240" w:lineRule="exact"/>
              <w:rPr>
                <w:rFonts w:ascii="宋体" w:hAnsi="宋体" w:eastAsia="宋体" w:cs="宋体"/>
                <w:sz w:val="18"/>
                <w:szCs w:val="18"/>
              </w:rPr>
            </w:pPr>
          </w:p>
        </w:tc>
      </w:tr>
      <w:tr w14:paraId="7A69D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4743A0A">
            <w:pPr>
              <w:spacing w:before="40" w:after="40" w:line="240" w:lineRule="exac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14:paraId="3956FFBE">
            <w:pPr>
              <w:spacing w:line="240" w:lineRule="exact"/>
              <w:jc w:val="right"/>
              <w:rPr>
                <w:rFonts w:ascii="宋体" w:hAnsi="宋体" w:eastAsia="宋体" w:cs="宋体"/>
                <w:sz w:val="18"/>
                <w:szCs w:val="18"/>
              </w:rPr>
            </w:pPr>
            <w:r>
              <w:rPr>
                <w:rFonts w:ascii="宋体" w:hAnsi="宋体" w:eastAsia="宋体" w:cs="宋体"/>
                <w:sz w:val="18"/>
                <w:szCs w:val="18"/>
              </w:rPr>
              <w:t>1,064,127.99</w:t>
            </w:r>
          </w:p>
        </w:tc>
        <w:tc>
          <w:tcPr>
            <w:tcW w:w="3213" w:type="dxa"/>
            <w:tcBorders>
              <w:top w:val="single" w:color="auto" w:sz="2" w:space="0"/>
              <w:left w:val="single" w:color="auto" w:sz="2" w:space="0"/>
              <w:bottom w:val="single" w:color="auto" w:sz="2" w:space="0"/>
              <w:right w:val="single" w:color="auto" w:sz="2" w:space="0"/>
            </w:tcBorders>
            <w:vAlign w:val="center"/>
          </w:tcPr>
          <w:p w14:paraId="59999001">
            <w:pPr>
              <w:spacing w:line="240" w:lineRule="exact"/>
              <w:rPr>
                <w:rFonts w:ascii="宋体" w:hAnsi="宋体" w:eastAsia="宋体" w:cs="宋体"/>
                <w:sz w:val="18"/>
                <w:szCs w:val="18"/>
              </w:rPr>
            </w:pPr>
          </w:p>
        </w:tc>
      </w:tr>
      <w:tr w14:paraId="152D3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661DFCE8">
            <w:pPr>
              <w:spacing w:before="40" w:after="40" w:line="240" w:lineRule="exact"/>
              <w:rPr>
                <w:rFonts w:ascii="宋体" w:hAnsi="宋体" w:eastAsia="宋体" w:cs="宋体"/>
                <w:sz w:val="18"/>
                <w:szCs w:val="18"/>
              </w:rPr>
            </w:pPr>
            <w:r>
              <w:rPr>
                <w:rFonts w:ascii="宋体" w:hAnsi="宋体"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14:paraId="7D577949">
            <w:pPr>
              <w:spacing w:line="240" w:lineRule="exact"/>
              <w:jc w:val="right"/>
              <w:rPr>
                <w:rFonts w:ascii="宋体" w:hAnsi="宋体" w:eastAsia="宋体" w:cs="宋体"/>
                <w:sz w:val="18"/>
                <w:szCs w:val="18"/>
              </w:rPr>
            </w:pPr>
            <w:r>
              <w:rPr>
                <w:rFonts w:ascii="宋体" w:hAnsi="宋体" w:eastAsia="宋体" w:cs="宋体"/>
                <w:sz w:val="18"/>
                <w:szCs w:val="18"/>
              </w:rPr>
              <w:t>5,338,989.36</w:t>
            </w:r>
          </w:p>
        </w:tc>
        <w:tc>
          <w:tcPr>
            <w:tcW w:w="3213" w:type="dxa"/>
            <w:tcBorders>
              <w:top w:val="single" w:color="auto" w:sz="2" w:space="0"/>
              <w:left w:val="single" w:color="auto" w:sz="2" w:space="0"/>
              <w:bottom w:val="single" w:color="auto" w:sz="2" w:space="0"/>
              <w:right w:val="single" w:color="auto" w:sz="2" w:space="0"/>
            </w:tcBorders>
            <w:vAlign w:val="center"/>
          </w:tcPr>
          <w:p w14:paraId="5E0214DD">
            <w:pPr>
              <w:spacing w:line="240" w:lineRule="exact"/>
              <w:rPr>
                <w:rFonts w:ascii="宋体" w:hAnsi="宋体" w:eastAsia="宋体" w:cs="宋体"/>
                <w:sz w:val="18"/>
                <w:szCs w:val="18"/>
              </w:rPr>
            </w:pPr>
          </w:p>
        </w:tc>
      </w:tr>
      <w:tr w14:paraId="56637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741BD5CA">
            <w:pPr>
              <w:spacing w:before="40" w:after="40" w:line="240" w:lineRule="exac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14:paraId="478C58CD">
            <w:pPr>
              <w:spacing w:line="240" w:lineRule="exact"/>
              <w:jc w:val="right"/>
              <w:rPr>
                <w:rFonts w:ascii="宋体" w:hAnsi="宋体" w:eastAsia="宋体" w:cs="宋体"/>
                <w:sz w:val="18"/>
                <w:szCs w:val="18"/>
              </w:rPr>
            </w:pPr>
            <w:r>
              <w:rPr>
                <w:rFonts w:ascii="宋体" w:hAnsi="宋体" w:eastAsia="宋体" w:cs="宋体"/>
                <w:sz w:val="18"/>
                <w:szCs w:val="18"/>
              </w:rPr>
              <w:t>131,323,648.02</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14:paraId="58322784">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14:paraId="225474B6">
      <w:pPr>
        <w:spacing w:before="100" w:after="100" w:line="240" w:lineRule="exact"/>
        <w:rPr>
          <w:rFonts w:ascii="宋体" w:hAnsi="宋体" w:eastAsia="宋体" w:cs="宋体"/>
          <w:sz w:val="18"/>
          <w:szCs w:val="18"/>
        </w:rPr>
      </w:pPr>
      <w:r>
        <w:rPr>
          <w:rFonts w:ascii="宋体" w:hAnsi="宋体" w:eastAsia="宋体" w:cs="宋体"/>
          <w:sz w:val="18"/>
          <w:szCs w:val="18"/>
        </w:rPr>
        <w:t>其他符合非经常性损益定义的损益项目的具体情况：</w:t>
      </w:r>
    </w:p>
    <w:p w14:paraId="7D8675C8">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E5195D9">
      <w:pPr>
        <w:spacing w:before="100" w:after="100" w:line="240" w:lineRule="exac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14:paraId="1ED86795">
      <w:pPr>
        <w:spacing w:before="100" w:after="100" w:line="240" w:lineRule="exac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14:paraId="0B3639F5">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0352828">
      <w:pPr>
        <w:pStyle w:val="3"/>
        <w:spacing w:line="280" w:lineRule="exact"/>
        <w:jc w:val="left"/>
        <w:rPr>
          <w:rFonts w:ascii="宋体" w:hAnsi="宋体" w:cs="宋体"/>
          <w:b/>
          <w:bCs/>
        </w:rPr>
      </w:pPr>
      <w:bookmarkStart w:id="651" w:name="_Toc989506"/>
      <w:r>
        <w:rPr>
          <w:rFonts w:ascii="宋体" w:hAnsi="宋体" w:cs="宋体"/>
          <w:b/>
          <w:bCs/>
        </w:rPr>
        <w:t>2、净资产收益率及每股收益</w:t>
      </w:r>
      <w:bookmarkEnd w:id="651"/>
    </w:p>
    <w:tbl>
      <w:tblPr>
        <w:tblStyle w:val="10"/>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14:paraId="60AA5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6C7A339">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5C5F8668">
            <w:pPr>
              <w:spacing w:before="40" w:after="40" w:line="240" w:lineRule="exact"/>
              <w:jc w:val="center"/>
              <w:rPr>
                <w:rFonts w:ascii="宋体" w:hAnsi="宋体" w:eastAsia="宋体" w:cs="宋体"/>
                <w:sz w:val="18"/>
                <w:szCs w:val="18"/>
              </w:rPr>
            </w:pPr>
            <w:r>
              <w:rPr>
                <w:rFonts w:ascii="宋体" w:hAnsi="宋体" w:eastAsia="宋体" w:cs="宋体"/>
                <w:sz w:val="18"/>
                <w:szCs w:val="18"/>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2BB1433">
            <w:pPr>
              <w:spacing w:before="40" w:after="40" w:line="240" w:lineRule="exact"/>
              <w:jc w:val="center"/>
              <w:rPr>
                <w:rFonts w:ascii="宋体" w:hAnsi="宋体" w:eastAsia="宋体" w:cs="宋体"/>
                <w:sz w:val="18"/>
                <w:szCs w:val="18"/>
              </w:rPr>
            </w:pPr>
            <w:r>
              <w:rPr>
                <w:rFonts w:ascii="宋体" w:hAnsi="宋体" w:eastAsia="宋体" w:cs="宋体"/>
                <w:sz w:val="18"/>
                <w:szCs w:val="18"/>
              </w:rPr>
              <w:t>每股收益</w:t>
            </w:r>
          </w:p>
        </w:tc>
      </w:tr>
      <w:tr w14:paraId="2C35F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22925477"/>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D860C15"/>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B22DF73">
            <w:pPr>
              <w:spacing w:before="40" w:after="40" w:line="240" w:lineRule="exact"/>
              <w:jc w:val="center"/>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30EBC645">
            <w:pPr>
              <w:spacing w:before="40" w:after="40" w:line="240" w:lineRule="exact"/>
              <w:jc w:val="center"/>
              <w:rPr>
                <w:rFonts w:ascii="宋体" w:hAnsi="宋体" w:eastAsia="宋体" w:cs="宋体"/>
                <w:sz w:val="18"/>
                <w:szCs w:val="18"/>
              </w:rPr>
            </w:pPr>
            <w:r>
              <w:rPr>
                <w:rFonts w:ascii="宋体" w:hAnsi="宋体" w:eastAsia="宋体" w:cs="宋体"/>
                <w:sz w:val="18"/>
                <w:szCs w:val="18"/>
              </w:rPr>
              <w:t>稀释每股收益（元/股）</w:t>
            </w:r>
          </w:p>
        </w:tc>
      </w:tr>
      <w:tr w14:paraId="77D2C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58033AFC">
            <w:pPr>
              <w:spacing w:before="40" w:after="40" w:line="240" w:lineRule="exact"/>
              <w:rPr>
                <w:rFonts w:ascii="宋体" w:hAnsi="宋体" w:eastAsia="宋体" w:cs="宋体"/>
                <w:sz w:val="18"/>
                <w:szCs w:val="18"/>
              </w:rPr>
            </w:pPr>
            <w:r>
              <w:rPr>
                <w:rFonts w:ascii="宋体" w:hAnsi="宋体" w:eastAsia="宋体" w:cs="宋体"/>
                <w:sz w:val="18"/>
                <w:szCs w:val="18"/>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14:paraId="62ABB43A">
            <w:pPr>
              <w:spacing w:line="240" w:lineRule="exact"/>
              <w:jc w:val="right"/>
              <w:rPr>
                <w:rFonts w:ascii="宋体" w:hAnsi="宋体" w:eastAsia="宋体" w:cs="宋体"/>
                <w:sz w:val="18"/>
                <w:szCs w:val="18"/>
              </w:rPr>
            </w:pPr>
            <w:r>
              <w:rPr>
                <w:rFonts w:ascii="宋体" w:hAnsi="宋体" w:eastAsia="宋体" w:cs="宋体"/>
                <w:sz w:val="18"/>
                <w:szCs w:val="18"/>
              </w:rPr>
              <w:t>0.99%</w:t>
            </w:r>
          </w:p>
        </w:tc>
        <w:tc>
          <w:tcPr>
            <w:tcW w:w="2410" w:type="dxa"/>
            <w:tcBorders>
              <w:top w:val="single" w:color="auto" w:sz="2" w:space="0"/>
              <w:left w:val="single" w:color="auto" w:sz="2" w:space="0"/>
              <w:bottom w:val="single" w:color="auto" w:sz="2" w:space="0"/>
              <w:right w:val="single" w:color="auto" w:sz="2" w:space="0"/>
            </w:tcBorders>
            <w:vAlign w:val="center"/>
          </w:tcPr>
          <w:p w14:paraId="130EA2F5">
            <w:pPr>
              <w:spacing w:line="240" w:lineRule="exact"/>
              <w:jc w:val="right"/>
              <w:rPr>
                <w:rFonts w:ascii="宋体" w:hAnsi="宋体" w:eastAsia="宋体" w:cs="宋体"/>
                <w:sz w:val="18"/>
                <w:szCs w:val="18"/>
              </w:rPr>
            </w:pPr>
            <w:r>
              <w:rPr>
                <w:rFonts w:ascii="宋体" w:hAnsi="宋体" w:eastAsia="宋体" w:cs="宋体"/>
                <w:sz w:val="18"/>
                <w:szCs w:val="18"/>
              </w:rPr>
              <w:t>0.03</w:t>
            </w:r>
          </w:p>
        </w:tc>
        <w:tc>
          <w:tcPr>
            <w:tcW w:w="2410" w:type="dxa"/>
            <w:tcBorders>
              <w:top w:val="single" w:color="auto" w:sz="2" w:space="0"/>
              <w:left w:val="single" w:color="auto" w:sz="2" w:space="0"/>
              <w:bottom w:val="single" w:color="auto" w:sz="2" w:space="0"/>
              <w:right w:val="single" w:color="auto" w:sz="2" w:space="0"/>
            </w:tcBorders>
            <w:vAlign w:val="center"/>
          </w:tcPr>
          <w:p w14:paraId="7923A8C9">
            <w:pPr>
              <w:spacing w:line="240" w:lineRule="exact"/>
              <w:jc w:val="right"/>
              <w:rPr>
                <w:rFonts w:ascii="宋体" w:hAnsi="宋体" w:eastAsia="宋体" w:cs="宋体"/>
                <w:sz w:val="18"/>
                <w:szCs w:val="18"/>
              </w:rPr>
            </w:pPr>
            <w:r>
              <w:rPr>
                <w:rFonts w:ascii="宋体" w:hAnsi="宋体" w:eastAsia="宋体" w:cs="宋体"/>
                <w:sz w:val="18"/>
                <w:szCs w:val="18"/>
              </w:rPr>
              <w:t>0.03</w:t>
            </w:r>
          </w:p>
        </w:tc>
      </w:tr>
      <w:tr w14:paraId="69817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14:paraId="680B5867">
            <w:pPr>
              <w:spacing w:before="40" w:after="40" w:line="240" w:lineRule="exact"/>
              <w:rPr>
                <w:rFonts w:ascii="宋体" w:hAnsi="宋体" w:eastAsia="宋体" w:cs="宋体"/>
                <w:sz w:val="18"/>
                <w:szCs w:val="18"/>
              </w:rPr>
            </w:pPr>
            <w:r>
              <w:rPr>
                <w:rFonts w:ascii="宋体" w:hAnsi="宋体" w:eastAsia="宋体" w:cs="宋体"/>
                <w:sz w:val="18"/>
                <w:szCs w:val="18"/>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14:paraId="13340D46">
            <w:pPr>
              <w:spacing w:line="240" w:lineRule="exact"/>
              <w:jc w:val="right"/>
              <w:rPr>
                <w:rFonts w:ascii="宋体" w:hAnsi="宋体" w:eastAsia="宋体" w:cs="宋体"/>
                <w:sz w:val="18"/>
                <w:szCs w:val="18"/>
              </w:rPr>
            </w:pPr>
            <w:r>
              <w:rPr>
                <w:rFonts w:ascii="宋体" w:hAnsi="宋体" w:eastAsia="宋体" w:cs="宋体"/>
                <w:sz w:val="18"/>
                <w:szCs w:val="18"/>
              </w:rPr>
              <w:t>-1.27%</w:t>
            </w:r>
          </w:p>
        </w:tc>
        <w:tc>
          <w:tcPr>
            <w:tcW w:w="2410" w:type="dxa"/>
            <w:tcBorders>
              <w:top w:val="single" w:color="auto" w:sz="2" w:space="0"/>
              <w:left w:val="single" w:color="auto" w:sz="2" w:space="0"/>
              <w:bottom w:val="single" w:color="auto" w:sz="2" w:space="0"/>
              <w:right w:val="single" w:color="auto" w:sz="2" w:space="0"/>
            </w:tcBorders>
            <w:vAlign w:val="center"/>
          </w:tcPr>
          <w:p w14:paraId="1511FAAE">
            <w:pPr>
              <w:spacing w:line="240" w:lineRule="exact"/>
              <w:jc w:val="right"/>
              <w:rPr>
                <w:rFonts w:ascii="宋体" w:hAnsi="宋体" w:eastAsia="宋体" w:cs="宋体"/>
                <w:sz w:val="18"/>
                <w:szCs w:val="18"/>
              </w:rPr>
            </w:pPr>
            <w:r>
              <w:rPr>
                <w:rFonts w:ascii="宋体" w:hAnsi="宋体" w:eastAsia="宋体" w:cs="宋体"/>
                <w:sz w:val="18"/>
                <w:szCs w:val="18"/>
              </w:rPr>
              <w:t>-0.04</w:t>
            </w:r>
          </w:p>
        </w:tc>
        <w:tc>
          <w:tcPr>
            <w:tcW w:w="2410" w:type="dxa"/>
            <w:tcBorders>
              <w:top w:val="single" w:color="auto" w:sz="2" w:space="0"/>
              <w:left w:val="single" w:color="auto" w:sz="2" w:space="0"/>
              <w:bottom w:val="single" w:color="auto" w:sz="2" w:space="0"/>
              <w:right w:val="single" w:color="auto" w:sz="2" w:space="0"/>
            </w:tcBorders>
            <w:vAlign w:val="center"/>
          </w:tcPr>
          <w:p w14:paraId="629BE5F2">
            <w:pPr>
              <w:spacing w:line="240" w:lineRule="exact"/>
              <w:jc w:val="right"/>
              <w:rPr>
                <w:rFonts w:ascii="宋体" w:hAnsi="宋体" w:eastAsia="宋体" w:cs="宋体"/>
                <w:sz w:val="18"/>
                <w:szCs w:val="18"/>
              </w:rPr>
            </w:pPr>
            <w:r>
              <w:rPr>
                <w:rFonts w:ascii="宋体" w:hAnsi="宋体" w:eastAsia="宋体" w:cs="宋体"/>
                <w:sz w:val="18"/>
                <w:szCs w:val="18"/>
              </w:rPr>
              <w:t>-0.04</w:t>
            </w:r>
          </w:p>
        </w:tc>
      </w:tr>
    </w:tbl>
    <w:p w14:paraId="2DD6BB7A">
      <w:pPr>
        <w:pStyle w:val="3"/>
        <w:spacing w:line="280" w:lineRule="exact"/>
        <w:jc w:val="left"/>
        <w:rPr>
          <w:rFonts w:ascii="宋体" w:hAnsi="宋体" w:cs="宋体"/>
          <w:b/>
          <w:bCs/>
        </w:rPr>
      </w:pPr>
      <w:bookmarkStart w:id="652" w:name="_Toc989507"/>
      <w:r>
        <w:rPr>
          <w:rFonts w:ascii="宋体" w:hAnsi="宋体" w:cs="宋体"/>
          <w:b/>
          <w:bCs/>
        </w:rPr>
        <w:t>3、境内外会计准则下会计数据差异</w:t>
      </w:r>
      <w:bookmarkEnd w:id="652"/>
    </w:p>
    <w:p w14:paraId="6B456154">
      <w:pPr>
        <w:keepNext/>
        <w:keepLines/>
        <w:spacing w:before="300" w:after="300" w:line="280" w:lineRule="exact"/>
        <w:outlineLvl w:val="3"/>
        <w:rPr>
          <w:rFonts w:ascii="宋体" w:hAnsi="宋体" w:eastAsia="宋体" w:cs="宋体"/>
          <w:b/>
          <w:bCs/>
          <w:szCs w:val="21"/>
        </w:rPr>
      </w:pPr>
      <w:bookmarkStart w:id="653" w:name="_Toc989508"/>
      <w:r>
        <w:rPr>
          <w:rFonts w:ascii="宋体" w:hAnsi="宋体" w:eastAsia="宋体" w:cs="宋体"/>
          <w:b/>
          <w:bCs/>
          <w:szCs w:val="21"/>
        </w:rPr>
        <w:t>（1） 同时按照国际会计准则与按中国会计准则披露的财务报告中净利润和净资产差异情况</w:t>
      </w:r>
      <w:bookmarkEnd w:id="653"/>
    </w:p>
    <w:p w14:paraId="0716255F">
      <w:pPr>
        <w:spacing w:before="100" w:after="100"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0A516D7">
      <w:pPr>
        <w:keepNext/>
        <w:keepLines/>
        <w:spacing w:before="300" w:after="300" w:line="280" w:lineRule="exact"/>
        <w:outlineLvl w:val="3"/>
        <w:rPr>
          <w:rFonts w:ascii="宋体" w:hAnsi="宋体" w:eastAsia="宋体" w:cs="宋体"/>
          <w:b/>
          <w:bCs/>
          <w:szCs w:val="21"/>
        </w:rPr>
      </w:pPr>
      <w:bookmarkStart w:id="654" w:name="_Toc989509"/>
      <w:r>
        <w:rPr>
          <w:rFonts w:ascii="宋体" w:hAnsi="宋体" w:eastAsia="宋体" w:cs="宋体"/>
          <w:b/>
          <w:bCs/>
          <w:szCs w:val="21"/>
        </w:rPr>
        <w:t>（2） 同时按照境外会计准则与按中国会计准则披露的财务报告中净利润和净资产差异情况</w:t>
      </w:r>
      <w:bookmarkEnd w:id="654"/>
    </w:p>
    <w:p w14:paraId="3CB6FFCA">
      <w:pPr>
        <w:spacing w:line="240" w:lineRule="exac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8896C71">
      <w:pPr>
        <w:keepNext/>
        <w:keepLines/>
        <w:spacing w:before="300" w:after="300" w:line="280" w:lineRule="exact"/>
        <w:outlineLvl w:val="3"/>
        <w:rPr>
          <w:rFonts w:ascii="宋体" w:hAnsi="宋体" w:eastAsia="宋体" w:cs="宋体"/>
          <w:b/>
          <w:bCs/>
          <w:szCs w:val="21"/>
        </w:rPr>
      </w:pPr>
      <w:bookmarkStart w:id="655" w:name="_Toc989510"/>
      <w:r>
        <w:rPr>
          <w:rFonts w:ascii="宋体" w:hAnsi="宋体" w:eastAsia="宋体" w:cs="宋体"/>
          <w:b/>
          <w:bCs/>
          <w:szCs w:val="21"/>
        </w:rPr>
        <w:t>（3） 境内外会计准则下会计数据差异原因说明，对已经境外审计机构审计的数据进行差异调节的，应注明该境外机构的名称</w:t>
      </w:r>
      <w:bookmarkEnd w:id="655"/>
    </w:p>
    <w:p w14:paraId="71BD2DFC">
      <w:pPr>
        <w:pStyle w:val="3"/>
        <w:spacing w:line="280" w:lineRule="exact"/>
        <w:jc w:val="left"/>
        <w:rPr>
          <w:rFonts w:ascii="宋体" w:hAnsi="宋体" w:cs="宋体"/>
          <w:b/>
          <w:bCs/>
        </w:rPr>
      </w:pPr>
      <w:bookmarkStart w:id="656" w:name="_Toc989511"/>
      <w:r>
        <w:rPr>
          <w:rFonts w:ascii="宋体" w:hAnsi="宋体" w:cs="宋体"/>
          <w:b/>
          <w:bCs/>
        </w:rPr>
        <w:t>4、其他</w:t>
      </w:r>
      <w:bookmarkEnd w:id="656"/>
    </w:p>
    <w:p w14:paraId="3E93DEED">
      <w:pPr>
        <w:jc w:val="right"/>
        <w:rPr>
          <w:b/>
        </w:rPr>
      </w:pPr>
      <w:r>
        <w:rPr>
          <w:rFonts w:hint="eastAsia"/>
          <w:b/>
        </w:rPr>
        <w:t>华孚时尚股份有限公司</w:t>
      </w:r>
    </w:p>
    <w:p w14:paraId="45080495">
      <w:pPr>
        <w:jc w:val="right"/>
        <w:rPr>
          <w:b/>
        </w:rPr>
      </w:pPr>
    </w:p>
    <w:p w14:paraId="762466CD">
      <w:pPr>
        <w:jc w:val="right"/>
        <w:rPr>
          <w:b/>
        </w:rPr>
      </w:pPr>
      <w:r>
        <w:rPr>
          <w:rFonts w:hint="eastAsia"/>
          <w:b/>
        </w:rPr>
        <w:t>2026年4月29日</w:t>
      </w:r>
    </w:p>
    <w:p w14:paraId="503CE20D">
      <w:pPr>
        <w:rPr>
          <w:sz w:val="18"/>
          <w:szCs w:val="18"/>
        </w:rPr>
      </w:pP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5CFB7">
    <w:pPr>
      <w:pStyle w:val="16"/>
    </w:pPr>
    <w:r>
      <w:fldChar w:fldCharType="begin"/>
    </w:r>
    <w:r>
      <w:instrText xml:space="preserve">PAGE   \* MERGEFORMAT</w:instrText>
    </w:r>
    <w:r>
      <w:fldChar w:fldCharType="separate"/>
    </w:r>
    <w:r>
      <w:t>204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3CDB0">
    <w:pPr>
      <w:pStyle w:val="14"/>
      <w:pBdr>
        <w:bottom w:val="single" w:color="auto" w:sz="6" w:space="1"/>
      </w:pBdr>
    </w:pPr>
    <w:r>
      <w:t>华孚时尚股份有限公司2025年年度报告全文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A3653"/>
    <w:multiLevelType w:val="multilevel"/>
    <w:tmpl w:val="00FA36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2E10F38"/>
    <w:multiLevelType w:val="multilevel"/>
    <w:tmpl w:val="02E10F3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3323912"/>
    <w:multiLevelType w:val="multilevel"/>
    <w:tmpl w:val="03323912"/>
    <w:lvl w:ilvl="0" w:tentative="0">
      <w:start w:val="1"/>
      <w:numFmt w:val="decimal"/>
      <w:lvlText w:val="%1."/>
      <w:lvlJc w:val="left"/>
      <w:pPr>
        <w:tabs>
          <w:tab w:val="left" w:pos="720"/>
        </w:tabs>
        <w:ind w:left="720" w:hanging="360"/>
      </w:pPr>
      <w:rPr>
        <w:rFonts w:hint="default"/>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38372FA"/>
    <w:multiLevelType w:val="multilevel"/>
    <w:tmpl w:val="038372F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58C72BA"/>
    <w:multiLevelType w:val="multilevel"/>
    <w:tmpl w:val="058C72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0616185A"/>
    <w:multiLevelType w:val="multilevel"/>
    <w:tmpl w:val="0616185A"/>
    <w:lvl w:ilvl="0" w:tentative="0">
      <w:start w:val="2"/>
      <w:numFmt w:val="decimal"/>
      <w:lvlText w:val="%1."/>
      <w:lvlJc w:val="left"/>
      <w:pPr>
        <w:tabs>
          <w:tab w:val="left" w:pos="720"/>
        </w:tabs>
        <w:ind w:left="720" w:hanging="360"/>
      </w:pPr>
      <w:rPr>
        <w:rFonts w:hint="default"/>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6C96F6A"/>
    <w:multiLevelType w:val="multilevel"/>
    <w:tmpl w:val="06C96F6A"/>
    <w:lvl w:ilvl="0" w:tentative="0">
      <w:start w:val="1"/>
      <w:numFmt w:val="decimal"/>
      <w:lvlText w:val="%1."/>
      <w:lvlJc w:val="left"/>
      <w:pPr>
        <w:tabs>
          <w:tab w:val="left" w:pos="720"/>
        </w:tabs>
        <w:ind w:left="720" w:hanging="360"/>
      </w:pPr>
      <w:rPr>
        <w:rFonts w:hint="default" w:ascii="宋体" w:hAnsi="宋体" w:eastAsia="宋体" w:cs="宋体"/>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97A4A64"/>
    <w:multiLevelType w:val="multilevel"/>
    <w:tmpl w:val="097A4A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0989095C"/>
    <w:multiLevelType w:val="multilevel"/>
    <w:tmpl w:val="098909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0AA2138E"/>
    <w:multiLevelType w:val="multilevel"/>
    <w:tmpl w:val="0AA2138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0AE648E4"/>
    <w:multiLevelType w:val="multilevel"/>
    <w:tmpl w:val="0AE648E4"/>
    <w:lvl w:ilvl="0" w:tentative="0">
      <w:start w:val="1"/>
      <w:numFmt w:val="decimal"/>
      <w:lvlText w:val="%1."/>
      <w:lvlJc w:val="left"/>
      <w:pPr>
        <w:tabs>
          <w:tab w:val="left" w:pos="720"/>
        </w:tabs>
        <w:ind w:left="720" w:hanging="360"/>
      </w:pPr>
      <w:rPr>
        <w:rFonts w:hint="default"/>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0B6978DA"/>
    <w:multiLevelType w:val="multilevel"/>
    <w:tmpl w:val="0B6978DA"/>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0D1D373A"/>
    <w:multiLevelType w:val="multilevel"/>
    <w:tmpl w:val="0D1D373A"/>
    <w:lvl w:ilvl="0" w:tentative="0">
      <w:start w:val="2"/>
      <w:numFmt w:val="decimal"/>
      <w:lvlText w:val="%1."/>
      <w:lvlJc w:val="left"/>
      <w:pPr>
        <w:tabs>
          <w:tab w:val="left" w:pos="720"/>
        </w:tabs>
        <w:ind w:left="720" w:hanging="360"/>
      </w:pPr>
      <w:rPr>
        <w:rFonts w:hint="default"/>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0F3341DC"/>
    <w:multiLevelType w:val="multilevel"/>
    <w:tmpl w:val="0F3341D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10F65E85"/>
    <w:multiLevelType w:val="multilevel"/>
    <w:tmpl w:val="10F65E8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11674962"/>
    <w:multiLevelType w:val="multilevel"/>
    <w:tmpl w:val="116749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128C2D02"/>
    <w:multiLevelType w:val="multilevel"/>
    <w:tmpl w:val="128C2D0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12993014"/>
    <w:multiLevelType w:val="multilevel"/>
    <w:tmpl w:val="129930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134E4CB3"/>
    <w:multiLevelType w:val="multilevel"/>
    <w:tmpl w:val="134E4CB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13637E10"/>
    <w:multiLevelType w:val="multilevel"/>
    <w:tmpl w:val="13637E10"/>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16E21A95"/>
    <w:multiLevelType w:val="multilevel"/>
    <w:tmpl w:val="16E21A95"/>
    <w:lvl w:ilvl="0" w:tentative="0">
      <w:start w:val="1"/>
      <w:numFmt w:val="decimal"/>
      <w:lvlText w:val="%1."/>
      <w:lvlJc w:val="left"/>
      <w:pPr>
        <w:tabs>
          <w:tab w:val="left" w:pos="720"/>
        </w:tabs>
        <w:ind w:left="720" w:hanging="360"/>
      </w:pPr>
      <w:rPr>
        <w:rFonts w:hint="default"/>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17060506"/>
    <w:multiLevelType w:val="multilevel"/>
    <w:tmpl w:val="170605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17315CD4"/>
    <w:multiLevelType w:val="multilevel"/>
    <w:tmpl w:val="17315CD4"/>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17846766"/>
    <w:multiLevelType w:val="multilevel"/>
    <w:tmpl w:val="17846766"/>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1797437B"/>
    <w:multiLevelType w:val="multilevel"/>
    <w:tmpl w:val="1797437B"/>
    <w:lvl w:ilvl="0" w:tentative="0">
      <w:start w:val="4"/>
      <w:numFmt w:val="decimal"/>
      <w:lvlText w:val="%1."/>
      <w:lvlJc w:val="left"/>
      <w:pPr>
        <w:tabs>
          <w:tab w:val="left" w:pos="720"/>
        </w:tabs>
        <w:ind w:left="720" w:hanging="360"/>
      </w:pPr>
      <w:rPr>
        <w:rFonts w:hint="default" w:ascii="宋体" w:hAnsi="宋体" w:eastAsia="宋体" w:cs="宋体"/>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17E27D04"/>
    <w:multiLevelType w:val="multilevel"/>
    <w:tmpl w:val="17E27D0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18BF1E31"/>
    <w:multiLevelType w:val="multilevel"/>
    <w:tmpl w:val="18BF1E3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199403EF"/>
    <w:multiLevelType w:val="multilevel"/>
    <w:tmpl w:val="199403EF"/>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19C26227"/>
    <w:multiLevelType w:val="multilevel"/>
    <w:tmpl w:val="19C262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1BB059C2"/>
    <w:multiLevelType w:val="multilevel"/>
    <w:tmpl w:val="1BB059C2"/>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1C2C71E3"/>
    <w:multiLevelType w:val="multilevel"/>
    <w:tmpl w:val="1C2C71E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1C5C249F"/>
    <w:multiLevelType w:val="multilevel"/>
    <w:tmpl w:val="1C5C249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1D6D26A8"/>
    <w:multiLevelType w:val="multilevel"/>
    <w:tmpl w:val="1D6D26A8"/>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1DA20660"/>
    <w:multiLevelType w:val="multilevel"/>
    <w:tmpl w:val="1DA2066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1E653724"/>
    <w:multiLevelType w:val="multilevel"/>
    <w:tmpl w:val="1E65372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207272A0"/>
    <w:multiLevelType w:val="multilevel"/>
    <w:tmpl w:val="207272A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212F37D8"/>
    <w:multiLevelType w:val="multilevel"/>
    <w:tmpl w:val="212F37D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21B5595F"/>
    <w:multiLevelType w:val="multilevel"/>
    <w:tmpl w:val="21B5595F"/>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2365063D"/>
    <w:multiLevelType w:val="multilevel"/>
    <w:tmpl w:val="236506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9">
    <w:nsid w:val="27896761"/>
    <w:multiLevelType w:val="multilevel"/>
    <w:tmpl w:val="2789676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0">
    <w:nsid w:val="29D75EC1"/>
    <w:multiLevelType w:val="multilevel"/>
    <w:tmpl w:val="29D75E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1">
    <w:nsid w:val="2B494C3A"/>
    <w:multiLevelType w:val="multilevel"/>
    <w:tmpl w:val="2B494C3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2">
    <w:nsid w:val="2CA03883"/>
    <w:multiLevelType w:val="multilevel"/>
    <w:tmpl w:val="2CA0388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3">
    <w:nsid w:val="2E07778C"/>
    <w:multiLevelType w:val="multilevel"/>
    <w:tmpl w:val="2E07778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4">
    <w:nsid w:val="2FB57D11"/>
    <w:multiLevelType w:val="multilevel"/>
    <w:tmpl w:val="2FB57D1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5">
    <w:nsid w:val="30D33CD1"/>
    <w:multiLevelType w:val="multilevel"/>
    <w:tmpl w:val="30D33CD1"/>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6">
    <w:nsid w:val="326D3510"/>
    <w:multiLevelType w:val="multilevel"/>
    <w:tmpl w:val="326D35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7">
    <w:nsid w:val="32842744"/>
    <w:multiLevelType w:val="multilevel"/>
    <w:tmpl w:val="32842744"/>
    <w:lvl w:ilvl="0" w:tentative="0">
      <w:start w:val="2"/>
      <w:numFmt w:val="decimal"/>
      <w:lvlText w:val="%1."/>
      <w:lvlJc w:val="left"/>
      <w:pPr>
        <w:tabs>
          <w:tab w:val="left" w:pos="720"/>
        </w:tabs>
        <w:ind w:left="720" w:hanging="360"/>
      </w:pPr>
      <w:rPr>
        <w:rFonts w:hint="default" w:ascii="宋体" w:hAnsi="宋体" w:eastAsia="宋体" w:cs="宋体"/>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335C1DC2"/>
    <w:multiLevelType w:val="multilevel"/>
    <w:tmpl w:val="335C1DC2"/>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9">
    <w:nsid w:val="337D77BA"/>
    <w:multiLevelType w:val="multilevel"/>
    <w:tmpl w:val="337D77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0">
    <w:nsid w:val="33F174CC"/>
    <w:multiLevelType w:val="multilevel"/>
    <w:tmpl w:val="33F174CC"/>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1">
    <w:nsid w:val="35ED7B31"/>
    <w:multiLevelType w:val="multilevel"/>
    <w:tmpl w:val="35ED7B3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2">
    <w:nsid w:val="37A57EC4"/>
    <w:multiLevelType w:val="multilevel"/>
    <w:tmpl w:val="37A57EC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3">
    <w:nsid w:val="37EF0D2E"/>
    <w:multiLevelType w:val="multilevel"/>
    <w:tmpl w:val="37EF0D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4">
    <w:nsid w:val="390F3364"/>
    <w:multiLevelType w:val="multilevel"/>
    <w:tmpl w:val="390F33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5">
    <w:nsid w:val="3AEF21D0"/>
    <w:multiLevelType w:val="multilevel"/>
    <w:tmpl w:val="3AEF21D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6">
    <w:nsid w:val="3B224C72"/>
    <w:multiLevelType w:val="multilevel"/>
    <w:tmpl w:val="3B224C7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7">
    <w:nsid w:val="3BA72B80"/>
    <w:multiLevelType w:val="multilevel"/>
    <w:tmpl w:val="3BA72B8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8">
    <w:nsid w:val="3BCA7723"/>
    <w:multiLevelType w:val="multilevel"/>
    <w:tmpl w:val="3BCA7723"/>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9">
    <w:nsid w:val="3C1646CB"/>
    <w:multiLevelType w:val="multilevel"/>
    <w:tmpl w:val="3C1646C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0">
    <w:nsid w:val="3C48540E"/>
    <w:multiLevelType w:val="multilevel"/>
    <w:tmpl w:val="3C48540E"/>
    <w:lvl w:ilvl="0" w:tentative="0">
      <w:start w:val="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1">
    <w:nsid w:val="3F8D488F"/>
    <w:multiLevelType w:val="multilevel"/>
    <w:tmpl w:val="3F8D488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2">
    <w:nsid w:val="401B053C"/>
    <w:multiLevelType w:val="multilevel"/>
    <w:tmpl w:val="401B053C"/>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3">
    <w:nsid w:val="40AC4DA7"/>
    <w:multiLevelType w:val="multilevel"/>
    <w:tmpl w:val="40AC4D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4">
    <w:nsid w:val="42BD149B"/>
    <w:multiLevelType w:val="multilevel"/>
    <w:tmpl w:val="42BD149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5">
    <w:nsid w:val="43630164"/>
    <w:multiLevelType w:val="multilevel"/>
    <w:tmpl w:val="436301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6">
    <w:nsid w:val="447F70EC"/>
    <w:multiLevelType w:val="multilevel"/>
    <w:tmpl w:val="447F70E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7">
    <w:nsid w:val="459A6488"/>
    <w:multiLevelType w:val="multilevel"/>
    <w:tmpl w:val="459A648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8">
    <w:nsid w:val="45E22A6B"/>
    <w:multiLevelType w:val="multilevel"/>
    <w:tmpl w:val="45E22A6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9">
    <w:nsid w:val="460324C4"/>
    <w:multiLevelType w:val="multilevel"/>
    <w:tmpl w:val="460324C4"/>
    <w:lvl w:ilvl="0" w:tentative="0">
      <w:start w:val="1"/>
      <w:numFmt w:val="decimal"/>
      <w:lvlText w:val="%1."/>
      <w:lvlJc w:val="left"/>
      <w:pPr>
        <w:tabs>
          <w:tab w:val="left" w:pos="720"/>
        </w:tabs>
        <w:ind w:left="720" w:hanging="360"/>
      </w:pPr>
      <w:rPr>
        <w:rFonts w:hint="default"/>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0">
    <w:nsid w:val="46A03592"/>
    <w:multiLevelType w:val="multilevel"/>
    <w:tmpl w:val="46A0359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1">
    <w:nsid w:val="47705343"/>
    <w:multiLevelType w:val="multilevel"/>
    <w:tmpl w:val="47705343"/>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2">
    <w:nsid w:val="47780B21"/>
    <w:multiLevelType w:val="multilevel"/>
    <w:tmpl w:val="47780B21"/>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3">
    <w:nsid w:val="493E1DCE"/>
    <w:multiLevelType w:val="multilevel"/>
    <w:tmpl w:val="493E1D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4">
    <w:nsid w:val="4A543DD8"/>
    <w:multiLevelType w:val="multilevel"/>
    <w:tmpl w:val="4A543D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5">
    <w:nsid w:val="4BD914F0"/>
    <w:multiLevelType w:val="multilevel"/>
    <w:tmpl w:val="4BD914F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6">
    <w:nsid w:val="4E6965F1"/>
    <w:multiLevelType w:val="multilevel"/>
    <w:tmpl w:val="4E6965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7">
    <w:nsid w:val="4E6A0571"/>
    <w:multiLevelType w:val="multilevel"/>
    <w:tmpl w:val="4E6A0571"/>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8">
    <w:nsid w:val="4EAF4E24"/>
    <w:multiLevelType w:val="multilevel"/>
    <w:tmpl w:val="4EAF4E2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9">
    <w:nsid w:val="4F414110"/>
    <w:multiLevelType w:val="multilevel"/>
    <w:tmpl w:val="4F4141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0">
    <w:nsid w:val="51FB4F96"/>
    <w:multiLevelType w:val="multilevel"/>
    <w:tmpl w:val="51FB4F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1">
    <w:nsid w:val="524434FE"/>
    <w:multiLevelType w:val="multilevel"/>
    <w:tmpl w:val="524434F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2">
    <w:nsid w:val="52FB2EAA"/>
    <w:multiLevelType w:val="multilevel"/>
    <w:tmpl w:val="52FB2E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3">
    <w:nsid w:val="5346689B"/>
    <w:multiLevelType w:val="multilevel"/>
    <w:tmpl w:val="5346689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4">
    <w:nsid w:val="55BF50AC"/>
    <w:multiLevelType w:val="multilevel"/>
    <w:tmpl w:val="55BF50AC"/>
    <w:lvl w:ilvl="0" w:tentative="0">
      <w:start w:val="3"/>
      <w:numFmt w:val="decimal"/>
      <w:lvlText w:val="%1."/>
      <w:lvlJc w:val="left"/>
      <w:pPr>
        <w:tabs>
          <w:tab w:val="left" w:pos="720"/>
        </w:tabs>
        <w:ind w:left="720" w:hanging="360"/>
      </w:pPr>
      <w:rPr>
        <w:rFonts w:hint="default" w:ascii="宋体" w:hAnsi="宋体" w:eastAsia="宋体" w:cs="宋体"/>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5">
    <w:nsid w:val="570B79A1"/>
    <w:multiLevelType w:val="multilevel"/>
    <w:tmpl w:val="570B79A1"/>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6">
    <w:nsid w:val="5A6773F1"/>
    <w:multiLevelType w:val="multilevel"/>
    <w:tmpl w:val="5A6773F1"/>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7">
    <w:nsid w:val="5AF9448B"/>
    <w:multiLevelType w:val="multilevel"/>
    <w:tmpl w:val="5AF9448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8">
    <w:nsid w:val="5C027B4C"/>
    <w:multiLevelType w:val="multilevel"/>
    <w:tmpl w:val="5C027B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9">
    <w:nsid w:val="5C7F4E19"/>
    <w:multiLevelType w:val="multilevel"/>
    <w:tmpl w:val="5C7F4E1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0">
    <w:nsid w:val="5D3619A8"/>
    <w:multiLevelType w:val="multilevel"/>
    <w:tmpl w:val="5D3619A8"/>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1">
    <w:nsid w:val="5F934AE5"/>
    <w:multiLevelType w:val="multilevel"/>
    <w:tmpl w:val="5F934AE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2">
    <w:nsid w:val="5FAB63DC"/>
    <w:multiLevelType w:val="multilevel"/>
    <w:tmpl w:val="5FAB63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3">
    <w:nsid w:val="60864770"/>
    <w:multiLevelType w:val="multilevel"/>
    <w:tmpl w:val="6086477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4">
    <w:nsid w:val="64334ED2"/>
    <w:multiLevelType w:val="multilevel"/>
    <w:tmpl w:val="64334ED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5">
    <w:nsid w:val="649A3838"/>
    <w:multiLevelType w:val="multilevel"/>
    <w:tmpl w:val="649A3838"/>
    <w:lvl w:ilvl="0" w:tentative="0">
      <w:start w:val="1"/>
      <w:numFmt w:val="decimal"/>
      <w:lvlText w:val="%1."/>
      <w:lvlJc w:val="left"/>
      <w:pPr>
        <w:tabs>
          <w:tab w:val="left" w:pos="720"/>
        </w:tabs>
        <w:ind w:left="720" w:hanging="360"/>
      </w:pPr>
      <w:rPr>
        <w:rFonts w:hint="default" w:ascii="宋体" w:hAnsi="宋体" w:eastAsia="宋体" w:cs="宋体"/>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6">
    <w:nsid w:val="65ED7CF2"/>
    <w:multiLevelType w:val="multilevel"/>
    <w:tmpl w:val="65ED7C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7">
    <w:nsid w:val="66FE5D80"/>
    <w:multiLevelType w:val="multilevel"/>
    <w:tmpl w:val="66FE5D80"/>
    <w:lvl w:ilvl="0" w:tentative="0">
      <w:start w:val="1"/>
      <w:numFmt w:val="decimal"/>
      <w:lvlText w:val="%1."/>
      <w:lvlJc w:val="left"/>
      <w:pPr>
        <w:tabs>
          <w:tab w:val="left" w:pos="720"/>
        </w:tabs>
        <w:ind w:left="720" w:hanging="360"/>
      </w:pPr>
      <w:rPr>
        <w:rFonts w:hint="default" w:ascii="宋体" w:hAnsi="宋体" w:eastAsia="宋体" w:cs="宋体"/>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8">
    <w:nsid w:val="6865336E"/>
    <w:multiLevelType w:val="multilevel"/>
    <w:tmpl w:val="6865336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9">
    <w:nsid w:val="695949B4"/>
    <w:multiLevelType w:val="multilevel"/>
    <w:tmpl w:val="695949B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0">
    <w:nsid w:val="69774D62"/>
    <w:multiLevelType w:val="multilevel"/>
    <w:tmpl w:val="69774D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1">
    <w:nsid w:val="6A020EDE"/>
    <w:multiLevelType w:val="multilevel"/>
    <w:tmpl w:val="6A020E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2">
    <w:nsid w:val="6A946CEE"/>
    <w:multiLevelType w:val="multilevel"/>
    <w:tmpl w:val="6A946CE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3">
    <w:nsid w:val="6CE672A4"/>
    <w:multiLevelType w:val="multilevel"/>
    <w:tmpl w:val="6CE672A4"/>
    <w:lvl w:ilvl="0" w:tentative="0">
      <w:start w:val="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4">
    <w:nsid w:val="6D4543C2"/>
    <w:multiLevelType w:val="multilevel"/>
    <w:tmpl w:val="6D4543C2"/>
    <w:lvl w:ilvl="0" w:tentative="0">
      <w:start w:val="2"/>
      <w:numFmt w:val="decimal"/>
      <w:lvlText w:val="%1."/>
      <w:lvlJc w:val="left"/>
      <w:pPr>
        <w:tabs>
          <w:tab w:val="left" w:pos="720"/>
        </w:tabs>
        <w:ind w:left="720" w:hanging="360"/>
      </w:pPr>
    </w:lvl>
    <w:lvl w:ilvl="1" w:tentative="0">
      <w:start w:val="2"/>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5">
    <w:nsid w:val="6E465219"/>
    <w:multiLevelType w:val="multilevel"/>
    <w:tmpl w:val="6E465219"/>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6">
    <w:nsid w:val="6EB01576"/>
    <w:multiLevelType w:val="multilevel"/>
    <w:tmpl w:val="6EB0157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7">
    <w:nsid w:val="71366599"/>
    <w:multiLevelType w:val="multilevel"/>
    <w:tmpl w:val="7136659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8">
    <w:nsid w:val="73B1168B"/>
    <w:multiLevelType w:val="multilevel"/>
    <w:tmpl w:val="73B1168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9">
    <w:nsid w:val="74BA4B5C"/>
    <w:multiLevelType w:val="multilevel"/>
    <w:tmpl w:val="74BA4B5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0">
    <w:nsid w:val="74D00DBD"/>
    <w:multiLevelType w:val="multilevel"/>
    <w:tmpl w:val="74D00DBD"/>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1">
    <w:nsid w:val="750A5188"/>
    <w:multiLevelType w:val="multilevel"/>
    <w:tmpl w:val="750A518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2">
    <w:nsid w:val="76B83EA9"/>
    <w:multiLevelType w:val="multilevel"/>
    <w:tmpl w:val="76B83EA9"/>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3">
    <w:nsid w:val="772045A1"/>
    <w:multiLevelType w:val="multilevel"/>
    <w:tmpl w:val="772045A1"/>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4">
    <w:nsid w:val="79824797"/>
    <w:multiLevelType w:val="multilevel"/>
    <w:tmpl w:val="7982479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5">
    <w:nsid w:val="7CFC29C8"/>
    <w:multiLevelType w:val="multilevel"/>
    <w:tmpl w:val="7CFC29C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6">
    <w:nsid w:val="7F7C058C"/>
    <w:multiLevelType w:val="multilevel"/>
    <w:tmpl w:val="7F7C05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7">
    <w:nsid w:val="7FA24B9B"/>
    <w:multiLevelType w:val="multilevel"/>
    <w:tmpl w:val="7FA24B9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5"/>
  </w:num>
  <w:num w:numId="2">
    <w:abstractNumId w:val="31"/>
  </w:num>
  <w:num w:numId="3">
    <w:abstractNumId w:val="54"/>
  </w:num>
  <w:num w:numId="4">
    <w:abstractNumId w:val="69"/>
  </w:num>
  <w:num w:numId="5">
    <w:abstractNumId w:val="73"/>
  </w:num>
  <w:num w:numId="6">
    <w:abstractNumId w:val="95"/>
  </w:num>
  <w:num w:numId="7">
    <w:abstractNumId w:val="12"/>
  </w:num>
  <w:num w:numId="8">
    <w:abstractNumId w:val="2"/>
  </w:num>
  <w:num w:numId="9">
    <w:abstractNumId w:val="4"/>
  </w:num>
  <w:num w:numId="10">
    <w:abstractNumId w:val="6"/>
  </w:num>
  <w:num w:numId="11">
    <w:abstractNumId w:val="5"/>
  </w:num>
  <w:num w:numId="12">
    <w:abstractNumId w:val="20"/>
  </w:num>
  <w:num w:numId="13">
    <w:abstractNumId w:val="74"/>
  </w:num>
  <w:num w:numId="14">
    <w:abstractNumId w:val="25"/>
  </w:num>
  <w:num w:numId="15">
    <w:abstractNumId w:val="93"/>
  </w:num>
  <w:num w:numId="16">
    <w:abstractNumId w:val="10"/>
  </w:num>
  <w:num w:numId="17">
    <w:abstractNumId w:val="97"/>
  </w:num>
  <w:num w:numId="18">
    <w:abstractNumId w:val="47"/>
  </w:num>
  <w:num w:numId="19">
    <w:abstractNumId w:val="84"/>
  </w:num>
  <w:num w:numId="20">
    <w:abstractNumId w:val="24"/>
  </w:num>
  <w:num w:numId="21">
    <w:abstractNumId w:val="78"/>
  </w:num>
  <w:num w:numId="22">
    <w:abstractNumId w:val="19"/>
  </w:num>
  <w:num w:numId="23">
    <w:abstractNumId w:val="90"/>
  </w:num>
  <w:num w:numId="24">
    <w:abstractNumId w:val="100"/>
  </w:num>
  <w:num w:numId="25">
    <w:abstractNumId w:val="1"/>
  </w:num>
  <w:num w:numId="26">
    <w:abstractNumId w:val="82"/>
  </w:num>
  <w:num w:numId="27">
    <w:abstractNumId w:val="21"/>
  </w:num>
  <w:num w:numId="28">
    <w:abstractNumId w:val="56"/>
  </w:num>
  <w:num w:numId="29">
    <w:abstractNumId w:val="86"/>
  </w:num>
  <w:num w:numId="30">
    <w:abstractNumId w:val="52"/>
  </w:num>
  <w:num w:numId="31">
    <w:abstractNumId w:val="3"/>
  </w:num>
  <w:num w:numId="32">
    <w:abstractNumId w:val="71"/>
  </w:num>
  <w:num w:numId="33">
    <w:abstractNumId w:val="61"/>
  </w:num>
  <w:num w:numId="34">
    <w:abstractNumId w:val="0"/>
  </w:num>
  <w:num w:numId="35">
    <w:abstractNumId w:val="111"/>
  </w:num>
  <w:num w:numId="36">
    <w:abstractNumId w:val="51"/>
  </w:num>
  <w:num w:numId="37">
    <w:abstractNumId w:val="28"/>
  </w:num>
  <w:num w:numId="38">
    <w:abstractNumId w:val="17"/>
  </w:num>
  <w:num w:numId="39">
    <w:abstractNumId w:val="46"/>
  </w:num>
  <w:num w:numId="40">
    <w:abstractNumId w:val="44"/>
  </w:num>
  <w:num w:numId="41">
    <w:abstractNumId w:val="58"/>
  </w:num>
  <w:num w:numId="42">
    <w:abstractNumId w:val="101"/>
  </w:num>
  <w:num w:numId="43">
    <w:abstractNumId w:val="117"/>
  </w:num>
  <w:num w:numId="44">
    <w:abstractNumId w:val="88"/>
  </w:num>
  <w:num w:numId="45">
    <w:abstractNumId w:val="41"/>
  </w:num>
  <w:num w:numId="46">
    <w:abstractNumId w:val="11"/>
  </w:num>
  <w:num w:numId="47">
    <w:abstractNumId w:val="70"/>
  </w:num>
  <w:num w:numId="48">
    <w:abstractNumId w:val="77"/>
  </w:num>
  <w:num w:numId="49">
    <w:abstractNumId w:val="65"/>
  </w:num>
  <w:num w:numId="50">
    <w:abstractNumId w:val="99"/>
  </w:num>
  <w:num w:numId="51">
    <w:abstractNumId w:val="7"/>
  </w:num>
  <w:num w:numId="52">
    <w:abstractNumId w:val="83"/>
  </w:num>
  <w:num w:numId="53">
    <w:abstractNumId w:val="53"/>
  </w:num>
  <w:num w:numId="54">
    <w:abstractNumId w:val="16"/>
  </w:num>
  <w:num w:numId="55">
    <w:abstractNumId w:val="32"/>
  </w:num>
  <w:num w:numId="56">
    <w:abstractNumId w:val="60"/>
  </w:num>
  <w:num w:numId="57">
    <w:abstractNumId w:val="8"/>
  </w:num>
  <w:num w:numId="58">
    <w:abstractNumId w:val="34"/>
  </w:num>
  <w:num w:numId="59">
    <w:abstractNumId w:val="109"/>
  </w:num>
  <w:num w:numId="60">
    <w:abstractNumId w:val="40"/>
  </w:num>
  <w:num w:numId="61">
    <w:abstractNumId w:val="33"/>
  </w:num>
  <w:num w:numId="62">
    <w:abstractNumId w:val="67"/>
  </w:num>
  <w:num w:numId="63">
    <w:abstractNumId w:val="63"/>
  </w:num>
  <w:num w:numId="64">
    <w:abstractNumId w:val="103"/>
  </w:num>
  <w:num w:numId="65">
    <w:abstractNumId w:val="68"/>
  </w:num>
  <w:num w:numId="66">
    <w:abstractNumId w:val="26"/>
  </w:num>
  <w:num w:numId="67">
    <w:abstractNumId w:val="18"/>
  </w:num>
  <w:num w:numId="68">
    <w:abstractNumId w:val="49"/>
  </w:num>
  <w:num w:numId="69">
    <w:abstractNumId w:val="102"/>
  </w:num>
  <w:num w:numId="70">
    <w:abstractNumId w:val="39"/>
  </w:num>
  <w:num w:numId="71">
    <w:abstractNumId w:val="113"/>
  </w:num>
  <w:num w:numId="72">
    <w:abstractNumId w:val="14"/>
  </w:num>
  <w:num w:numId="73">
    <w:abstractNumId w:val="29"/>
  </w:num>
  <w:num w:numId="74">
    <w:abstractNumId w:val="37"/>
  </w:num>
  <w:num w:numId="75">
    <w:abstractNumId w:val="15"/>
  </w:num>
  <w:num w:numId="76">
    <w:abstractNumId w:val="94"/>
  </w:num>
  <w:num w:numId="77">
    <w:abstractNumId w:val="92"/>
  </w:num>
  <w:num w:numId="78">
    <w:abstractNumId w:val="116"/>
  </w:num>
  <w:num w:numId="79">
    <w:abstractNumId w:val="114"/>
  </w:num>
  <w:num w:numId="80">
    <w:abstractNumId w:val="50"/>
  </w:num>
  <w:num w:numId="81">
    <w:abstractNumId w:val="9"/>
  </w:num>
  <w:num w:numId="82">
    <w:abstractNumId w:val="62"/>
  </w:num>
  <w:num w:numId="83">
    <w:abstractNumId w:val="66"/>
  </w:num>
  <w:num w:numId="84">
    <w:abstractNumId w:val="106"/>
  </w:num>
  <w:num w:numId="85">
    <w:abstractNumId w:val="57"/>
  </w:num>
  <w:num w:numId="86">
    <w:abstractNumId w:val="43"/>
  </w:num>
  <w:num w:numId="87">
    <w:abstractNumId w:val="38"/>
  </w:num>
  <w:num w:numId="88">
    <w:abstractNumId w:val="96"/>
  </w:num>
  <w:num w:numId="89">
    <w:abstractNumId w:val="108"/>
  </w:num>
  <w:num w:numId="90">
    <w:abstractNumId w:val="35"/>
  </w:num>
  <w:num w:numId="91">
    <w:abstractNumId w:val="91"/>
  </w:num>
  <w:num w:numId="92">
    <w:abstractNumId w:val="23"/>
  </w:num>
  <w:num w:numId="93">
    <w:abstractNumId w:val="87"/>
  </w:num>
  <w:num w:numId="94">
    <w:abstractNumId w:val="48"/>
  </w:num>
  <w:num w:numId="95">
    <w:abstractNumId w:val="112"/>
  </w:num>
  <w:num w:numId="96">
    <w:abstractNumId w:val="85"/>
  </w:num>
  <w:num w:numId="97">
    <w:abstractNumId w:val="42"/>
  </w:num>
  <w:num w:numId="98">
    <w:abstractNumId w:val="22"/>
  </w:num>
  <w:num w:numId="99">
    <w:abstractNumId w:val="110"/>
  </w:num>
  <w:num w:numId="100">
    <w:abstractNumId w:val="30"/>
  </w:num>
  <w:num w:numId="101">
    <w:abstractNumId w:val="13"/>
  </w:num>
  <w:num w:numId="102">
    <w:abstractNumId w:val="115"/>
  </w:num>
  <w:num w:numId="103">
    <w:abstractNumId w:val="45"/>
  </w:num>
  <w:num w:numId="104">
    <w:abstractNumId w:val="105"/>
  </w:num>
  <w:num w:numId="105">
    <w:abstractNumId w:val="81"/>
  </w:num>
  <w:num w:numId="106">
    <w:abstractNumId w:val="27"/>
  </w:num>
  <w:num w:numId="107">
    <w:abstractNumId w:val="72"/>
  </w:num>
  <w:num w:numId="108">
    <w:abstractNumId w:val="59"/>
  </w:num>
  <w:num w:numId="109">
    <w:abstractNumId w:val="64"/>
  </w:num>
  <w:num w:numId="110">
    <w:abstractNumId w:val="98"/>
  </w:num>
  <w:num w:numId="111">
    <w:abstractNumId w:val="89"/>
  </w:num>
  <w:num w:numId="112">
    <w:abstractNumId w:val="107"/>
  </w:num>
  <w:num w:numId="113">
    <w:abstractNumId w:val="36"/>
  </w:num>
  <w:num w:numId="114">
    <w:abstractNumId w:val="75"/>
  </w:num>
  <w:num w:numId="115">
    <w:abstractNumId w:val="104"/>
  </w:num>
  <w:num w:numId="116">
    <w:abstractNumId w:val="80"/>
  </w:num>
  <w:num w:numId="117">
    <w:abstractNumId w:val="76"/>
  </w:num>
  <w:num w:numId="118">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characterSpacingControl w:val="doNotCompress"/>
  <w:compat>
    <w:useFELayout/>
    <w:compatSetting w:name="compatibilityMode" w:uri="http://schemas.microsoft.com/office/word" w:val="14"/>
  </w:compat>
  <w:rsids>
    <w:rsidRoot w:val="00D12735"/>
    <w:rsid w:val="000E6950"/>
    <w:rsid w:val="00257C12"/>
    <w:rsid w:val="002603C7"/>
    <w:rsid w:val="00274579"/>
    <w:rsid w:val="002B090B"/>
    <w:rsid w:val="002E0257"/>
    <w:rsid w:val="00474CA5"/>
    <w:rsid w:val="00645150"/>
    <w:rsid w:val="00671B7B"/>
    <w:rsid w:val="006C1B2D"/>
    <w:rsid w:val="00701172"/>
    <w:rsid w:val="0079020B"/>
    <w:rsid w:val="00887F81"/>
    <w:rsid w:val="008E2485"/>
    <w:rsid w:val="008E4F70"/>
    <w:rsid w:val="00976752"/>
    <w:rsid w:val="00A040B4"/>
    <w:rsid w:val="00B65275"/>
    <w:rsid w:val="00C25FF0"/>
    <w:rsid w:val="00D12735"/>
    <w:rsid w:val="00D91D43"/>
    <w:rsid w:val="00E86B68"/>
    <w:rsid w:val="00F721DA"/>
    <w:rsid w:val="00FD5F5F"/>
    <w:rsid w:val="06D3561E"/>
    <w:rsid w:val="22F13E2B"/>
    <w:rsid w:val="373C4996"/>
    <w:rsid w:val="3BD86C58"/>
    <w:rsid w:val="46884147"/>
    <w:rsid w:val="552A59D6"/>
    <w:rsid w:val="55DD7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156" w:after="156"/>
      <w:outlineLvl w:val="1"/>
    </w:pPr>
    <w:rPr>
      <w:szCs w:val="21"/>
    </w:rPr>
  </w:style>
  <w:style w:type="paragraph" w:styleId="3">
    <w:name w:val="heading 3"/>
    <w:basedOn w:val="1"/>
    <w:next w:val="1"/>
    <w:qFormat/>
    <w:uiPriority w:val="99"/>
    <w:pPr>
      <w:keepNext/>
      <w:keepLines/>
      <w:spacing w:before="300" w:after="300" w:line="241" w:lineRule="auto"/>
      <w:jc w:val="both"/>
      <w:outlineLvl w:val="2"/>
    </w:pPr>
    <w:rPr>
      <w:rFonts w:eastAsia="宋体"/>
      <w:szCs w:val="21"/>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alloon Text"/>
    <w:basedOn w:val="1"/>
    <w:link w:val="22"/>
    <w:semiHidden/>
    <w:unhideWhenUsed/>
    <w:uiPriority w:val="99"/>
    <w:rPr>
      <w:sz w:val="18"/>
      <w:szCs w:val="18"/>
    </w:rPr>
  </w:style>
  <w:style w:type="paragraph" w:styleId="5">
    <w:name w:val="footer"/>
    <w:basedOn w:val="1"/>
    <w:link w:val="21"/>
    <w:unhideWhenUsed/>
    <w:uiPriority w:val="99"/>
    <w:pPr>
      <w:tabs>
        <w:tab w:val="center" w:pos="4153"/>
        <w:tab w:val="right" w:pos="8306"/>
      </w:tabs>
      <w:snapToGrid w:val="0"/>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iPriority w:val="39"/>
  </w:style>
  <w:style w:type="paragraph" w:styleId="8">
    <w:name w:val="toc 2"/>
    <w:basedOn w:val="1"/>
    <w:next w:val="1"/>
    <w:autoRedefine/>
    <w:unhideWhenUsed/>
    <w:uiPriority w:val="39"/>
    <w:pPr>
      <w:ind w:left="420" w:leftChars="200"/>
    </w:pPr>
  </w:style>
  <w:style w:type="paragraph" w:styleId="9">
    <w:name w:val="Normal (Web)"/>
    <w:basedOn w:val="1"/>
    <w:unhideWhenUsed/>
    <w:uiPriority w:val="99"/>
    <w:pPr>
      <w:widowControl/>
      <w:spacing w:before="100" w:beforeAutospacing="1" w:after="100" w:afterAutospacing="1"/>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Hyperlink"/>
    <w:basedOn w:val="11"/>
    <w:semiHidden/>
    <w:unhideWhenUsed/>
    <w:uiPriority w:val="99"/>
    <w:rPr>
      <w:color w:val="0000FF"/>
      <w:u w:val="single"/>
    </w:rPr>
  </w:style>
  <w:style w:type="paragraph" w:customStyle="1" w:styleId="14">
    <w:name w:val="Header 1"/>
    <w:uiPriority w:val="0"/>
    <w:pPr>
      <w:jc w:val="right"/>
    </w:pPr>
    <w:rPr>
      <w:rFonts w:ascii="宋体" w:eastAsia="宋体" w:hAnsiTheme="minorHAnsi" w:cstheme="minorBidi"/>
      <w:kern w:val="2"/>
      <w:sz w:val="18"/>
      <w:szCs w:val="18"/>
      <w:lang w:val="en-US" w:eastAsia="zh-CN" w:bidi="ar-SA"/>
    </w:rPr>
  </w:style>
  <w:style w:type="paragraph" w:customStyle="1" w:styleId="15">
    <w:name w:val="heading h1"/>
    <w:basedOn w:val="1"/>
    <w:next w:val="1"/>
    <w:qFormat/>
    <w:uiPriority w:val="9"/>
    <w:pPr>
      <w:keepNext/>
      <w:keepLines/>
      <w:spacing w:before="240" w:after="240" w:line="578" w:lineRule="auto"/>
      <w:outlineLvl w:val="0"/>
    </w:pPr>
    <w:rPr>
      <w:kern w:val="44"/>
      <w:sz w:val="44"/>
      <w:szCs w:val="44"/>
    </w:rPr>
  </w:style>
  <w:style w:type="paragraph" w:customStyle="1" w:styleId="16">
    <w:name w:val="fotter 1"/>
    <w:uiPriority w:val="0"/>
    <w:pPr>
      <w:jc w:val="right"/>
    </w:pPr>
    <w:rPr>
      <w:rFonts w:ascii="宋体" w:eastAsia="宋体" w:hAnsiTheme="minorHAnsi" w:cstheme="minorBidi"/>
      <w:kern w:val="2"/>
      <w:sz w:val="18"/>
      <w:szCs w:val="18"/>
      <w:lang w:val="en-US" w:eastAsia="zh-CN" w:bidi="ar-SA"/>
    </w:rPr>
  </w:style>
  <w:style w:type="character" w:customStyle="1" w:styleId="17">
    <w:name w:val="15"/>
    <w:basedOn w:val="11"/>
    <w:uiPriority w:val="0"/>
  </w:style>
  <w:style w:type="character" w:customStyle="1" w:styleId="18">
    <w:name w:val="1char"/>
    <w:basedOn w:val="11"/>
    <w:uiPriority w:val="0"/>
  </w:style>
  <w:style w:type="paragraph" w:customStyle="1" w:styleId="19">
    <w:name w:val="-3"/>
    <w:basedOn w:val="1"/>
    <w:uiPriority w:val="0"/>
    <w:pPr>
      <w:widowControl/>
      <w:spacing w:before="100" w:beforeAutospacing="1" w:after="100" w:afterAutospacing="1"/>
    </w:pPr>
    <w:rPr>
      <w:rFonts w:ascii="宋体" w:hAnsi="宋体" w:eastAsia="宋体" w:cs="宋体"/>
      <w:kern w:val="0"/>
      <w:sz w:val="24"/>
      <w:szCs w:val="24"/>
    </w:rPr>
  </w:style>
  <w:style w:type="character" w:customStyle="1" w:styleId="20">
    <w:name w:val="页眉 Char"/>
    <w:basedOn w:val="11"/>
    <w:link w:val="6"/>
    <w:uiPriority w:val="99"/>
    <w:rPr>
      <w:sz w:val="18"/>
      <w:szCs w:val="18"/>
    </w:rPr>
  </w:style>
  <w:style w:type="character" w:customStyle="1" w:styleId="21">
    <w:name w:val="页脚 Char"/>
    <w:basedOn w:val="11"/>
    <w:link w:val="5"/>
    <w:uiPriority w:val="99"/>
    <w:rPr>
      <w:sz w:val="18"/>
      <w:szCs w:val="18"/>
    </w:rPr>
  </w:style>
  <w:style w:type="character" w:customStyle="1" w:styleId="22">
    <w:name w:val="批注框文本 Char"/>
    <w:basedOn w:val="11"/>
    <w:link w:val="4"/>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E43A2-37F3-4315-A40E-5B07D10EDFE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219</Pages>
  <Words>6314</Words>
  <Characters>9743</Characters>
  <Lines>1340</Lines>
  <Paragraphs>377</Paragraphs>
  <TotalTime>12</TotalTime>
  <ScaleCrop>false</ScaleCrop>
  <LinksUpToDate>false</LinksUpToDate>
  <CharactersWithSpaces>9804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2026-04-28T08:45:00Z</dcterms:created>
  <dc:creator>WSY</dc:creator>
  <cp:lastModifiedBy>WSY</cp:lastModifiedBy>
  <dcterms:modified xsi:type="dcterms:W3CDTF">2026-04-28T09:47:17Z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eyJoZGlkIjoiMGYyMzhhMzNmNzJhMTU4YjMxZTc1YjkyNzFjZGE5ZTciLCJ1c2VySWQiOiIyNjU0NTI1NDMifQ==</vt:lpwstr>
  </property>
  <property fmtid="{D5CDD505-2E9C-101B-9397-08002B2CF9AE}" pid="3" name="KSOProductBuildVer">
    <vt:lpwstr>2052-12.1.0.25865</vt:lpwstr>
  </property>
  <property fmtid="{D5CDD505-2E9C-101B-9397-08002B2CF9AE}" pid="4" name="ICV">
    <vt:lpwstr>545A9475A77D4848BA8C7D2D03D01EEC_13</vt:lpwstr>
  </property>
</Properties>
</file>