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BAE449">
      <w:pPr>
        <w:snapToGrid w:val="0"/>
        <w:spacing w:line="360" w:lineRule="auto"/>
        <w:jc w:val="center"/>
        <w:rPr>
          <w:rFonts w:hint="eastAsia" w:ascii="黑体" w:hAnsi="黑体" w:eastAsia="黑体" w:cs="宋体"/>
          <w:kern w:val="0"/>
          <w:szCs w:val="30"/>
          <w:lang w:eastAsia="zh-CN"/>
        </w:rPr>
      </w:pPr>
      <w:r>
        <w:rPr>
          <w:rFonts w:hint="eastAsia" w:ascii="黑体" w:hAnsi="黑体" w:eastAsia="黑体" w:cs="宋体"/>
          <w:kern w:val="0"/>
          <w:szCs w:val="30"/>
        </w:rPr>
        <w:t>证券代码:002042              证券简称：华孚时尚              公告编号：202</w:t>
      </w:r>
      <w:r>
        <w:rPr>
          <w:rFonts w:hint="eastAsia" w:ascii="黑体" w:hAnsi="黑体" w:eastAsia="黑体" w:cs="宋体"/>
          <w:kern w:val="0"/>
          <w:szCs w:val="30"/>
          <w:lang w:val="en-US" w:eastAsia="zh-CN"/>
        </w:rPr>
        <w:t>6</w:t>
      </w:r>
      <w:r>
        <w:rPr>
          <w:rFonts w:hint="eastAsia" w:ascii="黑体" w:hAnsi="黑体" w:eastAsia="黑体" w:cs="宋体"/>
          <w:kern w:val="0"/>
          <w:szCs w:val="30"/>
        </w:rPr>
        <w:t>-2</w:t>
      </w:r>
      <w:r>
        <w:rPr>
          <w:rFonts w:hint="eastAsia" w:ascii="黑体" w:hAnsi="黑体" w:eastAsia="黑体" w:cs="宋体"/>
          <w:kern w:val="0"/>
          <w:szCs w:val="30"/>
          <w:lang w:val="en-US" w:eastAsia="zh-CN"/>
        </w:rPr>
        <w:t>2</w:t>
      </w:r>
    </w:p>
    <w:p w14:paraId="5CD98696">
      <w:pPr>
        <w:snapToGrid w:val="0"/>
        <w:spacing w:line="360" w:lineRule="auto"/>
        <w:jc w:val="center"/>
        <w:rPr>
          <w:rFonts w:ascii="黑体" w:hAnsi="黑体" w:eastAsia="黑体" w:cs="宋体"/>
          <w:kern w:val="0"/>
          <w:szCs w:val="30"/>
        </w:rPr>
      </w:pPr>
    </w:p>
    <w:p w14:paraId="1CDC3EC2">
      <w:pPr>
        <w:snapToGrid w:val="0"/>
        <w:spacing w:line="360" w:lineRule="auto"/>
        <w:jc w:val="center"/>
        <w:rPr>
          <w:rFonts w:ascii="宋体" w:hAnsi="宋体" w:cs="宋体"/>
          <w:b/>
          <w:kern w:val="0"/>
          <w:sz w:val="36"/>
          <w:szCs w:val="36"/>
        </w:rPr>
      </w:pPr>
      <w:r>
        <w:rPr>
          <w:rFonts w:hint="eastAsia" w:ascii="宋体" w:hAnsi="宋体" w:cs="宋体"/>
          <w:b/>
          <w:kern w:val="0"/>
          <w:sz w:val="36"/>
          <w:szCs w:val="36"/>
        </w:rPr>
        <w:t>华孚时尚股份有限公司</w:t>
      </w:r>
    </w:p>
    <w:p w14:paraId="214AB6D2">
      <w:pPr>
        <w:snapToGrid w:val="0"/>
        <w:spacing w:line="360" w:lineRule="auto"/>
        <w:jc w:val="center"/>
        <w:rPr>
          <w:rFonts w:ascii="宋体" w:hAnsi="宋体" w:cs="宋体"/>
          <w:b/>
          <w:kern w:val="0"/>
          <w:sz w:val="36"/>
          <w:szCs w:val="36"/>
        </w:rPr>
      </w:pPr>
      <w:r>
        <w:rPr>
          <w:rFonts w:hint="eastAsia" w:ascii="宋体" w:hAnsi="宋体" w:cs="宋体"/>
          <w:b/>
          <w:kern w:val="0"/>
          <w:sz w:val="36"/>
          <w:szCs w:val="36"/>
        </w:rPr>
        <w:t>202</w:t>
      </w:r>
      <w:r>
        <w:rPr>
          <w:rFonts w:hint="eastAsia" w:ascii="宋体" w:hAnsi="宋体" w:cs="宋体"/>
          <w:b/>
          <w:kern w:val="0"/>
          <w:sz w:val="36"/>
          <w:szCs w:val="36"/>
          <w:lang w:val="en-US" w:eastAsia="zh-CN"/>
        </w:rPr>
        <w:t>5</w:t>
      </w:r>
      <w:r>
        <w:rPr>
          <w:rFonts w:hint="eastAsia" w:ascii="宋体" w:hAnsi="宋体" w:cs="宋体"/>
          <w:b/>
          <w:kern w:val="0"/>
          <w:sz w:val="36"/>
          <w:szCs w:val="36"/>
        </w:rPr>
        <w:t>年度募集资金存放与使用情况的专项报告</w:t>
      </w:r>
    </w:p>
    <w:p w14:paraId="42C6AA7E">
      <w:pPr>
        <w:snapToGrid w:val="0"/>
        <w:spacing w:before="156" w:beforeLines="50" w:after="156" w:afterLines="50" w:line="360" w:lineRule="auto"/>
        <w:ind w:firstLine="484" w:firstLineChars="202"/>
        <w:jc w:val="left"/>
        <w:rPr>
          <w:rFonts w:ascii="楷体" w:hAnsi="楷体" w:eastAsia="楷体"/>
          <w:color w:val="333333"/>
          <w:sz w:val="24"/>
          <w:szCs w:val="24"/>
          <w:shd w:val="clear" w:color="auto" w:fill="FFFFFF"/>
        </w:rPr>
      </w:pPr>
      <w:r>
        <w:rPr>
          <w:rFonts w:hint="eastAsia" w:ascii="楷体" w:hAnsi="楷体" w:eastAsia="楷体"/>
          <w:color w:val="333333"/>
          <w:sz w:val="24"/>
          <w:szCs w:val="24"/>
          <w:shd w:val="clear" w:color="auto" w:fill="FFFFFF"/>
        </w:rPr>
        <w:t>本公司及董事会全体成员保证信息披露的内容真实、准确、完整、没有虚假记载、误导性陈述或重大遗漏。</w:t>
      </w:r>
    </w:p>
    <w:p w14:paraId="4F5577AC">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一、募集资金基本情况</w:t>
      </w:r>
    </w:p>
    <w:p w14:paraId="7BEE3941">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经中国证券监督管理委员会（以下简称“中国证监会”）（证监许可[2020]2582号）《关于核准华孚时尚股份有限公司非公开发行股票的批复》核准，公司于2021年9月14日以非公开发行方式发行人民币普通股（A股）274,278,835股，发行价格为每股4.16元，募集资金总额1,140,999,953.60元，扣除承销费和保荐费10,660,000.00元后的募集资金为人民币1,130,339,953.60元，已由华泰联合证券于2021年9月14日存入公司开立在浙商银行绍兴上虞支行账号为3371020210120100198791和建设银行深圳罗湖支行账号为44250100002809999888的人民币账户；减除其他发行费用人民币3,964,568.82元后，募集资金净额为人民币1,126,375,384.78元。上述资金到位情况业经大华会计师事务所（特殊普通合伙）验证，并由其出具“大华验字[2021]000637号”验资报告。公司对募集资金采取了专户存储制度。</w:t>
      </w:r>
    </w:p>
    <w:p w14:paraId="09150EDA">
      <w:p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截</w:t>
      </w:r>
      <w:r>
        <w:rPr>
          <w:rFonts w:hint="eastAsia" w:ascii="Times New Roman" w:hAnsi="Times New Roman" w:eastAsia="宋体" w:cs="Times New Roman"/>
          <w:sz w:val="24"/>
          <w:lang w:val="en-US" w:eastAsia="zh-CN"/>
        </w:rPr>
        <w:t>至</w:t>
      </w:r>
      <w:r>
        <w:rPr>
          <w:rFonts w:hint="eastAsia" w:ascii="Times New Roman" w:hAnsi="Times New Roman" w:eastAsia="宋体" w:cs="Times New Roman"/>
          <w:sz w:val="24"/>
        </w:rPr>
        <w:t>202</w:t>
      </w:r>
      <w:r>
        <w:rPr>
          <w:rFonts w:hint="eastAsia" w:ascii="Times New Roman" w:hAnsi="Times New Roman" w:eastAsia="宋体" w:cs="Times New Roman"/>
          <w:sz w:val="24"/>
          <w:lang w:val="en-US" w:eastAsia="zh-CN"/>
        </w:rPr>
        <w:t>5</w:t>
      </w:r>
      <w:r>
        <w:rPr>
          <w:rFonts w:hint="eastAsia" w:ascii="Times New Roman" w:hAnsi="Times New Roman" w:eastAsia="宋体" w:cs="Times New Roman"/>
          <w:sz w:val="24"/>
        </w:rPr>
        <w:t>年12月31日，公司对募集资金项目累计投入人民币1,136,856,824.39元，本期投入</w:t>
      </w:r>
      <w:r>
        <w:rPr>
          <w:rFonts w:hint="eastAsia" w:ascii="Times New Roman" w:hAnsi="Times New Roman" w:eastAsia="宋体" w:cs="Times New Roman"/>
          <w:sz w:val="24"/>
          <w:lang w:val="en-US" w:eastAsia="zh-CN"/>
        </w:rPr>
        <w:t>0.00</w:t>
      </w:r>
      <w:r>
        <w:rPr>
          <w:rFonts w:hint="eastAsia" w:ascii="Times New Roman" w:hAnsi="Times New Roman" w:eastAsia="宋体" w:cs="Times New Roman"/>
          <w:sz w:val="24"/>
        </w:rPr>
        <w:t>元。截止2025年</w:t>
      </w:r>
      <w:r>
        <w:rPr>
          <w:rFonts w:hint="eastAsia" w:ascii="Times New Roman" w:hAnsi="Times New Roman" w:eastAsia="宋体" w:cs="Times New Roman"/>
          <w:sz w:val="24"/>
          <w:lang w:val="en-US" w:eastAsia="zh-CN"/>
        </w:rPr>
        <w:t>12</w:t>
      </w:r>
      <w:r>
        <w:rPr>
          <w:rFonts w:hint="eastAsia" w:ascii="Times New Roman" w:hAnsi="Times New Roman" w:eastAsia="宋体" w:cs="Times New Roman"/>
          <w:sz w:val="24"/>
        </w:rPr>
        <w:t>月3</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rPr>
        <w:t>日，募集资金余额为人民币0.00元，公司尚未使用募集资金1,947.67元在期后扣除销户手续费后已转至公司基本户，募集资金专户已全部注销。</w:t>
      </w:r>
    </w:p>
    <w:p w14:paraId="4302B8D7">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二、募集资金存放和管理情况</w:t>
      </w:r>
    </w:p>
    <w:p w14:paraId="24F757CD">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1、募集资金管理情况</w:t>
      </w:r>
    </w:p>
    <w:p w14:paraId="5FE0A778">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为了规范募集资金的管理和使用，保护投资者权益，公司依照《中华人民共和国公司法》《中华人民共和国证券法》《深圳证券交易所股票上市规则》《深圳证券交易所上市公司自律监管指引第1号——主板上市公司规范运作》等法律法规，结合公司实际情况，制定了《华孚时尚股份有限公司募集资金管理制度》（以下简称“《管理制度》”），该《管理制度》经公司2020年第二次临时股东大会决议审议通过。</w:t>
      </w:r>
    </w:p>
    <w:p w14:paraId="69F1FCCA">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根据《管理制度》的要求，并结合公司经营需要，公司在中国建设银行股份有限公司深圳罗湖支行、浙商银行股份有限公司绍兴上虞支行开设募集资金专项账户，其中中国建设银行股份有限公司深圳罗湖支行、浙商银行股份有限公司绍兴上虞支行两个账户均是用于华孚（越南）50万锭新型纱线项项目（一期），因该项目建设地在越南，投入该项目的募集资金在汇入公司越南账户前存在中国境内的中国建设银行股份有限公司深圳罗湖支行，并于2021年9月15日与保荐机构、存放募集资金的商业银行签署了募集资金三方监管协议，明确了各方权利和义务。2022年1月7日因变更募投项目公司与保荐机构、存放募集资金的商业银行签署了募集资金三方监管协议补充协议。公司严格按照内部制定的《管理制度》对募集资金的使用实行严格的审批手续，以保证专款专用；授权保荐代表人可以随时到开设募集资金专户的银行查询募集资金专户资料，并要求保荐代表人每</w:t>
      </w:r>
      <w:r>
        <w:rPr>
          <w:rFonts w:hint="eastAsia" w:ascii="Times New Roman" w:hAnsi="Times New Roman"/>
          <w:sz w:val="24"/>
          <w:lang w:val="en-US" w:eastAsia="zh-CN"/>
        </w:rPr>
        <w:t>季</w:t>
      </w:r>
      <w:r>
        <w:rPr>
          <w:rFonts w:ascii="Times New Roman" w:hAnsi="Times New Roman"/>
          <w:sz w:val="24"/>
        </w:rPr>
        <w:t>度对募集资金管理和使用情况至少进行现场检查一次。</w:t>
      </w:r>
    </w:p>
    <w:p w14:paraId="3FA4BC88">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2、募集资金专户存储情况</w:t>
      </w:r>
    </w:p>
    <w:p w14:paraId="3661B09A">
      <w:pPr>
        <w:spacing w:before="156" w:beforeLines="50" w:after="156" w:afterLines="50" w:line="360" w:lineRule="auto"/>
        <w:ind w:firstLine="480" w:firstLineChars="200"/>
        <w:rPr>
          <w:rFonts w:ascii="Times New Roman" w:hAnsi="Times New Roman"/>
          <w:szCs w:val="21"/>
        </w:rPr>
      </w:pPr>
      <w:r>
        <w:rPr>
          <w:rFonts w:ascii="Times New Roman" w:hAnsi="Times New Roman"/>
          <w:sz w:val="24"/>
        </w:rPr>
        <w:t>截至202</w:t>
      </w:r>
      <w:r>
        <w:rPr>
          <w:rFonts w:hint="eastAsia" w:ascii="Times New Roman" w:hAnsi="Times New Roman"/>
          <w:sz w:val="24"/>
          <w:lang w:val="en-US" w:eastAsia="zh-CN"/>
        </w:rPr>
        <w:t>5</w:t>
      </w:r>
      <w:r>
        <w:rPr>
          <w:rFonts w:ascii="Times New Roman" w:hAnsi="Times New Roman"/>
          <w:sz w:val="24"/>
        </w:rPr>
        <w:t>年12月31日止，募集资金的存储情况列示如下：</w:t>
      </w:r>
    </w:p>
    <w:p w14:paraId="458C0C47">
      <w:pPr>
        <w:snapToGrid w:val="0"/>
        <w:ind w:firstLine="6195" w:firstLineChars="2950"/>
        <w:jc w:val="right"/>
        <w:rPr>
          <w:rFonts w:ascii="Times New Roman" w:hAnsi="Times New Roman"/>
          <w:szCs w:val="21"/>
        </w:rPr>
      </w:pPr>
      <w:r>
        <w:rPr>
          <w:rFonts w:ascii="Times New Roman" w:hAnsi="Times New Roman"/>
          <w:szCs w:val="21"/>
        </w:rPr>
        <w:t>单位：元</w:t>
      </w:r>
    </w:p>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2835"/>
        <w:gridCol w:w="1700"/>
        <w:gridCol w:w="1509"/>
        <w:gridCol w:w="814"/>
      </w:tblGrid>
      <w:tr w14:paraId="362FA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97" w:hRule="atLeast"/>
          <w:tblHeader/>
        </w:trPr>
        <w:tc>
          <w:tcPr>
            <w:tcW w:w="979" w:type="pct"/>
            <w:shd w:val="clear" w:color="auto" w:fill="D9D9D9"/>
            <w:noWrap w:val="0"/>
            <w:vAlign w:val="center"/>
          </w:tcPr>
          <w:p w14:paraId="06B7E90A">
            <w:pPr>
              <w:jc w:val="center"/>
              <w:rPr>
                <w:rFonts w:ascii="Times New Roman" w:hAnsi="Times New Roman"/>
                <w:b/>
                <w:bCs/>
                <w:kern w:val="0"/>
                <w:szCs w:val="21"/>
              </w:rPr>
            </w:pPr>
            <w:r>
              <w:rPr>
                <w:rFonts w:ascii="Times New Roman" w:hAnsi="Times New Roman"/>
                <w:b/>
                <w:bCs/>
                <w:kern w:val="0"/>
                <w:szCs w:val="21"/>
              </w:rPr>
              <w:t>银行名称</w:t>
            </w:r>
          </w:p>
        </w:tc>
        <w:tc>
          <w:tcPr>
            <w:tcW w:w="1662" w:type="pct"/>
            <w:shd w:val="clear" w:color="auto" w:fill="D9D9D9"/>
            <w:noWrap w:val="0"/>
            <w:vAlign w:val="center"/>
          </w:tcPr>
          <w:p w14:paraId="0E30FC2E">
            <w:pPr>
              <w:jc w:val="center"/>
              <w:rPr>
                <w:rFonts w:ascii="Times New Roman" w:hAnsi="Times New Roman"/>
                <w:b/>
                <w:bCs/>
                <w:kern w:val="0"/>
                <w:szCs w:val="21"/>
              </w:rPr>
            </w:pPr>
            <w:r>
              <w:rPr>
                <w:rFonts w:ascii="Times New Roman" w:hAnsi="Times New Roman"/>
                <w:b/>
                <w:bCs/>
                <w:kern w:val="0"/>
                <w:szCs w:val="21"/>
              </w:rPr>
              <w:t>账号</w:t>
            </w:r>
          </w:p>
        </w:tc>
        <w:tc>
          <w:tcPr>
            <w:tcW w:w="997" w:type="pct"/>
            <w:shd w:val="clear" w:color="auto" w:fill="D9D9D9"/>
            <w:noWrap w:val="0"/>
            <w:vAlign w:val="center"/>
          </w:tcPr>
          <w:p w14:paraId="09FC8B05">
            <w:pPr>
              <w:jc w:val="center"/>
              <w:rPr>
                <w:rFonts w:ascii="Times New Roman" w:hAnsi="Times New Roman"/>
                <w:b/>
                <w:bCs/>
                <w:kern w:val="0"/>
                <w:szCs w:val="21"/>
              </w:rPr>
            </w:pPr>
            <w:r>
              <w:rPr>
                <w:rFonts w:ascii="Times New Roman" w:hAnsi="Times New Roman"/>
                <w:b/>
                <w:bCs/>
                <w:kern w:val="0"/>
                <w:szCs w:val="21"/>
              </w:rPr>
              <w:t>初始存放金额</w:t>
            </w:r>
          </w:p>
        </w:tc>
        <w:tc>
          <w:tcPr>
            <w:tcW w:w="885" w:type="pct"/>
            <w:shd w:val="clear" w:color="auto" w:fill="D9D9D9"/>
            <w:noWrap w:val="0"/>
            <w:vAlign w:val="center"/>
          </w:tcPr>
          <w:p w14:paraId="42A02D66">
            <w:pPr>
              <w:jc w:val="center"/>
              <w:rPr>
                <w:rFonts w:ascii="Times New Roman" w:hAnsi="Times New Roman"/>
                <w:b/>
                <w:bCs/>
                <w:kern w:val="0"/>
                <w:szCs w:val="21"/>
              </w:rPr>
            </w:pPr>
            <w:r>
              <w:rPr>
                <w:rFonts w:ascii="Times New Roman" w:hAnsi="Times New Roman"/>
                <w:b/>
                <w:bCs/>
                <w:kern w:val="0"/>
                <w:szCs w:val="21"/>
              </w:rPr>
              <w:t>截止日余额</w:t>
            </w:r>
          </w:p>
        </w:tc>
        <w:tc>
          <w:tcPr>
            <w:tcW w:w="477" w:type="pct"/>
            <w:shd w:val="clear" w:color="auto" w:fill="D9D9D9"/>
            <w:noWrap w:val="0"/>
            <w:vAlign w:val="center"/>
          </w:tcPr>
          <w:p w14:paraId="0B5F005C">
            <w:pPr>
              <w:jc w:val="center"/>
              <w:rPr>
                <w:rFonts w:ascii="Times New Roman" w:hAnsi="Times New Roman"/>
                <w:b/>
                <w:bCs/>
                <w:kern w:val="0"/>
                <w:szCs w:val="21"/>
              </w:rPr>
            </w:pPr>
            <w:r>
              <w:rPr>
                <w:rFonts w:ascii="Times New Roman" w:hAnsi="Times New Roman"/>
                <w:b/>
                <w:bCs/>
                <w:kern w:val="0"/>
                <w:szCs w:val="21"/>
              </w:rPr>
              <w:t>存储方式</w:t>
            </w:r>
          </w:p>
        </w:tc>
      </w:tr>
      <w:tr w14:paraId="51D24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79" w:type="pct"/>
            <w:noWrap w:val="0"/>
            <w:vAlign w:val="center"/>
          </w:tcPr>
          <w:p w14:paraId="69319042">
            <w:pPr>
              <w:rPr>
                <w:rFonts w:ascii="Times New Roman" w:hAnsi="Times New Roman"/>
                <w:kern w:val="0"/>
                <w:szCs w:val="21"/>
              </w:rPr>
            </w:pPr>
            <w:r>
              <w:rPr>
                <w:rFonts w:ascii="Times New Roman" w:hAnsi="Times New Roman"/>
                <w:kern w:val="0"/>
                <w:szCs w:val="21"/>
              </w:rPr>
              <w:t>浙商银行股份有限公司绍兴上虞支行</w:t>
            </w:r>
          </w:p>
        </w:tc>
        <w:tc>
          <w:tcPr>
            <w:tcW w:w="1662" w:type="pct"/>
            <w:noWrap w:val="0"/>
            <w:vAlign w:val="center"/>
          </w:tcPr>
          <w:p w14:paraId="3034C7D7">
            <w:pPr>
              <w:jc w:val="center"/>
              <w:rPr>
                <w:rFonts w:ascii="Times New Roman" w:hAnsi="Times New Roman"/>
                <w:kern w:val="0"/>
                <w:szCs w:val="21"/>
              </w:rPr>
            </w:pPr>
            <w:r>
              <w:rPr>
                <w:rFonts w:ascii="Times New Roman" w:hAnsi="Times New Roman"/>
                <w:kern w:val="0"/>
                <w:szCs w:val="21"/>
              </w:rPr>
              <w:t>3371020210120100198791</w:t>
            </w:r>
          </w:p>
        </w:tc>
        <w:tc>
          <w:tcPr>
            <w:tcW w:w="997" w:type="pct"/>
            <w:noWrap w:val="0"/>
            <w:vAlign w:val="center"/>
          </w:tcPr>
          <w:p w14:paraId="436CFC59">
            <w:pPr>
              <w:jc w:val="right"/>
              <w:rPr>
                <w:rFonts w:ascii="Times New Roman" w:hAnsi="Times New Roman"/>
                <w:kern w:val="0"/>
                <w:szCs w:val="21"/>
              </w:rPr>
            </w:pPr>
            <w:r>
              <w:rPr>
                <w:rFonts w:ascii="Times New Roman" w:hAnsi="Times New Roman"/>
                <w:kern w:val="0"/>
                <w:szCs w:val="21"/>
              </w:rPr>
              <w:t>565,169,976.80</w:t>
            </w:r>
          </w:p>
        </w:tc>
        <w:tc>
          <w:tcPr>
            <w:tcW w:w="885" w:type="pct"/>
            <w:noWrap w:val="0"/>
            <w:vAlign w:val="center"/>
          </w:tcPr>
          <w:p w14:paraId="4CDC7C54">
            <w:pPr>
              <w:jc w:val="right"/>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0.00</w:t>
            </w:r>
          </w:p>
        </w:tc>
        <w:tc>
          <w:tcPr>
            <w:tcW w:w="477" w:type="pct"/>
            <w:noWrap w:val="0"/>
            <w:vAlign w:val="center"/>
          </w:tcPr>
          <w:p w14:paraId="1277FC64">
            <w:pPr>
              <w:jc w:val="center"/>
              <w:rPr>
                <w:rFonts w:ascii="Times New Roman" w:hAnsi="Times New Roman"/>
                <w:kern w:val="0"/>
                <w:szCs w:val="21"/>
              </w:rPr>
            </w:pPr>
            <w:r>
              <w:rPr>
                <w:rFonts w:ascii="Times New Roman" w:hAnsi="Times New Roman"/>
                <w:kern w:val="0"/>
                <w:szCs w:val="21"/>
              </w:rPr>
              <w:t>活期</w:t>
            </w:r>
          </w:p>
        </w:tc>
      </w:tr>
      <w:tr w14:paraId="69A37A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79" w:type="pct"/>
            <w:noWrap w:val="0"/>
            <w:vAlign w:val="center"/>
          </w:tcPr>
          <w:p w14:paraId="15D300D6">
            <w:pPr>
              <w:rPr>
                <w:rFonts w:ascii="Times New Roman" w:hAnsi="Times New Roman"/>
                <w:kern w:val="0"/>
                <w:szCs w:val="21"/>
              </w:rPr>
            </w:pPr>
            <w:r>
              <w:rPr>
                <w:rFonts w:ascii="Times New Roman" w:hAnsi="Times New Roman"/>
                <w:kern w:val="0"/>
                <w:szCs w:val="21"/>
              </w:rPr>
              <w:t>中国建设银行股份有限公司深圳罗湖支行</w:t>
            </w:r>
          </w:p>
        </w:tc>
        <w:tc>
          <w:tcPr>
            <w:tcW w:w="1662" w:type="pct"/>
            <w:noWrap w:val="0"/>
            <w:vAlign w:val="center"/>
          </w:tcPr>
          <w:p w14:paraId="1F1B1943">
            <w:pPr>
              <w:jc w:val="center"/>
              <w:rPr>
                <w:rFonts w:ascii="Times New Roman" w:hAnsi="Times New Roman"/>
                <w:kern w:val="0"/>
                <w:szCs w:val="21"/>
              </w:rPr>
            </w:pPr>
            <w:r>
              <w:rPr>
                <w:rFonts w:ascii="Times New Roman" w:hAnsi="Times New Roman"/>
                <w:kern w:val="0"/>
                <w:szCs w:val="21"/>
              </w:rPr>
              <w:t>44250100002809999888</w:t>
            </w:r>
          </w:p>
        </w:tc>
        <w:tc>
          <w:tcPr>
            <w:tcW w:w="997" w:type="pct"/>
            <w:noWrap w:val="0"/>
            <w:vAlign w:val="center"/>
          </w:tcPr>
          <w:p w14:paraId="2C78B5C5">
            <w:pPr>
              <w:jc w:val="right"/>
              <w:rPr>
                <w:rFonts w:ascii="Times New Roman" w:hAnsi="Times New Roman"/>
                <w:kern w:val="0"/>
                <w:szCs w:val="21"/>
              </w:rPr>
            </w:pPr>
            <w:r>
              <w:rPr>
                <w:rFonts w:ascii="Times New Roman" w:hAnsi="Times New Roman"/>
                <w:kern w:val="0"/>
                <w:szCs w:val="21"/>
              </w:rPr>
              <w:t>565,169,976.80</w:t>
            </w:r>
          </w:p>
        </w:tc>
        <w:tc>
          <w:tcPr>
            <w:tcW w:w="885" w:type="pct"/>
            <w:noWrap w:val="0"/>
            <w:vAlign w:val="center"/>
          </w:tcPr>
          <w:p w14:paraId="5B804780">
            <w:pPr>
              <w:jc w:val="right"/>
              <w:rPr>
                <w:rFonts w:hint="default" w:ascii="Times New Roman" w:hAnsi="Times New Roman" w:eastAsia="宋体"/>
                <w:kern w:val="0"/>
                <w:szCs w:val="21"/>
                <w:lang w:val="en-US" w:eastAsia="zh-CN"/>
              </w:rPr>
            </w:pPr>
            <w:r>
              <w:rPr>
                <w:rFonts w:hint="eastAsia" w:ascii="Times New Roman" w:hAnsi="Times New Roman"/>
                <w:kern w:val="0"/>
                <w:szCs w:val="21"/>
                <w:lang w:val="en-US" w:eastAsia="zh-CN"/>
              </w:rPr>
              <w:t>0.00</w:t>
            </w:r>
          </w:p>
        </w:tc>
        <w:tc>
          <w:tcPr>
            <w:tcW w:w="477" w:type="pct"/>
            <w:noWrap w:val="0"/>
            <w:vAlign w:val="center"/>
          </w:tcPr>
          <w:p w14:paraId="39E0FD6C">
            <w:pPr>
              <w:jc w:val="center"/>
              <w:rPr>
                <w:rFonts w:ascii="Times New Roman" w:hAnsi="Times New Roman"/>
                <w:kern w:val="0"/>
                <w:szCs w:val="21"/>
              </w:rPr>
            </w:pPr>
            <w:r>
              <w:rPr>
                <w:rFonts w:ascii="Times New Roman" w:hAnsi="Times New Roman"/>
                <w:kern w:val="0"/>
                <w:szCs w:val="21"/>
              </w:rPr>
              <w:t>活期</w:t>
            </w:r>
          </w:p>
        </w:tc>
      </w:tr>
      <w:tr w14:paraId="35FE2E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79" w:type="pct"/>
            <w:noWrap w:val="0"/>
            <w:vAlign w:val="center"/>
          </w:tcPr>
          <w:p w14:paraId="1E5A82C9">
            <w:pPr>
              <w:jc w:val="center"/>
              <w:rPr>
                <w:rFonts w:ascii="Times New Roman" w:hAnsi="Times New Roman"/>
                <w:b/>
                <w:bCs/>
                <w:kern w:val="0"/>
                <w:szCs w:val="21"/>
              </w:rPr>
            </w:pPr>
            <w:r>
              <w:rPr>
                <w:rFonts w:ascii="Times New Roman" w:hAnsi="Times New Roman"/>
                <w:b/>
                <w:bCs/>
                <w:kern w:val="0"/>
                <w:szCs w:val="21"/>
              </w:rPr>
              <w:t>合计</w:t>
            </w:r>
          </w:p>
        </w:tc>
        <w:tc>
          <w:tcPr>
            <w:tcW w:w="1662" w:type="pct"/>
            <w:noWrap w:val="0"/>
            <w:vAlign w:val="center"/>
          </w:tcPr>
          <w:p w14:paraId="2E629471">
            <w:pPr>
              <w:jc w:val="center"/>
              <w:rPr>
                <w:rFonts w:ascii="Times New Roman" w:hAnsi="Times New Roman"/>
                <w:b/>
                <w:bCs/>
                <w:kern w:val="0"/>
                <w:szCs w:val="21"/>
              </w:rPr>
            </w:pPr>
            <w:r>
              <w:rPr>
                <w:rFonts w:ascii="Times New Roman" w:hAnsi="Times New Roman"/>
                <w:b/>
                <w:bCs/>
                <w:kern w:val="0"/>
                <w:szCs w:val="21"/>
              </w:rPr>
              <w:t>-</w:t>
            </w:r>
          </w:p>
        </w:tc>
        <w:tc>
          <w:tcPr>
            <w:tcW w:w="997" w:type="pct"/>
            <w:noWrap w:val="0"/>
            <w:vAlign w:val="center"/>
          </w:tcPr>
          <w:p w14:paraId="7E396320">
            <w:pPr>
              <w:jc w:val="right"/>
              <w:rPr>
                <w:rFonts w:ascii="Times New Roman" w:hAnsi="Times New Roman"/>
                <w:b/>
                <w:bCs/>
                <w:kern w:val="0"/>
                <w:szCs w:val="21"/>
              </w:rPr>
            </w:pPr>
            <w:r>
              <w:rPr>
                <w:rFonts w:ascii="Times New Roman" w:hAnsi="Times New Roman"/>
                <w:b/>
                <w:bCs/>
                <w:kern w:val="0"/>
                <w:szCs w:val="21"/>
              </w:rPr>
              <w:t>1,130,339,953.60</w:t>
            </w:r>
          </w:p>
        </w:tc>
        <w:tc>
          <w:tcPr>
            <w:tcW w:w="885" w:type="pct"/>
            <w:noWrap w:val="0"/>
            <w:vAlign w:val="center"/>
          </w:tcPr>
          <w:p w14:paraId="58C57DBC">
            <w:pPr>
              <w:jc w:val="right"/>
              <w:rPr>
                <w:rFonts w:hint="default" w:ascii="Times New Roman" w:hAnsi="Times New Roman" w:eastAsia="宋体"/>
                <w:b/>
                <w:bCs/>
                <w:kern w:val="0"/>
                <w:szCs w:val="21"/>
                <w:lang w:val="en-US" w:eastAsia="zh-CN"/>
              </w:rPr>
            </w:pPr>
            <w:r>
              <w:rPr>
                <w:rFonts w:hint="eastAsia" w:ascii="Times New Roman" w:hAnsi="Times New Roman"/>
                <w:b/>
                <w:bCs/>
                <w:kern w:val="0"/>
                <w:szCs w:val="21"/>
                <w:lang w:val="en-US" w:eastAsia="zh-CN"/>
              </w:rPr>
              <w:t>0.00</w:t>
            </w:r>
          </w:p>
        </w:tc>
        <w:tc>
          <w:tcPr>
            <w:tcW w:w="477" w:type="pct"/>
            <w:noWrap w:val="0"/>
            <w:vAlign w:val="center"/>
          </w:tcPr>
          <w:p w14:paraId="62CC5DC9">
            <w:pPr>
              <w:jc w:val="center"/>
              <w:rPr>
                <w:rFonts w:ascii="Times New Roman" w:hAnsi="Times New Roman"/>
                <w:b/>
                <w:kern w:val="0"/>
                <w:szCs w:val="21"/>
              </w:rPr>
            </w:pPr>
            <w:r>
              <w:rPr>
                <w:rFonts w:ascii="Times New Roman" w:hAnsi="Times New Roman"/>
                <w:b/>
                <w:kern w:val="0"/>
                <w:szCs w:val="21"/>
              </w:rPr>
              <w:t>-</w:t>
            </w:r>
          </w:p>
        </w:tc>
      </w:tr>
    </w:tbl>
    <w:p w14:paraId="3667BF70">
      <w:pPr>
        <w:spacing w:before="156" w:beforeLines="50" w:after="156" w:afterLines="50"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截至2025年12月31日止，上述用于存放募集资金的浙商银行股份有限公司绍兴上虞支行、中国建设银行股份有限公司深圳罗湖支行专户在扣除手续费后已销户。至此，公司2021年非公开发行股票募集资金已全部使用完毕，募集资金专户已全部注销。</w:t>
      </w:r>
    </w:p>
    <w:p w14:paraId="011330E0">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三、本年度募集资金的实际使用情况</w:t>
      </w:r>
    </w:p>
    <w:p w14:paraId="60CB851E">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1、募集情况使用情况</w:t>
      </w:r>
    </w:p>
    <w:p w14:paraId="2CB95C6F">
      <w:pPr>
        <w:spacing w:before="156" w:beforeLines="50" w:after="156" w:afterLines="50" w:line="360" w:lineRule="auto"/>
        <w:ind w:firstLine="480" w:firstLineChars="200"/>
        <w:rPr>
          <w:rFonts w:ascii="Times New Roman" w:hAnsi="Times New Roman"/>
          <w:sz w:val="24"/>
        </w:rPr>
      </w:pPr>
      <w:r>
        <w:rPr>
          <w:rFonts w:ascii="Times New Roman" w:hAnsi="Times New Roman" w:eastAsia="宋体" w:cs="Times New Roman"/>
          <w:sz w:val="24"/>
        </w:rPr>
        <w:t>详见附表《募集资金使用情况对照表》。</w:t>
      </w:r>
    </w:p>
    <w:p w14:paraId="574D0A06">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2、募集资金投资项目的实施地点、实施方式变更情况</w:t>
      </w:r>
    </w:p>
    <w:p w14:paraId="142461BF">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年度，公司不存在募集资金投资项目实施地点、实施方式变更的情况。</w:t>
      </w:r>
    </w:p>
    <w:p w14:paraId="74CA48BD">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3、募集资金投资项目先期投入及置换情况</w:t>
      </w:r>
    </w:p>
    <w:p w14:paraId="154BF721">
      <w:pPr>
        <w:spacing w:before="156" w:beforeLines="50" w:after="156" w:afterLines="50" w:line="360" w:lineRule="auto"/>
        <w:ind w:firstLine="480" w:firstLineChars="200"/>
        <w:rPr>
          <w:rFonts w:ascii="Times New Roman" w:hAnsi="Times New Roman"/>
          <w:bCs/>
          <w:sz w:val="24"/>
        </w:rPr>
      </w:pPr>
      <w:r>
        <w:rPr>
          <w:rFonts w:ascii="Times New Roman" w:hAnsi="Times New Roman"/>
          <w:bCs/>
          <w:sz w:val="24"/>
        </w:rPr>
        <w:t>202</w:t>
      </w:r>
      <w:r>
        <w:rPr>
          <w:rFonts w:hint="eastAsia" w:ascii="Times New Roman" w:hAnsi="Times New Roman"/>
          <w:bCs/>
          <w:sz w:val="24"/>
          <w:lang w:val="en-US" w:eastAsia="zh-CN"/>
        </w:rPr>
        <w:t>5</w:t>
      </w:r>
      <w:r>
        <w:rPr>
          <w:rFonts w:ascii="Times New Roman" w:hAnsi="Times New Roman"/>
          <w:bCs/>
          <w:sz w:val="24"/>
        </w:rPr>
        <w:t>年度，公司不存在募集资金投资项目先期投入及置换情况。</w:t>
      </w:r>
    </w:p>
    <w:p w14:paraId="2827E7EC">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4、用闲置募集资金暂时补充流动资金情况</w:t>
      </w:r>
    </w:p>
    <w:p w14:paraId="7187C0D9">
      <w:pPr>
        <w:spacing w:before="156" w:beforeLines="50" w:after="156" w:afterLines="50" w:line="360" w:lineRule="auto"/>
        <w:ind w:firstLine="480" w:firstLineChars="200"/>
        <w:rPr>
          <w:rFonts w:hint="default" w:ascii="Times New Roman" w:hAnsi="Times New Roman" w:eastAsia="宋体"/>
          <w:bCs/>
          <w:sz w:val="24"/>
          <w:lang w:val="en-US" w:eastAsia="zh-CN"/>
        </w:rPr>
      </w:pPr>
      <w:r>
        <w:rPr>
          <w:rFonts w:hint="eastAsia" w:ascii="Times New Roman" w:hAnsi="Times New Roman"/>
          <w:bCs/>
          <w:sz w:val="24"/>
          <w:lang w:val="en-US" w:eastAsia="zh-CN"/>
        </w:rPr>
        <w:t>2025年度，公司不存在用闲置募集资金暂时补充流动资金情况。</w:t>
      </w:r>
    </w:p>
    <w:p w14:paraId="18AD34CE">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5、节余募集资金使用情况</w:t>
      </w:r>
    </w:p>
    <w:p w14:paraId="650B5D2C">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年度，公司不存在节余募集资金使用的情况。</w:t>
      </w:r>
    </w:p>
    <w:p w14:paraId="4646D763">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6、超募资金使用情况</w:t>
      </w:r>
    </w:p>
    <w:p w14:paraId="42B62BE1">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年度，公司不存在超募资金使用的情况。</w:t>
      </w:r>
    </w:p>
    <w:p w14:paraId="46CAA7D5">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7、尚未使用的募集资金用途及去向</w:t>
      </w:r>
    </w:p>
    <w:p w14:paraId="2351941D">
      <w:pPr>
        <w:spacing w:before="156" w:beforeLines="50" w:after="156" w:afterLines="50" w:line="360" w:lineRule="auto"/>
        <w:ind w:firstLine="480" w:firstLineChars="200"/>
        <w:rPr>
          <w:rFonts w:hint="eastAsia" w:ascii="宋体" w:hAnsi="宋体" w:eastAsia="宋体" w:cs="宋体"/>
          <w:sz w:val="24"/>
        </w:rPr>
      </w:pPr>
      <w:r>
        <w:rPr>
          <w:rFonts w:hint="eastAsia" w:ascii="宋体" w:hAnsi="宋体" w:eastAsia="宋体" w:cs="宋体"/>
          <w:sz w:val="24"/>
        </w:rPr>
        <w:t>截</w:t>
      </w:r>
      <w:r>
        <w:rPr>
          <w:rFonts w:hint="eastAsia" w:ascii="宋体" w:hAnsi="宋体" w:eastAsia="宋体" w:cs="宋体"/>
          <w:sz w:val="24"/>
          <w:lang w:val="en-US" w:eastAsia="zh-CN"/>
        </w:rPr>
        <w:t>至</w:t>
      </w:r>
      <w:r>
        <w:rPr>
          <w:rFonts w:hint="eastAsia" w:ascii="宋体" w:hAnsi="宋体" w:eastAsia="宋体" w:cs="宋体"/>
          <w:sz w:val="24"/>
        </w:rPr>
        <w:t>2025年</w:t>
      </w:r>
      <w:r>
        <w:rPr>
          <w:rFonts w:hint="eastAsia" w:ascii="宋体" w:hAnsi="宋体" w:eastAsia="宋体" w:cs="宋体"/>
          <w:sz w:val="24"/>
          <w:lang w:val="en-US" w:eastAsia="zh-CN"/>
        </w:rPr>
        <w:t>12</w:t>
      </w:r>
      <w:r>
        <w:rPr>
          <w:rFonts w:hint="eastAsia" w:ascii="宋体" w:hAnsi="宋体" w:eastAsia="宋体" w:cs="宋体"/>
          <w:sz w:val="24"/>
        </w:rPr>
        <w:t>月3</w:t>
      </w:r>
      <w:r>
        <w:rPr>
          <w:rFonts w:hint="eastAsia" w:ascii="宋体" w:hAnsi="宋体" w:eastAsia="宋体" w:cs="宋体"/>
          <w:sz w:val="24"/>
          <w:lang w:val="en-US" w:eastAsia="zh-CN"/>
        </w:rPr>
        <w:t>1</w:t>
      </w:r>
      <w:r>
        <w:rPr>
          <w:rFonts w:hint="eastAsia" w:ascii="宋体" w:hAnsi="宋体" w:eastAsia="宋体" w:cs="宋体"/>
          <w:sz w:val="24"/>
        </w:rPr>
        <w:t>日，募集资金余额为人民币0.00元，公司尚未使用募集资金1,947.67元在期后扣除销户手续费后已转至公司基本户，募集资金专户已全部注销。</w:t>
      </w:r>
    </w:p>
    <w:p w14:paraId="4234669F">
      <w:pPr>
        <w:spacing w:before="156" w:beforeLines="50" w:after="156" w:afterLines="50" w:line="360" w:lineRule="auto"/>
        <w:ind w:firstLine="480" w:firstLineChars="200"/>
        <w:rPr>
          <w:rFonts w:ascii="Times New Roman" w:hAnsi="Times New Roman"/>
          <w:b/>
          <w:sz w:val="24"/>
        </w:rPr>
      </w:pPr>
      <w:r>
        <w:rPr>
          <w:rFonts w:ascii="Times New Roman" w:hAnsi="Times New Roman"/>
          <w:b/>
          <w:sz w:val="24"/>
        </w:rPr>
        <w:t>8、募集资金使用的其他情况</w:t>
      </w:r>
    </w:p>
    <w:p w14:paraId="0E35FB64">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年度，公司不存在募集资金使用的其他情况。</w:t>
      </w:r>
    </w:p>
    <w:p w14:paraId="6AA9F7FB">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四、变更募集资金投资项目的资金使用情况</w:t>
      </w:r>
    </w:p>
    <w:p w14:paraId="47DEA713">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公司于2021年12月24日召开第八届董事会2021年第一次临时会议，2022年1月10日召开公司2022年第一次临时股东大会，审议通过《关于变更部分募集资金投资项目的议案》，同意将公司2021年非公开发行股票募集资金投资项目华孚（越南）50万锭新型纱线项目（一期）变更为30万锭智能纺纱产业园项目（项目实施地在安徽省淮北市）。变更募集资金投资项目的资金使用情况详见附表2《变更募集资金投资项目情况表》。</w:t>
      </w:r>
    </w:p>
    <w:p w14:paraId="175C1149">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五、募集资金使用及披露中存在的问题</w:t>
      </w:r>
    </w:p>
    <w:p w14:paraId="0C6D50F3">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202</w:t>
      </w:r>
      <w:r>
        <w:rPr>
          <w:rFonts w:hint="eastAsia" w:ascii="Times New Roman" w:hAnsi="Times New Roman"/>
          <w:sz w:val="24"/>
          <w:lang w:val="en-US" w:eastAsia="zh-CN"/>
        </w:rPr>
        <w:t>5</w:t>
      </w:r>
      <w:r>
        <w:rPr>
          <w:rFonts w:ascii="Times New Roman" w:hAnsi="Times New Roman"/>
          <w:sz w:val="24"/>
        </w:rPr>
        <w:t>年度，公司已按《深圳证券交易所上市公司自律监管指引第1号——主板上市公司规范运作》等相关法律法规的规定及时、真实、准确、完整披露募集资金的使用与存放情况，不存在募集资金管理违规的情况。公司对募集资金的投向和进展情况均如实履行了披露义务，公司募集资金使用及披露不存在重大问题。</w:t>
      </w:r>
    </w:p>
    <w:p w14:paraId="0771E8FE">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六、会计师事务所对公司年度募集资金存放与使用情况出具的鉴证报告的结论性意见</w:t>
      </w:r>
    </w:p>
    <w:p w14:paraId="4B02E9D0">
      <w:pPr>
        <w:spacing w:before="156" w:beforeLines="50" w:after="156" w:afterLines="50" w:line="360" w:lineRule="auto"/>
        <w:ind w:firstLine="480" w:firstLineChars="200"/>
        <w:rPr>
          <w:rFonts w:ascii="Times New Roman" w:hAnsi="Times New Roman"/>
          <w:sz w:val="24"/>
        </w:rPr>
      </w:pPr>
      <w:r>
        <w:rPr>
          <w:rFonts w:ascii="Times New Roman" w:hAnsi="Times New Roman"/>
          <w:sz w:val="24"/>
        </w:rPr>
        <w:t>政旦志远（深圳）会计师事务所（特殊普通合伙）认为，</w:t>
      </w:r>
      <w:r>
        <w:rPr>
          <w:rFonts w:hint="eastAsia" w:ascii="Times New Roman" w:hAnsi="Times New Roman" w:eastAsia="宋体" w:cs="Times New Roman"/>
          <w:sz w:val="24"/>
          <w:lang w:val="en-US" w:eastAsia="zh-CN"/>
        </w:rPr>
        <w:t>华孚时尚</w:t>
      </w:r>
      <w:r>
        <w:rPr>
          <w:rFonts w:ascii="Times New Roman" w:hAnsi="Times New Roman" w:eastAsia="宋体" w:cs="Times New Roman"/>
          <w:sz w:val="24"/>
        </w:rPr>
        <w:t>已披</w:t>
      </w:r>
      <w:r>
        <w:rPr>
          <w:rFonts w:hint="eastAsia" w:ascii="Times New Roman" w:hAnsi="Times New Roman" w:eastAsia="宋体" w:cs="Times New Roman"/>
          <w:sz w:val="24"/>
        </w:rPr>
        <w:t>露</w:t>
      </w:r>
      <w:r>
        <w:rPr>
          <w:rFonts w:ascii="Times New Roman" w:hAnsi="Times New Roman" w:eastAsia="宋体" w:cs="Times New Roman"/>
          <w:sz w:val="24"/>
        </w:rPr>
        <w:t>的</w:t>
      </w:r>
      <w:r>
        <w:rPr>
          <w:rFonts w:hint="eastAsia" w:ascii="Times New Roman" w:hAnsi="Times New Roman" w:eastAsia="宋体" w:cs="Times New Roman"/>
          <w:sz w:val="24"/>
        </w:rPr>
        <w:t>关</w:t>
      </w:r>
      <w:r>
        <w:rPr>
          <w:rFonts w:ascii="Times New Roman" w:hAnsi="Times New Roman" w:eastAsia="宋体" w:cs="Times New Roman"/>
          <w:sz w:val="24"/>
        </w:rPr>
        <w:t>于募集资金使用</w:t>
      </w:r>
      <w:r>
        <w:rPr>
          <w:rFonts w:hint="eastAsia" w:ascii="Times New Roman" w:hAnsi="Times New Roman" w:eastAsia="宋体" w:cs="Times New Roman"/>
          <w:sz w:val="24"/>
        </w:rPr>
        <w:t>相</w:t>
      </w:r>
      <w:r>
        <w:rPr>
          <w:rFonts w:ascii="Times New Roman" w:hAnsi="Times New Roman" w:eastAsia="宋体" w:cs="Times New Roman"/>
          <w:sz w:val="24"/>
        </w:rPr>
        <w:t>关信息及时、真实、准确、完整</w:t>
      </w:r>
      <w:r>
        <w:rPr>
          <w:rFonts w:hint="eastAsia" w:ascii="Times New Roman" w:hAnsi="Times New Roman" w:eastAsia="宋体" w:cs="Times New Roman"/>
          <w:sz w:val="24"/>
        </w:rPr>
        <w:t>，</w:t>
      </w:r>
      <w:r>
        <w:rPr>
          <w:rFonts w:ascii="Times New Roman" w:hAnsi="Times New Roman" w:eastAsia="宋体" w:cs="Times New Roman"/>
          <w:sz w:val="24"/>
        </w:rPr>
        <w:t>募集资金</w:t>
      </w:r>
      <w:r>
        <w:rPr>
          <w:rFonts w:hint="eastAsia" w:ascii="Times New Roman" w:hAnsi="Times New Roman" w:eastAsia="宋体" w:cs="Times New Roman"/>
          <w:sz w:val="24"/>
        </w:rPr>
        <w:t>的使用</w:t>
      </w:r>
      <w:r>
        <w:rPr>
          <w:rFonts w:ascii="Times New Roman" w:hAnsi="Times New Roman" w:eastAsia="宋体" w:cs="Times New Roman"/>
          <w:sz w:val="24"/>
        </w:rPr>
        <w:t>和管理</w:t>
      </w:r>
      <w:r>
        <w:rPr>
          <w:rFonts w:hint="eastAsia" w:ascii="Times New Roman" w:hAnsi="Times New Roman" w:eastAsia="宋体" w:cs="Times New Roman"/>
          <w:sz w:val="24"/>
        </w:rPr>
        <w:t>不</w:t>
      </w:r>
      <w:r>
        <w:rPr>
          <w:rFonts w:ascii="Times New Roman" w:hAnsi="Times New Roman" w:eastAsia="宋体" w:cs="Times New Roman"/>
          <w:sz w:val="24"/>
        </w:rPr>
        <w:t>存在违规情况。</w:t>
      </w:r>
    </w:p>
    <w:p w14:paraId="6798C6E6">
      <w:pPr>
        <w:spacing w:before="156" w:beforeLines="50" w:after="156" w:afterLines="50" w:line="360" w:lineRule="auto"/>
        <w:ind w:firstLine="480" w:firstLineChars="200"/>
        <w:outlineLvl w:val="0"/>
        <w:rPr>
          <w:rFonts w:hint="eastAsia" w:ascii="Times New Roman" w:hAnsi="Times New Roman"/>
          <w:b/>
          <w:sz w:val="24"/>
        </w:rPr>
      </w:pPr>
      <w:r>
        <w:rPr>
          <w:rFonts w:hint="eastAsia" w:ascii="Times New Roman" w:hAnsi="Times New Roman"/>
          <w:b/>
          <w:sz w:val="24"/>
          <w:lang w:val="en-US" w:eastAsia="zh-CN"/>
        </w:rPr>
        <w:t>七</w:t>
      </w:r>
      <w:bookmarkStart w:id="0" w:name="_GoBack"/>
      <w:bookmarkEnd w:id="0"/>
      <w:r>
        <w:rPr>
          <w:rFonts w:hint="eastAsia" w:ascii="Times New Roman" w:hAnsi="Times New Roman"/>
          <w:b/>
          <w:sz w:val="24"/>
        </w:rPr>
        <w:t>、备查文件</w:t>
      </w:r>
    </w:p>
    <w:p w14:paraId="45F1CA5E">
      <w:pPr>
        <w:spacing w:before="156" w:beforeLines="50" w:after="156" w:afterLines="50" w:line="360" w:lineRule="auto"/>
        <w:ind w:firstLine="480" w:firstLineChars="200"/>
        <w:rPr>
          <w:rFonts w:hint="eastAsia" w:ascii="Times New Roman" w:hAnsi="Times New Roman"/>
          <w:sz w:val="24"/>
        </w:rPr>
      </w:pPr>
      <w:r>
        <w:rPr>
          <w:rFonts w:hint="eastAsia" w:ascii="Times New Roman" w:hAnsi="Times New Roman"/>
          <w:sz w:val="24"/>
        </w:rPr>
        <w:t>1、第九届董事会第</w:t>
      </w:r>
      <w:r>
        <w:rPr>
          <w:rFonts w:hint="eastAsia" w:ascii="Times New Roman" w:hAnsi="Times New Roman"/>
          <w:sz w:val="24"/>
          <w:lang w:val="en-US" w:eastAsia="zh-CN"/>
        </w:rPr>
        <w:t>四</w:t>
      </w:r>
      <w:r>
        <w:rPr>
          <w:rFonts w:hint="eastAsia" w:ascii="Times New Roman" w:hAnsi="Times New Roman"/>
          <w:sz w:val="24"/>
        </w:rPr>
        <w:t>次会议决议。</w:t>
      </w:r>
    </w:p>
    <w:p w14:paraId="679A48DD">
      <w:pPr>
        <w:spacing w:before="156" w:beforeLines="50" w:after="156" w:afterLines="50" w:line="360" w:lineRule="auto"/>
        <w:ind w:firstLine="480" w:firstLineChars="200"/>
        <w:rPr>
          <w:rFonts w:hint="eastAsia" w:ascii="Times New Roman" w:hAnsi="Times New Roman"/>
          <w:sz w:val="24"/>
        </w:rPr>
      </w:pPr>
      <w:r>
        <w:rPr>
          <w:rFonts w:hint="eastAsia" w:ascii="Times New Roman" w:hAnsi="Times New Roman"/>
          <w:sz w:val="24"/>
        </w:rPr>
        <w:t>特此公告。</w:t>
      </w:r>
    </w:p>
    <w:p w14:paraId="3539FB12">
      <w:pPr>
        <w:widowControl/>
        <w:spacing w:line="360" w:lineRule="auto"/>
        <w:jc w:val="right"/>
        <w:rPr>
          <w:rFonts w:ascii="Times New Roman" w:hAnsi="Times New Roman"/>
          <w:sz w:val="24"/>
        </w:rPr>
      </w:pPr>
      <w:r>
        <w:rPr>
          <w:rFonts w:hint="eastAsia" w:ascii="Times New Roman" w:hAnsi="Times New Roman"/>
          <w:sz w:val="24"/>
        </w:rPr>
        <w:t>华孚时尚股份有限公司董事会</w:t>
      </w:r>
    </w:p>
    <w:p w14:paraId="23A091AA">
      <w:pPr>
        <w:widowControl/>
        <w:spacing w:line="360" w:lineRule="auto"/>
        <w:jc w:val="right"/>
        <w:rPr>
          <w:rFonts w:ascii="Times New Roman" w:hAnsi="Times New Roman"/>
          <w:sz w:val="24"/>
        </w:rPr>
      </w:pPr>
      <w:r>
        <w:rPr>
          <w:rFonts w:hint="eastAsia" w:ascii="Times New Roman" w:hAnsi="Times New Roman"/>
          <w:sz w:val="24"/>
        </w:rPr>
        <w:t>二〇二</w:t>
      </w:r>
      <w:r>
        <w:rPr>
          <w:rFonts w:hint="eastAsia" w:ascii="Times New Roman" w:hAnsi="Times New Roman"/>
          <w:sz w:val="24"/>
          <w:lang w:val="en-US" w:eastAsia="zh-CN"/>
        </w:rPr>
        <w:t>六</w:t>
      </w:r>
      <w:r>
        <w:rPr>
          <w:rFonts w:hint="eastAsia" w:ascii="Times New Roman" w:hAnsi="Times New Roman"/>
          <w:sz w:val="24"/>
        </w:rPr>
        <w:t>年四月二十</w:t>
      </w:r>
      <w:r>
        <w:rPr>
          <w:rFonts w:hint="eastAsia" w:ascii="Times New Roman" w:hAnsi="Times New Roman"/>
          <w:sz w:val="24"/>
          <w:lang w:val="en-US" w:eastAsia="zh-CN"/>
        </w:rPr>
        <w:t>九</w:t>
      </w:r>
      <w:r>
        <w:rPr>
          <w:rFonts w:hint="eastAsia" w:ascii="Times New Roman" w:hAnsi="Times New Roman"/>
          <w:sz w:val="24"/>
        </w:rPr>
        <w:t>日</w:t>
      </w:r>
    </w:p>
    <w:p w14:paraId="6050C641">
      <w:pPr>
        <w:widowControl/>
        <w:jc w:val="left"/>
        <w:rPr>
          <w:rFonts w:ascii="Times New Roman" w:hAnsi="Times New Roman"/>
          <w:sz w:val="24"/>
        </w:rPr>
        <w:sectPr>
          <w:footerReference r:id="rId3" w:type="default"/>
          <w:pgSz w:w="11906" w:h="16838"/>
          <w:pgMar w:top="1440" w:right="1797" w:bottom="1440" w:left="1797" w:header="851" w:footer="992" w:gutter="0"/>
          <w:cols w:space="720" w:num="1"/>
          <w:docGrid w:type="linesAndChars" w:linePitch="312" w:charSpace="0"/>
        </w:sectPr>
      </w:pPr>
    </w:p>
    <w:p w14:paraId="5BEB9514">
      <w:pPr>
        <w:widowControl/>
        <w:jc w:val="left"/>
        <w:rPr>
          <w:rFonts w:ascii="Times New Roman" w:hAnsi="Times New Roman"/>
          <w:b/>
          <w:sz w:val="24"/>
        </w:rPr>
      </w:pPr>
      <w:r>
        <w:rPr>
          <w:rFonts w:ascii="Times New Roman" w:hAnsi="Times New Roman"/>
          <w:b/>
          <w:sz w:val="24"/>
        </w:rPr>
        <w:t>附表1：</w:t>
      </w:r>
    </w:p>
    <w:p w14:paraId="531D42DB">
      <w:pPr>
        <w:snapToGrid w:val="0"/>
        <w:spacing w:before="156" w:beforeLines="50" w:after="156" w:afterLines="50" w:line="360" w:lineRule="auto"/>
        <w:jc w:val="center"/>
        <w:rPr>
          <w:rFonts w:ascii="Times New Roman" w:hAnsi="Times New Roman"/>
          <w:b/>
          <w:kern w:val="0"/>
          <w:sz w:val="28"/>
          <w:szCs w:val="21"/>
        </w:rPr>
      </w:pPr>
      <w:r>
        <w:rPr>
          <w:rFonts w:ascii="Times New Roman" w:hAnsi="Times New Roman"/>
          <w:b/>
          <w:kern w:val="0"/>
          <w:sz w:val="28"/>
          <w:szCs w:val="21"/>
        </w:rPr>
        <w:t>募集资金使用情况对照表</w:t>
      </w:r>
    </w:p>
    <w:p w14:paraId="2DE8DCC3">
      <w:pPr>
        <w:snapToGrid w:val="0"/>
        <w:jc w:val="right"/>
        <w:rPr>
          <w:rFonts w:ascii="Times New Roman" w:hAnsi="Times New Roman"/>
          <w:b/>
          <w:sz w:val="18"/>
          <w:szCs w:val="18"/>
        </w:rPr>
      </w:pPr>
      <w:r>
        <w:rPr>
          <w:rFonts w:ascii="Times New Roman" w:hAnsi="Times New Roman"/>
          <w:sz w:val="18"/>
          <w:szCs w:val="18"/>
        </w:rPr>
        <w:t>单位：元</w:t>
      </w:r>
    </w:p>
    <w:tbl>
      <w:tblPr>
        <w:tblStyle w:val="7"/>
        <w:tblW w:w="0" w:type="auto"/>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2807"/>
        <w:gridCol w:w="1049"/>
        <w:gridCol w:w="1428"/>
        <w:gridCol w:w="1428"/>
        <w:gridCol w:w="687"/>
        <w:gridCol w:w="1428"/>
        <w:gridCol w:w="841"/>
        <w:gridCol w:w="737"/>
        <w:gridCol w:w="396"/>
        <w:gridCol w:w="1274"/>
        <w:gridCol w:w="863"/>
        <w:gridCol w:w="1122"/>
      </w:tblGrid>
      <w:tr w14:paraId="6701478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trPr>
        <w:tc>
          <w:tcPr>
            <w:tcW w:w="3856" w:type="dxa"/>
            <w:gridSpan w:val="2"/>
            <w:noWrap w:val="0"/>
            <w:vAlign w:val="center"/>
          </w:tcPr>
          <w:p w14:paraId="7DBC28C9">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募集资金总额</w:t>
            </w:r>
          </w:p>
        </w:tc>
        <w:tc>
          <w:tcPr>
            <w:tcW w:w="3543" w:type="dxa"/>
            <w:gridSpan w:val="3"/>
            <w:noWrap w:val="0"/>
            <w:vAlign w:val="center"/>
          </w:tcPr>
          <w:p w14:paraId="5DB4E435">
            <w:pPr>
              <w:widowControl/>
              <w:snapToGrid w:val="0"/>
              <w:spacing w:line="276" w:lineRule="auto"/>
              <w:ind w:right="210" w:rightChars="100"/>
              <w:jc w:val="right"/>
              <w:rPr>
                <w:rFonts w:ascii="Arial" w:hAnsi="Arial" w:cs="宋体"/>
                <w:color w:val="auto"/>
                <w:kern w:val="0"/>
                <w:sz w:val="18"/>
                <w:szCs w:val="18"/>
                <w:highlight w:val="none"/>
              </w:rPr>
            </w:pPr>
            <w:r>
              <w:rPr>
                <w:rFonts w:hint="eastAsia" w:ascii="Arial Narrow" w:hAnsi="Arial Narrow" w:eastAsia="Arial Narrow" w:cs="Arial Narrow"/>
                <w:color w:val="auto"/>
                <w:kern w:val="0"/>
                <w:sz w:val="18"/>
                <w:szCs w:val="18"/>
                <w:highlight w:val="none"/>
                <w:lang w:bidi="ar"/>
              </w:rPr>
              <w:t>1,126,375,384.78</w:t>
            </w:r>
          </w:p>
        </w:tc>
        <w:tc>
          <w:tcPr>
            <w:tcW w:w="3006" w:type="dxa"/>
            <w:gridSpan w:val="3"/>
            <w:noWrap w:val="0"/>
            <w:vAlign w:val="center"/>
          </w:tcPr>
          <w:p w14:paraId="39387D27">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本年度投入募集资金总额</w:t>
            </w:r>
          </w:p>
        </w:tc>
        <w:tc>
          <w:tcPr>
            <w:tcW w:w="3655" w:type="dxa"/>
            <w:gridSpan w:val="4"/>
            <w:noWrap w:val="0"/>
            <w:vAlign w:val="center"/>
          </w:tcPr>
          <w:p w14:paraId="03CBB762">
            <w:pPr>
              <w:widowControl/>
              <w:snapToGrid w:val="0"/>
              <w:spacing w:line="276" w:lineRule="auto"/>
              <w:ind w:right="142" w:rightChars="68"/>
              <w:jc w:val="right"/>
              <w:rPr>
                <w:rFonts w:hint="default" w:ascii="Arial" w:hAnsi="Arial" w:eastAsia="宋体" w:cs="宋体"/>
                <w:color w:val="auto"/>
                <w:kern w:val="0"/>
                <w:sz w:val="18"/>
                <w:szCs w:val="18"/>
                <w:highlight w:val="none"/>
                <w:lang w:val="en-US" w:eastAsia="zh-CN"/>
              </w:rPr>
            </w:pPr>
            <w:r>
              <w:rPr>
                <w:rFonts w:hint="eastAsia" w:ascii="Arial" w:hAnsi="Arial" w:cs="宋体"/>
                <w:color w:val="auto"/>
                <w:kern w:val="0"/>
                <w:sz w:val="18"/>
                <w:szCs w:val="18"/>
                <w:highlight w:val="none"/>
                <w:lang w:val="en-US" w:eastAsia="zh-CN"/>
              </w:rPr>
              <w:t>--</w:t>
            </w:r>
          </w:p>
        </w:tc>
      </w:tr>
      <w:tr w14:paraId="6C1275E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trPr>
        <w:tc>
          <w:tcPr>
            <w:tcW w:w="3856" w:type="dxa"/>
            <w:gridSpan w:val="2"/>
            <w:noWrap w:val="0"/>
            <w:vAlign w:val="center"/>
          </w:tcPr>
          <w:p w14:paraId="4885903F">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报告期内改变用途的募集资金总额</w:t>
            </w:r>
          </w:p>
        </w:tc>
        <w:tc>
          <w:tcPr>
            <w:tcW w:w="3543" w:type="dxa"/>
            <w:gridSpan w:val="3"/>
            <w:noWrap w:val="0"/>
            <w:vAlign w:val="center"/>
          </w:tcPr>
          <w:p w14:paraId="7F147B73">
            <w:pPr>
              <w:widowControl/>
              <w:snapToGrid w:val="0"/>
              <w:spacing w:line="276" w:lineRule="auto"/>
              <w:ind w:right="210" w:rightChars="100"/>
              <w:jc w:val="right"/>
              <w:rPr>
                <w:rFonts w:ascii="Arial" w:hAnsi="Arial" w:cs="宋体"/>
                <w:color w:val="auto"/>
                <w:kern w:val="0"/>
                <w:sz w:val="18"/>
                <w:szCs w:val="18"/>
                <w:highlight w:val="none"/>
              </w:rPr>
            </w:pPr>
            <w:r>
              <w:rPr>
                <w:rFonts w:hint="eastAsia" w:ascii="Arial Narrow" w:hAnsi="Arial Narrow" w:cs="Arial Narrow"/>
                <w:color w:val="auto"/>
                <w:kern w:val="0"/>
                <w:sz w:val="18"/>
                <w:szCs w:val="18"/>
                <w:highlight w:val="none"/>
              </w:rPr>
              <w:t>788,462,769.35</w:t>
            </w:r>
          </w:p>
        </w:tc>
        <w:tc>
          <w:tcPr>
            <w:tcW w:w="3006" w:type="dxa"/>
            <w:gridSpan w:val="3"/>
            <w:vMerge w:val="restart"/>
            <w:noWrap w:val="0"/>
            <w:vAlign w:val="center"/>
          </w:tcPr>
          <w:p w14:paraId="09730646">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已累计投入募集资金总额</w:t>
            </w:r>
          </w:p>
        </w:tc>
        <w:tc>
          <w:tcPr>
            <w:tcW w:w="3655" w:type="dxa"/>
            <w:gridSpan w:val="4"/>
            <w:vMerge w:val="restart"/>
            <w:noWrap w:val="0"/>
            <w:vAlign w:val="center"/>
          </w:tcPr>
          <w:p w14:paraId="16CD955F">
            <w:pPr>
              <w:widowControl/>
              <w:snapToGrid w:val="0"/>
              <w:spacing w:line="276" w:lineRule="auto"/>
              <w:ind w:right="142" w:rightChars="68"/>
              <w:jc w:val="right"/>
              <w:rPr>
                <w:rFonts w:ascii="Arial" w:hAnsi="Arial" w:cs="宋体"/>
                <w:color w:val="auto"/>
                <w:kern w:val="0"/>
                <w:sz w:val="18"/>
                <w:szCs w:val="18"/>
                <w:highlight w:val="none"/>
              </w:rPr>
            </w:pPr>
            <w:r>
              <w:rPr>
                <w:rFonts w:hint="eastAsia"/>
                <w:color w:val="auto"/>
                <w:highlight w:val="none"/>
              </w:rPr>
              <w:t>1,136,856,824.39</w:t>
            </w:r>
          </w:p>
        </w:tc>
      </w:tr>
      <w:tr w14:paraId="2FD38B8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trPr>
        <w:tc>
          <w:tcPr>
            <w:tcW w:w="3856" w:type="dxa"/>
            <w:gridSpan w:val="2"/>
            <w:noWrap w:val="0"/>
            <w:vAlign w:val="center"/>
          </w:tcPr>
          <w:p w14:paraId="59E5047D">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累计改变用途的募集资金总额</w:t>
            </w:r>
          </w:p>
        </w:tc>
        <w:tc>
          <w:tcPr>
            <w:tcW w:w="3543" w:type="dxa"/>
            <w:gridSpan w:val="3"/>
            <w:noWrap w:val="0"/>
            <w:vAlign w:val="center"/>
          </w:tcPr>
          <w:p w14:paraId="2178B6DF">
            <w:pPr>
              <w:widowControl/>
              <w:snapToGrid w:val="0"/>
              <w:spacing w:line="276" w:lineRule="auto"/>
              <w:ind w:right="210" w:rightChars="100"/>
              <w:jc w:val="right"/>
              <w:rPr>
                <w:rFonts w:ascii="Arial" w:hAnsi="Arial" w:cs="宋体"/>
                <w:color w:val="auto"/>
                <w:kern w:val="0"/>
                <w:sz w:val="18"/>
                <w:szCs w:val="18"/>
                <w:highlight w:val="none"/>
              </w:rPr>
            </w:pPr>
            <w:r>
              <w:rPr>
                <w:rFonts w:hint="eastAsia" w:ascii="Arial Narrow" w:hAnsi="Arial Narrow" w:cs="Arial Narrow"/>
                <w:color w:val="auto"/>
                <w:kern w:val="0"/>
                <w:sz w:val="18"/>
                <w:szCs w:val="18"/>
                <w:highlight w:val="none"/>
              </w:rPr>
              <w:t>788,462,769.35</w:t>
            </w:r>
          </w:p>
        </w:tc>
        <w:tc>
          <w:tcPr>
            <w:tcW w:w="3006" w:type="dxa"/>
            <w:gridSpan w:val="3"/>
            <w:vMerge w:val="continue"/>
            <w:noWrap w:val="0"/>
            <w:vAlign w:val="center"/>
          </w:tcPr>
          <w:p w14:paraId="11AA0F19">
            <w:pPr>
              <w:widowControl/>
              <w:snapToGrid w:val="0"/>
              <w:jc w:val="left"/>
              <w:rPr>
                <w:rFonts w:ascii="Arial" w:hAnsi="Arial" w:cs="宋体"/>
                <w:color w:val="auto"/>
                <w:kern w:val="0"/>
                <w:sz w:val="18"/>
                <w:szCs w:val="18"/>
                <w:highlight w:val="none"/>
              </w:rPr>
            </w:pPr>
          </w:p>
        </w:tc>
        <w:tc>
          <w:tcPr>
            <w:tcW w:w="3655" w:type="dxa"/>
            <w:gridSpan w:val="4"/>
            <w:vMerge w:val="continue"/>
            <w:noWrap w:val="0"/>
            <w:vAlign w:val="center"/>
          </w:tcPr>
          <w:p w14:paraId="52CEF6DD">
            <w:pPr>
              <w:widowControl/>
              <w:snapToGrid w:val="0"/>
              <w:ind w:right="210" w:rightChars="100"/>
              <w:jc w:val="right"/>
              <w:rPr>
                <w:rFonts w:ascii="Arial" w:hAnsi="Arial" w:cs="宋体"/>
                <w:color w:val="auto"/>
                <w:kern w:val="0"/>
                <w:sz w:val="18"/>
                <w:szCs w:val="18"/>
                <w:highlight w:val="none"/>
              </w:rPr>
            </w:pPr>
          </w:p>
        </w:tc>
      </w:tr>
      <w:tr w14:paraId="4C2F040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trHeight w:val="340" w:hRule="atLeast"/>
        </w:trPr>
        <w:tc>
          <w:tcPr>
            <w:tcW w:w="3856" w:type="dxa"/>
            <w:gridSpan w:val="2"/>
            <w:noWrap w:val="0"/>
            <w:vAlign w:val="center"/>
          </w:tcPr>
          <w:p w14:paraId="0041173D">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累计改变用途的募集资金总额比例</w:t>
            </w:r>
          </w:p>
        </w:tc>
        <w:tc>
          <w:tcPr>
            <w:tcW w:w="3543" w:type="dxa"/>
            <w:gridSpan w:val="3"/>
            <w:noWrap w:val="0"/>
            <w:vAlign w:val="center"/>
          </w:tcPr>
          <w:p w14:paraId="3F2DC417">
            <w:pPr>
              <w:widowControl/>
              <w:snapToGrid w:val="0"/>
              <w:spacing w:line="276" w:lineRule="auto"/>
              <w:ind w:right="210" w:rightChars="100"/>
              <w:jc w:val="right"/>
              <w:rPr>
                <w:rFonts w:ascii="Arial" w:hAnsi="Arial" w:cs="宋体"/>
                <w:color w:val="auto"/>
                <w:kern w:val="0"/>
                <w:sz w:val="18"/>
                <w:szCs w:val="18"/>
                <w:highlight w:val="none"/>
              </w:rPr>
            </w:pPr>
            <w:r>
              <w:rPr>
                <w:rFonts w:hint="eastAsia" w:ascii="Arial Narrow" w:hAnsi="Arial Narrow" w:cs="Arial Narrow"/>
                <w:color w:val="auto"/>
                <w:kern w:val="0"/>
                <w:sz w:val="18"/>
                <w:szCs w:val="18"/>
                <w:highlight w:val="none"/>
              </w:rPr>
              <w:t>70.00</w:t>
            </w:r>
            <w:r>
              <w:rPr>
                <w:rFonts w:ascii="Arial Narrow" w:hAnsi="Arial Narrow" w:cs="Arial Narrow"/>
                <w:color w:val="auto"/>
                <w:kern w:val="0"/>
                <w:sz w:val="18"/>
                <w:szCs w:val="18"/>
                <w:highlight w:val="none"/>
              </w:rPr>
              <w:t>%</w:t>
            </w:r>
          </w:p>
        </w:tc>
        <w:tc>
          <w:tcPr>
            <w:tcW w:w="3006" w:type="dxa"/>
            <w:gridSpan w:val="3"/>
            <w:vMerge w:val="continue"/>
            <w:noWrap w:val="0"/>
            <w:vAlign w:val="center"/>
          </w:tcPr>
          <w:p w14:paraId="3098202A">
            <w:pPr>
              <w:widowControl/>
              <w:snapToGrid w:val="0"/>
              <w:jc w:val="left"/>
              <w:rPr>
                <w:rFonts w:ascii="Arial" w:hAnsi="Arial" w:cs="宋体"/>
                <w:color w:val="auto"/>
                <w:kern w:val="0"/>
                <w:sz w:val="18"/>
                <w:szCs w:val="18"/>
                <w:highlight w:val="none"/>
              </w:rPr>
            </w:pPr>
          </w:p>
        </w:tc>
        <w:tc>
          <w:tcPr>
            <w:tcW w:w="3655" w:type="dxa"/>
            <w:gridSpan w:val="4"/>
            <w:vMerge w:val="continue"/>
            <w:noWrap w:val="0"/>
            <w:vAlign w:val="center"/>
          </w:tcPr>
          <w:p w14:paraId="50EB0E76">
            <w:pPr>
              <w:widowControl/>
              <w:snapToGrid w:val="0"/>
              <w:ind w:right="210" w:rightChars="100"/>
              <w:jc w:val="right"/>
              <w:rPr>
                <w:rFonts w:ascii="Arial" w:hAnsi="Arial" w:cs="宋体"/>
                <w:color w:val="auto"/>
                <w:kern w:val="0"/>
                <w:sz w:val="18"/>
                <w:szCs w:val="18"/>
                <w:highlight w:val="none"/>
              </w:rPr>
            </w:pPr>
          </w:p>
        </w:tc>
      </w:tr>
      <w:tr w14:paraId="54D5452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0BDB5443">
            <w:pPr>
              <w:widowControl/>
              <w:snapToGrid w:val="0"/>
              <w:jc w:val="center"/>
              <w:rPr>
                <w:rFonts w:ascii="Arial" w:hAnsi="Arial" w:cs="宋体"/>
                <w:color w:val="auto"/>
                <w:kern w:val="0"/>
                <w:sz w:val="18"/>
                <w:szCs w:val="18"/>
                <w:highlight w:val="none"/>
              </w:rPr>
            </w:pPr>
            <w:r>
              <w:rPr>
                <w:rFonts w:hint="eastAsia" w:ascii="Arial" w:hAnsi="Arial" w:cs="宋体"/>
                <w:color w:val="auto"/>
                <w:kern w:val="0"/>
                <w:sz w:val="18"/>
                <w:szCs w:val="18"/>
                <w:highlight w:val="none"/>
              </w:rPr>
              <w:t>承诺投资项目和超募资金投向</w:t>
            </w:r>
          </w:p>
        </w:tc>
        <w:tc>
          <w:tcPr>
            <w:tcW w:w="1049" w:type="dxa"/>
            <w:noWrap w:val="0"/>
            <w:vAlign w:val="center"/>
          </w:tcPr>
          <w:p w14:paraId="18B3AD24">
            <w:pPr>
              <w:widowControl/>
              <w:snapToGrid w:val="0"/>
              <w:jc w:val="center"/>
              <w:rPr>
                <w:rFonts w:ascii="Arial" w:hAnsi="Arial" w:cs="宋体"/>
                <w:color w:val="auto"/>
                <w:kern w:val="0"/>
                <w:sz w:val="18"/>
                <w:szCs w:val="18"/>
                <w:highlight w:val="none"/>
              </w:rPr>
            </w:pPr>
            <w:r>
              <w:rPr>
                <w:rFonts w:hint="eastAsia" w:ascii="Arial" w:hAnsi="Arial" w:cs="宋体"/>
                <w:color w:val="auto"/>
                <w:kern w:val="0"/>
                <w:sz w:val="18"/>
                <w:szCs w:val="18"/>
                <w:highlight w:val="none"/>
              </w:rPr>
              <w:t>是否已改变项目（含部分改变）</w:t>
            </w:r>
          </w:p>
        </w:tc>
        <w:tc>
          <w:tcPr>
            <w:tcW w:w="1428" w:type="dxa"/>
            <w:noWrap w:val="0"/>
            <w:vAlign w:val="center"/>
          </w:tcPr>
          <w:p w14:paraId="2C0A316D">
            <w:pPr>
              <w:widowControl/>
              <w:snapToGrid w:val="0"/>
              <w:jc w:val="center"/>
              <w:rPr>
                <w:rFonts w:ascii="Arial" w:hAnsi="Arial" w:cs="宋体"/>
                <w:color w:val="auto"/>
                <w:kern w:val="0"/>
                <w:sz w:val="18"/>
                <w:szCs w:val="18"/>
                <w:highlight w:val="none"/>
              </w:rPr>
            </w:pPr>
            <w:r>
              <w:rPr>
                <w:rFonts w:hint="eastAsia" w:ascii="Arial" w:hAnsi="Arial" w:cs="宋体"/>
                <w:color w:val="auto"/>
                <w:kern w:val="0"/>
                <w:sz w:val="18"/>
                <w:szCs w:val="18"/>
                <w:highlight w:val="none"/>
              </w:rPr>
              <w:t>募集资金承诺投资总额</w:t>
            </w:r>
          </w:p>
        </w:tc>
        <w:tc>
          <w:tcPr>
            <w:tcW w:w="1428" w:type="dxa"/>
            <w:noWrap w:val="0"/>
            <w:vAlign w:val="center"/>
          </w:tcPr>
          <w:p w14:paraId="559C0B00">
            <w:pPr>
              <w:widowControl/>
              <w:snapToGrid w:val="0"/>
              <w:jc w:val="center"/>
              <w:rPr>
                <w:rFonts w:ascii="Arial" w:hAnsi="Arial" w:cs="宋体"/>
                <w:color w:val="auto"/>
                <w:kern w:val="0"/>
                <w:sz w:val="18"/>
                <w:szCs w:val="18"/>
                <w:highlight w:val="none"/>
              </w:rPr>
            </w:pPr>
            <w:r>
              <w:rPr>
                <w:rFonts w:hint="eastAsia" w:ascii="Arial" w:hAnsi="Arial" w:cs="宋体"/>
                <w:color w:val="auto"/>
                <w:kern w:val="0"/>
                <w:sz w:val="18"/>
                <w:szCs w:val="18"/>
                <w:highlight w:val="none"/>
              </w:rPr>
              <w:t>调整后投资总额(1)</w:t>
            </w:r>
          </w:p>
        </w:tc>
        <w:tc>
          <w:tcPr>
            <w:tcW w:w="687" w:type="dxa"/>
            <w:noWrap w:val="0"/>
            <w:vAlign w:val="center"/>
          </w:tcPr>
          <w:p w14:paraId="1E730376">
            <w:pPr>
              <w:widowControl/>
              <w:snapToGrid w:val="0"/>
              <w:jc w:val="center"/>
              <w:rPr>
                <w:rFonts w:ascii="Arial" w:hAnsi="Arial" w:cs="宋体"/>
                <w:color w:val="auto"/>
                <w:kern w:val="0"/>
                <w:sz w:val="18"/>
                <w:szCs w:val="18"/>
                <w:highlight w:val="none"/>
              </w:rPr>
            </w:pPr>
            <w:r>
              <w:rPr>
                <w:rFonts w:hint="eastAsia" w:ascii="Arial" w:hAnsi="Arial" w:cs="宋体"/>
                <w:color w:val="auto"/>
                <w:kern w:val="0"/>
                <w:sz w:val="18"/>
                <w:szCs w:val="18"/>
                <w:highlight w:val="none"/>
              </w:rPr>
              <w:t>本年度投入金额</w:t>
            </w:r>
          </w:p>
        </w:tc>
        <w:tc>
          <w:tcPr>
            <w:tcW w:w="1428" w:type="dxa"/>
            <w:noWrap w:val="0"/>
            <w:vAlign w:val="center"/>
          </w:tcPr>
          <w:p w14:paraId="7F39E0CA">
            <w:pPr>
              <w:widowControl/>
              <w:snapToGrid w:val="0"/>
              <w:jc w:val="center"/>
              <w:rPr>
                <w:rFonts w:ascii="Arial" w:hAnsi="Arial" w:cs="宋体"/>
                <w:color w:val="auto"/>
                <w:kern w:val="0"/>
                <w:sz w:val="18"/>
                <w:szCs w:val="18"/>
                <w:highlight w:val="none"/>
              </w:rPr>
            </w:pPr>
            <w:r>
              <w:rPr>
                <w:rFonts w:hint="eastAsia" w:ascii="Arial" w:hAnsi="Arial" w:cs="宋体"/>
                <w:color w:val="auto"/>
                <w:kern w:val="0"/>
                <w:sz w:val="18"/>
                <w:szCs w:val="18"/>
                <w:highlight w:val="none"/>
              </w:rPr>
              <w:t>截至期末累计投入金额(2)</w:t>
            </w:r>
          </w:p>
        </w:tc>
        <w:tc>
          <w:tcPr>
            <w:tcW w:w="841" w:type="dxa"/>
            <w:noWrap w:val="0"/>
            <w:vAlign w:val="center"/>
          </w:tcPr>
          <w:p w14:paraId="763EB361">
            <w:pPr>
              <w:widowControl/>
              <w:snapToGrid w:val="0"/>
              <w:ind w:left="-105" w:leftChars="-50" w:right="-105" w:rightChars="-50"/>
              <w:jc w:val="center"/>
              <w:rPr>
                <w:rFonts w:ascii="Arial" w:hAnsi="Arial" w:cs="宋体"/>
                <w:color w:val="auto"/>
                <w:kern w:val="0"/>
                <w:sz w:val="18"/>
                <w:szCs w:val="18"/>
                <w:highlight w:val="none"/>
              </w:rPr>
            </w:pPr>
            <w:r>
              <w:rPr>
                <w:rFonts w:hint="eastAsia" w:ascii="Arial" w:hAnsi="Arial" w:cs="宋体"/>
                <w:color w:val="auto"/>
                <w:kern w:val="0"/>
                <w:sz w:val="18"/>
                <w:szCs w:val="18"/>
                <w:highlight w:val="none"/>
              </w:rPr>
              <w:t>截至期末投资进度（%）(3)＝(2)/(1)</w:t>
            </w:r>
          </w:p>
        </w:tc>
        <w:tc>
          <w:tcPr>
            <w:tcW w:w="1133" w:type="dxa"/>
            <w:gridSpan w:val="2"/>
            <w:noWrap w:val="0"/>
            <w:vAlign w:val="center"/>
          </w:tcPr>
          <w:p w14:paraId="49DF52B4">
            <w:pPr>
              <w:widowControl/>
              <w:snapToGrid w:val="0"/>
              <w:ind w:right="-86" w:rightChars="-41"/>
              <w:jc w:val="center"/>
              <w:rPr>
                <w:rFonts w:ascii="Arial" w:hAnsi="Arial" w:cs="宋体"/>
                <w:color w:val="auto"/>
                <w:kern w:val="0"/>
                <w:sz w:val="18"/>
                <w:szCs w:val="18"/>
                <w:highlight w:val="none"/>
              </w:rPr>
            </w:pPr>
            <w:r>
              <w:rPr>
                <w:rFonts w:hint="eastAsia" w:ascii="Arial" w:hAnsi="Arial" w:cs="宋体"/>
                <w:color w:val="auto"/>
                <w:kern w:val="0"/>
                <w:sz w:val="18"/>
                <w:szCs w:val="18"/>
                <w:highlight w:val="none"/>
              </w:rPr>
              <w:t>项目达到预定可使用状态日期</w:t>
            </w:r>
          </w:p>
        </w:tc>
        <w:tc>
          <w:tcPr>
            <w:tcW w:w="1274" w:type="dxa"/>
            <w:noWrap w:val="0"/>
            <w:vAlign w:val="center"/>
          </w:tcPr>
          <w:p w14:paraId="0283B9AB">
            <w:pPr>
              <w:widowControl/>
              <w:snapToGrid w:val="0"/>
              <w:jc w:val="center"/>
              <w:rPr>
                <w:rFonts w:ascii="Arial" w:hAnsi="Arial" w:cs="宋体"/>
                <w:color w:val="auto"/>
                <w:kern w:val="0"/>
                <w:sz w:val="18"/>
                <w:szCs w:val="18"/>
                <w:highlight w:val="none"/>
              </w:rPr>
            </w:pPr>
            <w:r>
              <w:rPr>
                <w:rFonts w:hint="eastAsia" w:ascii="Arial" w:hAnsi="Arial" w:cs="宋体"/>
                <w:color w:val="auto"/>
                <w:kern w:val="0"/>
                <w:sz w:val="18"/>
                <w:szCs w:val="18"/>
                <w:highlight w:val="none"/>
              </w:rPr>
              <w:t>本年度实现的效益</w:t>
            </w:r>
          </w:p>
        </w:tc>
        <w:tc>
          <w:tcPr>
            <w:tcW w:w="863" w:type="dxa"/>
            <w:noWrap w:val="0"/>
            <w:vAlign w:val="center"/>
          </w:tcPr>
          <w:p w14:paraId="3F5F9201">
            <w:pPr>
              <w:widowControl/>
              <w:snapToGrid w:val="0"/>
              <w:ind w:right="-98" w:rightChars="-47"/>
              <w:jc w:val="center"/>
              <w:rPr>
                <w:rFonts w:ascii="Arial" w:hAnsi="Arial" w:cs="宋体"/>
                <w:color w:val="auto"/>
                <w:kern w:val="0"/>
                <w:sz w:val="18"/>
                <w:szCs w:val="18"/>
                <w:highlight w:val="none"/>
              </w:rPr>
            </w:pPr>
            <w:r>
              <w:rPr>
                <w:rFonts w:hint="eastAsia" w:ascii="Arial" w:hAnsi="Arial" w:cs="宋体"/>
                <w:color w:val="auto"/>
                <w:kern w:val="0"/>
                <w:sz w:val="18"/>
                <w:szCs w:val="18"/>
                <w:highlight w:val="none"/>
              </w:rPr>
              <w:t>是否达到预计效益</w:t>
            </w:r>
          </w:p>
        </w:tc>
        <w:tc>
          <w:tcPr>
            <w:tcW w:w="1122" w:type="dxa"/>
            <w:noWrap w:val="0"/>
            <w:vAlign w:val="center"/>
          </w:tcPr>
          <w:p w14:paraId="572745B1">
            <w:pPr>
              <w:widowControl/>
              <w:snapToGrid w:val="0"/>
              <w:ind w:right="-75" w:rightChars="-36"/>
              <w:jc w:val="center"/>
              <w:rPr>
                <w:rFonts w:ascii="Arial" w:hAnsi="Arial" w:cs="宋体"/>
                <w:color w:val="auto"/>
                <w:kern w:val="0"/>
                <w:sz w:val="18"/>
                <w:szCs w:val="18"/>
                <w:highlight w:val="none"/>
              </w:rPr>
            </w:pPr>
            <w:r>
              <w:rPr>
                <w:rFonts w:hint="eastAsia" w:ascii="Arial" w:hAnsi="Arial" w:cs="宋体"/>
                <w:color w:val="auto"/>
                <w:kern w:val="0"/>
                <w:sz w:val="18"/>
                <w:szCs w:val="18"/>
                <w:highlight w:val="none"/>
              </w:rPr>
              <w:t>项目可行性是否发生重大变化</w:t>
            </w:r>
          </w:p>
        </w:tc>
      </w:tr>
      <w:tr w14:paraId="3F0F319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3E9A1694">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承诺投资项目</w:t>
            </w:r>
          </w:p>
        </w:tc>
        <w:tc>
          <w:tcPr>
            <w:tcW w:w="11253" w:type="dxa"/>
            <w:gridSpan w:val="11"/>
            <w:noWrap w:val="0"/>
            <w:vAlign w:val="center"/>
          </w:tcPr>
          <w:p w14:paraId="5F2B2CFB">
            <w:pPr>
              <w:widowControl/>
              <w:snapToGrid w:val="0"/>
              <w:jc w:val="center"/>
              <w:rPr>
                <w:rFonts w:ascii="Arial" w:hAnsi="Arial" w:cs="宋体"/>
                <w:color w:val="auto"/>
                <w:kern w:val="0"/>
                <w:sz w:val="18"/>
                <w:szCs w:val="18"/>
                <w:highlight w:val="none"/>
              </w:rPr>
            </w:pPr>
          </w:p>
        </w:tc>
      </w:tr>
      <w:tr w14:paraId="06E62A84">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1F51CA49">
            <w:pPr>
              <w:widowControl/>
              <w:snapToGrid w:val="0"/>
              <w:spacing w:line="276" w:lineRule="auto"/>
              <w:jc w:val="left"/>
              <w:rPr>
                <w:rFonts w:ascii="Arial" w:hAnsi="Arial" w:cs="宋体"/>
                <w:color w:val="auto"/>
                <w:kern w:val="0"/>
                <w:sz w:val="18"/>
                <w:szCs w:val="18"/>
                <w:highlight w:val="none"/>
              </w:rPr>
            </w:pPr>
            <w:r>
              <w:rPr>
                <w:rFonts w:ascii="Arial Narrow" w:hAnsi="Arial Narrow" w:cs="Arial Narrow"/>
                <w:color w:val="auto"/>
                <w:kern w:val="0"/>
                <w:sz w:val="18"/>
                <w:szCs w:val="18"/>
                <w:highlight w:val="none"/>
              </w:rPr>
              <w:t>1、</w:t>
            </w:r>
            <w:r>
              <w:rPr>
                <w:rFonts w:hint="eastAsia" w:ascii="Arial Narrow" w:hAnsi="Arial Narrow" w:cs="Arial Narrow"/>
                <w:color w:val="auto"/>
                <w:kern w:val="0"/>
                <w:sz w:val="18"/>
                <w:szCs w:val="18"/>
                <w:highlight w:val="none"/>
              </w:rPr>
              <w:t>华孚（越南）50万锭新型纱线项目（一期)</w:t>
            </w:r>
          </w:p>
        </w:tc>
        <w:tc>
          <w:tcPr>
            <w:tcW w:w="1049" w:type="dxa"/>
            <w:noWrap w:val="0"/>
            <w:vAlign w:val="center"/>
          </w:tcPr>
          <w:p w14:paraId="4FE1E7E3">
            <w:pPr>
              <w:widowControl/>
              <w:snapToGrid w:val="0"/>
              <w:spacing w:line="276" w:lineRule="auto"/>
              <w:jc w:val="center"/>
              <w:rPr>
                <w:rFonts w:ascii="Arial" w:hAnsi="Arial" w:cs="宋体"/>
                <w:color w:val="auto"/>
                <w:kern w:val="0"/>
                <w:sz w:val="18"/>
                <w:szCs w:val="18"/>
                <w:highlight w:val="none"/>
              </w:rPr>
            </w:pPr>
            <w:r>
              <w:rPr>
                <w:rFonts w:hint="eastAsia" w:ascii="Arial Narrow" w:hAnsi="Arial Narrow" w:cs="Arial Narrow"/>
                <w:color w:val="auto"/>
                <w:sz w:val="18"/>
                <w:szCs w:val="18"/>
                <w:highlight w:val="none"/>
              </w:rPr>
              <w:t>是</w:t>
            </w:r>
          </w:p>
        </w:tc>
        <w:tc>
          <w:tcPr>
            <w:tcW w:w="1428" w:type="dxa"/>
            <w:noWrap w:val="0"/>
            <w:vAlign w:val="center"/>
          </w:tcPr>
          <w:p w14:paraId="27AC62DB">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1,050,000,000.00</w:t>
            </w:r>
          </w:p>
        </w:tc>
        <w:tc>
          <w:tcPr>
            <w:tcW w:w="1428" w:type="dxa"/>
            <w:noWrap w:val="0"/>
            <w:vAlign w:val="center"/>
          </w:tcPr>
          <w:p w14:paraId="0FBDD30B">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w:t>
            </w:r>
          </w:p>
        </w:tc>
        <w:tc>
          <w:tcPr>
            <w:tcW w:w="687" w:type="dxa"/>
            <w:noWrap w:val="0"/>
            <w:vAlign w:val="center"/>
          </w:tcPr>
          <w:p w14:paraId="22BF3F52">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w:t>
            </w:r>
          </w:p>
        </w:tc>
        <w:tc>
          <w:tcPr>
            <w:tcW w:w="1428" w:type="dxa"/>
            <w:noWrap w:val="0"/>
            <w:vAlign w:val="center"/>
          </w:tcPr>
          <w:p w14:paraId="5CF00F76">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w:t>
            </w:r>
          </w:p>
        </w:tc>
        <w:tc>
          <w:tcPr>
            <w:tcW w:w="841" w:type="dxa"/>
            <w:noWrap w:val="0"/>
            <w:vAlign w:val="center"/>
          </w:tcPr>
          <w:p w14:paraId="7B576E0E">
            <w:pPr>
              <w:widowControl/>
              <w:snapToGrid w:val="0"/>
              <w:spacing w:line="276" w:lineRule="auto"/>
              <w:jc w:val="right"/>
              <w:rPr>
                <w:rFonts w:ascii="Arial" w:hAnsi="Arial" w:cs="宋体"/>
                <w:color w:val="auto"/>
                <w:kern w:val="0"/>
                <w:sz w:val="15"/>
                <w:szCs w:val="15"/>
                <w:highlight w:val="none"/>
              </w:rPr>
            </w:pPr>
            <w:r>
              <w:rPr>
                <w:rFonts w:hint="eastAsia" w:ascii="Arial Narrow" w:hAnsi="Arial Narrow" w:eastAsia="Arial Narrow" w:cs="Arial Narrow"/>
                <w:color w:val="auto"/>
                <w:kern w:val="0"/>
                <w:sz w:val="15"/>
                <w:szCs w:val="15"/>
                <w:highlight w:val="none"/>
                <w:lang w:bidi="ar"/>
              </w:rPr>
              <w:t>---</w:t>
            </w:r>
          </w:p>
        </w:tc>
        <w:tc>
          <w:tcPr>
            <w:tcW w:w="1133" w:type="dxa"/>
            <w:gridSpan w:val="2"/>
            <w:noWrap w:val="0"/>
            <w:vAlign w:val="center"/>
          </w:tcPr>
          <w:p w14:paraId="6A037055">
            <w:pPr>
              <w:widowControl/>
              <w:snapToGrid w:val="0"/>
              <w:spacing w:line="276" w:lineRule="auto"/>
              <w:jc w:val="right"/>
              <w:rPr>
                <w:rFonts w:ascii="Arial" w:hAnsi="Arial" w:cs="宋体"/>
                <w:color w:val="auto"/>
                <w:kern w:val="0"/>
                <w:sz w:val="15"/>
                <w:szCs w:val="15"/>
                <w:highlight w:val="none"/>
              </w:rPr>
            </w:pPr>
            <w:r>
              <w:rPr>
                <w:rFonts w:hint="eastAsia" w:ascii="Arial Narrow" w:hAnsi="Arial Narrow" w:cs="Arial Narrow"/>
                <w:color w:val="auto"/>
                <w:kern w:val="0"/>
                <w:sz w:val="15"/>
                <w:szCs w:val="15"/>
                <w:highlight w:val="none"/>
                <w:lang w:bidi="ar"/>
              </w:rPr>
              <w:t>已终止</w:t>
            </w:r>
          </w:p>
        </w:tc>
        <w:tc>
          <w:tcPr>
            <w:tcW w:w="1274" w:type="dxa"/>
            <w:noWrap w:val="0"/>
            <w:vAlign w:val="center"/>
          </w:tcPr>
          <w:p w14:paraId="39330CC4">
            <w:pPr>
              <w:widowControl/>
              <w:snapToGrid w:val="0"/>
              <w:spacing w:line="276" w:lineRule="auto"/>
              <w:jc w:val="right"/>
              <w:rPr>
                <w:rFonts w:ascii="Arial" w:hAnsi="Arial" w:cs="宋体"/>
                <w:color w:val="auto"/>
                <w:kern w:val="0"/>
                <w:sz w:val="15"/>
                <w:szCs w:val="15"/>
                <w:highlight w:val="none"/>
              </w:rPr>
            </w:pPr>
            <w:r>
              <w:rPr>
                <w:rFonts w:hint="eastAsia" w:ascii="Arial Narrow" w:hAnsi="Arial Narrow" w:eastAsia="Arial Narrow" w:cs="Arial Narrow"/>
                <w:color w:val="auto"/>
                <w:kern w:val="0"/>
                <w:sz w:val="15"/>
                <w:szCs w:val="15"/>
                <w:highlight w:val="none"/>
                <w:lang w:bidi="ar"/>
              </w:rPr>
              <w:t>---</w:t>
            </w:r>
          </w:p>
        </w:tc>
        <w:tc>
          <w:tcPr>
            <w:tcW w:w="863" w:type="dxa"/>
            <w:noWrap w:val="0"/>
            <w:vAlign w:val="center"/>
          </w:tcPr>
          <w:p w14:paraId="6B8864AD">
            <w:pPr>
              <w:widowControl/>
              <w:snapToGrid w:val="0"/>
              <w:spacing w:line="276" w:lineRule="auto"/>
              <w:jc w:val="center"/>
              <w:rPr>
                <w:rFonts w:ascii="Arial" w:hAnsi="Arial" w:cs="宋体"/>
                <w:color w:val="auto"/>
                <w:kern w:val="0"/>
                <w:sz w:val="15"/>
                <w:szCs w:val="15"/>
                <w:highlight w:val="none"/>
              </w:rPr>
            </w:pPr>
            <w:r>
              <w:rPr>
                <w:rFonts w:hint="eastAsia" w:ascii="Arial Narrow" w:hAnsi="Arial Narrow" w:cs="Arial Narrow"/>
                <w:color w:val="auto"/>
                <w:kern w:val="0"/>
                <w:sz w:val="15"/>
                <w:szCs w:val="15"/>
                <w:highlight w:val="none"/>
                <w:lang w:bidi="ar"/>
              </w:rPr>
              <w:t>不适用</w:t>
            </w:r>
          </w:p>
        </w:tc>
        <w:tc>
          <w:tcPr>
            <w:tcW w:w="1122" w:type="dxa"/>
            <w:noWrap w:val="0"/>
            <w:vAlign w:val="center"/>
          </w:tcPr>
          <w:p w14:paraId="3E33761A">
            <w:pPr>
              <w:widowControl/>
              <w:snapToGrid w:val="0"/>
              <w:spacing w:line="276" w:lineRule="auto"/>
              <w:jc w:val="center"/>
              <w:rPr>
                <w:rFonts w:ascii="Arial" w:hAnsi="Arial" w:cs="宋体"/>
                <w:color w:val="auto"/>
                <w:kern w:val="0"/>
                <w:sz w:val="15"/>
                <w:szCs w:val="15"/>
                <w:highlight w:val="none"/>
              </w:rPr>
            </w:pPr>
            <w:r>
              <w:rPr>
                <w:rFonts w:hint="eastAsia" w:ascii="宋体" w:hAnsi="宋体" w:cs="宋体"/>
                <w:color w:val="auto"/>
                <w:kern w:val="0"/>
                <w:sz w:val="15"/>
                <w:szCs w:val="15"/>
                <w:highlight w:val="none"/>
              </w:rPr>
              <w:t>是</w:t>
            </w:r>
          </w:p>
        </w:tc>
      </w:tr>
      <w:tr w14:paraId="16A5F34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60363DAB">
            <w:pPr>
              <w:widowControl/>
              <w:snapToGrid w:val="0"/>
              <w:spacing w:line="276" w:lineRule="auto"/>
              <w:jc w:val="left"/>
              <w:rPr>
                <w:rFonts w:hint="eastAsia" w:ascii="Arial" w:hAnsi="Arial" w:cs="宋体"/>
                <w:color w:val="auto"/>
                <w:kern w:val="0"/>
                <w:sz w:val="18"/>
                <w:szCs w:val="18"/>
                <w:highlight w:val="none"/>
              </w:rPr>
            </w:pPr>
            <w:r>
              <w:rPr>
                <w:rFonts w:hint="eastAsia" w:ascii="Arial Narrow" w:hAnsi="Arial Narrow" w:cs="Arial Narrow"/>
                <w:color w:val="auto"/>
                <w:kern w:val="0"/>
                <w:sz w:val="18"/>
                <w:szCs w:val="18"/>
                <w:highlight w:val="none"/>
              </w:rPr>
              <w:t>2</w:t>
            </w:r>
            <w:r>
              <w:rPr>
                <w:rFonts w:ascii="Arial Narrow" w:hAnsi="Arial Narrow" w:cs="Arial Narrow"/>
                <w:color w:val="auto"/>
                <w:kern w:val="0"/>
                <w:sz w:val="18"/>
                <w:szCs w:val="18"/>
                <w:highlight w:val="none"/>
              </w:rPr>
              <w:t>、</w:t>
            </w:r>
            <w:r>
              <w:rPr>
                <w:rFonts w:hint="eastAsia" w:ascii="Arial Narrow" w:hAnsi="Arial Narrow" w:cs="Arial Narrow"/>
                <w:color w:val="auto"/>
                <w:kern w:val="0"/>
                <w:sz w:val="18"/>
                <w:szCs w:val="18"/>
                <w:highlight w:val="none"/>
              </w:rPr>
              <w:t>淮北30万锭智能纺纱产业园项目</w:t>
            </w:r>
          </w:p>
        </w:tc>
        <w:tc>
          <w:tcPr>
            <w:tcW w:w="1049" w:type="dxa"/>
            <w:noWrap w:val="0"/>
            <w:vAlign w:val="center"/>
          </w:tcPr>
          <w:p w14:paraId="40AB4C18">
            <w:pPr>
              <w:widowControl/>
              <w:snapToGrid w:val="0"/>
              <w:spacing w:line="276" w:lineRule="auto"/>
              <w:jc w:val="center"/>
              <w:rPr>
                <w:rFonts w:ascii="Arial" w:hAnsi="Arial" w:cs="宋体"/>
                <w:color w:val="auto"/>
                <w:kern w:val="0"/>
                <w:sz w:val="18"/>
                <w:szCs w:val="18"/>
                <w:highlight w:val="none"/>
              </w:rPr>
            </w:pPr>
            <w:r>
              <w:rPr>
                <w:rFonts w:hint="eastAsia" w:ascii="Arial Narrow" w:hAnsi="Arial Narrow" w:cs="Arial Narrow"/>
                <w:color w:val="auto"/>
                <w:sz w:val="18"/>
                <w:szCs w:val="18"/>
                <w:highlight w:val="none"/>
              </w:rPr>
              <w:t>是</w:t>
            </w:r>
          </w:p>
        </w:tc>
        <w:tc>
          <w:tcPr>
            <w:tcW w:w="1428" w:type="dxa"/>
            <w:noWrap w:val="0"/>
            <w:vAlign w:val="center"/>
          </w:tcPr>
          <w:p w14:paraId="2D17B17A">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w:t>
            </w:r>
          </w:p>
        </w:tc>
        <w:tc>
          <w:tcPr>
            <w:tcW w:w="1428" w:type="dxa"/>
            <w:noWrap w:val="0"/>
            <w:vAlign w:val="center"/>
          </w:tcPr>
          <w:p w14:paraId="786DF624">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788,462,769.35</w:t>
            </w:r>
          </w:p>
        </w:tc>
        <w:tc>
          <w:tcPr>
            <w:tcW w:w="687" w:type="dxa"/>
            <w:noWrap w:val="0"/>
            <w:vAlign w:val="center"/>
          </w:tcPr>
          <w:p w14:paraId="454D59EF">
            <w:pPr>
              <w:widowControl/>
              <w:snapToGrid w:val="0"/>
              <w:spacing w:line="276" w:lineRule="auto"/>
              <w:jc w:val="right"/>
              <w:rPr>
                <w:rFonts w:hint="eastAsia" w:ascii="Arial" w:hAnsi="Arial" w:cs="宋体"/>
                <w:color w:val="auto"/>
                <w:kern w:val="0"/>
                <w:sz w:val="15"/>
                <w:szCs w:val="15"/>
                <w:highlight w:val="none"/>
                <w:lang w:val="en-US" w:eastAsia="zh-CN"/>
              </w:rPr>
            </w:pPr>
            <w:r>
              <w:rPr>
                <w:rFonts w:hint="eastAsia" w:ascii="Arial" w:hAnsi="Arial" w:cs="宋体"/>
                <w:color w:val="auto"/>
                <w:kern w:val="0"/>
                <w:sz w:val="15"/>
                <w:szCs w:val="15"/>
                <w:highlight w:val="none"/>
                <w:lang w:val="en-US" w:eastAsia="zh-CN"/>
              </w:rPr>
              <w:t>-</w:t>
            </w:r>
          </w:p>
        </w:tc>
        <w:tc>
          <w:tcPr>
            <w:tcW w:w="1428" w:type="dxa"/>
            <w:noWrap w:val="0"/>
            <w:vAlign w:val="center"/>
          </w:tcPr>
          <w:p w14:paraId="7743BAE9">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798,944,208.96</w:t>
            </w:r>
          </w:p>
        </w:tc>
        <w:tc>
          <w:tcPr>
            <w:tcW w:w="841" w:type="dxa"/>
            <w:noWrap w:val="0"/>
            <w:vAlign w:val="center"/>
          </w:tcPr>
          <w:p w14:paraId="3EFF23B9">
            <w:pPr>
              <w:widowControl/>
              <w:snapToGrid w:val="0"/>
              <w:spacing w:line="276" w:lineRule="auto"/>
              <w:jc w:val="right"/>
              <w:rPr>
                <w:rFonts w:hint="default" w:ascii="Arial" w:hAnsi="Arial" w:eastAsia="宋体" w:cs="宋体"/>
                <w:color w:val="auto"/>
                <w:kern w:val="0"/>
                <w:sz w:val="15"/>
                <w:szCs w:val="15"/>
                <w:highlight w:val="none"/>
                <w:lang w:val="en-US" w:eastAsia="zh-CN"/>
              </w:rPr>
            </w:pPr>
            <w:r>
              <w:rPr>
                <w:rFonts w:hint="eastAsia" w:ascii="Arial" w:hAnsi="Arial" w:cs="宋体"/>
                <w:color w:val="auto"/>
                <w:kern w:val="0"/>
                <w:sz w:val="15"/>
                <w:szCs w:val="15"/>
                <w:highlight w:val="none"/>
                <w:lang w:val="en-US" w:eastAsia="zh-CN"/>
              </w:rPr>
              <w:t>101.33</w:t>
            </w:r>
          </w:p>
        </w:tc>
        <w:tc>
          <w:tcPr>
            <w:tcW w:w="1133" w:type="dxa"/>
            <w:gridSpan w:val="2"/>
            <w:noWrap w:val="0"/>
            <w:vAlign w:val="center"/>
          </w:tcPr>
          <w:p w14:paraId="1C0CCC8C">
            <w:pPr>
              <w:widowControl/>
              <w:snapToGrid w:val="0"/>
              <w:spacing w:line="276" w:lineRule="auto"/>
              <w:jc w:val="right"/>
              <w:rPr>
                <w:rFonts w:hint="default" w:ascii="Arial" w:hAnsi="Arial" w:eastAsia="宋体" w:cs="宋体"/>
                <w:color w:val="auto"/>
                <w:kern w:val="0"/>
                <w:sz w:val="15"/>
                <w:szCs w:val="15"/>
                <w:highlight w:val="none"/>
                <w:lang w:val="en-US" w:eastAsia="zh-CN"/>
              </w:rPr>
            </w:pPr>
            <w:r>
              <w:rPr>
                <w:rFonts w:hint="eastAsia" w:ascii="Arial Narrow" w:hAnsi="Arial Narrow" w:cs="Arial Narrow"/>
                <w:color w:val="auto"/>
                <w:kern w:val="0"/>
                <w:sz w:val="15"/>
                <w:szCs w:val="15"/>
                <w:highlight w:val="none"/>
                <w:lang w:val="en-US" w:eastAsia="zh-CN" w:bidi="ar"/>
              </w:rPr>
              <w:t>2025-12-31</w:t>
            </w:r>
          </w:p>
        </w:tc>
        <w:tc>
          <w:tcPr>
            <w:tcW w:w="1274" w:type="dxa"/>
            <w:noWrap w:val="0"/>
            <w:vAlign w:val="center"/>
          </w:tcPr>
          <w:p w14:paraId="7F146065">
            <w:pPr>
              <w:widowControl/>
              <w:snapToGrid w:val="0"/>
              <w:spacing w:line="276" w:lineRule="auto"/>
              <w:jc w:val="right"/>
              <w:rPr>
                <w:rFonts w:hint="default" w:ascii="Arial" w:hAnsi="Arial" w:cs="宋体"/>
                <w:color w:val="auto"/>
                <w:kern w:val="0"/>
                <w:sz w:val="15"/>
                <w:szCs w:val="15"/>
                <w:highlight w:val="none"/>
                <w:lang w:val="en-US" w:eastAsia="zh-CN"/>
              </w:rPr>
            </w:pPr>
            <w:r>
              <w:rPr>
                <w:rFonts w:hint="eastAsia" w:ascii="Arial" w:hAnsi="Arial" w:cs="宋体"/>
                <w:color w:val="auto"/>
                <w:kern w:val="0"/>
                <w:sz w:val="15"/>
                <w:szCs w:val="15"/>
                <w:highlight w:val="none"/>
              </w:rPr>
              <w:t>5</w:t>
            </w:r>
            <w:r>
              <w:rPr>
                <w:rFonts w:hint="eastAsia" w:ascii="Arial" w:hAnsi="Arial" w:cs="宋体"/>
                <w:color w:val="auto"/>
                <w:kern w:val="0"/>
                <w:sz w:val="15"/>
                <w:szCs w:val="15"/>
                <w:highlight w:val="none"/>
                <w:lang w:val="en-US" w:eastAsia="zh-CN"/>
              </w:rPr>
              <w:t>,</w:t>
            </w:r>
            <w:r>
              <w:rPr>
                <w:rFonts w:hint="eastAsia" w:ascii="Arial" w:hAnsi="Arial" w:cs="宋体"/>
                <w:color w:val="auto"/>
                <w:kern w:val="0"/>
                <w:sz w:val="15"/>
                <w:szCs w:val="15"/>
                <w:highlight w:val="none"/>
              </w:rPr>
              <w:t>857</w:t>
            </w:r>
            <w:r>
              <w:rPr>
                <w:rFonts w:hint="eastAsia" w:ascii="Arial" w:hAnsi="Arial" w:cs="宋体"/>
                <w:color w:val="auto"/>
                <w:kern w:val="0"/>
                <w:sz w:val="15"/>
                <w:szCs w:val="15"/>
                <w:highlight w:val="none"/>
                <w:lang w:val="en-US" w:eastAsia="zh-CN"/>
              </w:rPr>
              <w:t>,</w:t>
            </w:r>
            <w:r>
              <w:rPr>
                <w:rFonts w:hint="eastAsia" w:ascii="Arial" w:hAnsi="Arial" w:cs="宋体"/>
                <w:color w:val="auto"/>
                <w:kern w:val="0"/>
                <w:sz w:val="15"/>
                <w:szCs w:val="15"/>
                <w:highlight w:val="none"/>
              </w:rPr>
              <w:t>513.97</w:t>
            </w:r>
          </w:p>
        </w:tc>
        <w:tc>
          <w:tcPr>
            <w:tcW w:w="863" w:type="dxa"/>
            <w:noWrap w:val="0"/>
            <w:vAlign w:val="center"/>
          </w:tcPr>
          <w:p w14:paraId="1DF880DA">
            <w:pPr>
              <w:widowControl/>
              <w:snapToGrid w:val="0"/>
              <w:spacing w:line="276" w:lineRule="auto"/>
              <w:jc w:val="center"/>
              <w:rPr>
                <w:rFonts w:ascii="Arial" w:hAnsi="Arial" w:cs="宋体"/>
                <w:color w:val="auto"/>
                <w:kern w:val="0"/>
                <w:sz w:val="15"/>
                <w:szCs w:val="15"/>
                <w:highlight w:val="none"/>
              </w:rPr>
            </w:pPr>
            <w:r>
              <w:rPr>
                <w:rFonts w:hint="eastAsia" w:ascii="Arial Narrow" w:hAnsi="Arial Narrow" w:cs="Arial Narrow"/>
                <w:color w:val="auto"/>
                <w:kern w:val="0"/>
                <w:sz w:val="15"/>
                <w:szCs w:val="15"/>
                <w:highlight w:val="none"/>
                <w:lang w:bidi="ar"/>
              </w:rPr>
              <w:t>是</w:t>
            </w:r>
          </w:p>
        </w:tc>
        <w:tc>
          <w:tcPr>
            <w:tcW w:w="1122" w:type="dxa"/>
            <w:noWrap w:val="0"/>
            <w:vAlign w:val="center"/>
          </w:tcPr>
          <w:p w14:paraId="5AF476EC">
            <w:pPr>
              <w:widowControl/>
              <w:snapToGrid w:val="0"/>
              <w:spacing w:line="276" w:lineRule="auto"/>
              <w:jc w:val="center"/>
              <w:rPr>
                <w:rFonts w:ascii="Arial" w:hAnsi="Arial" w:cs="宋体"/>
                <w:color w:val="auto"/>
                <w:kern w:val="0"/>
                <w:sz w:val="15"/>
                <w:szCs w:val="15"/>
                <w:highlight w:val="none"/>
              </w:rPr>
            </w:pPr>
            <w:r>
              <w:rPr>
                <w:rFonts w:hint="eastAsia" w:ascii="Arial Narrow" w:hAnsi="Arial Narrow" w:cs="Arial Narrow"/>
                <w:color w:val="auto"/>
                <w:kern w:val="0"/>
                <w:sz w:val="15"/>
                <w:szCs w:val="15"/>
                <w:highlight w:val="none"/>
                <w:lang w:bidi="ar"/>
              </w:rPr>
              <w:t>否</w:t>
            </w:r>
          </w:p>
        </w:tc>
      </w:tr>
      <w:tr w14:paraId="08A20E8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62ECDCF6">
            <w:pPr>
              <w:widowControl/>
              <w:snapToGrid w:val="0"/>
              <w:spacing w:line="276" w:lineRule="auto"/>
              <w:jc w:val="left"/>
              <w:rPr>
                <w:rFonts w:hint="eastAsia" w:ascii="Arial" w:hAnsi="Arial" w:cs="宋体"/>
                <w:color w:val="auto"/>
                <w:kern w:val="0"/>
                <w:sz w:val="18"/>
                <w:szCs w:val="18"/>
                <w:highlight w:val="none"/>
              </w:rPr>
            </w:pPr>
            <w:r>
              <w:rPr>
                <w:rFonts w:hint="eastAsia" w:ascii="Arial Narrow" w:hAnsi="Arial Narrow" w:cs="Arial Narrow"/>
                <w:color w:val="auto"/>
                <w:kern w:val="0"/>
                <w:sz w:val="18"/>
                <w:szCs w:val="18"/>
                <w:highlight w:val="none"/>
              </w:rPr>
              <w:t>3、补充流动资金</w:t>
            </w:r>
          </w:p>
        </w:tc>
        <w:tc>
          <w:tcPr>
            <w:tcW w:w="1049" w:type="dxa"/>
            <w:noWrap w:val="0"/>
            <w:vAlign w:val="center"/>
          </w:tcPr>
          <w:p w14:paraId="091DB42B">
            <w:pPr>
              <w:widowControl/>
              <w:snapToGrid w:val="0"/>
              <w:spacing w:line="276" w:lineRule="auto"/>
              <w:jc w:val="center"/>
              <w:rPr>
                <w:rFonts w:ascii="Arial" w:hAnsi="Arial" w:cs="宋体"/>
                <w:color w:val="auto"/>
                <w:kern w:val="0"/>
                <w:sz w:val="18"/>
                <w:szCs w:val="18"/>
                <w:highlight w:val="none"/>
              </w:rPr>
            </w:pPr>
            <w:r>
              <w:rPr>
                <w:rFonts w:ascii="Arial Narrow" w:hAnsi="Arial Narrow" w:cs="Arial Narrow"/>
                <w:color w:val="auto"/>
                <w:sz w:val="18"/>
                <w:szCs w:val="18"/>
                <w:highlight w:val="none"/>
              </w:rPr>
              <w:t>否</w:t>
            </w:r>
          </w:p>
        </w:tc>
        <w:tc>
          <w:tcPr>
            <w:tcW w:w="1428" w:type="dxa"/>
            <w:noWrap w:val="0"/>
            <w:vAlign w:val="center"/>
          </w:tcPr>
          <w:p w14:paraId="1C87D78A">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450,000,000.00</w:t>
            </w:r>
          </w:p>
        </w:tc>
        <w:tc>
          <w:tcPr>
            <w:tcW w:w="1428" w:type="dxa"/>
            <w:noWrap w:val="0"/>
            <w:vAlign w:val="center"/>
          </w:tcPr>
          <w:p w14:paraId="0CC0F8AE">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337,912,615.43</w:t>
            </w:r>
          </w:p>
        </w:tc>
        <w:tc>
          <w:tcPr>
            <w:tcW w:w="687" w:type="dxa"/>
            <w:noWrap w:val="0"/>
            <w:vAlign w:val="center"/>
          </w:tcPr>
          <w:p w14:paraId="1B68F654">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w:t>
            </w:r>
          </w:p>
        </w:tc>
        <w:tc>
          <w:tcPr>
            <w:tcW w:w="1428" w:type="dxa"/>
            <w:noWrap w:val="0"/>
            <w:vAlign w:val="center"/>
          </w:tcPr>
          <w:p w14:paraId="39E60B23">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337,912,615.43</w:t>
            </w:r>
          </w:p>
        </w:tc>
        <w:tc>
          <w:tcPr>
            <w:tcW w:w="841" w:type="dxa"/>
            <w:noWrap w:val="0"/>
            <w:vAlign w:val="center"/>
          </w:tcPr>
          <w:p w14:paraId="7D961965">
            <w:pPr>
              <w:widowControl/>
              <w:snapToGrid w:val="0"/>
              <w:spacing w:line="276" w:lineRule="auto"/>
              <w:jc w:val="right"/>
              <w:rPr>
                <w:rFonts w:ascii="Arial" w:hAnsi="Arial" w:cs="宋体"/>
                <w:color w:val="auto"/>
                <w:kern w:val="0"/>
                <w:sz w:val="15"/>
                <w:szCs w:val="15"/>
                <w:highlight w:val="none"/>
              </w:rPr>
            </w:pPr>
            <w:r>
              <w:rPr>
                <w:rFonts w:ascii="Arial Narrow" w:hAnsi="Arial Narrow" w:eastAsia="Arial Narrow" w:cs="Arial Narrow"/>
                <w:color w:val="auto"/>
                <w:kern w:val="0"/>
                <w:sz w:val="15"/>
                <w:szCs w:val="15"/>
                <w:highlight w:val="none"/>
                <w:lang w:bidi="ar"/>
              </w:rPr>
              <w:t>100.00</w:t>
            </w:r>
          </w:p>
        </w:tc>
        <w:tc>
          <w:tcPr>
            <w:tcW w:w="1133" w:type="dxa"/>
            <w:gridSpan w:val="2"/>
            <w:noWrap w:val="0"/>
            <w:vAlign w:val="center"/>
          </w:tcPr>
          <w:p w14:paraId="0B14879E">
            <w:pPr>
              <w:widowControl/>
              <w:snapToGrid w:val="0"/>
              <w:spacing w:line="276" w:lineRule="auto"/>
              <w:jc w:val="right"/>
              <w:rPr>
                <w:rFonts w:ascii="Arial" w:hAnsi="Arial" w:cs="宋体"/>
                <w:color w:val="auto"/>
                <w:kern w:val="0"/>
                <w:sz w:val="15"/>
                <w:szCs w:val="15"/>
                <w:highlight w:val="none"/>
              </w:rPr>
            </w:pPr>
            <w:r>
              <w:rPr>
                <w:rFonts w:hint="eastAsia" w:ascii="Arial Narrow" w:hAnsi="Arial Narrow" w:eastAsia="Arial Narrow" w:cs="Arial Narrow"/>
                <w:color w:val="auto"/>
                <w:kern w:val="0"/>
                <w:sz w:val="15"/>
                <w:szCs w:val="15"/>
                <w:highlight w:val="none"/>
                <w:lang w:bidi="ar"/>
              </w:rPr>
              <w:t>---</w:t>
            </w:r>
          </w:p>
        </w:tc>
        <w:tc>
          <w:tcPr>
            <w:tcW w:w="1274" w:type="dxa"/>
            <w:noWrap w:val="0"/>
            <w:vAlign w:val="center"/>
          </w:tcPr>
          <w:p w14:paraId="256E3C5D">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w:t>
            </w:r>
          </w:p>
        </w:tc>
        <w:tc>
          <w:tcPr>
            <w:tcW w:w="863" w:type="dxa"/>
            <w:noWrap w:val="0"/>
            <w:vAlign w:val="center"/>
          </w:tcPr>
          <w:p w14:paraId="5B724B15">
            <w:pPr>
              <w:widowControl/>
              <w:snapToGrid w:val="0"/>
              <w:spacing w:line="276" w:lineRule="auto"/>
              <w:jc w:val="center"/>
              <w:rPr>
                <w:rFonts w:ascii="Arial" w:hAnsi="Arial" w:cs="宋体"/>
                <w:color w:val="auto"/>
                <w:kern w:val="0"/>
                <w:sz w:val="15"/>
                <w:szCs w:val="15"/>
                <w:highlight w:val="none"/>
              </w:rPr>
            </w:pPr>
            <w:r>
              <w:rPr>
                <w:rFonts w:ascii="Arial Narrow" w:hAnsi="Arial Narrow" w:eastAsia="Arial Narrow" w:cs="Arial Narrow"/>
                <w:color w:val="auto"/>
                <w:kern w:val="0"/>
                <w:sz w:val="15"/>
                <w:szCs w:val="15"/>
                <w:highlight w:val="none"/>
                <w:lang w:bidi="ar"/>
              </w:rPr>
              <w:t>---</w:t>
            </w:r>
          </w:p>
        </w:tc>
        <w:tc>
          <w:tcPr>
            <w:tcW w:w="1122" w:type="dxa"/>
            <w:noWrap w:val="0"/>
            <w:vAlign w:val="center"/>
          </w:tcPr>
          <w:p w14:paraId="7E0B62AA">
            <w:pPr>
              <w:widowControl/>
              <w:snapToGrid w:val="0"/>
              <w:spacing w:line="276" w:lineRule="auto"/>
              <w:jc w:val="center"/>
              <w:rPr>
                <w:rFonts w:ascii="Arial" w:hAnsi="Arial" w:cs="宋体"/>
                <w:color w:val="auto"/>
                <w:kern w:val="0"/>
                <w:sz w:val="15"/>
                <w:szCs w:val="15"/>
                <w:highlight w:val="none"/>
              </w:rPr>
            </w:pPr>
            <w:r>
              <w:rPr>
                <w:rFonts w:ascii="Arial Narrow" w:hAnsi="Arial Narrow" w:eastAsia="Arial Narrow" w:cs="Arial Narrow"/>
                <w:color w:val="auto"/>
                <w:kern w:val="0"/>
                <w:sz w:val="15"/>
                <w:szCs w:val="15"/>
                <w:highlight w:val="none"/>
                <w:lang w:bidi="ar"/>
              </w:rPr>
              <w:t>---</w:t>
            </w:r>
          </w:p>
        </w:tc>
      </w:tr>
      <w:tr w14:paraId="136C120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4AF4BFE1">
            <w:pPr>
              <w:widowControl/>
              <w:snapToGrid w:val="0"/>
              <w:spacing w:line="276" w:lineRule="auto"/>
              <w:jc w:val="left"/>
              <w:rPr>
                <w:rFonts w:ascii="Arial" w:hAnsi="Arial" w:cs="宋体"/>
                <w:color w:val="auto"/>
                <w:kern w:val="0"/>
                <w:sz w:val="18"/>
                <w:szCs w:val="18"/>
                <w:highlight w:val="none"/>
              </w:rPr>
            </w:pPr>
            <w:r>
              <w:rPr>
                <w:rFonts w:hint="eastAsia" w:ascii="Arial Narrow" w:hAnsi="Arial Narrow" w:cs="Arial Narrow"/>
                <w:color w:val="auto"/>
                <w:kern w:val="0"/>
                <w:sz w:val="18"/>
                <w:szCs w:val="18"/>
                <w:highlight w:val="none"/>
              </w:rPr>
              <w:t>4、临时性补充流动资金</w:t>
            </w:r>
          </w:p>
        </w:tc>
        <w:tc>
          <w:tcPr>
            <w:tcW w:w="1049" w:type="dxa"/>
            <w:noWrap w:val="0"/>
            <w:vAlign w:val="center"/>
          </w:tcPr>
          <w:p w14:paraId="342A7A62">
            <w:pPr>
              <w:widowControl/>
              <w:snapToGrid w:val="0"/>
              <w:spacing w:line="276" w:lineRule="auto"/>
              <w:jc w:val="center"/>
              <w:rPr>
                <w:rFonts w:ascii="Arial" w:hAnsi="Arial" w:cs="宋体"/>
                <w:color w:val="auto"/>
                <w:kern w:val="0"/>
                <w:sz w:val="18"/>
                <w:szCs w:val="18"/>
                <w:highlight w:val="none"/>
              </w:rPr>
            </w:pPr>
            <w:r>
              <w:rPr>
                <w:rFonts w:hint="eastAsia" w:ascii="Arial Narrow" w:hAnsi="Arial Narrow" w:cs="Arial Narrow"/>
                <w:color w:val="auto"/>
                <w:sz w:val="18"/>
                <w:szCs w:val="18"/>
                <w:highlight w:val="none"/>
              </w:rPr>
              <w:t>是</w:t>
            </w:r>
          </w:p>
        </w:tc>
        <w:tc>
          <w:tcPr>
            <w:tcW w:w="1428" w:type="dxa"/>
            <w:noWrap w:val="0"/>
            <w:vAlign w:val="center"/>
          </w:tcPr>
          <w:p w14:paraId="3193AD76">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w:t>
            </w:r>
          </w:p>
        </w:tc>
        <w:tc>
          <w:tcPr>
            <w:tcW w:w="1428" w:type="dxa"/>
            <w:noWrap w:val="0"/>
            <w:vAlign w:val="center"/>
          </w:tcPr>
          <w:p w14:paraId="79D0673E">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w:t>
            </w:r>
          </w:p>
        </w:tc>
        <w:tc>
          <w:tcPr>
            <w:tcW w:w="687" w:type="dxa"/>
            <w:noWrap w:val="0"/>
            <w:vAlign w:val="center"/>
          </w:tcPr>
          <w:p w14:paraId="6BACC37A">
            <w:pPr>
              <w:widowControl/>
              <w:snapToGrid w:val="0"/>
              <w:spacing w:line="276" w:lineRule="auto"/>
              <w:jc w:val="right"/>
              <w:rPr>
                <w:rFonts w:hint="eastAsia" w:ascii="Arial" w:hAnsi="Arial" w:cs="宋体"/>
                <w:color w:val="auto"/>
                <w:kern w:val="0"/>
                <w:sz w:val="15"/>
                <w:szCs w:val="15"/>
                <w:highlight w:val="none"/>
                <w:lang w:val="en-US" w:eastAsia="zh-CN"/>
              </w:rPr>
            </w:pPr>
            <w:r>
              <w:rPr>
                <w:rFonts w:hint="eastAsia" w:ascii="Arial" w:hAnsi="Arial" w:cs="宋体"/>
                <w:color w:val="auto"/>
                <w:kern w:val="0"/>
                <w:sz w:val="15"/>
                <w:szCs w:val="15"/>
                <w:highlight w:val="none"/>
                <w:lang w:val="en-US" w:eastAsia="zh-CN"/>
              </w:rPr>
              <w:t>-</w:t>
            </w:r>
          </w:p>
        </w:tc>
        <w:tc>
          <w:tcPr>
            <w:tcW w:w="1428" w:type="dxa"/>
            <w:noWrap w:val="0"/>
            <w:vAlign w:val="center"/>
          </w:tcPr>
          <w:p w14:paraId="518E5F10">
            <w:pPr>
              <w:widowControl/>
              <w:snapToGrid w:val="0"/>
              <w:spacing w:line="276" w:lineRule="auto"/>
              <w:jc w:val="right"/>
              <w:rPr>
                <w:rFonts w:hint="eastAsia" w:ascii="Arial" w:hAnsi="Arial" w:eastAsia="宋体" w:cs="宋体"/>
                <w:color w:val="auto"/>
                <w:kern w:val="0"/>
                <w:sz w:val="15"/>
                <w:szCs w:val="15"/>
                <w:highlight w:val="none"/>
                <w:lang w:val="en-US" w:eastAsia="zh-CN" w:bidi="ar-SA"/>
              </w:rPr>
            </w:pPr>
            <w:r>
              <w:rPr>
                <w:rFonts w:hint="eastAsia" w:ascii="Arial" w:hAnsi="Arial" w:cs="宋体"/>
                <w:color w:val="auto"/>
                <w:kern w:val="0"/>
                <w:sz w:val="15"/>
                <w:szCs w:val="15"/>
                <w:highlight w:val="none"/>
                <w:lang w:val="en-US" w:eastAsia="zh-CN"/>
              </w:rPr>
              <w:t>-</w:t>
            </w:r>
          </w:p>
        </w:tc>
        <w:tc>
          <w:tcPr>
            <w:tcW w:w="841" w:type="dxa"/>
            <w:noWrap w:val="0"/>
            <w:vAlign w:val="center"/>
          </w:tcPr>
          <w:p w14:paraId="38AAD8B8">
            <w:pPr>
              <w:widowControl/>
              <w:snapToGrid w:val="0"/>
              <w:spacing w:line="276" w:lineRule="auto"/>
              <w:jc w:val="right"/>
              <w:rPr>
                <w:rFonts w:ascii="Arial" w:hAnsi="Arial" w:cs="宋体"/>
                <w:color w:val="auto"/>
                <w:kern w:val="0"/>
                <w:sz w:val="15"/>
                <w:szCs w:val="15"/>
                <w:highlight w:val="none"/>
              </w:rPr>
            </w:pPr>
            <w:r>
              <w:rPr>
                <w:rFonts w:hint="eastAsia" w:ascii="Arial Narrow" w:hAnsi="Arial Narrow" w:eastAsia="Arial Narrow" w:cs="Arial Narrow"/>
                <w:color w:val="auto"/>
                <w:kern w:val="0"/>
                <w:sz w:val="15"/>
                <w:szCs w:val="15"/>
                <w:highlight w:val="none"/>
                <w:lang w:bidi="ar"/>
              </w:rPr>
              <w:t>---</w:t>
            </w:r>
          </w:p>
        </w:tc>
        <w:tc>
          <w:tcPr>
            <w:tcW w:w="1133" w:type="dxa"/>
            <w:gridSpan w:val="2"/>
            <w:noWrap w:val="0"/>
            <w:vAlign w:val="center"/>
          </w:tcPr>
          <w:p w14:paraId="3387B8AC">
            <w:pPr>
              <w:widowControl/>
              <w:snapToGrid w:val="0"/>
              <w:spacing w:line="276" w:lineRule="auto"/>
              <w:jc w:val="right"/>
              <w:rPr>
                <w:rFonts w:ascii="Arial" w:hAnsi="Arial" w:cs="宋体"/>
                <w:color w:val="auto"/>
                <w:kern w:val="0"/>
                <w:sz w:val="15"/>
                <w:szCs w:val="15"/>
                <w:highlight w:val="none"/>
              </w:rPr>
            </w:pPr>
            <w:r>
              <w:rPr>
                <w:rFonts w:hint="eastAsia" w:ascii="Arial Narrow" w:hAnsi="Arial Narrow" w:eastAsia="Arial Narrow" w:cs="Arial Narrow"/>
                <w:color w:val="auto"/>
                <w:kern w:val="0"/>
                <w:sz w:val="15"/>
                <w:szCs w:val="15"/>
                <w:highlight w:val="none"/>
                <w:lang w:bidi="ar"/>
              </w:rPr>
              <w:t>---</w:t>
            </w:r>
          </w:p>
        </w:tc>
        <w:tc>
          <w:tcPr>
            <w:tcW w:w="1274" w:type="dxa"/>
            <w:noWrap w:val="0"/>
            <w:vAlign w:val="center"/>
          </w:tcPr>
          <w:p w14:paraId="66FA800B">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w:t>
            </w:r>
          </w:p>
        </w:tc>
        <w:tc>
          <w:tcPr>
            <w:tcW w:w="863" w:type="dxa"/>
            <w:noWrap w:val="0"/>
            <w:vAlign w:val="center"/>
          </w:tcPr>
          <w:p w14:paraId="0F940061">
            <w:pPr>
              <w:widowControl/>
              <w:snapToGrid w:val="0"/>
              <w:spacing w:line="276" w:lineRule="auto"/>
              <w:jc w:val="center"/>
              <w:rPr>
                <w:rFonts w:ascii="Arial" w:hAnsi="Arial" w:cs="宋体"/>
                <w:color w:val="auto"/>
                <w:kern w:val="0"/>
                <w:sz w:val="15"/>
                <w:szCs w:val="15"/>
                <w:highlight w:val="none"/>
              </w:rPr>
            </w:pPr>
            <w:r>
              <w:rPr>
                <w:rFonts w:ascii="Arial Narrow" w:hAnsi="Arial Narrow" w:eastAsia="Arial Narrow" w:cs="Arial Narrow"/>
                <w:color w:val="auto"/>
                <w:kern w:val="0"/>
                <w:sz w:val="15"/>
                <w:szCs w:val="15"/>
                <w:highlight w:val="none"/>
                <w:lang w:bidi="ar"/>
              </w:rPr>
              <w:t>---</w:t>
            </w:r>
          </w:p>
        </w:tc>
        <w:tc>
          <w:tcPr>
            <w:tcW w:w="1122" w:type="dxa"/>
            <w:noWrap w:val="0"/>
            <w:vAlign w:val="center"/>
          </w:tcPr>
          <w:p w14:paraId="35DF97CE">
            <w:pPr>
              <w:widowControl/>
              <w:snapToGrid w:val="0"/>
              <w:spacing w:line="276" w:lineRule="auto"/>
              <w:jc w:val="center"/>
              <w:rPr>
                <w:rFonts w:ascii="Arial" w:hAnsi="Arial" w:cs="宋体"/>
                <w:color w:val="auto"/>
                <w:kern w:val="0"/>
                <w:sz w:val="15"/>
                <w:szCs w:val="15"/>
                <w:highlight w:val="none"/>
              </w:rPr>
            </w:pPr>
            <w:r>
              <w:rPr>
                <w:rFonts w:ascii="Arial Narrow" w:hAnsi="Arial Narrow" w:eastAsia="Arial Narrow" w:cs="Arial Narrow"/>
                <w:color w:val="auto"/>
                <w:kern w:val="0"/>
                <w:sz w:val="15"/>
                <w:szCs w:val="15"/>
                <w:highlight w:val="none"/>
                <w:lang w:bidi="ar"/>
              </w:rPr>
              <w:t>---</w:t>
            </w:r>
          </w:p>
        </w:tc>
      </w:tr>
      <w:tr w14:paraId="066E53C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45071BC2">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承诺投资项目小计</w:t>
            </w:r>
          </w:p>
        </w:tc>
        <w:tc>
          <w:tcPr>
            <w:tcW w:w="1049" w:type="dxa"/>
            <w:noWrap w:val="0"/>
            <w:vAlign w:val="center"/>
          </w:tcPr>
          <w:p w14:paraId="3216F5DC">
            <w:pPr>
              <w:widowControl/>
              <w:snapToGrid w:val="0"/>
              <w:spacing w:line="276" w:lineRule="auto"/>
              <w:jc w:val="center"/>
              <w:rPr>
                <w:rFonts w:ascii="Arial" w:hAnsi="Arial" w:cs="宋体"/>
                <w:color w:val="auto"/>
                <w:kern w:val="0"/>
                <w:sz w:val="18"/>
                <w:szCs w:val="18"/>
                <w:highlight w:val="none"/>
              </w:rPr>
            </w:pPr>
          </w:p>
        </w:tc>
        <w:tc>
          <w:tcPr>
            <w:tcW w:w="1428" w:type="dxa"/>
            <w:noWrap w:val="0"/>
            <w:vAlign w:val="center"/>
          </w:tcPr>
          <w:p w14:paraId="3C2CA9EB">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rPr>
              <w:t>1,500,000,000.00</w:t>
            </w:r>
          </w:p>
        </w:tc>
        <w:tc>
          <w:tcPr>
            <w:tcW w:w="1428" w:type="dxa"/>
            <w:noWrap w:val="0"/>
            <w:vAlign w:val="center"/>
          </w:tcPr>
          <w:p w14:paraId="0184C06C">
            <w:pPr>
              <w:widowControl/>
              <w:snapToGrid w:val="0"/>
              <w:spacing w:line="276" w:lineRule="auto"/>
              <w:jc w:val="right"/>
              <w:rPr>
                <w:rFonts w:hint="eastAsia" w:ascii="Arial" w:hAnsi="Arial" w:cs="宋体"/>
                <w:color w:val="auto"/>
                <w:kern w:val="0"/>
                <w:sz w:val="15"/>
                <w:szCs w:val="15"/>
                <w:highlight w:val="none"/>
                <w:lang w:val="en-US" w:eastAsia="zh-CN"/>
              </w:rPr>
            </w:pPr>
            <w:r>
              <w:rPr>
                <w:rFonts w:hint="eastAsia" w:ascii="Arial" w:hAnsi="Arial" w:cs="宋体"/>
                <w:color w:val="auto"/>
                <w:kern w:val="0"/>
                <w:sz w:val="15"/>
                <w:szCs w:val="15"/>
                <w:highlight w:val="none"/>
              </w:rPr>
              <w:t>1,126,375,384.7</w:t>
            </w:r>
            <w:r>
              <w:rPr>
                <w:rFonts w:hint="eastAsia" w:ascii="Arial" w:hAnsi="Arial" w:cs="宋体"/>
                <w:color w:val="auto"/>
                <w:kern w:val="0"/>
                <w:sz w:val="15"/>
                <w:szCs w:val="15"/>
                <w:highlight w:val="none"/>
                <w:lang w:val="en-US" w:eastAsia="zh-CN"/>
              </w:rPr>
              <w:t>8</w:t>
            </w:r>
          </w:p>
        </w:tc>
        <w:tc>
          <w:tcPr>
            <w:tcW w:w="687" w:type="dxa"/>
            <w:noWrap w:val="0"/>
            <w:vAlign w:val="center"/>
          </w:tcPr>
          <w:p w14:paraId="7E4F8CC9">
            <w:pPr>
              <w:widowControl/>
              <w:snapToGrid w:val="0"/>
              <w:spacing w:line="276" w:lineRule="auto"/>
              <w:jc w:val="right"/>
              <w:rPr>
                <w:rFonts w:hint="eastAsia" w:ascii="Arial" w:hAnsi="Arial" w:cs="宋体"/>
                <w:color w:val="auto"/>
                <w:kern w:val="0"/>
                <w:sz w:val="15"/>
                <w:szCs w:val="15"/>
                <w:highlight w:val="none"/>
                <w:lang w:val="en-US" w:eastAsia="zh-CN"/>
              </w:rPr>
            </w:pPr>
            <w:r>
              <w:rPr>
                <w:rFonts w:hint="eastAsia" w:ascii="Arial" w:hAnsi="Arial" w:cs="宋体"/>
                <w:color w:val="auto"/>
                <w:kern w:val="0"/>
                <w:sz w:val="15"/>
                <w:szCs w:val="15"/>
                <w:highlight w:val="none"/>
                <w:lang w:val="en-US" w:eastAsia="zh-CN"/>
              </w:rPr>
              <w:t>-</w:t>
            </w:r>
          </w:p>
        </w:tc>
        <w:tc>
          <w:tcPr>
            <w:tcW w:w="1428" w:type="dxa"/>
            <w:noWrap w:val="0"/>
            <w:vAlign w:val="center"/>
          </w:tcPr>
          <w:p w14:paraId="5A5B84E7">
            <w:pPr>
              <w:widowControl/>
              <w:snapToGrid w:val="0"/>
              <w:spacing w:line="276" w:lineRule="auto"/>
              <w:jc w:val="right"/>
              <w:rPr>
                <w:rFonts w:hint="eastAsia" w:ascii="Arial" w:hAnsi="Arial" w:cs="宋体"/>
                <w:color w:val="auto"/>
                <w:kern w:val="0"/>
                <w:sz w:val="15"/>
                <w:szCs w:val="15"/>
                <w:highlight w:val="none"/>
              </w:rPr>
            </w:pPr>
            <w:r>
              <w:rPr>
                <w:rFonts w:hint="eastAsia" w:ascii="Arial" w:hAnsi="Arial" w:cs="宋体"/>
                <w:color w:val="auto"/>
                <w:kern w:val="0"/>
                <w:sz w:val="15"/>
                <w:szCs w:val="15"/>
                <w:highlight w:val="none"/>
                <w:lang w:val="en-US" w:eastAsia="zh-CN"/>
              </w:rPr>
              <w:t>1,</w:t>
            </w:r>
            <w:r>
              <w:rPr>
                <w:rFonts w:hint="eastAsia" w:ascii="Arial" w:hAnsi="Arial" w:cs="宋体"/>
                <w:color w:val="auto"/>
                <w:kern w:val="0"/>
                <w:sz w:val="15"/>
                <w:szCs w:val="15"/>
                <w:highlight w:val="none"/>
              </w:rPr>
              <w:t>136,856,824.39</w:t>
            </w:r>
          </w:p>
        </w:tc>
        <w:tc>
          <w:tcPr>
            <w:tcW w:w="841" w:type="dxa"/>
            <w:noWrap w:val="0"/>
            <w:vAlign w:val="center"/>
          </w:tcPr>
          <w:p w14:paraId="78A90769">
            <w:pPr>
              <w:widowControl/>
              <w:snapToGrid w:val="0"/>
              <w:spacing w:line="276" w:lineRule="auto"/>
              <w:jc w:val="right"/>
              <w:rPr>
                <w:rFonts w:ascii="Arial" w:hAnsi="Arial" w:cs="宋体"/>
                <w:color w:val="auto"/>
                <w:kern w:val="0"/>
                <w:sz w:val="15"/>
                <w:szCs w:val="15"/>
                <w:highlight w:val="none"/>
              </w:rPr>
            </w:pPr>
            <w:r>
              <w:rPr>
                <w:rFonts w:hint="eastAsia" w:ascii="Arial Narrow" w:hAnsi="Arial Narrow" w:eastAsia="Arial Narrow" w:cs="Arial Narrow"/>
                <w:color w:val="auto"/>
                <w:kern w:val="0"/>
                <w:sz w:val="15"/>
                <w:szCs w:val="15"/>
                <w:highlight w:val="none"/>
                <w:lang w:bidi="ar"/>
              </w:rPr>
              <w:t>---</w:t>
            </w:r>
          </w:p>
        </w:tc>
        <w:tc>
          <w:tcPr>
            <w:tcW w:w="1133" w:type="dxa"/>
            <w:gridSpan w:val="2"/>
            <w:noWrap w:val="0"/>
            <w:vAlign w:val="center"/>
          </w:tcPr>
          <w:p w14:paraId="3C1C230B">
            <w:pPr>
              <w:widowControl/>
              <w:snapToGrid w:val="0"/>
              <w:spacing w:line="276" w:lineRule="auto"/>
              <w:jc w:val="right"/>
              <w:rPr>
                <w:rFonts w:ascii="Arial" w:hAnsi="Arial" w:cs="宋体"/>
                <w:color w:val="auto"/>
                <w:kern w:val="0"/>
                <w:sz w:val="15"/>
                <w:szCs w:val="15"/>
                <w:highlight w:val="none"/>
              </w:rPr>
            </w:pPr>
            <w:r>
              <w:rPr>
                <w:rFonts w:hint="eastAsia" w:ascii="Arial Narrow" w:hAnsi="Arial Narrow" w:eastAsia="Arial Narrow" w:cs="Arial Narrow"/>
                <w:color w:val="auto"/>
                <w:kern w:val="0"/>
                <w:sz w:val="15"/>
                <w:szCs w:val="15"/>
                <w:highlight w:val="none"/>
                <w:lang w:bidi="ar"/>
              </w:rPr>
              <w:t>---</w:t>
            </w:r>
          </w:p>
        </w:tc>
        <w:tc>
          <w:tcPr>
            <w:tcW w:w="1274" w:type="dxa"/>
            <w:noWrap w:val="0"/>
            <w:vAlign w:val="center"/>
          </w:tcPr>
          <w:p w14:paraId="61704D3F">
            <w:pPr>
              <w:widowControl/>
              <w:snapToGrid w:val="0"/>
              <w:spacing w:line="276" w:lineRule="auto"/>
              <w:jc w:val="right"/>
              <w:rPr>
                <w:rFonts w:hint="default" w:ascii="Arial" w:hAnsi="Arial" w:cs="宋体"/>
                <w:color w:val="auto"/>
                <w:kern w:val="0"/>
                <w:sz w:val="15"/>
                <w:szCs w:val="15"/>
                <w:highlight w:val="none"/>
                <w:lang w:val="en-US" w:eastAsia="zh-CN"/>
              </w:rPr>
            </w:pPr>
            <w:r>
              <w:rPr>
                <w:rFonts w:hint="eastAsia" w:ascii="Arial" w:hAnsi="Arial" w:cs="宋体"/>
                <w:color w:val="auto"/>
                <w:kern w:val="0"/>
                <w:sz w:val="15"/>
                <w:szCs w:val="15"/>
                <w:highlight w:val="none"/>
              </w:rPr>
              <w:t>5</w:t>
            </w:r>
            <w:r>
              <w:rPr>
                <w:rFonts w:hint="eastAsia" w:ascii="Arial" w:hAnsi="Arial" w:cs="宋体"/>
                <w:color w:val="auto"/>
                <w:kern w:val="0"/>
                <w:sz w:val="15"/>
                <w:szCs w:val="15"/>
                <w:highlight w:val="none"/>
                <w:lang w:val="en-US" w:eastAsia="zh-CN"/>
              </w:rPr>
              <w:t>,</w:t>
            </w:r>
            <w:r>
              <w:rPr>
                <w:rFonts w:hint="eastAsia" w:ascii="Arial" w:hAnsi="Arial" w:cs="宋体"/>
                <w:color w:val="auto"/>
                <w:kern w:val="0"/>
                <w:sz w:val="15"/>
                <w:szCs w:val="15"/>
                <w:highlight w:val="none"/>
              </w:rPr>
              <w:t>857</w:t>
            </w:r>
            <w:r>
              <w:rPr>
                <w:rFonts w:hint="eastAsia" w:ascii="Arial" w:hAnsi="Arial" w:cs="宋体"/>
                <w:color w:val="auto"/>
                <w:kern w:val="0"/>
                <w:sz w:val="15"/>
                <w:szCs w:val="15"/>
                <w:highlight w:val="none"/>
                <w:lang w:val="en-US" w:eastAsia="zh-CN"/>
              </w:rPr>
              <w:t>,</w:t>
            </w:r>
            <w:r>
              <w:rPr>
                <w:rFonts w:hint="eastAsia" w:ascii="Arial" w:hAnsi="Arial" w:cs="宋体"/>
                <w:color w:val="auto"/>
                <w:kern w:val="0"/>
                <w:sz w:val="15"/>
                <w:szCs w:val="15"/>
                <w:highlight w:val="none"/>
              </w:rPr>
              <w:t>513.97</w:t>
            </w:r>
          </w:p>
        </w:tc>
        <w:tc>
          <w:tcPr>
            <w:tcW w:w="863" w:type="dxa"/>
            <w:noWrap w:val="0"/>
            <w:vAlign w:val="center"/>
          </w:tcPr>
          <w:p w14:paraId="2AF8AEA2">
            <w:pPr>
              <w:widowControl/>
              <w:snapToGrid w:val="0"/>
              <w:spacing w:line="276" w:lineRule="auto"/>
              <w:jc w:val="center"/>
              <w:rPr>
                <w:rFonts w:ascii="Arial" w:hAnsi="Arial" w:cs="宋体"/>
                <w:color w:val="auto"/>
                <w:kern w:val="0"/>
                <w:sz w:val="15"/>
                <w:szCs w:val="15"/>
                <w:highlight w:val="none"/>
              </w:rPr>
            </w:pPr>
            <w:r>
              <w:rPr>
                <w:rFonts w:ascii="Arial Narrow" w:hAnsi="Arial Narrow" w:cs="Arial Narrow"/>
                <w:color w:val="auto"/>
                <w:sz w:val="15"/>
                <w:szCs w:val="15"/>
                <w:highlight w:val="none"/>
              </w:rPr>
              <w:t>---</w:t>
            </w:r>
          </w:p>
        </w:tc>
        <w:tc>
          <w:tcPr>
            <w:tcW w:w="1122" w:type="dxa"/>
            <w:noWrap w:val="0"/>
            <w:vAlign w:val="center"/>
          </w:tcPr>
          <w:p w14:paraId="5FC60B1D">
            <w:pPr>
              <w:widowControl/>
              <w:snapToGrid w:val="0"/>
              <w:spacing w:line="276" w:lineRule="auto"/>
              <w:jc w:val="center"/>
              <w:rPr>
                <w:rFonts w:ascii="Arial" w:hAnsi="Arial" w:cs="宋体"/>
                <w:color w:val="auto"/>
                <w:kern w:val="0"/>
                <w:sz w:val="15"/>
                <w:szCs w:val="15"/>
                <w:highlight w:val="none"/>
              </w:rPr>
            </w:pPr>
            <w:r>
              <w:rPr>
                <w:rFonts w:ascii="Arial Narrow" w:hAnsi="Arial Narrow" w:cs="Arial Narrow"/>
                <w:color w:val="auto"/>
                <w:sz w:val="15"/>
                <w:szCs w:val="15"/>
                <w:highlight w:val="none"/>
              </w:rPr>
              <w:t>---</w:t>
            </w:r>
          </w:p>
        </w:tc>
      </w:tr>
      <w:tr w14:paraId="72F63B7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79FF4D64">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超募资金投向</w:t>
            </w:r>
          </w:p>
        </w:tc>
        <w:tc>
          <w:tcPr>
            <w:tcW w:w="11253" w:type="dxa"/>
            <w:gridSpan w:val="11"/>
            <w:noWrap w:val="0"/>
            <w:vAlign w:val="center"/>
          </w:tcPr>
          <w:p w14:paraId="6DB205AF">
            <w:pPr>
              <w:widowControl/>
              <w:snapToGrid w:val="0"/>
              <w:jc w:val="center"/>
              <w:rPr>
                <w:rFonts w:hint="eastAsia" w:ascii="Arial" w:hAnsi="Arial" w:eastAsia="宋体" w:cs="宋体"/>
                <w:color w:val="auto"/>
                <w:kern w:val="0"/>
                <w:sz w:val="18"/>
                <w:szCs w:val="18"/>
                <w:highlight w:val="none"/>
                <w:lang w:val="en-US" w:eastAsia="zh-CN"/>
              </w:rPr>
            </w:pPr>
            <w:r>
              <w:rPr>
                <w:rFonts w:hint="eastAsia" w:ascii="Arial" w:hAnsi="Arial" w:cs="宋体"/>
                <w:color w:val="auto"/>
                <w:kern w:val="0"/>
                <w:sz w:val="18"/>
                <w:szCs w:val="18"/>
                <w:highlight w:val="none"/>
                <w:lang w:val="en-US" w:eastAsia="zh-CN"/>
              </w:rPr>
              <w:t>无</w:t>
            </w:r>
          </w:p>
        </w:tc>
      </w:tr>
      <w:tr w14:paraId="045BF6F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02C85397">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未达到计划进度或预计收益的情况和原因（分具体项目）</w:t>
            </w:r>
          </w:p>
        </w:tc>
        <w:tc>
          <w:tcPr>
            <w:tcW w:w="11253" w:type="dxa"/>
            <w:gridSpan w:val="11"/>
            <w:noWrap w:val="0"/>
            <w:vAlign w:val="center"/>
          </w:tcPr>
          <w:p w14:paraId="4555794A">
            <w:pPr>
              <w:widowControl/>
              <w:snapToGrid w:val="0"/>
              <w:jc w:val="left"/>
              <w:rPr>
                <w:rFonts w:hint="eastAsia" w:ascii="Arial" w:hAnsi="Arial" w:cs="宋体"/>
                <w:color w:val="auto"/>
                <w:kern w:val="0"/>
                <w:sz w:val="18"/>
                <w:szCs w:val="18"/>
                <w:highlight w:val="none"/>
              </w:rPr>
            </w:pPr>
            <w:r>
              <w:rPr>
                <w:rFonts w:hint="eastAsia" w:ascii="Arial" w:hAnsi="Arial" w:cs="宋体"/>
                <w:color w:val="auto"/>
                <w:kern w:val="0"/>
                <w:sz w:val="18"/>
                <w:szCs w:val="18"/>
                <w:highlight w:val="none"/>
              </w:rPr>
              <w:t>公司于2025年6月20日召开第九届董事会2025年第一次临时会议、第九届监事会第三次会议，审议通过了《关于募投项目延期的议案》，</w:t>
            </w:r>
          </w:p>
          <w:p w14:paraId="72A399B5">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公司在募投项目实施主体、实施方式、投资总额不发生变更的情况下，根据实际情况决定对募投项目进行延期。由于宏观环境因素影响，项目整体进度放缓，预计无法在原定计划内完成建设。结合目前募投项目的实施进展以及公司业务发展规划，经审慎研究，公司决定将募投项目达到预定可使用状态的时间延长至2025年12月31日。</w:t>
            </w:r>
          </w:p>
        </w:tc>
      </w:tr>
      <w:tr w14:paraId="3D81F08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090FB1BB">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项目可行性发生重大变化的情况说明</w:t>
            </w:r>
          </w:p>
        </w:tc>
        <w:tc>
          <w:tcPr>
            <w:tcW w:w="11253" w:type="dxa"/>
            <w:gridSpan w:val="11"/>
            <w:noWrap w:val="0"/>
            <w:vAlign w:val="center"/>
          </w:tcPr>
          <w:p w14:paraId="79B1B04E">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因外部市场环境变化及受越南疫情影响，华孚（越南）50万锭新型纱线项目（一期)建设进度有所延缓，实施周期被动拉长，存在投资收益不达预期的风险。因此，经公司于2022年1月10日召开的2022年第一次股东大会审议通过，同意将公司2021年非公开发行股票募集资金投资项目华孚（越南）50万锭新型纱线项目（一期）变更为30万锭智能纺纱产业园项目（项目实施地在安徽省淮北市）。</w:t>
            </w:r>
          </w:p>
        </w:tc>
      </w:tr>
      <w:tr w14:paraId="50C032D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2FEDC04E">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超募资金的金额、用途及使用进展情况</w:t>
            </w:r>
          </w:p>
        </w:tc>
        <w:tc>
          <w:tcPr>
            <w:tcW w:w="11253" w:type="dxa"/>
            <w:gridSpan w:val="11"/>
            <w:noWrap w:val="0"/>
            <w:vAlign w:val="center"/>
          </w:tcPr>
          <w:p w14:paraId="63E70DB8">
            <w:pPr>
              <w:widowControl/>
              <w:snapToGrid w:val="0"/>
              <w:spacing w:line="276" w:lineRule="auto"/>
              <w:jc w:val="left"/>
              <w:rPr>
                <w:rFonts w:ascii="Arial" w:hAnsi="Arial" w:cs="宋体"/>
                <w:color w:val="auto"/>
                <w:kern w:val="0"/>
                <w:sz w:val="18"/>
                <w:szCs w:val="18"/>
                <w:highlight w:val="none"/>
              </w:rPr>
            </w:pPr>
            <w:r>
              <w:rPr>
                <w:rFonts w:hint="eastAsia" w:ascii="宋体" w:hAnsi="宋体" w:cs="宋体"/>
                <w:color w:val="auto"/>
                <w:kern w:val="0"/>
                <w:sz w:val="18"/>
                <w:szCs w:val="18"/>
                <w:highlight w:val="none"/>
              </w:rPr>
              <w:t>无</w:t>
            </w:r>
          </w:p>
        </w:tc>
      </w:tr>
      <w:tr w14:paraId="5FD39141">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09E69D97">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募集资金投资项目实施地点变更情况</w:t>
            </w:r>
          </w:p>
        </w:tc>
        <w:tc>
          <w:tcPr>
            <w:tcW w:w="11253" w:type="dxa"/>
            <w:gridSpan w:val="11"/>
            <w:noWrap w:val="0"/>
            <w:vAlign w:val="center"/>
          </w:tcPr>
          <w:p w14:paraId="020225DB">
            <w:pPr>
              <w:widowControl/>
              <w:snapToGrid w:val="0"/>
              <w:spacing w:line="276" w:lineRule="auto"/>
              <w:jc w:val="left"/>
              <w:rPr>
                <w:rFonts w:ascii="Arial" w:hAnsi="Arial" w:cs="宋体"/>
                <w:color w:val="auto"/>
                <w:kern w:val="0"/>
                <w:sz w:val="18"/>
                <w:szCs w:val="18"/>
                <w:highlight w:val="none"/>
              </w:rPr>
            </w:pPr>
            <w:r>
              <w:rPr>
                <w:rFonts w:hint="eastAsia" w:ascii="宋体" w:hAnsi="宋体" w:cs="宋体"/>
                <w:color w:val="auto"/>
                <w:kern w:val="0"/>
                <w:sz w:val="18"/>
                <w:szCs w:val="18"/>
                <w:highlight w:val="none"/>
              </w:rPr>
              <w:t>无</w:t>
            </w:r>
          </w:p>
        </w:tc>
      </w:tr>
      <w:tr w14:paraId="15CFEFF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3FA3A2C4">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募集资金投资项目实施方式调整情况</w:t>
            </w:r>
          </w:p>
        </w:tc>
        <w:tc>
          <w:tcPr>
            <w:tcW w:w="11253" w:type="dxa"/>
            <w:gridSpan w:val="11"/>
            <w:noWrap w:val="0"/>
            <w:vAlign w:val="center"/>
          </w:tcPr>
          <w:p w14:paraId="2183601C">
            <w:pPr>
              <w:widowControl/>
              <w:snapToGrid w:val="0"/>
              <w:spacing w:line="276" w:lineRule="auto"/>
              <w:jc w:val="left"/>
              <w:rPr>
                <w:rFonts w:ascii="Arial" w:hAnsi="Arial" w:cs="宋体"/>
                <w:color w:val="auto"/>
                <w:kern w:val="0"/>
                <w:sz w:val="18"/>
                <w:szCs w:val="18"/>
                <w:highlight w:val="none"/>
              </w:rPr>
            </w:pPr>
            <w:r>
              <w:rPr>
                <w:rFonts w:hint="eastAsia" w:ascii="宋体" w:hAnsi="宋体" w:cs="宋体"/>
                <w:color w:val="auto"/>
                <w:kern w:val="0"/>
                <w:sz w:val="18"/>
                <w:szCs w:val="18"/>
                <w:highlight w:val="none"/>
              </w:rPr>
              <w:t>无</w:t>
            </w:r>
          </w:p>
        </w:tc>
      </w:tr>
      <w:tr w14:paraId="0677230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2A7C86F5">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募集资金投资项目先期投入及置换情况</w:t>
            </w:r>
          </w:p>
        </w:tc>
        <w:tc>
          <w:tcPr>
            <w:tcW w:w="11253" w:type="dxa"/>
            <w:gridSpan w:val="11"/>
            <w:noWrap w:val="0"/>
            <w:vAlign w:val="center"/>
          </w:tcPr>
          <w:p w14:paraId="067F91D8">
            <w:pPr>
              <w:widowControl/>
              <w:snapToGrid w:val="0"/>
              <w:jc w:val="left"/>
              <w:rPr>
                <w:rFonts w:ascii="Arial" w:hAnsi="Arial" w:cs="宋体"/>
                <w:color w:val="auto"/>
                <w:kern w:val="0"/>
                <w:sz w:val="18"/>
                <w:szCs w:val="18"/>
                <w:highlight w:val="none"/>
              </w:rPr>
            </w:pPr>
            <w:r>
              <w:rPr>
                <w:rFonts w:hint="eastAsia" w:ascii="宋体" w:hAnsi="宋体" w:cs="宋体"/>
                <w:color w:val="auto"/>
                <w:kern w:val="0"/>
                <w:sz w:val="18"/>
                <w:szCs w:val="18"/>
                <w:highlight w:val="none"/>
              </w:rPr>
              <w:t>公司于2022年1月19日召开了第八届董事会2022年第一次临时会议和第八届监事会第二次会议,审议通过《关于使用募集资金置换先期投入自有资金的议案》,同意公司以非公开发行股票募集资金的28,272.94万元置换先期已投入相关项目的自有资金，详见公司于2022年1月21日披露的《关于使用募集资金置换先期投入自有资金的公告》。</w:t>
            </w:r>
          </w:p>
        </w:tc>
      </w:tr>
      <w:tr w14:paraId="39B34EAC">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2766547C">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用闲置募集资金暂时补充流动资金情况</w:t>
            </w:r>
          </w:p>
        </w:tc>
        <w:tc>
          <w:tcPr>
            <w:tcW w:w="11253" w:type="dxa"/>
            <w:gridSpan w:val="11"/>
            <w:noWrap w:val="0"/>
            <w:vAlign w:val="center"/>
          </w:tcPr>
          <w:p w14:paraId="06448DDE">
            <w:pPr>
              <w:widowControl/>
              <w:snapToGrid w:val="0"/>
              <w:spacing w:line="276" w:lineRule="auto"/>
              <w:jc w:val="left"/>
              <w:rPr>
                <w:rFonts w:ascii="Arial" w:hAnsi="Arial" w:cs="宋体"/>
                <w:color w:val="auto"/>
                <w:kern w:val="0"/>
                <w:sz w:val="18"/>
                <w:szCs w:val="18"/>
                <w:highlight w:val="none"/>
              </w:rPr>
            </w:pPr>
            <w:r>
              <w:rPr>
                <w:rFonts w:hint="eastAsia" w:ascii="宋体" w:hAnsi="宋体" w:cs="宋体"/>
                <w:color w:val="auto"/>
                <w:kern w:val="0"/>
                <w:sz w:val="18"/>
                <w:szCs w:val="18"/>
                <w:highlight w:val="none"/>
              </w:rPr>
              <w:t>无</w:t>
            </w:r>
          </w:p>
        </w:tc>
      </w:tr>
      <w:tr w14:paraId="192590E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4FED5C01">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用闲置募集资金进行现金管理情况</w:t>
            </w:r>
          </w:p>
        </w:tc>
        <w:tc>
          <w:tcPr>
            <w:tcW w:w="11253" w:type="dxa"/>
            <w:gridSpan w:val="11"/>
            <w:noWrap w:val="0"/>
            <w:vAlign w:val="center"/>
          </w:tcPr>
          <w:p w14:paraId="1F25D9D3">
            <w:pPr>
              <w:widowControl/>
              <w:snapToGrid w:val="0"/>
              <w:spacing w:line="276" w:lineRule="auto"/>
              <w:jc w:val="left"/>
              <w:rPr>
                <w:rFonts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无</w:t>
            </w:r>
          </w:p>
        </w:tc>
      </w:tr>
      <w:tr w14:paraId="73D46F29">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1FBD493B">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项目实施出现募集资金结余的金额及原因</w:t>
            </w:r>
          </w:p>
        </w:tc>
        <w:tc>
          <w:tcPr>
            <w:tcW w:w="11253" w:type="dxa"/>
            <w:gridSpan w:val="11"/>
            <w:noWrap w:val="0"/>
            <w:vAlign w:val="center"/>
          </w:tcPr>
          <w:p w14:paraId="40A2B41C">
            <w:pPr>
              <w:widowControl/>
              <w:snapToGrid w:val="0"/>
              <w:jc w:val="left"/>
              <w:rPr>
                <w:rFonts w:ascii="Arial" w:hAnsi="Arial" w:cs="宋体"/>
                <w:color w:val="auto"/>
                <w:kern w:val="0"/>
                <w:sz w:val="18"/>
                <w:szCs w:val="18"/>
                <w:highlight w:val="none"/>
              </w:rPr>
            </w:pPr>
            <w:r>
              <w:rPr>
                <w:rFonts w:hint="eastAsia" w:ascii="宋体" w:hAnsi="宋体" w:cs="宋体"/>
                <w:color w:val="auto"/>
                <w:kern w:val="0"/>
                <w:sz w:val="18"/>
                <w:szCs w:val="18"/>
                <w:highlight w:val="none"/>
              </w:rPr>
              <w:t>不适用</w:t>
            </w:r>
          </w:p>
        </w:tc>
      </w:tr>
      <w:tr w14:paraId="453830D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000526E6">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尚未使用的募集资金用途及去向</w:t>
            </w:r>
          </w:p>
        </w:tc>
        <w:tc>
          <w:tcPr>
            <w:tcW w:w="11253" w:type="dxa"/>
            <w:gridSpan w:val="11"/>
            <w:noWrap w:val="0"/>
            <w:vAlign w:val="center"/>
          </w:tcPr>
          <w:p w14:paraId="2823F239">
            <w:pPr>
              <w:widowControl/>
              <w:snapToGrid w:val="0"/>
              <w:jc w:val="left"/>
              <w:rPr>
                <w:rFonts w:ascii="Arial" w:hAnsi="Arial" w:cs="宋体"/>
                <w:color w:val="auto"/>
                <w:kern w:val="0"/>
                <w:sz w:val="18"/>
                <w:szCs w:val="18"/>
                <w:highlight w:val="none"/>
              </w:rPr>
            </w:pPr>
            <w:r>
              <w:rPr>
                <w:rFonts w:hint="eastAsia" w:ascii="宋体" w:hAnsi="宋体" w:cs="宋体"/>
                <w:color w:val="auto"/>
                <w:kern w:val="0"/>
                <w:sz w:val="18"/>
                <w:szCs w:val="18"/>
                <w:highlight w:val="none"/>
              </w:rPr>
              <w:t>公司尚未使用募集资金1,947.67元在期后扣除销户手续费后已转至公司基本户，用于继续投资淮北30万锭智能纺纱产业园项目。</w:t>
            </w:r>
          </w:p>
        </w:tc>
      </w:tr>
      <w:tr w14:paraId="040DC736">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2807" w:type="dxa"/>
            <w:noWrap w:val="0"/>
            <w:vAlign w:val="center"/>
          </w:tcPr>
          <w:p w14:paraId="171C391F">
            <w:pPr>
              <w:widowControl/>
              <w:snapToGrid w:val="0"/>
              <w:jc w:val="left"/>
              <w:rPr>
                <w:rFonts w:ascii="Arial" w:hAnsi="Arial" w:cs="宋体"/>
                <w:color w:val="auto"/>
                <w:kern w:val="0"/>
                <w:sz w:val="18"/>
                <w:szCs w:val="18"/>
                <w:highlight w:val="none"/>
              </w:rPr>
            </w:pPr>
            <w:r>
              <w:rPr>
                <w:rFonts w:hint="eastAsia" w:ascii="Arial" w:hAnsi="Arial" w:cs="宋体"/>
                <w:color w:val="auto"/>
                <w:kern w:val="0"/>
                <w:sz w:val="18"/>
                <w:szCs w:val="18"/>
                <w:highlight w:val="none"/>
              </w:rPr>
              <w:t>募集资金使用及披露中存在的问题或其他情况</w:t>
            </w:r>
          </w:p>
        </w:tc>
        <w:tc>
          <w:tcPr>
            <w:tcW w:w="11253" w:type="dxa"/>
            <w:gridSpan w:val="11"/>
            <w:noWrap w:val="0"/>
            <w:vAlign w:val="center"/>
          </w:tcPr>
          <w:p w14:paraId="3D55ABC7">
            <w:pPr>
              <w:widowControl/>
              <w:snapToGrid w:val="0"/>
              <w:jc w:val="left"/>
              <w:rPr>
                <w:rFonts w:ascii="Arial" w:hAnsi="Arial" w:cs="宋体"/>
                <w:color w:val="auto"/>
                <w:kern w:val="0"/>
                <w:sz w:val="18"/>
                <w:szCs w:val="18"/>
                <w:highlight w:val="none"/>
              </w:rPr>
            </w:pPr>
            <w:r>
              <w:rPr>
                <w:rFonts w:hint="eastAsia" w:ascii="宋体" w:hAnsi="宋体" w:cs="宋体"/>
                <w:color w:val="auto"/>
                <w:kern w:val="0"/>
                <w:sz w:val="18"/>
                <w:szCs w:val="18"/>
                <w:highlight w:val="none"/>
              </w:rPr>
              <w:t>无</w:t>
            </w:r>
          </w:p>
        </w:tc>
      </w:tr>
    </w:tbl>
    <w:p w14:paraId="15759BF9">
      <w:pPr>
        <w:widowControl/>
        <w:jc w:val="left"/>
        <w:rPr>
          <w:rFonts w:ascii="Times New Roman" w:hAnsi="Times New Roman"/>
          <w:sz w:val="24"/>
        </w:rPr>
      </w:pPr>
      <w:r>
        <w:rPr>
          <w:rFonts w:ascii="Times New Roman" w:hAnsi="Times New Roman"/>
          <w:sz w:val="24"/>
        </w:rPr>
        <w:br w:type="page"/>
      </w:r>
    </w:p>
    <w:p w14:paraId="4E62DBAB">
      <w:pPr>
        <w:spacing w:before="156" w:beforeLines="50" w:after="156" w:afterLines="50" w:line="360" w:lineRule="auto"/>
        <w:ind w:firstLine="480" w:firstLineChars="200"/>
        <w:outlineLvl w:val="0"/>
        <w:rPr>
          <w:rFonts w:ascii="Times New Roman" w:hAnsi="Times New Roman"/>
          <w:b/>
          <w:sz w:val="24"/>
        </w:rPr>
      </w:pPr>
      <w:r>
        <w:rPr>
          <w:rFonts w:ascii="Times New Roman" w:hAnsi="Times New Roman"/>
          <w:b/>
          <w:sz w:val="24"/>
        </w:rPr>
        <w:t>附表2：</w:t>
      </w:r>
    </w:p>
    <w:p w14:paraId="0ADC52F7">
      <w:pPr>
        <w:snapToGrid w:val="0"/>
        <w:spacing w:line="360" w:lineRule="auto"/>
        <w:jc w:val="center"/>
        <w:rPr>
          <w:rFonts w:ascii="Times New Roman" w:hAnsi="Times New Roman"/>
          <w:b/>
          <w:sz w:val="30"/>
          <w:szCs w:val="30"/>
        </w:rPr>
      </w:pPr>
      <w:r>
        <w:rPr>
          <w:rFonts w:ascii="Times New Roman" w:hAnsi="Times New Roman"/>
          <w:b/>
          <w:sz w:val="30"/>
          <w:szCs w:val="30"/>
        </w:rPr>
        <w:t>变更募集资金投资项目情况表</w:t>
      </w:r>
    </w:p>
    <w:p w14:paraId="3139FF81">
      <w:pPr>
        <w:snapToGrid w:val="0"/>
        <w:spacing w:line="360" w:lineRule="auto"/>
        <w:ind w:right="-72"/>
        <w:jc w:val="right"/>
        <w:rPr>
          <w:rFonts w:ascii="Times New Roman" w:hAnsi="Times New Roman"/>
          <w:sz w:val="18"/>
          <w:szCs w:val="18"/>
        </w:rPr>
      </w:pPr>
      <w:r>
        <w:rPr>
          <w:rFonts w:ascii="Times New Roman" w:hAnsi="Times New Roman"/>
          <w:sz w:val="18"/>
          <w:szCs w:val="18"/>
        </w:rPr>
        <w:t>单位：元</w:t>
      </w:r>
    </w:p>
    <w:tbl>
      <w:tblPr>
        <w:tblStyle w:val="7"/>
        <w:tblW w:w="14220" w:type="dxa"/>
        <w:tblInd w:w="0"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autofit"/>
        <w:tblCellMar>
          <w:top w:w="0" w:type="dxa"/>
          <w:left w:w="108" w:type="dxa"/>
          <w:bottom w:w="0" w:type="dxa"/>
          <w:right w:w="108" w:type="dxa"/>
        </w:tblCellMar>
      </w:tblPr>
      <w:tblGrid>
        <w:gridCol w:w="1560"/>
        <w:gridCol w:w="1559"/>
        <w:gridCol w:w="1559"/>
        <w:gridCol w:w="1559"/>
        <w:gridCol w:w="1560"/>
        <w:gridCol w:w="1531"/>
        <w:gridCol w:w="1234"/>
        <w:gridCol w:w="1487"/>
        <w:gridCol w:w="823"/>
        <w:gridCol w:w="1348"/>
      </w:tblGrid>
      <w:tr w14:paraId="2376ED6E">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blHeader/>
        </w:trPr>
        <w:tc>
          <w:tcPr>
            <w:tcW w:w="1560" w:type="dxa"/>
            <w:noWrap w:val="0"/>
            <w:vAlign w:val="center"/>
          </w:tcPr>
          <w:p w14:paraId="57C986F0">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变更后的项目</w:t>
            </w:r>
          </w:p>
        </w:tc>
        <w:tc>
          <w:tcPr>
            <w:tcW w:w="1559" w:type="dxa"/>
            <w:noWrap w:val="0"/>
            <w:vAlign w:val="center"/>
          </w:tcPr>
          <w:p w14:paraId="64F89840">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对应的原承诺项目</w:t>
            </w:r>
          </w:p>
        </w:tc>
        <w:tc>
          <w:tcPr>
            <w:tcW w:w="1559" w:type="dxa"/>
            <w:noWrap w:val="0"/>
            <w:vAlign w:val="center"/>
          </w:tcPr>
          <w:p w14:paraId="398866F9">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变更后项目拟投入募集资金总额（1）</w:t>
            </w:r>
          </w:p>
        </w:tc>
        <w:tc>
          <w:tcPr>
            <w:tcW w:w="1559" w:type="dxa"/>
            <w:noWrap w:val="0"/>
            <w:vAlign w:val="center"/>
          </w:tcPr>
          <w:p w14:paraId="538BDE50">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本年度实际投入金额</w:t>
            </w:r>
          </w:p>
        </w:tc>
        <w:tc>
          <w:tcPr>
            <w:tcW w:w="1560" w:type="dxa"/>
            <w:noWrap w:val="0"/>
            <w:vAlign w:val="center"/>
          </w:tcPr>
          <w:p w14:paraId="7257228F">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截至期末实际累计投入金额(2)</w:t>
            </w:r>
          </w:p>
        </w:tc>
        <w:tc>
          <w:tcPr>
            <w:tcW w:w="1531" w:type="dxa"/>
            <w:noWrap w:val="0"/>
            <w:vAlign w:val="center"/>
          </w:tcPr>
          <w:p w14:paraId="1D273DA0">
            <w:pPr>
              <w:widowControl/>
              <w:snapToGrid w:val="0"/>
              <w:ind w:right="-100" w:rightChars="-48"/>
              <w:jc w:val="center"/>
              <w:rPr>
                <w:rFonts w:ascii="Times New Roman" w:hAnsi="Times New Roman"/>
                <w:color w:val="000000"/>
                <w:kern w:val="0"/>
                <w:sz w:val="18"/>
                <w:szCs w:val="18"/>
              </w:rPr>
            </w:pPr>
            <w:r>
              <w:rPr>
                <w:rFonts w:ascii="Times New Roman" w:hAnsi="Times New Roman"/>
                <w:color w:val="000000"/>
                <w:kern w:val="0"/>
                <w:sz w:val="18"/>
                <w:szCs w:val="18"/>
              </w:rPr>
              <w:t>截至期末投资进度（%）(3)=(2)/(1)</w:t>
            </w:r>
          </w:p>
        </w:tc>
        <w:tc>
          <w:tcPr>
            <w:tcW w:w="1234" w:type="dxa"/>
            <w:noWrap w:val="0"/>
            <w:vAlign w:val="center"/>
          </w:tcPr>
          <w:p w14:paraId="74A70662">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项目达到预定可使用状态日期</w:t>
            </w:r>
          </w:p>
        </w:tc>
        <w:tc>
          <w:tcPr>
            <w:tcW w:w="1487" w:type="dxa"/>
            <w:noWrap w:val="0"/>
            <w:vAlign w:val="center"/>
          </w:tcPr>
          <w:p w14:paraId="3BA4DB53">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本年度实现的效益</w:t>
            </w:r>
          </w:p>
        </w:tc>
        <w:tc>
          <w:tcPr>
            <w:tcW w:w="823" w:type="dxa"/>
            <w:noWrap w:val="0"/>
            <w:vAlign w:val="center"/>
          </w:tcPr>
          <w:p w14:paraId="102E1085">
            <w:pPr>
              <w:widowControl/>
              <w:snapToGrid w:val="0"/>
              <w:jc w:val="center"/>
              <w:rPr>
                <w:rFonts w:ascii="Times New Roman" w:hAnsi="Times New Roman"/>
                <w:color w:val="000000"/>
                <w:kern w:val="0"/>
                <w:sz w:val="18"/>
                <w:szCs w:val="18"/>
              </w:rPr>
            </w:pPr>
            <w:r>
              <w:rPr>
                <w:rFonts w:ascii="Times New Roman" w:hAnsi="Times New Roman"/>
                <w:color w:val="000000"/>
                <w:kern w:val="0"/>
                <w:sz w:val="18"/>
                <w:szCs w:val="18"/>
              </w:rPr>
              <w:t>是否达到预计效益</w:t>
            </w:r>
          </w:p>
        </w:tc>
        <w:tc>
          <w:tcPr>
            <w:tcW w:w="1348" w:type="dxa"/>
            <w:noWrap w:val="0"/>
            <w:vAlign w:val="center"/>
          </w:tcPr>
          <w:p w14:paraId="6A341174">
            <w:pPr>
              <w:widowControl/>
              <w:snapToGrid w:val="0"/>
              <w:ind w:right="-2" w:rightChars="-1"/>
              <w:jc w:val="center"/>
              <w:rPr>
                <w:rFonts w:ascii="Times New Roman" w:hAnsi="Times New Roman"/>
                <w:color w:val="000000"/>
                <w:kern w:val="0"/>
                <w:sz w:val="18"/>
                <w:szCs w:val="18"/>
              </w:rPr>
            </w:pPr>
            <w:r>
              <w:rPr>
                <w:rFonts w:ascii="Times New Roman" w:hAnsi="Times New Roman"/>
                <w:color w:val="000000"/>
                <w:kern w:val="0"/>
                <w:sz w:val="18"/>
                <w:szCs w:val="18"/>
              </w:rPr>
              <w:t>变更后的项目可行性是否发生重大变化</w:t>
            </w:r>
          </w:p>
        </w:tc>
      </w:tr>
      <w:tr w14:paraId="3F410BDA">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560" w:type="dxa"/>
            <w:noWrap w:val="0"/>
            <w:vAlign w:val="center"/>
          </w:tcPr>
          <w:p w14:paraId="6EA93826">
            <w:pPr>
              <w:widowControl/>
              <w:snapToGrid w:val="0"/>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淮北30万锭智能纺纱产业园项目</w:t>
            </w:r>
          </w:p>
        </w:tc>
        <w:tc>
          <w:tcPr>
            <w:tcW w:w="1559" w:type="dxa"/>
            <w:noWrap w:val="0"/>
            <w:vAlign w:val="center"/>
          </w:tcPr>
          <w:p w14:paraId="529FBCF2">
            <w:pPr>
              <w:widowControl/>
              <w:snapToGrid w:val="0"/>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华孚（越南）50万锭新型纱线项目（一期)</w:t>
            </w:r>
          </w:p>
        </w:tc>
        <w:tc>
          <w:tcPr>
            <w:tcW w:w="1559" w:type="dxa"/>
            <w:noWrap w:val="0"/>
            <w:vAlign w:val="center"/>
          </w:tcPr>
          <w:p w14:paraId="63EC4564">
            <w:pPr>
              <w:widowControl/>
              <w:snapToGrid w:val="0"/>
              <w:jc w:val="righ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788,462,769.35</w:t>
            </w:r>
          </w:p>
        </w:tc>
        <w:tc>
          <w:tcPr>
            <w:tcW w:w="1559" w:type="dxa"/>
            <w:noWrap w:val="0"/>
            <w:vAlign w:val="center"/>
          </w:tcPr>
          <w:p w14:paraId="16E28FCF">
            <w:pPr>
              <w:widowControl/>
              <w:snapToGrid w:val="0"/>
              <w:jc w:val="righ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w:t>
            </w:r>
          </w:p>
        </w:tc>
        <w:tc>
          <w:tcPr>
            <w:tcW w:w="1560" w:type="dxa"/>
            <w:noWrap w:val="0"/>
            <w:vAlign w:val="center"/>
          </w:tcPr>
          <w:p w14:paraId="3A05C4F6">
            <w:pPr>
              <w:widowControl/>
              <w:snapToGrid w:val="0"/>
              <w:jc w:val="righ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798,944,208.96</w:t>
            </w:r>
          </w:p>
        </w:tc>
        <w:tc>
          <w:tcPr>
            <w:tcW w:w="1531" w:type="dxa"/>
            <w:noWrap w:val="0"/>
            <w:vAlign w:val="center"/>
          </w:tcPr>
          <w:p w14:paraId="547E7A6D">
            <w:pPr>
              <w:widowControl/>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101.33</w:t>
            </w:r>
          </w:p>
        </w:tc>
        <w:tc>
          <w:tcPr>
            <w:tcW w:w="1234" w:type="dxa"/>
            <w:noWrap w:val="0"/>
            <w:vAlign w:val="center"/>
          </w:tcPr>
          <w:p w14:paraId="50AEEE98">
            <w:pPr>
              <w:widowControl/>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2025-12-31</w:t>
            </w:r>
          </w:p>
        </w:tc>
        <w:tc>
          <w:tcPr>
            <w:tcW w:w="1487" w:type="dxa"/>
            <w:noWrap w:val="0"/>
            <w:vAlign w:val="center"/>
          </w:tcPr>
          <w:p w14:paraId="183B5B56">
            <w:pPr>
              <w:widowControl/>
              <w:snapToGrid w:val="0"/>
              <w:jc w:val="righ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5</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857</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513.97</w:t>
            </w:r>
          </w:p>
        </w:tc>
        <w:tc>
          <w:tcPr>
            <w:tcW w:w="823" w:type="dxa"/>
            <w:noWrap w:val="0"/>
            <w:vAlign w:val="center"/>
          </w:tcPr>
          <w:p w14:paraId="6A3AF660">
            <w:pPr>
              <w:widowControl/>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是</w:t>
            </w:r>
          </w:p>
        </w:tc>
        <w:tc>
          <w:tcPr>
            <w:tcW w:w="1348" w:type="dxa"/>
            <w:noWrap w:val="0"/>
            <w:vAlign w:val="center"/>
          </w:tcPr>
          <w:p w14:paraId="36A881EE">
            <w:pPr>
              <w:widowControl/>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否</w:t>
            </w:r>
          </w:p>
        </w:tc>
      </w:tr>
      <w:tr w14:paraId="6C233228">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560" w:type="dxa"/>
            <w:noWrap w:val="0"/>
            <w:vAlign w:val="center"/>
          </w:tcPr>
          <w:p w14:paraId="43A775EE">
            <w:pPr>
              <w:widowControl/>
              <w:snapToGrid w:val="0"/>
              <w:jc w:val="lef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临时性补充流动资金</w:t>
            </w:r>
          </w:p>
        </w:tc>
        <w:tc>
          <w:tcPr>
            <w:tcW w:w="1559" w:type="dxa"/>
            <w:noWrap w:val="0"/>
            <w:vAlign w:val="center"/>
          </w:tcPr>
          <w:p w14:paraId="0A6E1823">
            <w:pPr>
              <w:widowControl/>
              <w:snapToGrid w:val="0"/>
              <w:jc w:val="left"/>
              <w:rPr>
                <w:rFonts w:hint="eastAsia" w:ascii="宋体" w:hAnsi="宋体" w:eastAsia="宋体" w:cs="宋体"/>
                <w:color w:val="auto"/>
                <w:kern w:val="0"/>
                <w:sz w:val="18"/>
                <w:szCs w:val="18"/>
                <w:highlight w:val="none"/>
                <w:lang w:val="en-US" w:eastAsia="zh-CN" w:bidi="ar-SA"/>
              </w:rPr>
            </w:pPr>
          </w:p>
        </w:tc>
        <w:tc>
          <w:tcPr>
            <w:tcW w:w="1559" w:type="dxa"/>
            <w:noWrap w:val="0"/>
            <w:vAlign w:val="center"/>
          </w:tcPr>
          <w:p w14:paraId="6C60EDA4">
            <w:pPr>
              <w:widowControl/>
              <w:snapToGrid w:val="0"/>
              <w:jc w:val="right"/>
              <w:rPr>
                <w:rFonts w:hint="eastAsia" w:ascii="宋体" w:hAnsi="宋体" w:eastAsia="宋体" w:cs="宋体"/>
                <w:color w:val="auto"/>
                <w:kern w:val="0"/>
                <w:sz w:val="18"/>
                <w:szCs w:val="18"/>
                <w:highlight w:val="none"/>
                <w:lang w:val="en-US" w:eastAsia="zh-CN" w:bidi="ar-SA"/>
              </w:rPr>
            </w:pPr>
          </w:p>
        </w:tc>
        <w:tc>
          <w:tcPr>
            <w:tcW w:w="1559" w:type="dxa"/>
            <w:noWrap w:val="0"/>
            <w:vAlign w:val="center"/>
          </w:tcPr>
          <w:p w14:paraId="2EDB5FB9">
            <w:pPr>
              <w:widowControl/>
              <w:snapToGrid w:val="0"/>
              <w:jc w:val="righ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w:t>
            </w:r>
          </w:p>
        </w:tc>
        <w:tc>
          <w:tcPr>
            <w:tcW w:w="1560" w:type="dxa"/>
            <w:noWrap w:val="0"/>
            <w:vAlign w:val="center"/>
          </w:tcPr>
          <w:p w14:paraId="05464D13">
            <w:pPr>
              <w:widowControl/>
              <w:snapToGrid w:val="0"/>
              <w:jc w:val="righ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w:t>
            </w:r>
          </w:p>
        </w:tc>
        <w:tc>
          <w:tcPr>
            <w:tcW w:w="1531" w:type="dxa"/>
            <w:noWrap w:val="0"/>
            <w:vAlign w:val="center"/>
          </w:tcPr>
          <w:p w14:paraId="0853905A">
            <w:pPr>
              <w:widowControl/>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w:t>
            </w:r>
          </w:p>
        </w:tc>
        <w:tc>
          <w:tcPr>
            <w:tcW w:w="1234" w:type="dxa"/>
            <w:noWrap w:val="0"/>
            <w:vAlign w:val="center"/>
          </w:tcPr>
          <w:p w14:paraId="76062B35">
            <w:pPr>
              <w:widowControl/>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w:t>
            </w:r>
          </w:p>
        </w:tc>
        <w:tc>
          <w:tcPr>
            <w:tcW w:w="1487" w:type="dxa"/>
            <w:noWrap w:val="0"/>
            <w:vAlign w:val="center"/>
          </w:tcPr>
          <w:p w14:paraId="675E0286">
            <w:pPr>
              <w:widowControl/>
              <w:snapToGrid w:val="0"/>
              <w:jc w:val="righ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w:t>
            </w:r>
          </w:p>
        </w:tc>
        <w:tc>
          <w:tcPr>
            <w:tcW w:w="823" w:type="dxa"/>
            <w:noWrap w:val="0"/>
            <w:vAlign w:val="center"/>
          </w:tcPr>
          <w:p w14:paraId="656CFAC1">
            <w:pPr>
              <w:widowControl/>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w:t>
            </w:r>
          </w:p>
        </w:tc>
        <w:tc>
          <w:tcPr>
            <w:tcW w:w="1348" w:type="dxa"/>
            <w:noWrap w:val="0"/>
            <w:vAlign w:val="center"/>
          </w:tcPr>
          <w:p w14:paraId="6797E649">
            <w:pPr>
              <w:widowControl/>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w:t>
            </w:r>
          </w:p>
        </w:tc>
      </w:tr>
      <w:tr w14:paraId="1C353F1B">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1560" w:type="dxa"/>
            <w:noWrap w:val="0"/>
            <w:vAlign w:val="center"/>
          </w:tcPr>
          <w:p w14:paraId="3DCE154F">
            <w:pPr>
              <w:widowControl/>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合计</w:t>
            </w:r>
          </w:p>
        </w:tc>
        <w:tc>
          <w:tcPr>
            <w:tcW w:w="1559" w:type="dxa"/>
            <w:noWrap w:val="0"/>
            <w:vAlign w:val="center"/>
          </w:tcPr>
          <w:p w14:paraId="13A5DA82">
            <w:pPr>
              <w:widowControl/>
              <w:snapToGrid w:val="0"/>
              <w:jc w:val="center"/>
              <w:rPr>
                <w:rFonts w:hint="eastAsia" w:ascii="宋体" w:hAnsi="宋体" w:eastAsia="宋体" w:cs="宋体"/>
                <w:color w:val="auto"/>
                <w:kern w:val="0"/>
                <w:sz w:val="18"/>
                <w:szCs w:val="18"/>
                <w:highlight w:val="none"/>
                <w:lang w:val="en-US" w:eastAsia="zh-CN" w:bidi="ar-SA"/>
              </w:rPr>
            </w:pPr>
          </w:p>
        </w:tc>
        <w:tc>
          <w:tcPr>
            <w:tcW w:w="1559" w:type="dxa"/>
            <w:noWrap w:val="0"/>
            <w:vAlign w:val="center"/>
          </w:tcPr>
          <w:p w14:paraId="4730FE63">
            <w:pPr>
              <w:widowControl/>
              <w:snapToGrid w:val="0"/>
              <w:jc w:val="righ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788,462,769.35</w:t>
            </w:r>
          </w:p>
        </w:tc>
        <w:tc>
          <w:tcPr>
            <w:tcW w:w="1559" w:type="dxa"/>
            <w:noWrap w:val="0"/>
            <w:vAlign w:val="center"/>
          </w:tcPr>
          <w:p w14:paraId="7B7D69E6">
            <w:pPr>
              <w:widowControl/>
              <w:snapToGrid w:val="0"/>
              <w:jc w:val="righ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w:t>
            </w:r>
          </w:p>
        </w:tc>
        <w:tc>
          <w:tcPr>
            <w:tcW w:w="1560" w:type="dxa"/>
            <w:noWrap w:val="0"/>
            <w:vAlign w:val="center"/>
          </w:tcPr>
          <w:p w14:paraId="10C6FC7F">
            <w:pPr>
              <w:widowControl/>
              <w:snapToGrid w:val="0"/>
              <w:jc w:val="righ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798,944,208.96</w:t>
            </w:r>
          </w:p>
        </w:tc>
        <w:tc>
          <w:tcPr>
            <w:tcW w:w="1531" w:type="dxa"/>
            <w:noWrap w:val="0"/>
            <w:vAlign w:val="center"/>
          </w:tcPr>
          <w:p w14:paraId="69B03A43">
            <w:pPr>
              <w:widowControl/>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w:t>
            </w:r>
          </w:p>
        </w:tc>
        <w:tc>
          <w:tcPr>
            <w:tcW w:w="1234" w:type="dxa"/>
            <w:noWrap w:val="0"/>
            <w:vAlign w:val="center"/>
          </w:tcPr>
          <w:p w14:paraId="419BC3CA">
            <w:pPr>
              <w:widowControl/>
              <w:snapToGrid w:val="0"/>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w:t>
            </w:r>
          </w:p>
        </w:tc>
        <w:tc>
          <w:tcPr>
            <w:tcW w:w="1487" w:type="dxa"/>
            <w:noWrap w:val="0"/>
            <w:vAlign w:val="center"/>
          </w:tcPr>
          <w:p w14:paraId="2E17091E">
            <w:pPr>
              <w:widowControl/>
              <w:snapToGrid w:val="0"/>
              <w:jc w:val="right"/>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rPr>
              <w:t>5</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857</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513.97</w:t>
            </w:r>
          </w:p>
        </w:tc>
        <w:tc>
          <w:tcPr>
            <w:tcW w:w="823" w:type="dxa"/>
            <w:noWrap w:val="0"/>
            <w:vAlign w:val="center"/>
          </w:tcPr>
          <w:p w14:paraId="7382ACBD">
            <w:pPr>
              <w:widowControl/>
              <w:snapToGrid w:val="0"/>
              <w:jc w:val="center"/>
              <w:rPr>
                <w:rFonts w:hint="eastAsia" w:ascii="宋体" w:hAnsi="宋体" w:eastAsia="宋体" w:cs="宋体"/>
                <w:color w:val="auto"/>
                <w:kern w:val="0"/>
                <w:sz w:val="18"/>
                <w:szCs w:val="18"/>
                <w:highlight w:val="none"/>
                <w:lang w:val="en-US" w:eastAsia="zh-CN" w:bidi="ar-SA"/>
              </w:rPr>
            </w:pPr>
          </w:p>
        </w:tc>
        <w:tc>
          <w:tcPr>
            <w:tcW w:w="1348" w:type="dxa"/>
            <w:noWrap w:val="0"/>
            <w:vAlign w:val="center"/>
          </w:tcPr>
          <w:p w14:paraId="6100BA4D">
            <w:pPr>
              <w:widowControl/>
              <w:snapToGrid w:val="0"/>
              <w:jc w:val="center"/>
              <w:rPr>
                <w:rFonts w:hint="eastAsia" w:ascii="宋体" w:hAnsi="宋体" w:eastAsia="宋体" w:cs="宋体"/>
                <w:color w:val="auto"/>
                <w:kern w:val="0"/>
                <w:sz w:val="18"/>
                <w:szCs w:val="18"/>
                <w:highlight w:val="none"/>
                <w:lang w:val="en-US" w:eastAsia="zh-CN" w:bidi="ar-SA"/>
              </w:rPr>
            </w:pPr>
          </w:p>
        </w:tc>
      </w:tr>
      <w:tr w14:paraId="04C3027F">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4678" w:type="dxa"/>
            <w:gridSpan w:val="3"/>
            <w:noWrap w:val="0"/>
            <w:vAlign w:val="center"/>
          </w:tcPr>
          <w:p w14:paraId="4DB1C79F">
            <w:pPr>
              <w:widowControl/>
              <w:snapToGrid w:val="0"/>
              <w:rPr>
                <w:rFonts w:ascii="Times New Roman" w:hAnsi="Times New Roman"/>
                <w:color w:val="000000"/>
                <w:kern w:val="0"/>
                <w:sz w:val="18"/>
                <w:szCs w:val="18"/>
              </w:rPr>
            </w:pPr>
            <w:r>
              <w:rPr>
                <w:rFonts w:ascii="Times New Roman" w:hAnsi="Times New Roman"/>
                <w:color w:val="000000"/>
                <w:kern w:val="0"/>
                <w:sz w:val="18"/>
                <w:szCs w:val="18"/>
              </w:rPr>
              <w:t>变更原因、决策程序及信息披露情况说明（分具体募投项目）</w:t>
            </w:r>
          </w:p>
        </w:tc>
        <w:tc>
          <w:tcPr>
            <w:tcW w:w="9542" w:type="dxa"/>
            <w:gridSpan w:val="7"/>
            <w:noWrap w:val="0"/>
            <w:vAlign w:val="center"/>
          </w:tcPr>
          <w:p w14:paraId="613B6533">
            <w:pPr>
              <w:snapToGrid w:val="0"/>
              <w:jc w:val="left"/>
              <w:rPr>
                <w:rFonts w:ascii="Times New Roman" w:hAnsi="Times New Roman"/>
                <w:color w:val="000000"/>
                <w:kern w:val="0"/>
                <w:sz w:val="18"/>
                <w:szCs w:val="18"/>
              </w:rPr>
            </w:pPr>
            <w:r>
              <w:rPr>
                <w:rFonts w:ascii="Times New Roman" w:hAnsi="Times New Roman"/>
                <w:color w:val="000000"/>
                <w:kern w:val="0"/>
                <w:sz w:val="18"/>
                <w:szCs w:val="18"/>
              </w:rPr>
              <w:t>因外部市场环境变化及受越南疫情影响，原项目建设进度有所延缓，实施周期被动拉长，存在投资收益不达预期的风险。因此，经公司于 2022年1 月10日召开的2022年第一次股东大会审议通过，同意将公司2021年非公开发行股票募集资金投资项目华孚（越南）50万锭新型纱线项目（一期）变更为30万锭智能纺纱产业园项目（项目实施地在安徽省淮北市）。</w:t>
            </w:r>
          </w:p>
        </w:tc>
      </w:tr>
      <w:tr w14:paraId="771B55B2">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4678" w:type="dxa"/>
            <w:gridSpan w:val="3"/>
            <w:noWrap w:val="0"/>
            <w:vAlign w:val="center"/>
          </w:tcPr>
          <w:p w14:paraId="77C1922F">
            <w:pPr>
              <w:widowControl/>
              <w:snapToGrid w:val="0"/>
              <w:rPr>
                <w:rFonts w:ascii="Times New Roman" w:hAnsi="Times New Roman"/>
                <w:color w:val="000000"/>
                <w:kern w:val="0"/>
                <w:sz w:val="18"/>
                <w:szCs w:val="18"/>
              </w:rPr>
            </w:pPr>
            <w:r>
              <w:rPr>
                <w:rFonts w:ascii="Times New Roman" w:hAnsi="Times New Roman"/>
                <w:color w:val="000000"/>
                <w:kern w:val="0"/>
                <w:sz w:val="18"/>
                <w:szCs w:val="18"/>
              </w:rPr>
              <w:t>未达到计划进度或预计收益的情况和原因（分具体募投项目）</w:t>
            </w:r>
          </w:p>
        </w:tc>
        <w:tc>
          <w:tcPr>
            <w:tcW w:w="9542" w:type="dxa"/>
            <w:gridSpan w:val="7"/>
            <w:noWrap w:val="0"/>
            <w:vAlign w:val="center"/>
          </w:tcPr>
          <w:p w14:paraId="0AD5F23F">
            <w:pPr>
              <w:snapToGrid w:val="0"/>
              <w:jc w:val="left"/>
              <w:rPr>
                <w:rFonts w:hint="eastAsia" w:ascii="Times New Roman" w:hAnsi="Times New Roman" w:eastAsia="宋体"/>
                <w:color w:val="000000"/>
                <w:kern w:val="0"/>
                <w:sz w:val="18"/>
                <w:szCs w:val="18"/>
                <w:lang w:eastAsia="zh-CN"/>
              </w:rPr>
            </w:pPr>
            <w:r>
              <w:rPr>
                <w:rFonts w:hint="eastAsia" w:ascii="Times New Roman" w:hAnsi="Times New Roman"/>
                <w:color w:val="000000"/>
                <w:kern w:val="0"/>
                <w:sz w:val="18"/>
                <w:szCs w:val="18"/>
                <w:lang w:val="en-US" w:eastAsia="zh-CN"/>
              </w:rPr>
              <w:t>不适用</w:t>
            </w:r>
          </w:p>
        </w:tc>
      </w:tr>
      <w:tr w14:paraId="61921DA0">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454" w:hRule="atLeast"/>
        </w:trPr>
        <w:tc>
          <w:tcPr>
            <w:tcW w:w="4678" w:type="dxa"/>
            <w:gridSpan w:val="3"/>
            <w:noWrap w:val="0"/>
            <w:vAlign w:val="center"/>
          </w:tcPr>
          <w:p w14:paraId="3F516300">
            <w:pPr>
              <w:widowControl/>
              <w:snapToGrid w:val="0"/>
              <w:rPr>
                <w:rFonts w:ascii="Times New Roman" w:hAnsi="Times New Roman"/>
                <w:color w:val="000000"/>
                <w:kern w:val="0"/>
                <w:sz w:val="18"/>
                <w:szCs w:val="18"/>
              </w:rPr>
            </w:pPr>
            <w:r>
              <w:rPr>
                <w:rFonts w:ascii="Times New Roman" w:hAnsi="Times New Roman"/>
                <w:color w:val="000000"/>
                <w:kern w:val="0"/>
                <w:sz w:val="18"/>
                <w:szCs w:val="18"/>
              </w:rPr>
              <w:t>变更后的项目可行性发生重大变化的情况说明</w:t>
            </w:r>
          </w:p>
        </w:tc>
        <w:tc>
          <w:tcPr>
            <w:tcW w:w="9542" w:type="dxa"/>
            <w:gridSpan w:val="7"/>
            <w:noWrap w:val="0"/>
            <w:vAlign w:val="center"/>
          </w:tcPr>
          <w:p w14:paraId="0D469401">
            <w:pPr>
              <w:snapToGrid w:val="0"/>
              <w:jc w:val="left"/>
              <w:rPr>
                <w:rFonts w:ascii="Times New Roman" w:hAnsi="Times New Roman"/>
                <w:color w:val="000000"/>
                <w:kern w:val="0"/>
                <w:sz w:val="18"/>
                <w:szCs w:val="18"/>
              </w:rPr>
            </w:pPr>
            <w:r>
              <w:rPr>
                <w:rFonts w:ascii="Times New Roman" w:hAnsi="Times New Roman"/>
                <w:color w:val="000000"/>
                <w:kern w:val="0"/>
                <w:sz w:val="18"/>
                <w:szCs w:val="18"/>
              </w:rPr>
              <w:t>不适用</w:t>
            </w:r>
          </w:p>
        </w:tc>
      </w:tr>
    </w:tbl>
    <w:p w14:paraId="27DF9CCB">
      <w:pPr>
        <w:widowControl/>
        <w:jc w:val="left"/>
        <w:rPr>
          <w:rFonts w:ascii="Times New Roman" w:hAnsi="Times New Roman"/>
          <w:sz w:val="24"/>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559567">
    <w:pPr>
      <w:pStyle w:val="4"/>
      <w:jc w:val="center"/>
    </w:pPr>
    <w:r>
      <w:fldChar w:fldCharType="begin"/>
    </w:r>
    <w:r>
      <w:instrText xml:space="preserve">PAGE   \* MERGEFORMAT</w:instrText>
    </w:r>
    <w:r>
      <w:fldChar w:fldCharType="separate"/>
    </w:r>
    <w:r>
      <w:rPr>
        <w:lang w:val="zh-CN"/>
      </w:rPr>
      <w:t>1</w:t>
    </w:r>
    <w:r>
      <w:fldChar w:fldCharType="end"/>
    </w:r>
  </w:p>
  <w:p w14:paraId="2B7250E0">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BE"/>
    <w:rsid w:val="00012B70"/>
    <w:rsid w:val="000158ED"/>
    <w:rsid w:val="000308C4"/>
    <w:rsid w:val="00032E6A"/>
    <w:rsid w:val="00046ACD"/>
    <w:rsid w:val="0005678D"/>
    <w:rsid w:val="00080024"/>
    <w:rsid w:val="00081E70"/>
    <w:rsid w:val="00085FEA"/>
    <w:rsid w:val="00086CFD"/>
    <w:rsid w:val="000979A8"/>
    <w:rsid w:val="000C22FC"/>
    <w:rsid w:val="000C5B7E"/>
    <w:rsid w:val="000D298D"/>
    <w:rsid w:val="000D4CAA"/>
    <w:rsid w:val="000E657E"/>
    <w:rsid w:val="000F14B6"/>
    <w:rsid w:val="000F1952"/>
    <w:rsid w:val="00100D64"/>
    <w:rsid w:val="001028C9"/>
    <w:rsid w:val="00105F3A"/>
    <w:rsid w:val="00120EB9"/>
    <w:rsid w:val="00155894"/>
    <w:rsid w:val="00185C6C"/>
    <w:rsid w:val="001942B3"/>
    <w:rsid w:val="0019449E"/>
    <w:rsid w:val="001A59C7"/>
    <w:rsid w:val="001E241E"/>
    <w:rsid w:val="00204200"/>
    <w:rsid w:val="0020750D"/>
    <w:rsid w:val="00215EBE"/>
    <w:rsid w:val="00220120"/>
    <w:rsid w:val="002251C1"/>
    <w:rsid w:val="00225C5F"/>
    <w:rsid w:val="00240979"/>
    <w:rsid w:val="0024772D"/>
    <w:rsid w:val="00267CA7"/>
    <w:rsid w:val="002743A1"/>
    <w:rsid w:val="00282F8F"/>
    <w:rsid w:val="0028459F"/>
    <w:rsid w:val="00293096"/>
    <w:rsid w:val="002A541D"/>
    <w:rsid w:val="00300079"/>
    <w:rsid w:val="0033503A"/>
    <w:rsid w:val="0033688C"/>
    <w:rsid w:val="00360EDF"/>
    <w:rsid w:val="00377B85"/>
    <w:rsid w:val="00393FBC"/>
    <w:rsid w:val="003C3F48"/>
    <w:rsid w:val="003C5454"/>
    <w:rsid w:val="003C7050"/>
    <w:rsid w:val="003D40C2"/>
    <w:rsid w:val="003E0FBC"/>
    <w:rsid w:val="003E7353"/>
    <w:rsid w:val="003F53AD"/>
    <w:rsid w:val="003F6417"/>
    <w:rsid w:val="00400E97"/>
    <w:rsid w:val="00422FA6"/>
    <w:rsid w:val="00430BC2"/>
    <w:rsid w:val="00454FFB"/>
    <w:rsid w:val="004578D8"/>
    <w:rsid w:val="00476B46"/>
    <w:rsid w:val="004A3602"/>
    <w:rsid w:val="004B0189"/>
    <w:rsid w:val="004B7C03"/>
    <w:rsid w:val="004C2DD7"/>
    <w:rsid w:val="004E655A"/>
    <w:rsid w:val="005026B5"/>
    <w:rsid w:val="00511963"/>
    <w:rsid w:val="00526183"/>
    <w:rsid w:val="00540A43"/>
    <w:rsid w:val="0056534B"/>
    <w:rsid w:val="00567859"/>
    <w:rsid w:val="00584318"/>
    <w:rsid w:val="005B40A8"/>
    <w:rsid w:val="005D0BBD"/>
    <w:rsid w:val="005D2B78"/>
    <w:rsid w:val="005F5ED0"/>
    <w:rsid w:val="005F7D70"/>
    <w:rsid w:val="00610962"/>
    <w:rsid w:val="00612120"/>
    <w:rsid w:val="00615FAF"/>
    <w:rsid w:val="00616DB0"/>
    <w:rsid w:val="00627317"/>
    <w:rsid w:val="0066089D"/>
    <w:rsid w:val="0069385E"/>
    <w:rsid w:val="00694A68"/>
    <w:rsid w:val="006A312F"/>
    <w:rsid w:val="006C5B13"/>
    <w:rsid w:val="006D3F6A"/>
    <w:rsid w:val="006E590E"/>
    <w:rsid w:val="0071299F"/>
    <w:rsid w:val="00720405"/>
    <w:rsid w:val="00732A32"/>
    <w:rsid w:val="00746DB7"/>
    <w:rsid w:val="00754982"/>
    <w:rsid w:val="007553FF"/>
    <w:rsid w:val="007632D0"/>
    <w:rsid w:val="0076522F"/>
    <w:rsid w:val="00765432"/>
    <w:rsid w:val="007800B2"/>
    <w:rsid w:val="007931B6"/>
    <w:rsid w:val="007A25BA"/>
    <w:rsid w:val="007B2908"/>
    <w:rsid w:val="007E70A9"/>
    <w:rsid w:val="00816282"/>
    <w:rsid w:val="008416E4"/>
    <w:rsid w:val="00862DAD"/>
    <w:rsid w:val="00876B60"/>
    <w:rsid w:val="008867AE"/>
    <w:rsid w:val="008A67D2"/>
    <w:rsid w:val="008E1482"/>
    <w:rsid w:val="008E62E4"/>
    <w:rsid w:val="008F6A2A"/>
    <w:rsid w:val="00901993"/>
    <w:rsid w:val="00910A14"/>
    <w:rsid w:val="009212D1"/>
    <w:rsid w:val="009244F8"/>
    <w:rsid w:val="00932B17"/>
    <w:rsid w:val="0093746B"/>
    <w:rsid w:val="00937BC7"/>
    <w:rsid w:val="009425F4"/>
    <w:rsid w:val="009A10D4"/>
    <w:rsid w:val="009D4250"/>
    <w:rsid w:val="009E6264"/>
    <w:rsid w:val="00A04E25"/>
    <w:rsid w:val="00A06F20"/>
    <w:rsid w:val="00A27572"/>
    <w:rsid w:val="00A35BFC"/>
    <w:rsid w:val="00A45394"/>
    <w:rsid w:val="00A60A05"/>
    <w:rsid w:val="00A61795"/>
    <w:rsid w:val="00AA2429"/>
    <w:rsid w:val="00AA4860"/>
    <w:rsid w:val="00AB60B0"/>
    <w:rsid w:val="00AF2006"/>
    <w:rsid w:val="00AF3924"/>
    <w:rsid w:val="00AF4004"/>
    <w:rsid w:val="00B03DA5"/>
    <w:rsid w:val="00B5258C"/>
    <w:rsid w:val="00B5712D"/>
    <w:rsid w:val="00B62A0E"/>
    <w:rsid w:val="00B63BDA"/>
    <w:rsid w:val="00B8258E"/>
    <w:rsid w:val="00BA565C"/>
    <w:rsid w:val="00BC3D20"/>
    <w:rsid w:val="00BC7DA2"/>
    <w:rsid w:val="00BE0DC8"/>
    <w:rsid w:val="00BE5D58"/>
    <w:rsid w:val="00BF28A4"/>
    <w:rsid w:val="00BF64A6"/>
    <w:rsid w:val="00C3274A"/>
    <w:rsid w:val="00C33C63"/>
    <w:rsid w:val="00C43041"/>
    <w:rsid w:val="00C465B4"/>
    <w:rsid w:val="00C471A1"/>
    <w:rsid w:val="00C8085C"/>
    <w:rsid w:val="00C951C2"/>
    <w:rsid w:val="00CA5B89"/>
    <w:rsid w:val="00CB25C3"/>
    <w:rsid w:val="00CC410E"/>
    <w:rsid w:val="00CC6E7C"/>
    <w:rsid w:val="00CD11C6"/>
    <w:rsid w:val="00CD19EF"/>
    <w:rsid w:val="00CE058C"/>
    <w:rsid w:val="00CE38C1"/>
    <w:rsid w:val="00CE7C84"/>
    <w:rsid w:val="00CF1824"/>
    <w:rsid w:val="00D009D9"/>
    <w:rsid w:val="00D01391"/>
    <w:rsid w:val="00D25B7F"/>
    <w:rsid w:val="00D31419"/>
    <w:rsid w:val="00D44C12"/>
    <w:rsid w:val="00D5251C"/>
    <w:rsid w:val="00D53E15"/>
    <w:rsid w:val="00D64EF3"/>
    <w:rsid w:val="00D97F09"/>
    <w:rsid w:val="00DD2231"/>
    <w:rsid w:val="00E22381"/>
    <w:rsid w:val="00E2678F"/>
    <w:rsid w:val="00E267C4"/>
    <w:rsid w:val="00E27D01"/>
    <w:rsid w:val="00E30C36"/>
    <w:rsid w:val="00E405ED"/>
    <w:rsid w:val="00E409CA"/>
    <w:rsid w:val="00E56B38"/>
    <w:rsid w:val="00E60909"/>
    <w:rsid w:val="00E66137"/>
    <w:rsid w:val="00EA324D"/>
    <w:rsid w:val="00EA5B7A"/>
    <w:rsid w:val="00EB3617"/>
    <w:rsid w:val="00EB4DF2"/>
    <w:rsid w:val="00EC4B9F"/>
    <w:rsid w:val="00ED4826"/>
    <w:rsid w:val="00EE0D55"/>
    <w:rsid w:val="00EE6ECA"/>
    <w:rsid w:val="00EF47B2"/>
    <w:rsid w:val="00EF65AB"/>
    <w:rsid w:val="00F05B11"/>
    <w:rsid w:val="00F072B6"/>
    <w:rsid w:val="00F12A1E"/>
    <w:rsid w:val="00F14AC7"/>
    <w:rsid w:val="00F15BDE"/>
    <w:rsid w:val="00F24276"/>
    <w:rsid w:val="00F32674"/>
    <w:rsid w:val="00F40901"/>
    <w:rsid w:val="00F41C0B"/>
    <w:rsid w:val="00F444F6"/>
    <w:rsid w:val="00F462B1"/>
    <w:rsid w:val="00F54BB8"/>
    <w:rsid w:val="00F76525"/>
    <w:rsid w:val="00F803DA"/>
    <w:rsid w:val="00F863F0"/>
    <w:rsid w:val="00F9418F"/>
    <w:rsid w:val="00FA1071"/>
    <w:rsid w:val="00FA225A"/>
    <w:rsid w:val="00FB312E"/>
    <w:rsid w:val="00FB6B67"/>
    <w:rsid w:val="00FD18C7"/>
    <w:rsid w:val="00FD207C"/>
    <w:rsid w:val="00FE3EAE"/>
    <w:rsid w:val="49745F7D"/>
    <w:rsid w:val="49CA67F3"/>
    <w:rsid w:val="59A328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0"/>
    <w:unhideWhenUsed/>
    <w:qFormat/>
    <w:uiPriority w:val="0"/>
    <w:pPr>
      <w:jc w:val="left"/>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unhideWhenUsed/>
    <w:qFormat/>
    <w:uiPriority w:val="99"/>
    <w:rPr>
      <w:b/>
      <w:bCs/>
    </w:rPr>
  </w:style>
  <w:style w:type="character" w:styleId="9">
    <w:name w:val="annotation reference"/>
    <w:unhideWhenUsed/>
    <w:qFormat/>
    <w:uiPriority w:val="0"/>
    <w:rPr>
      <w:sz w:val="21"/>
      <w:szCs w:val="21"/>
    </w:rPr>
  </w:style>
  <w:style w:type="character" w:customStyle="1" w:styleId="10">
    <w:name w:val="批注文字 字符"/>
    <w:basedOn w:val="8"/>
    <w:link w:val="2"/>
    <w:qFormat/>
    <w:uiPriority w:val="0"/>
  </w:style>
  <w:style w:type="character" w:customStyle="1" w:styleId="11">
    <w:name w:val="批注框文本 字符"/>
    <w:link w:val="3"/>
    <w:semiHidden/>
    <w:qFormat/>
    <w:uiPriority w:val="99"/>
    <w:rPr>
      <w:sz w:val="18"/>
      <w:szCs w:val="18"/>
    </w:rPr>
  </w:style>
  <w:style w:type="character" w:customStyle="1" w:styleId="12">
    <w:name w:val="页脚 字符"/>
    <w:link w:val="4"/>
    <w:qFormat/>
    <w:uiPriority w:val="99"/>
    <w:rPr>
      <w:sz w:val="18"/>
      <w:szCs w:val="18"/>
    </w:rPr>
  </w:style>
  <w:style w:type="character" w:customStyle="1" w:styleId="13">
    <w:name w:val="页眉 字符"/>
    <w:link w:val="5"/>
    <w:qFormat/>
    <w:uiPriority w:val="99"/>
    <w:rPr>
      <w:sz w:val="18"/>
      <w:szCs w:val="18"/>
    </w:rPr>
  </w:style>
  <w:style w:type="character" w:customStyle="1" w:styleId="14">
    <w:name w:val="批注主题 字符"/>
    <w:link w:val="6"/>
    <w:semiHidden/>
    <w:qFormat/>
    <w:uiPriority w:val="99"/>
    <w:rPr>
      <w:b/>
      <w:bCs/>
    </w:rPr>
  </w:style>
  <w:style w:type="paragraph" w:styleId="15">
    <w:name w:val="List Paragraph"/>
    <w:basedOn w:val="1"/>
    <w:qFormat/>
    <w:uiPriority w:val="34"/>
    <w:pPr>
      <w:ind w:firstLine="420" w:firstLineChars="200"/>
    </w:pPr>
  </w:style>
  <w:style w:type="paragraph" w:customStyle="1" w:styleId="16">
    <w:name w:val="立信附注正文 [2级]"/>
    <w:link w:val="17"/>
    <w:uiPriority w:val="0"/>
    <w:pPr>
      <w:widowControl w:val="0"/>
      <w:tabs>
        <w:tab w:val="left" w:pos="0"/>
      </w:tabs>
      <w:adjustRightInd w:val="0"/>
      <w:snapToGrid w:val="0"/>
      <w:spacing w:line="400" w:lineRule="atLeast"/>
      <w:ind w:left="714"/>
      <w:jc w:val="both"/>
    </w:pPr>
    <w:rPr>
      <w:rFonts w:ascii="Times New Roman" w:hAnsi="Times New Roman" w:eastAsia="宋体" w:cs="Times New Roman"/>
      <w:color w:val="000000"/>
      <w:kern w:val="2"/>
      <w:sz w:val="21"/>
      <w:szCs w:val="24"/>
      <w:lang w:val="en-US" w:eastAsia="zh-CN" w:bidi="ar-SA"/>
    </w:rPr>
  </w:style>
  <w:style w:type="character" w:customStyle="1" w:styleId="17">
    <w:name w:val="立信附注正文 [2级] Char"/>
    <w:link w:val="16"/>
    <w:uiPriority w:val="0"/>
    <w:rPr>
      <w:rFonts w:ascii="Times New Roman" w:hAnsi="Times New Roman" w:eastAsia="宋体" w:cs="Times New Roman"/>
      <w:color w:val="000000"/>
      <w:szCs w:val="24"/>
    </w:rPr>
  </w:style>
  <w:style w:type="paragraph" w:customStyle="1" w:styleId="18">
    <w:name w:val="立信附注正文 [3级]"/>
    <w:link w:val="19"/>
    <w:uiPriority w:val="0"/>
    <w:pPr>
      <w:widowControl w:val="0"/>
      <w:tabs>
        <w:tab w:val="left" w:pos="0"/>
      </w:tabs>
      <w:adjustRightInd w:val="0"/>
      <w:snapToGrid w:val="0"/>
      <w:spacing w:line="400" w:lineRule="atLeast"/>
      <w:ind w:left="1276"/>
      <w:jc w:val="both"/>
    </w:pPr>
    <w:rPr>
      <w:rFonts w:ascii="Times New Roman" w:hAnsi="Times New Roman" w:eastAsia="宋体" w:cs="Times New Roman"/>
      <w:color w:val="000000"/>
      <w:kern w:val="2"/>
      <w:sz w:val="21"/>
      <w:szCs w:val="24"/>
      <w:lang w:val="en-US" w:eastAsia="zh-CN" w:bidi="ar-SA"/>
    </w:rPr>
  </w:style>
  <w:style w:type="character" w:customStyle="1" w:styleId="19">
    <w:name w:val="立信附注正文 [3级] Char"/>
    <w:link w:val="18"/>
    <w:uiPriority w:val="0"/>
    <w:rPr>
      <w:rFonts w:ascii="Times New Roman" w:hAnsi="Times New Roman" w:eastAsia="宋体" w:cs="Times New Roman"/>
      <w:color w:val="000000"/>
      <w:szCs w:val="24"/>
    </w:rPr>
  </w:style>
  <w:style w:type="character" w:customStyle="1" w:styleId="20">
    <w:name w:val="批注文字 Char"/>
    <w:uiPriority w:val="0"/>
    <w:rPr>
      <w:kern w:val="2"/>
      <w:sz w:val="21"/>
      <w:szCs w:val="24"/>
    </w:rPr>
  </w:style>
  <w:style w:type="paragraph" w:customStyle="1" w:styleId="21">
    <w:name w:val="_Style 20"/>
    <w:semiHidden/>
    <w:uiPriority w:val="99"/>
    <w:rPr>
      <w:rFonts w:ascii="Calibri" w:hAnsi="Calibri" w:eastAsia="宋体" w:cs="Times New Roman"/>
      <w:kern w:val="2"/>
      <w:sz w:val="21"/>
      <w:szCs w:val="22"/>
      <w:lang w:val="en-US" w:eastAsia="zh-CN" w:bidi="ar-SA"/>
    </w:rPr>
  </w:style>
  <w:style w:type="table" w:customStyle="1" w:styleId="22">
    <w:name w:val="#华泰联合"/>
    <w:basedOn w:val="7"/>
    <w:uiPriority w:val="99"/>
    <w:rPr>
      <w:rFonts w:ascii="Times New Roman" w:hAnsi="Times New Roman" w:eastAsia="宋体"/>
      <w:sz w:val="20"/>
    </w:rPr>
    <w:tblP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
    <w:tblStylePr w:type="firstRow">
      <w:pPr>
        <w:wordWrap/>
        <w:jc w:val="center"/>
      </w:pPr>
      <w:rPr>
        <w:b/>
        <w:i w:val="0"/>
      </w:rPr>
      <w:tblPr/>
      <w:trPr>
        <w:tblHeader/>
      </w:trPr>
      <w:tcPr>
        <w:shd w:val="clear" w:color="auto" w:fill="D9D9D9"/>
        <w:vAlign w:val="center"/>
      </w:tcPr>
    </w:tblStylePr>
    <w:tblStylePr w:type="lastRow">
      <w:rPr>
        <w:b/>
      </w:rPr>
    </w:tblStyle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3923</Words>
  <Characters>4741</Characters>
  <Lines>41</Lines>
  <Paragraphs>11</Paragraphs>
  <TotalTime>0</TotalTime>
  <ScaleCrop>false</ScaleCrop>
  <LinksUpToDate>false</LinksUpToDate>
  <CharactersWithSpaces>4771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2025-04-25T06:04:00Z</dcterms:created>
  <dc:creator>Administrator</dc:creator>
  <cp:lastModifiedBy>WSY</cp:lastModifiedBy>
  <cp:lastPrinted>2025-04-25T05:10:00Z</cp:lastPrinted>
  <dcterms:modified xsi:type="dcterms:W3CDTF">2026-04-28T07:21:35Z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eyJoZGlkIjoiMGYyMzhhMzNmNzJhMTU4YjMxZTc1YjkyNzFjZGE5ZTciLCJ1c2VySWQiOiIyNjU0NTI1NDMifQ==</vt:lpwstr>
  </property>
  <property fmtid="{D5CDD505-2E9C-101B-9397-08002B2CF9AE}" pid="3" name="KSOProductBuildVer">
    <vt:lpwstr>2052-12.1.0.25865</vt:lpwstr>
  </property>
  <property fmtid="{D5CDD505-2E9C-101B-9397-08002B2CF9AE}" pid="4" name="ICV">
    <vt:lpwstr>9A21FB8791BB4D2FA5CEF609F753D6CA_13</vt:lpwstr>
  </property>
</Properties>
</file>