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07C4E">
      <w:pPr>
        <w:spacing w:line="360" w:lineRule="auto"/>
        <w:rPr>
          <w:rFonts w:hint="default" w:ascii="黑体" w:hAnsi="黑体" w:eastAsia="黑体"/>
          <w:bCs/>
          <w:szCs w:val="21"/>
          <w:lang w:val="en-US"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 xml:space="preserve">证券简称：华孚时尚        </w:t>
      </w:r>
      <w:r>
        <w:rPr>
          <w:rFonts w:hint="eastAsia" w:ascii="黑体" w:hAnsi="黑体" w:eastAsia="黑体"/>
          <w:bCs/>
          <w:kern w:val="0"/>
          <w:szCs w:val="21"/>
        </w:rPr>
        <w:t xml:space="preserve">       </w:t>
      </w:r>
      <w:r>
        <w:rPr>
          <w:rFonts w:ascii="黑体" w:hAnsi="黑体" w:eastAsia="黑体"/>
          <w:bCs/>
          <w:kern w:val="0"/>
          <w:szCs w:val="21"/>
        </w:rPr>
        <w:t>公告编号：</w:t>
      </w:r>
      <w:r>
        <w:rPr>
          <w:rFonts w:hint="eastAsia" w:ascii="黑体" w:hAnsi="黑体" w:eastAsia="黑体"/>
          <w:bCs/>
          <w:kern w:val="0"/>
          <w:szCs w:val="21"/>
        </w:rPr>
        <w:t>202</w:t>
      </w:r>
      <w:r>
        <w:rPr>
          <w:rFonts w:hint="eastAsia" w:ascii="黑体" w:hAnsi="黑体" w:eastAsia="黑体"/>
          <w:bCs/>
          <w:kern w:val="0"/>
          <w:szCs w:val="21"/>
          <w:lang w:val="en-US" w:eastAsia="zh-CN"/>
        </w:rPr>
        <w:t>6</w:t>
      </w:r>
      <w:r>
        <w:rPr>
          <w:rFonts w:hint="eastAsia" w:ascii="黑体" w:hAnsi="黑体" w:eastAsia="黑体"/>
          <w:bCs/>
          <w:kern w:val="0"/>
          <w:szCs w:val="21"/>
        </w:rPr>
        <w:t>-</w:t>
      </w:r>
      <w:r>
        <w:rPr>
          <w:rFonts w:hint="eastAsia" w:ascii="黑体" w:hAnsi="黑体" w:eastAsia="黑体"/>
          <w:bCs/>
          <w:kern w:val="0"/>
          <w:szCs w:val="21"/>
          <w:lang w:val="en-US" w:eastAsia="zh-CN"/>
        </w:rPr>
        <w:t>21</w:t>
      </w:r>
    </w:p>
    <w:p w14:paraId="76CBAC6D">
      <w:pPr>
        <w:spacing w:line="240" w:lineRule="exact"/>
        <w:ind w:right="42" w:rightChars="20"/>
        <w:rPr>
          <w:rFonts w:eastAsiaTheme="minorEastAsia"/>
          <w:b/>
          <w:bCs/>
          <w:sz w:val="24"/>
          <w:szCs w:val="36"/>
        </w:rPr>
      </w:pPr>
    </w:p>
    <w:p w14:paraId="5F76A7E3">
      <w:pPr>
        <w:spacing w:line="360" w:lineRule="auto"/>
        <w:ind w:right="42" w:rightChars="20"/>
        <w:jc w:val="center"/>
        <w:rPr>
          <w:rFonts w:eastAsiaTheme="minorEastAsia"/>
          <w:b/>
          <w:bCs/>
          <w:sz w:val="36"/>
          <w:szCs w:val="36"/>
        </w:rPr>
      </w:pPr>
      <w:r>
        <w:rPr>
          <w:rFonts w:eastAsiaTheme="minorEastAsia"/>
          <w:b/>
          <w:bCs/>
          <w:sz w:val="36"/>
          <w:szCs w:val="36"/>
        </w:rPr>
        <w:t>华孚时尚股份有限公司</w:t>
      </w:r>
    </w:p>
    <w:p w14:paraId="167C6C10">
      <w:pPr>
        <w:spacing w:line="360" w:lineRule="auto"/>
        <w:ind w:right="42" w:rightChars="20"/>
        <w:jc w:val="center"/>
        <w:rPr>
          <w:rFonts w:eastAsiaTheme="minorEastAsia"/>
          <w:b/>
          <w:bCs/>
          <w:sz w:val="36"/>
          <w:szCs w:val="36"/>
        </w:rPr>
      </w:pPr>
      <w:r>
        <w:rPr>
          <w:rFonts w:eastAsiaTheme="minorEastAsia"/>
          <w:b/>
          <w:bCs/>
          <w:sz w:val="36"/>
          <w:szCs w:val="36"/>
        </w:rPr>
        <w:t>关于预计20</w:t>
      </w:r>
      <w:r>
        <w:rPr>
          <w:rFonts w:hint="eastAsia" w:eastAsiaTheme="minorEastAsia"/>
          <w:b/>
          <w:bCs/>
          <w:sz w:val="36"/>
          <w:szCs w:val="36"/>
        </w:rPr>
        <w:t>2</w:t>
      </w:r>
      <w:r>
        <w:rPr>
          <w:rFonts w:hint="eastAsia" w:eastAsiaTheme="minorEastAsia"/>
          <w:b/>
          <w:bCs/>
          <w:sz w:val="36"/>
          <w:szCs w:val="36"/>
          <w:lang w:val="en-US" w:eastAsia="zh-CN"/>
        </w:rPr>
        <w:t>6</w:t>
      </w:r>
      <w:r>
        <w:rPr>
          <w:rFonts w:eastAsiaTheme="minorEastAsia"/>
          <w:b/>
          <w:bCs/>
          <w:sz w:val="36"/>
          <w:szCs w:val="36"/>
        </w:rPr>
        <w:t>年度日常关联交易</w:t>
      </w:r>
      <w:r>
        <w:rPr>
          <w:rFonts w:hint="eastAsia" w:eastAsiaTheme="minorEastAsia"/>
          <w:b/>
          <w:bCs/>
          <w:sz w:val="36"/>
          <w:szCs w:val="36"/>
        </w:rPr>
        <w:t>的</w:t>
      </w:r>
      <w:r>
        <w:rPr>
          <w:rFonts w:eastAsiaTheme="minorEastAsia"/>
          <w:b/>
          <w:bCs/>
          <w:sz w:val="36"/>
          <w:szCs w:val="36"/>
        </w:rPr>
        <w:t>公告</w:t>
      </w:r>
    </w:p>
    <w:p w14:paraId="60B6A8D3">
      <w:pPr>
        <w:spacing w:before="156" w:beforeLines="50" w:after="156" w:afterLines="50" w:line="360" w:lineRule="auto"/>
        <w:ind w:right="42" w:rightChars="20" w:firstLine="480" w:firstLineChars="200"/>
        <w:rPr>
          <w:rFonts w:ascii="楷体" w:hAnsi="楷体" w:eastAsia="楷体"/>
          <w:sz w:val="24"/>
        </w:rPr>
      </w:pPr>
      <w:r>
        <w:rPr>
          <w:rFonts w:ascii="楷体" w:hAnsi="楷体" w:eastAsia="楷体"/>
          <w:sz w:val="24"/>
        </w:rPr>
        <w:t>本公司及董事会全体成员保证信息披露的内容真实、准确、完整，没有虚假记载、误导性陈述或重大遗漏。</w:t>
      </w:r>
    </w:p>
    <w:p w14:paraId="452B780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2" w:firstLineChars="200"/>
        <w:textAlignment w:val="auto"/>
        <w:rPr>
          <w:rFonts w:eastAsiaTheme="minorEastAsia"/>
          <w:b/>
          <w:sz w:val="24"/>
        </w:rPr>
      </w:pPr>
      <w:r>
        <w:rPr>
          <w:rFonts w:eastAsiaTheme="minorEastAsia"/>
          <w:b/>
          <w:sz w:val="24"/>
        </w:rPr>
        <w:t>日常关联交易</w:t>
      </w:r>
      <w:r>
        <w:rPr>
          <w:rFonts w:hint="eastAsia" w:eastAsiaTheme="minorEastAsia"/>
          <w:b/>
          <w:sz w:val="24"/>
        </w:rPr>
        <w:t>基本</w:t>
      </w:r>
      <w:r>
        <w:rPr>
          <w:rFonts w:eastAsiaTheme="minorEastAsia"/>
          <w:b/>
          <w:sz w:val="24"/>
        </w:rPr>
        <w:t>情况</w:t>
      </w:r>
    </w:p>
    <w:p w14:paraId="5F26AE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asciiTheme="minorEastAsia" w:hAnsiTheme="minorEastAsia" w:eastAsiaTheme="minorEastAsia"/>
          <w:b/>
          <w:sz w:val="24"/>
        </w:rPr>
      </w:pPr>
      <w:r>
        <w:rPr>
          <w:rFonts w:hint="eastAsia" w:asciiTheme="minorEastAsia" w:hAnsiTheme="minorEastAsia" w:eastAsiaTheme="minorEastAsia"/>
          <w:b/>
          <w:sz w:val="24"/>
        </w:rPr>
        <w:t>1、日常关联交易概述</w:t>
      </w:r>
    </w:p>
    <w:p w14:paraId="604BA979">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outlineLvl w:val="0"/>
        <w:rPr>
          <w:rFonts w:asciiTheme="minorEastAsia" w:hAnsiTheme="minorEastAsia" w:eastAsiaTheme="minorEastAsia"/>
          <w:sz w:val="24"/>
        </w:rPr>
      </w:pPr>
      <w:r>
        <w:rPr>
          <w:rFonts w:hint="eastAsia" w:asciiTheme="minorEastAsia" w:hAnsiTheme="minorEastAsia" w:eastAsiaTheme="minorEastAsia"/>
          <w:sz w:val="24"/>
        </w:rPr>
        <w:t>华孚时尚股份有限公司（以下简称“公司”）于202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年4月2</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日召开第九届董事会第</w:t>
      </w:r>
      <w:r>
        <w:rPr>
          <w:rFonts w:hint="eastAsia" w:asciiTheme="minorEastAsia" w:hAnsiTheme="minorEastAsia" w:eastAsiaTheme="minorEastAsia"/>
          <w:sz w:val="24"/>
          <w:lang w:val="en-US" w:eastAsia="zh-CN"/>
        </w:rPr>
        <w:t>四</w:t>
      </w:r>
      <w:r>
        <w:rPr>
          <w:rFonts w:hint="eastAsia" w:asciiTheme="minorEastAsia" w:hAnsiTheme="minorEastAsia" w:eastAsiaTheme="minorEastAsia"/>
          <w:sz w:val="24"/>
        </w:rPr>
        <w:t>次会议，会议以9票赞成、0票回避（不涉及需回避表决的董事）</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0票反对的表决结果审议通过《关于预计202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年度日常关联交易的议案》，关联交易事项为公司向关联方接受服务、销售商品等，预计金额合计为人民币</w:t>
      </w:r>
      <w:r>
        <w:rPr>
          <w:rFonts w:hint="eastAsia" w:asciiTheme="minorEastAsia" w:hAnsiTheme="minorEastAsia" w:eastAsiaTheme="minorEastAsia"/>
          <w:sz w:val="24"/>
          <w:lang w:val="en-US" w:eastAsia="zh-CN"/>
        </w:rPr>
        <w:t>20,836.50</w:t>
      </w:r>
      <w:r>
        <w:rPr>
          <w:rFonts w:hint="eastAsia" w:asciiTheme="minorEastAsia" w:hAnsiTheme="minorEastAsia" w:eastAsiaTheme="minorEastAsia"/>
          <w:sz w:val="24"/>
        </w:rPr>
        <w:t>万元整。该事项需提交公司202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年度股东会审议，不涉及需回避表决的股东。</w:t>
      </w:r>
    </w:p>
    <w:p w14:paraId="130184FF">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2" w:firstLineChars="200"/>
        <w:jc w:val="left"/>
        <w:textAlignment w:val="auto"/>
        <w:outlineLvl w:val="0"/>
        <w:rPr>
          <w:rFonts w:asciiTheme="minorEastAsia" w:hAnsiTheme="minorEastAsia" w:eastAsiaTheme="minorEastAsia"/>
          <w:b/>
          <w:sz w:val="24"/>
        </w:rPr>
      </w:pPr>
      <w:r>
        <w:rPr>
          <w:rFonts w:hint="eastAsia" w:asciiTheme="minorEastAsia" w:hAnsiTheme="minorEastAsia" w:eastAsiaTheme="minorEastAsia"/>
          <w:b/>
          <w:sz w:val="24"/>
        </w:rPr>
        <w:t>2、预计日常关联交易类别和金额</w:t>
      </w:r>
      <w:bookmarkStart w:id="0" w:name="_GoBack"/>
      <w:bookmarkEnd w:id="0"/>
    </w:p>
    <w:p w14:paraId="4F8474F4">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right"/>
        <w:textAlignment w:val="auto"/>
        <w:outlineLvl w:val="0"/>
        <w:rPr>
          <w:rFonts w:asciiTheme="minorEastAsia" w:hAnsiTheme="minorEastAsia" w:eastAsiaTheme="minorEastAsia"/>
          <w:sz w:val="24"/>
        </w:rPr>
      </w:pPr>
      <w:r>
        <w:rPr>
          <w:rFonts w:hint="eastAsia" w:asciiTheme="minorEastAsia" w:hAnsiTheme="minorEastAsia" w:eastAsiaTheme="minorEastAsia"/>
          <w:sz w:val="24"/>
        </w:rPr>
        <w:t>单位：万元</w:t>
      </w:r>
    </w:p>
    <w:tbl>
      <w:tblPr>
        <w:tblStyle w:val="10"/>
        <w:tblW w:w="6070" w:type="pct"/>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983"/>
        <w:gridCol w:w="1421"/>
        <w:gridCol w:w="1231"/>
        <w:gridCol w:w="1411"/>
        <w:gridCol w:w="1347"/>
        <w:gridCol w:w="1393"/>
      </w:tblGrid>
      <w:tr w14:paraId="782A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754" w:type="pct"/>
            <w:tcBorders>
              <w:top w:val="single" w:color="auto" w:sz="4" w:space="0"/>
              <w:left w:val="single" w:color="auto" w:sz="4" w:space="0"/>
              <w:bottom w:val="single" w:color="auto" w:sz="4" w:space="0"/>
              <w:right w:val="single" w:color="auto" w:sz="4" w:space="0"/>
            </w:tcBorders>
            <w:shd w:val="clear" w:color="auto" w:fill="E0E0E0"/>
            <w:vAlign w:val="center"/>
          </w:tcPr>
          <w:p w14:paraId="00E9087D">
            <w:pPr>
              <w:jc w:val="center"/>
              <w:rPr>
                <w:rFonts w:asciiTheme="minorEastAsia" w:hAnsiTheme="minorEastAsia" w:eastAsiaTheme="minorEastAsia"/>
                <w:b/>
                <w:sz w:val="24"/>
              </w:rPr>
            </w:pPr>
            <w:r>
              <w:rPr>
                <w:rFonts w:hint="eastAsia" w:asciiTheme="minorEastAsia" w:hAnsiTheme="minorEastAsia" w:eastAsiaTheme="minorEastAsia"/>
                <w:b/>
                <w:sz w:val="24"/>
              </w:rPr>
              <w:t>关联交易类别</w:t>
            </w:r>
          </w:p>
        </w:tc>
        <w:tc>
          <w:tcPr>
            <w:tcW w:w="958" w:type="pct"/>
            <w:tcBorders>
              <w:top w:val="single" w:color="auto" w:sz="4" w:space="0"/>
              <w:left w:val="single" w:color="auto" w:sz="4" w:space="0"/>
              <w:bottom w:val="single" w:color="auto" w:sz="4" w:space="0"/>
              <w:right w:val="single" w:color="auto" w:sz="4" w:space="0"/>
            </w:tcBorders>
            <w:shd w:val="clear" w:color="auto" w:fill="E0E0E0"/>
            <w:vAlign w:val="center"/>
          </w:tcPr>
          <w:p w14:paraId="08E7787E">
            <w:pPr>
              <w:jc w:val="center"/>
              <w:rPr>
                <w:rFonts w:asciiTheme="minorEastAsia" w:hAnsiTheme="minorEastAsia" w:eastAsiaTheme="minorEastAsia"/>
                <w:b/>
                <w:sz w:val="24"/>
              </w:rPr>
            </w:pPr>
            <w:r>
              <w:rPr>
                <w:rFonts w:hint="eastAsia" w:asciiTheme="minorEastAsia" w:hAnsiTheme="minorEastAsia" w:eastAsiaTheme="minorEastAsia"/>
                <w:b/>
                <w:sz w:val="24"/>
              </w:rPr>
              <w:t>关联人</w:t>
            </w:r>
          </w:p>
        </w:tc>
        <w:tc>
          <w:tcPr>
            <w:tcW w:w="686" w:type="pct"/>
            <w:tcBorders>
              <w:top w:val="single" w:color="auto" w:sz="4" w:space="0"/>
              <w:left w:val="single" w:color="auto" w:sz="4" w:space="0"/>
              <w:bottom w:val="single" w:color="auto" w:sz="4" w:space="0"/>
              <w:right w:val="single" w:color="auto" w:sz="4" w:space="0"/>
            </w:tcBorders>
            <w:shd w:val="clear" w:color="auto" w:fill="E0E0E0"/>
          </w:tcPr>
          <w:p w14:paraId="164B7482">
            <w:pPr>
              <w:jc w:val="center"/>
              <w:rPr>
                <w:rFonts w:asciiTheme="minorEastAsia" w:hAnsiTheme="minorEastAsia" w:eastAsiaTheme="minorEastAsia"/>
                <w:b/>
                <w:sz w:val="24"/>
              </w:rPr>
            </w:pPr>
          </w:p>
          <w:p w14:paraId="6AEACA60">
            <w:pPr>
              <w:jc w:val="center"/>
              <w:rPr>
                <w:rFonts w:asciiTheme="minorEastAsia" w:hAnsiTheme="minorEastAsia" w:eastAsiaTheme="minorEastAsia"/>
                <w:b/>
                <w:sz w:val="24"/>
              </w:rPr>
            </w:pPr>
            <w:r>
              <w:rPr>
                <w:rFonts w:hint="eastAsia" w:asciiTheme="minorEastAsia" w:hAnsiTheme="minorEastAsia" w:eastAsiaTheme="minorEastAsia"/>
                <w:b/>
                <w:sz w:val="24"/>
              </w:rPr>
              <w:t>关联交易内容</w:t>
            </w:r>
          </w:p>
          <w:p w14:paraId="709A456C">
            <w:pPr>
              <w:jc w:val="center"/>
              <w:rPr>
                <w:rFonts w:asciiTheme="minorEastAsia" w:hAnsiTheme="minorEastAsia" w:eastAsiaTheme="minorEastAsia"/>
                <w:b/>
                <w:sz w:val="24"/>
              </w:rPr>
            </w:pPr>
          </w:p>
        </w:tc>
        <w:tc>
          <w:tcPr>
            <w:tcW w:w="594" w:type="pct"/>
            <w:tcBorders>
              <w:top w:val="single" w:color="auto" w:sz="4" w:space="0"/>
              <w:left w:val="single" w:color="auto" w:sz="4" w:space="0"/>
              <w:bottom w:val="single" w:color="auto" w:sz="4" w:space="0"/>
              <w:right w:val="single" w:color="auto" w:sz="4" w:space="0"/>
            </w:tcBorders>
            <w:shd w:val="clear" w:color="auto" w:fill="E0E0E0"/>
          </w:tcPr>
          <w:p w14:paraId="0CBB8365">
            <w:pPr>
              <w:jc w:val="center"/>
              <w:rPr>
                <w:rFonts w:asciiTheme="minorEastAsia" w:hAnsiTheme="minorEastAsia" w:eastAsiaTheme="minorEastAsia"/>
                <w:b/>
                <w:sz w:val="24"/>
              </w:rPr>
            </w:pPr>
          </w:p>
          <w:p w14:paraId="0BFC03D5">
            <w:pPr>
              <w:jc w:val="center"/>
              <w:rPr>
                <w:rFonts w:asciiTheme="minorEastAsia" w:hAnsiTheme="minorEastAsia" w:eastAsiaTheme="minorEastAsia"/>
                <w:b/>
                <w:sz w:val="24"/>
              </w:rPr>
            </w:pPr>
            <w:r>
              <w:rPr>
                <w:rFonts w:hint="eastAsia" w:asciiTheme="minorEastAsia" w:hAnsiTheme="minorEastAsia" w:eastAsiaTheme="minorEastAsia"/>
                <w:b/>
                <w:sz w:val="24"/>
              </w:rPr>
              <w:t>关联交易定价原则</w:t>
            </w:r>
          </w:p>
        </w:tc>
        <w:tc>
          <w:tcPr>
            <w:tcW w:w="681" w:type="pct"/>
            <w:tcBorders>
              <w:top w:val="single" w:color="auto" w:sz="4" w:space="0"/>
              <w:left w:val="single" w:color="auto" w:sz="4" w:space="0"/>
              <w:bottom w:val="single" w:color="auto" w:sz="4" w:space="0"/>
              <w:right w:val="single" w:color="auto" w:sz="4" w:space="0"/>
            </w:tcBorders>
            <w:shd w:val="clear" w:color="auto" w:fill="E0E0E0"/>
            <w:vAlign w:val="center"/>
          </w:tcPr>
          <w:p w14:paraId="2CB113B6">
            <w:pPr>
              <w:jc w:val="center"/>
              <w:rPr>
                <w:rFonts w:asciiTheme="minorEastAsia" w:hAnsiTheme="minorEastAsia" w:eastAsiaTheme="minorEastAsia"/>
                <w:b/>
                <w:sz w:val="24"/>
              </w:rPr>
            </w:pPr>
            <w:r>
              <w:rPr>
                <w:rFonts w:hint="eastAsia" w:asciiTheme="minorEastAsia" w:hAnsiTheme="minorEastAsia" w:eastAsiaTheme="minorEastAsia"/>
                <w:b/>
                <w:sz w:val="24"/>
              </w:rPr>
              <w:t>合同签订金额或预计金额</w:t>
            </w:r>
          </w:p>
        </w:tc>
        <w:tc>
          <w:tcPr>
            <w:tcW w:w="650" w:type="pct"/>
            <w:tcBorders>
              <w:top w:val="single" w:color="auto" w:sz="4" w:space="0"/>
              <w:left w:val="single" w:color="auto" w:sz="4" w:space="0"/>
              <w:bottom w:val="single" w:color="auto" w:sz="4" w:space="0"/>
              <w:right w:val="single" w:color="auto" w:sz="4" w:space="0"/>
            </w:tcBorders>
            <w:shd w:val="clear" w:color="auto" w:fill="E0E0E0"/>
            <w:vAlign w:val="center"/>
          </w:tcPr>
          <w:p w14:paraId="687F1D8D">
            <w:pPr>
              <w:jc w:val="center"/>
              <w:rPr>
                <w:rFonts w:asciiTheme="minorEastAsia" w:hAnsiTheme="minorEastAsia" w:eastAsiaTheme="minorEastAsia"/>
                <w:b/>
                <w:sz w:val="24"/>
              </w:rPr>
            </w:pPr>
            <w:r>
              <w:rPr>
                <w:rFonts w:hint="eastAsia" w:asciiTheme="minorEastAsia" w:hAnsiTheme="minorEastAsia" w:eastAsiaTheme="minorEastAsia"/>
                <w:b/>
                <w:sz w:val="24"/>
              </w:rPr>
              <w:t>截至披露日已发生金额</w:t>
            </w:r>
          </w:p>
        </w:tc>
        <w:tc>
          <w:tcPr>
            <w:tcW w:w="673" w:type="pct"/>
            <w:tcBorders>
              <w:top w:val="single" w:color="auto" w:sz="4" w:space="0"/>
              <w:left w:val="single" w:color="auto" w:sz="4" w:space="0"/>
              <w:bottom w:val="single" w:color="auto" w:sz="4" w:space="0"/>
              <w:right w:val="single" w:color="auto" w:sz="4" w:space="0"/>
            </w:tcBorders>
            <w:shd w:val="clear" w:color="auto" w:fill="E0E0E0"/>
            <w:vAlign w:val="center"/>
          </w:tcPr>
          <w:p w14:paraId="2C06293C">
            <w:pPr>
              <w:jc w:val="center"/>
              <w:rPr>
                <w:rFonts w:asciiTheme="minorEastAsia" w:hAnsiTheme="minorEastAsia" w:eastAsiaTheme="minorEastAsia"/>
                <w:b/>
                <w:sz w:val="24"/>
              </w:rPr>
            </w:pPr>
            <w:r>
              <w:rPr>
                <w:rFonts w:hint="eastAsia" w:asciiTheme="minorEastAsia" w:hAnsiTheme="minorEastAsia" w:eastAsiaTheme="minorEastAsia"/>
                <w:b/>
                <w:sz w:val="24"/>
              </w:rPr>
              <w:t>上年发生金额</w:t>
            </w:r>
          </w:p>
        </w:tc>
      </w:tr>
      <w:tr w14:paraId="0765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754" w:type="pct"/>
            <w:tcBorders>
              <w:top w:val="single" w:color="auto" w:sz="4" w:space="0"/>
              <w:left w:val="single" w:color="auto" w:sz="4" w:space="0"/>
              <w:bottom w:val="single" w:color="auto" w:sz="4" w:space="0"/>
              <w:right w:val="single" w:color="auto" w:sz="4" w:space="0"/>
            </w:tcBorders>
            <w:vAlign w:val="center"/>
          </w:tcPr>
          <w:p w14:paraId="228AC762">
            <w:pPr>
              <w:rPr>
                <w:rFonts w:asciiTheme="minorEastAsia" w:hAnsiTheme="minorEastAsia" w:eastAsiaTheme="minorEastAsia"/>
                <w:sz w:val="24"/>
              </w:rPr>
            </w:pPr>
            <w:r>
              <w:rPr>
                <w:rFonts w:hint="eastAsia" w:asciiTheme="minorEastAsia" w:hAnsiTheme="minorEastAsia" w:eastAsiaTheme="minorEastAsia"/>
                <w:sz w:val="24"/>
              </w:rPr>
              <w:t>向关联人销售产品、商品</w:t>
            </w:r>
          </w:p>
        </w:tc>
        <w:tc>
          <w:tcPr>
            <w:tcW w:w="958" w:type="pct"/>
            <w:tcBorders>
              <w:top w:val="single" w:color="auto" w:sz="4" w:space="0"/>
              <w:left w:val="single" w:color="auto" w:sz="4" w:space="0"/>
              <w:right w:val="single" w:color="auto" w:sz="4" w:space="0"/>
            </w:tcBorders>
            <w:vAlign w:val="center"/>
          </w:tcPr>
          <w:p w14:paraId="0E35E450">
            <w:pPr>
              <w:rPr>
                <w:rFonts w:asciiTheme="minorEastAsia" w:hAnsiTheme="minorEastAsia" w:eastAsiaTheme="minorEastAsia"/>
                <w:sz w:val="24"/>
              </w:rPr>
            </w:pPr>
            <w:r>
              <w:rPr>
                <w:rFonts w:hint="eastAsia" w:asciiTheme="minorEastAsia" w:hAnsiTheme="minorEastAsia" w:eastAsiaTheme="minorEastAsia"/>
                <w:sz w:val="24"/>
              </w:rPr>
              <w:t>浙江华尚产业运营有限公司</w:t>
            </w:r>
          </w:p>
        </w:tc>
        <w:tc>
          <w:tcPr>
            <w:tcW w:w="686" w:type="pct"/>
            <w:tcBorders>
              <w:top w:val="single" w:color="auto" w:sz="4" w:space="0"/>
              <w:left w:val="single" w:color="auto" w:sz="4" w:space="0"/>
              <w:right w:val="single" w:color="auto" w:sz="4" w:space="0"/>
            </w:tcBorders>
            <w:vAlign w:val="center"/>
          </w:tcPr>
          <w:p w14:paraId="0C001560">
            <w:pPr>
              <w:jc w:val="center"/>
              <w:rPr>
                <w:rFonts w:asciiTheme="minorEastAsia" w:hAnsiTheme="minorEastAsia" w:eastAsiaTheme="minorEastAsia"/>
                <w:sz w:val="24"/>
              </w:rPr>
            </w:pPr>
            <w:r>
              <w:rPr>
                <w:rFonts w:hint="eastAsia" w:asciiTheme="minorEastAsia" w:hAnsiTheme="minorEastAsia" w:eastAsiaTheme="minorEastAsia"/>
                <w:sz w:val="24"/>
              </w:rPr>
              <w:t>销售产品</w:t>
            </w:r>
          </w:p>
        </w:tc>
        <w:tc>
          <w:tcPr>
            <w:tcW w:w="594" w:type="pct"/>
            <w:tcBorders>
              <w:top w:val="single" w:color="auto" w:sz="4" w:space="0"/>
              <w:left w:val="single" w:color="auto" w:sz="4" w:space="0"/>
              <w:right w:val="single" w:color="auto" w:sz="4" w:space="0"/>
            </w:tcBorders>
            <w:vAlign w:val="center"/>
          </w:tcPr>
          <w:p w14:paraId="6F60CA76">
            <w:pPr>
              <w:jc w:val="center"/>
              <w:rPr>
                <w:rFonts w:asciiTheme="minorEastAsia" w:hAnsiTheme="minorEastAsia" w:eastAsiaTheme="minorEastAsia"/>
                <w:sz w:val="24"/>
              </w:rPr>
            </w:pPr>
            <w:r>
              <w:rPr>
                <w:rFonts w:hint="eastAsia" w:asciiTheme="minorEastAsia" w:hAnsiTheme="minorEastAsia" w:eastAsiaTheme="minorEastAsia"/>
                <w:sz w:val="24"/>
              </w:rPr>
              <w:t>市场价格</w:t>
            </w:r>
          </w:p>
        </w:tc>
        <w:tc>
          <w:tcPr>
            <w:tcW w:w="681" w:type="pct"/>
            <w:tcBorders>
              <w:top w:val="single" w:color="auto" w:sz="4" w:space="0"/>
              <w:left w:val="single" w:color="auto" w:sz="4" w:space="0"/>
              <w:right w:val="single" w:color="auto" w:sz="4" w:space="0"/>
            </w:tcBorders>
            <w:vAlign w:val="center"/>
          </w:tcPr>
          <w:p w14:paraId="4991D588">
            <w:pPr>
              <w:jc w:val="right"/>
              <w:rPr>
                <w:rFonts w:asciiTheme="minorEastAsia" w:hAnsiTheme="minorEastAsia" w:eastAsiaTheme="minorEastAsia"/>
                <w:sz w:val="24"/>
              </w:rPr>
            </w:pPr>
            <w:r>
              <w:rPr>
                <w:rFonts w:hint="eastAsia" w:asciiTheme="minorEastAsia" w:hAnsiTheme="minorEastAsia" w:eastAsiaTheme="minorEastAsia"/>
                <w:sz w:val="24"/>
                <w:lang w:val="en-US" w:eastAsia="zh-CN"/>
              </w:rPr>
              <w:t>20,000</w:t>
            </w:r>
            <w:r>
              <w:rPr>
                <w:rFonts w:hint="eastAsia" w:asciiTheme="minorEastAsia" w:hAnsiTheme="minorEastAsia" w:eastAsiaTheme="minorEastAsia"/>
                <w:sz w:val="24"/>
              </w:rPr>
              <w:t>.00</w:t>
            </w:r>
          </w:p>
        </w:tc>
        <w:tc>
          <w:tcPr>
            <w:tcW w:w="650" w:type="pct"/>
            <w:tcBorders>
              <w:top w:val="single" w:color="auto" w:sz="4" w:space="0"/>
              <w:left w:val="single" w:color="auto" w:sz="4" w:space="0"/>
              <w:right w:val="single" w:color="auto" w:sz="4" w:space="0"/>
            </w:tcBorders>
            <w:vAlign w:val="center"/>
          </w:tcPr>
          <w:p w14:paraId="6D1119BD">
            <w:pPr>
              <w:jc w:val="right"/>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w:t>
            </w:r>
          </w:p>
        </w:tc>
        <w:tc>
          <w:tcPr>
            <w:tcW w:w="673" w:type="pct"/>
            <w:tcBorders>
              <w:top w:val="single" w:color="auto" w:sz="4" w:space="0"/>
              <w:left w:val="single" w:color="auto" w:sz="4" w:space="0"/>
              <w:right w:val="single" w:color="auto" w:sz="4" w:space="0"/>
            </w:tcBorders>
            <w:vAlign w:val="center"/>
          </w:tcPr>
          <w:p w14:paraId="7786FAFF">
            <w:pPr>
              <w:jc w:val="righ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1,496.37</w:t>
            </w:r>
          </w:p>
        </w:tc>
      </w:tr>
      <w:tr w14:paraId="5E3D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754" w:type="pct"/>
            <w:tcBorders>
              <w:top w:val="single" w:color="auto" w:sz="4" w:space="0"/>
              <w:left w:val="single" w:color="auto" w:sz="4" w:space="0"/>
              <w:right w:val="single" w:color="auto" w:sz="4" w:space="0"/>
            </w:tcBorders>
            <w:vAlign w:val="center"/>
          </w:tcPr>
          <w:p w14:paraId="1B3FD184">
            <w:pPr>
              <w:rPr>
                <w:rFonts w:asciiTheme="minorEastAsia" w:hAnsiTheme="minorEastAsia" w:eastAsiaTheme="minorEastAsia"/>
                <w:sz w:val="24"/>
              </w:rPr>
            </w:pPr>
            <w:r>
              <w:rPr>
                <w:rFonts w:hint="eastAsia" w:asciiTheme="minorEastAsia" w:hAnsiTheme="minorEastAsia" w:eastAsiaTheme="minorEastAsia"/>
                <w:sz w:val="24"/>
              </w:rPr>
              <w:t>向关联人提供劳务</w:t>
            </w:r>
          </w:p>
        </w:tc>
        <w:tc>
          <w:tcPr>
            <w:tcW w:w="958" w:type="pct"/>
            <w:tcBorders>
              <w:top w:val="single" w:color="auto" w:sz="4" w:space="0"/>
              <w:left w:val="single" w:color="auto" w:sz="4" w:space="0"/>
              <w:right w:val="single" w:color="auto" w:sz="4" w:space="0"/>
            </w:tcBorders>
            <w:vAlign w:val="center"/>
          </w:tcPr>
          <w:p w14:paraId="7799334D">
            <w:pPr>
              <w:rPr>
                <w:rFonts w:asciiTheme="minorEastAsia" w:hAnsiTheme="minorEastAsia" w:eastAsiaTheme="minorEastAsia"/>
                <w:sz w:val="24"/>
              </w:rPr>
            </w:pPr>
            <w:r>
              <w:rPr>
                <w:rFonts w:hint="eastAsia" w:asciiTheme="minorEastAsia" w:hAnsiTheme="minorEastAsia" w:eastAsiaTheme="minorEastAsia"/>
                <w:sz w:val="24"/>
              </w:rPr>
              <w:t>浙江华尚产业运营有限公司</w:t>
            </w:r>
          </w:p>
        </w:tc>
        <w:tc>
          <w:tcPr>
            <w:tcW w:w="686" w:type="pct"/>
            <w:tcBorders>
              <w:top w:val="single" w:color="auto" w:sz="4" w:space="0"/>
              <w:left w:val="single" w:color="auto" w:sz="4" w:space="0"/>
              <w:right w:val="single" w:color="auto" w:sz="4" w:space="0"/>
            </w:tcBorders>
            <w:vAlign w:val="center"/>
          </w:tcPr>
          <w:p w14:paraId="121B937F">
            <w:pPr>
              <w:jc w:val="center"/>
              <w:rPr>
                <w:rFonts w:asciiTheme="minorEastAsia" w:hAnsiTheme="minorEastAsia" w:eastAsiaTheme="minorEastAsia"/>
                <w:sz w:val="24"/>
              </w:rPr>
            </w:pPr>
            <w:r>
              <w:rPr>
                <w:rFonts w:hint="eastAsia" w:asciiTheme="minorEastAsia" w:hAnsiTheme="minorEastAsia" w:eastAsiaTheme="minorEastAsia"/>
                <w:sz w:val="24"/>
              </w:rPr>
              <w:t>租赁费等</w:t>
            </w:r>
          </w:p>
        </w:tc>
        <w:tc>
          <w:tcPr>
            <w:tcW w:w="594" w:type="pct"/>
            <w:tcBorders>
              <w:top w:val="single" w:color="auto" w:sz="4" w:space="0"/>
              <w:left w:val="single" w:color="auto" w:sz="4" w:space="0"/>
              <w:right w:val="single" w:color="auto" w:sz="4" w:space="0"/>
            </w:tcBorders>
            <w:vAlign w:val="center"/>
          </w:tcPr>
          <w:p w14:paraId="6D07044F">
            <w:pPr>
              <w:jc w:val="center"/>
              <w:rPr>
                <w:rFonts w:asciiTheme="minorEastAsia" w:hAnsiTheme="minorEastAsia" w:eastAsiaTheme="minorEastAsia"/>
                <w:sz w:val="24"/>
              </w:rPr>
            </w:pPr>
            <w:r>
              <w:rPr>
                <w:rFonts w:hint="eastAsia" w:asciiTheme="minorEastAsia" w:hAnsiTheme="minorEastAsia" w:eastAsiaTheme="minorEastAsia"/>
                <w:sz w:val="24"/>
              </w:rPr>
              <w:t>市场价格</w:t>
            </w:r>
          </w:p>
        </w:tc>
        <w:tc>
          <w:tcPr>
            <w:tcW w:w="681" w:type="pct"/>
            <w:tcBorders>
              <w:top w:val="single" w:color="auto" w:sz="4" w:space="0"/>
              <w:left w:val="single" w:color="auto" w:sz="4" w:space="0"/>
              <w:right w:val="single" w:color="auto" w:sz="4" w:space="0"/>
            </w:tcBorders>
            <w:vAlign w:val="center"/>
          </w:tcPr>
          <w:p w14:paraId="22AF6657">
            <w:pPr>
              <w:jc w:val="right"/>
              <w:rPr>
                <w:rFonts w:asciiTheme="minorEastAsia" w:hAnsiTheme="minorEastAsia" w:eastAsiaTheme="minorEastAsia"/>
                <w:sz w:val="24"/>
              </w:rPr>
            </w:pPr>
            <w:r>
              <w:rPr>
                <w:rFonts w:hint="eastAsia" w:asciiTheme="minorEastAsia" w:hAnsiTheme="minorEastAsia" w:eastAsiaTheme="minorEastAsia"/>
                <w:sz w:val="24"/>
                <w:lang w:val="en-US" w:eastAsia="zh-CN"/>
              </w:rPr>
              <w:t>428</w:t>
            </w:r>
            <w:r>
              <w:rPr>
                <w:rFonts w:hint="eastAsia" w:asciiTheme="minorEastAsia" w:hAnsiTheme="minorEastAsia" w:eastAsiaTheme="minorEastAsia"/>
                <w:sz w:val="24"/>
              </w:rPr>
              <w:t>.00</w:t>
            </w:r>
          </w:p>
        </w:tc>
        <w:tc>
          <w:tcPr>
            <w:tcW w:w="650" w:type="pct"/>
            <w:tcBorders>
              <w:top w:val="single" w:color="auto" w:sz="4" w:space="0"/>
              <w:left w:val="single" w:color="auto" w:sz="4" w:space="0"/>
              <w:right w:val="single" w:color="auto" w:sz="4" w:space="0"/>
            </w:tcBorders>
            <w:vAlign w:val="center"/>
          </w:tcPr>
          <w:p w14:paraId="2CD52B3C">
            <w:pPr>
              <w:jc w:val="righ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37.16</w:t>
            </w:r>
          </w:p>
        </w:tc>
        <w:tc>
          <w:tcPr>
            <w:tcW w:w="673" w:type="pct"/>
            <w:tcBorders>
              <w:top w:val="single" w:color="auto" w:sz="4" w:space="0"/>
              <w:left w:val="single" w:color="auto" w:sz="4" w:space="0"/>
              <w:right w:val="single" w:color="auto" w:sz="4" w:space="0"/>
            </w:tcBorders>
            <w:vAlign w:val="center"/>
          </w:tcPr>
          <w:p w14:paraId="0CA97D82">
            <w:pPr>
              <w:jc w:val="righ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203.69</w:t>
            </w:r>
          </w:p>
        </w:tc>
      </w:tr>
      <w:tr w14:paraId="2C06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754" w:type="pct"/>
            <w:tcBorders>
              <w:top w:val="single" w:color="auto" w:sz="4" w:space="0"/>
              <w:left w:val="single" w:color="auto" w:sz="4" w:space="0"/>
              <w:bottom w:val="single" w:color="auto" w:sz="4" w:space="0"/>
              <w:right w:val="single" w:color="auto" w:sz="4" w:space="0"/>
            </w:tcBorders>
            <w:vAlign w:val="center"/>
          </w:tcPr>
          <w:p w14:paraId="6A10B5C5">
            <w:pPr>
              <w:rPr>
                <w:rFonts w:asciiTheme="minorEastAsia" w:hAnsiTheme="minorEastAsia" w:eastAsiaTheme="minorEastAsia"/>
                <w:sz w:val="24"/>
              </w:rPr>
            </w:pPr>
            <w:r>
              <w:rPr>
                <w:rFonts w:hint="eastAsia" w:asciiTheme="minorEastAsia" w:hAnsiTheme="minorEastAsia" w:eastAsiaTheme="minorEastAsia"/>
                <w:sz w:val="24"/>
              </w:rPr>
              <w:t>接受关联人提供的劳务</w:t>
            </w:r>
          </w:p>
        </w:tc>
        <w:tc>
          <w:tcPr>
            <w:tcW w:w="958" w:type="pct"/>
            <w:tcBorders>
              <w:top w:val="single" w:color="auto" w:sz="4" w:space="0"/>
              <w:left w:val="single" w:color="auto" w:sz="4" w:space="0"/>
              <w:right w:val="single" w:color="auto" w:sz="4" w:space="0"/>
            </w:tcBorders>
            <w:vAlign w:val="center"/>
          </w:tcPr>
          <w:p w14:paraId="36DC9FE3">
            <w:pPr>
              <w:rPr>
                <w:rFonts w:asciiTheme="minorEastAsia" w:hAnsiTheme="minorEastAsia" w:eastAsiaTheme="minorEastAsia"/>
                <w:sz w:val="24"/>
              </w:rPr>
            </w:pPr>
            <w:r>
              <w:rPr>
                <w:rFonts w:hint="eastAsia" w:asciiTheme="minorEastAsia" w:hAnsiTheme="minorEastAsia" w:eastAsiaTheme="minorEastAsia"/>
                <w:sz w:val="24"/>
              </w:rPr>
              <w:t>浙江华尚产业运营有限公司</w:t>
            </w:r>
          </w:p>
        </w:tc>
        <w:tc>
          <w:tcPr>
            <w:tcW w:w="686" w:type="pct"/>
            <w:tcBorders>
              <w:top w:val="single" w:color="auto" w:sz="4" w:space="0"/>
              <w:left w:val="single" w:color="auto" w:sz="4" w:space="0"/>
              <w:right w:val="single" w:color="auto" w:sz="4" w:space="0"/>
            </w:tcBorders>
            <w:vAlign w:val="center"/>
          </w:tcPr>
          <w:p w14:paraId="6CBFFFC0">
            <w:pPr>
              <w:jc w:val="center"/>
              <w:rPr>
                <w:rFonts w:asciiTheme="minorEastAsia" w:hAnsiTheme="minorEastAsia" w:eastAsiaTheme="minorEastAsia"/>
                <w:sz w:val="24"/>
              </w:rPr>
            </w:pPr>
            <w:r>
              <w:rPr>
                <w:rFonts w:hint="eastAsia" w:asciiTheme="minorEastAsia" w:hAnsiTheme="minorEastAsia" w:eastAsiaTheme="minorEastAsia"/>
                <w:sz w:val="24"/>
              </w:rPr>
              <w:t>物业</w:t>
            </w:r>
            <w:r>
              <w:rPr>
                <w:rFonts w:hint="eastAsia" w:asciiTheme="minorEastAsia" w:hAnsiTheme="minorEastAsia" w:eastAsiaTheme="minorEastAsia"/>
                <w:sz w:val="24"/>
                <w:lang w:val="en-US" w:eastAsia="zh-CN"/>
              </w:rPr>
              <w:t>费</w:t>
            </w:r>
            <w:r>
              <w:rPr>
                <w:rFonts w:hint="eastAsia" w:asciiTheme="minorEastAsia" w:hAnsiTheme="minorEastAsia" w:eastAsiaTheme="minorEastAsia"/>
                <w:sz w:val="24"/>
              </w:rPr>
              <w:t>等</w:t>
            </w:r>
          </w:p>
        </w:tc>
        <w:tc>
          <w:tcPr>
            <w:tcW w:w="594" w:type="pct"/>
            <w:tcBorders>
              <w:top w:val="single" w:color="auto" w:sz="4" w:space="0"/>
              <w:left w:val="single" w:color="auto" w:sz="4" w:space="0"/>
              <w:right w:val="single" w:color="auto" w:sz="4" w:space="0"/>
            </w:tcBorders>
            <w:vAlign w:val="center"/>
          </w:tcPr>
          <w:p w14:paraId="7991ED05">
            <w:pPr>
              <w:jc w:val="center"/>
              <w:rPr>
                <w:rFonts w:asciiTheme="minorEastAsia" w:hAnsiTheme="minorEastAsia" w:eastAsiaTheme="minorEastAsia"/>
                <w:sz w:val="24"/>
              </w:rPr>
            </w:pPr>
            <w:r>
              <w:rPr>
                <w:rFonts w:hint="eastAsia" w:asciiTheme="minorEastAsia" w:hAnsiTheme="minorEastAsia" w:eastAsiaTheme="minorEastAsia"/>
                <w:sz w:val="24"/>
              </w:rPr>
              <w:t>市场价格</w:t>
            </w:r>
          </w:p>
        </w:tc>
        <w:tc>
          <w:tcPr>
            <w:tcW w:w="681" w:type="pct"/>
            <w:tcBorders>
              <w:top w:val="single" w:color="auto" w:sz="4" w:space="0"/>
              <w:left w:val="single" w:color="auto" w:sz="4" w:space="0"/>
              <w:right w:val="single" w:color="auto" w:sz="4" w:space="0"/>
            </w:tcBorders>
            <w:vAlign w:val="center"/>
          </w:tcPr>
          <w:p w14:paraId="09AB0DCD">
            <w:pPr>
              <w:jc w:val="righ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408.50</w:t>
            </w:r>
          </w:p>
        </w:tc>
        <w:tc>
          <w:tcPr>
            <w:tcW w:w="650" w:type="pct"/>
            <w:tcBorders>
              <w:top w:val="single" w:color="auto" w:sz="4" w:space="0"/>
              <w:left w:val="single" w:color="auto" w:sz="4" w:space="0"/>
              <w:right w:val="single" w:color="auto" w:sz="4" w:space="0"/>
            </w:tcBorders>
            <w:vAlign w:val="center"/>
          </w:tcPr>
          <w:p w14:paraId="743D5B22">
            <w:pPr>
              <w:jc w:val="righ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130.08</w:t>
            </w:r>
          </w:p>
        </w:tc>
        <w:tc>
          <w:tcPr>
            <w:tcW w:w="673" w:type="pct"/>
            <w:tcBorders>
              <w:top w:val="single" w:color="auto" w:sz="4" w:space="0"/>
              <w:left w:val="single" w:color="auto" w:sz="4" w:space="0"/>
              <w:right w:val="single" w:color="auto" w:sz="4" w:space="0"/>
            </w:tcBorders>
            <w:vAlign w:val="center"/>
          </w:tcPr>
          <w:p w14:paraId="524C2387">
            <w:pPr>
              <w:jc w:val="righ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428.72</w:t>
            </w:r>
          </w:p>
        </w:tc>
      </w:tr>
      <w:tr w14:paraId="7638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54" w:type="pct"/>
            <w:tcBorders>
              <w:top w:val="single" w:color="auto" w:sz="4" w:space="0"/>
              <w:left w:val="single" w:color="auto" w:sz="4" w:space="0"/>
              <w:bottom w:val="single" w:color="auto" w:sz="4" w:space="0"/>
              <w:right w:val="single" w:color="auto" w:sz="4" w:space="0"/>
            </w:tcBorders>
            <w:vAlign w:val="center"/>
          </w:tcPr>
          <w:p w14:paraId="72914408">
            <w:pPr>
              <w:widowControl/>
              <w:jc w:val="left"/>
              <w:rPr>
                <w:rFonts w:asciiTheme="minorEastAsia" w:hAnsiTheme="minorEastAsia" w:eastAsiaTheme="minorEastAsia"/>
                <w:sz w:val="24"/>
              </w:rPr>
            </w:pPr>
            <w:r>
              <w:rPr>
                <w:rFonts w:asciiTheme="minorEastAsia" w:hAnsiTheme="minorEastAsia" w:eastAsiaTheme="minorEastAsia"/>
                <w:sz w:val="24"/>
              </w:rPr>
              <w:t>合计</w:t>
            </w:r>
          </w:p>
        </w:tc>
        <w:tc>
          <w:tcPr>
            <w:tcW w:w="958" w:type="pct"/>
            <w:tcBorders>
              <w:top w:val="single" w:color="auto" w:sz="4" w:space="0"/>
              <w:left w:val="single" w:color="auto" w:sz="4" w:space="0"/>
              <w:bottom w:val="single" w:color="auto" w:sz="4" w:space="0"/>
              <w:right w:val="single" w:color="auto" w:sz="4" w:space="0"/>
            </w:tcBorders>
            <w:vAlign w:val="center"/>
          </w:tcPr>
          <w:p w14:paraId="78C33D24">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686" w:type="pct"/>
            <w:tcBorders>
              <w:top w:val="single" w:color="auto" w:sz="4" w:space="0"/>
              <w:left w:val="single" w:color="auto" w:sz="4" w:space="0"/>
              <w:bottom w:val="single" w:color="auto" w:sz="4" w:space="0"/>
              <w:right w:val="single" w:color="auto" w:sz="4" w:space="0"/>
            </w:tcBorders>
            <w:vAlign w:val="center"/>
          </w:tcPr>
          <w:p w14:paraId="44648C9B">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594" w:type="pct"/>
            <w:tcBorders>
              <w:top w:val="single" w:color="auto" w:sz="4" w:space="0"/>
              <w:left w:val="single" w:color="auto" w:sz="4" w:space="0"/>
              <w:bottom w:val="single" w:color="auto" w:sz="4" w:space="0"/>
              <w:right w:val="single" w:color="auto" w:sz="4" w:space="0"/>
            </w:tcBorders>
            <w:vAlign w:val="center"/>
          </w:tcPr>
          <w:p w14:paraId="69EC778A">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681" w:type="pct"/>
            <w:tcBorders>
              <w:top w:val="single" w:color="auto" w:sz="4" w:space="0"/>
              <w:left w:val="single" w:color="auto" w:sz="4" w:space="0"/>
              <w:bottom w:val="single" w:color="auto" w:sz="4" w:space="0"/>
              <w:right w:val="single" w:color="auto" w:sz="4" w:space="0"/>
            </w:tcBorders>
            <w:vAlign w:val="center"/>
          </w:tcPr>
          <w:p w14:paraId="60AD38B5">
            <w:pPr>
              <w:jc w:val="righ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20,836.50</w:t>
            </w:r>
          </w:p>
        </w:tc>
        <w:tc>
          <w:tcPr>
            <w:tcW w:w="650" w:type="pct"/>
            <w:tcBorders>
              <w:top w:val="single" w:color="auto" w:sz="4" w:space="0"/>
              <w:left w:val="single" w:color="auto" w:sz="4" w:space="0"/>
              <w:bottom w:val="single" w:color="auto" w:sz="4" w:space="0"/>
              <w:right w:val="single" w:color="auto" w:sz="4" w:space="0"/>
            </w:tcBorders>
            <w:vAlign w:val="center"/>
          </w:tcPr>
          <w:p w14:paraId="1F282A81">
            <w:pPr>
              <w:jc w:val="righ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167.24</w:t>
            </w:r>
          </w:p>
        </w:tc>
        <w:tc>
          <w:tcPr>
            <w:tcW w:w="673" w:type="pct"/>
            <w:tcBorders>
              <w:top w:val="single" w:color="auto" w:sz="4" w:space="0"/>
              <w:left w:val="single" w:color="auto" w:sz="4" w:space="0"/>
              <w:bottom w:val="single" w:color="auto" w:sz="4" w:space="0"/>
              <w:right w:val="single" w:color="auto" w:sz="4" w:space="0"/>
            </w:tcBorders>
            <w:vAlign w:val="center"/>
          </w:tcPr>
          <w:p w14:paraId="0BB55B3B">
            <w:pPr>
              <w:jc w:val="righ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2,128.78</w:t>
            </w:r>
          </w:p>
        </w:tc>
      </w:tr>
    </w:tbl>
    <w:p w14:paraId="6472BE7D">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200"/>
        <w:jc w:val="left"/>
        <w:textAlignment w:val="auto"/>
        <w:rPr>
          <w:rFonts w:asciiTheme="minorEastAsia" w:hAnsiTheme="minorEastAsia" w:eastAsiaTheme="minorEastAsia"/>
          <w:b/>
          <w:sz w:val="24"/>
          <w:szCs w:val="20"/>
        </w:rPr>
      </w:pPr>
      <w:r>
        <w:rPr>
          <w:rFonts w:hint="eastAsia" w:asciiTheme="minorEastAsia" w:hAnsiTheme="minorEastAsia" w:eastAsiaTheme="minorEastAsia"/>
          <w:b/>
          <w:sz w:val="24"/>
        </w:rPr>
        <w:t>3、</w:t>
      </w:r>
      <w:r>
        <w:rPr>
          <w:rFonts w:hint="eastAsia" w:asciiTheme="minorEastAsia" w:hAnsiTheme="minorEastAsia" w:eastAsiaTheme="minorEastAsia"/>
          <w:b/>
          <w:sz w:val="24"/>
          <w:szCs w:val="20"/>
        </w:rPr>
        <w:t>上一年度日常关联交易实际发生情况</w:t>
      </w:r>
    </w:p>
    <w:p w14:paraId="50A72AE6">
      <w:pPr>
        <w:keepNext w:val="0"/>
        <w:keepLines w:val="0"/>
        <w:pageBreakBefore w:val="0"/>
        <w:kinsoku/>
        <w:wordWrap/>
        <w:overflowPunct/>
        <w:topLinePunct w:val="0"/>
        <w:autoSpaceDE w:val="0"/>
        <w:autoSpaceDN w:val="0"/>
        <w:bidi w:val="0"/>
        <w:adjustRightInd w:val="0"/>
        <w:snapToGrid/>
        <w:spacing w:line="360" w:lineRule="auto"/>
        <w:ind w:right="0" w:rightChars="0" w:firstLine="480" w:firstLineChars="200"/>
        <w:jc w:val="right"/>
        <w:textAlignment w:val="auto"/>
        <w:outlineLvl w:val="0"/>
        <w:rPr>
          <w:rFonts w:asciiTheme="minorEastAsia" w:hAnsiTheme="minorEastAsia" w:eastAsiaTheme="minorEastAsia"/>
          <w:sz w:val="24"/>
        </w:rPr>
      </w:pPr>
      <w:r>
        <w:rPr>
          <w:rFonts w:hint="eastAsia" w:asciiTheme="minorEastAsia" w:hAnsiTheme="minorEastAsia" w:eastAsiaTheme="minorEastAsia"/>
          <w:sz w:val="24"/>
          <w:szCs w:val="20"/>
        </w:rPr>
        <w:t>单位</w:t>
      </w:r>
      <w:r>
        <w:rPr>
          <w:rFonts w:asciiTheme="minorEastAsia" w:hAnsiTheme="minorEastAsia" w:eastAsiaTheme="minorEastAsia"/>
          <w:sz w:val="24"/>
          <w:szCs w:val="20"/>
        </w:rPr>
        <w:t>:万元</w:t>
      </w:r>
    </w:p>
    <w:tbl>
      <w:tblPr>
        <w:tblStyle w:val="10"/>
        <w:tblW w:w="6510" w:type="pct"/>
        <w:tblInd w:w="-1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60"/>
        <w:gridCol w:w="1134"/>
        <w:gridCol w:w="1418"/>
        <w:gridCol w:w="1558"/>
        <w:gridCol w:w="1134"/>
        <w:gridCol w:w="1844"/>
        <w:gridCol w:w="1314"/>
      </w:tblGrid>
      <w:tr w14:paraId="2D0D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511" w:type="pct"/>
            <w:tcBorders>
              <w:top w:val="single" w:color="auto" w:sz="4" w:space="0"/>
              <w:left w:val="single" w:color="auto" w:sz="4" w:space="0"/>
              <w:bottom w:val="single" w:color="auto" w:sz="4" w:space="0"/>
              <w:right w:val="single" w:color="auto" w:sz="4" w:space="0"/>
            </w:tcBorders>
            <w:shd w:val="clear" w:color="auto" w:fill="E0E0E0"/>
            <w:vAlign w:val="center"/>
          </w:tcPr>
          <w:p w14:paraId="04C80099">
            <w:pPr>
              <w:widowControl/>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关联交易类别</w:t>
            </w:r>
          </w:p>
        </w:tc>
        <w:tc>
          <w:tcPr>
            <w:tcW w:w="702" w:type="pct"/>
            <w:tcBorders>
              <w:top w:val="single" w:color="auto" w:sz="4" w:space="0"/>
              <w:left w:val="single" w:color="auto" w:sz="4" w:space="0"/>
              <w:bottom w:val="single" w:color="auto" w:sz="4" w:space="0"/>
              <w:right w:val="single" w:color="auto" w:sz="4" w:space="0"/>
            </w:tcBorders>
            <w:shd w:val="clear" w:color="auto" w:fill="E0E0E0"/>
            <w:vAlign w:val="center"/>
          </w:tcPr>
          <w:p w14:paraId="275C42A6">
            <w:pPr>
              <w:widowControl/>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关联人</w:t>
            </w:r>
          </w:p>
        </w:tc>
        <w:tc>
          <w:tcPr>
            <w:tcW w:w="510" w:type="pct"/>
            <w:tcBorders>
              <w:top w:val="single" w:color="auto" w:sz="4" w:space="0"/>
              <w:left w:val="single" w:color="auto" w:sz="4" w:space="0"/>
              <w:bottom w:val="single" w:color="auto" w:sz="4" w:space="0"/>
              <w:right w:val="single" w:color="auto" w:sz="4" w:space="0"/>
            </w:tcBorders>
            <w:shd w:val="clear" w:color="auto" w:fill="E0E0E0"/>
            <w:vAlign w:val="center"/>
          </w:tcPr>
          <w:p w14:paraId="748D4B03">
            <w:pPr>
              <w:widowControl/>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关联交易内容</w:t>
            </w:r>
          </w:p>
        </w:tc>
        <w:tc>
          <w:tcPr>
            <w:tcW w:w="638" w:type="pct"/>
            <w:tcBorders>
              <w:top w:val="single" w:color="auto" w:sz="4" w:space="0"/>
              <w:left w:val="single" w:color="auto" w:sz="4" w:space="0"/>
              <w:bottom w:val="single" w:color="auto" w:sz="4" w:space="0"/>
              <w:right w:val="single" w:color="auto" w:sz="4" w:space="0"/>
            </w:tcBorders>
            <w:shd w:val="clear" w:color="auto" w:fill="E0E0E0"/>
            <w:vAlign w:val="center"/>
          </w:tcPr>
          <w:p w14:paraId="173BB6E6">
            <w:pPr>
              <w:widowControl/>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实际发生金额</w:t>
            </w:r>
          </w:p>
        </w:tc>
        <w:tc>
          <w:tcPr>
            <w:tcW w:w="701" w:type="pct"/>
            <w:tcBorders>
              <w:top w:val="single" w:color="auto" w:sz="4" w:space="0"/>
              <w:left w:val="single" w:color="auto" w:sz="4" w:space="0"/>
              <w:bottom w:val="single" w:color="auto" w:sz="4" w:space="0"/>
              <w:right w:val="single" w:color="auto" w:sz="4" w:space="0"/>
            </w:tcBorders>
            <w:shd w:val="clear" w:color="auto" w:fill="E0E0E0"/>
            <w:vAlign w:val="center"/>
          </w:tcPr>
          <w:p w14:paraId="442F6A0D">
            <w:pPr>
              <w:widowControl/>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预计金额</w:t>
            </w:r>
          </w:p>
        </w:tc>
        <w:tc>
          <w:tcPr>
            <w:tcW w:w="510" w:type="pct"/>
            <w:tcBorders>
              <w:top w:val="single" w:color="auto" w:sz="4" w:space="0"/>
              <w:left w:val="single" w:color="auto" w:sz="4" w:space="0"/>
              <w:bottom w:val="single" w:color="auto" w:sz="4" w:space="0"/>
              <w:right w:val="single" w:color="auto" w:sz="4" w:space="0"/>
            </w:tcBorders>
            <w:shd w:val="clear" w:color="auto" w:fill="E0E0E0"/>
          </w:tcPr>
          <w:p w14:paraId="1B102E51">
            <w:pPr>
              <w:widowControl/>
              <w:jc w:val="center"/>
              <w:rPr>
                <w:rFonts w:asciiTheme="minorEastAsia" w:hAnsiTheme="minorEastAsia" w:eastAsiaTheme="minorEastAsia"/>
                <w:b/>
                <w:kern w:val="0"/>
                <w:sz w:val="24"/>
              </w:rPr>
            </w:pPr>
            <w:r>
              <w:rPr>
                <w:rFonts w:hint="eastAsia" w:asciiTheme="minorEastAsia" w:hAnsiTheme="minorEastAsia" w:eastAsiaTheme="minorEastAsia"/>
                <w:b/>
                <w:sz w:val="24"/>
              </w:rPr>
              <w:t>实际发生额占同类业务比例</w:t>
            </w:r>
            <w:r>
              <w:rPr>
                <w:rFonts w:hint="eastAsia" w:asciiTheme="minorEastAsia" w:hAnsiTheme="minorEastAsia" w:eastAsiaTheme="minorEastAsia"/>
                <w:b/>
                <w:kern w:val="0"/>
                <w:sz w:val="24"/>
              </w:rPr>
              <w:t>（%）</w:t>
            </w:r>
          </w:p>
        </w:tc>
        <w:tc>
          <w:tcPr>
            <w:tcW w:w="830" w:type="pct"/>
            <w:tcBorders>
              <w:top w:val="single" w:color="auto" w:sz="4" w:space="0"/>
              <w:left w:val="single" w:color="auto" w:sz="4" w:space="0"/>
              <w:bottom w:val="single" w:color="auto" w:sz="4" w:space="0"/>
              <w:right w:val="single" w:color="auto" w:sz="4" w:space="0"/>
            </w:tcBorders>
            <w:shd w:val="clear" w:color="auto" w:fill="E0E0E0"/>
            <w:vAlign w:val="center"/>
          </w:tcPr>
          <w:p w14:paraId="0517C0BD">
            <w:pPr>
              <w:widowControl/>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实际发生额与预计金额差异（%）</w:t>
            </w:r>
          </w:p>
        </w:tc>
        <w:tc>
          <w:tcPr>
            <w:tcW w:w="592" w:type="pct"/>
            <w:tcBorders>
              <w:top w:val="single" w:color="auto" w:sz="4" w:space="0"/>
              <w:left w:val="single" w:color="auto" w:sz="4" w:space="0"/>
              <w:bottom w:val="single" w:color="auto" w:sz="4" w:space="0"/>
              <w:right w:val="single" w:color="auto" w:sz="4" w:space="0"/>
            </w:tcBorders>
            <w:shd w:val="clear" w:color="auto" w:fill="E0E0E0"/>
            <w:vAlign w:val="center"/>
          </w:tcPr>
          <w:p w14:paraId="4B12838A">
            <w:pPr>
              <w:widowControl/>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披露日期及索引</w:t>
            </w:r>
          </w:p>
        </w:tc>
      </w:tr>
      <w:tr w14:paraId="77C9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1" w:type="pct"/>
            <w:tcBorders>
              <w:top w:val="single" w:color="auto" w:sz="4" w:space="0"/>
              <w:left w:val="single" w:color="auto" w:sz="4" w:space="0"/>
              <w:right w:val="single" w:color="auto" w:sz="4" w:space="0"/>
            </w:tcBorders>
            <w:vAlign w:val="center"/>
          </w:tcPr>
          <w:p w14:paraId="1A3C03C6">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向关联人销售产品、商品</w:t>
            </w:r>
          </w:p>
        </w:tc>
        <w:tc>
          <w:tcPr>
            <w:tcW w:w="702" w:type="pct"/>
            <w:tcBorders>
              <w:top w:val="single" w:color="auto" w:sz="4" w:space="0"/>
              <w:left w:val="single" w:color="auto" w:sz="4" w:space="0"/>
              <w:bottom w:val="single" w:color="auto" w:sz="4" w:space="0"/>
              <w:right w:val="single" w:color="auto" w:sz="4" w:space="0"/>
            </w:tcBorders>
            <w:vAlign w:val="center"/>
          </w:tcPr>
          <w:p w14:paraId="214AB312">
            <w:pPr>
              <w:jc w:val="left"/>
              <w:rPr>
                <w:rFonts w:asciiTheme="minorEastAsia" w:hAnsiTheme="minorEastAsia" w:eastAsiaTheme="minorEastAsia"/>
                <w:sz w:val="24"/>
              </w:rPr>
            </w:pPr>
            <w:r>
              <w:rPr>
                <w:rFonts w:hint="eastAsia" w:asciiTheme="minorEastAsia" w:hAnsiTheme="minorEastAsia" w:eastAsiaTheme="minorEastAsia"/>
                <w:sz w:val="24"/>
              </w:rPr>
              <w:t>浙江华尚产业运营有限公司</w:t>
            </w:r>
          </w:p>
        </w:tc>
        <w:tc>
          <w:tcPr>
            <w:tcW w:w="510" w:type="pct"/>
            <w:tcBorders>
              <w:top w:val="single" w:color="auto" w:sz="4" w:space="0"/>
              <w:left w:val="single" w:color="auto" w:sz="4" w:space="0"/>
              <w:bottom w:val="single" w:color="auto" w:sz="4" w:space="0"/>
              <w:right w:val="single" w:color="auto" w:sz="4" w:space="0"/>
            </w:tcBorders>
            <w:vAlign w:val="center"/>
          </w:tcPr>
          <w:p w14:paraId="2E39A378">
            <w:pPr>
              <w:jc w:val="center"/>
              <w:rPr>
                <w:rFonts w:asciiTheme="minorEastAsia" w:hAnsiTheme="minorEastAsia" w:eastAsiaTheme="minorEastAsia"/>
                <w:sz w:val="24"/>
              </w:rPr>
            </w:pPr>
            <w:r>
              <w:rPr>
                <w:rFonts w:hint="eastAsia" w:asciiTheme="minorEastAsia" w:hAnsiTheme="minorEastAsia" w:eastAsiaTheme="minorEastAsia"/>
                <w:sz w:val="24"/>
              </w:rPr>
              <w:t>销售产品</w:t>
            </w:r>
          </w:p>
        </w:tc>
        <w:tc>
          <w:tcPr>
            <w:tcW w:w="638" w:type="pct"/>
            <w:tcBorders>
              <w:top w:val="single" w:color="auto" w:sz="4" w:space="0"/>
              <w:left w:val="single" w:color="auto" w:sz="4" w:space="0"/>
              <w:bottom w:val="single" w:color="auto" w:sz="4" w:space="0"/>
              <w:right w:val="single" w:color="auto" w:sz="4" w:space="0"/>
            </w:tcBorders>
            <w:vAlign w:val="center"/>
          </w:tcPr>
          <w:p w14:paraId="0D194C04">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1,496.37</w:t>
            </w:r>
          </w:p>
        </w:tc>
        <w:tc>
          <w:tcPr>
            <w:tcW w:w="701" w:type="pct"/>
            <w:tcBorders>
              <w:top w:val="single" w:color="auto" w:sz="4" w:space="0"/>
              <w:left w:val="single" w:color="auto" w:sz="4" w:space="0"/>
              <w:bottom w:val="single" w:color="auto" w:sz="4" w:space="0"/>
              <w:right w:val="single" w:color="auto" w:sz="4" w:space="0"/>
            </w:tcBorders>
            <w:vAlign w:val="center"/>
          </w:tcPr>
          <w:p w14:paraId="0CA2D32E">
            <w:pPr>
              <w:jc w:val="center"/>
              <w:rPr>
                <w:rFonts w:asciiTheme="minorEastAsia" w:hAnsiTheme="minorEastAsia" w:eastAsiaTheme="minorEastAsia"/>
                <w:sz w:val="24"/>
              </w:rPr>
            </w:pPr>
            <w:r>
              <w:rPr>
                <w:rFonts w:asciiTheme="minorEastAsia" w:hAnsiTheme="minorEastAsia" w:eastAsiaTheme="minorEastAsia"/>
                <w:sz w:val="24"/>
              </w:rPr>
              <w:t>15,000.00</w:t>
            </w:r>
          </w:p>
        </w:tc>
        <w:tc>
          <w:tcPr>
            <w:tcW w:w="510" w:type="pct"/>
            <w:tcBorders>
              <w:top w:val="single" w:color="auto" w:sz="4" w:space="0"/>
              <w:left w:val="single" w:color="auto" w:sz="4" w:space="0"/>
              <w:bottom w:val="single" w:color="auto" w:sz="4" w:space="0"/>
              <w:right w:val="single" w:color="auto" w:sz="4" w:space="0"/>
            </w:tcBorders>
            <w:vAlign w:val="center"/>
          </w:tcPr>
          <w:p w14:paraId="39322146">
            <w:pPr>
              <w:jc w:val="center"/>
              <w:rPr>
                <w:rFonts w:asciiTheme="minorEastAsia" w:hAnsiTheme="minorEastAsia" w:eastAsiaTheme="minorEastAsia"/>
                <w:sz w:val="24"/>
              </w:rPr>
            </w:pPr>
            <w:r>
              <w:rPr>
                <w:rFonts w:hint="eastAsia" w:asciiTheme="minorEastAsia" w:hAnsiTheme="minorEastAsia" w:eastAsiaTheme="minorEastAsia"/>
                <w:sz w:val="24"/>
              </w:rPr>
              <w:t>0.</w:t>
            </w: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w:t>
            </w:r>
          </w:p>
        </w:tc>
        <w:tc>
          <w:tcPr>
            <w:tcW w:w="830" w:type="pct"/>
            <w:tcBorders>
              <w:top w:val="single" w:color="auto" w:sz="4" w:space="0"/>
              <w:left w:val="single" w:color="auto" w:sz="4" w:space="0"/>
              <w:bottom w:val="single" w:color="auto" w:sz="4" w:space="0"/>
              <w:right w:val="single" w:color="auto" w:sz="4" w:space="0"/>
            </w:tcBorders>
            <w:vAlign w:val="center"/>
          </w:tcPr>
          <w:p w14:paraId="303E891E">
            <w:pPr>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90.02</w:t>
            </w:r>
            <w:r>
              <w:rPr>
                <w:rFonts w:hint="eastAsia" w:asciiTheme="minorEastAsia" w:hAnsiTheme="minorEastAsia" w:eastAsiaTheme="minorEastAsia"/>
                <w:sz w:val="24"/>
              </w:rPr>
              <w:t>%</w:t>
            </w:r>
          </w:p>
        </w:tc>
        <w:tc>
          <w:tcPr>
            <w:tcW w:w="592" w:type="pct"/>
            <w:vMerge w:val="restart"/>
            <w:tcBorders>
              <w:left w:val="single" w:color="auto" w:sz="4" w:space="0"/>
              <w:right w:val="single" w:color="auto" w:sz="4" w:space="0"/>
            </w:tcBorders>
            <w:vAlign w:val="center"/>
          </w:tcPr>
          <w:p w14:paraId="508F00A0">
            <w:pPr>
              <w:jc w:val="both"/>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年4月2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日披露在巨潮资讯网、《中国证券报》和《证券时报》的202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号公告</w:t>
            </w:r>
          </w:p>
        </w:tc>
      </w:tr>
      <w:tr w14:paraId="4B4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1" w:type="pct"/>
            <w:tcBorders>
              <w:top w:val="single" w:color="auto" w:sz="4" w:space="0"/>
              <w:left w:val="single" w:color="auto" w:sz="4" w:space="0"/>
              <w:right w:val="single" w:color="auto" w:sz="4" w:space="0"/>
            </w:tcBorders>
            <w:vAlign w:val="center"/>
          </w:tcPr>
          <w:p w14:paraId="7216E2BB">
            <w:pPr>
              <w:widowControl/>
              <w:rPr>
                <w:rFonts w:hint="default" w:asciiTheme="minorEastAsia" w:hAnsiTheme="minorEastAsia" w:eastAsiaTheme="minorEastAsia"/>
                <w:kern w:val="0"/>
                <w:sz w:val="24"/>
                <w:lang w:val="en-US" w:eastAsia="zh-CN"/>
              </w:rPr>
            </w:pPr>
            <w:r>
              <w:rPr>
                <w:rFonts w:hint="eastAsia" w:asciiTheme="minorEastAsia" w:hAnsiTheme="minorEastAsia" w:eastAsiaTheme="minorEastAsia"/>
                <w:kern w:val="0"/>
                <w:sz w:val="24"/>
                <w:lang w:val="en-US" w:eastAsia="zh-CN"/>
              </w:rPr>
              <w:t>向关联人提供劳务</w:t>
            </w:r>
          </w:p>
        </w:tc>
        <w:tc>
          <w:tcPr>
            <w:tcW w:w="702" w:type="pct"/>
            <w:tcBorders>
              <w:top w:val="single" w:color="auto" w:sz="4" w:space="0"/>
              <w:left w:val="single" w:color="auto" w:sz="4" w:space="0"/>
              <w:bottom w:val="single" w:color="auto" w:sz="4" w:space="0"/>
              <w:right w:val="single" w:color="auto" w:sz="4" w:space="0"/>
            </w:tcBorders>
            <w:vAlign w:val="center"/>
          </w:tcPr>
          <w:p w14:paraId="720D9D56">
            <w:pPr>
              <w:jc w:val="left"/>
              <w:rPr>
                <w:rFonts w:hint="eastAsia" w:asciiTheme="minorEastAsia" w:hAnsiTheme="minorEastAsia" w:eastAsiaTheme="minorEastAsia"/>
                <w:sz w:val="24"/>
              </w:rPr>
            </w:pPr>
            <w:r>
              <w:rPr>
                <w:rFonts w:hint="eastAsia" w:asciiTheme="minorEastAsia" w:hAnsiTheme="minorEastAsia" w:eastAsiaTheme="minorEastAsia"/>
                <w:sz w:val="24"/>
              </w:rPr>
              <w:t>浙江华尚产业运营有限公司</w:t>
            </w:r>
          </w:p>
        </w:tc>
        <w:tc>
          <w:tcPr>
            <w:tcW w:w="510" w:type="pct"/>
            <w:tcBorders>
              <w:top w:val="single" w:color="auto" w:sz="4" w:space="0"/>
              <w:left w:val="single" w:color="auto" w:sz="4" w:space="0"/>
              <w:bottom w:val="single" w:color="auto" w:sz="4" w:space="0"/>
              <w:right w:val="single" w:color="auto" w:sz="4" w:space="0"/>
            </w:tcBorders>
            <w:vAlign w:val="center"/>
          </w:tcPr>
          <w:p w14:paraId="778CD060">
            <w:pPr>
              <w:jc w:val="center"/>
              <w:rPr>
                <w:rFonts w:hint="eastAsia" w:asciiTheme="minorEastAsia" w:hAnsiTheme="minorEastAsia" w:eastAsiaTheme="minorEastAsia"/>
                <w:sz w:val="24"/>
              </w:rPr>
            </w:pPr>
            <w:r>
              <w:rPr>
                <w:rFonts w:hint="eastAsia" w:asciiTheme="minorEastAsia" w:hAnsiTheme="minorEastAsia" w:eastAsiaTheme="minorEastAsia"/>
                <w:sz w:val="24"/>
              </w:rPr>
              <w:t>租赁费等</w:t>
            </w:r>
          </w:p>
        </w:tc>
        <w:tc>
          <w:tcPr>
            <w:tcW w:w="638" w:type="pct"/>
            <w:tcBorders>
              <w:top w:val="single" w:color="auto" w:sz="4" w:space="0"/>
              <w:left w:val="single" w:color="auto" w:sz="4" w:space="0"/>
              <w:bottom w:val="single" w:color="auto" w:sz="4" w:space="0"/>
              <w:right w:val="single" w:color="auto" w:sz="4" w:space="0"/>
            </w:tcBorders>
            <w:vAlign w:val="center"/>
          </w:tcPr>
          <w:p w14:paraId="3F8B3432">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203.69</w:t>
            </w:r>
          </w:p>
        </w:tc>
        <w:tc>
          <w:tcPr>
            <w:tcW w:w="701" w:type="pct"/>
            <w:tcBorders>
              <w:top w:val="single" w:color="auto" w:sz="4" w:space="0"/>
              <w:left w:val="single" w:color="auto" w:sz="4" w:space="0"/>
              <w:bottom w:val="single" w:color="auto" w:sz="4" w:space="0"/>
              <w:right w:val="single" w:color="auto" w:sz="4" w:space="0"/>
            </w:tcBorders>
            <w:vAlign w:val="center"/>
          </w:tcPr>
          <w:p w14:paraId="15645428">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200.00</w:t>
            </w:r>
          </w:p>
        </w:tc>
        <w:tc>
          <w:tcPr>
            <w:tcW w:w="510" w:type="pct"/>
            <w:tcBorders>
              <w:top w:val="single" w:color="auto" w:sz="4" w:space="0"/>
              <w:left w:val="single" w:color="auto" w:sz="4" w:space="0"/>
              <w:bottom w:val="single" w:color="auto" w:sz="4" w:space="0"/>
              <w:right w:val="single" w:color="auto" w:sz="4" w:space="0"/>
            </w:tcBorders>
            <w:vAlign w:val="center"/>
          </w:tcPr>
          <w:p w14:paraId="18B08130">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7.37%</w:t>
            </w:r>
          </w:p>
        </w:tc>
        <w:tc>
          <w:tcPr>
            <w:tcW w:w="830" w:type="pct"/>
            <w:tcBorders>
              <w:top w:val="single" w:color="auto" w:sz="4" w:space="0"/>
              <w:left w:val="single" w:color="auto" w:sz="4" w:space="0"/>
              <w:bottom w:val="single" w:color="auto" w:sz="4" w:space="0"/>
              <w:right w:val="single" w:color="auto" w:sz="4" w:space="0"/>
            </w:tcBorders>
            <w:vAlign w:val="center"/>
          </w:tcPr>
          <w:p w14:paraId="10F261D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1.84%</w:t>
            </w:r>
          </w:p>
        </w:tc>
        <w:tc>
          <w:tcPr>
            <w:tcW w:w="592" w:type="pct"/>
            <w:vMerge w:val="continue"/>
            <w:tcBorders>
              <w:left w:val="single" w:color="auto" w:sz="4" w:space="0"/>
              <w:right w:val="single" w:color="auto" w:sz="4" w:space="0"/>
            </w:tcBorders>
            <w:vAlign w:val="center"/>
          </w:tcPr>
          <w:p w14:paraId="5E61EE15">
            <w:pPr>
              <w:jc w:val="center"/>
              <w:rPr>
                <w:rFonts w:asciiTheme="minorEastAsia" w:hAnsiTheme="minorEastAsia" w:eastAsiaTheme="minorEastAsia"/>
                <w:sz w:val="24"/>
              </w:rPr>
            </w:pPr>
          </w:p>
        </w:tc>
      </w:tr>
      <w:tr w14:paraId="40DF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1" w:type="pct"/>
            <w:tcBorders>
              <w:top w:val="single" w:color="auto" w:sz="4" w:space="0"/>
              <w:left w:val="single" w:color="auto" w:sz="4" w:space="0"/>
              <w:bottom w:val="single" w:color="auto" w:sz="4" w:space="0"/>
              <w:right w:val="single" w:color="auto" w:sz="4" w:space="0"/>
            </w:tcBorders>
            <w:vAlign w:val="center"/>
          </w:tcPr>
          <w:p w14:paraId="2F846035">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接受关联人提供的劳务</w:t>
            </w:r>
          </w:p>
        </w:tc>
        <w:tc>
          <w:tcPr>
            <w:tcW w:w="702" w:type="pct"/>
            <w:tcBorders>
              <w:top w:val="single" w:color="auto" w:sz="4" w:space="0"/>
              <w:left w:val="single" w:color="auto" w:sz="4" w:space="0"/>
              <w:bottom w:val="single" w:color="auto" w:sz="4" w:space="0"/>
              <w:right w:val="single" w:color="auto" w:sz="4" w:space="0"/>
            </w:tcBorders>
            <w:vAlign w:val="center"/>
          </w:tcPr>
          <w:p w14:paraId="74B34ECA">
            <w:pPr>
              <w:jc w:val="left"/>
              <w:rPr>
                <w:rFonts w:asciiTheme="minorEastAsia" w:hAnsiTheme="minorEastAsia" w:eastAsiaTheme="minorEastAsia"/>
                <w:sz w:val="24"/>
              </w:rPr>
            </w:pPr>
            <w:r>
              <w:rPr>
                <w:rFonts w:hint="eastAsia" w:asciiTheme="minorEastAsia" w:hAnsiTheme="minorEastAsia" w:eastAsiaTheme="minorEastAsia"/>
                <w:sz w:val="24"/>
              </w:rPr>
              <w:t>浙江华尚产业运营有限公司</w:t>
            </w:r>
          </w:p>
        </w:tc>
        <w:tc>
          <w:tcPr>
            <w:tcW w:w="510" w:type="pct"/>
            <w:tcBorders>
              <w:top w:val="single" w:color="auto" w:sz="4" w:space="0"/>
              <w:left w:val="single" w:color="auto" w:sz="4" w:space="0"/>
              <w:bottom w:val="single" w:color="auto" w:sz="4" w:space="0"/>
              <w:right w:val="single" w:color="auto" w:sz="4" w:space="0"/>
            </w:tcBorders>
            <w:vAlign w:val="center"/>
          </w:tcPr>
          <w:p w14:paraId="4CD5D92B">
            <w:pPr>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物业服务</w:t>
            </w:r>
            <w:r>
              <w:rPr>
                <w:rFonts w:hint="eastAsia" w:asciiTheme="minorEastAsia" w:hAnsiTheme="minorEastAsia" w:eastAsiaTheme="minorEastAsia"/>
                <w:sz w:val="24"/>
                <w:lang w:val="en-US" w:eastAsia="zh-CN"/>
              </w:rPr>
              <w:t>等</w:t>
            </w:r>
          </w:p>
        </w:tc>
        <w:tc>
          <w:tcPr>
            <w:tcW w:w="638" w:type="pct"/>
            <w:tcBorders>
              <w:top w:val="single" w:color="auto" w:sz="4" w:space="0"/>
              <w:left w:val="single" w:color="auto" w:sz="4" w:space="0"/>
              <w:bottom w:val="single" w:color="auto" w:sz="4" w:space="0"/>
              <w:right w:val="single" w:color="auto" w:sz="4" w:space="0"/>
            </w:tcBorders>
            <w:vAlign w:val="center"/>
          </w:tcPr>
          <w:p w14:paraId="61576B90">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428.72</w:t>
            </w:r>
          </w:p>
        </w:tc>
        <w:tc>
          <w:tcPr>
            <w:tcW w:w="701" w:type="pct"/>
            <w:tcBorders>
              <w:top w:val="single" w:color="auto" w:sz="4" w:space="0"/>
              <w:left w:val="single" w:color="auto" w:sz="4" w:space="0"/>
              <w:bottom w:val="single" w:color="auto" w:sz="4" w:space="0"/>
              <w:right w:val="single" w:color="auto" w:sz="4" w:space="0"/>
            </w:tcBorders>
            <w:vAlign w:val="center"/>
          </w:tcPr>
          <w:p w14:paraId="270AA572">
            <w:pPr>
              <w:jc w:val="center"/>
              <w:rPr>
                <w:rFonts w:asciiTheme="minorEastAsia" w:hAnsiTheme="minorEastAsia" w:eastAsiaTheme="minorEastAsia"/>
                <w:sz w:val="24"/>
              </w:rPr>
            </w:pPr>
            <w:r>
              <w:rPr>
                <w:rFonts w:hint="eastAsia" w:asciiTheme="minorEastAsia" w:hAnsiTheme="minorEastAsia" w:eastAsiaTheme="minorEastAsia"/>
                <w:sz w:val="24"/>
              </w:rPr>
              <w:t>200.00</w:t>
            </w:r>
          </w:p>
        </w:tc>
        <w:tc>
          <w:tcPr>
            <w:tcW w:w="510" w:type="pct"/>
            <w:tcBorders>
              <w:top w:val="single" w:color="auto" w:sz="4" w:space="0"/>
              <w:left w:val="single" w:color="auto" w:sz="4" w:space="0"/>
              <w:bottom w:val="single" w:color="auto" w:sz="4" w:space="0"/>
              <w:right w:val="single" w:color="auto" w:sz="4" w:space="0"/>
            </w:tcBorders>
            <w:vAlign w:val="center"/>
          </w:tcPr>
          <w:p w14:paraId="1B95AB2B">
            <w:pPr>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58.17</w:t>
            </w:r>
            <w:r>
              <w:rPr>
                <w:rFonts w:hint="eastAsia" w:asciiTheme="minorEastAsia" w:hAnsiTheme="minorEastAsia" w:eastAsiaTheme="minorEastAsia"/>
                <w:sz w:val="24"/>
              </w:rPr>
              <w:t>%</w:t>
            </w:r>
          </w:p>
        </w:tc>
        <w:tc>
          <w:tcPr>
            <w:tcW w:w="830" w:type="pct"/>
            <w:tcBorders>
              <w:top w:val="single" w:color="auto" w:sz="4" w:space="0"/>
              <w:left w:val="single" w:color="auto" w:sz="4" w:space="0"/>
              <w:bottom w:val="single" w:color="auto" w:sz="4" w:space="0"/>
              <w:right w:val="single" w:color="auto" w:sz="4" w:space="0"/>
            </w:tcBorders>
            <w:vAlign w:val="center"/>
          </w:tcPr>
          <w:p w14:paraId="61AA589E">
            <w:pPr>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114.36</w:t>
            </w:r>
            <w:r>
              <w:rPr>
                <w:rFonts w:hint="eastAsia" w:asciiTheme="minorEastAsia" w:hAnsiTheme="minorEastAsia" w:eastAsiaTheme="minorEastAsia"/>
                <w:sz w:val="24"/>
              </w:rPr>
              <w:t>%</w:t>
            </w:r>
          </w:p>
        </w:tc>
        <w:tc>
          <w:tcPr>
            <w:tcW w:w="592" w:type="pct"/>
            <w:vMerge w:val="continue"/>
            <w:tcBorders>
              <w:left w:val="single" w:color="auto" w:sz="4" w:space="0"/>
              <w:right w:val="single" w:color="auto" w:sz="4" w:space="0"/>
            </w:tcBorders>
            <w:vAlign w:val="center"/>
          </w:tcPr>
          <w:p w14:paraId="0B3CB130">
            <w:pPr>
              <w:jc w:val="center"/>
              <w:rPr>
                <w:rFonts w:asciiTheme="minorEastAsia" w:hAnsiTheme="minorEastAsia" w:eastAsiaTheme="minorEastAsia"/>
                <w:sz w:val="24"/>
              </w:rPr>
            </w:pPr>
          </w:p>
        </w:tc>
      </w:tr>
      <w:tr w14:paraId="3D06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25" w:type="pct"/>
            <w:gridSpan w:val="3"/>
            <w:tcBorders>
              <w:top w:val="single" w:color="auto" w:sz="4" w:space="0"/>
              <w:left w:val="single" w:color="auto" w:sz="4" w:space="0"/>
              <w:bottom w:val="single" w:color="auto" w:sz="4" w:space="0"/>
              <w:right w:val="single" w:color="auto" w:sz="4" w:space="0"/>
            </w:tcBorders>
            <w:vAlign w:val="center"/>
          </w:tcPr>
          <w:p w14:paraId="07B94384">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公司董事会对日常关联交易实际发生情况与预计存在较大差异的说明</w:t>
            </w:r>
          </w:p>
        </w:tc>
        <w:tc>
          <w:tcPr>
            <w:tcW w:w="3274" w:type="pct"/>
            <w:gridSpan w:val="5"/>
            <w:tcBorders>
              <w:top w:val="single" w:color="auto" w:sz="4" w:space="0"/>
              <w:left w:val="single" w:color="auto" w:sz="4" w:space="0"/>
              <w:bottom w:val="single" w:color="auto" w:sz="4" w:space="0"/>
              <w:right w:val="single" w:color="auto" w:sz="4" w:space="0"/>
            </w:tcBorders>
            <w:vAlign w:val="center"/>
          </w:tcPr>
          <w:p w14:paraId="71155D54">
            <w:pPr>
              <w:widowControl/>
              <w:rPr>
                <w:rFonts w:hint="eastAsia" w:asciiTheme="minorEastAsia" w:hAnsiTheme="minorEastAsia" w:eastAsiaTheme="minorEastAsia"/>
                <w:kern w:val="0"/>
                <w:sz w:val="24"/>
                <w:lang w:val="en-US" w:eastAsia="zh-CN"/>
              </w:rPr>
            </w:pPr>
            <w:r>
              <w:rPr>
                <w:rFonts w:hint="eastAsia" w:asciiTheme="minorEastAsia" w:hAnsiTheme="minorEastAsia" w:eastAsiaTheme="minorEastAsia"/>
                <w:kern w:val="0"/>
                <w:sz w:val="24"/>
              </w:rPr>
              <w:t>该关联交易预计金额是基于框架协议给出的年度估算数，实际执行按需发生</w:t>
            </w:r>
            <w:r>
              <w:rPr>
                <w:rFonts w:hint="eastAsia" w:asciiTheme="minorEastAsia" w:hAnsiTheme="minorEastAsia" w:eastAsiaTheme="minorEastAsia"/>
                <w:kern w:val="0"/>
                <w:sz w:val="24"/>
                <w:lang w:eastAsia="zh-CN"/>
              </w:rPr>
              <w:t>。</w:t>
            </w:r>
          </w:p>
        </w:tc>
      </w:tr>
      <w:tr w14:paraId="0392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725" w:type="pct"/>
            <w:gridSpan w:val="3"/>
            <w:tcBorders>
              <w:top w:val="single" w:color="auto" w:sz="4" w:space="0"/>
              <w:left w:val="single" w:color="auto" w:sz="4" w:space="0"/>
              <w:bottom w:val="single" w:color="auto" w:sz="4" w:space="0"/>
              <w:right w:val="single" w:color="auto" w:sz="4" w:space="0"/>
            </w:tcBorders>
            <w:vAlign w:val="center"/>
          </w:tcPr>
          <w:p w14:paraId="0619403C">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公司独立董事对日常关联交易实际发生情况与预计存在较大差异的说明</w:t>
            </w:r>
          </w:p>
        </w:tc>
        <w:tc>
          <w:tcPr>
            <w:tcW w:w="3274" w:type="pct"/>
            <w:gridSpan w:val="5"/>
            <w:tcBorders>
              <w:top w:val="single" w:color="auto" w:sz="4" w:space="0"/>
              <w:left w:val="single" w:color="auto" w:sz="4" w:space="0"/>
              <w:bottom w:val="single" w:color="auto" w:sz="4" w:space="0"/>
              <w:right w:val="single" w:color="auto" w:sz="4" w:space="0"/>
            </w:tcBorders>
            <w:vAlign w:val="center"/>
          </w:tcPr>
          <w:p w14:paraId="47B5B128">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202</w:t>
            </w:r>
            <w:r>
              <w:rPr>
                <w:rFonts w:hint="eastAsia" w:asciiTheme="minorEastAsia" w:hAnsiTheme="minorEastAsia" w:eastAsiaTheme="minorEastAsia"/>
                <w:kern w:val="0"/>
                <w:sz w:val="24"/>
                <w:lang w:val="en-US" w:eastAsia="zh-CN"/>
              </w:rPr>
              <w:t>5</w:t>
            </w:r>
            <w:r>
              <w:rPr>
                <w:rFonts w:hint="eastAsia" w:asciiTheme="minorEastAsia" w:hAnsiTheme="minorEastAsia" w:eastAsiaTheme="minorEastAsia"/>
                <w:kern w:val="0"/>
                <w:sz w:val="24"/>
              </w:rPr>
              <w:t>年度公司与</w:t>
            </w:r>
            <w:r>
              <w:rPr>
                <w:rFonts w:hint="eastAsia" w:asciiTheme="minorEastAsia" w:hAnsiTheme="minorEastAsia" w:eastAsiaTheme="minorEastAsia"/>
                <w:kern w:val="0"/>
                <w:sz w:val="24"/>
                <w:lang w:val="en-US" w:eastAsia="zh-CN"/>
              </w:rPr>
              <w:t>浙江华尚产业运营有限公司</w:t>
            </w:r>
            <w:r>
              <w:rPr>
                <w:rFonts w:hint="eastAsia" w:asciiTheme="minorEastAsia" w:hAnsiTheme="minorEastAsia" w:eastAsiaTheme="minorEastAsia"/>
                <w:kern w:val="0"/>
                <w:sz w:val="24"/>
              </w:rPr>
              <w:t>的关联交易实际发生金额</w:t>
            </w:r>
            <w:r>
              <w:rPr>
                <w:rFonts w:hint="eastAsia" w:asciiTheme="minorEastAsia" w:hAnsiTheme="minorEastAsia" w:eastAsiaTheme="minorEastAsia"/>
                <w:kern w:val="0"/>
                <w:sz w:val="24"/>
                <w:lang w:val="en-US" w:eastAsia="zh-CN"/>
              </w:rPr>
              <w:t>在预计金额范围内</w:t>
            </w:r>
            <w:r>
              <w:rPr>
                <w:rFonts w:hint="eastAsia" w:asciiTheme="minorEastAsia" w:hAnsiTheme="minorEastAsia" w:eastAsiaTheme="minorEastAsia"/>
                <w:kern w:val="0"/>
                <w:sz w:val="24"/>
              </w:rPr>
              <w:t>，不存在损害公司及公司股东利益的情形。</w:t>
            </w:r>
          </w:p>
        </w:tc>
      </w:tr>
    </w:tbl>
    <w:p w14:paraId="294E3576">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2" w:firstLineChars="200"/>
        <w:jc w:val="left"/>
        <w:textAlignment w:val="auto"/>
        <w:outlineLvl w:val="0"/>
        <w:rPr>
          <w:rFonts w:hint="eastAsia" w:ascii="宋体" w:hAnsi="宋体" w:eastAsia="宋体" w:cs="宋体"/>
          <w:b/>
          <w:sz w:val="24"/>
        </w:rPr>
      </w:pPr>
      <w:r>
        <w:rPr>
          <w:rFonts w:hint="eastAsia" w:ascii="宋体" w:hAnsi="宋体" w:eastAsia="宋体" w:cs="宋体"/>
          <w:b/>
          <w:sz w:val="24"/>
        </w:rPr>
        <w:t>二、关联方情况介绍和关联关系</w:t>
      </w:r>
    </w:p>
    <w:p w14:paraId="6F79824E">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2" w:firstLineChars="200"/>
        <w:jc w:val="left"/>
        <w:textAlignment w:val="auto"/>
        <w:outlineLvl w:val="0"/>
        <w:rPr>
          <w:rFonts w:hint="eastAsia" w:ascii="宋体" w:hAnsi="宋体" w:eastAsia="宋体" w:cs="宋体"/>
          <w:kern w:val="0"/>
          <w:sz w:val="24"/>
          <w:szCs w:val="24"/>
        </w:rPr>
      </w:pPr>
      <w:r>
        <w:rPr>
          <w:rFonts w:hint="eastAsia" w:ascii="宋体" w:hAnsi="宋体" w:eastAsia="宋体" w:cs="宋体"/>
          <w:b/>
          <w:sz w:val="24"/>
        </w:rPr>
        <w:t>（一）关联方情况介绍</w:t>
      </w:r>
    </w:p>
    <w:p w14:paraId="09F3D2D1">
      <w:pPr>
        <w:keepNext w:val="0"/>
        <w:keepLines w:val="0"/>
        <w:pageBreakBefore w:val="0"/>
        <w:widowControl w:val="0"/>
        <w:kinsoku/>
        <w:overflowPunct/>
        <w:topLinePunct w:val="0"/>
        <w:autoSpaceDE w:val="0"/>
        <w:autoSpaceDN w:val="0"/>
        <w:bidi w:val="0"/>
        <w:adjustRightInd w:val="0"/>
        <w:snapToGrid/>
        <w:spacing w:line="360" w:lineRule="auto"/>
        <w:ind w:right="0" w:rightChars="0" w:firstLine="482" w:firstLineChars="200"/>
        <w:jc w:val="left"/>
        <w:textAlignment w:val="auto"/>
        <w:outlineLvl w:val="0"/>
        <w:rPr>
          <w:rFonts w:hint="eastAsia" w:ascii="宋体" w:hAnsi="宋体" w:eastAsia="宋体" w:cs="宋体"/>
          <w:b/>
          <w:sz w:val="24"/>
          <w:szCs w:val="24"/>
        </w:rPr>
      </w:pPr>
      <w:r>
        <w:rPr>
          <w:rFonts w:hint="eastAsia" w:ascii="宋体" w:hAnsi="宋体" w:cs="宋体"/>
          <w:b/>
          <w:bCs/>
          <w:kern w:val="0"/>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sz w:val="24"/>
          <w:szCs w:val="24"/>
        </w:rPr>
        <w:t>浙江华尚产业运营有限公司</w:t>
      </w:r>
    </w:p>
    <w:p w14:paraId="32EAD3DB">
      <w:pPr>
        <w:keepNext w:val="0"/>
        <w:keepLines w:val="0"/>
        <w:pageBreakBefore w:val="0"/>
        <w:widowControl w:val="0"/>
        <w:kinsoku/>
        <w:overflowPunct/>
        <w:topLinePunct w:val="0"/>
        <w:bidi w:val="0"/>
        <w:snapToGrid/>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公司名称：</w:t>
      </w:r>
      <w:r>
        <w:rPr>
          <w:rFonts w:hint="eastAsia" w:ascii="宋体" w:hAnsi="宋体" w:eastAsia="宋体" w:cs="宋体"/>
          <w:sz w:val="24"/>
          <w:szCs w:val="24"/>
        </w:rPr>
        <w:t>浙江华尚产业运营有限公司</w:t>
      </w:r>
    </w:p>
    <w:p w14:paraId="2C551351">
      <w:pPr>
        <w:keepNext w:val="0"/>
        <w:keepLines w:val="0"/>
        <w:pageBreakBefore w:val="0"/>
        <w:widowControl w:val="0"/>
        <w:kinsoku/>
        <w:overflowPunct/>
        <w:topLinePunct w:val="0"/>
        <w:bidi w:val="0"/>
        <w:snapToGrid/>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企业性质：民营企业 </w:t>
      </w:r>
    </w:p>
    <w:p w14:paraId="4846154D">
      <w:pPr>
        <w:keepNext w:val="0"/>
        <w:keepLines w:val="0"/>
        <w:pageBreakBefore w:val="0"/>
        <w:widowControl w:val="0"/>
        <w:kinsoku/>
        <w:overflowPunct/>
        <w:topLinePunct w:val="0"/>
        <w:bidi w:val="0"/>
        <w:snapToGrid/>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注册地：浙江省绍兴市上虞区曹娥街道人民西路1088号</w:t>
      </w:r>
    </w:p>
    <w:p w14:paraId="0148FCBE">
      <w:pPr>
        <w:keepNext w:val="0"/>
        <w:keepLines w:val="0"/>
        <w:pageBreakBefore w:val="0"/>
        <w:widowControl w:val="0"/>
        <w:kinsoku/>
        <w:overflowPunct/>
        <w:topLinePunct w:val="0"/>
        <w:bidi w:val="0"/>
        <w:snapToGrid/>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注册资本：10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000万人民币</w:t>
      </w:r>
    </w:p>
    <w:p w14:paraId="12535EBB">
      <w:pPr>
        <w:keepNext w:val="0"/>
        <w:keepLines w:val="0"/>
        <w:pageBreakBefore w:val="0"/>
        <w:widowControl w:val="0"/>
        <w:kinsoku/>
        <w:overflowPunct/>
        <w:topLinePunct w:val="0"/>
        <w:bidi w:val="0"/>
        <w:snapToGrid/>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法定代表人：吴圳超</w:t>
      </w:r>
    </w:p>
    <w:p w14:paraId="106E044F">
      <w:pPr>
        <w:keepNext w:val="0"/>
        <w:keepLines w:val="0"/>
        <w:pageBreakBefore w:val="0"/>
        <w:widowControl w:val="0"/>
        <w:kinsoku/>
        <w:overflowPunct/>
        <w:topLinePunct w:val="0"/>
        <w:bidi w:val="0"/>
        <w:snapToGrid/>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统一社会信用代码：91330604MA7EA5PD6K</w:t>
      </w:r>
    </w:p>
    <w:p w14:paraId="3938FD7F">
      <w:pPr>
        <w:keepNext w:val="0"/>
        <w:keepLines w:val="0"/>
        <w:pageBreakBefore w:val="0"/>
        <w:widowControl w:val="0"/>
        <w:kinsoku/>
        <w:overflowPunct/>
        <w:topLinePunct w:val="0"/>
        <w:bidi w:val="0"/>
        <w:snapToGrid/>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经营范围：</w:t>
      </w:r>
      <w:r>
        <w:rPr>
          <w:rFonts w:hint="eastAsia" w:ascii="宋体" w:hAnsi="宋体" w:eastAsia="宋体" w:cs="宋体"/>
          <w:sz w:val="24"/>
          <w:szCs w:val="24"/>
        </w:rPr>
        <w:t>一般项目:园区管理服务;针纺织品及原料销售;服装服饰零售;服装服饰批发;石油制品销售(不含危险化学品);互联网销售(除销售需要许可的商品);化工产品销售(不含许可类化工产品);供应链管理服务;物业管理;酒店管理;餐饮管理;企业管理咨询;信息技术咨询服务;数据处理和存储支持服务;市场营销策划;服装制造;面料纺织加工;纺纱加工;非居住房地产租赁;会议及展览服务;专业设计服务;服饰研发;人工智能行业应用系统集成服务;人工智能双创服务平台;货物进出口;服装辅料销售(除依法须经批准的项目外,凭营业执照依法自主开展经营活动)。许可项目:检验检测服务;海关监管货物仓储服务(不含危险化学品、危险货物);道路货物运输(不含危险货物)(依法须经批准的项目,经相关部门批准后方可开展经营活动,具体经营项目以审批结果为准)。</w:t>
      </w:r>
    </w:p>
    <w:p w14:paraId="28DAAC93">
      <w:pPr>
        <w:keepNext w:val="0"/>
        <w:keepLines w:val="0"/>
        <w:pageBreakBefore w:val="0"/>
        <w:widowControl w:val="0"/>
        <w:kinsoku/>
        <w:overflowPunct/>
        <w:topLinePunct w:val="0"/>
        <w:bidi w:val="0"/>
        <w:snapToGrid/>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主要股东：</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"https://180.96.8.44/Wind.WFC.Enterprise.Web/PC.Front/Company/!CommandParam%5b8514,CompanyCode=1359879708,SubjectID=4778,grid=undefined%5d" \t "_blank"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杭州美基企业管理有限公司</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持有60%股份，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"https://180.96.8.44/Wind.WFC.Enterprise.Web/PC.Front/Company/!CommandParam%5b8514,CompanyCode=1024971170,SubjectID=4778,grid=undefined%5d" \t "_blank"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浙江华孚色纺有限公司</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40%股份。</w:t>
      </w:r>
    </w:p>
    <w:p w14:paraId="4DBC8500">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both"/>
        <w:textAlignment w:val="auto"/>
        <w:rPr>
          <w:rFonts w:hint="eastAsia" w:ascii="宋体" w:hAnsi="宋体" w:eastAsia="宋体" w:cs="宋体"/>
          <w:kern w:val="0"/>
          <w:sz w:val="24"/>
          <w:szCs w:val="24"/>
          <w:highlight w:val="yellow"/>
        </w:rPr>
      </w:pPr>
      <w:r>
        <w:rPr>
          <w:rFonts w:ascii="宋体" w:hAnsi="宋体" w:eastAsia="宋体" w:cs="宋体"/>
          <w:sz w:val="24"/>
          <w:szCs w:val="24"/>
        </w:rPr>
        <w:t>浙江华尚产业运营有限公司于2021年12月成立。2025年度营业收入为11</w:t>
      </w:r>
      <w:r>
        <w:rPr>
          <w:rFonts w:hint="eastAsia" w:ascii="宋体" w:hAnsi="宋体" w:cs="宋体"/>
          <w:sz w:val="24"/>
          <w:szCs w:val="24"/>
          <w:lang w:val="en-US" w:eastAsia="zh-CN"/>
        </w:rPr>
        <w:t>,</w:t>
      </w:r>
      <w:r>
        <w:rPr>
          <w:rFonts w:ascii="宋体" w:hAnsi="宋体" w:eastAsia="宋体" w:cs="宋体"/>
          <w:sz w:val="24"/>
          <w:szCs w:val="24"/>
        </w:rPr>
        <w:t>612.74万元，净利润为-462.16万元；截止2025年12月31日总资产为21</w:t>
      </w:r>
      <w:r>
        <w:rPr>
          <w:rFonts w:hint="eastAsia" w:ascii="宋体" w:hAnsi="宋体" w:cs="宋体"/>
          <w:sz w:val="24"/>
          <w:szCs w:val="24"/>
          <w:lang w:val="en-US" w:eastAsia="zh-CN"/>
        </w:rPr>
        <w:t>,</w:t>
      </w:r>
      <w:r>
        <w:rPr>
          <w:rFonts w:ascii="宋体" w:hAnsi="宋体" w:eastAsia="宋体" w:cs="宋体"/>
          <w:sz w:val="24"/>
          <w:szCs w:val="24"/>
        </w:rPr>
        <w:t>660.71万元，净资产为9</w:t>
      </w:r>
      <w:r>
        <w:rPr>
          <w:rFonts w:hint="eastAsia" w:ascii="宋体" w:hAnsi="宋体" w:cs="宋体"/>
          <w:sz w:val="24"/>
          <w:szCs w:val="24"/>
          <w:lang w:val="en-US" w:eastAsia="zh-CN"/>
        </w:rPr>
        <w:t>,</w:t>
      </w:r>
      <w:r>
        <w:rPr>
          <w:rFonts w:ascii="宋体" w:hAnsi="宋体" w:eastAsia="宋体" w:cs="宋体"/>
          <w:sz w:val="24"/>
          <w:szCs w:val="24"/>
        </w:rPr>
        <w:t>212.65万元。（以上数据未经审计）。</w:t>
      </w:r>
    </w:p>
    <w:p w14:paraId="5A4C4F3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（二）</w:t>
      </w:r>
      <w:r>
        <w:rPr>
          <w:rFonts w:asciiTheme="minorEastAsia" w:hAnsiTheme="minorEastAsia" w:eastAsiaTheme="minorEastAsia"/>
          <w:b/>
          <w:sz w:val="24"/>
        </w:rPr>
        <w:t>与公司的关联关系</w:t>
      </w:r>
    </w:p>
    <w:p w14:paraId="256C0BAE">
      <w:pPr>
        <w:keepNext w:val="0"/>
        <w:keepLines w:val="0"/>
        <w:pageBreakBefore w:val="0"/>
        <w:widowControl w:val="0"/>
        <w:kinsoku/>
        <w:wordWrap/>
        <w:overflowPunct/>
        <w:topLinePunct w:val="0"/>
        <w:bidi w:val="0"/>
        <w:snapToGrid/>
        <w:spacing w:line="360" w:lineRule="auto"/>
        <w:ind w:left="0" w:leftChars="0" w:right="0" w:rightChars="0" w:firstLine="480" w:firstLineChars="200"/>
        <w:textAlignment w:val="auto"/>
        <w:rPr>
          <w:rFonts w:asciiTheme="minorEastAsia" w:hAnsiTheme="minorEastAsia" w:eastAsiaTheme="minorEastAsia"/>
          <w:kern w:val="0"/>
          <w:sz w:val="24"/>
        </w:rPr>
      </w:pPr>
      <w:r>
        <w:rPr>
          <w:rFonts w:hint="eastAsia" w:asciiTheme="minorEastAsia" w:hAnsiTheme="minorEastAsia" w:eastAsiaTheme="minorEastAsia"/>
          <w:kern w:val="0"/>
          <w:sz w:val="24"/>
        </w:rPr>
        <w:t>根据《企业会计准则第36号—关联方披露》的规定，浙江华尚产业运营有限公司作为公司的联营企业，公司与其之间的交易认定为关联交易。</w:t>
      </w:r>
    </w:p>
    <w:p w14:paraId="1B00A52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2" w:firstLineChars="200"/>
        <w:jc w:val="left"/>
        <w:textAlignment w:val="auto"/>
        <w:outlineLvl w:val="0"/>
        <w:rPr>
          <w:rFonts w:asciiTheme="minorEastAsia" w:hAnsiTheme="minorEastAsia" w:eastAsiaTheme="minorEastAsia"/>
          <w:b/>
          <w:sz w:val="24"/>
        </w:rPr>
      </w:pPr>
      <w:r>
        <w:rPr>
          <w:rFonts w:hint="eastAsia" w:asciiTheme="minorEastAsia" w:hAnsiTheme="minorEastAsia" w:eastAsiaTheme="minorEastAsia"/>
          <w:b/>
          <w:sz w:val="24"/>
        </w:rPr>
        <w:t>（三）</w:t>
      </w:r>
      <w:r>
        <w:rPr>
          <w:rFonts w:asciiTheme="minorEastAsia" w:hAnsiTheme="minorEastAsia" w:eastAsiaTheme="minorEastAsia"/>
          <w:b/>
          <w:sz w:val="24"/>
        </w:rPr>
        <w:t>履约能力分析</w:t>
      </w:r>
    </w:p>
    <w:p w14:paraId="12514EE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0"/>
        <w:rPr>
          <w:rFonts w:asciiTheme="minorEastAsia" w:hAnsiTheme="minorEastAsia" w:eastAsiaTheme="minorEastAsia"/>
          <w:b/>
          <w:sz w:val="24"/>
        </w:rPr>
      </w:pPr>
      <w:r>
        <w:rPr>
          <w:rFonts w:hint="eastAsia" w:asciiTheme="minorEastAsia" w:hAnsiTheme="minorEastAsia" w:eastAsiaTheme="minorEastAsia"/>
          <w:kern w:val="0"/>
          <w:sz w:val="24"/>
        </w:rPr>
        <w:t>浙江华尚产业运营有限公司</w:t>
      </w:r>
      <w:r>
        <w:rPr>
          <w:rFonts w:asciiTheme="minorEastAsia" w:hAnsiTheme="minorEastAsia" w:eastAsiaTheme="minorEastAsia"/>
          <w:sz w:val="24"/>
        </w:rPr>
        <w:t>生产经营正常，</w:t>
      </w:r>
      <w:r>
        <w:rPr>
          <w:rFonts w:hint="eastAsia" w:asciiTheme="minorEastAsia" w:hAnsiTheme="minorEastAsia" w:eastAsiaTheme="minorEastAsia"/>
          <w:sz w:val="24"/>
        </w:rPr>
        <w:t>不为失信被执行人</w:t>
      </w:r>
      <w:r>
        <w:rPr>
          <w:rFonts w:asciiTheme="minorEastAsia" w:hAnsiTheme="minorEastAsia" w:eastAsiaTheme="minorEastAsia"/>
          <w:sz w:val="24"/>
        </w:rPr>
        <w:t>，具备履约能力。</w:t>
      </w:r>
    </w:p>
    <w:p w14:paraId="11D6F71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2" w:firstLineChars="200"/>
        <w:jc w:val="left"/>
        <w:textAlignment w:val="auto"/>
        <w:outlineLvl w:val="0"/>
        <w:rPr>
          <w:rFonts w:asciiTheme="minorEastAsia" w:hAnsiTheme="minorEastAsia" w:eastAsiaTheme="minorEastAsia"/>
          <w:b/>
          <w:sz w:val="24"/>
        </w:rPr>
      </w:pPr>
      <w:r>
        <w:rPr>
          <w:rFonts w:asciiTheme="minorEastAsia" w:hAnsiTheme="minorEastAsia" w:eastAsiaTheme="minorEastAsia"/>
          <w:b/>
          <w:sz w:val="24"/>
        </w:rPr>
        <w:t>三、关联交易的主要内容</w:t>
      </w:r>
    </w:p>
    <w:p w14:paraId="5096F25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asciiTheme="minorEastAsia" w:hAnsiTheme="minorEastAsia" w:eastAsiaTheme="minorEastAsia"/>
          <w:kern w:val="0"/>
          <w:sz w:val="24"/>
        </w:rPr>
      </w:pPr>
      <w:r>
        <w:rPr>
          <w:rFonts w:asciiTheme="minorEastAsia" w:hAnsiTheme="minorEastAsia" w:eastAsiaTheme="minorEastAsia"/>
          <w:kern w:val="0"/>
          <w:sz w:val="24"/>
        </w:rPr>
        <w:t>上述关联交易</w:t>
      </w:r>
      <w:r>
        <w:rPr>
          <w:rFonts w:hint="eastAsia" w:asciiTheme="minorEastAsia" w:hAnsiTheme="minorEastAsia" w:eastAsiaTheme="minorEastAsia"/>
          <w:kern w:val="0"/>
          <w:sz w:val="24"/>
        </w:rPr>
        <w:t>为预计交易，</w:t>
      </w:r>
      <w:r>
        <w:rPr>
          <w:rFonts w:asciiTheme="minorEastAsia" w:hAnsiTheme="minorEastAsia" w:eastAsiaTheme="minorEastAsia"/>
          <w:kern w:val="0"/>
          <w:sz w:val="24"/>
        </w:rPr>
        <w:t>主</w:t>
      </w:r>
      <w:r>
        <w:rPr>
          <w:rFonts w:hint="eastAsia" w:asciiTheme="minorEastAsia" w:hAnsiTheme="minorEastAsia" w:eastAsiaTheme="minorEastAsia"/>
          <w:kern w:val="0"/>
          <w:sz w:val="24"/>
        </w:rPr>
        <w:t>要为接受</w:t>
      </w:r>
      <w:r>
        <w:rPr>
          <w:rFonts w:hint="eastAsia" w:asciiTheme="minorEastAsia" w:hAnsiTheme="minorEastAsia" w:eastAsiaTheme="minorEastAsia"/>
          <w:kern w:val="0"/>
          <w:sz w:val="24"/>
          <w:lang w:val="en-US" w:eastAsia="zh-CN"/>
        </w:rPr>
        <w:t>关联人提供的</w:t>
      </w:r>
      <w:r>
        <w:rPr>
          <w:rFonts w:hint="eastAsia" w:asciiTheme="minorEastAsia" w:hAnsiTheme="minorEastAsia" w:eastAsiaTheme="minorEastAsia"/>
          <w:kern w:val="0"/>
          <w:sz w:val="24"/>
        </w:rPr>
        <w:t>劳务、向关联方出售商品及接受服务</w:t>
      </w:r>
      <w:r>
        <w:rPr>
          <w:rFonts w:asciiTheme="minorEastAsia" w:hAnsiTheme="minorEastAsia" w:eastAsiaTheme="minorEastAsia"/>
          <w:kern w:val="0"/>
          <w:sz w:val="24"/>
        </w:rPr>
        <w:t>，定价依据是交易双</w:t>
      </w:r>
      <w:r>
        <w:rPr>
          <w:rFonts w:hint="eastAsia" w:asciiTheme="minorEastAsia" w:hAnsiTheme="minorEastAsia" w:eastAsiaTheme="minorEastAsia"/>
          <w:kern w:val="0"/>
          <w:sz w:val="24"/>
        </w:rPr>
        <w:t>方</w:t>
      </w:r>
      <w:r>
        <w:rPr>
          <w:rFonts w:asciiTheme="minorEastAsia" w:hAnsiTheme="minorEastAsia" w:eastAsiaTheme="minorEastAsia"/>
          <w:kern w:val="0"/>
          <w:sz w:val="24"/>
        </w:rPr>
        <w:t>根据市场价格及公平、公正、公允的原则确定并签署交易协议。</w:t>
      </w:r>
    </w:p>
    <w:p w14:paraId="7354B6F7">
      <w:pPr>
        <w:keepNext w:val="0"/>
        <w:keepLines w:val="0"/>
        <w:pageBreakBefore w:val="0"/>
        <w:widowControl w:val="0"/>
        <w:kinsoku/>
        <w:wordWrap/>
        <w:overflowPunct/>
        <w:topLinePunct w:val="0"/>
        <w:bidi w:val="0"/>
        <w:snapToGrid/>
        <w:spacing w:line="360" w:lineRule="auto"/>
        <w:ind w:left="0" w:leftChars="0" w:right="0" w:rightChars="0" w:firstLine="482" w:firstLineChars="200"/>
        <w:textAlignment w:val="auto"/>
        <w:outlineLvl w:val="0"/>
        <w:rPr>
          <w:rFonts w:asciiTheme="minorEastAsia" w:hAnsiTheme="minorEastAsia" w:eastAsiaTheme="minorEastAsia"/>
          <w:b/>
          <w:sz w:val="24"/>
        </w:rPr>
      </w:pPr>
      <w:r>
        <w:rPr>
          <w:rFonts w:asciiTheme="minorEastAsia" w:hAnsiTheme="minorEastAsia" w:eastAsiaTheme="minorEastAsia"/>
          <w:b/>
          <w:sz w:val="24"/>
        </w:rPr>
        <w:t>四、关联交易目的和对上市公司的影响</w:t>
      </w:r>
    </w:p>
    <w:p w14:paraId="3644E8FF">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0"/>
        <w:rPr>
          <w:rFonts w:asciiTheme="minorEastAsia" w:hAnsiTheme="minorEastAsia" w:eastAsiaTheme="minorEastAsia"/>
          <w:sz w:val="24"/>
        </w:rPr>
      </w:pPr>
      <w:r>
        <w:rPr>
          <w:rFonts w:asciiTheme="minorEastAsia" w:hAnsiTheme="minorEastAsia" w:eastAsiaTheme="minorEastAsia"/>
          <w:sz w:val="24"/>
        </w:rPr>
        <w:t>各项日常关联交易协议按一般商业条款订立，交易项目的价格公允，符合公司及全体股东利益；日常关联交易不会对公司现在及将来的财务状况、经营成果产生不利影响；公司与实际控制人在业务、人员、资产、机构、财务等方面独立，日常关联交易不会对公司独立性产生影响，公司业务没有因日常关联交易而对关联人形成依赖。</w:t>
      </w:r>
    </w:p>
    <w:p w14:paraId="340C8F5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2" w:firstLineChars="200"/>
        <w:jc w:val="left"/>
        <w:textAlignment w:val="auto"/>
        <w:outlineLvl w:val="0"/>
        <w:rPr>
          <w:rFonts w:asciiTheme="minorEastAsia" w:hAnsiTheme="minorEastAsia" w:eastAsiaTheme="minorEastAsia"/>
          <w:b/>
          <w:sz w:val="24"/>
        </w:rPr>
      </w:pPr>
      <w:r>
        <w:rPr>
          <w:rFonts w:asciiTheme="minorEastAsia" w:hAnsiTheme="minorEastAsia" w:eastAsiaTheme="minorEastAsia"/>
          <w:b/>
          <w:sz w:val="24"/>
        </w:rPr>
        <w:t>五、独立董事</w:t>
      </w:r>
      <w:r>
        <w:rPr>
          <w:rFonts w:hint="eastAsia" w:asciiTheme="minorEastAsia" w:hAnsiTheme="minorEastAsia" w:eastAsiaTheme="minorEastAsia"/>
          <w:b/>
          <w:sz w:val="24"/>
        </w:rPr>
        <w:t>专门会议决议</w:t>
      </w:r>
    </w:p>
    <w:p w14:paraId="7D5686A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经核查，我们认为公司与关联方发生的关联交易系公司生产经营中正常业务行为，双方交易遵循了客观、公平、公允的原则，交易价格根据市场价格确定，不存在损害公司和其他非关联方股东的利益</w:t>
      </w:r>
      <w:r>
        <w:rPr>
          <w:rFonts w:hint="eastAsia" w:asciiTheme="minorEastAsia" w:hAnsiTheme="minorEastAsia" w:eastAsiaTheme="minorEastAsia"/>
          <w:sz w:val="24"/>
          <w:lang w:val="en-US" w:eastAsia="zh-CN"/>
        </w:rPr>
        <w:t>的情形</w:t>
      </w:r>
      <w:r>
        <w:rPr>
          <w:rFonts w:hint="eastAsia" w:asciiTheme="minorEastAsia" w:hAnsiTheme="minorEastAsia" w:eastAsiaTheme="minorEastAsia"/>
          <w:sz w:val="24"/>
        </w:rPr>
        <w:t>。我们同意该事项，并将该事项提交至公司董事会审议。</w:t>
      </w:r>
    </w:p>
    <w:p w14:paraId="764CECF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2" w:firstLineChars="200"/>
        <w:jc w:val="left"/>
        <w:textAlignment w:val="auto"/>
        <w:rPr>
          <w:rFonts w:asciiTheme="minorEastAsia" w:hAnsiTheme="minorEastAsia" w:eastAsiaTheme="minorEastAsia"/>
          <w:b/>
          <w:sz w:val="24"/>
        </w:rPr>
      </w:pPr>
      <w:r>
        <w:rPr>
          <w:rFonts w:asciiTheme="minorEastAsia" w:hAnsiTheme="minorEastAsia" w:eastAsiaTheme="minorEastAsia"/>
          <w:b/>
          <w:sz w:val="24"/>
        </w:rPr>
        <w:t>六、备查文件</w:t>
      </w:r>
    </w:p>
    <w:p w14:paraId="05BDB60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asciiTheme="minorEastAsia" w:hAnsiTheme="minorEastAsia" w:eastAsiaTheme="minorEastAsia"/>
          <w:kern w:val="0"/>
          <w:sz w:val="24"/>
        </w:rPr>
      </w:pPr>
      <w:r>
        <w:rPr>
          <w:rFonts w:asciiTheme="minorEastAsia" w:hAnsiTheme="minorEastAsia" w:eastAsiaTheme="minorEastAsia"/>
          <w:kern w:val="0"/>
          <w:sz w:val="24"/>
        </w:rPr>
        <w:t>1、公司第</w:t>
      </w:r>
      <w:r>
        <w:rPr>
          <w:rFonts w:hint="eastAsia" w:asciiTheme="minorEastAsia" w:hAnsiTheme="minorEastAsia" w:eastAsiaTheme="minorEastAsia"/>
          <w:kern w:val="0"/>
          <w:sz w:val="24"/>
        </w:rPr>
        <w:t>九</w:t>
      </w:r>
      <w:r>
        <w:rPr>
          <w:rFonts w:asciiTheme="minorEastAsia" w:hAnsiTheme="minorEastAsia" w:eastAsiaTheme="minorEastAsia"/>
          <w:kern w:val="0"/>
          <w:sz w:val="24"/>
        </w:rPr>
        <w:t>届董事会第</w:t>
      </w:r>
      <w:r>
        <w:rPr>
          <w:rFonts w:hint="eastAsia" w:asciiTheme="minorEastAsia" w:hAnsiTheme="minorEastAsia" w:eastAsiaTheme="minorEastAsia"/>
          <w:kern w:val="0"/>
          <w:sz w:val="24"/>
          <w:lang w:val="en-US" w:eastAsia="zh-CN"/>
        </w:rPr>
        <w:t>四</w:t>
      </w:r>
      <w:r>
        <w:rPr>
          <w:rFonts w:asciiTheme="minorEastAsia" w:hAnsiTheme="minorEastAsia" w:eastAsiaTheme="minorEastAsia"/>
          <w:kern w:val="0"/>
          <w:sz w:val="24"/>
        </w:rPr>
        <w:t>次会议决议；</w:t>
      </w:r>
    </w:p>
    <w:p w14:paraId="572F93E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asciiTheme="minorEastAsia" w:hAnsiTheme="minorEastAsia" w:eastAsiaTheme="minorEastAsia"/>
          <w:kern w:val="0"/>
          <w:sz w:val="24"/>
        </w:rPr>
      </w:pPr>
      <w:r>
        <w:rPr>
          <w:rFonts w:hint="eastAsia" w:asciiTheme="minorEastAsia" w:hAnsiTheme="minorEastAsia" w:eastAsiaTheme="minorEastAsia"/>
          <w:kern w:val="0"/>
          <w:sz w:val="24"/>
          <w:lang w:val="en-US" w:eastAsia="zh-CN"/>
        </w:rPr>
        <w:t>2</w:t>
      </w:r>
      <w:r>
        <w:rPr>
          <w:rFonts w:hint="eastAsia" w:asciiTheme="minorEastAsia" w:hAnsiTheme="minorEastAsia" w:eastAsiaTheme="minorEastAsia"/>
          <w:kern w:val="0"/>
          <w:sz w:val="24"/>
        </w:rPr>
        <w:t>、第九届董事会独立董事202</w:t>
      </w:r>
      <w:r>
        <w:rPr>
          <w:rFonts w:hint="eastAsia" w:asciiTheme="minorEastAsia" w:hAnsiTheme="minorEastAsia" w:eastAsiaTheme="minorEastAsia"/>
          <w:kern w:val="0"/>
          <w:sz w:val="24"/>
          <w:lang w:val="en-US" w:eastAsia="zh-CN"/>
        </w:rPr>
        <w:t>6</w:t>
      </w:r>
      <w:r>
        <w:rPr>
          <w:rFonts w:hint="eastAsia" w:asciiTheme="minorEastAsia" w:hAnsiTheme="minorEastAsia" w:eastAsiaTheme="minorEastAsia"/>
          <w:kern w:val="0"/>
          <w:sz w:val="24"/>
        </w:rPr>
        <w:t>年第</w:t>
      </w:r>
      <w:r>
        <w:rPr>
          <w:rFonts w:hint="eastAsia" w:asciiTheme="minorEastAsia" w:hAnsiTheme="minorEastAsia" w:eastAsiaTheme="minorEastAsia"/>
          <w:kern w:val="0"/>
          <w:sz w:val="24"/>
          <w:lang w:val="en-US" w:eastAsia="zh-CN"/>
        </w:rPr>
        <w:t>一</w:t>
      </w:r>
      <w:r>
        <w:rPr>
          <w:rFonts w:hint="eastAsia" w:asciiTheme="minorEastAsia" w:hAnsiTheme="minorEastAsia" w:eastAsiaTheme="minorEastAsia"/>
          <w:kern w:val="0"/>
          <w:sz w:val="24"/>
        </w:rPr>
        <w:t>次专门会议决议</w:t>
      </w:r>
      <w:r>
        <w:rPr>
          <w:rFonts w:asciiTheme="minorEastAsia" w:hAnsiTheme="minorEastAsia" w:eastAsiaTheme="minorEastAsia"/>
          <w:kern w:val="0"/>
          <w:sz w:val="24"/>
        </w:rPr>
        <w:t>。</w:t>
      </w:r>
    </w:p>
    <w:p w14:paraId="543907A4">
      <w:pPr>
        <w:pStyle w:val="5"/>
        <w:keepNext w:val="0"/>
        <w:keepLines w:val="0"/>
        <w:pageBreakBefore w:val="0"/>
        <w:widowControl w:val="0"/>
        <w:kinsoku/>
        <w:wordWrap/>
        <w:overflowPunct/>
        <w:topLinePunct w:val="0"/>
        <w:bidi w:val="0"/>
        <w:snapToGrid/>
        <w:spacing w:after="0" w:line="360" w:lineRule="auto"/>
        <w:ind w:left="0" w:leftChars="0" w:right="0" w:rightChars="0"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特此公告。</w:t>
      </w:r>
    </w:p>
    <w:p w14:paraId="62C0C3E4">
      <w:pPr>
        <w:pStyle w:val="5"/>
        <w:spacing w:line="400" w:lineRule="exact"/>
        <w:ind w:right="42" w:rightChars="20"/>
        <w:jc w:val="right"/>
        <w:rPr>
          <w:rFonts w:asciiTheme="minorEastAsia" w:hAnsiTheme="minorEastAsia" w:eastAsiaTheme="minorEastAsia"/>
          <w:sz w:val="24"/>
        </w:rPr>
      </w:pPr>
      <w:r>
        <w:rPr>
          <w:rFonts w:asciiTheme="minorEastAsia" w:hAnsiTheme="minorEastAsia" w:eastAsiaTheme="minorEastAsia"/>
          <w:sz w:val="24"/>
        </w:rPr>
        <w:t xml:space="preserve">                                       华孚时尚股份有限公司董事会</w:t>
      </w:r>
    </w:p>
    <w:p w14:paraId="5930E6A3">
      <w:pPr>
        <w:wordWrap w:val="0"/>
        <w:ind w:right="42" w:rightChars="20"/>
        <w:jc w:val="right"/>
        <w:rPr>
          <w:rFonts w:asciiTheme="minorEastAsia" w:hAnsiTheme="minorEastAsia" w:eastAsiaTheme="minorEastAsia"/>
        </w:rPr>
      </w:pPr>
      <w:r>
        <w:rPr>
          <w:rFonts w:asciiTheme="minorEastAsia" w:hAnsiTheme="minorEastAsia" w:eastAsiaTheme="minorEastAsia"/>
          <w:sz w:val="24"/>
        </w:rPr>
        <w:t>二〇</w:t>
      </w:r>
      <w:r>
        <w:rPr>
          <w:rFonts w:hint="eastAsia" w:asciiTheme="minorEastAsia" w:hAnsiTheme="minorEastAsia" w:eastAsiaTheme="minorEastAsia"/>
          <w:sz w:val="24"/>
        </w:rPr>
        <w:t>二</w:t>
      </w:r>
      <w:r>
        <w:rPr>
          <w:rFonts w:hint="eastAsia" w:asciiTheme="minorEastAsia" w:hAnsiTheme="minorEastAsia" w:eastAsiaTheme="minorEastAsia"/>
          <w:sz w:val="24"/>
          <w:lang w:val="en-US" w:eastAsia="zh-CN"/>
        </w:rPr>
        <w:t>六</w:t>
      </w:r>
      <w:r>
        <w:rPr>
          <w:rFonts w:asciiTheme="minorEastAsia" w:hAnsiTheme="minorEastAsia" w:eastAsiaTheme="minorEastAsia"/>
          <w:sz w:val="24"/>
        </w:rPr>
        <w:t>年四月二十</w:t>
      </w:r>
      <w:r>
        <w:rPr>
          <w:rFonts w:hint="eastAsia" w:asciiTheme="minorEastAsia" w:hAnsiTheme="minorEastAsia" w:eastAsiaTheme="minorEastAsia"/>
          <w:sz w:val="24"/>
          <w:lang w:val="en-US" w:eastAsia="zh-CN"/>
        </w:rPr>
        <w:t>九</w:t>
      </w:r>
      <w:r>
        <w:rPr>
          <w:rFonts w:asciiTheme="minorEastAsia" w:hAnsiTheme="minorEastAsia" w:eastAsiaTheme="minorEastAsia"/>
          <w:sz w:val="24"/>
        </w:rPr>
        <w:t>日</w:t>
      </w:r>
    </w:p>
    <w:sectPr>
      <w:pgSz w:w="11906" w:h="16838"/>
      <w:pgMar w:top="1702"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50AFF"/>
    <w:multiLevelType w:val="singleLevel"/>
    <w:tmpl w:val="37250A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844CF3"/>
    <w:rsid w:val="00007293"/>
    <w:rsid w:val="000142A7"/>
    <w:rsid w:val="000145EA"/>
    <w:rsid w:val="00032DA8"/>
    <w:rsid w:val="00056F83"/>
    <w:rsid w:val="000642F7"/>
    <w:rsid w:val="00064942"/>
    <w:rsid w:val="00067C86"/>
    <w:rsid w:val="00072D29"/>
    <w:rsid w:val="000746A4"/>
    <w:rsid w:val="000869FD"/>
    <w:rsid w:val="000A07B8"/>
    <w:rsid w:val="000D0416"/>
    <w:rsid w:val="000F5AF9"/>
    <w:rsid w:val="00110CA2"/>
    <w:rsid w:val="00152060"/>
    <w:rsid w:val="00160828"/>
    <w:rsid w:val="001617F6"/>
    <w:rsid w:val="00171561"/>
    <w:rsid w:val="001819B5"/>
    <w:rsid w:val="001834CB"/>
    <w:rsid w:val="00191D49"/>
    <w:rsid w:val="00191D98"/>
    <w:rsid w:val="00197828"/>
    <w:rsid w:val="001A39ED"/>
    <w:rsid w:val="001B2770"/>
    <w:rsid w:val="001B359F"/>
    <w:rsid w:val="001B3603"/>
    <w:rsid w:val="001B43F4"/>
    <w:rsid w:val="001C595D"/>
    <w:rsid w:val="001E3C68"/>
    <w:rsid w:val="001E532B"/>
    <w:rsid w:val="001F4853"/>
    <w:rsid w:val="001F6C55"/>
    <w:rsid w:val="002211EF"/>
    <w:rsid w:val="00225D90"/>
    <w:rsid w:val="002447F3"/>
    <w:rsid w:val="00250E0B"/>
    <w:rsid w:val="00273C93"/>
    <w:rsid w:val="00277D56"/>
    <w:rsid w:val="00285C8C"/>
    <w:rsid w:val="0028725E"/>
    <w:rsid w:val="00287EF9"/>
    <w:rsid w:val="00291BE1"/>
    <w:rsid w:val="002935A1"/>
    <w:rsid w:val="002B6844"/>
    <w:rsid w:val="002D6859"/>
    <w:rsid w:val="002E332E"/>
    <w:rsid w:val="002F5520"/>
    <w:rsid w:val="00306C99"/>
    <w:rsid w:val="00307970"/>
    <w:rsid w:val="00316D98"/>
    <w:rsid w:val="0032639B"/>
    <w:rsid w:val="00333F9C"/>
    <w:rsid w:val="003355B6"/>
    <w:rsid w:val="00354F79"/>
    <w:rsid w:val="003643B3"/>
    <w:rsid w:val="00373F5F"/>
    <w:rsid w:val="003A0AED"/>
    <w:rsid w:val="003A6D17"/>
    <w:rsid w:val="003A7B42"/>
    <w:rsid w:val="003C2105"/>
    <w:rsid w:val="003C3162"/>
    <w:rsid w:val="003E1982"/>
    <w:rsid w:val="003E3AAF"/>
    <w:rsid w:val="003E67D4"/>
    <w:rsid w:val="00403D36"/>
    <w:rsid w:val="00407E5B"/>
    <w:rsid w:val="004311AF"/>
    <w:rsid w:val="00454911"/>
    <w:rsid w:val="004722BD"/>
    <w:rsid w:val="004756FC"/>
    <w:rsid w:val="00475B9C"/>
    <w:rsid w:val="004819BA"/>
    <w:rsid w:val="00484C0E"/>
    <w:rsid w:val="00485397"/>
    <w:rsid w:val="004B0A8B"/>
    <w:rsid w:val="004D7D47"/>
    <w:rsid w:val="004E3991"/>
    <w:rsid w:val="004E7761"/>
    <w:rsid w:val="004F436E"/>
    <w:rsid w:val="0050786F"/>
    <w:rsid w:val="005303A7"/>
    <w:rsid w:val="00560922"/>
    <w:rsid w:val="00561BB2"/>
    <w:rsid w:val="00562A9C"/>
    <w:rsid w:val="005637B5"/>
    <w:rsid w:val="00564642"/>
    <w:rsid w:val="00570394"/>
    <w:rsid w:val="005726FD"/>
    <w:rsid w:val="00581D57"/>
    <w:rsid w:val="00583371"/>
    <w:rsid w:val="00594CE3"/>
    <w:rsid w:val="005952DD"/>
    <w:rsid w:val="005A3EC5"/>
    <w:rsid w:val="005C3750"/>
    <w:rsid w:val="005C381B"/>
    <w:rsid w:val="005C6441"/>
    <w:rsid w:val="005D6562"/>
    <w:rsid w:val="006000AF"/>
    <w:rsid w:val="00602E3C"/>
    <w:rsid w:val="006036A9"/>
    <w:rsid w:val="0060371E"/>
    <w:rsid w:val="00630782"/>
    <w:rsid w:val="0063676C"/>
    <w:rsid w:val="006401CB"/>
    <w:rsid w:val="006421C1"/>
    <w:rsid w:val="00651263"/>
    <w:rsid w:val="00654F00"/>
    <w:rsid w:val="00666BB4"/>
    <w:rsid w:val="006677AC"/>
    <w:rsid w:val="00667E54"/>
    <w:rsid w:val="00677B15"/>
    <w:rsid w:val="006822AB"/>
    <w:rsid w:val="00683DA0"/>
    <w:rsid w:val="0069022B"/>
    <w:rsid w:val="00690704"/>
    <w:rsid w:val="00697973"/>
    <w:rsid w:val="006A07D2"/>
    <w:rsid w:val="006D3204"/>
    <w:rsid w:val="006D4C01"/>
    <w:rsid w:val="006E677C"/>
    <w:rsid w:val="007076CF"/>
    <w:rsid w:val="00711695"/>
    <w:rsid w:val="00717778"/>
    <w:rsid w:val="00740F07"/>
    <w:rsid w:val="00750DA3"/>
    <w:rsid w:val="007601DE"/>
    <w:rsid w:val="00762248"/>
    <w:rsid w:val="00762283"/>
    <w:rsid w:val="007763CF"/>
    <w:rsid w:val="00780FAB"/>
    <w:rsid w:val="007817EE"/>
    <w:rsid w:val="00784119"/>
    <w:rsid w:val="00793CDA"/>
    <w:rsid w:val="00796134"/>
    <w:rsid w:val="007B2470"/>
    <w:rsid w:val="007C57E0"/>
    <w:rsid w:val="007C720C"/>
    <w:rsid w:val="007D0105"/>
    <w:rsid w:val="007D77B8"/>
    <w:rsid w:val="007E7191"/>
    <w:rsid w:val="007F07D9"/>
    <w:rsid w:val="007F4302"/>
    <w:rsid w:val="00804DA0"/>
    <w:rsid w:val="00807E19"/>
    <w:rsid w:val="0082793D"/>
    <w:rsid w:val="00831B8B"/>
    <w:rsid w:val="00832685"/>
    <w:rsid w:val="00834A81"/>
    <w:rsid w:val="00841BE8"/>
    <w:rsid w:val="0084220F"/>
    <w:rsid w:val="00844CF3"/>
    <w:rsid w:val="008465AA"/>
    <w:rsid w:val="00862A46"/>
    <w:rsid w:val="0087067A"/>
    <w:rsid w:val="008844E3"/>
    <w:rsid w:val="008A22CB"/>
    <w:rsid w:val="008B1694"/>
    <w:rsid w:val="008B375A"/>
    <w:rsid w:val="008C3CE0"/>
    <w:rsid w:val="008C75BA"/>
    <w:rsid w:val="008D2663"/>
    <w:rsid w:val="008E3D34"/>
    <w:rsid w:val="008E660E"/>
    <w:rsid w:val="008E7D60"/>
    <w:rsid w:val="008F18CB"/>
    <w:rsid w:val="008F4A4B"/>
    <w:rsid w:val="009043EF"/>
    <w:rsid w:val="009073FC"/>
    <w:rsid w:val="00914D02"/>
    <w:rsid w:val="00920F2F"/>
    <w:rsid w:val="00925296"/>
    <w:rsid w:val="00925A2F"/>
    <w:rsid w:val="0092630E"/>
    <w:rsid w:val="00926A63"/>
    <w:rsid w:val="00937EA4"/>
    <w:rsid w:val="00943358"/>
    <w:rsid w:val="00943F04"/>
    <w:rsid w:val="00943FF8"/>
    <w:rsid w:val="00944456"/>
    <w:rsid w:val="009702D4"/>
    <w:rsid w:val="00972048"/>
    <w:rsid w:val="00974131"/>
    <w:rsid w:val="009836B7"/>
    <w:rsid w:val="00983991"/>
    <w:rsid w:val="00986634"/>
    <w:rsid w:val="009D0419"/>
    <w:rsid w:val="009D7ECC"/>
    <w:rsid w:val="009E314D"/>
    <w:rsid w:val="009E4F4E"/>
    <w:rsid w:val="009E5D45"/>
    <w:rsid w:val="00A22881"/>
    <w:rsid w:val="00A37A30"/>
    <w:rsid w:val="00A37D21"/>
    <w:rsid w:val="00A5220F"/>
    <w:rsid w:val="00A63406"/>
    <w:rsid w:val="00A836AA"/>
    <w:rsid w:val="00A85BF3"/>
    <w:rsid w:val="00A90211"/>
    <w:rsid w:val="00AA5FDD"/>
    <w:rsid w:val="00AA638F"/>
    <w:rsid w:val="00AB3D44"/>
    <w:rsid w:val="00AC591E"/>
    <w:rsid w:val="00AD2ECA"/>
    <w:rsid w:val="00AF7521"/>
    <w:rsid w:val="00B042B4"/>
    <w:rsid w:val="00B06415"/>
    <w:rsid w:val="00B20328"/>
    <w:rsid w:val="00B2155E"/>
    <w:rsid w:val="00B21FEF"/>
    <w:rsid w:val="00B32A51"/>
    <w:rsid w:val="00B4059F"/>
    <w:rsid w:val="00B541BD"/>
    <w:rsid w:val="00B6199F"/>
    <w:rsid w:val="00B655F8"/>
    <w:rsid w:val="00B772B8"/>
    <w:rsid w:val="00B80634"/>
    <w:rsid w:val="00B855D3"/>
    <w:rsid w:val="00B85CA8"/>
    <w:rsid w:val="00B9458A"/>
    <w:rsid w:val="00B9558D"/>
    <w:rsid w:val="00B9561B"/>
    <w:rsid w:val="00BA4D27"/>
    <w:rsid w:val="00BC6DB8"/>
    <w:rsid w:val="00BD33F3"/>
    <w:rsid w:val="00BD6C29"/>
    <w:rsid w:val="00BD6F7E"/>
    <w:rsid w:val="00BE3E21"/>
    <w:rsid w:val="00BF13AE"/>
    <w:rsid w:val="00BF4955"/>
    <w:rsid w:val="00BF4AB4"/>
    <w:rsid w:val="00BF532E"/>
    <w:rsid w:val="00BF53A9"/>
    <w:rsid w:val="00BF7BCB"/>
    <w:rsid w:val="00C0046A"/>
    <w:rsid w:val="00C10450"/>
    <w:rsid w:val="00C11632"/>
    <w:rsid w:val="00C27CC1"/>
    <w:rsid w:val="00C52BA6"/>
    <w:rsid w:val="00C53F24"/>
    <w:rsid w:val="00C80767"/>
    <w:rsid w:val="00C97AFA"/>
    <w:rsid w:val="00CB669B"/>
    <w:rsid w:val="00CD276D"/>
    <w:rsid w:val="00CD6AA9"/>
    <w:rsid w:val="00CE7A85"/>
    <w:rsid w:val="00CF0030"/>
    <w:rsid w:val="00CF2194"/>
    <w:rsid w:val="00CF2A5F"/>
    <w:rsid w:val="00D00166"/>
    <w:rsid w:val="00D34817"/>
    <w:rsid w:val="00D81CDA"/>
    <w:rsid w:val="00D851B2"/>
    <w:rsid w:val="00D96E04"/>
    <w:rsid w:val="00DA360D"/>
    <w:rsid w:val="00DD2303"/>
    <w:rsid w:val="00DD5AEF"/>
    <w:rsid w:val="00DD757A"/>
    <w:rsid w:val="00DE256E"/>
    <w:rsid w:val="00DF3EEE"/>
    <w:rsid w:val="00DF4831"/>
    <w:rsid w:val="00E02E4A"/>
    <w:rsid w:val="00E17A44"/>
    <w:rsid w:val="00E2712F"/>
    <w:rsid w:val="00E41667"/>
    <w:rsid w:val="00E41E20"/>
    <w:rsid w:val="00E453C9"/>
    <w:rsid w:val="00E56E63"/>
    <w:rsid w:val="00E67966"/>
    <w:rsid w:val="00E804BB"/>
    <w:rsid w:val="00E81890"/>
    <w:rsid w:val="00E84910"/>
    <w:rsid w:val="00E93F6D"/>
    <w:rsid w:val="00EB244F"/>
    <w:rsid w:val="00EC757E"/>
    <w:rsid w:val="00ED09F3"/>
    <w:rsid w:val="00EE16F0"/>
    <w:rsid w:val="00F01039"/>
    <w:rsid w:val="00F01746"/>
    <w:rsid w:val="00F1016B"/>
    <w:rsid w:val="00F173C6"/>
    <w:rsid w:val="00F22A1B"/>
    <w:rsid w:val="00F24AF2"/>
    <w:rsid w:val="00F42108"/>
    <w:rsid w:val="00F42D21"/>
    <w:rsid w:val="00F44539"/>
    <w:rsid w:val="00F54AEF"/>
    <w:rsid w:val="00F55D9E"/>
    <w:rsid w:val="00F742AC"/>
    <w:rsid w:val="00F758CC"/>
    <w:rsid w:val="00F83E6C"/>
    <w:rsid w:val="00FA44C7"/>
    <w:rsid w:val="00FA55E0"/>
    <w:rsid w:val="00FB475C"/>
    <w:rsid w:val="00FB4D1D"/>
    <w:rsid w:val="00FB76EC"/>
    <w:rsid w:val="00FF00D3"/>
    <w:rsid w:val="00FF4E38"/>
    <w:rsid w:val="00FF7571"/>
    <w:rsid w:val="084C1B4F"/>
    <w:rsid w:val="0CDA0308"/>
    <w:rsid w:val="1D216C8C"/>
    <w:rsid w:val="2C8E70FE"/>
    <w:rsid w:val="2E9E36A1"/>
    <w:rsid w:val="30450A8C"/>
    <w:rsid w:val="38DF7CCF"/>
    <w:rsid w:val="3A444D3C"/>
    <w:rsid w:val="40BC08F6"/>
    <w:rsid w:val="4290203A"/>
    <w:rsid w:val="4F275EA7"/>
    <w:rsid w:val="5340724D"/>
    <w:rsid w:val="5CF6055C"/>
    <w:rsid w:val="5F9A5E4E"/>
    <w:rsid w:val="61CA6416"/>
    <w:rsid w:val="63285FAF"/>
    <w:rsid w:val="659A0956"/>
    <w:rsid w:val="6A153FA2"/>
    <w:rsid w:val="6A4610AD"/>
    <w:rsid w:val="6D0E2BDB"/>
    <w:rsid w:val="7A8E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link w:val="18"/>
    <w:autoRedefine/>
    <w:semiHidden/>
    <w:unhideWhenUsed/>
    <w:qFormat/>
    <w:uiPriority w:val="99"/>
    <w:pPr>
      <w:jc w:val="left"/>
    </w:pPr>
  </w:style>
  <w:style w:type="paragraph" w:styleId="4">
    <w:name w:val="Body Text"/>
    <w:basedOn w:val="1"/>
    <w:link w:val="20"/>
    <w:autoRedefine/>
    <w:semiHidden/>
    <w:unhideWhenUsed/>
    <w:qFormat/>
    <w:uiPriority w:val="99"/>
    <w:pPr>
      <w:spacing w:after="120"/>
    </w:pPr>
  </w:style>
  <w:style w:type="paragraph" w:styleId="5">
    <w:name w:val="Body Text Indent"/>
    <w:basedOn w:val="1"/>
    <w:link w:val="14"/>
    <w:autoRedefine/>
    <w:qFormat/>
    <w:uiPriority w:val="0"/>
    <w:pPr>
      <w:spacing w:after="120"/>
      <w:ind w:left="420" w:leftChars="200"/>
    </w:pPr>
  </w:style>
  <w:style w:type="paragraph" w:styleId="6">
    <w:name w:val="Balloon Text"/>
    <w:basedOn w:val="1"/>
    <w:link w:val="17"/>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9"/>
    <w:autoRedefine/>
    <w:semiHidden/>
    <w:unhideWhenUsed/>
    <w:qFormat/>
    <w:uiPriority w:val="99"/>
    <w:rPr>
      <w:b/>
      <w:bCs/>
    </w:rPr>
  </w:style>
  <w:style w:type="character" w:styleId="12">
    <w:name w:val="Hyperlink"/>
    <w:basedOn w:val="11"/>
    <w:autoRedefine/>
    <w:semiHidden/>
    <w:unhideWhenUsed/>
    <w:qFormat/>
    <w:uiPriority w:val="99"/>
    <w:rPr>
      <w:color w:val="0000FF"/>
      <w:u w:val="single"/>
    </w:rPr>
  </w:style>
  <w:style w:type="character" w:styleId="13">
    <w:name w:val="annotation reference"/>
    <w:basedOn w:val="11"/>
    <w:autoRedefine/>
    <w:semiHidden/>
    <w:unhideWhenUsed/>
    <w:qFormat/>
    <w:uiPriority w:val="99"/>
    <w:rPr>
      <w:sz w:val="21"/>
      <w:szCs w:val="21"/>
    </w:rPr>
  </w:style>
  <w:style w:type="character" w:customStyle="1" w:styleId="14">
    <w:name w:val="正文文本缩进 Char"/>
    <w:basedOn w:val="11"/>
    <w:link w:val="5"/>
    <w:autoRedefine/>
    <w:qFormat/>
    <w:uiPriority w:val="0"/>
    <w:rPr>
      <w:rFonts w:ascii="Times New Roman" w:hAnsi="Times New Roman" w:eastAsia="宋体" w:cs="Times New Roman"/>
      <w:szCs w:val="24"/>
    </w:rPr>
  </w:style>
  <w:style w:type="character" w:customStyle="1" w:styleId="15">
    <w:name w:val="页眉 Char"/>
    <w:basedOn w:val="11"/>
    <w:link w:val="8"/>
    <w:autoRedefine/>
    <w:qFormat/>
    <w:uiPriority w:val="99"/>
    <w:rPr>
      <w:rFonts w:ascii="Times New Roman" w:hAnsi="Times New Roman" w:eastAsia="宋体" w:cs="Times New Roman"/>
      <w:sz w:val="18"/>
      <w:szCs w:val="18"/>
    </w:rPr>
  </w:style>
  <w:style w:type="character" w:customStyle="1" w:styleId="16">
    <w:name w:val="页脚 Char"/>
    <w:basedOn w:val="11"/>
    <w:link w:val="7"/>
    <w:autoRedefine/>
    <w:qFormat/>
    <w:uiPriority w:val="99"/>
    <w:rPr>
      <w:rFonts w:ascii="Times New Roman" w:hAnsi="Times New Roman" w:eastAsia="宋体" w:cs="Times New Roman"/>
      <w:sz w:val="18"/>
      <w:szCs w:val="18"/>
    </w:rPr>
  </w:style>
  <w:style w:type="character" w:customStyle="1" w:styleId="17">
    <w:name w:val="批注框文本 Char"/>
    <w:basedOn w:val="11"/>
    <w:link w:val="6"/>
    <w:autoRedefine/>
    <w:semiHidden/>
    <w:qFormat/>
    <w:uiPriority w:val="99"/>
    <w:rPr>
      <w:rFonts w:ascii="Times New Roman" w:hAnsi="Times New Roman" w:eastAsia="宋体" w:cs="Times New Roman"/>
      <w:sz w:val="18"/>
      <w:szCs w:val="18"/>
    </w:rPr>
  </w:style>
  <w:style w:type="character" w:customStyle="1" w:styleId="18">
    <w:name w:val="批注文字 Char"/>
    <w:basedOn w:val="11"/>
    <w:link w:val="3"/>
    <w:autoRedefine/>
    <w:semiHidden/>
    <w:qFormat/>
    <w:uiPriority w:val="99"/>
    <w:rPr>
      <w:rFonts w:ascii="Times New Roman" w:hAnsi="Times New Roman" w:eastAsia="宋体" w:cs="Times New Roman"/>
      <w:szCs w:val="24"/>
    </w:rPr>
  </w:style>
  <w:style w:type="character" w:customStyle="1" w:styleId="19">
    <w:name w:val="批注主题 Char"/>
    <w:basedOn w:val="18"/>
    <w:link w:val="9"/>
    <w:autoRedefine/>
    <w:semiHidden/>
    <w:qFormat/>
    <w:uiPriority w:val="99"/>
    <w:rPr>
      <w:rFonts w:ascii="Times New Roman" w:hAnsi="Times New Roman" w:eastAsia="宋体" w:cs="Times New Roman"/>
      <w:b/>
      <w:bCs/>
      <w:szCs w:val="24"/>
    </w:rPr>
  </w:style>
  <w:style w:type="character" w:customStyle="1" w:styleId="20">
    <w:name w:val="正文文本 Char"/>
    <w:basedOn w:val="11"/>
    <w:link w:val="4"/>
    <w:autoRedefine/>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6F39-1B27-4A15-85ED-C181D7F318E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1971</Words>
  <Characters>2223</Characters>
  <Lines>25</Lines>
  <Paragraphs>7</Paragraphs>
  <TotalTime>2</TotalTime>
  <ScaleCrop>false</ScaleCrop>
  <LinksUpToDate>false</LinksUpToDate>
  <CharactersWithSpaces>2291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2025-04-25T02:59:00Z</dcterms:created>
  <dc:creator>孙献</dc:creator>
  <cp:lastModifiedBy>WSY</cp:lastModifiedBy>
  <cp:lastPrinted>2018-04-16T11:45:00Z</cp:lastPrinted>
  <dcterms:modified xsi:type="dcterms:W3CDTF">2026-04-27T09:31:44Z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4D54A2A55D34408CA67587860C17E9BB_12</vt:lpwstr>
  </property>
  <property fmtid="{D5CDD505-2E9C-101B-9397-08002B2CF9AE}" pid="4" name="KSOTemplateDocerSaveRecord">
    <vt:lpwstr>eyJoZGlkIjoiMGYyMzhhMzNmNzJhMTU4YjMxZTc1YjkyNzFjZGE5ZTciLCJ1c2VySWQiOiIyNjU0NTI1NDMifQ==</vt:lpwstr>
  </property>
</Properties>
</file>